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AB" w:rsidRDefault="00F17AC0">
      <w:pPr>
        <w:pStyle w:val="1"/>
        <w:jc w:val="center"/>
        <w:rPr>
          <w:rFonts w:ascii="宋体" w:hAnsi="宋体"/>
          <w:sz w:val="28"/>
          <w:szCs w:val="28"/>
        </w:rPr>
      </w:pPr>
      <w:bookmarkStart w:id="0" w:name="_Toc447265797"/>
      <w:bookmarkStart w:id="1" w:name="_Toc2132"/>
      <w:bookmarkStart w:id="2" w:name="_Toc475117907"/>
      <w:bookmarkStart w:id="3" w:name="_Toc447265211"/>
      <w:bookmarkStart w:id="4" w:name="_Toc447188662"/>
      <w:bookmarkStart w:id="5" w:name="_Toc472689482"/>
      <w:bookmarkStart w:id="6" w:name="_Toc447265497"/>
      <w:bookmarkStart w:id="7" w:name="_GoBack"/>
      <w:r>
        <w:rPr>
          <w:rFonts w:ascii="宋体" w:hAnsi="宋体" w:hint="eastAsia"/>
          <w:sz w:val="28"/>
          <w:szCs w:val="28"/>
        </w:rPr>
        <w:t>南通广电云中心机房搬迁项目招标公告</w:t>
      </w:r>
      <w:bookmarkEnd w:id="0"/>
      <w:bookmarkEnd w:id="1"/>
      <w:bookmarkEnd w:id="2"/>
      <w:bookmarkEnd w:id="3"/>
      <w:bookmarkEnd w:id="4"/>
      <w:bookmarkEnd w:id="5"/>
      <w:bookmarkEnd w:id="6"/>
    </w:p>
    <w:bookmarkEnd w:id="7"/>
    <w:p w:rsidR="002427AB" w:rsidRDefault="00F17AC0">
      <w:pPr>
        <w:pStyle w:val="00"/>
        <w:ind w:firstLine="480"/>
        <w:rPr>
          <w:rFonts w:ascii="宋体" w:hAnsi="宋体"/>
        </w:rPr>
      </w:pPr>
      <w:r>
        <w:rPr>
          <w:rFonts w:ascii="宋体" w:hAnsi="宋体" w:hint="eastAsia"/>
        </w:rPr>
        <w:t>本招标项目为（项目名称南通广电云中心机房搬迁项目、招标编号：</w:t>
      </w:r>
      <w:r>
        <w:rPr>
          <w:rFonts w:ascii="宋体" w:hAnsi="宋体" w:hint="eastAsia"/>
          <w:u w:val="single"/>
        </w:rPr>
        <w:t xml:space="preserve"> Z</w:t>
      </w:r>
      <w:r>
        <w:rPr>
          <w:rFonts w:ascii="宋体" w:hAnsi="宋体"/>
          <w:u w:val="single"/>
        </w:rPr>
        <w:t>GYX</w:t>
      </w:r>
      <w:r>
        <w:rPr>
          <w:rFonts w:ascii="宋体" w:hAnsi="宋体" w:hint="eastAsia"/>
          <w:u w:val="single"/>
        </w:rPr>
        <w:t>20200</w:t>
      </w:r>
      <w:r>
        <w:rPr>
          <w:rFonts w:ascii="宋体" w:hAnsi="宋体"/>
          <w:u w:val="single"/>
        </w:rPr>
        <w:t>5</w:t>
      </w:r>
      <w:r>
        <w:rPr>
          <w:rFonts w:ascii="宋体" w:hAnsi="宋体" w:hint="eastAsia"/>
          <w:u w:val="single"/>
        </w:rPr>
        <w:t xml:space="preserve">--BQ </w:t>
      </w:r>
      <w:r>
        <w:rPr>
          <w:rFonts w:ascii="宋体" w:hAnsi="宋体" w:hint="eastAsia"/>
        </w:rPr>
        <w:t>），招标人为</w:t>
      </w:r>
      <w:r>
        <w:rPr>
          <w:rFonts w:ascii="宋体" w:hAnsi="宋体" w:hint="eastAsia"/>
          <w:u w:val="single"/>
        </w:rPr>
        <w:t xml:space="preserve"> 中广有线信息网络有限公司南通分公司 </w:t>
      </w:r>
      <w:r>
        <w:rPr>
          <w:rFonts w:ascii="宋体" w:hAnsi="宋体" w:hint="eastAsia"/>
        </w:rPr>
        <w:t>，招标代理机构为</w:t>
      </w:r>
      <w:r>
        <w:rPr>
          <w:rFonts w:ascii="宋体" w:hAnsi="宋体" w:hint="eastAsia"/>
          <w:u w:val="single"/>
        </w:rPr>
        <w:t xml:space="preserve">   中邮通建设咨询有限公司</w:t>
      </w:r>
      <w:r>
        <w:rPr>
          <w:rFonts w:ascii="宋体" w:hAnsi="宋体" w:hint="eastAsia"/>
        </w:rPr>
        <w:t>。项目资金由</w:t>
      </w:r>
      <w:r>
        <w:rPr>
          <w:rFonts w:ascii="宋体" w:hAnsi="宋体" w:hint="eastAsia"/>
          <w:u w:val="single"/>
        </w:rPr>
        <w:t>招标人自筹</w:t>
      </w:r>
      <w:r>
        <w:rPr>
          <w:rFonts w:ascii="宋体" w:hAnsi="宋体" w:hint="eastAsia"/>
        </w:rPr>
        <w:t>，资金已落实。项目已具备招标条件，现进行公开招标，有意向的潜在投标人（以下简称投标人）可前来投标。</w:t>
      </w:r>
    </w:p>
    <w:p w:rsidR="002427AB" w:rsidRDefault="00F17AC0">
      <w:pPr>
        <w:pStyle w:val="2"/>
        <w:spacing w:line="360" w:lineRule="auto"/>
        <w:rPr>
          <w:rFonts w:ascii="宋体" w:hAnsi="宋体"/>
          <w:b/>
          <w:sz w:val="24"/>
          <w:szCs w:val="28"/>
        </w:rPr>
      </w:pPr>
      <w:bookmarkStart w:id="8" w:name="_Toc10905"/>
      <w:bookmarkStart w:id="9" w:name="_Toc2706"/>
      <w:r>
        <w:rPr>
          <w:rFonts w:ascii="宋体" w:hAnsi="宋体" w:hint="eastAsia"/>
          <w:b/>
          <w:sz w:val="24"/>
          <w:szCs w:val="28"/>
        </w:rPr>
        <w:t>1.项目概况与招标内容</w:t>
      </w:r>
      <w:bookmarkEnd w:id="8"/>
      <w:bookmarkEnd w:id="9"/>
    </w:p>
    <w:p w:rsidR="002427AB" w:rsidRDefault="00F17AC0">
      <w:pPr>
        <w:pStyle w:val="00"/>
        <w:ind w:firstLine="480"/>
        <w:rPr>
          <w:rFonts w:ascii="宋体" w:hAnsi="宋体"/>
        </w:rPr>
      </w:pPr>
      <w:r>
        <w:rPr>
          <w:rFonts w:ascii="宋体" w:hAnsi="宋体" w:hint="eastAsia"/>
        </w:rPr>
        <w:t>1.1  项目概况：为了满足公司业务发展需求,中广有线南通分公司规划搬迁南通广电云中心机房，原位置位于跃龙路1号（南通电视塔内），新位置位于南通经济技术开发区复兴路9号。新建的广电云中心机房主要功能是：广播电视内容接收、分发、监管，数字电视内容集成、运营支撑, 城域网核心，省市干线传输。新中心机房位于3号楼二层，规划建设面积约1500余平方米，已完成一期1</w:t>
      </w:r>
      <w:r>
        <w:rPr>
          <w:rFonts w:ascii="宋体" w:hAnsi="宋体"/>
        </w:rPr>
        <w:t>08</w:t>
      </w:r>
      <w:r>
        <w:rPr>
          <w:rFonts w:ascii="宋体" w:hAnsi="宋体" w:hint="eastAsia"/>
        </w:rPr>
        <w:t>个机柜建设，配备传输机房、ODF区、68个机柜扩展区，大楼南侧地面为6面卫星天线接收区域。新建机房用于满足分公司未来5-10年业务生产需求。</w:t>
      </w:r>
    </w:p>
    <w:p w:rsidR="002427AB" w:rsidRDefault="00F17AC0">
      <w:pPr>
        <w:pStyle w:val="00"/>
        <w:ind w:firstLine="480"/>
        <w:rPr>
          <w:rFonts w:ascii="宋体" w:hAnsi="宋体"/>
        </w:rPr>
      </w:pPr>
      <w:r>
        <w:rPr>
          <w:rFonts w:ascii="宋体" w:hAnsi="宋体" w:hint="eastAsia"/>
        </w:rPr>
        <w:t>1.2  项目说明：</w:t>
      </w:r>
    </w:p>
    <w:p w:rsidR="002427AB" w:rsidRDefault="00F17AC0">
      <w:pPr>
        <w:pStyle w:val="00"/>
        <w:ind w:firstLine="480"/>
        <w:rPr>
          <w:rFonts w:ascii="宋体" w:hAnsi="宋体"/>
        </w:rPr>
      </w:pPr>
      <w:r>
        <w:rPr>
          <w:rFonts w:ascii="宋体" w:hAnsi="宋体" w:hint="eastAsia"/>
        </w:rPr>
        <w:t>本次招标范围为电视塔老机房搬迁至云中心机房。</w:t>
      </w:r>
    </w:p>
    <w:p w:rsidR="002427AB" w:rsidRDefault="00F17AC0">
      <w:pPr>
        <w:pStyle w:val="00"/>
        <w:ind w:firstLine="480"/>
        <w:rPr>
          <w:rFonts w:ascii="宋体" w:hAnsi="宋体"/>
        </w:rPr>
      </w:pPr>
      <w:r>
        <w:rPr>
          <w:rFonts w:ascii="宋体" w:hAnsi="宋体" w:hint="eastAsia"/>
        </w:rPr>
        <w:t>包括：电视直播系统、互动及电视周边支撑系统；省干、市干、本地等通信电源系统和传输系统项目搬迁方案设计，原有设备拆除及搬迁，新机房系统安装、集成、调试及相应服务，播控、网管相关设备安装调试。具体详见招标文件。</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 xml:space="preserve">1.3 </w:t>
      </w:r>
      <w:r>
        <w:rPr>
          <w:rFonts w:ascii="宋体" w:hAnsi="宋体" w:hint="eastAsia"/>
        </w:rPr>
        <w:t xml:space="preserve"> </w:t>
      </w:r>
      <w:r>
        <w:rPr>
          <w:rFonts w:ascii="宋体" w:hAnsi="宋体" w:hint="eastAsia"/>
          <w:sz w:val="24"/>
          <w:szCs w:val="21"/>
        </w:rPr>
        <w:t>招标内容：</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3"/>
        <w:gridCol w:w="4506"/>
        <w:gridCol w:w="1844"/>
      </w:tblGrid>
      <w:tr w:rsidR="002427AB">
        <w:tc>
          <w:tcPr>
            <w:tcW w:w="1253"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标包数</w:t>
            </w:r>
          </w:p>
        </w:tc>
        <w:tc>
          <w:tcPr>
            <w:tcW w:w="2659"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标包名称</w:t>
            </w:r>
          </w:p>
        </w:tc>
        <w:tc>
          <w:tcPr>
            <w:tcW w:w="1088"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中标人</w:t>
            </w:r>
          </w:p>
        </w:tc>
      </w:tr>
      <w:tr w:rsidR="002427AB">
        <w:tc>
          <w:tcPr>
            <w:tcW w:w="1253"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一包</w:t>
            </w:r>
          </w:p>
        </w:tc>
        <w:tc>
          <w:tcPr>
            <w:tcW w:w="2659"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电视、数通业务系统搬迁</w:t>
            </w:r>
          </w:p>
        </w:tc>
        <w:tc>
          <w:tcPr>
            <w:tcW w:w="1088" w:type="pct"/>
            <w:vMerge w:val="restar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1名</w:t>
            </w:r>
          </w:p>
        </w:tc>
      </w:tr>
      <w:tr w:rsidR="002427AB">
        <w:tc>
          <w:tcPr>
            <w:tcW w:w="1253"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二包</w:t>
            </w:r>
          </w:p>
        </w:tc>
        <w:tc>
          <w:tcPr>
            <w:tcW w:w="2659"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传输、配套业务综合布线及系统搬迁</w:t>
            </w:r>
          </w:p>
        </w:tc>
        <w:tc>
          <w:tcPr>
            <w:tcW w:w="1088" w:type="pct"/>
            <w:vMerge/>
            <w:shd w:val="clear" w:color="auto" w:fill="auto"/>
            <w:vAlign w:val="center"/>
          </w:tcPr>
          <w:p w:rsidR="002427AB" w:rsidRDefault="002427AB">
            <w:pPr>
              <w:spacing w:line="360" w:lineRule="auto"/>
              <w:jc w:val="center"/>
              <w:rPr>
                <w:rFonts w:ascii="宋体" w:hAnsi="宋体"/>
                <w:sz w:val="24"/>
                <w:szCs w:val="21"/>
              </w:rPr>
            </w:pPr>
          </w:p>
        </w:tc>
      </w:tr>
      <w:tr w:rsidR="002427AB">
        <w:tc>
          <w:tcPr>
            <w:tcW w:w="1253"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三包</w:t>
            </w:r>
          </w:p>
        </w:tc>
        <w:tc>
          <w:tcPr>
            <w:tcW w:w="2659"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精密直流电源</w:t>
            </w:r>
          </w:p>
        </w:tc>
        <w:tc>
          <w:tcPr>
            <w:tcW w:w="1088" w:type="pct"/>
            <w:vMerge/>
            <w:shd w:val="clear" w:color="auto" w:fill="auto"/>
            <w:vAlign w:val="center"/>
          </w:tcPr>
          <w:p w:rsidR="002427AB" w:rsidRDefault="002427AB">
            <w:pPr>
              <w:spacing w:line="360" w:lineRule="auto"/>
              <w:jc w:val="center"/>
              <w:rPr>
                <w:rFonts w:ascii="宋体" w:hAnsi="宋体"/>
                <w:sz w:val="24"/>
                <w:szCs w:val="21"/>
              </w:rPr>
            </w:pPr>
          </w:p>
        </w:tc>
      </w:tr>
      <w:tr w:rsidR="002427AB">
        <w:tc>
          <w:tcPr>
            <w:tcW w:w="1253"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四包</w:t>
            </w:r>
          </w:p>
        </w:tc>
        <w:tc>
          <w:tcPr>
            <w:tcW w:w="2659" w:type="pct"/>
            <w:shd w:val="clear" w:color="auto" w:fill="auto"/>
            <w:vAlign w:val="center"/>
          </w:tcPr>
          <w:p w:rsidR="002427AB" w:rsidRDefault="00F17AC0">
            <w:pPr>
              <w:spacing w:line="360" w:lineRule="auto"/>
              <w:jc w:val="center"/>
              <w:rPr>
                <w:rFonts w:ascii="宋体" w:hAnsi="宋体"/>
                <w:sz w:val="24"/>
                <w:szCs w:val="21"/>
              </w:rPr>
            </w:pPr>
            <w:r>
              <w:rPr>
                <w:rFonts w:ascii="宋体" w:hAnsi="宋体" w:hint="eastAsia"/>
                <w:sz w:val="24"/>
                <w:szCs w:val="21"/>
              </w:rPr>
              <w:t>精密直流电源列柜</w:t>
            </w:r>
          </w:p>
        </w:tc>
        <w:tc>
          <w:tcPr>
            <w:tcW w:w="1088" w:type="pct"/>
            <w:vMerge/>
            <w:shd w:val="clear" w:color="auto" w:fill="auto"/>
            <w:vAlign w:val="center"/>
          </w:tcPr>
          <w:p w:rsidR="002427AB" w:rsidRDefault="002427AB">
            <w:pPr>
              <w:spacing w:line="360" w:lineRule="auto"/>
              <w:jc w:val="center"/>
              <w:rPr>
                <w:rFonts w:ascii="宋体" w:hAnsi="宋体"/>
                <w:sz w:val="24"/>
                <w:szCs w:val="21"/>
              </w:rPr>
            </w:pPr>
          </w:p>
        </w:tc>
      </w:tr>
    </w:tbl>
    <w:p w:rsidR="002427AB" w:rsidRDefault="002427AB">
      <w:pPr>
        <w:spacing w:line="360" w:lineRule="auto"/>
        <w:ind w:firstLineChars="200" w:firstLine="480"/>
        <w:rPr>
          <w:rFonts w:ascii="宋体" w:hAnsi="宋体"/>
          <w:sz w:val="24"/>
          <w:szCs w:val="21"/>
        </w:rPr>
      </w:pP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1.4工程说明：</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本项目为整体交钥匙工程，项目内容包括：</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新机房各设备之间的连线敷设和接头的制作；</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lastRenderedPageBreak/>
        <w:t>清单中的设备、线缆及辅材采购、运输、到达、安装和调试，直至完成系统建设、验收合格；</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新机房内设备的定位和安装工作；</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原有机房各系统的下架、搬迁、集成工作；</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原机房所有备份、闲置设备的搬运工作。</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以上所有搬迁中所涉及工作全部由投标单位完成，采购方配合协助工作。</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本项目所涉及系统为：</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数字电视系统（系统为新建）；</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互动电视系统；</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数通业务系统；</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传输业务系统；</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运营支撑系统；</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本地信息系统；</w:t>
      </w:r>
    </w:p>
    <w:p w:rsidR="002427AB" w:rsidRDefault="00F17AC0">
      <w:pPr>
        <w:spacing w:line="360" w:lineRule="auto"/>
        <w:ind w:firstLineChars="200" w:firstLine="480"/>
        <w:rPr>
          <w:rFonts w:ascii="宋体" w:hAnsi="宋体"/>
          <w:sz w:val="24"/>
          <w:szCs w:val="21"/>
        </w:rPr>
      </w:pPr>
      <w:r>
        <w:rPr>
          <w:rFonts w:ascii="宋体" w:hAnsi="宋体" w:hint="eastAsia"/>
          <w:sz w:val="24"/>
          <w:szCs w:val="21"/>
        </w:rPr>
        <w:t>其他系统等；</w:t>
      </w:r>
    </w:p>
    <w:p w:rsidR="002427AB" w:rsidRDefault="00F17AC0">
      <w:pPr>
        <w:spacing w:line="360" w:lineRule="auto"/>
        <w:ind w:firstLineChars="200" w:firstLine="420"/>
        <w:rPr>
          <w:rFonts w:ascii="宋体" w:hAnsi="宋体"/>
          <w:b/>
          <w:bCs/>
          <w:sz w:val="24"/>
          <w:szCs w:val="21"/>
        </w:rPr>
      </w:pPr>
      <w:r>
        <w:rPr>
          <w:rFonts w:ascii="宋体" w:hAnsi="宋体" w:hint="eastAsia"/>
          <w:szCs w:val="21"/>
        </w:rPr>
        <w:t>★</w:t>
      </w:r>
      <w:r>
        <w:rPr>
          <w:rFonts w:ascii="宋体" w:hAnsi="宋体" w:hint="eastAsia"/>
          <w:b/>
          <w:bCs/>
          <w:sz w:val="24"/>
          <w:szCs w:val="21"/>
        </w:rPr>
        <w:t>请投标单位提前与采购方联系做好摸底工作，以便确定工程的具体工作量。如因工作量确定有误所造成的一切损失由投标单位承担。</w:t>
      </w:r>
    </w:p>
    <w:p w:rsidR="002427AB" w:rsidRDefault="00F17AC0">
      <w:pPr>
        <w:spacing w:line="360" w:lineRule="auto"/>
        <w:ind w:firstLineChars="200" w:firstLine="420"/>
        <w:rPr>
          <w:rFonts w:ascii="宋体" w:hAnsi="宋体"/>
          <w:b/>
          <w:bCs/>
          <w:sz w:val="24"/>
          <w:szCs w:val="21"/>
        </w:rPr>
      </w:pPr>
      <w:r>
        <w:rPr>
          <w:rFonts w:ascii="宋体" w:hAnsi="宋体" w:hint="eastAsia"/>
          <w:szCs w:val="21"/>
        </w:rPr>
        <w:t>★</w:t>
      </w:r>
      <w:r>
        <w:rPr>
          <w:rFonts w:ascii="宋体" w:hAnsi="宋体" w:hint="eastAsia"/>
          <w:b/>
          <w:bCs/>
          <w:sz w:val="24"/>
          <w:szCs w:val="21"/>
        </w:rPr>
        <w:t>投标方需提供本次搬迁工程中所需的人工、车辆、工具、机械和辅助材料等，做好搬迁设备的保温、防尘、防雨、防结露、防震等保护措施，确保搬迁工作安全、顺利完成。</w:t>
      </w:r>
    </w:p>
    <w:p w:rsidR="002427AB" w:rsidRDefault="00F17AC0">
      <w:pPr>
        <w:spacing w:line="360" w:lineRule="auto"/>
        <w:ind w:firstLineChars="200" w:firstLine="420"/>
        <w:rPr>
          <w:rFonts w:ascii="宋体" w:hAnsi="宋体"/>
          <w:b/>
          <w:bCs/>
          <w:sz w:val="24"/>
          <w:szCs w:val="21"/>
        </w:rPr>
      </w:pPr>
      <w:r>
        <w:rPr>
          <w:rFonts w:ascii="宋体" w:hAnsi="宋体" w:hint="eastAsia"/>
          <w:szCs w:val="21"/>
        </w:rPr>
        <w:t>★</w:t>
      </w:r>
      <w:r>
        <w:rPr>
          <w:rFonts w:ascii="宋体" w:hAnsi="宋体" w:hint="eastAsia"/>
          <w:b/>
          <w:bCs/>
          <w:sz w:val="24"/>
          <w:szCs w:val="21"/>
        </w:rPr>
        <w:t>清单列表中的器材数量和种类为本次公开招标初估，可能包含少量的变化或富余量，仅供投标方作投标时进行工作量测算的参考，结算以工程实际施工用量与所报单价为准。</w:t>
      </w:r>
    </w:p>
    <w:p w:rsidR="002427AB" w:rsidRDefault="00F17AC0">
      <w:pPr>
        <w:spacing w:line="360" w:lineRule="auto"/>
        <w:ind w:firstLineChars="200" w:firstLine="482"/>
        <w:rPr>
          <w:rFonts w:ascii="宋体" w:hAnsi="宋体"/>
          <w:b/>
          <w:bCs/>
          <w:sz w:val="24"/>
          <w:szCs w:val="21"/>
        </w:rPr>
      </w:pPr>
      <w:r>
        <w:rPr>
          <w:rFonts w:ascii="宋体" w:hAnsi="宋体" w:hint="eastAsia"/>
          <w:b/>
          <w:bCs/>
          <w:sz w:val="24"/>
          <w:szCs w:val="21"/>
        </w:rPr>
        <w:t>★搬迁项目在中标后，</w:t>
      </w:r>
      <w:r>
        <w:rPr>
          <w:rFonts w:ascii="宋体" w:hAnsi="宋体"/>
          <w:b/>
          <w:bCs/>
          <w:sz w:val="24"/>
          <w:szCs w:val="21"/>
        </w:rPr>
        <w:t>60</w:t>
      </w:r>
      <w:r>
        <w:rPr>
          <w:rFonts w:ascii="宋体" w:hAnsi="宋体" w:hint="eastAsia"/>
          <w:b/>
          <w:bCs/>
          <w:sz w:val="24"/>
          <w:szCs w:val="21"/>
        </w:rPr>
        <w:t>天内完成摸底，</w:t>
      </w:r>
      <w:r>
        <w:rPr>
          <w:rFonts w:ascii="宋体" w:hAnsi="宋体"/>
          <w:b/>
          <w:bCs/>
          <w:sz w:val="24"/>
          <w:szCs w:val="21"/>
        </w:rPr>
        <w:t>30</w:t>
      </w:r>
      <w:r>
        <w:rPr>
          <w:rFonts w:ascii="宋体" w:hAnsi="宋体" w:hint="eastAsia"/>
          <w:b/>
          <w:bCs/>
          <w:sz w:val="24"/>
          <w:szCs w:val="21"/>
        </w:rPr>
        <w:t>日历天内完成项目交付。</w:t>
      </w:r>
    </w:p>
    <w:p w:rsidR="002427AB" w:rsidRDefault="00F17AC0">
      <w:pPr>
        <w:pStyle w:val="00"/>
        <w:ind w:firstLine="480"/>
        <w:rPr>
          <w:rFonts w:ascii="宋体" w:hAnsi="宋体"/>
        </w:rPr>
      </w:pPr>
      <w:r>
        <w:rPr>
          <w:rFonts w:ascii="宋体" w:hAnsi="宋体"/>
        </w:rPr>
        <w:t>1.</w:t>
      </w:r>
      <w:r>
        <w:rPr>
          <w:rFonts w:ascii="宋体" w:hAnsi="宋体" w:hint="eastAsia"/>
        </w:rPr>
        <w:t>3  项目地点：南通，具体由招标人指定</w:t>
      </w:r>
    </w:p>
    <w:p w:rsidR="002427AB" w:rsidRDefault="00F17AC0">
      <w:pPr>
        <w:pStyle w:val="00"/>
        <w:ind w:firstLine="480"/>
        <w:rPr>
          <w:rFonts w:ascii="宋体" w:hAnsi="宋体"/>
        </w:rPr>
      </w:pPr>
      <w:r>
        <w:rPr>
          <w:rFonts w:ascii="宋体" w:hAnsi="宋体" w:hint="eastAsia"/>
        </w:rPr>
        <w:t>1.4  质保期：机房搬迁免费保修一年。保修期自甲、乙双方在竣工证书上签字之日算起。精密直流电源及列柜免费保修期为5年。</w:t>
      </w:r>
    </w:p>
    <w:p w:rsidR="002427AB" w:rsidRDefault="00F17AC0" w:rsidP="006A40E5">
      <w:pPr>
        <w:pStyle w:val="ListParagraph1"/>
        <w:tabs>
          <w:tab w:val="left" w:pos="630"/>
        </w:tabs>
        <w:autoSpaceDE w:val="0"/>
        <w:autoSpaceDN w:val="0"/>
        <w:adjustRightInd w:val="0"/>
        <w:spacing w:line="360" w:lineRule="auto"/>
        <w:ind w:firstLineChars="199" w:firstLine="478"/>
        <w:rPr>
          <w:rFonts w:ascii="宋体" w:hAnsi="宋体"/>
          <w:sz w:val="24"/>
          <w:szCs w:val="21"/>
        </w:rPr>
      </w:pPr>
      <w:bookmarkStart w:id="10" w:name="_Toc319769473"/>
      <w:bookmarkStart w:id="11" w:name="_Toc319394714"/>
      <w:bookmarkStart w:id="12" w:name="_Toc184704555"/>
      <w:r>
        <w:rPr>
          <w:rFonts w:ascii="宋体" w:hAnsi="宋体" w:hint="eastAsia"/>
          <w:sz w:val="24"/>
          <w:szCs w:val="21"/>
        </w:rPr>
        <w:t>1.5  本项目设置最高投标限价</w:t>
      </w:r>
      <w:r>
        <w:rPr>
          <w:rFonts w:ascii="宋体" w:hAnsi="宋体"/>
          <w:sz w:val="24"/>
          <w:szCs w:val="21"/>
        </w:rPr>
        <w:t>12</w:t>
      </w:r>
      <w:r>
        <w:rPr>
          <w:rFonts w:ascii="宋体" w:hAnsi="宋体" w:hint="eastAsia"/>
          <w:sz w:val="24"/>
          <w:szCs w:val="21"/>
        </w:rPr>
        <w:t>0万元（含税）；最终报价超过最高限价的为无效投标文件。</w:t>
      </w:r>
    </w:p>
    <w:p w:rsidR="002427AB" w:rsidRDefault="002427AB">
      <w:pPr>
        <w:pStyle w:val="00"/>
        <w:ind w:firstLine="480"/>
        <w:rPr>
          <w:rFonts w:ascii="宋体" w:hAnsi="宋体"/>
          <w:shd w:val="pct10" w:color="auto" w:fill="FFFFFF"/>
        </w:rPr>
      </w:pPr>
    </w:p>
    <w:p w:rsidR="002427AB" w:rsidRDefault="00F17AC0">
      <w:pPr>
        <w:pStyle w:val="2"/>
        <w:spacing w:line="360" w:lineRule="auto"/>
        <w:rPr>
          <w:rFonts w:ascii="宋体" w:hAnsi="宋体"/>
          <w:b/>
          <w:sz w:val="24"/>
          <w:szCs w:val="28"/>
        </w:rPr>
      </w:pPr>
      <w:bookmarkStart w:id="13" w:name="_Toc7328"/>
      <w:bookmarkStart w:id="14" w:name="_Toc15306"/>
      <w:r>
        <w:rPr>
          <w:rFonts w:ascii="宋体" w:hAnsi="宋体" w:hint="eastAsia"/>
          <w:b/>
          <w:sz w:val="24"/>
          <w:szCs w:val="28"/>
        </w:rPr>
        <w:lastRenderedPageBreak/>
        <w:t>2.投标人资格要求</w:t>
      </w:r>
      <w:bookmarkStart w:id="15" w:name="_Toc319769474"/>
      <w:bookmarkStart w:id="16" w:name="_Toc184704556"/>
      <w:bookmarkStart w:id="17" w:name="_Toc319394715"/>
      <w:bookmarkEnd w:id="10"/>
      <w:bookmarkEnd w:id="11"/>
      <w:bookmarkEnd w:id="12"/>
      <w:bookmarkEnd w:id="13"/>
      <w:bookmarkEnd w:id="14"/>
    </w:p>
    <w:p w:rsidR="002427AB" w:rsidRDefault="00F17AC0">
      <w:pPr>
        <w:spacing w:line="360" w:lineRule="auto"/>
        <w:ind w:leftChars="202" w:left="424"/>
        <w:rPr>
          <w:rFonts w:ascii="宋体" w:hAnsi="宋体"/>
          <w:szCs w:val="21"/>
        </w:rPr>
      </w:pPr>
      <w:r>
        <w:rPr>
          <w:rFonts w:ascii="宋体" w:hAnsi="宋体" w:hint="eastAsia"/>
          <w:szCs w:val="21"/>
        </w:rPr>
        <w:t>★</w:t>
      </w:r>
      <w:r>
        <w:rPr>
          <w:rFonts w:ascii="宋体" w:hAnsi="宋体" w:hint="eastAsia"/>
          <w:bCs/>
          <w:szCs w:val="21"/>
        </w:rPr>
        <w:t>1.</w:t>
      </w:r>
      <w:r>
        <w:rPr>
          <w:rFonts w:ascii="宋体" w:hAnsi="宋体" w:hint="eastAsia"/>
          <w:szCs w:val="21"/>
        </w:rPr>
        <w:t>投标人应为中华人民共和国境内（不含香港、澳门、台湾地区）法律上和财务上独立的【法人或依法登记注册的组织】，合法运作并独立于招标人和招标代理机构。投标人应具有良好的银行资信和商业信誉。注册资本或开办资金应不低于【300</w:t>
      </w:r>
      <w:r>
        <w:rPr>
          <w:rFonts w:ascii="宋体" w:hAnsi="宋体"/>
          <w:szCs w:val="21"/>
        </w:rPr>
        <w:t>万元（含）】人民币（如注册资本或开办资金为其他外币的，按照投标文件递交截止之日</w:t>
      </w:r>
      <w:r>
        <w:rPr>
          <w:rFonts w:ascii="宋体" w:hAnsi="宋体" w:hint="eastAsia"/>
        </w:rPr>
        <w:t>中国银行公布的汇率中间价换算成人民币</w:t>
      </w:r>
      <w:r>
        <w:rPr>
          <w:rFonts w:ascii="宋体" w:hAnsi="宋体"/>
          <w:szCs w:val="21"/>
        </w:rPr>
        <w:t>）。</w:t>
      </w:r>
    </w:p>
    <w:p w:rsidR="002427AB" w:rsidRDefault="00F17AC0">
      <w:pPr>
        <w:tabs>
          <w:tab w:val="left" w:pos="993"/>
        </w:tabs>
        <w:spacing w:line="360" w:lineRule="auto"/>
        <w:ind w:left="426"/>
        <w:rPr>
          <w:rFonts w:ascii="宋体" w:hAnsi="宋体"/>
          <w:szCs w:val="21"/>
        </w:rPr>
      </w:pPr>
      <w:r>
        <w:rPr>
          <w:rFonts w:ascii="宋体" w:hAnsi="宋体" w:hint="eastAsia"/>
          <w:szCs w:val="21"/>
        </w:rPr>
        <w:t>★2.投标人的法定代表人或负责人为同一人或者存在控股、管理关系的不同投标人，不得参加同一标包投标或者未划分标包的同一招标项目投标。</w:t>
      </w:r>
    </w:p>
    <w:p w:rsidR="002427AB" w:rsidRDefault="00F17AC0">
      <w:pPr>
        <w:tabs>
          <w:tab w:val="left" w:pos="993"/>
        </w:tabs>
        <w:spacing w:line="360" w:lineRule="auto"/>
        <w:ind w:left="426"/>
        <w:rPr>
          <w:rFonts w:ascii="宋体" w:hAnsi="宋体"/>
          <w:szCs w:val="21"/>
        </w:rPr>
      </w:pPr>
      <w:r>
        <w:rPr>
          <w:rFonts w:ascii="宋体" w:hAnsi="宋体" w:hint="eastAsia"/>
          <w:szCs w:val="21"/>
        </w:rPr>
        <w:t>★3.投标人须提供一般纳税人证明文件复印件，原件备查或者承诺能够开具符合要求的增值税专用发票。</w:t>
      </w:r>
    </w:p>
    <w:p w:rsidR="002427AB" w:rsidRDefault="00F17AC0">
      <w:pPr>
        <w:spacing w:line="360" w:lineRule="auto"/>
        <w:ind w:firstLineChars="200" w:firstLine="420"/>
        <w:rPr>
          <w:rFonts w:ascii="宋体" w:hAnsi="宋体"/>
          <w:szCs w:val="21"/>
        </w:rPr>
      </w:pPr>
      <w:r>
        <w:rPr>
          <w:rFonts w:ascii="宋体" w:hAnsi="宋体" w:hint="eastAsia"/>
          <w:szCs w:val="21"/>
        </w:rPr>
        <w:t>★4.投标单位和项目经理均承担过机房搬迁项目，提供工程合同复印件和竣工验收报告，要求投标人</w:t>
      </w:r>
      <w:bookmarkStart w:id="18" w:name="_Hlk40283209"/>
      <w:r>
        <w:rPr>
          <w:rFonts w:ascii="宋体" w:hAnsi="宋体" w:hint="eastAsia"/>
          <w:szCs w:val="21"/>
        </w:rPr>
        <w:t>承担过不少于2个的类似工程，项目经理承担过不少于1个的类似工程</w:t>
      </w:r>
      <w:bookmarkEnd w:id="18"/>
      <w:r>
        <w:rPr>
          <w:rFonts w:ascii="宋体" w:hAnsi="宋体" w:hint="eastAsia"/>
          <w:szCs w:val="21"/>
        </w:rPr>
        <w:t>。</w:t>
      </w:r>
    </w:p>
    <w:p w:rsidR="002427AB" w:rsidRDefault="00F17AC0">
      <w:pPr>
        <w:pStyle w:val="a0"/>
        <w:ind w:firstLineChars="200" w:firstLine="480"/>
        <w:rPr>
          <w:rFonts w:ascii="宋体" w:hAnsi="宋体"/>
          <w:sz w:val="21"/>
          <w:szCs w:val="21"/>
        </w:rPr>
      </w:pPr>
      <w:bookmarkStart w:id="19" w:name="_Toc3510"/>
      <w:r>
        <w:rPr>
          <w:rFonts w:ascii="宋体" w:hAnsi="宋体" w:hint="eastAsia"/>
          <w:sz w:val="24"/>
          <w:szCs w:val="24"/>
        </w:rPr>
        <w:t>★</w:t>
      </w:r>
      <w:r>
        <w:rPr>
          <w:rFonts w:ascii="宋体" w:hAnsi="宋体" w:hint="eastAsia"/>
          <w:sz w:val="21"/>
          <w:szCs w:val="21"/>
        </w:rPr>
        <w:t>5.本项目不接受联合体投标。</w:t>
      </w:r>
    </w:p>
    <w:p w:rsidR="002427AB" w:rsidRDefault="00F17AC0">
      <w:pPr>
        <w:pStyle w:val="2"/>
        <w:spacing w:line="360" w:lineRule="auto"/>
        <w:rPr>
          <w:rFonts w:ascii="宋体" w:hAnsi="宋体"/>
          <w:b/>
          <w:sz w:val="24"/>
          <w:szCs w:val="28"/>
        </w:rPr>
      </w:pPr>
      <w:bookmarkStart w:id="20" w:name="_Toc11564"/>
      <w:r>
        <w:rPr>
          <w:rFonts w:ascii="宋体" w:hAnsi="宋体" w:hint="eastAsia"/>
          <w:b/>
          <w:sz w:val="24"/>
          <w:szCs w:val="28"/>
        </w:rPr>
        <w:t>3.资格审查方法</w:t>
      </w:r>
      <w:bookmarkEnd w:id="15"/>
      <w:bookmarkEnd w:id="16"/>
      <w:bookmarkEnd w:id="17"/>
      <w:bookmarkEnd w:id="19"/>
      <w:bookmarkEnd w:id="20"/>
    </w:p>
    <w:p w:rsidR="002427AB" w:rsidRDefault="00F17AC0">
      <w:pPr>
        <w:pStyle w:val="00"/>
        <w:ind w:firstLine="480"/>
        <w:rPr>
          <w:rFonts w:ascii="宋体" w:hAnsi="宋体"/>
        </w:rPr>
      </w:pPr>
      <w:r>
        <w:rPr>
          <w:rFonts w:ascii="宋体" w:hAnsi="宋体" w:hint="eastAsia"/>
        </w:rPr>
        <w:t>本项目将进行资格后审，资格审查标准和内容见招标文件第三章“评标办法”，凡未通过资格后审的投标人，其投标将被否决。</w:t>
      </w:r>
    </w:p>
    <w:p w:rsidR="002427AB" w:rsidRDefault="00F17AC0">
      <w:pPr>
        <w:pStyle w:val="2"/>
        <w:spacing w:line="360" w:lineRule="auto"/>
        <w:rPr>
          <w:rFonts w:ascii="宋体" w:hAnsi="宋体"/>
          <w:b/>
          <w:sz w:val="24"/>
          <w:szCs w:val="28"/>
        </w:rPr>
      </w:pPr>
      <w:bookmarkStart w:id="21" w:name="_Toc184704557"/>
      <w:bookmarkStart w:id="22" w:name="_Toc319394716"/>
      <w:bookmarkStart w:id="23" w:name="_Toc319769475"/>
      <w:bookmarkStart w:id="24" w:name="_Toc2211"/>
      <w:bookmarkStart w:id="25" w:name="_Toc855"/>
      <w:r>
        <w:rPr>
          <w:rFonts w:ascii="宋体" w:hAnsi="宋体" w:hint="eastAsia"/>
          <w:b/>
          <w:sz w:val="24"/>
          <w:szCs w:val="28"/>
        </w:rPr>
        <w:t>4.招标文件的获取</w:t>
      </w:r>
      <w:bookmarkEnd w:id="21"/>
      <w:bookmarkEnd w:id="22"/>
      <w:bookmarkEnd w:id="23"/>
      <w:bookmarkEnd w:id="24"/>
      <w:bookmarkEnd w:id="25"/>
    </w:p>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4.1招标文件获取时间：【</w:t>
      </w:r>
      <w:r>
        <w:rPr>
          <w:rFonts w:ascii="宋体" w:hAnsi="宋体" w:cs="宋体" w:hint="eastAsia"/>
          <w:kern w:val="0"/>
          <w:szCs w:val="21"/>
          <w:highlight w:val="green"/>
        </w:rPr>
        <w:t>2020年</w:t>
      </w:r>
      <w:r>
        <w:rPr>
          <w:rFonts w:ascii="宋体" w:hAnsi="宋体" w:cs="宋体"/>
          <w:kern w:val="0"/>
          <w:szCs w:val="21"/>
          <w:highlight w:val="green"/>
        </w:rPr>
        <w:t>5</w:t>
      </w:r>
      <w:r>
        <w:rPr>
          <w:rFonts w:ascii="宋体" w:hAnsi="宋体" w:cs="宋体" w:hint="eastAsia"/>
          <w:kern w:val="0"/>
          <w:szCs w:val="21"/>
          <w:highlight w:val="green"/>
        </w:rPr>
        <w:t>月26日至2020年6月1日</w:t>
      </w:r>
      <w:r>
        <w:rPr>
          <w:rFonts w:ascii="宋体" w:hAnsi="宋体" w:cs="宋体" w:hint="eastAsia"/>
          <w:kern w:val="0"/>
          <w:szCs w:val="21"/>
        </w:rPr>
        <w:t>】（北京时间，下同）。</w:t>
      </w:r>
    </w:p>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4.2招标文件获取方式：潜在投标人应委托经办人将以下文件发送至邮箱：jlchengt@163.com</w:t>
      </w:r>
    </w:p>
    <w:p w:rsidR="002427AB" w:rsidRDefault="00F17AC0">
      <w:pPr>
        <w:numPr>
          <w:ilvl w:val="0"/>
          <w:numId w:val="1"/>
        </w:numPr>
        <w:spacing w:line="360" w:lineRule="auto"/>
        <w:ind w:firstLineChars="200" w:firstLine="420"/>
        <w:rPr>
          <w:rFonts w:ascii="宋体" w:hAnsi="宋体" w:cs="宋体"/>
          <w:kern w:val="0"/>
          <w:szCs w:val="21"/>
        </w:rPr>
      </w:pPr>
      <w:r>
        <w:rPr>
          <w:rFonts w:ascii="宋体" w:hAnsi="宋体" w:cs="宋体" w:hint="eastAsia"/>
          <w:kern w:val="0"/>
          <w:szCs w:val="21"/>
        </w:rPr>
        <w:t xml:space="preserve"> 授权人委托书</w:t>
      </w:r>
    </w:p>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(2)  经办人身份证复印件；</w:t>
      </w:r>
    </w:p>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(3)  银行汇款凭证；</w:t>
      </w:r>
    </w:p>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(4)【税务信息表，格式如下：】</w:t>
      </w:r>
    </w:p>
    <w:tbl>
      <w:tblPr>
        <w:tblW w:w="9854" w:type="dxa"/>
        <w:tblLayout w:type="fixed"/>
        <w:tblLook w:val="04A0"/>
      </w:tblPr>
      <w:tblGrid>
        <w:gridCol w:w="1275"/>
        <w:gridCol w:w="4800"/>
        <w:gridCol w:w="3779"/>
      </w:tblGrid>
      <w:tr w:rsidR="002427AB">
        <w:trPr>
          <w:trHeight w:val="270"/>
        </w:trPr>
        <w:tc>
          <w:tcPr>
            <w:tcW w:w="1275" w:type="dxa"/>
            <w:tcBorders>
              <w:top w:val="single" w:sz="4" w:space="0" w:color="auto"/>
              <w:left w:val="single" w:sz="4" w:space="0" w:color="auto"/>
              <w:bottom w:val="single" w:sz="4" w:space="0" w:color="auto"/>
              <w:right w:val="single" w:sz="4" w:space="0" w:color="auto"/>
            </w:tcBorders>
            <w:vAlign w:val="bottom"/>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序号</w:t>
            </w:r>
          </w:p>
        </w:tc>
        <w:tc>
          <w:tcPr>
            <w:tcW w:w="4800" w:type="dxa"/>
            <w:tcBorders>
              <w:top w:val="single" w:sz="4" w:space="0" w:color="auto"/>
              <w:left w:val="nil"/>
              <w:bottom w:val="single" w:sz="4" w:space="0" w:color="auto"/>
              <w:right w:val="single" w:sz="4" w:space="0" w:color="auto"/>
            </w:tcBorders>
            <w:vAlign w:val="bottom"/>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类别</w:t>
            </w:r>
          </w:p>
        </w:tc>
        <w:tc>
          <w:tcPr>
            <w:tcW w:w="3779" w:type="dxa"/>
            <w:tcBorders>
              <w:top w:val="single" w:sz="4" w:space="0" w:color="auto"/>
              <w:left w:val="nil"/>
              <w:bottom w:val="single" w:sz="4" w:space="0" w:color="auto"/>
              <w:right w:val="single" w:sz="4" w:space="0" w:color="auto"/>
            </w:tcBorders>
            <w:vAlign w:val="bottom"/>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信息</w:t>
            </w: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1</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潜在投标人名称</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2</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纳税人识别号（开票所需信息）</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3</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潜在投标人注册地址</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4</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潜在投标人联系电话（固话）</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5</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开户银行</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lastRenderedPageBreak/>
              <w:t>6</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银行账号</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7</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组织机构代码（如有）</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8</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是否为一般纳税人</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9</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开票类型（增值税普通发票/增值税专用发票）</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10</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发票邮寄地址</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1275" w:type="dxa"/>
            <w:tcBorders>
              <w:top w:val="nil"/>
              <w:left w:val="single" w:sz="4" w:space="0" w:color="auto"/>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11</w:t>
            </w:r>
          </w:p>
        </w:tc>
        <w:tc>
          <w:tcPr>
            <w:tcW w:w="4800" w:type="dxa"/>
            <w:tcBorders>
              <w:top w:val="nil"/>
              <w:left w:val="nil"/>
              <w:bottom w:val="single" w:sz="4" w:space="0" w:color="auto"/>
              <w:right w:val="single" w:sz="4" w:space="0" w:color="auto"/>
            </w:tcBorders>
            <w:vAlign w:val="center"/>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发票邮寄联系人，电话</w:t>
            </w:r>
          </w:p>
        </w:tc>
        <w:tc>
          <w:tcPr>
            <w:tcW w:w="3779" w:type="dxa"/>
            <w:tcBorders>
              <w:top w:val="nil"/>
              <w:left w:val="nil"/>
              <w:bottom w:val="single" w:sz="4" w:space="0" w:color="auto"/>
              <w:right w:val="single" w:sz="4" w:space="0" w:color="auto"/>
            </w:tcBorders>
            <w:vAlign w:val="center"/>
          </w:tcPr>
          <w:p w:rsidR="002427AB" w:rsidRDefault="002427AB">
            <w:pPr>
              <w:spacing w:line="360" w:lineRule="auto"/>
              <w:ind w:firstLineChars="200" w:firstLine="420"/>
              <w:rPr>
                <w:rFonts w:ascii="宋体" w:hAnsi="宋体" w:cs="宋体"/>
                <w:kern w:val="0"/>
                <w:szCs w:val="21"/>
              </w:rPr>
            </w:pPr>
          </w:p>
        </w:tc>
      </w:tr>
      <w:tr w:rsidR="002427AB">
        <w:trPr>
          <w:trHeight w:val="270"/>
        </w:trPr>
        <w:tc>
          <w:tcPr>
            <w:tcW w:w="9854" w:type="dxa"/>
            <w:gridSpan w:val="3"/>
            <w:tcBorders>
              <w:top w:val="single" w:sz="4" w:space="0" w:color="auto"/>
              <w:left w:val="single" w:sz="4" w:space="0" w:color="auto"/>
              <w:bottom w:val="single" w:sz="4" w:space="0" w:color="auto"/>
              <w:right w:val="single" w:sz="4" w:space="0" w:color="auto"/>
            </w:tcBorders>
            <w:vAlign w:val="bottom"/>
          </w:tcPr>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三证合一的单位需提供以下复印件：1、营业执照；2、开户许可证。</w:t>
            </w:r>
          </w:p>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非三证合一的单位需提供以下复印件：1、税务登记证副本复印件（须含增值税一般纳税人章）；2、开户许可证；3、组织机构代码证。</w:t>
            </w:r>
          </w:p>
          <w:p w:rsidR="002427AB" w:rsidRDefault="00F17AC0">
            <w:pPr>
              <w:spacing w:line="360" w:lineRule="auto"/>
              <w:ind w:firstLineChars="200" w:firstLine="420"/>
              <w:rPr>
                <w:rFonts w:ascii="宋体" w:hAnsi="宋体" w:cs="宋体"/>
                <w:kern w:val="0"/>
                <w:szCs w:val="21"/>
              </w:rPr>
            </w:pPr>
            <w:r>
              <w:rPr>
                <w:rFonts w:ascii="宋体" w:hAnsi="宋体" w:cs="宋体" w:hint="eastAsia"/>
                <w:kern w:val="0"/>
                <w:szCs w:val="21"/>
              </w:rPr>
              <w:t>注：本表为【招标人/招标代理机构】为投标人开具购买招标文件发票时所需信息。如因投标人提供税务信息错误而导致的开票错误所造成的全部损失由投标人承担。</w:t>
            </w:r>
          </w:p>
        </w:tc>
      </w:tr>
    </w:tbl>
    <w:p w:rsidR="002427AB" w:rsidRDefault="00F17AC0">
      <w:pPr>
        <w:spacing w:line="360" w:lineRule="auto"/>
        <w:ind w:firstLineChars="200" w:firstLine="420"/>
        <w:rPr>
          <w:rFonts w:ascii="宋体" w:hAnsi="宋体"/>
          <w:szCs w:val="21"/>
        </w:rPr>
      </w:pPr>
      <w:r>
        <w:rPr>
          <w:rFonts w:ascii="宋体" w:hAnsi="宋体" w:cs="宋体" w:hint="eastAsia"/>
          <w:kern w:val="0"/>
          <w:szCs w:val="21"/>
        </w:rPr>
        <w:t>4.3招标文件售价【500】元人民币，售后不退。交纳方式：采用银行电汇、网银汇款的方式汇款至招标代理机构指定银行账户，银行电汇、网银汇款的均须使用单位账户（账户名称须与投标人的单位名称一致），需备注：程先生标书费。</w:t>
      </w:r>
    </w:p>
    <w:p w:rsidR="002427AB" w:rsidRDefault="00F17AC0">
      <w:pPr>
        <w:pStyle w:val="2"/>
        <w:spacing w:line="360" w:lineRule="auto"/>
        <w:rPr>
          <w:rFonts w:ascii="宋体" w:hAnsi="宋体"/>
          <w:b/>
          <w:sz w:val="24"/>
          <w:szCs w:val="28"/>
        </w:rPr>
      </w:pPr>
      <w:bookmarkStart w:id="26" w:name="_Toc8576"/>
      <w:bookmarkStart w:id="27" w:name="_Toc30286"/>
      <w:r>
        <w:rPr>
          <w:rFonts w:ascii="宋体" w:hAnsi="宋体" w:hint="eastAsia"/>
          <w:b/>
          <w:sz w:val="24"/>
          <w:szCs w:val="28"/>
        </w:rPr>
        <w:t>5.投标文件的递交</w:t>
      </w:r>
      <w:bookmarkEnd w:id="26"/>
      <w:bookmarkEnd w:id="27"/>
    </w:p>
    <w:p w:rsidR="002427AB" w:rsidRDefault="00F17AC0">
      <w:pPr>
        <w:pStyle w:val="a6"/>
        <w:adjustRightInd w:val="0"/>
        <w:snapToGrid w:val="0"/>
        <w:spacing w:line="440" w:lineRule="exact"/>
        <w:rPr>
          <w:rFonts w:ascii="宋体" w:hAnsi="宋体" w:cs="宋体"/>
          <w:kern w:val="0"/>
          <w:szCs w:val="21"/>
        </w:rPr>
      </w:pPr>
      <w:r>
        <w:rPr>
          <w:rFonts w:ascii="宋体" w:hAnsi="宋体" w:cs="宋体" w:hint="eastAsia"/>
          <w:kern w:val="0"/>
          <w:szCs w:val="21"/>
        </w:rPr>
        <w:t>5.1投标文件递交截止时间（即投标截止时间）：</w:t>
      </w:r>
      <w:r>
        <w:rPr>
          <w:rFonts w:ascii="宋体" w:hAnsi="宋体" w:cs="宋体" w:hint="eastAsia"/>
          <w:kern w:val="0"/>
          <w:szCs w:val="21"/>
          <w:highlight w:val="green"/>
        </w:rPr>
        <w:t>2020年6月17日 9 时</w:t>
      </w:r>
      <w:r w:rsidR="002F6FF2">
        <w:rPr>
          <w:rFonts w:ascii="宋体" w:hAnsi="宋体" w:cs="宋体" w:hint="eastAsia"/>
          <w:kern w:val="0"/>
          <w:szCs w:val="21"/>
          <w:highlight w:val="green"/>
        </w:rPr>
        <w:t>3</w:t>
      </w:r>
      <w:r>
        <w:rPr>
          <w:rFonts w:ascii="宋体" w:hAnsi="宋体" w:cs="宋体" w:hint="eastAsia"/>
          <w:kern w:val="0"/>
          <w:szCs w:val="21"/>
          <w:highlight w:val="green"/>
        </w:rPr>
        <w:t>0分</w:t>
      </w:r>
      <w:r>
        <w:rPr>
          <w:rFonts w:ascii="宋体" w:hAnsi="宋体" w:cs="宋体" w:hint="eastAsia"/>
          <w:kern w:val="0"/>
          <w:szCs w:val="21"/>
        </w:rPr>
        <w:t>（北京时间）。</w:t>
      </w:r>
    </w:p>
    <w:p w:rsidR="002427AB" w:rsidRDefault="00F17AC0">
      <w:pPr>
        <w:pStyle w:val="a6"/>
        <w:adjustRightInd w:val="0"/>
        <w:snapToGrid w:val="0"/>
        <w:spacing w:line="440" w:lineRule="exact"/>
        <w:rPr>
          <w:rFonts w:ascii="宋体" w:hAnsi="宋体" w:cs="宋体"/>
          <w:kern w:val="0"/>
          <w:szCs w:val="21"/>
        </w:rPr>
      </w:pPr>
      <w:r>
        <w:rPr>
          <w:rFonts w:ascii="宋体" w:hAnsi="宋体" w:cs="宋体" w:hint="eastAsia"/>
          <w:kern w:val="0"/>
          <w:szCs w:val="21"/>
        </w:rPr>
        <w:t>5.2投标文件递交地点：中广有线南通分公司3号楼402室（南通市开发区复兴路9号） 。</w:t>
      </w:r>
    </w:p>
    <w:p w:rsidR="002427AB" w:rsidRDefault="00F17AC0">
      <w:pPr>
        <w:pStyle w:val="a6"/>
        <w:adjustRightInd w:val="0"/>
        <w:snapToGrid w:val="0"/>
        <w:spacing w:line="440" w:lineRule="exact"/>
        <w:rPr>
          <w:rFonts w:ascii="宋体" w:hAnsi="宋体" w:cs="宋体"/>
          <w:kern w:val="0"/>
          <w:szCs w:val="21"/>
        </w:rPr>
      </w:pPr>
      <w:r>
        <w:rPr>
          <w:rFonts w:ascii="宋体" w:hAnsi="宋体" w:cs="宋体" w:hint="eastAsia"/>
          <w:kern w:val="0"/>
          <w:szCs w:val="21"/>
        </w:rPr>
        <w:t>5.3本项目将于上述同一时间、地点进行唱价，【招标人/招标代理机构】邀请投标人的法定代表人或者其委托代理人准时参加。</w:t>
      </w:r>
    </w:p>
    <w:p w:rsidR="002427AB" w:rsidRDefault="00F17AC0">
      <w:pPr>
        <w:pStyle w:val="a6"/>
        <w:adjustRightInd w:val="0"/>
        <w:snapToGrid w:val="0"/>
        <w:spacing w:line="440" w:lineRule="exact"/>
        <w:rPr>
          <w:rFonts w:ascii="宋体" w:hAnsi="宋体" w:cs="宋体"/>
          <w:kern w:val="0"/>
          <w:szCs w:val="21"/>
        </w:rPr>
      </w:pPr>
      <w:r>
        <w:rPr>
          <w:rFonts w:ascii="宋体" w:hAnsi="宋体" w:cs="宋体" w:hint="eastAsia"/>
          <w:kern w:val="0"/>
          <w:szCs w:val="21"/>
        </w:rPr>
        <w:t>5.4出现以下情形时，【招标人/招标代理机构】不予接收投标文件：</w:t>
      </w:r>
    </w:p>
    <w:p w:rsidR="002427AB" w:rsidRDefault="00F17AC0">
      <w:pPr>
        <w:pStyle w:val="a6"/>
        <w:adjustRightInd w:val="0"/>
        <w:snapToGrid w:val="0"/>
        <w:spacing w:line="440" w:lineRule="exact"/>
        <w:rPr>
          <w:rFonts w:ascii="宋体" w:hAnsi="宋体" w:cs="宋体"/>
          <w:kern w:val="0"/>
          <w:szCs w:val="21"/>
        </w:rPr>
      </w:pPr>
      <w:r>
        <w:rPr>
          <w:rFonts w:ascii="宋体" w:hAnsi="宋体" w:cs="宋体" w:hint="eastAsia"/>
          <w:kern w:val="0"/>
          <w:szCs w:val="21"/>
        </w:rPr>
        <w:t>5.4.1逾期送达或者未送达指定地点的；</w:t>
      </w:r>
    </w:p>
    <w:p w:rsidR="002427AB" w:rsidRDefault="00F17AC0">
      <w:pPr>
        <w:pStyle w:val="a6"/>
        <w:adjustRightInd w:val="0"/>
        <w:snapToGrid w:val="0"/>
        <w:spacing w:line="440" w:lineRule="exact"/>
        <w:rPr>
          <w:rFonts w:ascii="宋体" w:hAnsi="宋体" w:cs="宋体"/>
          <w:kern w:val="0"/>
          <w:szCs w:val="21"/>
        </w:rPr>
      </w:pPr>
      <w:r>
        <w:rPr>
          <w:rFonts w:ascii="宋体" w:hAnsi="宋体" w:cs="宋体" w:hint="eastAsia"/>
          <w:kern w:val="0"/>
          <w:szCs w:val="21"/>
        </w:rPr>
        <w:t>5.4.2未按照招标文件要求密封的；</w:t>
      </w:r>
    </w:p>
    <w:p w:rsidR="002427AB" w:rsidRDefault="00F17AC0">
      <w:pPr>
        <w:pStyle w:val="a6"/>
        <w:adjustRightInd w:val="0"/>
        <w:snapToGrid w:val="0"/>
        <w:spacing w:line="440" w:lineRule="exact"/>
        <w:rPr>
          <w:rFonts w:ascii="宋体" w:hAnsi="宋体" w:cs="宋体"/>
          <w:kern w:val="0"/>
          <w:szCs w:val="21"/>
        </w:rPr>
      </w:pPr>
      <w:r>
        <w:rPr>
          <w:rFonts w:ascii="宋体" w:hAnsi="宋体" w:cs="宋体" w:hint="eastAsia"/>
          <w:kern w:val="0"/>
          <w:szCs w:val="21"/>
        </w:rPr>
        <w:t>5.4.3未按照本招标公告要求获得本项目招标文件的。</w:t>
      </w:r>
    </w:p>
    <w:p w:rsidR="002427AB" w:rsidRDefault="00F17AC0">
      <w:pPr>
        <w:pStyle w:val="2"/>
        <w:spacing w:line="360" w:lineRule="auto"/>
        <w:rPr>
          <w:rFonts w:ascii="宋体" w:hAnsi="宋体"/>
          <w:b/>
          <w:sz w:val="24"/>
          <w:szCs w:val="28"/>
        </w:rPr>
      </w:pPr>
      <w:bookmarkStart w:id="28" w:name="_Toc8111"/>
      <w:bookmarkStart w:id="29" w:name="_Toc7539"/>
      <w:r>
        <w:rPr>
          <w:rFonts w:ascii="宋体" w:hAnsi="宋体" w:hint="eastAsia"/>
          <w:b/>
          <w:sz w:val="24"/>
          <w:szCs w:val="28"/>
        </w:rPr>
        <w:t>6.样品的递交</w:t>
      </w:r>
      <w:bookmarkEnd w:id="28"/>
      <w:bookmarkEnd w:id="29"/>
    </w:p>
    <w:p w:rsidR="002427AB" w:rsidRDefault="00F17AC0">
      <w:pPr>
        <w:pStyle w:val="00"/>
        <w:ind w:firstLine="480"/>
        <w:rPr>
          <w:rFonts w:ascii="宋体" w:hAnsi="宋体"/>
        </w:rPr>
      </w:pPr>
      <w:r>
        <w:rPr>
          <w:rFonts w:ascii="宋体" w:hAnsi="宋体" w:hint="eastAsia"/>
        </w:rPr>
        <w:t>6.1  样品递交的时间、地点：/。</w:t>
      </w:r>
    </w:p>
    <w:p w:rsidR="002427AB" w:rsidRDefault="00F17AC0">
      <w:pPr>
        <w:pStyle w:val="00"/>
        <w:ind w:firstLine="480"/>
        <w:rPr>
          <w:rFonts w:ascii="宋体" w:hAnsi="宋体"/>
        </w:rPr>
      </w:pPr>
      <w:r>
        <w:rPr>
          <w:rFonts w:ascii="宋体" w:hAnsi="宋体" w:hint="eastAsia"/>
        </w:rPr>
        <w:t>6.2  检测相关费用：/。</w:t>
      </w:r>
    </w:p>
    <w:p w:rsidR="002427AB" w:rsidRDefault="00F17AC0">
      <w:pPr>
        <w:pStyle w:val="2"/>
        <w:spacing w:line="360" w:lineRule="auto"/>
        <w:rPr>
          <w:rFonts w:ascii="宋体" w:hAnsi="宋体"/>
          <w:b/>
          <w:sz w:val="24"/>
          <w:szCs w:val="28"/>
        </w:rPr>
      </w:pPr>
      <w:bookmarkStart w:id="30" w:name="_Toc27564"/>
      <w:bookmarkStart w:id="31" w:name="_Toc13486"/>
      <w:r>
        <w:rPr>
          <w:rFonts w:ascii="宋体" w:hAnsi="宋体" w:hint="eastAsia"/>
          <w:b/>
          <w:sz w:val="24"/>
          <w:szCs w:val="28"/>
        </w:rPr>
        <w:t>7.发布公告的媒介</w:t>
      </w:r>
      <w:bookmarkEnd w:id="30"/>
      <w:bookmarkEnd w:id="31"/>
    </w:p>
    <w:p w:rsidR="002427AB" w:rsidRDefault="00F17AC0">
      <w:pPr>
        <w:pStyle w:val="00"/>
        <w:ind w:firstLine="480"/>
        <w:rPr>
          <w:rFonts w:ascii="宋体" w:hAnsi="宋体"/>
        </w:rPr>
      </w:pPr>
      <w:r>
        <w:rPr>
          <w:rFonts w:ascii="宋体" w:hAnsi="宋体" w:hint="eastAsia"/>
        </w:rPr>
        <w:t>本招标公告www.jscnnet.com /nt/(江苏有线南通分公司)上发布，其他媒介转载无效。</w:t>
      </w:r>
    </w:p>
    <w:p w:rsidR="002427AB" w:rsidRDefault="00F17AC0">
      <w:pPr>
        <w:pStyle w:val="2"/>
        <w:spacing w:line="360" w:lineRule="auto"/>
        <w:rPr>
          <w:rFonts w:ascii="宋体" w:hAnsi="宋体"/>
          <w:b/>
          <w:sz w:val="24"/>
          <w:szCs w:val="28"/>
        </w:rPr>
      </w:pPr>
      <w:bookmarkStart w:id="32" w:name="_Toc14774"/>
      <w:bookmarkStart w:id="33" w:name="_Toc14975"/>
      <w:r>
        <w:rPr>
          <w:rFonts w:ascii="宋体" w:hAnsi="宋体" w:hint="eastAsia"/>
          <w:b/>
          <w:sz w:val="24"/>
          <w:szCs w:val="28"/>
        </w:rPr>
        <w:lastRenderedPageBreak/>
        <w:t>8.联系方式</w:t>
      </w:r>
      <w:bookmarkEnd w:id="32"/>
      <w:bookmarkEnd w:id="33"/>
    </w:p>
    <w:p w:rsidR="002427AB" w:rsidRDefault="00F17AC0">
      <w:pPr>
        <w:adjustRightInd w:val="0"/>
        <w:snapToGrid w:val="0"/>
        <w:spacing w:line="360" w:lineRule="auto"/>
        <w:ind w:leftChars="200" w:left="420"/>
        <w:rPr>
          <w:rFonts w:ascii="宋体" w:hAnsi="宋体"/>
          <w:szCs w:val="21"/>
          <w:u w:val="single"/>
        </w:rPr>
      </w:pPr>
      <w:bookmarkStart w:id="34" w:name="_Toc475117908"/>
      <w:bookmarkStart w:id="35" w:name="_Toc472689483"/>
      <w:r>
        <w:rPr>
          <w:rFonts w:ascii="宋体" w:hAnsi="宋体" w:hint="eastAsia"/>
          <w:szCs w:val="21"/>
        </w:rPr>
        <w:t>招   标   人：</w:t>
      </w:r>
      <w:r>
        <w:rPr>
          <w:rFonts w:ascii="宋体" w:hAnsi="宋体" w:hint="eastAsia"/>
          <w:u w:val="single"/>
        </w:rPr>
        <w:t>中广有线信息网络有限公司南通分公司</w:t>
      </w:r>
    </w:p>
    <w:p w:rsidR="002427AB" w:rsidRDefault="00F17AC0">
      <w:pPr>
        <w:adjustRightInd w:val="0"/>
        <w:snapToGrid w:val="0"/>
        <w:spacing w:line="360" w:lineRule="auto"/>
        <w:ind w:leftChars="200" w:left="420"/>
        <w:rPr>
          <w:rFonts w:ascii="宋体" w:hAnsi="宋体"/>
          <w:szCs w:val="21"/>
        </w:rPr>
      </w:pPr>
      <w:r>
        <w:rPr>
          <w:rFonts w:ascii="宋体" w:hAnsi="宋体" w:hint="eastAsia"/>
          <w:szCs w:val="21"/>
        </w:rPr>
        <w:t>招标代理机构：</w:t>
      </w:r>
      <w:r>
        <w:rPr>
          <w:rFonts w:ascii="宋体" w:hAnsi="宋体" w:hint="eastAsia"/>
          <w:szCs w:val="21"/>
          <w:u w:val="single"/>
        </w:rPr>
        <w:t xml:space="preserve">中邮通建设咨询有限公司 </w:t>
      </w:r>
    </w:p>
    <w:p w:rsidR="002427AB" w:rsidRDefault="00F17AC0">
      <w:pPr>
        <w:adjustRightInd w:val="0"/>
        <w:snapToGrid w:val="0"/>
        <w:spacing w:line="360" w:lineRule="auto"/>
        <w:ind w:leftChars="200" w:left="420"/>
        <w:rPr>
          <w:rFonts w:ascii="宋体" w:hAnsi="宋体"/>
          <w:szCs w:val="21"/>
          <w:u w:val="single"/>
        </w:rPr>
      </w:pPr>
      <w:r>
        <w:rPr>
          <w:rFonts w:ascii="宋体" w:hAnsi="宋体" w:hint="eastAsia"/>
          <w:szCs w:val="21"/>
        </w:rPr>
        <w:t>项 目 联系人：</w:t>
      </w:r>
      <w:r>
        <w:rPr>
          <w:rFonts w:ascii="宋体" w:hAnsi="宋体" w:hint="eastAsia"/>
          <w:szCs w:val="21"/>
          <w:u w:val="single"/>
        </w:rPr>
        <w:t xml:space="preserve"> 程仝</w:t>
      </w:r>
    </w:p>
    <w:p w:rsidR="002427AB" w:rsidRDefault="00F17AC0">
      <w:pPr>
        <w:adjustRightInd w:val="0"/>
        <w:snapToGrid w:val="0"/>
        <w:spacing w:line="360" w:lineRule="auto"/>
        <w:ind w:leftChars="200" w:left="420"/>
        <w:rPr>
          <w:rFonts w:ascii="宋体" w:hAnsi="宋体"/>
          <w:szCs w:val="21"/>
          <w:u w:val="single"/>
        </w:rPr>
      </w:pPr>
      <w:r>
        <w:rPr>
          <w:rFonts w:ascii="宋体" w:hAnsi="宋体" w:hint="eastAsia"/>
          <w:szCs w:val="21"/>
        </w:rPr>
        <w:t>电        话：</w:t>
      </w:r>
      <w:r>
        <w:rPr>
          <w:rFonts w:ascii="宋体" w:hAnsi="宋体" w:hint="eastAsia"/>
          <w:szCs w:val="21"/>
          <w:u w:val="single"/>
        </w:rPr>
        <w:t>18066029955</w:t>
      </w:r>
    </w:p>
    <w:p w:rsidR="002427AB" w:rsidRDefault="00F17AC0">
      <w:pPr>
        <w:adjustRightInd w:val="0"/>
        <w:snapToGrid w:val="0"/>
        <w:spacing w:line="360" w:lineRule="auto"/>
        <w:ind w:leftChars="200" w:left="420"/>
        <w:rPr>
          <w:rFonts w:ascii="宋体" w:hAnsi="宋体"/>
          <w:szCs w:val="21"/>
          <w:u w:val="single"/>
        </w:rPr>
      </w:pPr>
      <w:r>
        <w:rPr>
          <w:rFonts w:ascii="宋体" w:hAnsi="宋体" w:hint="eastAsia"/>
          <w:szCs w:val="21"/>
        </w:rPr>
        <w:t>电 子 邮  件：jlchengt@163.com</w:t>
      </w:r>
    </w:p>
    <w:p w:rsidR="002427AB" w:rsidRDefault="00F17AC0">
      <w:pPr>
        <w:adjustRightInd w:val="0"/>
        <w:snapToGrid w:val="0"/>
        <w:spacing w:line="360" w:lineRule="auto"/>
        <w:ind w:leftChars="200" w:left="420"/>
        <w:rPr>
          <w:rFonts w:ascii="宋体" w:hAnsi="宋体"/>
          <w:szCs w:val="21"/>
          <w:lang w:val="zh-CN"/>
        </w:rPr>
      </w:pPr>
      <w:r>
        <w:rPr>
          <w:rFonts w:ascii="宋体" w:hAnsi="宋体" w:hint="eastAsia"/>
          <w:szCs w:val="21"/>
        </w:rPr>
        <w:t>地        址：</w:t>
      </w:r>
      <w:r>
        <w:rPr>
          <w:rFonts w:ascii="宋体" w:hAnsi="宋体" w:hint="eastAsia"/>
          <w:szCs w:val="21"/>
          <w:lang w:val="zh-CN"/>
        </w:rPr>
        <w:t>南京市南祖师庵7号</w:t>
      </w:r>
    </w:p>
    <w:p w:rsidR="002427AB" w:rsidRDefault="00F17AC0">
      <w:pPr>
        <w:adjustRightInd w:val="0"/>
        <w:snapToGrid w:val="0"/>
        <w:spacing w:line="360" w:lineRule="auto"/>
        <w:ind w:leftChars="200" w:left="420"/>
        <w:rPr>
          <w:rFonts w:ascii="宋体" w:hAnsi="宋体"/>
          <w:szCs w:val="21"/>
        </w:rPr>
      </w:pPr>
      <w:r>
        <w:rPr>
          <w:rFonts w:ascii="宋体" w:hAnsi="宋体" w:hint="eastAsia"/>
          <w:szCs w:val="21"/>
        </w:rPr>
        <w:t>开   户   名：</w:t>
      </w:r>
      <w:r>
        <w:rPr>
          <w:rFonts w:ascii="宋体" w:hAnsi="宋体" w:hint="eastAsia"/>
          <w:szCs w:val="21"/>
          <w:lang w:val="zh-CN"/>
        </w:rPr>
        <w:t>中邮通建设咨询有限公司</w:t>
      </w:r>
    </w:p>
    <w:p w:rsidR="002427AB" w:rsidRDefault="00F17AC0">
      <w:pPr>
        <w:adjustRightInd w:val="0"/>
        <w:snapToGrid w:val="0"/>
        <w:spacing w:line="360" w:lineRule="auto"/>
        <w:ind w:leftChars="200" w:left="420"/>
        <w:rPr>
          <w:rFonts w:ascii="宋体" w:hAnsi="宋体"/>
          <w:szCs w:val="21"/>
        </w:rPr>
      </w:pPr>
      <w:r>
        <w:rPr>
          <w:rFonts w:ascii="宋体" w:hAnsi="宋体" w:hint="eastAsia"/>
          <w:szCs w:val="21"/>
        </w:rPr>
        <w:t>开   户   行：</w:t>
      </w:r>
      <w:r>
        <w:rPr>
          <w:rFonts w:ascii="宋体" w:hAnsi="宋体" w:hint="eastAsia"/>
          <w:szCs w:val="21"/>
          <w:lang w:val="zh-CN"/>
        </w:rPr>
        <w:t>中国工商银行南京油运大厦支行</w:t>
      </w:r>
    </w:p>
    <w:p w:rsidR="002427AB" w:rsidRDefault="00F17AC0">
      <w:pPr>
        <w:adjustRightInd w:val="0"/>
        <w:snapToGrid w:val="0"/>
        <w:spacing w:line="360" w:lineRule="auto"/>
        <w:ind w:leftChars="200" w:left="420"/>
        <w:rPr>
          <w:rFonts w:ascii="宋体" w:hAnsi="宋体"/>
          <w:szCs w:val="21"/>
        </w:rPr>
      </w:pPr>
      <w:r>
        <w:rPr>
          <w:rFonts w:ascii="宋体" w:hAnsi="宋体" w:hint="eastAsia"/>
          <w:szCs w:val="21"/>
        </w:rPr>
        <w:t>账　      号：</w:t>
      </w:r>
      <w:r>
        <w:rPr>
          <w:rFonts w:ascii="宋体" w:hAnsi="宋体" w:hint="eastAsia"/>
          <w:szCs w:val="21"/>
          <w:lang w:val="zh-CN"/>
        </w:rPr>
        <w:t>43010 30709 00002 6610</w:t>
      </w:r>
    </w:p>
    <w:p w:rsidR="002427AB" w:rsidRDefault="002427AB">
      <w:pPr>
        <w:adjustRightInd w:val="0"/>
        <w:snapToGrid w:val="0"/>
        <w:spacing w:line="360" w:lineRule="auto"/>
        <w:rPr>
          <w:rFonts w:ascii="宋体" w:hAnsi="宋体"/>
          <w:szCs w:val="21"/>
          <w:u w:val="single"/>
        </w:rPr>
      </w:pPr>
    </w:p>
    <w:p w:rsidR="002427AB" w:rsidRDefault="00F17AC0">
      <w:pPr>
        <w:adjustRightInd w:val="0"/>
        <w:snapToGrid w:val="0"/>
        <w:spacing w:line="360" w:lineRule="auto"/>
        <w:ind w:leftChars="200" w:left="420"/>
        <w:rPr>
          <w:rFonts w:ascii="宋体" w:hAnsi="宋体"/>
          <w:szCs w:val="21"/>
        </w:rPr>
      </w:pP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招标人：</w:t>
      </w:r>
      <w:r>
        <w:rPr>
          <w:rFonts w:ascii="宋体" w:hAnsi="宋体" w:hint="eastAsia"/>
          <w:u w:val="single"/>
        </w:rPr>
        <w:t>中广有线信息网络有限公司南通分公司</w:t>
      </w:r>
      <w:r>
        <w:rPr>
          <w:rFonts w:ascii="宋体" w:hAnsi="宋体" w:hint="eastAsia"/>
          <w:szCs w:val="21"/>
          <w:u w:val="single"/>
        </w:rPr>
        <w:t xml:space="preserve"> </w:t>
      </w:r>
    </w:p>
    <w:p w:rsidR="002427AB" w:rsidRDefault="00F17AC0">
      <w:pPr>
        <w:adjustRightInd w:val="0"/>
        <w:snapToGrid w:val="0"/>
        <w:spacing w:line="360" w:lineRule="auto"/>
        <w:ind w:leftChars="200" w:left="420"/>
        <w:rPr>
          <w:rFonts w:ascii="宋体" w:hAnsi="宋体"/>
          <w:szCs w:val="21"/>
          <w:u w:val="single"/>
        </w:rPr>
      </w:pP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w:t>
      </w:r>
      <w:r>
        <w:rPr>
          <w:rFonts w:ascii="宋体" w:hAnsi="宋体"/>
          <w:szCs w:val="21"/>
        </w:rPr>
        <w:t xml:space="preserve">    </w:t>
      </w:r>
      <w:r>
        <w:rPr>
          <w:rFonts w:ascii="宋体" w:hAnsi="宋体" w:hint="eastAsia"/>
          <w:szCs w:val="21"/>
        </w:rPr>
        <w:t>招标代理机构：</w:t>
      </w:r>
      <w:r>
        <w:rPr>
          <w:rFonts w:ascii="宋体" w:hAnsi="宋体" w:hint="eastAsia"/>
          <w:szCs w:val="21"/>
          <w:u w:val="single"/>
        </w:rPr>
        <w:t xml:space="preserve">中邮通建设咨询有限公司 </w:t>
      </w:r>
    </w:p>
    <w:p w:rsidR="002427AB" w:rsidRDefault="00F17AC0" w:rsidP="006A40E5">
      <w:pPr>
        <w:adjustRightInd w:val="0"/>
        <w:snapToGrid w:val="0"/>
        <w:spacing w:line="360" w:lineRule="auto"/>
        <w:ind w:leftChars="200" w:left="420"/>
      </w:pP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szCs w:val="21"/>
        </w:rPr>
        <w:t xml:space="preserve">            </w:t>
      </w:r>
      <w:r>
        <w:rPr>
          <w:rFonts w:ascii="宋体" w:hAnsi="宋体" w:hint="eastAsia"/>
          <w:szCs w:val="21"/>
        </w:rPr>
        <w:tab/>
      </w:r>
      <w:r>
        <w:rPr>
          <w:rFonts w:ascii="宋体" w:hAnsi="宋体" w:hint="eastAsia"/>
          <w:szCs w:val="21"/>
          <w:highlight w:val="green"/>
          <w:u w:val="single"/>
        </w:rPr>
        <w:t>2020</w:t>
      </w:r>
      <w:r>
        <w:rPr>
          <w:rFonts w:ascii="宋体" w:hAnsi="宋体"/>
          <w:szCs w:val="21"/>
          <w:highlight w:val="green"/>
        </w:rPr>
        <w:t>年</w:t>
      </w:r>
      <w:r>
        <w:rPr>
          <w:rFonts w:ascii="宋体" w:hAnsi="宋体" w:hint="eastAsia"/>
          <w:szCs w:val="21"/>
          <w:highlight w:val="green"/>
          <w:u w:val="single"/>
        </w:rPr>
        <w:t xml:space="preserve"> </w:t>
      </w:r>
      <w:r>
        <w:rPr>
          <w:rFonts w:ascii="宋体" w:hAnsi="宋体"/>
          <w:szCs w:val="21"/>
          <w:highlight w:val="green"/>
          <w:u w:val="single"/>
        </w:rPr>
        <w:t>5</w:t>
      </w:r>
      <w:r>
        <w:rPr>
          <w:rFonts w:ascii="宋体" w:hAnsi="宋体"/>
          <w:szCs w:val="21"/>
          <w:highlight w:val="green"/>
        </w:rPr>
        <w:t>月</w:t>
      </w:r>
      <w:r>
        <w:rPr>
          <w:rFonts w:ascii="宋体" w:hAnsi="宋体" w:hint="eastAsia"/>
          <w:szCs w:val="21"/>
          <w:highlight w:val="green"/>
          <w:u w:val="single"/>
        </w:rPr>
        <w:t xml:space="preserve"> 25</w:t>
      </w:r>
      <w:r>
        <w:rPr>
          <w:rFonts w:ascii="宋体" w:hAnsi="宋体"/>
          <w:szCs w:val="21"/>
          <w:highlight w:val="green"/>
        </w:rPr>
        <w:t>日</w:t>
      </w:r>
      <w:bookmarkEnd w:id="34"/>
      <w:bookmarkEnd w:id="35"/>
    </w:p>
    <w:sectPr w:rsidR="002427AB" w:rsidSect="002427AB">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D8B" w:rsidRDefault="00125D8B" w:rsidP="002427AB">
      <w:r>
        <w:separator/>
      </w:r>
    </w:p>
  </w:endnote>
  <w:endnote w:type="continuationSeparator" w:id="1">
    <w:p w:rsidR="00125D8B" w:rsidRDefault="00125D8B" w:rsidP="00242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B" w:rsidRDefault="00F17AC0">
    <w:pPr>
      <w:pStyle w:val="a4"/>
      <w:jc w:val="center"/>
    </w:pPr>
    <w:r>
      <w:rPr>
        <w:rFonts w:hint="eastAsia"/>
      </w:rPr>
      <w:t>第</w:t>
    </w:r>
    <w:r w:rsidR="00E92E7F">
      <w:fldChar w:fldCharType="begin"/>
    </w:r>
    <w:r>
      <w:instrText xml:space="preserve"> PAGE  \* Arabic  \* MERGEFORMAT </w:instrText>
    </w:r>
    <w:r w:rsidR="00E92E7F">
      <w:fldChar w:fldCharType="separate"/>
    </w:r>
    <w:r w:rsidR="002F6FF2">
      <w:rPr>
        <w:noProof/>
      </w:rPr>
      <w:t>4</w:t>
    </w:r>
    <w:r w:rsidR="00E92E7F">
      <w:fldChar w:fldCharType="end"/>
    </w:r>
    <w:r>
      <w:rPr>
        <w:rFonts w:hint="eastAsia"/>
      </w:rPr>
      <w:t>页，共</w:t>
    </w:r>
    <w:fldSimple w:instr=" NUMPAGES  \* Arabic  \* MERGEFORMAT ">
      <w:r w:rsidR="002F6FF2">
        <w:rPr>
          <w:noProof/>
        </w:rPr>
        <w:t>5</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D8B" w:rsidRDefault="00125D8B" w:rsidP="002427AB">
      <w:r>
        <w:separator/>
      </w:r>
    </w:p>
  </w:footnote>
  <w:footnote w:type="continuationSeparator" w:id="1">
    <w:p w:rsidR="00125D8B" w:rsidRDefault="00125D8B" w:rsidP="002427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7AB" w:rsidRDefault="00F17AC0">
    <w:pPr>
      <w:pStyle w:val="a5"/>
    </w:pPr>
    <w:r>
      <w:rPr>
        <w:rFonts w:hint="eastAsia"/>
      </w:rPr>
      <w:t xml:space="preserve">                                                            </w:t>
    </w:r>
    <w:r>
      <w:rPr>
        <w:rFonts w:hint="eastAsia"/>
      </w:rPr>
      <w:t>南通广电云中心机房搬迁项目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CB4C1"/>
    <w:multiLevelType w:val="singleLevel"/>
    <w:tmpl w:val="36DCB4C1"/>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7F24C64"/>
    <w:rsid w:val="00125D8B"/>
    <w:rsid w:val="002427AB"/>
    <w:rsid w:val="002F6FF2"/>
    <w:rsid w:val="006A40E5"/>
    <w:rsid w:val="00E92E7F"/>
    <w:rsid w:val="00F17AC0"/>
    <w:rsid w:val="07F24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lsdException w:name="footer" w:uiPriority="99" w:unhideWhenUsed="1" w:qFormat="1"/>
    <w:lsdException w:name="caption" w:semiHidden="1" w:unhideWhenUsed="1" w:qFormat="1"/>
    <w:lsdException w:name="Title" w:qFormat="1"/>
    <w:lsdException w:name="Default Paragraph Font" w:semiHidden="1"/>
    <w:lsdException w:name="Body Tex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427AB"/>
    <w:pPr>
      <w:widowControl w:val="0"/>
      <w:jc w:val="both"/>
    </w:pPr>
    <w:rPr>
      <w:kern w:val="2"/>
      <w:sz w:val="21"/>
      <w:szCs w:val="24"/>
    </w:rPr>
  </w:style>
  <w:style w:type="paragraph" w:styleId="1">
    <w:name w:val="heading 1"/>
    <w:basedOn w:val="a"/>
    <w:next w:val="a"/>
    <w:qFormat/>
    <w:rsid w:val="002427AB"/>
    <w:pPr>
      <w:spacing w:line="415" w:lineRule="auto"/>
      <w:outlineLvl w:val="0"/>
    </w:pPr>
  </w:style>
  <w:style w:type="paragraph" w:styleId="2">
    <w:name w:val="heading 2"/>
    <w:basedOn w:val="a"/>
    <w:next w:val="a"/>
    <w:qFormat/>
    <w:rsid w:val="002427AB"/>
    <w:pPr>
      <w:spacing w:line="377" w:lineRule="auto"/>
      <w:outlineLvl w:val="1"/>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rsid w:val="002427AB"/>
    <w:rPr>
      <w:sz w:val="28"/>
      <w:szCs w:val="20"/>
    </w:rPr>
  </w:style>
  <w:style w:type="paragraph" w:styleId="a4">
    <w:name w:val="footer"/>
    <w:basedOn w:val="a"/>
    <w:uiPriority w:val="99"/>
    <w:unhideWhenUsed/>
    <w:qFormat/>
    <w:rsid w:val="002427AB"/>
    <w:pPr>
      <w:tabs>
        <w:tab w:val="center" w:pos="4153"/>
        <w:tab w:val="right" w:pos="8306"/>
      </w:tabs>
      <w:snapToGrid w:val="0"/>
      <w:jc w:val="left"/>
    </w:pPr>
    <w:rPr>
      <w:sz w:val="18"/>
      <w:szCs w:val="18"/>
    </w:rPr>
  </w:style>
  <w:style w:type="paragraph" w:styleId="a5">
    <w:name w:val="header"/>
    <w:basedOn w:val="a"/>
    <w:unhideWhenUsed/>
    <w:rsid w:val="002427AB"/>
    <w:pPr>
      <w:pBdr>
        <w:bottom w:val="single" w:sz="6" w:space="1" w:color="auto"/>
      </w:pBdr>
      <w:tabs>
        <w:tab w:val="center" w:pos="4153"/>
        <w:tab w:val="right" w:pos="8306"/>
      </w:tabs>
      <w:snapToGrid w:val="0"/>
      <w:jc w:val="center"/>
    </w:pPr>
    <w:rPr>
      <w:sz w:val="18"/>
      <w:szCs w:val="18"/>
    </w:rPr>
  </w:style>
  <w:style w:type="paragraph" w:customStyle="1" w:styleId="00">
    <w:name w:val="正文00"/>
    <w:basedOn w:val="a"/>
    <w:rsid w:val="002427AB"/>
    <w:pPr>
      <w:topLinePunct/>
      <w:spacing w:line="360" w:lineRule="auto"/>
      <w:ind w:firstLineChars="200" w:firstLine="200"/>
    </w:pPr>
    <w:rPr>
      <w:sz w:val="24"/>
      <w:szCs w:val="21"/>
    </w:rPr>
  </w:style>
  <w:style w:type="paragraph" w:customStyle="1" w:styleId="ListParagraph1">
    <w:name w:val="List Paragraph1"/>
    <w:basedOn w:val="a"/>
    <w:qFormat/>
    <w:rsid w:val="002427AB"/>
    <w:pPr>
      <w:ind w:firstLineChars="200" w:firstLine="420"/>
    </w:pPr>
  </w:style>
  <w:style w:type="paragraph" w:styleId="a6">
    <w:name w:val="List Paragraph"/>
    <w:basedOn w:val="a"/>
    <w:qFormat/>
    <w:rsid w:val="002427A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453</Words>
  <Characters>2588</Characters>
  <Application>Microsoft Office Word</Application>
  <DocSecurity>0</DocSecurity>
  <Lines>21</Lines>
  <Paragraphs>6</Paragraphs>
  <ScaleCrop>false</ScaleCrop>
  <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勇往直前</dc:creator>
  <cp:lastModifiedBy>蔡小蒙</cp:lastModifiedBy>
  <cp:revision>3</cp:revision>
  <dcterms:created xsi:type="dcterms:W3CDTF">2020-05-22T07:20:00Z</dcterms:created>
  <dcterms:modified xsi:type="dcterms:W3CDTF">2020-05-25T01:34:00Z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