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447188662"/>
      <w:bookmarkStart w:id="1" w:name="_Toc447265797"/>
      <w:bookmarkStart w:id="2" w:name="_Toc447265211"/>
      <w:bookmarkStart w:id="3" w:name="_Toc16097"/>
      <w:bookmarkStart w:id="4" w:name="_Toc447265497"/>
      <w:r>
        <w:rPr>
          <w:rFonts w:hint="eastAsia" w:ascii="宋体" w:hAnsi="宋体" w:eastAsia="宋体" w:cs="宋体"/>
          <w:b/>
          <w:bCs w:val="0"/>
          <w:kern w:val="0"/>
          <w:sz w:val="28"/>
          <w:szCs w:val="28"/>
        </w:rPr>
        <w:t>2020年FTTH光缆交接箱采购项目招标公告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2020年FTTH光缆交接箱采购项目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（招标编号：YT04202000827ZB）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highlight w:val="none"/>
          <w:u w:val="single"/>
          <w:lang w:eastAsia="zh-CN"/>
        </w:rPr>
        <w:t>中广有线信息网络有限公司南通分公司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9017234"/>
      <w:bookmarkStart w:id="6" w:name="_Toc7800"/>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2020年FTTH光缆交接箱采购项目</w:t>
      </w:r>
      <w:r>
        <w:rPr>
          <w:rFonts w:hint="eastAsia" w:ascii="宋体" w:hAnsi="宋体"/>
          <w:szCs w:val="21"/>
        </w:rPr>
        <w:t>。</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w:t>
      </w:r>
      <w:r>
        <w:rPr>
          <w:rFonts w:hint="eastAsia" w:ascii="宋体" w:hAnsi="宋体"/>
          <w:szCs w:val="21"/>
          <w:highlight w:val="none"/>
        </w:rPr>
        <w:t>标的预估规模、货</w:t>
      </w:r>
      <w:r>
        <w:rPr>
          <w:rFonts w:hint="eastAsia" w:ascii="宋体" w:hAnsi="宋体"/>
          <w:szCs w:val="21"/>
        </w:rPr>
        <w:t>物名称及主要技术参数具体如下：</w:t>
      </w:r>
      <w:r>
        <w:rPr>
          <w:rFonts w:ascii="宋体" w:hAnsi="宋体"/>
          <w:szCs w:val="21"/>
        </w:rPr>
        <w:t xml:space="preserve"> </w:t>
      </w:r>
    </w:p>
    <w:tbl>
      <w:tblPr>
        <w:tblStyle w:val="5"/>
        <w:tblW w:w="9365" w:type="dxa"/>
        <w:tblInd w:w="103" w:type="dxa"/>
        <w:tblLayout w:type="autofit"/>
        <w:tblCellMar>
          <w:top w:w="0" w:type="dxa"/>
          <w:left w:w="108" w:type="dxa"/>
          <w:bottom w:w="0" w:type="dxa"/>
          <w:right w:w="108" w:type="dxa"/>
        </w:tblCellMar>
      </w:tblPr>
      <w:tblGrid>
        <w:gridCol w:w="725"/>
        <w:gridCol w:w="1980"/>
        <w:gridCol w:w="2517"/>
        <w:gridCol w:w="719"/>
        <w:gridCol w:w="3424"/>
      </w:tblGrid>
      <w:tr>
        <w:tblPrEx>
          <w:tblCellMar>
            <w:top w:w="0" w:type="dxa"/>
            <w:left w:w="108" w:type="dxa"/>
            <w:bottom w:w="0" w:type="dxa"/>
            <w:right w:w="108" w:type="dxa"/>
          </w:tblCellMar>
        </w:tblPrEx>
        <w:trPr>
          <w:trHeight w:val="936" w:hRule="atLeast"/>
        </w:trPr>
        <w:tc>
          <w:tcPr>
            <w:tcW w:w="725"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bCs/>
                <w:kern w:val="0"/>
                <w:szCs w:val="21"/>
              </w:rPr>
            </w:pPr>
            <w:r>
              <w:rPr>
                <w:rFonts w:ascii="宋体" w:hAnsi="宋体" w:cs="宋体"/>
                <w:b/>
                <w:bCs/>
                <w:kern w:val="0"/>
                <w:szCs w:val="21"/>
              </w:rPr>
              <w:t>序号</w:t>
            </w:r>
          </w:p>
        </w:tc>
        <w:tc>
          <w:tcPr>
            <w:tcW w:w="1980"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设备名称</w:t>
            </w:r>
          </w:p>
        </w:tc>
        <w:tc>
          <w:tcPr>
            <w:tcW w:w="2517"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设备规格</w:t>
            </w:r>
          </w:p>
        </w:tc>
        <w:tc>
          <w:tcPr>
            <w:tcW w:w="719"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单位</w:t>
            </w:r>
          </w:p>
        </w:tc>
        <w:tc>
          <w:tcPr>
            <w:tcW w:w="3424"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备注</w:t>
            </w:r>
          </w:p>
        </w:tc>
      </w:tr>
      <w:tr>
        <w:tblPrEx>
          <w:tblCellMar>
            <w:top w:w="0" w:type="dxa"/>
            <w:left w:w="108" w:type="dxa"/>
            <w:bottom w:w="0" w:type="dxa"/>
            <w:right w:w="108" w:type="dxa"/>
          </w:tblCellMar>
        </w:tblPrEx>
        <w:trPr>
          <w:trHeight w:val="936" w:hRule="atLeast"/>
        </w:trPr>
        <w:tc>
          <w:tcPr>
            <w:tcW w:w="72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1</w:t>
            </w:r>
          </w:p>
        </w:tc>
        <w:tc>
          <w:tcPr>
            <w:tcW w:w="198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Cs w:val="21"/>
              </w:rPr>
            </w:pPr>
            <w:r>
              <w:rPr>
                <w:rFonts w:ascii="宋体" w:hAnsi="宋体"/>
                <w:color w:val="000000"/>
                <w:kern w:val="0"/>
                <w:szCs w:val="21"/>
              </w:rPr>
              <w:t>288芯光缆交接箱（单面操作、外壳墨绿色喷塑不锈钢）</w:t>
            </w:r>
          </w:p>
        </w:tc>
        <w:tc>
          <w:tcPr>
            <w:tcW w:w="251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满配</w:t>
            </w:r>
            <w:r>
              <w:rPr>
                <w:rFonts w:ascii="宋体" w:hAnsi="宋体"/>
                <w:kern w:val="0"/>
                <w:szCs w:val="21"/>
              </w:rPr>
              <w:t>288</w:t>
            </w:r>
            <w:r>
              <w:rPr>
                <w:rFonts w:ascii="宋体" w:hAnsi="宋体" w:cs="宋体"/>
                <w:kern w:val="0"/>
                <w:szCs w:val="21"/>
              </w:rPr>
              <w:t>芯熔接盘</w:t>
            </w:r>
            <w:r>
              <w:rPr>
                <w:rFonts w:hint="eastAsia" w:ascii="宋体" w:hAnsi="宋体" w:cs="宋体"/>
                <w:kern w:val="0"/>
                <w:szCs w:val="21"/>
                <w:lang w:eastAsia="zh-CN"/>
              </w:rPr>
              <w:t>（</w:t>
            </w:r>
            <w:r>
              <w:rPr>
                <w:rFonts w:hint="eastAsia" w:ascii="宋体" w:hAnsi="宋体" w:cs="宋体"/>
                <w:kern w:val="0"/>
                <w:szCs w:val="21"/>
                <w:lang w:val="en-US" w:eastAsia="zh-CN"/>
              </w:rPr>
              <w:t>FC/UPC</w:t>
            </w:r>
            <w:r>
              <w:rPr>
                <w:rFonts w:hint="eastAsia" w:ascii="宋体" w:hAnsi="宋体" w:cs="宋体"/>
                <w:kern w:val="0"/>
                <w:szCs w:val="21"/>
                <w:lang w:eastAsia="zh-CN"/>
              </w:rPr>
              <w:t>）</w:t>
            </w:r>
            <w:r>
              <w:rPr>
                <w:rFonts w:ascii="宋体" w:hAnsi="宋体"/>
                <w:kern w:val="0"/>
                <w:szCs w:val="21"/>
              </w:rPr>
              <w:t>及144</w:t>
            </w:r>
            <w:r>
              <w:rPr>
                <w:rFonts w:ascii="宋体" w:hAnsi="宋体" w:cs="宋体"/>
                <w:kern w:val="0"/>
                <w:szCs w:val="21"/>
              </w:rPr>
              <w:t>芯直熔盘</w:t>
            </w:r>
          </w:p>
        </w:tc>
        <w:tc>
          <w:tcPr>
            <w:tcW w:w="71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套</w:t>
            </w:r>
          </w:p>
        </w:tc>
        <w:tc>
          <w:tcPr>
            <w:tcW w:w="3424" w:type="dxa"/>
            <w:vMerge w:val="restart"/>
            <w:tcBorders>
              <w:top w:val="nil"/>
              <w:left w:val="single" w:color="auto" w:sz="4" w:space="0"/>
              <w:right w:val="single" w:color="auto" w:sz="4" w:space="0"/>
            </w:tcBorders>
            <w:noWrap w:val="0"/>
            <w:vAlign w:val="center"/>
          </w:tcPr>
          <w:p>
            <w:pPr>
              <w:widowControl/>
              <w:jc w:val="center"/>
              <w:rPr>
                <w:rFonts w:ascii="宋体" w:hAnsi="宋体" w:cs="宋体"/>
                <w:kern w:val="0"/>
                <w:szCs w:val="21"/>
              </w:rPr>
            </w:pPr>
            <w:r>
              <w:rPr>
                <w:rFonts w:hint="eastAsia" w:ascii="宋体" w:hAnsi="宋体" w:cs="宋体"/>
                <w:kern w:val="0"/>
                <w:szCs w:val="21"/>
                <w:lang w:eastAsia="zh-CN"/>
              </w:rPr>
              <w:t>含</w:t>
            </w:r>
            <w:r>
              <w:rPr>
                <w:rFonts w:ascii="宋体" w:hAnsi="宋体" w:cs="宋体"/>
                <w:kern w:val="0"/>
                <w:szCs w:val="21"/>
              </w:rPr>
              <w:t>所有其它零配件</w:t>
            </w:r>
          </w:p>
        </w:tc>
      </w:tr>
      <w:tr>
        <w:tblPrEx>
          <w:tblCellMar>
            <w:top w:w="0" w:type="dxa"/>
            <w:left w:w="108" w:type="dxa"/>
            <w:bottom w:w="0" w:type="dxa"/>
            <w:right w:w="108" w:type="dxa"/>
          </w:tblCellMar>
        </w:tblPrEx>
        <w:trPr>
          <w:trHeight w:val="936" w:hRule="atLeast"/>
        </w:trPr>
        <w:tc>
          <w:tcPr>
            <w:tcW w:w="72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2</w:t>
            </w:r>
          </w:p>
        </w:tc>
        <w:tc>
          <w:tcPr>
            <w:tcW w:w="198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olor w:val="000000"/>
                <w:kern w:val="0"/>
                <w:szCs w:val="21"/>
              </w:rPr>
            </w:pPr>
            <w:r>
              <w:rPr>
                <w:rFonts w:ascii="宋体" w:hAnsi="宋体" w:cs="宋体"/>
                <w:color w:val="000000"/>
                <w:kern w:val="0"/>
                <w:szCs w:val="21"/>
              </w:rPr>
              <w:t>576芯光缆交接箱</w:t>
            </w:r>
            <w:r>
              <w:rPr>
                <w:rFonts w:ascii="宋体" w:hAnsi="宋体"/>
                <w:color w:val="000000"/>
                <w:kern w:val="0"/>
                <w:szCs w:val="21"/>
              </w:rPr>
              <w:t>（双面操作、外壳墨绿色喷塑不锈钢）</w:t>
            </w:r>
          </w:p>
        </w:tc>
        <w:tc>
          <w:tcPr>
            <w:tcW w:w="251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满配</w:t>
            </w:r>
            <w:r>
              <w:rPr>
                <w:rFonts w:ascii="宋体" w:hAnsi="宋体"/>
                <w:kern w:val="0"/>
                <w:szCs w:val="21"/>
              </w:rPr>
              <w:t>576</w:t>
            </w:r>
            <w:r>
              <w:rPr>
                <w:rFonts w:ascii="宋体" w:hAnsi="宋体" w:cs="宋体"/>
                <w:kern w:val="0"/>
                <w:szCs w:val="21"/>
              </w:rPr>
              <w:t>芯熔接盘</w:t>
            </w:r>
            <w:r>
              <w:rPr>
                <w:rFonts w:hint="eastAsia" w:ascii="宋体" w:hAnsi="宋体" w:cs="宋体"/>
                <w:kern w:val="0"/>
                <w:szCs w:val="21"/>
                <w:lang w:eastAsia="zh-CN"/>
              </w:rPr>
              <w:t>（</w:t>
            </w:r>
            <w:r>
              <w:rPr>
                <w:rFonts w:hint="eastAsia" w:ascii="宋体" w:hAnsi="宋体" w:cs="宋体"/>
                <w:kern w:val="0"/>
                <w:szCs w:val="21"/>
                <w:lang w:val="en-US" w:eastAsia="zh-CN"/>
              </w:rPr>
              <w:t>FC/UPC</w:t>
            </w:r>
            <w:r>
              <w:rPr>
                <w:rFonts w:hint="eastAsia" w:ascii="宋体" w:hAnsi="宋体" w:cs="宋体"/>
                <w:kern w:val="0"/>
                <w:szCs w:val="21"/>
                <w:lang w:eastAsia="zh-CN"/>
              </w:rPr>
              <w:t>）</w:t>
            </w:r>
            <w:r>
              <w:rPr>
                <w:rFonts w:ascii="宋体" w:hAnsi="宋体"/>
                <w:kern w:val="0"/>
                <w:szCs w:val="21"/>
              </w:rPr>
              <w:t>/288</w:t>
            </w:r>
            <w:r>
              <w:rPr>
                <w:rFonts w:ascii="宋体" w:hAnsi="宋体" w:cs="宋体"/>
                <w:kern w:val="0"/>
                <w:szCs w:val="21"/>
              </w:rPr>
              <w:t>芯直熔盘</w:t>
            </w:r>
          </w:p>
        </w:tc>
        <w:tc>
          <w:tcPr>
            <w:tcW w:w="71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套</w:t>
            </w:r>
          </w:p>
        </w:tc>
        <w:tc>
          <w:tcPr>
            <w:tcW w:w="3424" w:type="dxa"/>
            <w:vMerge w:val="continue"/>
            <w:tcBorders>
              <w:left w:val="single" w:color="auto" w:sz="4" w:space="0"/>
              <w:right w:val="single" w:color="auto" w:sz="4" w:space="0"/>
            </w:tcBorders>
            <w:noWrap w:val="0"/>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936" w:hRule="atLeast"/>
        </w:trPr>
        <w:tc>
          <w:tcPr>
            <w:tcW w:w="72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3</w:t>
            </w:r>
          </w:p>
        </w:tc>
        <w:tc>
          <w:tcPr>
            <w:tcW w:w="1980"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ascii="宋体" w:hAnsi="宋体" w:cs="宋体"/>
                <w:color w:val="000000"/>
                <w:kern w:val="0"/>
                <w:szCs w:val="21"/>
              </w:rPr>
              <w:t>1152芯光缆交接箱</w:t>
            </w:r>
            <w:r>
              <w:rPr>
                <w:rFonts w:ascii="宋体" w:hAnsi="宋体"/>
                <w:color w:val="000000"/>
                <w:kern w:val="0"/>
                <w:szCs w:val="21"/>
              </w:rPr>
              <w:t>（双面操作、外壳墨绿色喷塑不锈钢）</w:t>
            </w:r>
          </w:p>
        </w:tc>
        <w:tc>
          <w:tcPr>
            <w:tcW w:w="251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满配</w:t>
            </w:r>
            <w:r>
              <w:rPr>
                <w:rFonts w:ascii="宋体" w:hAnsi="宋体"/>
                <w:kern w:val="0"/>
                <w:szCs w:val="21"/>
              </w:rPr>
              <w:t>1152</w:t>
            </w:r>
            <w:r>
              <w:rPr>
                <w:rFonts w:ascii="宋体" w:hAnsi="宋体" w:cs="宋体"/>
                <w:kern w:val="0"/>
                <w:szCs w:val="21"/>
              </w:rPr>
              <w:t>芯熔接盘</w:t>
            </w:r>
            <w:r>
              <w:rPr>
                <w:rFonts w:hint="eastAsia" w:ascii="宋体" w:hAnsi="宋体" w:cs="宋体"/>
                <w:kern w:val="0"/>
                <w:szCs w:val="21"/>
                <w:lang w:eastAsia="zh-CN"/>
              </w:rPr>
              <w:t>（</w:t>
            </w:r>
            <w:r>
              <w:rPr>
                <w:rFonts w:hint="eastAsia" w:ascii="宋体" w:hAnsi="宋体" w:cs="宋体"/>
                <w:kern w:val="0"/>
                <w:szCs w:val="21"/>
                <w:lang w:val="en-US" w:eastAsia="zh-CN"/>
              </w:rPr>
              <w:t>FC/UPC</w:t>
            </w:r>
            <w:r>
              <w:rPr>
                <w:rFonts w:hint="eastAsia" w:ascii="宋体" w:hAnsi="宋体" w:cs="宋体"/>
                <w:kern w:val="0"/>
                <w:szCs w:val="21"/>
                <w:lang w:eastAsia="zh-CN"/>
              </w:rPr>
              <w:t>）</w:t>
            </w:r>
            <w:r>
              <w:rPr>
                <w:rFonts w:ascii="宋体" w:hAnsi="宋体"/>
                <w:kern w:val="0"/>
                <w:szCs w:val="21"/>
              </w:rPr>
              <w:t>/576</w:t>
            </w:r>
            <w:r>
              <w:rPr>
                <w:rFonts w:ascii="宋体" w:hAnsi="宋体" w:cs="宋体"/>
                <w:kern w:val="0"/>
                <w:szCs w:val="21"/>
              </w:rPr>
              <w:t>芯直熔盘</w:t>
            </w:r>
          </w:p>
        </w:tc>
        <w:tc>
          <w:tcPr>
            <w:tcW w:w="719"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套</w:t>
            </w:r>
          </w:p>
        </w:tc>
        <w:tc>
          <w:tcPr>
            <w:tcW w:w="3424"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936" w:hRule="atLeast"/>
        </w:trPr>
        <w:tc>
          <w:tcPr>
            <w:tcW w:w="72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4</w:t>
            </w:r>
          </w:p>
        </w:tc>
        <w:tc>
          <w:tcPr>
            <w:tcW w:w="19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光纤适配器（法兰）</w:t>
            </w:r>
          </w:p>
        </w:tc>
        <w:tc>
          <w:tcPr>
            <w:tcW w:w="251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FC　</w:t>
            </w:r>
          </w:p>
        </w:tc>
        <w:tc>
          <w:tcPr>
            <w:tcW w:w="71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只</w:t>
            </w:r>
          </w:p>
        </w:tc>
        <w:tc>
          <w:tcPr>
            <w:tcW w:w="3424"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不计入总价</w:t>
            </w:r>
          </w:p>
        </w:tc>
      </w:tr>
      <w:tr>
        <w:tblPrEx>
          <w:tblCellMar>
            <w:top w:w="0" w:type="dxa"/>
            <w:left w:w="108" w:type="dxa"/>
            <w:bottom w:w="0" w:type="dxa"/>
            <w:right w:w="108" w:type="dxa"/>
          </w:tblCellMar>
        </w:tblPrEx>
        <w:trPr>
          <w:trHeight w:val="936" w:hRule="atLeast"/>
        </w:trPr>
        <w:tc>
          <w:tcPr>
            <w:tcW w:w="72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5</w:t>
            </w:r>
          </w:p>
        </w:tc>
        <w:tc>
          <w:tcPr>
            <w:tcW w:w="19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尾纤</w:t>
            </w:r>
          </w:p>
        </w:tc>
        <w:tc>
          <w:tcPr>
            <w:tcW w:w="251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3M、FC/UPC</w:t>
            </w:r>
          </w:p>
        </w:tc>
        <w:tc>
          <w:tcPr>
            <w:tcW w:w="71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根</w:t>
            </w:r>
          </w:p>
        </w:tc>
        <w:tc>
          <w:tcPr>
            <w:tcW w:w="3424"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不计入总价</w:t>
            </w:r>
          </w:p>
        </w:tc>
      </w:tr>
      <w:tr>
        <w:tblPrEx>
          <w:tblCellMar>
            <w:top w:w="0" w:type="dxa"/>
            <w:left w:w="108" w:type="dxa"/>
            <w:bottom w:w="0" w:type="dxa"/>
            <w:right w:w="108" w:type="dxa"/>
          </w:tblCellMar>
        </w:tblPrEx>
        <w:trPr>
          <w:trHeight w:val="936" w:hRule="atLeast"/>
        </w:trPr>
        <w:tc>
          <w:tcPr>
            <w:tcW w:w="72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kern w:val="0"/>
                <w:szCs w:val="21"/>
              </w:rPr>
            </w:pPr>
            <w:r>
              <w:rPr>
                <w:rFonts w:ascii="宋体" w:hAnsi="宋体"/>
                <w:kern w:val="0"/>
                <w:szCs w:val="21"/>
              </w:rPr>
              <w:t>6</w:t>
            </w:r>
          </w:p>
        </w:tc>
        <w:tc>
          <w:tcPr>
            <w:tcW w:w="19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12芯束状尾纤</w:t>
            </w:r>
          </w:p>
        </w:tc>
        <w:tc>
          <w:tcPr>
            <w:tcW w:w="251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1.5M、FC/UPC</w:t>
            </w:r>
          </w:p>
        </w:tc>
        <w:tc>
          <w:tcPr>
            <w:tcW w:w="71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根</w:t>
            </w:r>
          </w:p>
        </w:tc>
        <w:tc>
          <w:tcPr>
            <w:tcW w:w="3424"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不计入总价</w:t>
            </w:r>
          </w:p>
        </w:tc>
      </w:tr>
      <w:tr>
        <w:tblPrEx>
          <w:tblCellMar>
            <w:top w:w="0" w:type="dxa"/>
            <w:left w:w="108" w:type="dxa"/>
            <w:bottom w:w="0" w:type="dxa"/>
            <w:right w:w="108" w:type="dxa"/>
          </w:tblCellMar>
        </w:tblPrEx>
        <w:trPr>
          <w:trHeight w:val="936" w:hRule="atLeast"/>
        </w:trPr>
        <w:tc>
          <w:tcPr>
            <w:tcW w:w="725" w:type="dxa"/>
            <w:tcBorders>
              <w:top w:val="nil"/>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ascii="宋体" w:hAnsi="宋体" w:cs="宋体"/>
                <w:kern w:val="0"/>
                <w:szCs w:val="21"/>
              </w:rPr>
              <w:t>7</w:t>
            </w:r>
          </w:p>
        </w:tc>
        <w:tc>
          <w:tcPr>
            <w:tcW w:w="1980" w:type="dxa"/>
            <w:tcBorders>
              <w:top w:val="nil"/>
              <w:left w:val="nil"/>
              <w:bottom w:val="single" w:color="auto" w:sz="4" w:space="0"/>
              <w:right w:val="single" w:color="auto" w:sz="4" w:space="0"/>
            </w:tcBorders>
            <w:noWrap/>
            <w:vAlign w:val="center"/>
          </w:tcPr>
          <w:p>
            <w:pPr>
              <w:widowControl/>
              <w:jc w:val="center"/>
              <w:rPr>
                <w:rFonts w:ascii="宋体" w:hAnsi="宋体" w:cs="宋体"/>
                <w:kern w:val="0"/>
                <w:szCs w:val="21"/>
              </w:rPr>
            </w:pPr>
            <w:r>
              <w:rPr>
                <w:rFonts w:ascii="宋体" w:hAnsi="宋体" w:cs="宋体"/>
                <w:kern w:val="0"/>
                <w:szCs w:val="21"/>
              </w:rPr>
              <w:t>12芯一体化托盘</w:t>
            </w:r>
          </w:p>
        </w:tc>
        <w:tc>
          <w:tcPr>
            <w:tcW w:w="2517"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空</w:t>
            </w:r>
          </w:p>
        </w:tc>
        <w:tc>
          <w:tcPr>
            <w:tcW w:w="719"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块</w:t>
            </w:r>
          </w:p>
        </w:tc>
        <w:tc>
          <w:tcPr>
            <w:tcW w:w="3424" w:type="dxa"/>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Cs w:val="21"/>
              </w:rPr>
            </w:pPr>
            <w:r>
              <w:rPr>
                <w:rFonts w:ascii="宋体" w:hAnsi="宋体" w:cs="宋体"/>
                <w:kern w:val="0"/>
                <w:szCs w:val="21"/>
              </w:rPr>
              <w:t>不计入总价</w:t>
            </w:r>
          </w:p>
        </w:tc>
      </w:tr>
    </w:tbl>
    <w:p>
      <w:pPr>
        <w:spacing w:line="360" w:lineRule="auto"/>
        <w:ind w:firstLine="420"/>
        <w:rPr>
          <w:rFonts w:hint="eastAsia" w:ascii="宋体" w:hAnsi="宋体"/>
          <w:szCs w:val="21"/>
        </w:rPr>
      </w:pPr>
    </w:p>
    <w:tbl>
      <w:tblPr>
        <w:tblStyle w:val="5"/>
        <w:tblW w:w="86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924"/>
        <w:gridCol w:w="2511"/>
        <w:gridCol w:w="1323"/>
        <w:gridCol w:w="1634"/>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109" w:type="dxa"/>
            <w:vAlign w:val="center"/>
          </w:tcPr>
          <w:p>
            <w:pPr>
              <w:spacing w:line="360" w:lineRule="auto"/>
              <w:ind w:firstLine="39" w:firstLineChars="19"/>
              <w:rPr>
                <w:rFonts w:ascii="仿宋" w:hAnsi="仿宋" w:eastAsia="仿宋" w:cs="Arial"/>
                <w:szCs w:val="21"/>
              </w:rPr>
            </w:pPr>
            <w:r>
              <w:rPr>
                <w:rFonts w:hint="eastAsia" w:ascii="仿宋" w:hAnsi="仿宋" w:eastAsia="仿宋" w:cs="Arial"/>
                <w:szCs w:val="21"/>
              </w:rPr>
              <w:t>箱体材质</w:t>
            </w:r>
          </w:p>
        </w:tc>
        <w:tc>
          <w:tcPr>
            <w:tcW w:w="924" w:type="dxa"/>
            <w:vAlign w:val="center"/>
          </w:tcPr>
          <w:p>
            <w:pPr>
              <w:spacing w:line="360" w:lineRule="auto"/>
              <w:rPr>
                <w:rFonts w:ascii="仿宋" w:hAnsi="仿宋" w:eastAsia="仿宋"/>
                <w:kern w:val="0"/>
                <w:szCs w:val="21"/>
              </w:rPr>
            </w:pPr>
            <w:r>
              <w:rPr>
                <w:rFonts w:hint="eastAsia" w:ascii="仿宋" w:hAnsi="仿宋" w:eastAsia="仿宋"/>
                <w:kern w:val="0"/>
                <w:szCs w:val="21"/>
              </w:rPr>
              <w:t>容量</w:t>
            </w:r>
          </w:p>
        </w:tc>
        <w:tc>
          <w:tcPr>
            <w:tcW w:w="2511" w:type="dxa"/>
            <w:vAlign w:val="center"/>
          </w:tcPr>
          <w:p>
            <w:pPr>
              <w:spacing w:line="360" w:lineRule="auto"/>
              <w:ind w:firstLine="39" w:firstLineChars="19"/>
              <w:jc w:val="center"/>
              <w:rPr>
                <w:rFonts w:ascii="仿宋" w:hAnsi="仿宋" w:eastAsia="仿宋" w:cs="Arial"/>
                <w:szCs w:val="21"/>
              </w:rPr>
            </w:pPr>
            <w:r>
              <w:rPr>
                <w:rFonts w:hint="eastAsia" w:ascii="仿宋" w:hAnsi="仿宋" w:eastAsia="仿宋" w:cs="Arial"/>
                <w:szCs w:val="21"/>
              </w:rPr>
              <w:t>箱体尺寸</w:t>
            </w:r>
          </w:p>
          <w:p>
            <w:pPr>
              <w:spacing w:line="360" w:lineRule="auto"/>
              <w:ind w:firstLine="39" w:firstLineChars="19"/>
              <w:jc w:val="center"/>
              <w:rPr>
                <w:rFonts w:ascii="仿宋" w:hAnsi="仿宋" w:eastAsia="仿宋" w:cs="Arial"/>
                <w:szCs w:val="21"/>
              </w:rPr>
            </w:pPr>
            <w:r>
              <w:rPr>
                <w:rFonts w:hint="eastAsia" w:ascii="仿宋" w:hAnsi="仿宋" w:eastAsia="仿宋" w:cs="Arial"/>
                <w:szCs w:val="21"/>
              </w:rPr>
              <w:t>（最大，含底座）</w:t>
            </w:r>
          </w:p>
          <w:p>
            <w:pPr>
              <w:spacing w:line="360" w:lineRule="auto"/>
              <w:ind w:firstLine="39" w:firstLineChars="19"/>
              <w:jc w:val="center"/>
              <w:rPr>
                <w:rFonts w:ascii="仿宋" w:hAnsi="仿宋" w:eastAsia="仿宋"/>
                <w:kern w:val="0"/>
                <w:szCs w:val="21"/>
              </w:rPr>
            </w:pPr>
            <w:r>
              <w:rPr>
                <w:rFonts w:hint="eastAsia" w:ascii="仿宋" w:hAnsi="仿宋" w:eastAsia="仿宋"/>
                <w:kern w:val="0"/>
                <w:szCs w:val="21"/>
              </w:rPr>
              <w:t>高×宽×深（单位：mm）</w:t>
            </w:r>
          </w:p>
        </w:tc>
        <w:tc>
          <w:tcPr>
            <w:tcW w:w="1323" w:type="dxa"/>
            <w:vAlign w:val="center"/>
          </w:tcPr>
          <w:p>
            <w:pPr>
              <w:spacing w:line="360" w:lineRule="auto"/>
              <w:jc w:val="center"/>
              <w:rPr>
                <w:rFonts w:ascii="仿宋" w:hAnsi="仿宋" w:eastAsia="仿宋"/>
                <w:kern w:val="0"/>
                <w:szCs w:val="21"/>
              </w:rPr>
            </w:pPr>
            <w:r>
              <w:rPr>
                <w:rFonts w:hint="eastAsia" w:ascii="仿宋" w:hAnsi="仿宋" w:eastAsia="仿宋"/>
                <w:kern w:val="0"/>
                <w:szCs w:val="21"/>
              </w:rPr>
              <w:t>底座高度</w:t>
            </w:r>
          </w:p>
          <w:p>
            <w:pPr>
              <w:spacing w:line="360" w:lineRule="auto"/>
              <w:jc w:val="center"/>
              <w:rPr>
                <w:rFonts w:ascii="仿宋" w:hAnsi="仿宋" w:eastAsia="仿宋"/>
                <w:kern w:val="0"/>
                <w:szCs w:val="21"/>
              </w:rPr>
            </w:pPr>
            <w:r>
              <w:rPr>
                <w:rFonts w:hint="eastAsia" w:ascii="仿宋" w:hAnsi="仿宋" w:eastAsia="仿宋"/>
                <w:kern w:val="0"/>
                <w:szCs w:val="21"/>
              </w:rPr>
              <w:t>（单位：mm）</w:t>
            </w:r>
          </w:p>
        </w:tc>
        <w:tc>
          <w:tcPr>
            <w:tcW w:w="1634" w:type="dxa"/>
            <w:vAlign w:val="center"/>
          </w:tcPr>
          <w:p>
            <w:pPr>
              <w:spacing w:line="360" w:lineRule="auto"/>
              <w:jc w:val="center"/>
              <w:rPr>
                <w:rFonts w:ascii="仿宋" w:hAnsi="仿宋" w:eastAsia="仿宋" w:cs="Arial"/>
                <w:szCs w:val="21"/>
              </w:rPr>
            </w:pPr>
            <w:r>
              <w:rPr>
                <w:rFonts w:hint="eastAsia" w:ascii="仿宋" w:hAnsi="仿宋" w:eastAsia="仿宋" w:cs="Arial"/>
                <w:szCs w:val="21"/>
              </w:rPr>
              <w:t>安装方式</w:t>
            </w:r>
          </w:p>
        </w:tc>
        <w:tc>
          <w:tcPr>
            <w:tcW w:w="1125" w:type="dxa"/>
            <w:vAlign w:val="center"/>
          </w:tcPr>
          <w:p>
            <w:pPr>
              <w:spacing w:line="360" w:lineRule="auto"/>
              <w:jc w:val="center"/>
              <w:rPr>
                <w:rFonts w:ascii="仿宋" w:hAnsi="仿宋" w:eastAsia="仿宋" w:cs="Arial"/>
                <w:szCs w:val="21"/>
              </w:rPr>
            </w:pPr>
            <w:r>
              <w:rPr>
                <w:rFonts w:hint="eastAsia" w:ascii="仿宋" w:hAnsi="仿宋" w:eastAsia="仿宋" w:cs="Arial"/>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109" w:type="dxa"/>
            <w:vMerge w:val="restart"/>
            <w:vAlign w:val="center"/>
          </w:tcPr>
          <w:p>
            <w:pPr>
              <w:spacing w:line="360" w:lineRule="auto"/>
              <w:ind w:firstLine="39" w:firstLineChars="19"/>
              <w:rPr>
                <w:rFonts w:ascii="仿宋" w:hAnsi="仿宋" w:eastAsia="仿宋"/>
                <w:kern w:val="0"/>
                <w:szCs w:val="21"/>
              </w:rPr>
            </w:pPr>
            <w:r>
              <w:rPr>
                <w:rFonts w:hint="eastAsia" w:ascii="仿宋" w:hAnsi="仿宋" w:eastAsia="仿宋"/>
                <w:kern w:val="0"/>
                <w:szCs w:val="21"/>
              </w:rPr>
              <w:t>SMC箱体</w:t>
            </w:r>
          </w:p>
          <w:p>
            <w:pPr>
              <w:ind w:firstLine="39" w:firstLineChars="19"/>
              <w:rPr>
                <w:rFonts w:ascii="仿宋" w:hAnsi="仿宋" w:eastAsia="仿宋" w:cs="Arial"/>
                <w:b/>
                <w:bCs/>
                <w:szCs w:val="21"/>
              </w:rPr>
            </w:pPr>
            <w:r>
              <w:rPr>
                <w:rFonts w:hint="eastAsia" w:ascii="仿宋" w:hAnsi="仿宋" w:eastAsia="仿宋" w:cs="仿宋"/>
                <w:bCs/>
                <w:szCs w:val="21"/>
              </w:rPr>
              <w:t>（适用于盒式光分路器型）</w:t>
            </w:r>
          </w:p>
        </w:tc>
        <w:tc>
          <w:tcPr>
            <w:tcW w:w="924" w:type="dxa"/>
            <w:vAlign w:val="center"/>
          </w:tcPr>
          <w:p>
            <w:pPr>
              <w:spacing w:line="360" w:lineRule="auto"/>
              <w:jc w:val="center"/>
              <w:rPr>
                <w:rFonts w:ascii="仿宋" w:hAnsi="仿宋" w:eastAsia="仿宋" w:cs="Arial"/>
                <w:szCs w:val="21"/>
              </w:rPr>
            </w:pPr>
            <w:r>
              <w:rPr>
                <w:rFonts w:hint="eastAsia" w:ascii="仿宋" w:hAnsi="仿宋" w:eastAsia="仿宋" w:cs="Arial"/>
                <w:szCs w:val="21"/>
              </w:rPr>
              <w:t>144芯</w:t>
            </w:r>
          </w:p>
        </w:tc>
        <w:tc>
          <w:tcPr>
            <w:tcW w:w="2511" w:type="dxa"/>
            <w:vAlign w:val="center"/>
          </w:tcPr>
          <w:p>
            <w:pPr>
              <w:spacing w:line="360" w:lineRule="auto"/>
              <w:jc w:val="center"/>
              <w:rPr>
                <w:rFonts w:ascii="仿宋" w:hAnsi="仿宋" w:eastAsia="仿宋" w:cs="Arial"/>
                <w:szCs w:val="21"/>
              </w:rPr>
            </w:pPr>
            <w:r>
              <w:rPr>
                <w:rFonts w:hint="eastAsia" w:ascii="仿宋" w:hAnsi="仿宋" w:eastAsia="仿宋" w:cs="Arial"/>
                <w:szCs w:val="21"/>
              </w:rPr>
              <w:t>1045x570x310</w:t>
            </w:r>
          </w:p>
        </w:tc>
        <w:tc>
          <w:tcPr>
            <w:tcW w:w="1323" w:type="dxa"/>
            <w:vAlign w:val="center"/>
          </w:tcPr>
          <w:p>
            <w:pPr>
              <w:spacing w:line="360" w:lineRule="auto"/>
              <w:jc w:val="center"/>
              <w:rPr>
                <w:rFonts w:ascii="仿宋" w:hAnsi="仿宋" w:eastAsia="仿宋"/>
                <w:kern w:val="0"/>
                <w:szCs w:val="21"/>
              </w:rPr>
            </w:pPr>
            <w:r>
              <w:rPr>
                <w:rFonts w:hint="eastAsia" w:ascii="仿宋" w:hAnsi="仿宋" w:eastAsia="仿宋"/>
                <w:kern w:val="0"/>
                <w:szCs w:val="21"/>
              </w:rPr>
              <w:t>260</w:t>
            </w:r>
          </w:p>
        </w:tc>
        <w:tc>
          <w:tcPr>
            <w:tcW w:w="1634" w:type="dxa"/>
            <w:vAlign w:val="center"/>
          </w:tcPr>
          <w:p>
            <w:pPr>
              <w:spacing w:line="360" w:lineRule="auto"/>
              <w:jc w:val="center"/>
              <w:rPr>
                <w:rFonts w:ascii="仿宋" w:hAnsi="仿宋" w:eastAsia="仿宋" w:cs="Arial"/>
                <w:szCs w:val="21"/>
              </w:rPr>
            </w:pPr>
            <w:r>
              <w:rPr>
                <w:rFonts w:ascii="仿宋" w:hAnsi="仿宋" w:eastAsia="仿宋" w:cs="Arial"/>
                <w:szCs w:val="21"/>
              </w:rPr>
              <w:t>落地</w:t>
            </w:r>
          </w:p>
        </w:tc>
        <w:tc>
          <w:tcPr>
            <w:tcW w:w="1125" w:type="dxa"/>
            <w:vAlign w:val="center"/>
          </w:tcPr>
          <w:p>
            <w:pPr>
              <w:spacing w:line="360" w:lineRule="auto"/>
              <w:jc w:val="center"/>
              <w:rPr>
                <w:rFonts w:ascii="仿宋" w:hAnsi="仿宋" w:eastAsia="仿宋" w:cs="Arial"/>
                <w:szCs w:val="21"/>
              </w:rPr>
            </w:pPr>
            <w:r>
              <w:rPr>
                <w:rFonts w:hint="eastAsia" w:ascii="仿宋" w:hAnsi="仿宋" w:eastAsia="仿宋"/>
                <w:kern w:val="0"/>
                <w:szCs w:val="21"/>
              </w:rPr>
              <w:t>满配SC/APC熔接盘、</w:t>
            </w:r>
            <w:r>
              <w:rPr>
                <w:rFonts w:ascii="仿宋" w:hAnsi="仿宋" w:eastAsia="仿宋"/>
                <w:kern w:val="0"/>
                <w:szCs w:val="21"/>
              </w:rPr>
              <w:t>单面操作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109" w:type="dxa"/>
            <w:vMerge w:val="continue"/>
            <w:vAlign w:val="center"/>
          </w:tcPr>
          <w:p>
            <w:pPr>
              <w:spacing w:line="360" w:lineRule="auto"/>
              <w:ind w:firstLine="39" w:firstLineChars="19"/>
              <w:jc w:val="center"/>
              <w:rPr>
                <w:rFonts w:ascii="仿宋" w:hAnsi="仿宋" w:eastAsia="仿宋" w:cs="Arial"/>
                <w:bCs/>
                <w:szCs w:val="21"/>
              </w:rPr>
            </w:pPr>
          </w:p>
        </w:tc>
        <w:tc>
          <w:tcPr>
            <w:tcW w:w="924" w:type="dxa"/>
            <w:vAlign w:val="center"/>
          </w:tcPr>
          <w:p>
            <w:pPr>
              <w:spacing w:line="360" w:lineRule="auto"/>
              <w:jc w:val="center"/>
              <w:rPr>
                <w:rFonts w:ascii="仿宋" w:hAnsi="仿宋" w:eastAsia="仿宋" w:cs="Arial"/>
                <w:szCs w:val="21"/>
              </w:rPr>
            </w:pPr>
            <w:r>
              <w:rPr>
                <w:rFonts w:hint="eastAsia" w:ascii="仿宋" w:hAnsi="仿宋" w:eastAsia="仿宋" w:cs="Arial"/>
                <w:szCs w:val="21"/>
              </w:rPr>
              <w:t>288芯</w:t>
            </w:r>
          </w:p>
        </w:tc>
        <w:tc>
          <w:tcPr>
            <w:tcW w:w="2511" w:type="dxa"/>
            <w:vAlign w:val="center"/>
          </w:tcPr>
          <w:p>
            <w:pPr>
              <w:spacing w:line="360" w:lineRule="auto"/>
              <w:jc w:val="center"/>
              <w:rPr>
                <w:rFonts w:ascii="仿宋" w:hAnsi="仿宋" w:eastAsia="仿宋" w:cs="Arial"/>
                <w:szCs w:val="21"/>
              </w:rPr>
            </w:pPr>
            <w:r>
              <w:rPr>
                <w:rFonts w:hint="eastAsia" w:ascii="仿宋" w:hAnsi="仿宋" w:eastAsia="仿宋" w:cs="Arial"/>
                <w:szCs w:val="21"/>
              </w:rPr>
              <w:t>1560x760x370</w:t>
            </w:r>
          </w:p>
        </w:tc>
        <w:tc>
          <w:tcPr>
            <w:tcW w:w="1323" w:type="dxa"/>
            <w:vAlign w:val="center"/>
          </w:tcPr>
          <w:p>
            <w:pPr>
              <w:spacing w:line="360" w:lineRule="auto"/>
              <w:jc w:val="center"/>
              <w:rPr>
                <w:rFonts w:ascii="仿宋" w:hAnsi="仿宋" w:eastAsia="仿宋"/>
                <w:kern w:val="0"/>
                <w:szCs w:val="21"/>
              </w:rPr>
            </w:pPr>
            <w:r>
              <w:rPr>
                <w:rFonts w:hint="eastAsia" w:ascii="仿宋" w:hAnsi="仿宋" w:eastAsia="仿宋"/>
                <w:kern w:val="0"/>
                <w:szCs w:val="21"/>
              </w:rPr>
              <w:t>350</w:t>
            </w:r>
          </w:p>
        </w:tc>
        <w:tc>
          <w:tcPr>
            <w:tcW w:w="1634" w:type="dxa"/>
            <w:vAlign w:val="center"/>
          </w:tcPr>
          <w:p>
            <w:pPr>
              <w:spacing w:line="360" w:lineRule="auto"/>
              <w:jc w:val="center"/>
              <w:rPr>
                <w:rFonts w:ascii="仿宋" w:hAnsi="仿宋" w:eastAsia="仿宋"/>
                <w:kern w:val="0"/>
                <w:szCs w:val="21"/>
              </w:rPr>
            </w:pPr>
            <w:r>
              <w:rPr>
                <w:rFonts w:ascii="仿宋" w:hAnsi="仿宋" w:eastAsia="仿宋" w:cs="Arial"/>
                <w:szCs w:val="21"/>
              </w:rPr>
              <w:t>落地</w:t>
            </w:r>
            <w:r>
              <w:rPr>
                <w:rFonts w:ascii="仿宋" w:hAnsi="仿宋" w:eastAsia="仿宋"/>
                <w:kern w:val="0"/>
                <w:szCs w:val="21"/>
              </w:rPr>
              <w:t xml:space="preserve"> </w:t>
            </w:r>
          </w:p>
        </w:tc>
        <w:tc>
          <w:tcPr>
            <w:tcW w:w="1125" w:type="dxa"/>
            <w:vAlign w:val="center"/>
          </w:tcPr>
          <w:p>
            <w:pPr>
              <w:spacing w:line="360" w:lineRule="auto"/>
              <w:jc w:val="center"/>
              <w:rPr>
                <w:rFonts w:ascii="仿宋" w:hAnsi="仿宋" w:eastAsia="仿宋"/>
                <w:kern w:val="0"/>
                <w:szCs w:val="21"/>
              </w:rPr>
            </w:pPr>
            <w:r>
              <w:rPr>
                <w:rFonts w:hint="eastAsia" w:ascii="仿宋" w:hAnsi="仿宋" w:eastAsia="仿宋"/>
                <w:kern w:val="0"/>
                <w:szCs w:val="21"/>
              </w:rPr>
              <w:t>满配SC/APC熔接盘、</w:t>
            </w:r>
            <w:r>
              <w:rPr>
                <w:rFonts w:ascii="仿宋" w:hAnsi="仿宋" w:eastAsia="仿宋"/>
                <w:kern w:val="0"/>
                <w:szCs w:val="21"/>
              </w:rPr>
              <w:t>单面操作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jc w:val="center"/>
        </w:trPr>
        <w:tc>
          <w:tcPr>
            <w:tcW w:w="1109" w:type="dxa"/>
            <w:vMerge w:val="continue"/>
            <w:vAlign w:val="center"/>
          </w:tcPr>
          <w:p>
            <w:pPr>
              <w:spacing w:line="360" w:lineRule="auto"/>
              <w:ind w:firstLine="39" w:firstLineChars="19"/>
              <w:jc w:val="center"/>
              <w:rPr>
                <w:rFonts w:ascii="仿宋" w:hAnsi="仿宋" w:eastAsia="仿宋" w:cs="Arial"/>
                <w:bCs/>
                <w:szCs w:val="21"/>
              </w:rPr>
            </w:pPr>
          </w:p>
        </w:tc>
        <w:tc>
          <w:tcPr>
            <w:tcW w:w="924" w:type="dxa"/>
            <w:vAlign w:val="center"/>
          </w:tcPr>
          <w:p>
            <w:pPr>
              <w:spacing w:line="360" w:lineRule="auto"/>
              <w:jc w:val="center"/>
              <w:rPr>
                <w:rFonts w:ascii="仿宋" w:hAnsi="仿宋" w:eastAsia="仿宋" w:cs="Arial"/>
                <w:szCs w:val="21"/>
              </w:rPr>
            </w:pPr>
            <w:r>
              <w:rPr>
                <w:rFonts w:hint="eastAsia" w:ascii="仿宋" w:hAnsi="仿宋" w:eastAsia="仿宋" w:cs="Arial"/>
                <w:szCs w:val="21"/>
              </w:rPr>
              <w:t>576芯</w:t>
            </w:r>
          </w:p>
        </w:tc>
        <w:tc>
          <w:tcPr>
            <w:tcW w:w="2511" w:type="dxa"/>
            <w:vAlign w:val="center"/>
          </w:tcPr>
          <w:p>
            <w:pPr>
              <w:spacing w:line="360" w:lineRule="auto"/>
              <w:jc w:val="center"/>
              <w:rPr>
                <w:rFonts w:ascii="仿宋" w:hAnsi="仿宋" w:eastAsia="仿宋" w:cs="Arial"/>
                <w:szCs w:val="21"/>
              </w:rPr>
            </w:pPr>
            <w:r>
              <w:rPr>
                <w:rFonts w:hint="eastAsia" w:ascii="仿宋" w:hAnsi="仿宋" w:eastAsia="仿宋" w:cs="Arial"/>
                <w:szCs w:val="21"/>
              </w:rPr>
              <w:t>1560x760x630</w:t>
            </w:r>
          </w:p>
        </w:tc>
        <w:tc>
          <w:tcPr>
            <w:tcW w:w="1323" w:type="dxa"/>
            <w:vAlign w:val="center"/>
          </w:tcPr>
          <w:p>
            <w:pPr>
              <w:spacing w:line="360" w:lineRule="auto"/>
              <w:jc w:val="center"/>
              <w:rPr>
                <w:rFonts w:ascii="仿宋" w:hAnsi="仿宋" w:eastAsia="仿宋"/>
                <w:kern w:val="0"/>
                <w:szCs w:val="21"/>
              </w:rPr>
            </w:pPr>
            <w:r>
              <w:rPr>
                <w:rFonts w:hint="eastAsia" w:ascii="仿宋" w:hAnsi="仿宋" w:eastAsia="仿宋"/>
                <w:kern w:val="0"/>
                <w:szCs w:val="21"/>
              </w:rPr>
              <w:t>350</w:t>
            </w:r>
          </w:p>
        </w:tc>
        <w:tc>
          <w:tcPr>
            <w:tcW w:w="1634" w:type="dxa"/>
            <w:vAlign w:val="center"/>
          </w:tcPr>
          <w:p>
            <w:pPr>
              <w:spacing w:line="360" w:lineRule="auto"/>
              <w:jc w:val="center"/>
              <w:rPr>
                <w:rFonts w:ascii="仿宋" w:hAnsi="仿宋" w:eastAsia="仿宋" w:cs="Arial"/>
                <w:szCs w:val="21"/>
              </w:rPr>
            </w:pPr>
            <w:r>
              <w:rPr>
                <w:rFonts w:ascii="仿宋" w:hAnsi="仿宋" w:eastAsia="仿宋" w:cs="Arial"/>
                <w:szCs w:val="21"/>
              </w:rPr>
              <w:t>落地</w:t>
            </w:r>
          </w:p>
        </w:tc>
        <w:tc>
          <w:tcPr>
            <w:tcW w:w="1125" w:type="dxa"/>
            <w:vAlign w:val="center"/>
          </w:tcPr>
          <w:p>
            <w:pPr>
              <w:spacing w:line="360" w:lineRule="auto"/>
              <w:jc w:val="center"/>
              <w:rPr>
                <w:rFonts w:ascii="仿宋" w:hAnsi="仿宋" w:eastAsia="仿宋" w:cs="Arial"/>
                <w:szCs w:val="21"/>
              </w:rPr>
            </w:pPr>
            <w:r>
              <w:rPr>
                <w:rFonts w:hint="eastAsia" w:ascii="仿宋" w:hAnsi="仿宋" w:eastAsia="仿宋"/>
                <w:kern w:val="0"/>
                <w:szCs w:val="21"/>
              </w:rPr>
              <w:t>满配SC/APC熔接盘、双</w:t>
            </w:r>
            <w:r>
              <w:rPr>
                <w:rFonts w:ascii="仿宋" w:hAnsi="仿宋" w:eastAsia="仿宋"/>
                <w:kern w:val="0"/>
                <w:szCs w:val="21"/>
              </w:rPr>
              <w:t>面操作</w:t>
            </w:r>
          </w:p>
        </w:tc>
      </w:tr>
    </w:tbl>
    <w:p>
      <w:pPr>
        <w:spacing w:line="360" w:lineRule="auto"/>
        <w:ind w:firstLine="420"/>
        <w:rPr>
          <w:rFonts w:hint="eastAsia" w:ascii="宋体" w:hAnsi="宋体"/>
          <w:szCs w:val="21"/>
        </w:rPr>
      </w:pPr>
    </w:p>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项目预算</w:t>
      </w:r>
      <w:r>
        <w:rPr>
          <w:rFonts w:hint="eastAsia" w:ascii="宋体" w:hAnsi="宋体"/>
          <w:szCs w:val="21"/>
          <w:highlight w:val="none"/>
        </w:rPr>
        <w:t>：</w:t>
      </w:r>
      <w:r>
        <w:rPr>
          <w:rFonts w:hint="eastAsia" w:ascii="宋体" w:hAnsi="宋体"/>
          <w:szCs w:val="21"/>
          <w:highlight w:val="none"/>
          <w:lang w:val="en-US" w:eastAsia="zh-CN"/>
        </w:rPr>
        <w:t>50</w:t>
      </w:r>
      <w:r>
        <w:rPr>
          <w:rFonts w:hint="eastAsia" w:ascii="宋体" w:hAnsi="宋体"/>
          <w:szCs w:val="21"/>
          <w:highlight w:val="none"/>
        </w:rPr>
        <w:t>万元人民币（含税）。</w:t>
      </w:r>
    </w:p>
    <w:p>
      <w:pPr>
        <w:spacing w:line="360" w:lineRule="auto"/>
        <w:ind w:firstLine="420"/>
        <w:rPr>
          <w:rFonts w:hint="default" w:ascii="宋体" w:hAnsi="宋体" w:eastAsia="宋体"/>
          <w:szCs w:val="21"/>
          <w:highlight w:val="none"/>
          <w:lang w:val="en-US" w:eastAsia="zh-CN"/>
        </w:rPr>
      </w:pPr>
      <w:r>
        <w:rPr>
          <w:rFonts w:hint="eastAsia" w:ascii="宋体" w:hAnsi="宋体"/>
          <w:szCs w:val="21"/>
          <w:highlight w:val="none"/>
        </w:rPr>
        <w:t>本次招标合同有效期为：本次招标合同有效期为：每年采取不低于一次的二次询价，截至再次招标公示中标人为止。</w:t>
      </w:r>
    </w:p>
    <w:p>
      <w:pPr>
        <w:spacing w:line="360" w:lineRule="auto"/>
        <w:ind w:firstLine="420"/>
        <w:rPr>
          <w:rFonts w:ascii="宋体" w:hAnsi="宋体"/>
          <w:szCs w:val="21"/>
        </w:rPr>
      </w:pPr>
      <w:r>
        <w:rPr>
          <w:rFonts w:hint="eastAsia" w:ascii="宋体" w:hAnsi="宋体"/>
          <w:szCs w:val="21"/>
        </w:rPr>
        <w:t>交货期：</w:t>
      </w:r>
      <w:r>
        <w:rPr>
          <w:rFonts w:hint="eastAsia" w:ascii="宋体" w:hAnsi="宋体"/>
          <w:szCs w:val="21"/>
          <w:highlight w:val="none"/>
        </w:rPr>
        <w:t>自收到甲方供货通知后20个日历日内完成订单货物的送达。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hint="default" w:ascii="宋体" w:hAnsi="宋体" w:eastAsia="宋体"/>
          <w:szCs w:val="21"/>
          <w:lang w:val="en-US" w:eastAsia="zh-CN"/>
        </w:rPr>
      </w:pPr>
      <w:r>
        <w:rPr>
          <w:rFonts w:hint="eastAsia" w:ascii="宋体" w:hAnsi="宋体"/>
          <w:szCs w:val="21"/>
        </w:rPr>
        <w:t>质保期：</w:t>
      </w:r>
      <w:r>
        <w:rPr>
          <w:rFonts w:hint="eastAsia" w:ascii="宋体" w:hAnsi="宋体"/>
          <w:szCs w:val="21"/>
          <w:lang w:val="en-US" w:eastAsia="zh-CN"/>
        </w:rPr>
        <w:t>满足甲方及国家相关标准要求。</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highlight w:val="none"/>
          <w:lang w:eastAsia="zh-CN"/>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14687"/>
      <w:bookmarkStart w:id="8" w:name="_Toc9017235"/>
      <w:bookmarkStart w:id="9" w:name="_Toc319394715"/>
      <w:bookmarkStart w:id="10" w:name="_Toc319769474"/>
      <w:bookmarkStart w:id="11" w:name="_Toc184704556"/>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rPr>
        <w:t>投标人应为中华人民共和国境内（不含港澳台地区）注册、法律上和财务上独立的</w:t>
      </w:r>
      <w:r>
        <w:rPr>
          <w:rFonts w:hint="eastAsia" w:ascii="宋体" w:hAnsi="宋体"/>
          <w:szCs w:val="21"/>
          <w:lang w:val="en-US" w:eastAsia="zh-CN"/>
        </w:rPr>
        <w:t>投标产品制造商</w:t>
      </w:r>
      <w:r>
        <w:rPr>
          <w:rFonts w:hint="eastAsia" w:ascii="宋体" w:hAnsi="宋体"/>
          <w:szCs w:val="21"/>
          <w:highlight w:val="none"/>
        </w:rPr>
        <w:t>，合</w:t>
      </w:r>
      <w:r>
        <w:rPr>
          <w:rFonts w:hint="eastAsia" w:ascii="宋体" w:hAnsi="宋体"/>
          <w:szCs w:val="21"/>
        </w:rPr>
        <w:t>法运作并独立于招标人和招标代理机构，投标人</w:t>
      </w:r>
      <w:r>
        <w:rPr>
          <w:rFonts w:hint="eastAsia" w:ascii="宋体" w:hAnsi="宋体"/>
        </w:rPr>
        <w:t>须提供加载“统一社会信用代码”的营业执照复印件</w:t>
      </w:r>
      <w:r>
        <w:rPr>
          <w:rFonts w:hint="eastAsia" w:ascii="宋体" w:hAnsi="宋体"/>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bookmarkStart w:id="26" w:name="_GoBack"/>
      <w:bookmarkEnd w:id="26"/>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u w:val="single"/>
          <w:lang w:eastAsia="zh-CN"/>
        </w:rPr>
        <w:t>。</w:t>
      </w:r>
    </w:p>
    <w:p>
      <w:pPr>
        <w:numPr>
          <w:ilvl w:val="2"/>
          <w:numId w:val="1"/>
        </w:numPr>
        <w:spacing w:line="440" w:lineRule="exact"/>
        <w:ind w:left="0" w:firstLine="420"/>
        <w:rPr>
          <w:rFonts w:ascii="宋体" w:hAnsi="宋体"/>
          <w:szCs w:val="21"/>
        </w:rPr>
      </w:pPr>
      <w:r>
        <w:rPr>
          <w:rFonts w:hint="eastAsia" w:ascii="宋体" w:hAnsi="宋体"/>
          <w:szCs w:val="21"/>
        </w:rPr>
        <w:t>投标人</w:t>
      </w:r>
      <w:r>
        <w:rPr>
          <w:rFonts w:hint="eastAsia" w:ascii="宋体" w:hAnsi="宋体"/>
          <w:szCs w:val="21"/>
          <w:lang w:val="en-US" w:eastAsia="zh-CN"/>
        </w:rPr>
        <w:t>拟投</w:t>
      </w:r>
      <w:r>
        <w:rPr>
          <w:rFonts w:hint="eastAsia" w:ascii="宋体" w:hAnsi="宋体"/>
          <w:szCs w:val="21"/>
          <w:highlight w:val="none"/>
          <w:lang w:val="en-US" w:eastAsia="zh-CN"/>
        </w:rPr>
        <w:t>标产品</w:t>
      </w:r>
      <w:r>
        <w:rPr>
          <w:rFonts w:hint="eastAsia" w:ascii="宋体" w:hAnsi="宋体"/>
          <w:szCs w:val="21"/>
          <w:highlight w:val="none"/>
        </w:rPr>
        <w:t>通过ISO9000系列质量管理体系认证，且认证覆盖范围包含投标同类产品；须提供有效期内的证书复印件，原件备查。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本项目要求投标人满足以下业绩要求：</w:t>
      </w:r>
      <w:r>
        <w:rPr>
          <w:rFonts w:hint="eastAsia" w:ascii="宋体" w:hAnsi="宋体"/>
          <w:szCs w:val="21"/>
          <w:u w:val="single"/>
        </w:rPr>
        <w:t>投标人具备自</w:t>
      </w:r>
      <w:r>
        <w:rPr>
          <w:rFonts w:hint="eastAsia" w:ascii="宋体" w:hAnsi="宋体" w:eastAsiaTheme="minorEastAsia" w:cstheme="minorBidi"/>
          <w:szCs w:val="21"/>
          <w:u w:val="single"/>
        </w:rPr>
        <w:t>201</w:t>
      </w:r>
      <w:r>
        <w:rPr>
          <w:rFonts w:hint="eastAsia" w:ascii="宋体" w:hAnsi="宋体" w:eastAsiaTheme="minorEastAsia" w:cstheme="minorBidi"/>
          <w:szCs w:val="21"/>
          <w:u w:val="single"/>
          <w:lang w:val="en-US" w:eastAsia="zh-CN"/>
        </w:rPr>
        <w:t>7</w:t>
      </w:r>
      <w:r>
        <w:rPr>
          <w:rFonts w:hint="eastAsia" w:ascii="宋体" w:hAnsi="宋体" w:eastAsiaTheme="minorEastAsia" w:cstheme="minorBidi"/>
          <w:szCs w:val="21"/>
          <w:u w:val="single"/>
        </w:rPr>
        <w:t>年1月1日</w:t>
      </w:r>
      <w:r>
        <w:rPr>
          <w:rFonts w:hint="eastAsia" w:ascii="宋体" w:hAnsi="宋体"/>
          <w:szCs w:val="21"/>
          <w:u w:val="single"/>
        </w:rPr>
        <w:t>（以合同或订单签订日期为准）</w:t>
      </w:r>
      <w:r>
        <w:rPr>
          <w:rFonts w:hint="eastAsia" w:ascii="宋体" w:hAnsi="宋体" w:eastAsiaTheme="minorEastAsia" w:cstheme="minorBidi"/>
          <w:szCs w:val="21"/>
          <w:u w:val="single"/>
        </w:rPr>
        <w:t>至今本企业</w:t>
      </w:r>
      <w:r>
        <w:rPr>
          <w:rFonts w:hint="eastAsia" w:ascii="宋体" w:hAnsi="宋体"/>
          <w:szCs w:val="21"/>
          <w:u w:val="single"/>
          <w:lang w:eastAsia="zh-CN"/>
        </w:rPr>
        <w:t>FTTH光缆交接箱</w:t>
      </w:r>
      <w:r>
        <w:rPr>
          <w:rFonts w:hint="eastAsia" w:ascii="宋体" w:hAnsi="宋体" w:eastAsiaTheme="minorEastAsia" w:cstheme="minorBidi"/>
          <w:szCs w:val="21"/>
          <w:u w:val="single"/>
        </w:rPr>
        <w:t>产品</w:t>
      </w:r>
      <w:r>
        <w:rPr>
          <w:rFonts w:hint="eastAsia" w:ascii="宋体" w:hAnsi="宋体" w:eastAsiaTheme="minorEastAsia" w:cstheme="minorBidi"/>
          <w:szCs w:val="21"/>
          <w:u w:val="single"/>
          <w:lang w:val="en-US" w:eastAsia="zh-CN"/>
        </w:rPr>
        <w:t>在通信行业</w:t>
      </w:r>
      <w:r>
        <w:rPr>
          <w:rFonts w:hint="eastAsia" w:ascii="宋体" w:hAnsi="宋体" w:eastAsiaTheme="minorEastAsia" w:cstheme="minorBidi"/>
          <w:szCs w:val="21"/>
          <w:u w:val="single"/>
        </w:rPr>
        <w:t>销售业绩，业绩累计金额达到</w:t>
      </w:r>
      <w:r>
        <w:rPr>
          <w:rFonts w:hint="eastAsia" w:ascii="宋体" w:hAnsi="宋体" w:eastAsiaTheme="minorEastAsia" w:cstheme="minorBidi"/>
          <w:szCs w:val="21"/>
          <w:u w:val="single"/>
          <w:lang w:val="en-US" w:eastAsia="zh-CN"/>
        </w:rPr>
        <w:t>700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18842"/>
      <w:bookmarkStart w:id="13" w:name="_Toc9017236"/>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3146"/>
      <w:bookmarkStart w:id="15" w:name="_Toc9017237"/>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【2020年9月15日至2020年9月21日</w:t>
      </w:r>
      <w:r>
        <w:rPr>
          <w:rFonts w:hint="eastAsia" w:ascii="宋体" w:hAnsi="宋体"/>
          <w:spacing w:val="2"/>
          <w:szCs w:val="21"/>
        </w:rPr>
        <w:t>。（北京时间，下同）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26503"/>
      <w:bookmarkStart w:id="17" w:name="_Toc9017238"/>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（即投标截止时间）为：2020年10月1</w:t>
      </w:r>
      <w:r>
        <w:rPr>
          <w:rFonts w:hint="eastAsia" w:ascii="宋体" w:hAnsi="宋体"/>
          <w:szCs w:val="21"/>
          <w:lang w:val="en-US" w:eastAsia="zh-CN"/>
        </w:rPr>
        <w:t>4</w:t>
      </w:r>
      <w:r>
        <w:rPr>
          <w:rFonts w:hint="eastAsia" w:ascii="宋体" w:hAnsi="宋体"/>
          <w:szCs w:val="21"/>
        </w:rPr>
        <w:t>日9时30分</w:t>
      </w:r>
      <w:r>
        <w:rPr>
          <w:rFonts w:hint="eastAsia" w:ascii="宋体" w:hAnsi="宋体"/>
        </w:rPr>
        <w:t>。</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9017239"/>
      <w:bookmarkStart w:id="19" w:name="_Toc6844083"/>
      <w:bookmarkStart w:id="20" w:name="_Toc7973517"/>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13205"/>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w:t>
      </w:r>
      <w:r>
        <w:rPr>
          <w:rFonts w:hint="eastAsia" w:ascii="宋体" w:hAnsi="宋体"/>
          <w:szCs w:val="21"/>
          <w:highlight w:val="none"/>
          <w:u w:val="single"/>
        </w:rPr>
        <w:t>供样品，（</w:t>
      </w:r>
      <w:r>
        <w:rPr>
          <w:rFonts w:hint="eastAsia" w:ascii="宋体" w:hAnsi="宋体"/>
          <w:b/>
          <w:bCs/>
          <w:szCs w:val="21"/>
          <w:highlight w:val="none"/>
          <w:u w:val="single"/>
          <w:lang w:val="en-US" w:eastAsia="zh-CN"/>
        </w:rPr>
        <w:t>投标</w:t>
      </w:r>
      <w:r>
        <w:rPr>
          <w:rFonts w:hint="eastAsia" w:ascii="宋体" w:hAnsi="宋体"/>
          <w:b/>
          <w:bCs/>
          <w:szCs w:val="21"/>
          <w:highlight w:val="none"/>
          <w:u w:val="single"/>
        </w:rPr>
        <w:t>人</w:t>
      </w:r>
      <w:r>
        <w:rPr>
          <w:rFonts w:hint="eastAsia" w:ascii="宋体" w:hAnsi="宋体"/>
          <w:b/>
          <w:bCs/>
          <w:szCs w:val="21"/>
          <w:highlight w:val="none"/>
          <w:u w:val="single"/>
          <w:lang w:val="en-US" w:eastAsia="zh-CN"/>
        </w:rPr>
        <w:t>须</w:t>
      </w:r>
      <w:r>
        <w:rPr>
          <w:rFonts w:hint="eastAsia" w:ascii="宋体" w:hAnsi="宋体"/>
          <w:b/>
          <w:bCs/>
          <w:szCs w:val="21"/>
          <w:highlight w:val="none"/>
          <w:u w:val="single"/>
        </w:rPr>
        <w:t>提供</w:t>
      </w:r>
      <w:r>
        <w:rPr>
          <w:rFonts w:hint="eastAsia" w:ascii="宋体" w:hAnsi="宋体"/>
          <w:b/>
          <w:bCs/>
          <w:szCs w:val="21"/>
          <w:highlight w:val="none"/>
          <w:u w:val="single"/>
          <w:lang w:val="en-US" w:eastAsia="zh-CN"/>
        </w:rPr>
        <w:t>本次拟采购的交接箱288FTTH型SMC，普通型不锈钢288</w:t>
      </w:r>
      <w:r>
        <w:rPr>
          <w:rFonts w:hint="eastAsia" w:ascii="宋体" w:hAnsi="宋体"/>
          <w:szCs w:val="21"/>
          <w:highlight w:val="none"/>
          <w:u w:val="single"/>
          <w:lang w:val="en-US" w:eastAsia="zh-CN"/>
        </w:rPr>
        <w:t>样品及配件</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样品放置于</w:t>
      </w:r>
      <w:r>
        <w:rPr>
          <w:rFonts w:hint="eastAsia" w:ascii="宋体" w:hAnsi="宋体"/>
          <w:b/>
          <w:bCs/>
          <w:szCs w:val="21"/>
          <w:u w:val="single"/>
          <w:lang w:val="en-US" w:eastAsia="zh-CN"/>
        </w:rPr>
        <w:t>江苏有线南通分公司</w:t>
      </w:r>
      <w:r>
        <w:rPr>
          <w:rFonts w:hint="eastAsia" w:ascii="宋体" w:hAnsi="宋体"/>
          <w:b/>
          <w:bCs/>
          <w:szCs w:val="21"/>
          <w:u w:val="single"/>
        </w:rPr>
        <w:t>南大门内侧。未按时提交样品，或提交的样品不能满足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 xml:space="preserve"> </w:t>
      </w:r>
      <w:r>
        <w:rPr>
          <w:rFonts w:hint="eastAsia" w:ascii="宋体" w:hAnsi="宋体"/>
          <w:szCs w:val="21"/>
          <w:u w:val="single"/>
        </w:rPr>
        <w:t xml:space="preserve"> </w:t>
      </w: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9017241"/>
      <w:bookmarkStart w:id="23" w:name="_Toc7948"/>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29431"/>
      <w:bookmarkStart w:id="25" w:name="_Toc9017242"/>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adjustRightInd w:val="0"/>
        <w:snapToGrid w:val="0"/>
        <w:spacing w:line="440" w:lineRule="exact"/>
        <w:ind w:firstLine="3990" w:firstLineChars="1900"/>
        <w:rPr>
          <w:rFonts w:ascii="宋体" w:hAnsi="宋体"/>
          <w:szCs w:val="21"/>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宋体" w:hAnsi="宋体"/>
          <w:szCs w:val="21"/>
        </w:rPr>
        <w:t>2020年9月14日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9022651"/>
      <w:docPartObj>
        <w:docPartGallery w:val="autotext"/>
      </w:docPartObj>
    </w:sdtPr>
    <w:sdtContent>
      <w:p>
        <w:pPr>
          <w:pStyle w:val="4"/>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7</w:t>
        </w:r>
        <w:r>
          <w:rPr>
            <w:rFonts w:ascii="宋体" w:hAnsi="宋体"/>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B66EB6"/>
    <w:rsid w:val="4BB66EB6"/>
    <w:rsid w:val="4F015938"/>
    <w:rsid w:val="58981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2020-09-11T03:47:00Z</dcterms:created>
  <dc:creator>CT</dc:creator>
  <cp:lastModifiedBy>CT</cp:lastModifiedBy>
  <dcterms:modified xsi:type="dcterms:W3CDTF">2020-09-13T06:04:15Z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