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240" w:after="120"/>
        <w:rPr>
          <w:rFonts w:ascii="宋体" w:hAnsi="宋体"/>
          <w:b/>
          <w:szCs w:val="21"/>
        </w:rPr>
      </w:pPr>
      <w:bookmarkStart w:id="0" w:name="_Toc447265497"/>
      <w:bookmarkStart w:id="1" w:name="_Toc447188662"/>
      <w:bookmarkStart w:id="2" w:name="_Toc447265211"/>
      <w:bookmarkStart w:id="3" w:name="_Toc16097"/>
      <w:bookmarkStart w:id="4" w:name="_Toc447265797"/>
      <w:bookmarkStart w:id="26" w:name="_GoBack"/>
      <w:r>
        <w:rPr>
          <w:rFonts w:hint="eastAsia" w:ascii="宋体" w:hAnsi="宋体" w:eastAsia="宋体" w:cs="宋体"/>
          <w:b/>
          <w:bCs w:val="0"/>
          <w:kern w:val="0"/>
          <w:sz w:val="28"/>
          <w:szCs w:val="28"/>
        </w:rPr>
        <w:t>2020年全系列员工工作服采购项目招标公告</w:t>
      </w:r>
      <w:bookmarkEnd w:id="0"/>
      <w:bookmarkEnd w:id="1"/>
      <w:bookmarkEnd w:id="2"/>
      <w:bookmarkEnd w:id="3"/>
      <w:bookmarkEnd w:id="4"/>
    </w:p>
    <w:bookmarkEnd w:id="26"/>
    <w:p>
      <w:pPr>
        <w:adjustRightInd w:val="0"/>
        <w:snapToGrid w:val="0"/>
        <w:spacing w:line="360" w:lineRule="auto"/>
        <w:ind w:firstLine="420"/>
        <w:rPr>
          <w:rFonts w:ascii="宋体" w:hAnsi="宋体"/>
          <w:szCs w:val="21"/>
        </w:rPr>
      </w:pPr>
      <w:r>
        <w:rPr>
          <w:rFonts w:hint="eastAsia" w:ascii="宋体" w:hAnsi="宋体"/>
          <w:szCs w:val="21"/>
        </w:rPr>
        <w:t>本招标项目为</w:t>
      </w:r>
      <w:r>
        <w:rPr>
          <w:rFonts w:hint="eastAsia" w:ascii="宋体" w:hAnsi="宋体"/>
          <w:szCs w:val="21"/>
          <w:u w:val="single"/>
        </w:rPr>
        <w:t xml:space="preserve">【2020年全系列员工工作服采购项目】 </w:t>
      </w:r>
      <w:r>
        <w:rPr>
          <w:rFonts w:hint="eastAsia" w:ascii="宋体" w:hAnsi="宋体"/>
          <w:szCs w:val="21"/>
        </w:rPr>
        <w:t>，</w:t>
      </w:r>
      <w:r>
        <w:rPr>
          <w:rFonts w:hint="eastAsia" w:ascii="宋体" w:hAnsi="宋体"/>
          <w:szCs w:val="21"/>
          <w:u w:val="single"/>
        </w:rPr>
        <w:t>（招标编号：YT04202001075ZB）</w:t>
      </w:r>
      <w:r>
        <w:rPr>
          <w:rFonts w:hint="eastAsia" w:ascii="宋体" w:hAnsi="宋体"/>
          <w:szCs w:val="21"/>
        </w:rPr>
        <w:t>，招标人为</w:t>
      </w:r>
      <w:r>
        <w:rPr>
          <w:rFonts w:hint="eastAsia" w:ascii="宋体" w:hAnsi="宋体"/>
          <w:szCs w:val="21"/>
          <w:u w:val="single"/>
        </w:rPr>
        <w:t xml:space="preserve">【江苏省广电有线信息网络股份有限公司南通分公司】 </w:t>
      </w:r>
      <w:r>
        <w:rPr>
          <w:rFonts w:hint="eastAsia" w:ascii="宋体" w:hAnsi="宋体"/>
          <w:szCs w:val="21"/>
        </w:rPr>
        <w:t>，招标代理机构为</w:t>
      </w:r>
      <w:r>
        <w:rPr>
          <w:rFonts w:hint="eastAsia" w:ascii="宋体" w:hAnsi="宋体"/>
          <w:szCs w:val="21"/>
          <w:u w:val="single"/>
        </w:rPr>
        <w:t xml:space="preserve"> 【中邮通建设咨询有限公司】 </w:t>
      </w:r>
      <w:r>
        <w:rPr>
          <w:rFonts w:hint="eastAsia" w:ascii="宋体" w:hAnsi="宋体"/>
          <w:szCs w:val="21"/>
        </w:rPr>
        <w:t>。项目资金由</w:t>
      </w:r>
      <w:r>
        <w:rPr>
          <w:rFonts w:hint="eastAsia" w:ascii="宋体" w:hAnsi="宋体"/>
          <w:szCs w:val="21"/>
          <w:u w:val="single"/>
        </w:rPr>
        <w:t xml:space="preserve"> 【招标人自筹】 </w:t>
      </w:r>
      <w:r>
        <w:rPr>
          <w:rFonts w:hint="eastAsia" w:ascii="宋体" w:hAnsi="宋体"/>
          <w:szCs w:val="21"/>
        </w:rPr>
        <w:t>，资金已落实。项目已具备招标条件，现进行公开招标，特邀请有意向的且具有提供标的物能力的潜在投标人（以下简称投标人）参加投标。</w:t>
      </w:r>
    </w:p>
    <w:p>
      <w:pPr>
        <w:pStyle w:val="8"/>
        <w:numPr>
          <w:ilvl w:val="0"/>
          <w:numId w:val="1"/>
        </w:numPr>
        <w:adjustRightInd w:val="0"/>
        <w:snapToGrid w:val="0"/>
        <w:spacing w:line="440" w:lineRule="exact"/>
        <w:ind w:firstLineChars="0"/>
        <w:outlineLvl w:val="1"/>
        <w:rPr>
          <w:rFonts w:ascii="宋体" w:hAnsi="宋体"/>
          <w:b/>
          <w:szCs w:val="21"/>
        </w:rPr>
      </w:pPr>
      <w:bookmarkStart w:id="5" w:name="_Toc9017234"/>
      <w:bookmarkStart w:id="6" w:name="_Toc7800"/>
      <w:r>
        <w:rPr>
          <w:rFonts w:hint="eastAsia" w:ascii="宋体" w:hAnsi="宋体"/>
          <w:b/>
          <w:szCs w:val="21"/>
        </w:rPr>
        <w:t>招标范围</w:t>
      </w:r>
      <w:bookmarkEnd w:id="5"/>
      <w:bookmarkEnd w:id="6"/>
    </w:p>
    <w:p>
      <w:pPr>
        <w:pStyle w:val="8"/>
        <w:numPr>
          <w:ilvl w:val="1"/>
          <w:numId w:val="1"/>
        </w:numPr>
        <w:adjustRightInd w:val="0"/>
        <w:snapToGrid w:val="0"/>
        <w:spacing w:line="440" w:lineRule="exact"/>
        <w:ind w:firstLineChars="0"/>
        <w:rPr>
          <w:rFonts w:ascii="宋体" w:hAnsi="宋体"/>
          <w:szCs w:val="21"/>
        </w:rPr>
      </w:pPr>
      <w:r>
        <w:rPr>
          <w:rFonts w:hint="eastAsia" w:ascii="宋体" w:hAnsi="宋体"/>
          <w:szCs w:val="21"/>
        </w:rPr>
        <w:t>项目概况：本次为2020年全系列员工工作服采购项目。</w:t>
      </w:r>
    </w:p>
    <w:p>
      <w:pPr>
        <w:pStyle w:val="8"/>
        <w:numPr>
          <w:ilvl w:val="1"/>
          <w:numId w:val="1"/>
        </w:numPr>
        <w:adjustRightInd w:val="0"/>
        <w:snapToGrid w:val="0"/>
        <w:spacing w:line="440" w:lineRule="exact"/>
        <w:ind w:firstLineChars="0"/>
        <w:rPr>
          <w:rFonts w:ascii="宋体" w:hAnsi="宋体"/>
          <w:szCs w:val="21"/>
        </w:rPr>
      </w:pPr>
      <w:r>
        <w:rPr>
          <w:rFonts w:hint="eastAsia" w:ascii="宋体" w:hAnsi="宋体"/>
          <w:szCs w:val="21"/>
        </w:rPr>
        <w:t>招标内容：</w:t>
      </w:r>
    </w:p>
    <w:p>
      <w:pPr>
        <w:adjustRightInd w:val="0"/>
        <w:snapToGrid w:val="0"/>
        <w:spacing w:line="440" w:lineRule="exact"/>
        <w:ind w:left="425"/>
        <w:rPr>
          <w:rFonts w:ascii="宋体" w:hAnsi="宋体"/>
          <w:szCs w:val="21"/>
        </w:rPr>
      </w:pPr>
      <w:r>
        <w:rPr>
          <w:rFonts w:hint="eastAsia" w:ascii="宋体" w:hAnsi="宋体"/>
          <w:szCs w:val="21"/>
        </w:rPr>
        <w:t>本次招标的预估规模、货物名称具体如下，具体参数见技术规范书：</w:t>
      </w:r>
    </w:p>
    <w:tbl>
      <w:tblPr>
        <w:tblStyle w:val="5"/>
        <w:tblW w:w="7248" w:type="dxa"/>
        <w:tblInd w:w="657" w:type="dxa"/>
        <w:tblLayout w:type="autofit"/>
        <w:tblCellMar>
          <w:top w:w="0" w:type="dxa"/>
          <w:left w:w="108" w:type="dxa"/>
          <w:bottom w:w="0" w:type="dxa"/>
          <w:right w:w="108" w:type="dxa"/>
        </w:tblCellMar>
      </w:tblPr>
      <w:tblGrid>
        <w:gridCol w:w="1080"/>
        <w:gridCol w:w="1520"/>
        <w:gridCol w:w="1080"/>
        <w:gridCol w:w="844"/>
        <w:gridCol w:w="236"/>
        <w:gridCol w:w="1212"/>
        <w:gridCol w:w="1276"/>
      </w:tblGrid>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类别</w:t>
            </w:r>
          </w:p>
        </w:tc>
        <w:tc>
          <w:tcPr>
            <w:tcW w:w="15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品名</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数量/人</w:t>
            </w:r>
          </w:p>
        </w:tc>
        <w:tc>
          <w:tcPr>
            <w:tcW w:w="8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236" w:type="dxa"/>
            <w:tcBorders>
              <w:top w:val="single" w:color="auto" w:sz="4" w:space="0"/>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single" w:color="auto" w:sz="4" w:space="0"/>
              <w:left w:val="nil"/>
              <w:bottom w:val="single" w:color="auto" w:sz="4" w:space="0"/>
              <w:right w:val="single" w:color="auto" w:sz="4" w:space="0"/>
            </w:tcBorders>
            <w:shd w:val="clear" w:color="auto" w:fill="auto"/>
            <w:noWrap/>
            <w:vAlign w:val="center"/>
          </w:tcPr>
          <w:p>
            <w:pPr>
              <w:widowControl/>
              <w:ind w:firstLine="220" w:firstLineChars="100"/>
              <w:rPr>
                <w:rFonts w:ascii="宋体" w:hAnsi="宋体" w:cs="宋体"/>
                <w:color w:val="000000"/>
                <w:kern w:val="0"/>
                <w:sz w:val="22"/>
                <w:szCs w:val="22"/>
              </w:rPr>
            </w:pPr>
            <w:r>
              <w:rPr>
                <w:rFonts w:hint="eastAsia" w:ascii="宋体" w:hAnsi="宋体" w:cs="宋体"/>
                <w:color w:val="000000"/>
                <w:kern w:val="0"/>
                <w:sz w:val="22"/>
                <w:szCs w:val="22"/>
              </w:rPr>
              <w:t>人数</w:t>
            </w:r>
          </w:p>
        </w:tc>
        <w:tc>
          <w:tcPr>
            <w:tcW w:w="1276"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单项最高限价（元）</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男</w:t>
            </w: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短袖衬衫</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长袖衬衫</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短袖</w:t>
            </w:r>
            <w:r>
              <w:rPr>
                <w:rFonts w:hint="eastAsia" w:ascii="宋体" w:hAnsi="宋体" w:cs="宋体"/>
                <w:color w:val="000000"/>
                <w:kern w:val="0"/>
                <w:sz w:val="24"/>
              </w:rPr>
              <w:t>T恤A</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短袖</w:t>
            </w:r>
            <w:r>
              <w:rPr>
                <w:rFonts w:hint="eastAsia" w:ascii="宋体" w:hAnsi="宋体" w:cs="宋体"/>
                <w:color w:val="000000"/>
                <w:kern w:val="0"/>
                <w:sz w:val="24"/>
              </w:rPr>
              <w:t>T恤B</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夏裤</w:t>
            </w:r>
            <w:r>
              <w:rPr>
                <w:rFonts w:hint="eastAsia" w:ascii="宋体" w:hAnsi="宋体" w:cs="宋体"/>
                <w:color w:val="000000"/>
                <w:kern w:val="0"/>
                <w:sz w:val="24"/>
              </w:rPr>
              <w:t>A</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夏裤B</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休闲裤</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冬西服套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春秋西服套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冲锋衣</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风衣</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羊绒大衣</w:t>
            </w:r>
            <w:r>
              <w:rPr>
                <w:rFonts w:hint="eastAsia" w:ascii="宋体" w:hAnsi="宋体" w:cs="宋体"/>
                <w:color w:val="000000"/>
                <w:kern w:val="0"/>
                <w:sz w:val="24"/>
              </w:rPr>
              <w:t>A</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羊绒大衣</w:t>
            </w:r>
            <w:r>
              <w:rPr>
                <w:rFonts w:hint="eastAsia" w:ascii="宋体" w:hAnsi="宋体" w:cs="宋体"/>
                <w:color w:val="000000"/>
                <w:kern w:val="0"/>
                <w:sz w:val="24"/>
              </w:rPr>
              <w:t>B</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羊绒大衣C</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1280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长袖夹克</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短袖夹克</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ind w:firstLine="240" w:firstLineChars="100"/>
              <w:jc w:val="center"/>
              <w:rPr>
                <w:rFonts w:ascii="宋体" w:hAnsi="宋体" w:cs="宋体"/>
                <w:color w:val="000000"/>
                <w:kern w:val="0"/>
                <w:sz w:val="24"/>
              </w:rPr>
            </w:pPr>
            <w:r>
              <w:rPr>
                <w:rFonts w:ascii="宋体" w:hAnsi="宋体" w:cs="宋体"/>
                <w:color w:val="000000"/>
                <w:kern w:val="0"/>
                <w:sz w:val="24"/>
              </w:rPr>
              <w:t>夹克裤</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短袖衬衫</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长袖衬衫</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短袖</w:t>
            </w:r>
            <w:r>
              <w:rPr>
                <w:rFonts w:hint="eastAsia" w:ascii="宋体" w:hAnsi="宋体" w:cs="宋体"/>
                <w:color w:val="000000"/>
                <w:kern w:val="0"/>
                <w:sz w:val="24"/>
              </w:rPr>
              <w:t>T恤A</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短袖</w:t>
            </w:r>
            <w:r>
              <w:rPr>
                <w:rFonts w:hint="eastAsia" w:ascii="宋体" w:hAnsi="宋体" w:cs="宋体"/>
                <w:color w:val="000000"/>
                <w:kern w:val="0"/>
                <w:sz w:val="24"/>
              </w:rPr>
              <w:t>T恤B</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夏裤</w:t>
            </w:r>
            <w:r>
              <w:rPr>
                <w:rFonts w:hint="eastAsia" w:ascii="宋体" w:hAnsi="宋体" w:cs="宋体"/>
                <w:color w:val="000000"/>
                <w:kern w:val="0"/>
                <w:sz w:val="24"/>
              </w:rPr>
              <w:t>A</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夏裤B</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ascii="宋体" w:hAnsi="宋体" w:cs="宋体"/>
                <w:color w:val="000000"/>
                <w:kern w:val="0"/>
                <w:sz w:val="24"/>
                <w:highlight w:val="none"/>
              </w:rPr>
              <w:t>夏裙</w:t>
            </w:r>
            <w:r>
              <w:rPr>
                <w:rFonts w:hint="eastAsia" w:ascii="宋体" w:hAnsi="宋体" w:cs="宋体"/>
                <w:color w:val="000000"/>
                <w:kern w:val="0"/>
                <w:sz w:val="24"/>
                <w:highlight w:val="none"/>
              </w:rPr>
              <w:t>A</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条</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highlight w:val="none"/>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highlight w:val="none"/>
              </w:rPr>
            </w:pPr>
            <w:r>
              <w:rPr>
                <w:rFonts w:ascii="宋体" w:hAnsi="宋体" w:cs="宋体"/>
                <w:color w:val="000000"/>
                <w:kern w:val="0"/>
                <w:sz w:val="22"/>
                <w:szCs w:val="22"/>
                <w:highlight w:val="none"/>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170</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ascii="宋体" w:hAnsi="宋体" w:cs="宋体"/>
                <w:color w:val="000000"/>
                <w:kern w:val="0"/>
                <w:sz w:val="24"/>
                <w:highlight w:val="none"/>
              </w:rPr>
              <w:t>夏裙</w:t>
            </w:r>
            <w:r>
              <w:rPr>
                <w:rFonts w:hint="eastAsia" w:ascii="宋体" w:hAnsi="宋体" w:cs="宋体"/>
                <w:color w:val="000000"/>
                <w:kern w:val="0"/>
                <w:sz w:val="24"/>
                <w:highlight w:val="none"/>
              </w:rPr>
              <w:t>B</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条</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highlight w:val="none"/>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highlight w:val="none"/>
              </w:rPr>
            </w:pPr>
            <w:r>
              <w:rPr>
                <w:rFonts w:ascii="宋体" w:hAnsi="宋体" w:cs="宋体"/>
                <w:color w:val="000000"/>
                <w:kern w:val="0"/>
                <w:sz w:val="22"/>
                <w:szCs w:val="22"/>
                <w:highlight w:val="none"/>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190</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休闲裤</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r>
      <w:tr>
        <w:trPr>
          <w:trHeight w:val="285" w:hRule="atLeast"/>
        </w:trPr>
        <w:tc>
          <w:tcPr>
            <w:tcW w:w="10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冬西服套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700</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春秋西服套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780</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冲锋衣</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850</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风衣</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236" w:type="dxa"/>
            <w:tcBorders>
              <w:top w:val="nil"/>
              <w:left w:val="single" w:color="auto" w:sz="4" w:space="0"/>
              <w:bottom w:val="single" w:color="auto" w:sz="4" w:space="0"/>
              <w:right w:val="nil"/>
            </w:tcBorders>
          </w:tcPr>
          <w:p>
            <w:pPr>
              <w:widowControl/>
              <w:jc w:val="center"/>
              <w:rPr>
                <w:rFonts w:ascii="宋体" w:hAnsi="宋体" w:cs="宋体"/>
                <w:color w:val="000000"/>
                <w:kern w:val="0"/>
                <w:sz w:val="22"/>
                <w:szCs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nil"/>
              <w:left w:val="nil"/>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800</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羊绒大衣</w:t>
            </w:r>
            <w:r>
              <w:rPr>
                <w:rFonts w:hint="eastAsia" w:ascii="宋体" w:hAnsi="宋体" w:cs="宋体"/>
                <w:color w:val="000000"/>
                <w:kern w:val="0"/>
                <w:sz w:val="24"/>
              </w:rPr>
              <w:t>A</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23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c>
          <w:tcPr>
            <w:tcW w:w="12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1120</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w:t>羊绒大衣</w:t>
            </w:r>
            <w:r>
              <w:rPr>
                <w:rFonts w:hint="eastAsia" w:ascii="宋体" w:hAnsi="宋体" w:cs="宋体"/>
                <w:color w:val="000000"/>
                <w:kern w:val="0"/>
                <w:sz w:val="24"/>
              </w:rPr>
              <w:t>B</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23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c>
          <w:tcPr>
            <w:tcW w:w="12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1250</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羊绒大衣C</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4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23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c>
          <w:tcPr>
            <w:tcW w:w="12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按需求</w:t>
            </w:r>
          </w:p>
        </w:tc>
        <w:tc>
          <w:tcPr>
            <w:tcW w:w="127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1280</w:t>
            </w:r>
          </w:p>
        </w:tc>
      </w:tr>
    </w:tbl>
    <w:p>
      <w:pPr>
        <w:spacing w:line="360" w:lineRule="auto"/>
        <w:rPr>
          <w:rFonts w:ascii="宋体" w:hAnsi="宋体"/>
          <w:szCs w:val="21"/>
        </w:rPr>
      </w:pPr>
    </w:p>
    <w:p>
      <w:pPr>
        <w:spacing w:line="360" w:lineRule="auto"/>
        <w:ind w:firstLine="420"/>
        <w:rPr>
          <w:rFonts w:ascii="宋体" w:hAnsi="宋体"/>
          <w:szCs w:val="21"/>
        </w:rPr>
      </w:pPr>
      <w:r>
        <w:rPr>
          <w:rFonts w:hint="eastAsia" w:ascii="宋体" w:hAnsi="宋体"/>
          <w:szCs w:val="21"/>
        </w:rPr>
        <w:t>具体采购样式及数量以甲方实际需要为准。</w:t>
      </w:r>
    </w:p>
    <w:p>
      <w:pPr>
        <w:spacing w:line="360" w:lineRule="auto"/>
        <w:ind w:firstLine="420"/>
        <w:rPr>
          <w:rFonts w:ascii="宋体" w:hAnsi="宋体"/>
          <w:szCs w:val="21"/>
        </w:rPr>
      </w:pPr>
      <w:r>
        <w:rPr>
          <w:rFonts w:hint="eastAsia" w:ascii="宋体" w:hAnsi="宋体"/>
          <w:szCs w:val="21"/>
        </w:rPr>
        <w:t>本次招标合同有效期为：每年根据实际采购需求须进行二次询价，最终订单以二次询价结果为准。截至再次招标公示中标人为止。</w:t>
      </w:r>
    </w:p>
    <w:p>
      <w:pPr>
        <w:spacing w:line="360" w:lineRule="auto"/>
        <w:ind w:firstLine="420"/>
        <w:rPr>
          <w:rFonts w:ascii="宋体" w:hAnsi="宋体"/>
          <w:szCs w:val="21"/>
        </w:rPr>
      </w:pPr>
      <w:r>
        <w:rPr>
          <w:rFonts w:hint="eastAsia" w:ascii="宋体" w:hAnsi="宋体"/>
          <w:szCs w:val="21"/>
        </w:rPr>
        <w:t>交货期：自收到甲方供货通知后45个日历日内完成订单货物的送达。</w:t>
      </w:r>
    </w:p>
    <w:p>
      <w:pPr>
        <w:spacing w:line="360" w:lineRule="auto"/>
        <w:ind w:firstLine="420"/>
        <w:rPr>
          <w:rFonts w:ascii="宋体" w:hAnsi="宋体"/>
          <w:szCs w:val="21"/>
        </w:rPr>
      </w:pPr>
      <w:r>
        <w:rPr>
          <w:rFonts w:hint="eastAsia" w:ascii="宋体" w:hAnsi="宋体"/>
          <w:szCs w:val="21"/>
        </w:rPr>
        <w:t>交货地点：南通，招标人指定地点。</w:t>
      </w:r>
    </w:p>
    <w:p>
      <w:pPr>
        <w:spacing w:line="360" w:lineRule="auto"/>
        <w:ind w:firstLine="420"/>
        <w:rPr>
          <w:rFonts w:ascii="宋体" w:hAnsi="宋体"/>
          <w:szCs w:val="21"/>
        </w:rPr>
      </w:pPr>
      <w:r>
        <w:rPr>
          <w:rFonts w:hint="eastAsia" w:ascii="宋体" w:hAnsi="宋体"/>
          <w:szCs w:val="21"/>
        </w:rPr>
        <w:t>质量：合格，符合国家及行业的相关标准</w:t>
      </w:r>
      <w:r>
        <w:rPr>
          <w:rFonts w:ascii="宋体" w:hAnsi="宋体"/>
          <w:szCs w:val="21"/>
        </w:rPr>
        <w:t>。</w:t>
      </w:r>
    </w:p>
    <w:p>
      <w:pPr>
        <w:spacing w:line="360" w:lineRule="auto"/>
        <w:ind w:firstLine="420"/>
        <w:rPr>
          <w:rFonts w:ascii="宋体" w:hAnsi="宋体"/>
          <w:szCs w:val="21"/>
        </w:rPr>
      </w:pPr>
      <w:r>
        <w:rPr>
          <w:rFonts w:hint="eastAsia" w:ascii="宋体" w:hAnsi="宋体"/>
          <w:szCs w:val="21"/>
        </w:rPr>
        <w:t>质保期：验收合格后叁年。</w:t>
      </w:r>
    </w:p>
    <w:p>
      <w:pPr>
        <w:pStyle w:val="8"/>
        <w:numPr>
          <w:ilvl w:val="1"/>
          <w:numId w:val="1"/>
        </w:numPr>
        <w:adjustRightInd w:val="0"/>
        <w:snapToGrid w:val="0"/>
        <w:spacing w:line="440" w:lineRule="exact"/>
        <w:ind w:left="0" w:firstLine="420"/>
        <w:rPr>
          <w:rFonts w:ascii="宋体" w:hAnsi="宋体"/>
          <w:szCs w:val="21"/>
        </w:rPr>
      </w:pPr>
      <w:r>
        <w:rPr>
          <w:rFonts w:hint="eastAsia" w:ascii="宋体" w:hAnsi="宋体"/>
          <w:szCs w:val="21"/>
        </w:rPr>
        <w:t>本项目不划分标包，本项目中标人数量为【1】个。</w:t>
      </w:r>
    </w:p>
    <w:p>
      <w:pPr>
        <w:pStyle w:val="8"/>
        <w:numPr>
          <w:ilvl w:val="1"/>
          <w:numId w:val="1"/>
        </w:numPr>
        <w:adjustRightInd w:val="0"/>
        <w:snapToGrid w:val="0"/>
        <w:spacing w:line="440" w:lineRule="exact"/>
        <w:ind w:left="0" w:firstLine="420"/>
        <w:rPr>
          <w:rFonts w:ascii="宋体" w:hAnsi="宋体"/>
          <w:szCs w:val="21"/>
        </w:rPr>
      </w:pPr>
      <w:r>
        <w:rPr>
          <w:rFonts w:hint="eastAsia" w:ascii="宋体" w:hAnsi="宋体"/>
          <w:szCs w:val="21"/>
        </w:rPr>
        <w:t>本项目</w:t>
      </w:r>
      <w:r>
        <w:rPr>
          <w:rFonts w:hint="eastAsia" w:ascii="宋体" w:hAnsi="宋体"/>
        </w:rPr>
        <w:t>设置单项最高投标限价，单项最高投标限价见1.2。超过单项最高限价即否决投标。</w:t>
      </w:r>
    </w:p>
    <w:p>
      <w:pPr>
        <w:pStyle w:val="8"/>
        <w:numPr>
          <w:ilvl w:val="0"/>
          <w:numId w:val="1"/>
        </w:numPr>
        <w:adjustRightInd w:val="0"/>
        <w:snapToGrid w:val="0"/>
        <w:spacing w:line="440" w:lineRule="exact"/>
        <w:ind w:firstLineChars="0"/>
        <w:outlineLvl w:val="1"/>
        <w:rPr>
          <w:rFonts w:ascii="宋体" w:hAnsi="宋体"/>
          <w:b/>
          <w:szCs w:val="21"/>
        </w:rPr>
      </w:pPr>
      <w:bookmarkStart w:id="7" w:name="_Toc9017235"/>
      <w:bookmarkStart w:id="8" w:name="_Toc14687"/>
      <w:bookmarkStart w:id="9" w:name="_Toc319769474"/>
      <w:bookmarkStart w:id="10" w:name="_Toc184704556"/>
      <w:bookmarkStart w:id="11" w:name="_Toc319394715"/>
      <w:r>
        <w:rPr>
          <w:rFonts w:hint="eastAsia" w:ascii="宋体" w:hAnsi="宋体"/>
          <w:szCs w:val="21"/>
        </w:rPr>
        <w:t>★</w:t>
      </w:r>
      <w:r>
        <w:rPr>
          <w:rFonts w:hint="eastAsia" w:ascii="宋体" w:hAnsi="宋体"/>
          <w:b/>
          <w:szCs w:val="21"/>
        </w:rPr>
        <w:t>投标人资格条件</w:t>
      </w:r>
      <w:bookmarkEnd w:id="7"/>
      <w:bookmarkEnd w:id="8"/>
    </w:p>
    <w:p>
      <w:pPr>
        <w:numPr>
          <w:ilvl w:val="1"/>
          <w:numId w:val="1"/>
        </w:numPr>
        <w:spacing w:line="440" w:lineRule="exact"/>
        <w:ind w:left="0" w:firstLine="422"/>
        <w:rPr>
          <w:rFonts w:ascii="宋体" w:hAnsi="宋体"/>
          <w:b/>
          <w:szCs w:val="21"/>
        </w:rPr>
      </w:pPr>
      <w:r>
        <w:rPr>
          <w:rFonts w:hint="eastAsia" w:ascii="宋体" w:hAnsi="宋体"/>
          <w:b/>
          <w:szCs w:val="21"/>
        </w:rPr>
        <w:t>投标人基本资格要求</w:t>
      </w:r>
    </w:p>
    <w:p>
      <w:pPr>
        <w:numPr>
          <w:ilvl w:val="2"/>
          <w:numId w:val="1"/>
        </w:numPr>
        <w:spacing w:line="440" w:lineRule="exact"/>
        <w:ind w:left="0" w:firstLine="420"/>
        <w:jc w:val="left"/>
        <w:rPr>
          <w:rFonts w:ascii="宋体" w:hAnsi="宋体"/>
          <w:szCs w:val="21"/>
        </w:rPr>
      </w:pPr>
      <w:r>
        <w:rPr>
          <w:rFonts w:hint="eastAsia" w:ascii="宋体" w:hAnsi="宋体"/>
          <w:szCs w:val="21"/>
        </w:rPr>
        <w:t>投标人应为中华人民共和国境内（不含港澳台地区）注册、法律上和财务上独立的投标产品制造商，合法运作并独立于招标人和招标代理机构，投标人</w:t>
      </w:r>
      <w:r>
        <w:rPr>
          <w:rFonts w:hint="eastAsia" w:ascii="宋体" w:hAnsi="宋体"/>
        </w:rPr>
        <w:t>须提供加载“统一社会信用代码”的营业执照复印件。</w:t>
      </w:r>
    </w:p>
    <w:p>
      <w:pPr>
        <w:pStyle w:val="2"/>
        <w:numPr>
          <w:ilvl w:val="2"/>
          <w:numId w:val="1"/>
        </w:numPr>
        <w:ind w:left="0" w:firstLine="420"/>
        <w:rPr>
          <w:rFonts w:ascii="宋体" w:hAnsi="宋体"/>
          <w:sz w:val="21"/>
          <w:szCs w:val="21"/>
        </w:rPr>
      </w:pPr>
      <w:r>
        <w:rPr>
          <w:rFonts w:hint="eastAsia" w:ascii="宋体" w:hAnsi="宋体"/>
          <w:sz w:val="21"/>
          <w:szCs w:val="21"/>
        </w:rPr>
        <w:t>投标人须提供一般纳税人证明文件复印件，原件备查或者承诺能够开具符合要求的增值税专用发票复印件。</w:t>
      </w:r>
    </w:p>
    <w:p>
      <w:pPr>
        <w:numPr>
          <w:ilvl w:val="2"/>
          <w:numId w:val="1"/>
        </w:numPr>
        <w:spacing w:line="440" w:lineRule="exact"/>
        <w:ind w:left="0" w:firstLine="420"/>
        <w:jc w:val="left"/>
        <w:rPr>
          <w:rFonts w:ascii="宋体" w:hAnsi="宋体"/>
          <w:szCs w:val="21"/>
        </w:rPr>
      </w:pPr>
      <w:r>
        <w:rPr>
          <w:rFonts w:hint="eastAsia" w:asciiTheme="minorEastAsia" w:hAnsiTheme="minorEastAsia"/>
          <w:szCs w:val="21"/>
        </w:rPr>
        <w:t>本项目要求投标人满足以下财务要求：</w:t>
      </w:r>
      <w:r>
        <w:rPr>
          <w:rFonts w:hint="eastAsia" w:asciiTheme="minorEastAsia" w:hAnsiTheme="minorEastAsia"/>
          <w:szCs w:val="21"/>
          <w:u w:val="single"/>
        </w:rPr>
        <w:t>投标人提供经第三方会计师事务所审计的</w:t>
      </w:r>
      <w:r>
        <w:rPr>
          <w:rFonts w:asciiTheme="minorEastAsia" w:hAnsiTheme="minorEastAsia"/>
          <w:szCs w:val="21"/>
          <w:u w:val="single"/>
        </w:rPr>
        <w:t>201</w:t>
      </w:r>
      <w:r>
        <w:rPr>
          <w:rFonts w:hint="eastAsia" w:asciiTheme="minorEastAsia" w:hAnsiTheme="minorEastAsia"/>
          <w:szCs w:val="21"/>
          <w:u w:val="single"/>
        </w:rPr>
        <w:t>9年财务报表（包括审计报告、资产负债平衡表、损益表）证明</w:t>
      </w:r>
      <w:r>
        <w:rPr>
          <w:rFonts w:hint="eastAsia" w:asciiTheme="minorEastAsia" w:hAnsiTheme="minorEastAsia"/>
          <w:b/>
          <w:bCs/>
          <w:szCs w:val="21"/>
          <w:u w:val="single"/>
        </w:rPr>
        <w:t>无亏损</w:t>
      </w:r>
      <w:r>
        <w:rPr>
          <w:rFonts w:hint="eastAsia" w:asciiTheme="minorEastAsia" w:hAnsiTheme="minorEastAsia"/>
          <w:szCs w:val="21"/>
          <w:u w:val="single"/>
        </w:rPr>
        <w:t>或提供由</w:t>
      </w:r>
      <w:r>
        <w:rPr>
          <w:rFonts w:asciiTheme="minorEastAsia" w:hAnsiTheme="minorEastAsia"/>
          <w:szCs w:val="21"/>
          <w:u w:val="single"/>
        </w:rPr>
        <w:t>第三方评估机构或开户银行</w:t>
      </w:r>
      <w:r>
        <w:rPr>
          <w:rFonts w:hint="eastAsia" w:asciiTheme="minorEastAsia" w:hAnsiTheme="minorEastAsia"/>
          <w:szCs w:val="21"/>
          <w:u w:val="single"/>
        </w:rPr>
        <w:t>出具的资信良好证明性文件，提供复印件。</w:t>
      </w:r>
    </w:p>
    <w:p>
      <w:pPr>
        <w:numPr>
          <w:ilvl w:val="2"/>
          <w:numId w:val="1"/>
        </w:numPr>
        <w:spacing w:line="440" w:lineRule="exact"/>
        <w:ind w:left="0" w:firstLine="420"/>
        <w:rPr>
          <w:rFonts w:ascii="宋体" w:hAnsi="宋体"/>
          <w:szCs w:val="21"/>
        </w:rPr>
      </w:pPr>
      <w:r>
        <w:rPr>
          <w:rFonts w:hint="eastAsia" w:ascii="宋体" w:hAnsi="宋体"/>
          <w:szCs w:val="21"/>
        </w:rPr>
        <w:t>本次招标不接受联合体投标；</w:t>
      </w:r>
    </w:p>
    <w:p>
      <w:pPr>
        <w:numPr>
          <w:ilvl w:val="1"/>
          <w:numId w:val="1"/>
        </w:numPr>
        <w:spacing w:line="440" w:lineRule="exact"/>
        <w:ind w:left="0" w:firstLine="422"/>
        <w:rPr>
          <w:rFonts w:ascii="宋体" w:hAnsi="宋体"/>
          <w:b/>
          <w:szCs w:val="21"/>
        </w:rPr>
      </w:pPr>
      <w:r>
        <w:rPr>
          <w:rFonts w:hint="eastAsia" w:ascii="宋体" w:hAnsi="宋体"/>
          <w:b/>
          <w:szCs w:val="21"/>
        </w:rPr>
        <w:t>投标人不得存在下列情形之一</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为招标人不具有独立法人资格的附属机构（单位）；</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被责令停业或破产状态的；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被暂停或取消投标资格的；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财产被重组、接管、查封、扣押或冻结的；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在最近三年内骗取中标情形的；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在最近三年内因严重违反合同约定被解除合同/协议，或取消供应商资格的；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在最近五年内，存在与采购活动相关的行贿犯罪记录的（以“中国裁判文书网”为准）；</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在与中广有线或其他运营商合作过程中出现过重大问题且尚未妥善解决的；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相关产品在中广有线或其他运营商出现过重大质量或安全问题且未妥善解决的；</w:t>
      </w:r>
    </w:p>
    <w:p>
      <w:pPr>
        <w:numPr>
          <w:ilvl w:val="1"/>
          <w:numId w:val="1"/>
        </w:numPr>
        <w:spacing w:line="440" w:lineRule="exact"/>
        <w:ind w:left="0" w:firstLine="422"/>
        <w:rPr>
          <w:rFonts w:ascii="宋体" w:hAnsi="宋体"/>
          <w:szCs w:val="21"/>
        </w:rPr>
      </w:pPr>
      <w:r>
        <w:rPr>
          <w:rFonts w:hint="eastAsia" w:ascii="宋体" w:hAnsi="宋体"/>
          <w:szCs w:val="21"/>
        </w:rPr>
        <w:t>单位负责人为同一人或者存在控股、管理关系的不同单位，不得参加同一标包投标或者未划分标包的同一招标项目投标；</w:t>
      </w:r>
    </w:p>
    <w:bookmarkEnd w:id="9"/>
    <w:bookmarkEnd w:id="10"/>
    <w:bookmarkEnd w:id="11"/>
    <w:p>
      <w:pPr>
        <w:numPr>
          <w:ilvl w:val="1"/>
          <w:numId w:val="1"/>
        </w:numPr>
        <w:spacing w:line="440" w:lineRule="exact"/>
        <w:ind w:left="0" w:firstLine="422"/>
        <w:rPr>
          <w:rFonts w:ascii="宋体" w:hAnsi="宋体"/>
          <w:b/>
          <w:szCs w:val="21"/>
        </w:rPr>
      </w:pPr>
      <w:r>
        <w:rPr>
          <w:rFonts w:hint="eastAsia" w:ascii="宋体" w:hAnsi="宋体"/>
          <w:b/>
          <w:szCs w:val="21"/>
        </w:rPr>
        <w:t>其他要求：</w:t>
      </w:r>
      <w:r>
        <w:rPr>
          <w:rFonts w:hint="eastAsia" w:ascii="宋体" w:hAnsi="宋体"/>
          <w:szCs w:val="21"/>
          <w:u w:val="single"/>
        </w:rPr>
        <w:t>1、投标产品质量必须符合国家及行业的相关标准，且必须满足本项目的技术规范要求；若投标产品质量不符合规范书要求的，该投标人无条件退货并按要求整改发货，造成的损失和后果由该投标人负全责，提供承诺书原件；2、</w:t>
      </w:r>
      <w:r>
        <w:rPr>
          <w:rFonts w:hint="eastAsia" w:asciiTheme="minorEastAsia" w:hAnsiTheme="minorEastAsia"/>
          <w:szCs w:val="21"/>
          <w:u w:val="single"/>
        </w:rPr>
        <w:t>投标人须承诺投标产品应是来自中华人民共和国【或是与中华人民共和国有正</w:t>
      </w:r>
      <w:r>
        <w:rPr>
          <w:rFonts w:hint="eastAsia" w:ascii="宋体" w:hAnsi="宋体"/>
          <w:szCs w:val="21"/>
          <w:u w:val="single"/>
        </w:rPr>
        <w:t>常贸易与往来的国家或地区】的产品</w:t>
      </w:r>
      <w:r>
        <w:rPr>
          <w:rFonts w:ascii="宋体" w:hAnsi="宋体"/>
          <w:szCs w:val="21"/>
          <w:u w:val="single"/>
        </w:rPr>
        <w:t>，</w:t>
      </w:r>
      <w:r>
        <w:rPr>
          <w:rFonts w:hint="eastAsia" w:ascii="宋体" w:hAnsi="宋体"/>
          <w:szCs w:val="21"/>
          <w:u w:val="single"/>
        </w:rPr>
        <w:t>提供承诺书原件</w:t>
      </w:r>
      <w:r>
        <w:rPr>
          <w:rFonts w:ascii="宋体" w:hAnsi="宋体"/>
          <w:szCs w:val="21"/>
          <w:u w:val="single"/>
        </w:rPr>
        <w:t>；</w:t>
      </w:r>
      <w:r>
        <w:rPr>
          <w:rFonts w:hint="eastAsia" w:ascii="宋体" w:hAnsi="宋体"/>
          <w:szCs w:val="21"/>
          <w:u w:val="single"/>
        </w:rPr>
        <w:t>3、法律法规规定的其他要求。</w:t>
      </w:r>
    </w:p>
    <w:p>
      <w:pPr>
        <w:pStyle w:val="8"/>
        <w:numPr>
          <w:ilvl w:val="0"/>
          <w:numId w:val="1"/>
        </w:numPr>
        <w:adjustRightInd w:val="0"/>
        <w:snapToGrid w:val="0"/>
        <w:spacing w:line="440" w:lineRule="exact"/>
        <w:ind w:firstLineChars="0"/>
        <w:outlineLvl w:val="1"/>
        <w:rPr>
          <w:rFonts w:ascii="宋体" w:hAnsi="宋体"/>
          <w:b/>
          <w:szCs w:val="21"/>
        </w:rPr>
      </w:pPr>
      <w:bookmarkStart w:id="12" w:name="_Toc18842"/>
      <w:bookmarkStart w:id="13" w:name="_Toc9017236"/>
      <w:r>
        <w:rPr>
          <w:rFonts w:hint="eastAsia" w:ascii="宋体" w:hAnsi="宋体"/>
          <w:b/>
          <w:szCs w:val="21"/>
        </w:rPr>
        <w:t>资格审查方法</w:t>
      </w:r>
      <w:bookmarkEnd w:id="12"/>
      <w:bookmarkEnd w:id="13"/>
    </w:p>
    <w:p>
      <w:pPr>
        <w:pStyle w:val="8"/>
        <w:adjustRightInd w:val="0"/>
        <w:snapToGrid w:val="0"/>
        <w:spacing w:line="440" w:lineRule="exact"/>
        <w:rPr>
          <w:rFonts w:ascii="宋体" w:hAnsi="宋体"/>
          <w:szCs w:val="21"/>
        </w:rPr>
      </w:pPr>
      <w:r>
        <w:rPr>
          <w:rFonts w:hint="eastAsia" w:ascii="宋体" w:hAnsi="宋体"/>
          <w:szCs w:val="21"/>
        </w:rPr>
        <w:t>本项目将进行资格后审，资格审查标准和内容见招标文件第三章“评标办法”，凡未通过资格后审的投标人，其投标将被否决。</w:t>
      </w:r>
    </w:p>
    <w:p>
      <w:pPr>
        <w:pStyle w:val="8"/>
        <w:numPr>
          <w:ilvl w:val="0"/>
          <w:numId w:val="1"/>
        </w:numPr>
        <w:adjustRightInd w:val="0"/>
        <w:snapToGrid w:val="0"/>
        <w:spacing w:line="440" w:lineRule="exact"/>
        <w:ind w:firstLineChars="0"/>
        <w:outlineLvl w:val="1"/>
        <w:rPr>
          <w:rFonts w:ascii="宋体" w:hAnsi="宋体"/>
          <w:b/>
          <w:szCs w:val="21"/>
        </w:rPr>
      </w:pPr>
      <w:bookmarkStart w:id="14" w:name="_Toc9017237"/>
      <w:bookmarkStart w:id="15" w:name="_Toc3146"/>
      <w:r>
        <w:rPr>
          <w:rFonts w:hint="eastAsia" w:ascii="宋体" w:hAnsi="宋体"/>
          <w:b/>
          <w:szCs w:val="21"/>
        </w:rPr>
        <w:t>招标文件获取</w:t>
      </w:r>
      <w:bookmarkEnd w:id="14"/>
      <w:bookmarkEnd w:id="15"/>
    </w:p>
    <w:p>
      <w:pPr>
        <w:pStyle w:val="8"/>
        <w:numPr>
          <w:ilvl w:val="1"/>
          <w:numId w:val="3"/>
        </w:numPr>
        <w:adjustRightInd w:val="0"/>
        <w:snapToGrid w:val="0"/>
        <w:spacing w:line="440" w:lineRule="exact"/>
        <w:ind w:left="0" w:firstLine="424" w:firstLineChars="202"/>
        <w:rPr>
          <w:rFonts w:ascii="宋体" w:hAnsi="宋体"/>
          <w:szCs w:val="21"/>
          <w:highlight w:val="none"/>
        </w:rPr>
      </w:pPr>
      <w:r>
        <w:rPr>
          <w:rFonts w:hint="eastAsia" w:ascii="宋体" w:hAnsi="宋体"/>
          <w:szCs w:val="21"/>
        </w:rPr>
        <w:t>招标文件获取时</w:t>
      </w:r>
      <w:r>
        <w:rPr>
          <w:rFonts w:hint="eastAsia" w:ascii="宋体" w:hAnsi="宋体"/>
          <w:szCs w:val="21"/>
          <w:highlight w:val="none"/>
        </w:rPr>
        <w:t>间:【2020年11月1</w:t>
      </w:r>
      <w:r>
        <w:rPr>
          <w:rFonts w:hint="eastAsia" w:ascii="宋体" w:hAnsi="宋体"/>
          <w:szCs w:val="21"/>
          <w:highlight w:val="none"/>
          <w:lang w:val="en-US" w:eastAsia="zh-CN"/>
        </w:rPr>
        <w:t>3</w:t>
      </w:r>
      <w:r>
        <w:rPr>
          <w:rFonts w:hint="eastAsia" w:ascii="宋体" w:hAnsi="宋体"/>
          <w:szCs w:val="21"/>
          <w:highlight w:val="none"/>
        </w:rPr>
        <w:t>日至2020年11月1</w:t>
      </w:r>
      <w:r>
        <w:rPr>
          <w:rFonts w:hint="eastAsia" w:ascii="宋体" w:hAnsi="宋体"/>
          <w:szCs w:val="21"/>
          <w:highlight w:val="none"/>
          <w:lang w:val="en-US" w:eastAsia="zh-CN"/>
        </w:rPr>
        <w:t>7</w:t>
      </w:r>
      <w:r>
        <w:rPr>
          <w:rFonts w:hint="eastAsia" w:ascii="宋体" w:hAnsi="宋体"/>
          <w:szCs w:val="21"/>
          <w:highlight w:val="none"/>
        </w:rPr>
        <w:t>日</w:t>
      </w:r>
      <w:r>
        <w:rPr>
          <w:rFonts w:hint="eastAsia" w:ascii="宋体" w:hAnsi="宋体"/>
          <w:spacing w:val="2"/>
          <w:szCs w:val="21"/>
          <w:highlight w:val="none"/>
        </w:rPr>
        <w:t>。（北京时间，下同）</w:t>
      </w:r>
      <w:r>
        <w:rPr>
          <w:rFonts w:hint="eastAsia" w:ascii="宋体" w:hAnsi="宋体"/>
          <w:szCs w:val="21"/>
          <w:highlight w:val="none"/>
        </w:rPr>
        <w:t>】（北京时间，下同）。</w:t>
      </w:r>
    </w:p>
    <w:p>
      <w:pPr>
        <w:spacing w:line="360" w:lineRule="auto"/>
        <w:ind w:firstLine="420" w:firstLineChars="200"/>
        <w:rPr>
          <w:rFonts w:ascii="宋体" w:hAnsi="宋体"/>
          <w:szCs w:val="21"/>
        </w:rPr>
      </w:pPr>
      <w:r>
        <w:rPr>
          <w:rFonts w:hint="eastAsia" w:ascii="宋体" w:hAnsi="宋体"/>
          <w:szCs w:val="21"/>
        </w:rPr>
        <w:t>4.2招标文件获取方式：潜在投标人应委托经办人将以下文件发送至邮箱：chengtong9955.cutcc@chinaccs.cn</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授权人委托书</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经办人身份证复印件；</w:t>
      </w:r>
    </w:p>
    <w:p>
      <w:pPr>
        <w:spacing w:line="360" w:lineRule="auto"/>
        <w:ind w:firstLine="420" w:firstLineChars="200"/>
        <w:rPr>
          <w:rFonts w:ascii="宋体" w:hAnsi="宋体"/>
          <w:szCs w:val="21"/>
        </w:rPr>
      </w:pPr>
      <w:r>
        <w:rPr>
          <w:rFonts w:hint="eastAsia" w:ascii="宋体" w:hAnsi="宋体"/>
          <w:szCs w:val="21"/>
        </w:rPr>
        <w:t>(3)  银行汇款凭证；</w:t>
      </w:r>
    </w:p>
    <w:p>
      <w:pPr>
        <w:spacing w:line="360" w:lineRule="auto"/>
        <w:ind w:firstLine="420" w:firstLineChars="200"/>
        <w:rPr>
          <w:rFonts w:ascii="宋体" w:hAnsi="宋体"/>
          <w:szCs w:val="21"/>
        </w:rPr>
      </w:pPr>
      <w:r>
        <w:rPr>
          <w:rFonts w:hint="eastAsia" w:ascii="宋体" w:hAnsi="宋体"/>
          <w:szCs w:val="21"/>
        </w:rPr>
        <w:t>(4)【税务信息表，格式如下：】</w:t>
      </w:r>
      <w:r>
        <w:rPr>
          <w:rFonts w:hint="eastAsia" w:ascii="宋体" w:hAnsi="宋体"/>
          <w:b/>
          <w:bCs/>
          <w:szCs w:val="21"/>
        </w:rPr>
        <w:t>（该表格请提供可以编辑的word文档）</w:t>
      </w:r>
    </w:p>
    <w:tbl>
      <w:tblPr>
        <w:tblStyle w:val="5"/>
        <w:tblW w:w="9854" w:type="dxa"/>
        <w:tblInd w:w="0" w:type="dxa"/>
        <w:tblLayout w:type="fixed"/>
        <w:tblCellMar>
          <w:top w:w="0" w:type="dxa"/>
          <w:left w:w="108" w:type="dxa"/>
          <w:bottom w:w="0" w:type="dxa"/>
          <w:right w:w="108" w:type="dxa"/>
        </w:tblCellMar>
      </w:tblPr>
      <w:tblGrid>
        <w:gridCol w:w="1275"/>
        <w:gridCol w:w="4800"/>
        <w:gridCol w:w="3779"/>
      </w:tblGrid>
      <w:tr>
        <w:tblPrEx>
          <w:tblCellMar>
            <w:top w:w="0" w:type="dxa"/>
            <w:left w:w="108" w:type="dxa"/>
            <w:bottom w:w="0" w:type="dxa"/>
            <w:right w:w="108" w:type="dxa"/>
          </w:tblCellMar>
        </w:tblPrEx>
        <w:trPr>
          <w:trHeight w:val="270" w:hRule="atLeast"/>
        </w:trPr>
        <w:tc>
          <w:tcPr>
            <w:tcW w:w="1275" w:type="dxa"/>
            <w:tcBorders>
              <w:top w:val="single" w:color="auto" w:sz="4" w:space="0"/>
              <w:left w:val="single" w:color="auto" w:sz="4" w:space="0"/>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序号</w:t>
            </w:r>
          </w:p>
        </w:tc>
        <w:tc>
          <w:tcPr>
            <w:tcW w:w="4800" w:type="dxa"/>
            <w:tcBorders>
              <w:top w:val="single" w:color="auto" w:sz="4" w:space="0"/>
              <w:left w:val="nil"/>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类别</w:t>
            </w:r>
          </w:p>
        </w:tc>
        <w:tc>
          <w:tcPr>
            <w:tcW w:w="3779" w:type="dxa"/>
            <w:tcBorders>
              <w:top w:val="single" w:color="auto" w:sz="4" w:space="0"/>
              <w:left w:val="nil"/>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信息</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潜在投标人名称</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2</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纳税人识别号（开票所需信息）</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3</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潜在投标人注册地址</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4</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潜在投标人联系电话（固话）</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5</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开户银行</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6</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银行账号</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7</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组织机构代码（如有）</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8</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是否为一般纳税人</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9</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开票类型（增值税普通发票/增值税专用发票）</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10</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发票邮寄地址</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11</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发票邮寄联系人，电话</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9854"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注：本表为【招标人/招标代理机构】为投标人开具购买招标文件发票时所需信息。如因投标人提供税务信息错误而导致的开票错误所造成的全部损失由投标人承担。</w:t>
            </w:r>
          </w:p>
        </w:tc>
      </w:tr>
    </w:tbl>
    <w:p>
      <w:pPr>
        <w:adjustRightInd w:val="0"/>
        <w:snapToGrid w:val="0"/>
        <w:spacing w:before="60" w:after="60" w:line="360" w:lineRule="exact"/>
        <w:ind w:firstLine="424" w:firstLineChars="202"/>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购买招标文件的费用支付凭证；</w:t>
      </w:r>
    </w:p>
    <w:p>
      <w:pPr>
        <w:adjustRightInd w:val="0"/>
        <w:snapToGrid w:val="0"/>
        <w:spacing w:before="60" w:after="60" w:line="360" w:lineRule="exact"/>
        <w:ind w:firstLine="424" w:firstLineChars="202"/>
        <w:rPr>
          <w:rFonts w:ascii="宋体" w:hAnsi="宋体"/>
          <w:szCs w:val="21"/>
        </w:rPr>
      </w:pPr>
      <w:r>
        <w:rPr>
          <w:rFonts w:hint="eastAsia" w:ascii="宋体" w:hAnsi="宋体"/>
          <w:szCs w:val="21"/>
        </w:rPr>
        <w:t>（3）【增值税一般纳税人证明文件（增值税一般纳税人须提供）。】</w:t>
      </w:r>
    </w:p>
    <w:p>
      <w:pPr>
        <w:pStyle w:val="8"/>
        <w:numPr>
          <w:ilvl w:val="1"/>
          <w:numId w:val="3"/>
        </w:numPr>
        <w:adjustRightInd w:val="0"/>
        <w:snapToGrid w:val="0"/>
        <w:spacing w:line="440" w:lineRule="exact"/>
        <w:ind w:left="0" w:firstLine="424" w:firstLineChars="202"/>
        <w:rPr>
          <w:rFonts w:ascii="宋体" w:hAnsi="宋体"/>
          <w:szCs w:val="21"/>
        </w:rPr>
      </w:pPr>
      <w:r>
        <w:rPr>
          <w:rFonts w:hint="eastAsia" w:ascii="宋体" w:hAnsi="宋体"/>
          <w:szCs w:val="21"/>
        </w:rPr>
        <w:t>招标文件费用：每套售价【500</w:t>
      </w:r>
      <w:r>
        <w:rPr>
          <w:rFonts w:ascii="宋体" w:hAnsi="宋体"/>
          <w:szCs w:val="21"/>
        </w:rPr>
        <w:t>】元人民币，售后不退。</w:t>
      </w:r>
      <w:r>
        <w:rPr>
          <w:rFonts w:hint="eastAsia" w:asciiTheme="minorEastAsia" w:hAnsiTheme="minorEastAsia"/>
          <w:spacing w:val="2"/>
          <w:szCs w:val="21"/>
        </w:rPr>
        <w:t>汇款交纳有以下方式：采用银行电汇、网银汇款的方式汇款至招标代理机构指定银行账户（</w:t>
      </w:r>
      <w:r>
        <w:rPr>
          <w:rFonts w:hint="eastAsia" w:asciiTheme="minorEastAsia" w:hAnsiTheme="minorEastAsia"/>
          <w:b/>
          <w:spacing w:val="2"/>
          <w:szCs w:val="21"/>
        </w:rPr>
        <w:t>详见招标公告第8条联系方式中的开户名、开户银行和账号</w:t>
      </w:r>
      <w:r>
        <w:rPr>
          <w:rFonts w:hint="eastAsia" w:asciiTheme="minorEastAsia" w:hAnsiTheme="minorEastAsia"/>
          <w:spacing w:val="2"/>
          <w:szCs w:val="21"/>
        </w:rPr>
        <w:t>），银行电汇、网银汇款的均须使用单位账户（账户名称须与申请人的单位名称一致），需备注：程先生标书费。</w:t>
      </w:r>
    </w:p>
    <w:p>
      <w:pPr>
        <w:pStyle w:val="8"/>
        <w:numPr>
          <w:ilvl w:val="0"/>
          <w:numId w:val="1"/>
        </w:numPr>
        <w:adjustRightInd w:val="0"/>
        <w:snapToGrid w:val="0"/>
        <w:spacing w:line="440" w:lineRule="exact"/>
        <w:ind w:firstLineChars="0"/>
        <w:outlineLvl w:val="1"/>
        <w:rPr>
          <w:rFonts w:ascii="宋体" w:hAnsi="宋体"/>
          <w:b/>
          <w:szCs w:val="21"/>
        </w:rPr>
      </w:pPr>
      <w:bookmarkStart w:id="16" w:name="_Toc26503"/>
      <w:bookmarkStart w:id="17" w:name="_Toc9017238"/>
      <w:r>
        <w:rPr>
          <w:rFonts w:hint="eastAsia" w:ascii="宋体" w:hAnsi="宋体"/>
          <w:b/>
          <w:szCs w:val="21"/>
        </w:rPr>
        <w:t>投标文件的递交</w:t>
      </w:r>
      <w:bookmarkEnd w:id="16"/>
      <w:bookmarkEnd w:id="17"/>
    </w:p>
    <w:p>
      <w:pPr>
        <w:pStyle w:val="8"/>
        <w:numPr>
          <w:ilvl w:val="1"/>
          <w:numId w:val="1"/>
        </w:numPr>
        <w:adjustRightInd w:val="0"/>
        <w:snapToGrid w:val="0"/>
        <w:spacing w:line="440" w:lineRule="exact"/>
        <w:ind w:left="0" w:firstLine="424" w:firstLineChars="202"/>
        <w:rPr>
          <w:rFonts w:ascii="宋体" w:hAnsi="宋体"/>
          <w:szCs w:val="21"/>
          <w:highlight w:val="none"/>
        </w:rPr>
      </w:pPr>
      <w:r>
        <w:rPr>
          <w:rFonts w:hint="eastAsia" w:ascii="宋体" w:hAnsi="宋体"/>
          <w:szCs w:val="21"/>
        </w:rPr>
        <w:t>【纸质】投标文件</w:t>
      </w:r>
      <w:r>
        <w:rPr>
          <w:rFonts w:hint="eastAsia" w:ascii="宋体" w:hAnsi="宋体"/>
        </w:rPr>
        <w:t>递交截止时间</w:t>
      </w:r>
      <w:r>
        <w:rPr>
          <w:rFonts w:hint="eastAsia" w:ascii="宋体" w:hAnsi="宋体"/>
          <w:szCs w:val="21"/>
        </w:rPr>
        <w:t>（即投标截止时间）为</w:t>
      </w:r>
      <w:r>
        <w:rPr>
          <w:rFonts w:hint="eastAsia" w:ascii="宋体" w:hAnsi="宋体"/>
          <w:szCs w:val="21"/>
          <w:highlight w:val="none"/>
        </w:rPr>
        <w:t>：2020年12月</w:t>
      </w:r>
      <w:r>
        <w:rPr>
          <w:rFonts w:hint="eastAsia" w:ascii="宋体" w:hAnsi="宋体"/>
          <w:szCs w:val="21"/>
          <w:highlight w:val="none"/>
          <w:lang w:val="en-US" w:eastAsia="zh-CN"/>
        </w:rPr>
        <w:t>3</w:t>
      </w:r>
      <w:r>
        <w:rPr>
          <w:rFonts w:hint="eastAsia" w:ascii="宋体" w:hAnsi="宋体"/>
          <w:szCs w:val="21"/>
          <w:highlight w:val="none"/>
        </w:rPr>
        <w:t>日9时30分</w:t>
      </w:r>
      <w:r>
        <w:rPr>
          <w:rFonts w:hint="eastAsia" w:ascii="宋体" w:hAnsi="宋体"/>
          <w:highlight w:val="none"/>
        </w:rPr>
        <w:t>。</w:t>
      </w:r>
    </w:p>
    <w:p>
      <w:pPr>
        <w:pStyle w:val="8"/>
        <w:numPr>
          <w:ilvl w:val="1"/>
          <w:numId w:val="1"/>
        </w:numPr>
        <w:adjustRightInd w:val="0"/>
        <w:snapToGrid w:val="0"/>
        <w:spacing w:line="440" w:lineRule="exact"/>
        <w:ind w:left="0" w:firstLine="424" w:firstLineChars="202"/>
        <w:rPr>
          <w:rFonts w:ascii="宋体" w:hAnsi="宋体"/>
          <w:szCs w:val="21"/>
          <w:u w:val="single"/>
        </w:rPr>
      </w:pPr>
      <w:r>
        <w:rPr>
          <w:rFonts w:hint="eastAsia" w:ascii="宋体" w:hAnsi="宋体"/>
          <w:szCs w:val="21"/>
        </w:rPr>
        <w:t>投标文件递交地点：</w:t>
      </w:r>
      <w:r>
        <w:rPr>
          <w:rFonts w:hint="eastAsia" w:ascii="宋体" w:hAnsi="宋体"/>
          <w:szCs w:val="21"/>
          <w:u w:val="single"/>
        </w:rPr>
        <w:t>中广有线南通分公司3号楼402室（南通市开发区复兴路9号）</w:t>
      </w:r>
      <w:r>
        <w:rPr>
          <w:rFonts w:hint="eastAsia" w:ascii="宋体" w:hAnsi="宋体"/>
          <w:u w:val="single"/>
        </w:rPr>
        <w:t>。</w:t>
      </w:r>
    </w:p>
    <w:p>
      <w:pPr>
        <w:pStyle w:val="8"/>
        <w:numPr>
          <w:ilvl w:val="1"/>
          <w:numId w:val="1"/>
        </w:numPr>
        <w:adjustRightInd w:val="0"/>
        <w:snapToGrid w:val="0"/>
        <w:spacing w:line="440" w:lineRule="exact"/>
        <w:ind w:left="0" w:firstLine="424" w:firstLineChars="202"/>
        <w:rPr>
          <w:rFonts w:ascii="宋体" w:hAnsi="宋体"/>
          <w:szCs w:val="21"/>
        </w:rPr>
      </w:pPr>
      <w:r>
        <w:rPr>
          <w:rFonts w:hint="eastAsia" w:ascii="宋体" w:hAnsi="宋体"/>
          <w:szCs w:val="21"/>
        </w:rPr>
        <w:t>本项目将于上述同一时间、地点进行开标，</w:t>
      </w:r>
      <w:r>
        <w:rPr>
          <w:rFonts w:hint="eastAsia" w:ascii="宋体" w:hAnsi="宋体"/>
          <w:spacing w:val="2"/>
          <w:szCs w:val="21"/>
        </w:rPr>
        <w:t>招标代理机构</w:t>
      </w:r>
      <w:r>
        <w:rPr>
          <w:rFonts w:hint="eastAsia" w:ascii="宋体" w:hAnsi="宋体"/>
          <w:szCs w:val="21"/>
        </w:rPr>
        <w:t>邀请投标人的法定代表人或者其委托代理人准时参加。</w:t>
      </w:r>
    </w:p>
    <w:p>
      <w:pPr>
        <w:pStyle w:val="8"/>
        <w:numPr>
          <w:ilvl w:val="1"/>
          <w:numId w:val="1"/>
        </w:numPr>
        <w:adjustRightInd w:val="0"/>
        <w:snapToGrid w:val="0"/>
        <w:spacing w:line="440" w:lineRule="exact"/>
        <w:ind w:firstLineChars="0"/>
        <w:rPr>
          <w:rFonts w:ascii="宋体" w:hAnsi="宋体"/>
          <w:szCs w:val="21"/>
        </w:rPr>
      </w:pPr>
      <w:r>
        <w:rPr>
          <w:rFonts w:hint="eastAsia" w:ascii="宋体" w:hAnsi="宋体"/>
          <w:szCs w:val="21"/>
        </w:rPr>
        <w:t>出现以下情形之一时，</w:t>
      </w:r>
      <w:r>
        <w:rPr>
          <w:rFonts w:hint="eastAsia" w:ascii="宋体" w:hAnsi="宋体"/>
          <w:spacing w:val="2"/>
          <w:szCs w:val="21"/>
        </w:rPr>
        <w:t>招标代理机构</w:t>
      </w:r>
      <w:r>
        <w:rPr>
          <w:rFonts w:hint="eastAsia" w:ascii="宋体" w:hAnsi="宋体"/>
          <w:szCs w:val="21"/>
        </w:rPr>
        <w:t>不予接收投标文件：</w:t>
      </w:r>
    </w:p>
    <w:p>
      <w:pPr>
        <w:pStyle w:val="8"/>
        <w:adjustRightInd w:val="0"/>
        <w:snapToGrid w:val="0"/>
        <w:spacing w:line="440" w:lineRule="exact"/>
        <w:rPr>
          <w:rFonts w:ascii="宋体" w:hAnsi="宋体" w:cs="宋体"/>
          <w:kern w:val="0"/>
          <w:szCs w:val="21"/>
        </w:rPr>
      </w:pPr>
      <w:bookmarkStart w:id="18" w:name="_Toc9017239"/>
      <w:bookmarkStart w:id="19" w:name="_Toc7973517"/>
      <w:bookmarkStart w:id="20" w:name="_Toc6844083"/>
      <w:r>
        <w:rPr>
          <w:rFonts w:hint="eastAsia" w:ascii="宋体" w:hAnsi="宋体" w:cs="宋体"/>
          <w:kern w:val="0"/>
          <w:szCs w:val="21"/>
        </w:rPr>
        <w:t>5.4.1逾期送达或者未送达指定地点的；</w:t>
      </w:r>
    </w:p>
    <w:p>
      <w:pPr>
        <w:pStyle w:val="8"/>
        <w:adjustRightInd w:val="0"/>
        <w:snapToGrid w:val="0"/>
        <w:spacing w:line="440" w:lineRule="exact"/>
        <w:rPr>
          <w:rFonts w:ascii="宋体" w:hAnsi="宋体" w:cs="宋体"/>
          <w:kern w:val="0"/>
          <w:szCs w:val="21"/>
        </w:rPr>
      </w:pPr>
      <w:r>
        <w:rPr>
          <w:rFonts w:hint="eastAsia" w:ascii="宋体" w:hAnsi="宋体" w:cs="宋体"/>
          <w:kern w:val="0"/>
          <w:szCs w:val="21"/>
        </w:rPr>
        <w:t>5.4.2未按照招标文件要求密封的；</w:t>
      </w:r>
    </w:p>
    <w:p>
      <w:pPr>
        <w:pStyle w:val="8"/>
        <w:adjustRightInd w:val="0"/>
        <w:snapToGrid w:val="0"/>
        <w:spacing w:line="440" w:lineRule="exact"/>
        <w:rPr>
          <w:rFonts w:ascii="宋体" w:hAnsi="宋体" w:cs="宋体"/>
          <w:kern w:val="0"/>
          <w:szCs w:val="21"/>
        </w:rPr>
      </w:pPr>
      <w:r>
        <w:rPr>
          <w:rFonts w:hint="eastAsia" w:ascii="宋体" w:hAnsi="宋体" w:cs="宋体"/>
          <w:kern w:val="0"/>
          <w:szCs w:val="21"/>
        </w:rPr>
        <w:t>5.4.3未按照本招标公告要求获得本项目招标文件的。</w:t>
      </w:r>
    </w:p>
    <w:p>
      <w:pPr>
        <w:pStyle w:val="8"/>
        <w:numPr>
          <w:ilvl w:val="0"/>
          <w:numId w:val="1"/>
        </w:numPr>
        <w:adjustRightInd w:val="0"/>
        <w:snapToGrid w:val="0"/>
        <w:spacing w:line="440" w:lineRule="exact"/>
        <w:ind w:firstLineChars="0"/>
        <w:outlineLvl w:val="1"/>
        <w:rPr>
          <w:rFonts w:ascii="宋体" w:hAnsi="宋体"/>
          <w:b/>
          <w:szCs w:val="21"/>
        </w:rPr>
      </w:pPr>
      <w:bookmarkStart w:id="21" w:name="_Toc13205"/>
      <w:r>
        <w:rPr>
          <w:rFonts w:hint="eastAsia" w:ascii="宋体" w:hAnsi="宋体"/>
          <w:szCs w:val="21"/>
        </w:rPr>
        <w:t>★</w:t>
      </w:r>
      <w:r>
        <w:rPr>
          <w:rFonts w:hint="eastAsia" w:ascii="宋体" w:hAnsi="宋体"/>
          <w:b/>
          <w:szCs w:val="21"/>
        </w:rPr>
        <w:t>样品的递交</w:t>
      </w:r>
      <w:bookmarkEnd w:id="18"/>
      <w:bookmarkEnd w:id="19"/>
      <w:bookmarkEnd w:id="20"/>
      <w:bookmarkEnd w:id="21"/>
    </w:p>
    <w:p>
      <w:pPr>
        <w:widowControl/>
        <w:numPr>
          <w:ilvl w:val="1"/>
          <w:numId w:val="1"/>
        </w:numPr>
        <w:adjustRightInd w:val="0"/>
        <w:snapToGrid w:val="0"/>
        <w:spacing w:line="440" w:lineRule="exact"/>
        <w:ind w:left="0" w:firstLine="424" w:firstLineChars="202"/>
        <w:jc w:val="left"/>
        <w:rPr>
          <w:rFonts w:ascii="宋体" w:hAnsi="宋体"/>
          <w:szCs w:val="21"/>
        </w:rPr>
      </w:pPr>
      <w:r>
        <w:rPr>
          <w:rFonts w:hint="eastAsia" w:ascii="宋体" w:hAnsi="宋体"/>
          <w:szCs w:val="21"/>
        </w:rPr>
        <w:t>样品递交的时间、地</w:t>
      </w:r>
      <w:r>
        <w:rPr>
          <w:rFonts w:hint="eastAsia" w:ascii="宋体" w:hAnsi="宋体"/>
          <w:szCs w:val="21"/>
          <w:u w:val="single"/>
        </w:rPr>
        <w:t>点：</w:t>
      </w:r>
      <w:r>
        <w:rPr>
          <w:rFonts w:hint="eastAsia" w:ascii="宋体" w:hAnsi="宋体"/>
          <w:b/>
          <w:bCs/>
          <w:szCs w:val="21"/>
          <w:u w:val="single"/>
        </w:rPr>
        <w:t xml:space="preserve"> 投标人须提供样品，（投标人须提供男女款春秋西服套装、男女款羊绒大衣、长袖衬衫、夏裤）</w:t>
      </w:r>
      <w:r>
        <w:rPr>
          <w:rFonts w:hint="eastAsia" w:ascii="宋体" w:hAnsi="宋体"/>
          <w:szCs w:val="21"/>
          <w:u w:val="single"/>
        </w:rPr>
        <w:t>。</w:t>
      </w:r>
      <w:r>
        <w:rPr>
          <w:rFonts w:hint="eastAsia" w:ascii="宋体" w:hAnsi="宋体"/>
          <w:b/>
          <w:bCs/>
          <w:szCs w:val="21"/>
          <w:u w:val="single"/>
        </w:rPr>
        <w:t>样衣应与投标文件一同递交。未按时提交样品，或提交的样品不能满足招标人要求的，将否决其投标</w:t>
      </w:r>
      <w:r>
        <w:rPr>
          <w:rFonts w:hint="eastAsia" w:ascii="宋体" w:hAnsi="宋体"/>
          <w:szCs w:val="21"/>
        </w:rPr>
        <w:t>。</w:t>
      </w:r>
    </w:p>
    <w:p>
      <w:pPr>
        <w:pStyle w:val="8"/>
        <w:numPr>
          <w:ilvl w:val="0"/>
          <w:numId w:val="1"/>
        </w:numPr>
        <w:adjustRightInd w:val="0"/>
        <w:snapToGrid w:val="0"/>
        <w:spacing w:line="440" w:lineRule="exact"/>
        <w:ind w:firstLineChars="0"/>
        <w:outlineLvl w:val="1"/>
        <w:rPr>
          <w:rFonts w:ascii="宋体" w:hAnsi="宋体"/>
          <w:b/>
          <w:szCs w:val="21"/>
        </w:rPr>
      </w:pPr>
      <w:bookmarkStart w:id="22" w:name="_Toc9017241"/>
      <w:bookmarkStart w:id="23" w:name="_Toc7948"/>
      <w:r>
        <w:rPr>
          <w:rFonts w:hint="eastAsia" w:ascii="宋体" w:hAnsi="宋体"/>
          <w:b/>
          <w:szCs w:val="21"/>
        </w:rPr>
        <w:t>发布公告的媒介</w:t>
      </w:r>
      <w:bookmarkEnd w:id="22"/>
      <w:bookmarkEnd w:id="23"/>
    </w:p>
    <w:p>
      <w:pPr>
        <w:pStyle w:val="8"/>
        <w:adjustRightInd w:val="0"/>
        <w:snapToGrid w:val="0"/>
        <w:spacing w:line="440" w:lineRule="exact"/>
        <w:jc w:val="left"/>
        <w:rPr>
          <w:rFonts w:ascii="宋体" w:hAnsi="宋体"/>
          <w:szCs w:val="21"/>
        </w:rPr>
      </w:pPr>
      <w:r>
        <w:rPr>
          <w:rFonts w:hint="eastAsia" w:ascii="宋体" w:hAnsi="宋体"/>
          <w:szCs w:val="21"/>
        </w:rPr>
        <w:t>本招标公告在</w:t>
      </w:r>
      <w:r>
        <w:rPr>
          <w:rFonts w:hint="eastAsia" w:ascii="宋体" w:hAnsi="宋体"/>
        </w:rPr>
        <w:t>江苏有线南通分公司（www.jscnnet.com /nt/）</w:t>
      </w:r>
      <w:r>
        <w:rPr>
          <w:rFonts w:hint="eastAsia" w:ascii="宋体" w:hAnsi="宋体"/>
          <w:szCs w:val="21"/>
        </w:rPr>
        <w:t>上发布，其他媒介转载无效。</w:t>
      </w:r>
    </w:p>
    <w:p>
      <w:pPr>
        <w:pStyle w:val="8"/>
        <w:numPr>
          <w:ilvl w:val="0"/>
          <w:numId w:val="1"/>
        </w:numPr>
        <w:adjustRightInd w:val="0"/>
        <w:snapToGrid w:val="0"/>
        <w:spacing w:line="440" w:lineRule="exact"/>
        <w:ind w:firstLineChars="0"/>
        <w:outlineLvl w:val="1"/>
        <w:rPr>
          <w:rFonts w:ascii="宋体" w:hAnsi="宋体"/>
          <w:b/>
          <w:szCs w:val="21"/>
        </w:rPr>
      </w:pPr>
      <w:bookmarkStart w:id="24" w:name="_Toc9017242"/>
      <w:bookmarkStart w:id="25" w:name="_Toc29431"/>
      <w:r>
        <w:rPr>
          <w:rFonts w:hint="eastAsia" w:ascii="宋体" w:hAnsi="宋体"/>
          <w:b/>
          <w:szCs w:val="21"/>
        </w:rPr>
        <w:t>联系方式</w:t>
      </w:r>
      <w:bookmarkEnd w:id="24"/>
      <w:bookmarkEnd w:id="25"/>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招   标   人：江苏省广电有线信息网络股份有限公司南通分公司</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招标代理机构：中邮通建设咨询有限公司</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联   系   人：程仝</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电        话：18066029955</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电 子 邮  件：chengtong9955.cutcc@chinaccs.cn</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地        址：南京市南祖师庵7号</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邮        编：210003</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开   户   名：中邮通建设咨询有限公司</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开户 银 行：中国工商银行南京油运大厦支行</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账  号：43010 30709 00002 6610</w:t>
      </w:r>
    </w:p>
    <w:p>
      <w:pPr>
        <w:pStyle w:val="8"/>
        <w:adjustRightInd w:val="0"/>
        <w:snapToGrid w:val="0"/>
        <w:spacing w:line="440" w:lineRule="exact"/>
        <w:ind w:left="425" w:firstLine="0" w:firstLineChars="0"/>
        <w:jc w:val="left"/>
        <w:rPr>
          <w:rFonts w:ascii="宋体" w:hAnsi="宋体"/>
          <w:szCs w:val="21"/>
        </w:rPr>
      </w:pPr>
    </w:p>
    <w:p>
      <w:pPr>
        <w:pStyle w:val="8"/>
        <w:widowControl/>
        <w:spacing w:line="360" w:lineRule="auto"/>
        <w:ind w:left="425" w:right="420" w:firstLine="0" w:firstLineChars="0"/>
        <w:jc w:val="right"/>
        <w:rPr>
          <w:rFonts w:ascii="宋体" w:hAnsi="宋体"/>
          <w:color w:val="000000"/>
          <w:szCs w:val="21"/>
        </w:rPr>
      </w:pPr>
      <w:r>
        <w:rPr>
          <w:rFonts w:hint="eastAsia" w:ascii="宋体" w:hAnsi="宋体"/>
          <w:color w:val="000000"/>
          <w:szCs w:val="21"/>
        </w:rPr>
        <w:t>招标人：江苏省广电有线信息网络股份有限公司南通分公司</w:t>
      </w:r>
    </w:p>
    <w:p>
      <w:pPr>
        <w:pStyle w:val="8"/>
        <w:widowControl/>
        <w:spacing w:line="360" w:lineRule="auto"/>
        <w:ind w:left="425" w:right="420" w:firstLine="0" w:firstLineChars="0"/>
        <w:jc w:val="right"/>
        <w:rPr>
          <w:rFonts w:ascii="宋体" w:hAnsi="宋体"/>
          <w:color w:val="000000"/>
          <w:szCs w:val="21"/>
        </w:rPr>
      </w:pPr>
      <w:r>
        <w:rPr>
          <w:rFonts w:hint="eastAsia" w:ascii="宋体" w:hAnsi="宋体"/>
          <w:color w:val="000000"/>
          <w:szCs w:val="21"/>
        </w:rPr>
        <w:t>招标代理机构：中邮通建设咨询有限公司</w:t>
      </w:r>
    </w:p>
    <w:p>
      <w:pPr>
        <w:adjustRightInd w:val="0"/>
        <w:snapToGrid w:val="0"/>
        <w:spacing w:line="440" w:lineRule="exact"/>
        <w:ind w:firstLine="3990" w:firstLineChars="1900"/>
        <w:rPr>
          <w:rFonts w:ascii="宋体" w:hAnsi="宋体"/>
          <w:szCs w:val="21"/>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szCs w:val="21"/>
        </w:rPr>
        <w:t>2020年11月1</w:t>
      </w:r>
      <w:r>
        <w:rPr>
          <w:rFonts w:hint="eastAsia" w:ascii="宋体" w:hAnsi="宋体"/>
          <w:szCs w:val="21"/>
          <w:lang w:val="en-US" w:eastAsia="zh-CN"/>
        </w:rPr>
        <w:t>2</w:t>
      </w:r>
      <w:r>
        <w:rPr>
          <w:rFonts w:hint="eastAsia" w:ascii="宋体" w:hAnsi="宋体"/>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022651"/>
    </w:sdtPr>
    <w:sdtContent>
      <w:p>
        <w:pPr>
          <w:pStyle w:val="4"/>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200DD"/>
    <w:multiLevelType w:val="multilevel"/>
    <w:tmpl w:val="35C200DD"/>
    <w:lvl w:ilvl="0" w:tentative="0">
      <w:start w:val="1"/>
      <w:numFmt w:val="decimal"/>
      <w:lvlText w:val="%1."/>
      <w:lvlJc w:val="left"/>
      <w:pPr>
        <w:ind w:left="709"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D32087B"/>
    <w:multiLevelType w:val="multilevel"/>
    <w:tmpl w:val="5D32087B"/>
    <w:lvl w:ilvl="0" w:tentative="0">
      <w:start w:val="1"/>
      <w:numFmt w:val="decimal"/>
      <w:lvlText w:val="（%1）"/>
      <w:lvlJc w:val="left"/>
      <w:pPr>
        <w:tabs>
          <w:tab w:val="left" w:pos="1142"/>
        </w:tabs>
        <w:ind w:left="1142"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8D603AC"/>
    <w:multiLevelType w:val="multilevel"/>
    <w:tmpl w:val="78D603AC"/>
    <w:lvl w:ilvl="0" w:tentative="0">
      <w:start w:val="4"/>
      <w:numFmt w:val="decimal"/>
      <w:lvlText w:val="%1."/>
      <w:lvlJc w:val="left"/>
      <w:pPr>
        <w:ind w:left="1135" w:hanging="425"/>
      </w:pPr>
      <w:rPr>
        <w:rFonts w:hint="eastAsia"/>
      </w:rPr>
    </w:lvl>
    <w:lvl w:ilvl="1" w:tentative="0">
      <w:start w:val="1"/>
      <w:numFmt w:val="decimal"/>
      <w:lvlText w:val="%1.%2"/>
      <w:lvlJc w:val="left"/>
      <w:pPr>
        <w:ind w:left="1702" w:hanging="567"/>
      </w:pPr>
      <w:rPr>
        <w:rFonts w:hint="eastAsia"/>
      </w:rPr>
    </w:lvl>
    <w:lvl w:ilvl="2" w:tentative="0">
      <w:start w:val="1"/>
      <w:numFmt w:val="decimal"/>
      <w:lvlText w:val="%1.%2.%3"/>
      <w:lvlJc w:val="left"/>
      <w:pPr>
        <w:ind w:left="2128" w:hanging="567"/>
      </w:pPr>
      <w:rPr>
        <w:rFonts w:hint="eastAsia" w:eastAsia="宋体" w:asciiTheme="minorEastAsia" w:hAnsiTheme="minorEastAsia"/>
      </w:rPr>
    </w:lvl>
    <w:lvl w:ilvl="3" w:tentative="0">
      <w:start w:val="1"/>
      <w:numFmt w:val="decimal"/>
      <w:lvlText w:val="%1.%2.%3.%4"/>
      <w:lvlJc w:val="left"/>
      <w:pPr>
        <w:ind w:left="2694" w:hanging="708"/>
      </w:pPr>
      <w:rPr>
        <w:rFonts w:hint="eastAsia"/>
      </w:rPr>
    </w:lvl>
    <w:lvl w:ilvl="4" w:tentative="0">
      <w:start w:val="1"/>
      <w:numFmt w:val="decimal"/>
      <w:lvlText w:val="%1.%2.%3.%4.%5"/>
      <w:lvlJc w:val="left"/>
      <w:pPr>
        <w:ind w:left="3261" w:hanging="850"/>
      </w:pPr>
      <w:rPr>
        <w:rFonts w:hint="eastAsia"/>
      </w:rPr>
    </w:lvl>
    <w:lvl w:ilvl="5" w:tentative="0">
      <w:start w:val="1"/>
      <w:numFmt w:val="decimal"/>
      <w:lvlText w:val="%1.%2.%3.%4.%5.%6"/>
      <w:lvlJc w:val="left"/>
      <w:pPr>
        <w:ind w:left="3970" w:hanging="1134"/>
      </w:pPr>
      <w:rPr>
        <w:rFonts w:hint="eastAsia"/>
      </w:rPr>
    </w:lvl>
    <w:lvl w:ilvl="6" w:tentative="0">
      <w:start w:val="1"/>
      <w:numFmt w:val="decimal"/>
      <w:lvlText w:val="%1.%2.%3.%4.%5.%6.%7"/>
      <w:lvlJc w:val="left"/>
      <w:pPr>
        <w:ind w:left="4537" w:hanging="1276"/>
      </w:pPr>
      <w:rPr>
        <w:rFonts w:hint="eastAsia"/>
      </w:rPr>
    </w:lvl>
    <w:lvl w:ilvl="7" w:tentative="0">
      <w:start w:val="1"/>
      <w:numFmt w:val="decimal"/>
      <w:lvlText w:val="%1.%2.%3.%4.%5.%6.%7.%8"/>
      <w:lvlJc w:val="left"/>
      <w:pPr>
        <w:ind w:left="5104" w:hanging="1418"/>
      </w:pPr>
      <w:rPr>
        <w:rFonts w:hint="eastAsia"/>
      </w:rPr>
    </w:lvl>
    <w:lvl w:ilvl="8" w:tentative="0">
      <w:start w:val="1"/>
      <w:numFmt w:val="decimal"/>
      <w:lvlText w:val="%1.%2.%3.%4.%5.%6.%7.%8.%9"/>
      <w:lvlJc w:val="left"/>
      <w:pPr>
        <w:ind w:left="581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F6087"/>
    <w:rsid w:val="062F6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28"/>
      <w:szCs w:val="20"/>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customStyle="1" w:styleId="7">
    <w:name w:val="bt1bt1"/>
    <w:basedOn w:val="3"/>
    <w:qFormat/>
    <w:uiPriority w:val="0"/>
    <w:pPr>
      <w:spacing w:line="240" w:lineRule="auto"/>
      <w:jc w:val="center"/>
    </w:pPr>
    <w:rPr>
      <w:rFonts w:ascii="黑体" w:eastAsia="黑体"/>
      <w:b w:val="0"/>
      <w:sz w:val="36"/>
      <w:szCs w:val="36"/>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2020-11-11T06:09:00Z</dcterms:created>
  <dc:creator>NTKO</dc:creator>
  <cp:lastModifiedBy>NTKO</cp:lastModifiedBy>
  <dcterms:modified xsi:type="dcterms:W3CDTF">2020-11-11T06:10:14Z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