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240" w:after="120"/>
        <w:rPr>
          <w:rFonts w:ascii="宋体" w:hAnsi="宋体" w:eastAsia="宋体" w:cs="宋体"/>
          <w:b/>
          <w:bCs w:val="0"/>
          <w:kern w:val="0"/>
          <w:sz w:val="28"/>
          <w:szCs w:val="28"/>
        </w:rPr>
      </w:pPr>
      <w:bookmarkStart w:id="0" w:name="_Toc447265211"/>
      <w:bookmarkStart w:id="1" w:name="_Toc447265797"/>
      <w:bookmarkStart w:id="2" w:name="_Toc48314459"/>
      <w:bookmarkStart w:id="3" w:name="_Toc447188662"/>
      <w:bookmarkStart w:id="4" w:name="_Toc447265497"/>
      <w:bookmarkStart w:id="5" w:name="_Toc38007946"/>
      <w:r>
        <w:rPr>
          <w:rFonts w:hint="eastAsia" w:ascii="宋体" w:hAnsi="宋体" w:eastAsia="宋体" w:cs="宋体"/>
          <w:b/>
          <w:bCs w:val="0"/>
          <w:kern w:val="0"/>
          <w:sz w:val="28"/>
          <w:szCs w:val="28"/>
        </w:rPr>
        <w:t>中广有线信息网络有限公司南通分公司光缆自动保护（OLP）项目招标公告</w:t>
      </w:r>
      <w:bookmarkEnd w:id="0"/>
      <w:bookmarkEnd w:id="1"/>
      <w:bookmarkEnd w:id="2"/>
      <w:bookmarkEnd w:id="3"/>
      <w:bookmarkEnd w:id="4"/>
      <w:bookmarkEnd w:id="5"/>
    </w:p>
    <w:p>
      <w:pPr>
        <w:adjustRightInd w:val="0"/>
        <w:snapToGrid w:val="0"/>
        <w:spacing w:line="440" w:lineRule="exact"/>
        <w:ind w:firstLine="420" w:firstLineChars="200"/>
        <w:rPr>
          <w:rFonts w:ascii="宋体" w:hAnsi="宋体"/>
          <w:szCs w:val="21"/>
        </w:rPr>
      </w:pPr>
      <w:r>
        <w:rPr>
          <w:rFonts w:hint="eastAsia" w:ascii="宋体" w:hAnsi="宋体"/>
          <w:szCs w:val="21"/>
        </w:rPr>
        <w:t>本招标项目为</w:t>
      </w:r>
      <w:r>
        <w:rPr>
          <w:rFonts w:hint="eastAsia" w:ascii="宋体" w:hAnsi="宋体"/>
          <w:u w:val="single"/>
        </w:rPr>
        <w:t>【</w:t>
      </w:r>
      <w:r>
        <w:rPr>
          <w:rFonts w:hint="eastAsia" w:ascii="宋体" w:hAnsi="宋体"/>
          <w:u w:val="single"/>
          <w:lang w:eastAsia="zh-CN"/>
        </w:rPr>
        <w:t>中广有线信息网络有限公司南通分公司光缆自动保护（OLP）项目</w:t>
      </w:r>
      <w:r>
        <w:rPr>
          <w:rFonts w:hint="eastAsia" w:ascii="宋体" w:hAnsi="宋体"/>
          <w:u w:val="single"/>
        </w:rPr>
        <w:t>】</w:t>
      </w:r>
      <w:r>
        <w:rPr>
          <w:rFonts w:hint="eastAsia" w:ascii="宋体" w:hAnsi="宋体"/>
          <w:szCs w:val="21"/>
        </w:rPr>
        <w:t>，</w:t>
      </w:r>
      <w:r>
        <w:rPr>
          <w:rFonts w:hint="eastAsia" w:ascii="宋体" w:hAnsi="宋体"/>
          <w:szCs w:val="21"/>
          <w:u w:val="single"/>
        </w:rPr>
        <w:t>（招标编号：</w:t>
      </w:r>
      <w:r>
        <w:rPr>
          <w:rFonts w:hint="eastAsia" w:ascii="宋体" w:hAnsi="宋体"/>
          <w:highlight w:val="none"/>
          <w:u w:val="single"/>
        </w:rPr>
        <w:t>【YT04202100577ZB】</w:t>
      </w:r>
      <w:r>
        <w:rPr>
          <w:rFonts w:hint="eastAsia" w:ascii="宋体" w:hAnsi="宋体"/>
          <w:szCs w:val="21"/>
          <w:highlight w:val="none"/>
          <w:u w:val="single"/>
        </w:rPr>
        <w:t>）</w:t>
      </w:r>
      <w:r>
        <w:rPr>
          <w:rFonts w:hint="eastAsia" w:ascii="宋体" w:hAnsi="宋体"/>
          <w:szCs w:val="21"/>
        </w:rPr>
        <w:t>，招标人为</w:t>
      </w:r>
      <w:r>
        <w:rPr>
          <w:rFonts w:hint="eastAsia" w:ascii="宋体" w:hAnsi="宋体"/>
          <w:u w:val="single"/>
        </w:rPr>
        <w:t>【中广有线信息网络有限公司南通分公司】</w:t>
      </w:r>
      <w:r>
        <w:rPr>
          <w:rFonts w:hint="eastAsia" w:ascii="宋体" w:hAnsi="宋体"/>
          <w:szCs w:val="21"/>
        </w:rPr>
        <w:t>，招标代理机构为</w:t>
      </w:r>
      <w:r>
        <w:rPr>
          <w:rFonts w:hint="eastAsia" w:ascii="宋体" w:hAnsi="宋体"/>
          <w:u w:val="single"/>
        </w:rPr>
        <w:t>【中邮通建设咨询有限公司】</w:t>
      </w:r>
      <w:r>
        <w:rPr>
          <w:rFonts w:hint="eastAsia" w:ascii="宋体" w:hAnsi="宋体"/>
          <w:szCs w:val="21"/>
        </w:rPr>
        <w:t>。项目资金已落实。项目已具备招标条件，现进行公开招标，特邀请有意向的且具有提供标的物能力的潜在投标人（以下简称投标人）参加投标。</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项目概况与招标内容</w:t>
      </w:r>
    </w:p>
    <w:p>
      <w:pPr>
        <w:spacing w:before="120" w:after="120" w:line="360" w:lineRule="auto"/>
        <w:ind w:firstLine="480"/>
        <w:rPr>
          <w:rFonts w:ascii="宋体" w:hAnsi="宋体"/>
          <w:sz w:val="21"/>
          <w:szCs w:val="21"/>
        </w:rPr>
      </w:pPr>
      <w:r>
        <w:rPr>
          <w:rFonts w:hint="eastAsia" w:ascii="宋体" w:hAnsi="宋体"/>
          <w:sz w:val="21"/>
          <w:szCs w:val="21"/>
          <w:lang w:val="en-US" w:eastAsia="zh-CN"/>
        </w:rPr>
        <w:t>1.</w:t>
      </w:r>
      <w:r>
        <w:rPr>
          <w:rFonts w:hint="eastAsia" w:ascii="宋体" w:hAnsi="宋体"/>
          <w:sz w:val="21"/>
          <w:szCs w:val="21"/>
        </w:rPr>
        <w:t>项目概况：中广有线信息网络股份有限公司南通分公司（简称“中广有线南通分公司”）是中广有线直属的地市级分支机构，是南通市唯一的有线电视网络运营单位。负责南通市辖范围内的广播电视节目的安全播出和传输、覆盖，有线数字电视网络的建设、运营及全市数字电视用户的终端服务，并参与全市三网融合和智慧城市建设任务，同时，也运营着各类数据专线及多媒体业务。公司经过二十余年的建设，形成了一张覆盖一市六县范围的市干线骨干光纤传输网，该光纤网络以南通市区为中心节点，南三县为南环，北三县为北环，两环相切于南通中心点，总里程达600多公里。2009年，中广有线南通分公司在市级干线光纤网上，引入密集波分复用（DWDM）技术，建成了以南通市区为中心，六个区县为节点的密集波分传输环网，该DWDM环网覆盖了南通大市范围的所有市县区域，系统采用了80波系统，理论传输带宽可至800G，可以应用于长途干线、区域干线、本地网、城域汇聚层和城域核心层，它实了现多业务、大容量、全透明的传输功能。南通市县DWDM传输网络分为南、北两环，在南通市中心节点相切，环网采用华为OptiXOSN</w:t>
      </w:r>
      <w:r>
        <w:rPr>
          <w:rFonts w:ascii="宋体" w:hAnsi="宋体"/>
          <w:sz w:val="21"/>
          <w:szCs w:val="21"/>
        </w:rPr>
        <w:t>6800</w:t>
      </w:r>
      <w:r>
        <w:rPr>
          <w:rFonts w:hint="eastAsia" w:ascii="宋体" w:hAnsi="宋体"/>
          <w:sz w:val="21"/>
          <w:szCs w:val="21"/>
        </w:rPr>
        <w:t>设备建设（80波×10Gbit</w:t>
      </w:r>
      <w:r>
        <w:rPr>
          <w:rFonts w:ascii="宋体" w:hAnsi="宋体"/>
          <w:sz w:val="21"/>
          <w:szCs w:val="21"/>
        </w:rPr>
        <w:t>/s</w:t>
      </w:r>
      <w:r>
        <w:rPr>
          <w:rFonts w:hint="eastAsia" w:ascii="宋体" w:hAnsi="宋体"/>
          <w:sz w:val="21"/>
          <w:szCs w:val="21"/>
        </w:rPr>
        <w:t>系统），两个环路上共计8个传输节点。该DWDM环网承载着南通市、县两级广播电视信号及覆盖南通大市范围的互动点播电视信号、数据网络信号、集团客户专网和政务党务专线，波峰系统所使用的主干光缆网络的安全、优质传输对南通分公司的安全播出及各项业务的开展影响重大。</w:t>
      </w:r>
    </w:p>
    <w:p>
      <w:pPr>
        <w:spacing w:line="360" w:lineRule="auto"/>
        <w:ind w:firstLine="420" w:firstLineChars="200"/>
        <w:rPr>
          <w:rFonts w:ascii="宋体" w:hAnsi="宋体"/>
          <w:sz w:val="21"/>
          <w:szCs w:val="21"/>
        </w:rPr>
      </w:pPr>
      <w:r>
        <w:rPr>
          <w:rFonts w:hint="eastAsia" w:ascii="宋体" w:hAnsi="宋体"/>
          <w:sz w:val="21"/>
          <w:szCs w:val="21"/>
        </w:rPr>
        <w:pict>
          <v:shape id="Object 7" o:spid="_x0000_s1026" o:spt="75" type="#_x0000_t75" style="position:absolute;left:0pt;margin-left:42.8pt;margin-top:235.45pt;height:397.1pt;width:342.1pt;mso-wrap-distance-bottom:0pt;mso-wrap-distance-top:0pt;z-index:251659264;mso-width-relative:page;mso-height-relative:page;" o:ole="t" filled="f" o:preferrelative="t" stroked="f" coordsize="21600,21600">
            <v:path/>
            <v:fill on="f" focussize="0,0"/>
            <v:stroke on="f"/>
            <v:imagedata r:id="rId5" o:title=""/>
            <o:lock v:ext="edit" aspectratio="t"/>
            <w10:wrap type="topAndBottom"/>
          </v:shape>
          <o:OLEObject Type="Embed" ProgID="" ShapeID="Object 7" DrawAspect="Content" ObjectID="_1468075725" r:id="rId4">
            <o:LockedField>false</o:LockedField>
          </o:OLEObject>
        </w:pict>
      </w:r>
      <w:r>
        <w:rPr>
          <w:rFonts w:hint="eastAsia" w:ascii="宋体" w:hAnsi="宋体"/>
          <w:sz w:val="21"/>
          <w:szCs w:val="21"/>
        </w:rPr>
        <w:t>在日常的市干光缆运维工作中，</w:t>
      </w:r>
      <w:r>
        <w:rPr>
          <w:rFonts w:ascii="宋体" w:hAnsi="宋体"/>
          <w:sz w:val="21"/>
          <w:szCs w:val="21"/>
        </w:rPr>
        <w:t>多采用人工巡检和定期用OTDR抽测备纤的维护方式，无法实时掌握光缆链路状况，难以真正及时地发现光缆上存在的隐患。人工巡检只能大致根据光缆路由上比较明显的物理环境的变化来判断故障，也无法细致探测光缆内部指标的变化。光缆的日常维护不能只采用被动式的管理方法，尤其对</w:t>
      </w:r>
      <w:r>
        <w:rPr>
          <w:rFonts w:hint="eastAsia" w:ascii="宋体" w:hAnsi="宋体"/>
          <w:sz w:val="21"/>
          <w:szCs w:val="21"/>
        </w:rPr>
        <w:t>我司</w:t>
      </w:r>
      <w:r>
        <w:rPr>
          <w:rFonts w:ascii="宋体" w:hAnsi="宋体"/>
          <w:sz w:val="21"/>
          <w:szCs w:val="21"/>
        </w:rPr>
        <w:t>庞大的光缆链路网络而言，“亡羊补牢”式的抢修只会严重降低客户满意度甚至丢失市场，我们需要前瞻性预防性地发现光纤的劣化趋势并及时定位故障、排除隐患，在最短时间内恢复中断业务甚至未雨绸缪式提前防患。根据</w:t>
      </w:r>
      <w:r>
        <w:rPr>
          <w:rFonts w:hint="eastAsia" w:ascii="宋体" w:hAnsi="宋体"/>
          <w:sz w:val="21"/>
          <w:szCs w:val="21"/>
        </w:rPr>
        <w:t>我</w:t>
      </w:r>
      <w:r>
        <w:rPr>
          <w:rFonts w:ascii="宋体" w:hAnsi="宋体"/>
          <w:sz w:val="21"/>
          <w:szCs w:val="21"/>
        </w:rPr>
        <w:t>司干线网络维护资源的现状，为进一步做好光缆线路的日常维护和抢修工作，</w:t>
      </w:r>
      <w:r>
        <w:rPr>
          <w:rFonts w:hint="eastAsia" w:ascii="宋体" w:hAnsi="宋体"/>
          <w:sz w:val="21"/>
          <w:szCs w:val="21"/>
        </w:rPr>
        <w:t>需要</w:t>
      </w:r>
      <w:r>
        <w:rPr>
          <w:rFonts w:ascii="宋体" w:hAnsi="宋体"/>
          <w:sz w:val="21"/>
          <w:szCs w:val="21"/>
        </w:rPr>
        <w:t>采用技术手段加强对上述光缆线路的日常监控，实时掌握光缆网络运行状况，在线路异常中断时能够及时确定故障位置，提高维护抢修效率。</w:t>
      </w:r>
    </w:p>
    <w:p>
      <w:pPr>
        <w:rPr>
          <w:rFonts w:ascii="宋体" w:hAnsi="宋体"/>
          <w:sz w:val="21"/>
          <w:szCs w:val="21"/>
        </w:rPr>
      </w:pPr>
    </w:p>
    <w:p>
      <w:pPr>
        <w:tabs>
          <w:tab w:val="left" w:pos="2307"/>
        </w:tabs>
        <w:rPr>
          <w:rFonts w:ascii="宋体" w:hAnsi="宋体"/>
          <w:sz w:val="21"/>
          <w:szCs w:val="21"/>
        </w:rPr>
      </w:pPr>
      <w:r>
        <w:rPr>
          <w:rFonts w:ascii="宋体" w:hAnsi="宋体"/>
          <w:sz w:val="21"/>
          <w:szCs w:val="21"/>
        </w:rPr>
        <w:tab/>
      </w:r>
      <w:r>
        <w:rPr>
          <w:rFonts w:ascii="宋体" w:hAnsi="宋体"/>
          <w:sz w:val="21"/>
          <w:szCs w:val="21"/>
        </w:rPr>
        <w:t>南通</w:t>
      </w:r>
      <w:r>
        <w:rPr>
          <w:rFonts w:hint="eastAsia" w:ascii="宋体" w:hAnsi="宋体"/>
          <w:sz w:val="21"/>
          <w:szCs w:val="21"/>
        </w:rPr>
        <w:t>市县DWDM</w:t>
      </w:r>
      <w:r>
        <w:rPr>
          <w:rFonts w:ascii="宋体" w:hAnsi="宋体"/>
          <w:sz w:val="21"/>
          <w:szCs w:val="21"/>
        </w:rPr>
        <w:t>传输</w:t>
      </w:r>
      <w:r>
        <w:rPr>
          <w:rFonts w:hint="eastAsia" w:ascii="宋体" w:hAnsi="宋体"/>
          <w:sz w:val="21"/>
          <w:szCs w:val="21"/>
        </w:rPr>
        <w:t>网络拓扑图</w:t>
      </w:r>
    </w:p>
    <w:p>
      <w:pPr>
        <w:rPr>
          <w:rFonts w:ascii="宋体" w:hAnsi="宋体"/>
          <w:sz w:val="21"/>
          <w:szCs w:val="21"/>
        </w:rPr>
      </w:pPr>
    </w:p>
    <w:p>
      <w:pPr>
        <w:rPr>
          <w:rFonts w:ascii="宋体" w:hAnsi="宋体"/>
          <w:sz w:val="21"/>
          <w:szCs w:val="21"/>
        </w:rPr>
      </w:pPr>
    </w:p>
    <w:p>
      <w:pPr>
        <w:spacing w:line="360" w:lineRule="auto"/>
        <w:ind w:firstLine="420" w:firstLineChars="200"/>
        <w:rPr>
          <w:rFonts w:ascii="宋体" w:hAnsi="宋体"/>
          <w:sz w:val="21"/>
          <w:szCs w:val="21"/>
        </w:rPr>
      </w:pPr>
      <w:bookmarkStart w:id="6" w:name="_Toc70622453"/>
      <w:r>
        <w:rPr>
          <w:rFonts w:hint="eastAsia" w:ascii="宋体" w:hAnsi="宋体"/>
          <w:sz w:val="21"/>
          <w:szCs w:val="21"/>
        </w:rPr>
        <w:t>光线路保护系统简介</w:t>
      </w:r>
      <w:bookmarkEnd w:id="6"/>
    </w:p>
    <w:p>
      <w:pPr>
        <w:spacing w:before="120" w:after="120" w:line="360" w:lineRule="auto"/>
        <w:ind w:firstLine="420" w:firstLineChars="200"/>
        <w:rPr>
          <w:rFonts w:hint="eastAsia" w:ascii="宋体" w:hAnsi="宋体"/>
          <w:sz w:val="21"/>
          <w:szCs w:val="21"/>
        </w:rPr>
      </w:pPr>
      <w:r>
        <w:rPr>
          <w:rFonts w:ascii="宋体" w:hAnsi="宋体"/>
          <w:sz w:val="21"/>
          <w:szCs w:val="21"/>
        </w:rPr>
        <w:t>光线路保护系统是一个独立于通信传输系统，完全建立在光缆物理链路上的自动监测保护系统。当工作光纤损耗增大导致通信质量下降或工作光纤发生阻断时，系统能够实时自动地将光通信传输系统从工作光纤切换至备用光纤，恢复通信，实现光缆线路的同步切换保护，从而大大提高光缆线路的可用性，增强通信系统的可靠性，保证服务质量。</w:t>
      </w:r>
      <w:r>
        <w:rPr>
          <w:rFonts w:hint="eastAsia" w:ascii="宋体" w:hAnsi="宋体"/>
          <w:sz w:val="21"/>
          <w:szCs w:val="21"/>
        </w:rPr>
        <w:t>光线路保护、监测系统由光线路保护设备（OLP-Optical Line Protection）和操作维护终端组成，可以实现光功率监测、光路自动切换以及网络管理等功能。OLP可以简单、经济地构成各种通路、干线的保护方案，也可以对各种需要光路切换的网络进行保护，从而组建一个无阻断、高可靠性、安全灵活、抗灾害能力强的光通信网。</w:t>
      </w:r>
    </w:p>
    <w:p>
      <w:pPr>
        <w:pStyle w:val="4"/>
        <w:rPr>
          <w:rFonts w:ascii="宋体" w:hAnsi="宋体" w:eastAsia="宋体"/>
          <w:b w:val="0"/>
          <w:bCs w:val="0"/>
          <w:sz w:val="21"/>
          <w:szCs w:val="21"/>
        </w:rPr>
      </w:pPr>
      <w:bookmarkStart w:id="7" w:name="_Toc71119186"/>
      <w:r>
        <w:rPr>
          <w:rFonts w:hint="eastAsia" w:ascii="宋体" w:hAnsi="宋体" w:eastAsia="宋体"/>
          <w:b w:val="0"/>
          <w:bCs w:val="0"/>
          <w:sz w:val="21"/>
          <w:szCs w:val="21"/>
        </w:rPr>
        <w:t>项目需求和建设目标</w:t>
      </w:r>
      <w:bookmarkEnd w:id="7"/>
    </w:p>
    <w:p>
      <w:pPr>
        <w:spacing w:before="120" w:after="120" w:line="360" w:lineRule="auto"/>
        <w:ind w:firstLine="420" w:firstLineChars="200"/>
        <w:rPr>
          <w:rFonts w:hint="eastAsia" w:ascii="宋体" w:hAnsi="宋体"/>
          <w:sz w:val="21"/>
          <w:szCs w:val="21"/>
        </w:rPr>
      </w:pPr>
      <w:r>
        <w:rPr>
          <w:rFonts w:hint="eastAsia" w:ascii="宋体" w:hAnsi="宋体"/>
          <w:sz w:val="21"/>
          <w:szCs w:val="21"/>
        </w:rPr>
        <w:t>中广有线南通分公司市干线光缆基础数据</w:t>
      </w:r>
    </w:p>
    <w:p>
      <w:pPr>
        <w:spacing w:before="120" w:after="120" w:line="360" w:lineRule="auto"/>
        <w:ind w:firstLine="420" w:firstLineChars="200"/>
        <w:rPr>
          <w:rFonts w:hint="eastAsia"/>
          <w:sz w:val="21"/>
          <w:szCs w:val="21"/>
        </w:rPr>
      </w:pPr>
      <w:bookmarkStart w:id="8" w:name="_Hlk65424794"/>
      <w:r>
        <w:rPr>
          <w:rFonts w:hint="eastAsia" w:ascii="宋体" w:hAnsi="宋体"/>
          <w:sz w:val="21"/>
          <w:szCs w:val="21"/>
        </w:rPr>
        <w:t>我司经过二十余年的建设，形成了一张覆盖一市六县范围的市干线骨干光纤传输网，该光纤网络以南通市区为中心节点，南三县为南环，北三县为北环，两环相切于南通中心点，总里程达600多公里。2020年9月，我司完成了核心机房的搬迁工作，同时，南通市干光纤网的核心也从原来的电视塔机房割接至我司开发区总部云中心机房内（见南通分公司市干线光缆资源图）</w:t>
      </w:r>
    </w:p>
    <w:p>
      <w:pPr>
        <w:rPr>
          <w:sz w:val="21"/>
          <w:szCs w:val="21"/>
        </w:rPr>
      </w:pPr>
      <w:r>
        <w:rPr>
          <w:sz w:val="21"/>
          <w:szCs w:val="21"/>
        </w:rPr>
        <w:pict>
          <v:shape id="Object 12" o:spid="_x0000_s1027" o:spt="75" type="#_x0000_t75" style="position:absolute;left:0pt;margin-left:8.1pt;margin-top:10.35pt;height:289.25pt;width:348.65pt;mso-wrap-distance-bottom:0pt;mso-wrap-distance-left:9pt;mso-wrap-distance-right:9pt;mso-wrap-distance-top:0pt;z-index:251660288;mso-width-relative:page;mso-height-relative:page;" o:ole="t" filled="f" o:preferrelative="t" stroked="f" coordsize="21600,21600">
            <v:path/>
            <v:fill on="f" focussize="0,0"/>
            <v:stroke on="f"/>
            <v:imagedata r:id="rId7" o:title=""/>
            <o:lock v:ext="edit" aspectratio="t"/>
            <w10:wrap type="square"/>
          </v:shape>
          <o:OLEObject Type="Embed" ProgID="" ShapeID="Object 12" DrawAspect="Content" ObjectID="_1468075726" r:id="rId6">
            <o:LockedField>false</o:LockedField>
          </o:OLEObject>
        </w:pict>
      </w: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sz w:val="21"/>
          <w:szCs w:val="21"/>
        </w:rPr>
      </w:pPr>
    </w:p>
    <w:p>
      <w:pPr>
        <w:rPr>
          <w:rFonts w:hint="eastAsia"/>
          <w:sz w:val="21"/>
          <w:szCs w:val="21"/>
        </w:rPr>
      </w:pPr>
    </w:p>
    <w:p>
      <w:pPr>
        <w:rPr>
          <w:sz w:val="21"/>
          <w:szCs w:val="21"/>
        </w:rPr>
      </w:pPr>
    </w:p>
    <w:p>
      <w:pPr>
        <w:rPr>
          <w:sz w:val="21"/>
          <w:szCs w:val="21"/>
        </w:rPr>
      </w:pPr>
    </w:p>
    <w:p>
      <w:pPr>
        <w:rPr>
          <w:sz w:val="21"/>
          <w:szCs w:val="21"/>
        </w:rPr>
      </w:pPr>
    </w:p>
    <w:p>
      <w:pPr>
        <w:rPr>
          <w:sz w:val="21"/>
          <w:szCs w:val="21"/>
        </w:rPr>
      </w:pPr>
    </w:p>
    <w:p>
      <w:pPr>
        <w:spacing w:before="120" w:after="120" w:line="360" w:lineRule="auto"/>
        <w:ind w:firstLine="420" w:firstLineChars="200"/>
        <w:rPr>
          <w:rFonts w:hint="eastAsia" w:ascii="宋体" w:hAnsi="宋体"/>
          <w:sz w:val="21"/>
          <w:szCs w:val="21"/>
        </w:rPr>
      </w:pPr>
    </w:p>
    <w:p>
      <w:pPr>
        <w:spacing w:before="120" w:after="120" w:line="360" w:lineRule="auto"/>
        <w:ind w:firstLine="420" w:firstLineChars="200"/>
        <w:rPr>
          <w:rFonts w:hint="eastAsia" w:ascii="宋体" w:hAnsi="宋体"/>
          <w:sz w:val="21"/>
          <w:szCs w:val="21"/>
        </w:rPr>
      </w:pPr>
      <w:r>
        <w:rPr>
          <w:rFonts w:hint="eastAsia" w:ascii="宋体" w:hAnsi="宋体"/>
          <w:sz w:val="21"/>
          <w:szCs w:val="21"/>
        </w:rPr>
        <w:t>光线路保护系统需求</w:t>
      </w:r>
    </w:p>
    <w:p>
      <w:pPr>
        <w:spacing w:before="120" w:after="120" w:line="360" w:lineRule="auto"/>
        <w:ind w:firstLine="420" w:firstLineChars="200"/>
        <w:rPr>
          <w:rFonts w:ascii="宋体" w:hAnsi="宋体"/>
          <w:sz w:val="21"/>
          <w:szCs w:val="21"/>
        </w:rPr>
      </w:pPr>
      <w:r>
        <w:rPr>
          <w:rFonts w:hint="eastAsia" w:ascii="宋体" w:hAnsi="宋体"/>
          <w:sz w:val="21"/>
          <w:szCs w:val="21"/>
        </w:rPr>
        <w:t>目前我司市干线具备双光缆路由的区段是：开发区至如皋、开发区至通州、开发区至海门、开发区至通州四段。本项目OLP系统的建设将覆盖上述具备双光缆路由条件的节点（电视塔、开发区、如皋、通州、海门）。剩余不具备双光缆路由条件的区段本期项目不涉及。</w:t>
      </w:r>
    </w:p>
    <w:p>
      <w:pPr>
        <w:spacing w:before="120" w:after="120" w:line="360" w:lineRule="auto"/>
        <w:ind w:firstLine="422" w:firstLineChars="200"/>
        <w:rPr>
          <w:rFonts w:ascii="宋体" w:hAnsi="宋体"/>
          <w:sz w:val="21"/>
          <w:szCs w:val="21"/>
        </w:rPr>
      </w:pPr>
      <w:r>
        <w:rPr>
          <w:rFonts w:hint="eastAsia" w:ascii="宋体" w:hAnsi="宋体"/>
          <w:b/>
          <w:bCs/>
          <w:sz w:val="21"/>
          <w:szCs w:val="21"/>
        </w:rPr>
        <w:t>需求一：</w:t>
      </w:r>
      <w:r>
        <w:rPr>
          <w:rFonts w:hint="eastAsia" w:ascii="宋体" w:hAnsi="宋体"/>
          <w:sz w:val="21"/>
          <w:szCs w:val="21"/>
        </w:rPr>
        <w:t>对于我司市县DWDM系统所用的光缆进行OLP保护（1</w:t>
      </w:r>
      <w:r>
        <w:rPr>
          <w:rFonts w:ascii="宋体" w:hAnsi="宋体"/>
          <w:sz w:val="21"/>
          <w:szCs w:val="21"/>
        </w:rPr>
        <w:t>:1</w:t>
      </w:r>
      <w:r>
        <w:rPr>
          <w:rFonts w:hint="eastAsia" w:ascii="宋体" w:hAnsi="宋体"/>
          <w:sz w:val="21"/>
          <w:szCs w:val="21"/>
        </w:rPr>
        <w:t>保护方式），具体保护DWDM主用的两芯光纤、备用的两芯光纤。涉及网元为：开发区、如皋、通州、海门四个网元。</w:t>
      </w:r>
    </w:p>
    <w:p>
      <w:pPr>
        <w:spacing w:before="120" w:after="120" w:line="360" w:lineRule="auto"/>
        <w:ind w:firstLine="422" w:firstLineChars="200"/>
        <w:rPr>
          <w:rFonts w:ascii="宋体" w:hAnsi="宋体"/>
          <w:sz w:val="21"/>
          <w:szCs w:val="21"/>
        </w:rPr>
      </w:pPr>
      <w:r>
        <w:rPr>
          <w:rFonts w:hint="eastAsia" w:ascii="宋体" w:hAnsi="宋体"/>
          <w:b/>
          <w:bCs/>
          <w:sz w:val="21"/>
          <w:szCs w:val="21"/>
        </w:rPr>
        <w:t>需求二：</w:t>
      </w:r>
      <w:r>
        <w:rPr>
          <w:rFonts w:hint="eastAsia" w:ascii="宋体" w:hAnsi="宋体"/>
          <w:sz w:val="21"/>
          <w:szCs w:val="21"/>
        </w:rPr>
        <w:t>对于我司总部开发云中心机房至电视塔机房两路沟通光缆各保护两芯光纤（具体保护业务待定）。涉及网元为：开发区、电视塔。</w:t>
      </w:r>
    </w:p>
    <w:p>
      <w:pPr>
        <w:spacing w:before="120" w:after="120" w:line="360" w:lineRule="auto"/>
        <w:ind w:firstLine="200"/>
        <w:rPr>
          <w:rFonts w:ascii="宋体" w:hAnsi="宋体"/>
          <w:sz w:val="21"/>
          <w:szCs w:val="21"/>
        </w:rPr>
      </w:pPr>
      <w:r>
        <w:rPr>
          <w:rFonts w:hint="eastAsia" w:ascii="宋体" w:hAnsi="宋体"/>
          <w:sz w:val="21"/>
          <w:szCs w:val="21"/>
        </w:rPr>
        <w:t>光线路保护系统的基础数据见下表（本表格基础数据为采集当天数据，因割接、抢修等原因，线路数据会有变化。）：</w:t>
      </w:r>
    </w:p>
    <w:p>
      <w:pPr>
        <w:rPr>
          <w:rFonts w:hint="eastAsia"/>
          <w:sz w:val="21"/>
          <w:szCs w:val="21"/>
        </w:rPr>
      </w:pPr>
      <w:r>
        <w:rPr>
          <w:sz w:val="21"/>
          <w:szCs w:val="21"/>
        </w:rPr>
        <w:pict>
          <v:shape id="Object 13" o:spid="_x0000_s1028" o:spt="75" type="#_x0000_t75" style="position:absolute;left:0pt;margin-left:1.4pt;margin-top:6.3pt;height:142.4pt;width:399.15pt;mso-wrap-distance-bottom:0pt;mso-wrap-distance-left:9pt;mso-wrap-distance-right:9pt;mso-wrap-distance-top:0pt;z-index:251661312;mso-width-relative:page;mso-height-relative:page;" o:ole="t" filled="f" o:preferrelative="t" stroked="f" coordsize="21600,21600">
            <v:path/>
            <v:fill on="f" focussize="0,0"/>
            <v:stroke on="f"/>
            <v:imagedata r:id="rId9" o:title=""/>
            <o:lock v:ext="edit" aspectratio="t"/>
            <w10:wrap type="square"/>
          </v:shape>
          <o:OLEObject Type="Embed" ProgID="Excel.Sheet.12" ShapeID="Object 13" DrawAspect="Content" ObjectID="_1468075727" r:id="rId8">
            <o:LockedField>false</o:LockedField>
          </o:OLEObject>
        </w:pict>
      </w:r>
    </w:p>
    <w:p>
      <w:pPr>
        <w:spacing w:before="120" w:after="120" w:line="360" w:lineRule="auto"/>
        <w:ind w:firstLine="420" w:firstLineChars="200"/>
        <w:rPr>
          <w:rFonts w:hint="eastAsia" w:ascii="宋体" w:hAnsi="宋体"/>
          <w:sz w:val="21"/>
          <w:szCs w:val="21"/>
        </w:rPr>
      </w:pPr>
      <w:r>
        <w:rPr>
          <w:rFonts w:hint="eastAsia" w:ascii="宋体" w:hAnsi="宋体"/>
          <w:sz w:val="21"/>
          <w:szCs w:val="21"/>
        </w:rPr>
        <w:t>项目建设目标和技术需求</w:t>
      </w:r>
    </w:p>
    <w:p>
      <w:pPr>
        <w:spacing w:before="120" w:after="120" w:line="360" w:lineRule="auto"/>
        <w:ind w:firstLine="420" w:firstLineChars="200"/>
        <w:rPr>
          <w:rFonts w:ascii="宋体" w:hAnsi="宋体"/>
          <w:sz w:val="21"/>
          <w:szCs w:val="21"/>
        </w:rPr>
      </w:pPr>
      <w:bookmarkStart w:id="9" w:name="_Toc70622486"/>
      <w:r>
        <w:rPr>
          <w:rFonts w:hint="eastAsia" w:ascii="宋体" w:hAnsi="宋体"/>
          <w:sz w:val="21"/>
          <w:szCs w:val="21"/>
        </w:rPr>
        <w:t>OLP系统建设目标</w:t>
      </w:r>
      <w:bookmarkEnd w:id="9"/>
    </w:p>
    <w:p>
      <w:pPr>
        <w:spacing w:before="120" w:after="120" w:line="360" w:lineRule="auto"/>
        <w:ind w:firstLine="420" w:firstLineChars="200"/>
        <w:rPr>
          <w:rFonts w:ascii="宋体" w:hAnsi="宋体"/>
          <w:sz w:val="21"/>
          <w:szCs w:val="21"/>
        </w:rPr>
      </w:pPr>
      <w:r>
        <w:rPr>
          <w:rFonts w:hint="eastAsia" w:ascii="宋体" w:hAnsi="宋体"/>
          <w:sz w:val="21"/>
          <w:szCs w:val="21"/>
        </w:rPr>
        <w:t>1．</w:t>
      </w:r>
      <w:r>
        <w:rPr>
          <w:rFonts w:ascii="宋体" w:hAnsi="宋体"/>
          <w:sz w:val="21"/>
          <w:szCs w:val="21"/>
        </w:rPr>
        <w:t>检修调度功能：在主</w:t>
      </w:r>
      <w:r>
        <w:rPr>
          <w:rFonts w:hint="eastAsia" w:ascii="宋体" w:hAnsi="宋体"/>
          <w:sz w:val="21"/>
          <w:szCs w:val="21"/>
        </w:rPr>
        <w:t>线路</w:t>
      </w:r>
      <w:r>
        <w:rPr>
          <w:rFonts w:ascii="宋体" w:hAnsi="宋体"/>
          <w:sz w:val="21"/>
          <w:szCs w:val="21"/>
        </w:rPr>
        <w:t>正常的情况下，可由网管或设备面板发出指令调度切换工作路由，保证通信业务无中断</w:t>
      </w:r>
      <w:r>
        <w:rPr>
          <w:rFonts w:hint="eastAsia" w:ascii="宋体" w:hAnsi="宋体"/>
          <w:sz w:val="21"/>
          <w:szCs w:val="21"/>
        </w:rPr>
        <w:t>。</w:t>
      </w:r>
    </w:p>
    <w:p>
      <w:pPr>
        <w:spacing w:before="120" w:after="120" w:line="360" w:lineRule="auto"/>
        <w:ind w:firstLine="420" w:firstLineChars="200"/>
        <w:rPr>
          <w:rFonts w:ascii="宋体" w:hAnsi="宋体"/>
          <w:sz w:val="21"/>
          <w:szCs w:val="21"/>
        </w:rPr>
      </w:pPr>
      <w:r>
        <w:rPr>
          <w:rFonts w:hint="eastAsia" w:ascii="宋体" w:hAnsi="宋体"/>
          <w:sz w:val="21"/>
          <w:szCs w:val="21"/>
        </w:rPr>
        <w:t>2.</w:t>
      </w:r>
      <w:r>
        <w:rPr>
          <w:rFonts w:ascii="宋体" w:hAnsi="宋体"/>
          <w:sz w:val="21"/>
          <w:szCs w:val="21"/>
        </w:rPr>
        <w:t xml:space="preserve"> 主备纤插损监测功能：可实时监测主用和备用路由的线路插损状况，并根据设定的告警门限告警提示</w:t>
      </w:r>
      <w:r>
        <w:rPr>
          <w:rFonts w:hint="eastAsia" w:ascii="宋体" w:hAnsi="宋体"/>
          <w:sz w:val="21"/>
          <w:szCs w:val="21"/>
        </w:rPr>
        <w:t>。</w:t>
      </w:r>
    </w:p>
    <w:p>
      <w:pPr>
        <w:spacing w:before="120" w:after="120" w:line="360" w:lineRule="auto"/>
        <w:ind w:firstLine="420" w:firstLineChars="200"/>
        <w:rPr>
          <w:rFonts w:ascii="宋体" w:hAnsi="宋体"/>
          <w:sz w:val="21"/>
          <w:szCs w:val="21"/>
        </w:rPr>
      </w:pPr>
      <w:r>
        <w:rPr>
          <w:rFonts w:hint="eastAsia" w:ascii="宋体" w:hAnsi="宋体"/>
          <w:sz w:val="21"/>
          <w:szCs w:val="21"/>
        </w:rPr>
        <w:t>3.</w:t>
      </w:r>
      <w:r>
        <w:rPr>
          <w:rFonts w:ascii="宋体" w:hAnsi="宋体"/>
          <w:sz w:val="21"/>
          <w:szCs w:val="21"/>
        </w:rPr>
        <w:t xml:space="preserve"> 掉电、上电保持功能：切换盘掉电或上电，不影响主备用路由的切换状态，保证系统正常工作；并具备热插拔功能。</w:t>
      </w:r>
    </w:p>
    <w:p>
      <w:pPr>
        <w:spacing w:before="120" w:after="120" w:line="360" w:lineRule="auto"/>
        <w:ind w:firstLine="420" w:firstLineChars="200"/>
        <w:rPr>
          <w:rFonts w:ascii="宋体" w:hAnsi="宋体"/>
          <w:sz w:val="21"/>
          <w:szCs w:val="21"/>
        </w:rPr>
      </w:pPr>
      <w:r>
        <w:rPr>
          <w:rFonts w:hint="eastAsia" w:ascii="宋体" w:hAnsi="宋体"/>
          <w:sz w:val="21"/>
          <w:szCs w:val="21"/>
        </w:rPr>
        <w:t>4.</w:t>
      </w:r>
      <w:r>
        <w:rPr>
          <w:rFonts w:ascii="宋体" w:hAnsi="宋体"/>
          <w:sz w:val="21"/>
          <w:szCs w:val="21"/>
        </w:rPr>
        <w:t xml:space="preserve"> </w:t>
      </w:r>
      <w:r>
        <w:rPr>
          <w:rFonts w:hint="eastAsia" w:ascii="宋体" w:hAnsi="宋体"/>
          <w:sz w:val="21"/>
          <w:szCs w:val="21"/>
        </w:rPr>
        <w:t>OLP</w:t>
      </w:r>
      <w:r>
        <w:rPr>
          <w:rFonts w:ascii="宋体" w:hAnsi="宋体"/>
          <w:sz w:val="21"/>
          <w:szCs w:val="21"/>
        </w:rPr>
        <w:t>网管功能：</w:t>
      </w:r>
    </w:p>
    <w:p>
      <w:pPr>
        <w:numPr>
          <w:ilvl w:val="0"/>
          <w:numId w:val="2"/>
        </w:numPr>
        <w:spacing w:before="120" w:after="120" w:line="360" w:lineRule="auto"/>
        <w:rPr>
          <w:rFonts w:ascii="宋体" w:hAnsi="宋体"/>
          <w:sz w:val="21"/>
          <w:szCs w:val="21"/>
        </w:rPr>
      </w:pPr>
      <w:r>
        <w:rPr>
          <w:rFonts w:ascii="宋体" w:hAnsi="宋体"/>
          <w:sz w:val="21"/>
          <w:szCs w:val="21"/>
        </w:rPr>
        <w:t>设备管理：实现对切换设备进行分类、配置、控制</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实时监控：实现对</w:t>
      </w:r>
      <w:r>
        <w:rPr>
          <w:rFonts w:hint="eastAsia" w:ascii="宋体" w:hAnsi="宋体"/>
          <w:sz w:val="21"/>
          <w:szCs w:val="21"/>
        </w:rPr>
        <w:t>OLP设备状态</w:t>
      </w:r>
      <w:r>
        <w:rPr>
          <w:rFonts w:ascii="宋体" w:hAnsi="宋体"/>
          <w:sz w:val="21"/>
          <w:szCs w:val="21"/>
        </w:rPr>
        <w:t>和路由线路状况的实时监控</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告警管理：实时对切换设备的告警收集、报警、确认</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性能管理：可按用户设定的时间间隔收集设备运行状态的数据</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安全管理：用户及其权限管理</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日志管理：记录系统事件</w:t>
      </w:r>
      <w:r>
        <w:rPr>
          <w:rFonts w:hint="eastAsia" w:ascii="宋体" w:hAnsi="宋体"/>
          <w:sz w:val="21"/>
          <w:szCs w:val="21"/>
        </w:rPr>
        <w:t>。</w:t>
      </w:r>
    </w:p>
    <w:p>
      <w:pPr>
        <w:numPr>
          <w:ilvl w:val="0"/>
          <w:numId w:val="2"/>
        </w:numPr>
        <w:spacing w:before="120" w:after="120" w:line="360" w:lineRule="auto"/>
        <w:rPr>
          <w:rFonts w:ascii="宋体" w:hAnsi="宋体"/>
          <w:sz w:val="21"/>
          <w:szCs w:val="21"/>
        </w:rPr>
      </w:pPr>
      <w:r>
        <w:rPr>
          <w:rFonts w:ascii="宋体" w:hAnsi="宋体"/>
          <w:sz w:val="21"/>
          <w:szCs w:val="21"/>
        </w:rPr>
        <w:t>拓扑显示：实现设备分布及状态的拓扑显示</w:t>
      </w:r>
      <w:r>
        <w:rPr>
          <w:rFonts w:hint="eastAsia" w:ascii="宋体" w:hAnsi="宋体"/>
          <w:sz w:val="21"/>
          <w:szCs w:val="21"/>
        </w:rPr>
        <w:t>。</w:t>
      </w:r>
    </w:p>
    <w:bookmarkEnd w:id="8"/>
    <w:p>
      <w:pPr>
        <w:pStyle w:val="4"/>
        <w:rPr>
          <w:rFonts w:hint="eastAsia" w:ascii="宋体" w:hAnsi="宋体" w:eastAsia="宋体"/>
          <w:b w:val="0"/>
          <w:bCs w:val="0"/>
          <w:sz w:val="21"/>
          <w:szCs w:val="21"/>
        </w:rPr>
      </w:pPr>
      <w:bookmarkStart w:id="10" w:name="_Toc71119187"/>
      <w:bookmarkStart w:id="11" w:name="_Toc65419316"/>
      <w:r>
        <w:rPr>
          <w:rFonts w:hint="eastAsia" w:ascii="宋体" w:hAnsi="宋体" w:eastAsia="宋体"/>
          <w:b w:val="0"/>
          <w:bCs w:val="0"/>
          <w:sz w:val="21"/>
          <w:szCs w:val="21"/>
        </w:rPr>
        <w:t>项目建设内容</w:t>
      </w:r>
      <w:bookmarkEnd w:id="10"/>
      <w:bookmarkEnd w:id="11"/>
    </w:p>
    <w:p>
      <w:pPr>
        <w:spacing w:before="120" w:after="120" w:line="360" w:lineRule="auto"/>
        <w:ind w:firstLine="420" w:firstLineChars="200"/>
        <w:rPr>
          <w:rFonts w:ascii="宋体" w:hAnsi="宋体"/>
          <w:sz w:val="21"/>
          <w:szCs w:val="21"/>
        </w:rPr>
      </w:pPr>
      <w:bookmarkStart w:id="12" w:name="_Toc70622490"/>
      <w:r>
        <w:rPr>
          <w:rFonts w:ascii="宋体" w:hAnsi="宋体"/>
          <w:sz w:val="21"/>
          <w:szCs w:val="21"/>
        </w:rPr>
        <w:t xml:space="preserve"> </w:t>
      </w:r>
      <w:r>
        <w:rPr>
          <w:rFonts w:hint="eastAsia" w:ascii="宋体" w:hAnsi="宋体"/>
          <w:sz w:val="21"/>
          <w:szCs w:val="21"/>
        </w:rPr>
        <w:t>光缆保护（OLP）系统建设内容</w:t>
      </w:r>
      <w:bookmarkEnd w:id="12"/>
    </w:p>
    <w:p>
      <w:pPr>
        <w:spacing w:before="120" w:after="120" w:line="360" w:lineRule="auto"/>
        <w:ind w:firstLine="420" w:firstLineChars="200"/>
        <w:rPr>
          <w:rFonts w:ascii="宋体" w:hAnsi="宋体"/>
          <w:sz w:val="21"/>
          <w:szCs w:val="21"/>
        </w:rPr>
      </w:pPr>
      <w:r>
        <w:rPr>
          <w:rFonts w:hint="eastAsia" w:ascii="宋体" w:hAnsi="宋体"/>
          <w:sz w:val="21"/>
          <w:szCs w:val="21"/>
        </w:rPr>
        <w:t>根据OLP项目建设需求，</w:t>
      </w:r>
      <w:r>
        <w:rPr>
          <w:rFonts w:ascii="宋体" w:hAnsi="宋体"/>
          <w:sz w:val="21"/>
          <w:szCs w:val="21"/>
        </w:rPr>
        <w:t>本项目</w:t>
      </w:r>
      <w:r>
        <w:rPr>
          <w:rFonts w:hint="eastAsia" w:ascii="宋体" w:hAnsi="宋体"/>
          <w:sz w:val="21"/>
          <w:szCs w:val="21"/>
        </w:rPr>
        <w:t>在开发区、海门、通州、如皋、电视塔各设置一个OLP站点保护所需光纤。如下图所示：</w:t>
      </w:r>
    </w:p>
    <w:p>
      <w:pPr>
        <w:rPr>
          <w:rFonts w:hint="eastAsia"/>
          <w:sz w:val="21"/>
          <w:szCs w:val="21"/>
        </w:rPr>
      </w:pPr>
      <w:r>
        <w:rPr>
          <w:sz w:val="21"/>
          <w:szCs w:val="21"/>
        </w:rPr>
        <w:pict>
          <v:shape id="Object 14" o:spid="_x0000_s1029" o:spt="75" type="#_x0000_t75" style="position:absolute;left:0pt;margin-left:-2.7pt;margin-top:20.5pt;height:363.3pt;width:408.85pt;mso-wrap-distance-bottom:0pt;mso-wrap-distance-left:9pt;mso-wrap-distance-right:9pt;mso-wrap-distance-top:0pt;z-index:251662336;mso-width-relative:page;mso-height-relative:page;" o:ole="t" filled="f" o:preferrelative="t" stroked="f" coordsize="21600,21600">
            <v:path/>
            <v:fill on="f" focussize="0,0"/>
            <v:stroke on="f"/>
            <v:imagedata r:id="rId11" o:title=""/>
            <o:lock v:ext="edit" aspectratio="t"/>
            <w10:wrap type="square"/>
          </v:shape>
          <o:OLEObject Type="Embed" ProgID="" ShapeID="Object 14" DrawAspect="Content" ObjectID="_1468075728" r:id="rId10">
            <o:LockedField>false</o:LockedField>
          </o:OLEObject>
        </w:pict>
      </w:r>
    </w:p>
    <w:p>
      <w:pPr>
        <w:numPr>
          <w:ilvl w:val="0"/>
          <w:numId w:val="0"/>
        </w:numPr>
        <w:spacing w:before="120" w:after="120" w:line="360" w:lineRule="auto"/>
        <w:ind w:left="480" w:leftChars="0"/>
        <w:rPr>
          <w:rFonts w:ascii="宋体" w:hAnsi="宋体"/>
          <w:sz w:val="21"/>
          <w:szCs w:val="21"/>
        </w:rPr>
      </w:pPr>
      <w:bookmarkStart w:id="13" w:name="_Toc70622493"/>
      <w:r>
        <w:rPr>
          <w:rFonts w:hint="eastAsia" w:ascii="宋体" w:hAnsi="宋体"/>
          <w:sz w:val="21"/>
          <w:szCs w:val="21"/>
        </w:rPr>
        <w:t>开发区至海门OLP保护段</w:t>
      </w:r>
      <w:bookmarkEnd w:id="13"/>
    </w:p>
    <w:p>
      <w:pPr>
        <w:spacing w:before="120" w:after="120" w:line="360" w:lineRule="auto"/>
        <w:ind w:firstLine="420" w:firstLineChars="200"/>
        <w:rPr>
          <w:rFonts w:ascii="宋体" w:hAnsi="宋体"/>
          <w:sz w:val="21"/>
          <w:szCs w:val="21"/>
        </w:rPr>
      </w:pPr>
      <w:r>
        <w:rPr>
          <w:rFonts w:hint="eastAsia" w:ascii="宋体" w:hAnsi="宋体"/>
          <w:sz w:val="21"/>
          <w:szCs w:val="21"/>
        </w:rPr>
        <w:t>本区段，波分在用光缆长度为66.4公里（线路损耗16db左右），备用光缆长度为34.5公里（线路损耗10db左右），主用光缆距离长于备用光缆，主备光缆差31.9公里，建设内容：</w:t>
      </w:r>
    </w:p>
    <w:p>
      <w:pPr>
        <w:spacing w:before="120" w:after="120" w:line="360" w:lineRule="auto"/>
        <w:ind w:firstLine="420" w:firstLineChars="200"/>
        <w:rPr>
          <w:rFonts w:ascii="宋体" w:hAnsi="宋体"/>
          <w:sz w:val="21"/>
          <w:szCs w:val="21"/>
        </w:rPr>
      </w:pPr>
      <w:r>
        <w:rPr>
          <w:rFonts w:hint="eastAsia" w:ascii="宋体" w:hAnsi="宋体"/>
          <w:sz w:val="21"/>
          <w:szCs w:val="21"/>
        </w:rPr>
        <w:t>备用光缆增加光衰减法兰，施工前将备用光缆线路损耗提升至和主路线路损耗相近范围，不考虑EDFA，</w:t>
      </w:r>
      <w:r>
        <w:rPr>
          <w:rFonts w:hint="eastAsia"/>
          <w:sz w:val="21"/>
          <w:szCs w:val="21"/>
        </w:rPr>
        <w:t>备用线路配置DCM-20KM正色散模块2块。</w:t>
      </w:r>
    </w:p>
    <w:p>
      <w:pPr>
        <w:spacing w:before="120" w:after="120" w:line="360" w:lineRule="auto"/>
        <w:ind w:firstLine="420" w:firstLineChars="200"/>
        <w:rPr>
          <w:rFonts w:ascii="宋体" w:hAnsi="宋体"/>
          <w:sz w:val="21"/>
          <w:szCs w:val="21"/>
        </w:rPr>
      </w:pPr>
      <w:r>
        <w:rPr>
          <w:rFonts w:hint="eastAsia" w:ascii="宋体" w:hAnsi="宋体"/>
          <w:sz w:val="21"/>
          <w:szCs w:val="21"/>
        </w:rPr>
        <w:t>本区段板卡配置：0插损OLP板卡(</w:t>
      </w:r>
      <w:r>
        <w:rPr>
          <w:rFonts w:ascii="宋体" w:hAnsi="宋体"/>
          <w:sz w:val="21"/>
          <w:szCs w:val="21"/>
        </w:rPr>
        <w:t>1:1)</w:t>
      </w:r>
      <w:r>
        <w:rPr>
          <w:rFonts w:hint="eastAsia" w:ascii="宋体" w:hAnsi="宋体"/>
          <w:sz w:val="21"/>
          <w:szCs w:val="21"/>
        </w:rPr>
        <w:t>2块。</w:t>
      </w:r>
    </w:p>
    <w:p>
      <w:pPr>
        <w:numPr>
          <w:ilvl w:val="0"/>
          <w:numId w:val="0"/>
        </w:numPr>
        <w:spacing w:before="120" w:after="120" w:line="360" w:lineRule="auto"/>
        <w:ind w:left="480" w:leftChars="0"/>
        <w:rPr>
          <w:rFonts w:ascii="宋体" w:hAnsi="宋体"/>
          <w:sz w:val="21"/>
          <w:szCs w:val="21"/>
        </w:rPr>
      </w:pPr>
      <w:bookmarkStart w:id="14" w:name="_Toc70622494"/>
      <w:r>
        <w:rPr>
          <w:rFonts w:hint="eastAsia" w:ascii="宋体" w:hAnsi="宋体"/>
          <w:sz w:val="21"/>
          <w:szCs w:val="21"/>
        </w:rPr>
        <w:t>开发区至通州OLP保护段</w:t>
      </w:r>
      <w:bookmarkEnd w:id="14"/>
    </w:p>
    <w:p>
      <w:pPr>
        <w:spacing w:before="120" w:after="120" w:line="360" w:lineRule="auto"/>
        <w:ind w:firstLine="420" w:firstLineChars="200"/>
        <w:rPr>
          <w:rFonts w:ascii="宋体" w:hAnsi="宋体"/>
          <w:sz w:val="21"/>
          <w:szCs w:val="21"/>
        </w:rPr>
      </w:pPr>
      <w:r>
        <w:rPr>
          <w:rFonts w:hint="eastAsia" w:ascii="宋体" w:hAnsi="宋体"/>
          <w:sz w:val="21"/>
          <w:szCs w:val="21"/>
        </w:rPr>
        <w:t>本区段，波分在用光缆长度为40公里（线路损耗13db左右），备用光缆长度为36公里（线路损耗10db左右），主用光缆距离长于备用光缆，主备光缆差4公里，建设内容：</w:t>
      </w:r>
    </w:p>
    <w:p>
      <w:pPr>
        <w:spacing w:before="120" w:after="120" w:line="360" w:lineRule="auto"/>
        <w:ind w:firstLine="420" w:firstLineChars="200"/>
        <w:rPr>
          <w:rFonts w:ascii="宋体" w:hAnsi="宋体"/>
          <w:sz w:val="21"/>
          <w:szCs w:val="21"/>
        </w:rPr>
      </w:pPr>
      <w:r>
        <w:rPr>
          <w:rFonts w:hint="eastAsia" w:ascii="宋体" w:hAnsi="宋体"/>
          <w:sz w:val="21"/>
          <w:szCs w:val="21"/>
        </w:rPr>
        <w:t>备用光缆增加光衰减法兰，施工前将备用光缆线路损耗提升至和主路线路损耗相近范围，不考虑色散补偿和EDFA。</w:t>
      </w:r>
    </w:p>
    <w:p>
      <w:pPr>
        <w:spacing w:before="120" w:after="120" w:line="360" w:lineRule="auto"/>
        <w:ind w:firstLine="420" w:firstLineChars="200"/>
        <w:rPr>
          <w:rFonts w:ascii="宋体" w:hAnsi="宋体"/>
          <w:sz w:val="21"/>
          <w:szCs w:val="21"/>
        </w:rPr>
      </w:pPr>
      <w:r>
        <w:rPr>
          <w:rFonts w:hint="eastAsia" w:ascii="宋体" w:hAnsi="宋体"/>
          <w:sz w:val="21"/>
          <w:szCs w:val="21"/>
        </w:rPr>
        <w:t>本区段板卡配置：低插损OLP板卡(</w:t>
      </w:r>
      <w:r>
        <w:rPr>
          <w:rFonts w:ascii="宋体" w:hAnsi="宋体"/>
          <w:sz w:val="21"/>
          <w:szCs w:val="21"/>
        </w:rPr>
        <w:t>1:1)</w:t>
      </w:r>
      <w:r>
        <w:rPr>
          <w:rFonts w:hint="eastAsia" w:ascii="宋体" w:hAnsi="宋体"/>
          <w:sz w:val="21"/>
          <w:szCs w:val="21"/>
        </w:rPr>
        <w:t>2块。</w:t>
      </w:r>
    </w:p>
    <w:p>
      <w:pPr>
        <w:numPr>
          <w:ilvl w:val="0"/>
          <w:numId w:val="0"/>
        </w:numPr>
        <w:spacing w:before="120" w:after="120" w:line="360" w:lineRule="auto"/>
        <w:ind w:left="480" w:leftChars="0"/>
        <w:rPr>
          <w:rFonts w:ascii="宋体" w:hAnsi="宋体"/>
          <w:sz w:val="21"/>
          <w:szCs w:val="21"/>
        </w:rPr>
      </w:pPr>
      <w:bookmarkStart w:id="15" w:name="_Toc70622495"/>
      <w:r>
        <w:rPr>
          <w:rFonts w:hint="eastAsia" w:ascii="宋体" w:hAnsi="宋体"/>
          <w:sz w:val="21"/>
          <w:szCs w:val="21"/>
        </w:rPr>
        <w:t>开发区至如皋OLP保护段</w:t>
      </w:r>
      <w:bookmarkEnd w:id="15"/>
    </w:p>
    <w:p>
      <w:pPr>
        <w:spacing w:before="120" w:after="120" w:line="360" w:lineRule="auto"/>
        <w:ind w:firstLine="420" w:firstLineChars="200"/>
        <w:rPr>
          <w:rFonts w:ascii="宋体" w:hAnsi="宋体"/>
          <w:sz w:val="21"/>
          <w:szCs w:val="21"/>
        </w:rPr>
      </w:pPr>
      <w:r>
        <w:rPr>
          <w:rFonts w:hint="eastAsia" w:ascii="宋体" w:hAnsi="宋体"/>
          <w:sz w:val="21"/>
          <w:szCs w:val="21"/>
        </w:rPr>
        <w:t>本区段，波分在用光缆长度为66公里（线路损耗16db左右），备用光缆长度为79.</w:t>
      </w:r>
      <w:r>
        <w:rPr>
          <w:rFonts w:ascii="宋体" w:hAnsi="宋体"/>
          <w:sz w:val="21"/>
          <w:szCs w:val="21"/>
        </w:rPr>
        <w:t>4</w:t>
      </w:r>
      <w:r>
        <w:rPr>
          <w:rFonts w:hint="eastAsia" w:ascii="宋体" w:hAnsi="宋体"/>
          <w:sz w:val="21"/>
          <w:szCs w:val="21"/>
        </w:rPr>
        <w:t>公里（线路损耗</w:t>
      </w:r>
      <w:r>
        <w:rPr>
          <w:rFonts w:ascii="宋体" w:hAnsi="宋体"/>
          <w:sz w:val="21"/>
          <w:szCs w:val="21"/>
        </w:rPr>
        <w:t>18</w:t>
      </w:r>
      <w:r>
        <w:rPr>
          <w:rFonts w:hint="eastAsia" w:ascii="宋体" w:hAnsi="宋体"/>
          <w:sz w:val="21"/>
          <w:szCs w:val="21"/>
        </w:rPr>
        <w:t>db左右），主用光缆距短长于备用光缆，主备光缆差13.4公里，建设内容：</w:t>
      </w:r>
    </w:p>
    <w:p>
      <w:pPr>
        <w:spacing w:before="120" w:after="120" w:line="360" w:lineRule="auto"/>
        <w:ind w:firstLine="420" w:firstLineChars="200"/>
        <w:rPr>
          <w:rFonts w:ascii="宋体" w:hAnsi="宋体"/>
          <w:sz w:val="21"/>
          <w:szCs w:val="21"/>
        </w:rPr>
      </w:pPr>
      <w:r>
        <w:rPr>
          <w:rFonts w:hint="eastAsia" w:ascii="宋体" w:hAnsi="宋体"/>
          <w:sz w:val="21"/>
          <w:szCs w:val="21"/>
        </w:rPr>
        <w:t>本区段板卡配置：0插损OLP板卡(</w:t>
      </w:r>
      <w:r>
        <w:rPr>
          <w:rFonts w:ascii="宋体" w:hAnsi="宋体"/>
          <w:sz w:val="21"/>
          <w:szCs w:val="21"/>
        </w:rPr>
        <w:t>1:1)</w:t>
      </w:r>
      <w:r>
        <w:rPr>
          <w:rFonts w:hint="eastAsia" w:ascii="宋体" w:hAnsi="宋体"/>
          <w:sz w:val="21"/>
          <w:szCs w:val="21"/>
        </w:rPr>
        <w:t>2块，DCM-10KM：2快，EDFA：2块。</w:t>
      </w:r>
    </w:p>
    <w:p>
      <w:pPr>
        <w:numPr>
          <w:ilvl w:val="0"/>
          <w:numId w:val="0"/>
        </w:numPr>
        <w:spacing w:before="120" w:after="120" w:line="360" w:lineRule="auto"/>
        <w:ind w:left="480" w:leftChars="0"/>
        <w:rPr>
          <w:rFonts w:ascii="宋体" w:hAnsi="宋体"/>
          <w:sz w:val="21"/>
          <w:szCs w:val="21"/>
        </w:rPr>
      </w:pPr>
      <w:bookmarkStart w:id="16" w:name="_Toc70622496"/>
      <w:r>
        <w:rPr>
          <w:rFonts w:hint="eastAsia" w:ascii="宋体" w:hAnsi="宋体"/>
          <w:sz w:val="21"/>
          <w:szCs w:val="21"/>
        </w:rPr>
        <w:t>开发区至电视塔OLP保护段</w:t>
      </w:r>
      <w:bookmarkEnd w:id="16"/>
    </w:p>
    <w:p>
      <w:pPr>
        <w:spacing w:before="120" w:after="120" w:line="360" w:lineRule="auto"/>
        <w:ind w:firstLine="420" w:firstLineChars="200"/>
        <w:rPr>
          <w:rFonts w:ascii="宋体" w:hAnsi="宋体"/>
          <w:sz w:val="21"/>
          <w:szCs w:val="21"/>
        </w:rPr>
      </w:pPr>
      <w:r>
        <w:rPr>
          <w:rFonts w:hint="eastAsia" w:ascii="宋体" w:hAnsi="宋体"/>
          <w:sz w:val="21"/>
          <w:szCs w:val="21"/>
        </w:rPr>
        <w:t>本区段保护业务待定，1路由光缆长度为20.4公里（线路损耗9db左右），2路由光缆长度为28.2公里（线路损耗8db左右），两光缆路由差8.2公里，建设内容：</w:t>
      </w:r>
    </w:p>
    <w:p>
      <w:pPr>
        <w:spacing w:before="120" w:after="120" w:line="360" w:lineRule="auto"/>
        <w:ind w:firstLine="420" w:firstLineChars="200"/>
        <w:rPr>
          <w:rFonts w:ascii="宋体" w:hAnsi="宋体"/>
          <w:sz w:val="21"/>
          <w:szCs w:val="21"/>
        </w:rPr>
      </w:pPr>
      <w:r>
        <w:rPr>
          <w:rFonts w:hint="eastAsia" w:ascii="宋体" w:hAnsi="宋体"/>
          <w:sz w:val="21"/>
          <w:szCs w:val="21"/>
        </w:rPr>
        <w:t>本区段板卡配置：低插损OLP板卡(</w:t>
      </w:r>
      <w:r>
        <w:rPr>
          <w:rFonts w:ascii="宋体" w:hAnsi="宋体"/>
          <w:sz w:val="21"/>
          <w:szCs w:val="21"/>
        </w:rPr>
        <w:t>1:1)</w:t>
      </w:r>
      <w:r>
        <w:rPr>
          <w:rFonts w:hint="eastAsia" w:ascii="宋体" w:hAnsi="宋体"/>
          <w:sz w:val="21"/>
          <w:szCs w:val="21"/>
        </w:rPr>
        <w:t>2块。</w:t>
      </w:r>
    </w:p>
    <w:p>
      <w:pPr>
        <w:spacing w:before="120" w:after="120" w:line="360" w:lineRule="auto"/>
        <w:ind w:firstLine="420" w:firstLineChars="200"/>
        <w:rPr>
          <w:rFonts w:ascii="宋体" w:hAnsi="宋体"/>
          <w:sz w:val="21"/>
          <w:szCs w:val="21"/>
        </w:rPr>
      </w:pPr>
      <w:bookmarkStart w:id="17" w:name="_Toc70622498"/>
      <w:r>
        <w:rPr>
          <w:rFonts w:ascii="宋体" w:hAnsi="宋体"/>
          <w:sz w:val="21"/>
          <w:szCs w:val="21"/>
        </w:rPr>
        <w:t xml:space="preserve"> </w:t>
      </w:r>
      <w:r>
        <w:rPr>
          <w:rFonts w:hint="eastAsia" w:ascii="宋体" w:hAnsi="宋体"/>
          <w:sz w:val="21"/>
          <w:szCs w:val="21"/>
        </w:rPr>
        <w:t>网络管理组网方案</w:t>
      </w:r>
      <w:bookmarkEnd w:id="17"/>
    </w:p>
    <w:p>
      <w:pPr>
        <w:spacing w:before="120" w:after="120" w:line="360" w:lineRule="auto"/>
        <w:ind w:firstLine="420" w:firstLineChars="200"/>
        <w:rPr>
          <w:rFonts w:ascii="宋体" w:hAnsi="宋体"/>
          <w:sz w:val="21"/>
          <w:szCs w:val="21"/>
        </w:rPr>
      </w:pPr>
      <w:r>
        <w:rPr>
          <w:rFonts w:hint="eastAsia" w:ascii="宋体" w:hAnsi="宋体"/>
          <w:sz w:val="21"/>
          <w:szCs w:val="21"/>
        </w:rPr>
        <w:t>对所有OLP系统建立统一网管系统，区县通道可用MSTP传输网管信号。配置网管终端和运维笔记本进行日常运维。</w:t>
      </w:r>
    </w:p>
    <w:p>
      <w:pPr>
        <w:spacing w:before="120" w:after="120" w:line="360" w:lineRule="auto"/>
        <w:ind w:firstLine="420" w:firstLineChars="200"/>
        <w:rPr>
          <w:rFonts w:ascii="宋体" w:hAnsi="宋体"/>
          <w:sz w:val="21"/>
          <w:szCs w:val="21"/>
        </w:rPr>
      </w:pPr>
      <w:r>
        <w:rPr>
          <w:rFonts w:hint="eastAsia" w:ascii="宋体" w:hAnsi="宋体"/>
          <w:sz w:val="21"/>
          <w:szCs w:val="21"/>
        </w:rPr>
        <w:t>设备配置清单</w:t>
      </w:r>
    </w:p>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09"/>
        <w:gridCol w:w="4146"/>
        <w:gridCol w:w="807"/>
        <w:gridCol w:w="678"/>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33"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设备名称</w:t>
            </w:r>
          </w:p>
        </w:tc>
        <w:tc>
          <w:tcPr>
            <w:tcW w:w="709"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序号</w:t>
            </w:r>
          </w:p>
        </w:tc>
        <w:tc>
          <w:tcPr>
            <w:tcW w:w="4146"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技术参数描述</w:t>
            </w:r>
          </w:p>
        </w:tc>
        <w:tc>
          <w:tcPr>
            <w:tcW w:w="807"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单位</w:t>
            </w:r>
          </w:p>
        </w:tc>
        <w:tc>
          <w:tcPr>
            <w:tcW w:w="678"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数量</w:t>
            </w:r>
          </w:p>
        </w:tc>
        <w:tc>
          <w:tcPr>
            <w:tcW w:w="678" w:type="dxa"/>
            <w:shd w:val="clear" w:color="000000" w:fill="FFFFFF"/>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33"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监测中心网管软件</w:t>
            </w:r>
          </w:p>
        </w:tc>
        <w:tc>
          <w:tcPr>
            <w:tcW w:w="709"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4146" w:type="dxa"/>
            <w:shd w:val="clear" w:color="000000" w:fill="FFFFFF"/>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网管软件</w:t>
            </w:r>
          </w:p>
        </w:tc>
        <w:tc>
          <w:tcPr>
            <w:tcW w:w="807"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套</w:t>
            </w:r>
          </w:p>
        </w:tc>
        <w:tc>
          <w:tcPr>
            <w:tcW w:w="678"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678" w:type="dxa"/>
            <w:vMerge w:val="restart"/>
            <w:shd w:val="clear" w:color="000000" w:fill="FFFFFF"/>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网管用电脑</w:t>
            </w:r>
          </w:p>
        </w:tc>
        <w:tc>
          <w:tcPr>
            <w:tcW w:w="709"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4146" w:type="dxa"/>
            <w:shd w:val="clear" w:color="000000" w:fill="FFFFFF"/>
            <w:noWrap w:val="0"/>
            <w:vAlign w:val="center"/>
          </w:tcPr>
          <w:p>
            <w:pPr>
              <w:widowControl/>
              <w:jc w:val="left"/>
              <w:rPr>
                <w:rFonts w:ascii="宋体" w:hAnsi="宋体" w:cs="宋体"/>
                <w:kern w:val="0"/>
                <w:sz w:val="21"/>
                <w:szCs w:val="21"/>
              </w:rPr>
            </w:pPr>
            <w:r>
              <w:rPr>
                <w:rFonts w:hint="eastAsia" w:ascii="宋体" w:hAnsi="宋体" w:cs="宋体"/>
                <w:kern w:val="0"/>
                <w:sz w:val="21"/>
                <w:szCs w:val="21"/>
              </w:rPr>
              <w:t>主流品牌产品（32G内存，i7 处理器，1TBSSD</w:t>
            </w:r>
            <w:r>
              <w:rPr>
                <w:rFonts w:ascii="宋体" w:hAnsi="宋体" w:cs="宋体"/>
                <w:kern w:val="0"/>
                <w:sz w:val="21"/>
                <w:szCs w:val="21"/>
              </w:rPr>
              <w:t xml:space="preserve"> </w:t>
            </w:r>
            <w:r>
              <w:rPr>
                <w:rFonts w:hint="eastAsia" w:ascii="宋体" w:hAnsi="宋体" w:cs="宋体"/>
                <w:kern w:val="0"/>
                <w:sz w:val="21"/>
                <w:szCs w:val="21"/>
              </w:rPr>
              <w:t>raid0及以上硬盘空间，Windows系统）</w:t>
            </w:r>
          </w:p>
        </w:tc>
        <w:tc>
          <w:tcPr>
            <w:tcW w:w="807"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78"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auto" w:fill="auto"/>
            <w:noWrap w:val="0"/>
            <w:vAlign w:val="center"/>
          </w:tcPr>
          <w:p>
            <w:pPr>
              <w:widowControl/>
              <w:ind w:firstLine="210" w:firstLineChars="100"/>
              <w:jc w:val="left"/>
              <w:rPr>
                <w:rFonts w:hint="eastAsia" w:ascii="宋体" w:hAnsi="宋体" w:cs="宋体"/>
                <w:kern w:val="0"/>
                <w:sz w:val="21"/>
                <w:szCs w:val="21"/>
              </w:rPr>
            </w:pPr>
            <w:r>
              <w:rPr>
                <w:rFonts w:hint="eastAsia" w:ascii="宋体" w:hAnsi="宋体" w:cs="宋体"/>
                <w:kern w:val="0"/>
                <w:sz w:val="21"/>
                <w:szCs w:val="21"/>
              </w:rPr>
              <w:t>机框</w:t>
            </w:r>
          </w:p>
        </w:tc>
        <w:tc>
          <w:tcPr>
            <w:tcW w:w="709"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4146" w:type="dxa"/>
            <w:shd w:val="clear" w:color="000000" w:fill="FFFFFF"/>
            <w:noWrap w:val="0"/>
            <w:vAlign w:val="center"/>
          </w:tcPr>
          <w:p>
            <w:pPr>
              <w:widowControl/>
              <w:jc w:val="left"/>
              <w:rPr>
                <w:rFonts w:ascii="宋体" w:hAnsi="宋体" w:cs="宋体"/>
                <w:kern w:val="0"/>
                <w:sz w:val="21"/>
                <w:szCs w:val="21"/>
              </w:rPr>
            </w:pPr>
            <w:r>
              <w:rPr>
                <w:rFonts w:hint="eastAsia" w:ascii="宋体" w:hAnsi="宋体" w:cs="宋体"/>
                <w:kern w:val="0"/>
                <w:sz w:val="21"/>
                <w:szCs w:val="21"/>
              </w:rPr>
              <w:t>5U机框（含风扇、背板、双电源）</w:t>
            </w:r>
          </w:p>
        </w:tc>
        <w:tc>
          <w:tcPr>
            <w:tcW w:w="807"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台</w:t>
            </w:r>
          </w:p>
        </w:tc>
        <w:tc>
          <w:tcPr>
            <w:tcW w:w="678" w:type="dxa"/>
            <w:shd w:val="clear" w:color="000000" w:fill="FFFFFF"/>
            <w:noWrap w:val="0"/>
            <w:vAlign w:val="center"/>
          </w:tcPr>
          <w:p>
            <w:pPr>
              <w:widowControl/>
              <w:jc w:val="center"/>
              <w:rPr>
                <w:rFonts w:ascii="宋体" w:hAnsi="宋体" w:cs="宋体"/>
                <w:kern w:val="0"/>
                <w:sz w:val="21"/>
                <w:szCs w:val="21"/>
              </w:rPr>
            </w:pPr>
            <w:r>
              <w:rPr>
                <w:rFonts w:ascii="宋体" w:hAnsi="宋体" w:cs="宋体"/>
                <w:kern w:val="0"/>
                <w:sz w:val="21"/>
                <w:szCs w:val="21"/>
              </w:rPr>
              <w:t>8</w:t>
            </w:r>
          </w:p>
        </w:tc>
        <w:tc>
          <w:tcPr>
            <w:tcW w:w="678" w:type="dxa"/>
            <w:vMerge w:val="continue"/>
            <w:shd w:val="clear" w:color="000000" w:fill="FFFFFF"/>
            <w:noWrap w:val="0"/>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系统主控制模块</w:t>
            </w:r>
          </w:p>
        </w:tc>
        <w:tc>
          <w:tcPr>
            <w:tcW w:w="709"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4146" w:type="dxa"/>
            <w:shd w:val="clear" w:color="000000" w:fill="FFFFFF"/>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系统主控模块</w:t>
            </w:r>
          </w:p>
        </w:tc>
        <w:tc>
          <w:tcPr>
            <w:tcW w:w="807"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ascii="宋体" w:hAnsi="宋体" w:cs="宋体"/>
                <w:kern w:val="0"/>
                <w:sz w:val="21"/>
                <w:szCs w:val="21"/>
              </w:rPr>
            </w:pPr>
            <w:r>
              <w:rPr>
                <w:rFonts w:ascii="宋体" w:hAnsi="宋体" w:cs="宋体"/>
                <w:kern w:val="0"/>
                <w:sz w:val="21"/>
                <w:szCs w:val="21"/>
              </w:rPr>
              <w:t>8</w:t>
            </w:r>
          </w:p>
        </w:tc>
        <w:tc>
          <w:tcPr>
            <w:tcW w:w="678" w:type="dxa"/>
            <w:vMerge w:val="continue"/>
            <w:shd w:val="clear" w:color="000000" w:fill="FFFFFF"/>
            <w:noWrap w:val="0"/>
            <w:vAlign w:val="center"/>
          </w:tcPr>
          <w:p>
            <w:pPr>
              <w:widowControl/>
              <w:jc w:val="center"/>
              <w:rPr>
                <w:rFonts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辅助功能模块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5</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系统辅助功能模块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8</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低插损OLP模块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10</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低插损OLP模块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0插损OLP模块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11</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0插损OLP模块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 xml:space="preserve"> 块</w:t>
            </w:r>
          </w:p>
        </w:tc>
        <w:tc>
          <w:tcPr>
            <w:tcW w:w="678"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4</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EDFA模块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12</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掺铒光纤放大模块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色散模块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13</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D</w:t>
            </w:r>
            <w:r>
              <w:rPr>
                <w:rFonts w:ascii="宋体" w:hAnsi="宋体" w:cs="宋体"/>
                <w:kern w:val="0"/>
                <w:sz w:val="21"/>
                <w:szCs w:val="21"/>
              </w:rPr>
              <w:t>CM-10KM</w:t>
            </w:r>
            <w:r>
              <w:rPr>
                <w:rFonts w:hint="eastAsia" w:ascii="宋体" w:hAnsi="宋体" w:cs="宋体"/>
                <w:kern w:val="0"/>
                <w:sz w:val="21"/>
                <w:szCs w:val="21"/>
              </w:rPr>
              <w:t>负色散补偿模块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33" w:type="dxa"/>
            <w:shd w:val="clear" w:color="000000" w:fill="FFFFFF"/>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色散模块</w:t>
            </w:r>
          </w:p>
        </w:tc>
        <w:tc>
          <w:tcPr>
            <w:tcW w:w="709"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14</w:t>
            </w:r>
          </w:p>
        </w:tc>
        <w:tc>
          <w:tcPr>
            <w:tcW w:w="4146" w:type="dxa"/>
            <w:shd w:val="clear" w:color="000000" w:fill="FFFFFF"/>
            <w:noWrap w:val="0"/>
            <w:vAlign w:val="center"/>
          </w:tcPr>
          <w:p>
            <w:pPr>
              <w:widowControl/>
              <w:jc w:val="left"/>
              <w:rPr>
                <w:rFonts w:hint="eastAsia" w:ascii="宋体" w:hAnsi="宋体" w:cs="宋体"/>
                <w:kern w:val="0"/>
                <w:sz w:val="21"/>
                <w:szCs w:val="21"/>
              </w:rPr>
            </w:pPr>
            <w:r>
              <w:rPr>
                <w:rFonts w:hint="eastAsia" w:ascii="宋体" w:hAnsi="宋体" w:cs="宋体"/>
                <w:kern w:val="0"/>
                <w:sz w:val="21"/>
                <w:szCs w:val="21"/>
              </w:rPr>
              <w:t>D</w:t>
            </w:r>
            <w:r>
              <w:rPr>
                <w:rFonts w:ascii="宋体" w:hAnsi="宋体" w:cs="宋体"/>
                <w:kern w:val="0"/>
                <w:sz w:val="21"/>
                <w:szCs w:val="21"/>
              </w:rPr>
              <w:t>CM-</w:t>
            </w:r>
            <w:r>
              <w:rPr>
                <w:rFonts w:hint="eastAsia" w:ascii="宋体" w:hAnsi="宋体" w:cs="宋体"/>
                <w:kern w:val="0"/>
                <w:sz w:val="21"/>
                <w:szCs w:val="21"/>
              </w:rPr>
              <w:t>2</w:t>
            </w:r>
            <w:r>
              <w:rPr>
                <w:rFonts w:ascii="宋体" w:hAnsi="宋体" w:cs="宋体"/>
                <w:kern w:val="0"/>
                <w:sz w:val="21"/>
                <w:szCs w:val="21"/>
              </w:rPr>
              <w:t>0KM</w:t>
            </w:r>
            <w:r>
              <w:rPr>
                <w:rFonts w:hint="eastAsia" w:ascii="宋体" w:hAnsi="宋体" w:cs="宋体"/>
                <w:kern w:val="0"/>
                <w:sz w:val="21"/>
                <w:szCs w:val="21"/>
              </w:rPr>
              <w:t>正色散补偿模块</w:t>
            </w:r>
          </w:p>
        </w:tc>
        <w:tc>
          <w:tcPr>
            <w:tcW w:w="807"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块</w:t>
            </w:r>
          </w:p>
        </w:tc>
        <w:tc>
          <w:tcPr>
            <w:tcW w:w="678" w:type="dxa"/>
            <w:shd w:val="clear" w:color="000000" w:fill="FFFFFF"/>
            <w:noWrap w:val="0"/>
            <w:vAlign w:val="center"/>
          </w:tcPr>
          <w:p>
            <w:pPr>
              <w:widowControl/>
              <w:jc w:val="center"/>
              <w:rPr>
                <w:rFonts w:hint="eastAsia" w:ascii="宋体" w:hAnsi="宋体" w:cs="宋体"/>
                <w:kern w:val="0"/>
                <w:sz w:val="21"/>
                <w:szCs w:val="21"/>
              </w:rPr>
            </w:pPr>
            <w:r>
              <w:rPr>
                <w:rFonts w:hint="eastAsia" w:ascii="宋体" w:hAnsi="宋体" w:cs="宋体"/>
                <w:kern w:val="0"/>
                <w:sz w:val="21"/>
                <w:szCs w:val="21"/>
              </w:rPr>
              <w:t>2</w:t>
            </w:r>
          </w:p>
        </w:tc>
        <w:tc>
          <w:tcPr>
            <w:tcW w:w="678" w:type="dxa"/>
            <w:vMerge w:val="continue"/>
            <w:shd w:val="clear" w:color="000000" w:fill="FFFFFF"/>
            <w:noWrap w:val="0"/>
            <w:vAlign w:val="center"/>
          </w:tcPr>
          <w:p>
            <w:pPr>
              <w:widowControl/>
              <w:jc w:val="center"/>
              <w:rPr>
                <w:rFonts w:hint="eastAsia" w:ascii="宋体" w:hAnsi="宋体" w:cs="宋体"/>
                <w:kern w:val="0"/>
                <w:sz w:val="21"/>
                <w:szCs w:val="21"/>
              </w:rPr>
            </w:pPr>
          </w:p>
        </w:tc>
      </w:tr>
    </w:tbl>
    <w:p>
      <w:pPr>
        <w:rPr>
          <w:rFonts w:hint="eastAsia"/>
          <w:sz w:val="21"/>
          <w:szCs w:val="21"/>
        </w:rPr>
      </w:pPr>
      <w:r>
        <w:rPr>
          <w:rFonts w:hint="eastAsia"/>
          <w:sz w:val="21"/>
          <w:szCs w:val="21"/>
        </w:rPr>
        <w:t>以上按实际情况需要进行配置。</w:t>
      </w:r>
    </w:p>
    <w:p>
      <w:pPr>
        <w:spacing w:before="120" w:after="120" w:line="360" w:lineRule="auto"/>
        <w:ind w:firstLine="420" w:firstLineChars="200"/>
        <w:rPr>
          <w:rFonts w:hint="eastAsia" w:ascii="宋体" w:hAnsi="宋体"/>
          <w:sz w:val="21"/>
          <w:szCs w:val="21"/>
        </w:rPr>
      </w:pPr>
      <w:bookmarkStart w:id="18" w:name="_Toc319394714"/>
      <w:bookmarkStart w:id="19" w:name="_Toc319769473"/>
      <w:bookmarkStart w:id="20" w:name="_Toc184704555"/>
      <w:r>
        <w:rPr>
          <w:rFonts w:hint="eastAsia" w:ascii="宋体" w:hAnsi="宋体"/>
          <w:sz w:val="21"/>
          <w:szCs w:val="21"/>
          <w:lang w:val="en-US" w:eastAsia="zh-CN"/>
        </w:rPr>
        <w:t xml:space="preserve">2 </w:t>
      </w:r>
      <w:r>
        <w:rPr>
          <w:rFonts w:hint="eastAsia" w:ascii="宋体" w:hAnsi="宋体"/>
          <w:sz w:val="21"/>
          <w:szCs w:val="21"/>
        </w:rPr>
        <w:t>★质保期：原厂质保</w:t>
      </w:r>
      <w:r>
        <w:rPr>
          <w:rFonts w:hint="eastAsia" w:ascii="宋体" w:hAnsi="宋体"/>
          <w:sz w:val="21"/>
          <w:szCs w:val="21"/>
          <w:lang w:val="en-US" w:eastAsia="zh-CN"/>
        </w:rPr>
        <w:t>五</w:t>
      </w:r>
      <w:r>
        <w:rPr>
          <w:rFonts w:hint="eastAsia" w:ascii="宋体" w:hAnsi="宋体"/>
          <w:sz w:val="21"/>
          <w:szCs w:val="21"/>
        </w:rPr>
        <w:t>年。产品质量保证、售后服务、检测验收等按合同文本的相关条款规定。</w:t>
      </w:r>
    </w:p>
    <w:p>
      <w:pPr>
        <w:spacing w:before="120" w:after="120" w:line="360" w:lineRule="auto"/>
        <w:ind w:firstLine="420" w:firstLineChars="200"/>
        <w:rPr>
          <w:rFonts w:ascii="宋体" w:hAnsi="宋体"/>
          <w:sz w:val="21"/>
          <w:szCs w:val="21"/>
        </w:rPr>
      </w:pPr>
      <w:r>
        <w:rPr>
          <w:rFonts w:hint="eastAsia" w:ascii="宋体" w:hAnsi="宋体"/>
          <w:sz w:val="21"/>
          <w:szCs w:val="21"/>
          <w:lang w:val="en-US" w:eastAsia="zh-CN"/>
        </w:rPr>
        <w:t>3</w:t>
      </w:r>
      <w:r>
        <w:rPr>
          <w:rFonts w:ascii="宋体" w:hAnsi="宋体"/>
          <w:sz w:val="21"/>
          <w:szCs w:val="21"/>
        </w:rPr>
        <w:t xml:space="preserve"> </w:t>
      </w:r>
      <w:r>
        <w:rPr>
          <w:rFonts w:hint="eastAsia" w:ascii="宋体" w:hAnsi="宋体"/>
          <w:sz w:val="21"/>
          <w:szCs w:val="21"/>
        </w:rPr>
        <w:t>★工期：收到中标通知后</w:t>
      </w:r>
      <w:r>
        <w:rPr>
          <w:rFonts w:ascii="宋体" w:hAnsi="宋体"/>
          <w:sz w:val="21"/>
          <w:szCs w:val="21"/>
        </w:rPr>
        <w:t>15</w:t>
      </w:r>
      <w:r>
        <w:rPr>
          <w:rFonts w:hint="eastAsia" w:ascii="宋体" w:hAnsi="宋体"/>
          <w:sz w:val="21"/>
          <w:szCs w:val="21"/>
        </w:rPr>
        <w:t>个日历天内完成。</w:t>
      </w:r>
    </w:p>
    <w:p>
      <w:pPr>
        <w:spacing w:line="360" w:lineRule="auto"/>
        <w:ind w:firstLine="482"/>
        <w:rPr>
          <w:rFonts w:hint="eastAsia" w:ascii="宋体" w:hAnsi="宋体"/>
          <w:sz w:val="21"/>
          <w:szCs w:val="21"/>
        </w:rPr>
      </w:pPr>
      <w:r>
        <w:rPr>
          <w:rFonts w:hint="eastAsia" w:ascii="宋体" w:hAnsi="宋体"/>
          <w:sz w:val="21"/>
          <w:szCs w:val="21"/>
          <w:lang w:val="en-US" w:eastAsia="zh-CN"/>
        </w:rPr>
        <w:t>4</w:t>
      </w:r>
      <w:r>
        <w:rPr>
          <w:rFonts w:hint="eastAsia" w:ascii="宋体" w:hAnsi="宋体"/>
          <w:sz w:val="21"/>
          <w:szCs w:val="21"/>
        </w:rPr>
        <w:t>地点：中广有线南通分公司（</w:t>
      </w:r>
      <w:r>
        <w:rPr>
          <w:rFonts w:hint="eastAsia" w:ascii="宋体" w:hAnsi="宋体" w:cs="宋体"/>
          <w:bCs/>
          <w:sz w:val="21"/>
          <w:szCs w:val="21"/>
          <w:u w:val="single"/>
        </w:rPr>
        <w:t>南通经济技术开发区星湖大道1100号</w:t>
      </w:r>
      <w:r>
        <w:rPr>
          <w:rFonts w:hint="eastAsia" w:ascii="宋体" w:hAnsi="宋体"/>
          <w:sz w:val="21"/>
          <w:szCs w:val="21"/>
        </w:rPr>
        <w:t>）</w:t>
      </w:r>
    </w:p>
    <w:p>
      <w:pPr>
        <w:spacing w:line="360" w:lineRule="auto"/>
        <w:ind w:firstLine="482"/>
        <w:rPr>
          <w:rFonts w:hint="eastAsia" w:ascii="宋体" w:hAnsi="宋体"/>
          <w:sz w:val="21"/>
          <w:szCs w:val="21"/>
        </w:rPr>
      </w:pPr>
      <w:r>
        <w:rPr>
          <w:rFonts w:hint="eastAsia" w:ascii="宋体" w:hAnsi="宋体"/>
          <w:sz w:val="21"/>
          <w:szCs w:val="21"/>
          <w:lang w:val="en-US" w:eastAsia="zh-CN"/>
        </w:rPr>
        <w:t>5</w:t>
      </w:r>
      <w:r>
        <w:rPr>
          <w:rFonts w:ascii="宋体" w:hAnsi="宋体"/>
          <w:sz w:val="21"/>
          <w:szCs w:val="21"/>
        </w:rPr>
        <w:t xml:space="preserve"> </w:t>
      </w:r>
      <w:r>
        <w:rPr>
          <w:rFonts w:hint="eastAsia" w:ascii="宋体" w:hAnsi="宋体"/>
          <w:sz w:val="21"/>
          <w:szCs w:val="21"/>
        </w:rPr>
        <w:t>质量标准要求：合格，符合国家相关质量标准及招标人技术要求。</w:t>
      </w:r>
    </w:p>
    <w:p>
      <w:pPr>
        <w:pStyle w:val="9"/>
        <w:numPr>
          <w:ilvl w:val="0"/>
          <w:numId w:val="0"/>
        </w:numPr>
        <w:adjustRightInd w:val="0"/>
        <w:snapToGrid w:val="0"/>
        <w:spacing w:line="440" w:lineRule="exact"/>
        <w:ind w:firstLine="420" w:firstLineChars="200"/>
        <w:rPr>
          <w:rFonts w:ascii="宋体" w:hAnsi="宋体"/>
          <w:sz w:val="21"/>
          <w:szCs w:val="21"/>
        </w:rPr>
      </w:pPr>
      <w:r>
        <w:rPr>
          <w:rFonts w:hint="eastAsia" w:ascii="宋体" w:hAnsi="宋体" w:eastAsia="宋体" w:cs="Times New Roman"/>
          <w:kern w:val="2"/>
          <w:sz w:val="21"/>
          <w:szCs w:val="21"/>
          <w:lang w:val="en-US" w:eastAsia="zh-CN" w:bidi="ar-SA"/>
        </w:rPr>
        <w:t>6</w:t>
      </w:r>
      <w:r>
        <w:rPr>
          <w:rFonts w:hint="eastAsia" w:ascii="宋体" w:hAnsi="宋体"/>
          <w:sz w:val="21"/>
          <w:szCs w:val="21"/>
        </w:rPr>
        <w:t>本项</w:t>
      </w:r>
      <w:r>
        <w:rPr>
          <w:rFonts w:hint="eastAsia" w:ascii="宋体" w:hAnsi="宋体" w:eastAsia="宋体" w:cs="Times New Roman"/>
          <w:kern w:val="2"/>
          <w:sz w:val="21"/>
          <w:szCs w:val="21"/>
          <w:lang w:val="en-US" w:eastAsia="zh-CN" w:bidi="ar-SA"/>
        </w:rPr>
        <w:t>目【设置最高投标限价，最高投标限价</w:t>
      </w:r>
      <w:r>
        <w:rPr>
          <w:rFonts w:hint="eastAsia" w:ascii="宋体" w:hAnsi="宋体" w:cs="Times New Roman"/>
          <w:kern w:val="2"/>
          <w:sz w:val="21"/>
          <w:szCs w:val="21"/>
          <w:lang w:val="en-US" w:eastAsia="zh-CN" w:bidi="ar-SA"/>
        </w:rPr>
        <w:t>40万（含税）</w:t>
      </w:r>
      <w:r>
        <w:rPr>
          <w:rFonts w:hint="eastAsia" w:ascii="宋体" w:hAnsi="宋体" w:eastAsia="宋体" w:cs="Times New Roman"/>
          <w:kern w:val="2"/>
          <w:sz w:val="21"/>
          <w:szCs w:val="21"/>
          <w:lang w:val="en-US" w:eastAsia="zh-CN" w:bidi="ar-SA"/>
        </w:rPr>
        <w:t>】，投标人投标报价高于最高投标限价的，其投标将被否决。</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投标人资格要求</w:t>
      </w:r>
      <w:bookmarkEnd w:id="18"/>
      <w:bookmarkEnd w:id="19"/>
      <w:bookmarkEnd w:id="20"/>
    </w:p>
    <w:p>
      <w:pPr>
        <w:pStyle w:val="9"/>
        <w:numPr>
          <w:ilvl w:val="1"/>
          <w:numId w:val="1"/>
        </w:numPr>
        <w:adjustRightInd w:val="0"/>
        <w:snapToGrid w:val="0"/>
        <w:spacing w:line="440" w:lineRule="exact"/>
        <w:ind w:firstLineChars="0"/>
        <w:rPr>
          <w:rFonts w:ascii="宋体" w:hAnsi="宋体"/>
          <w:b/>
          <w:szCs w:val="21"/>
        </w:rPr>
      </w:pPr>
      <w:bookmarkStart w:id="21" w:name="_Toc319394715"/>
      <w:bookmarkStart w:id="22" w:name="_Toc184704556"/>
      <w:bookmarkStart w:id="23" w:name="_Toc319769474"/>
      <w:r>
        <w:rPr>
          <w:rFonts w:hint="eastAsia" w:ascii="宋体" w:hAnsi="宋体"/>
          <w:szCs w:val="21"/>
        </w:rPr>
        <w:t>★</w:t>
      </w:r>
      <w:r>
        <w:rPr>
          <w:rFonts w:hint="eastAsia" w:ascii="宋体" w:hAnsi="宋体"/>
          <w:b/>
          <w:szCs w:val="21"/>
        </w:rPr>
        <w:t>投标人基本资格要求</w:t>
      </w:r>
      <w:r>
        <w:rPr>
          <w:rFonts w:hint="eastAsia" w:ascii="宋体" w:hAnsi="宋体"/>
          <w:b/>
          <w:szCs w:val="21"/>
          <w:lang w:val="en-US" w:eastAsia="zh-CN"/>
        </w:rPr>
        <w:t xml:space="preserve"> </w:t>
      </w:r>
    </w:p>
    <w:p>
      <w:pPr>
        <w:pStyle w:val="9"/>
        <w:numPr>
          <w:ilvl w:val="2"/>
          <w:numId w:val="1"/>
        </w:numPr>
        <w:tabs>
          <w:tab w:val="left" w:pos="993"/>
        </w:tabs>
        <w:adjustRightInd w:val="0"/>
        <w:snapToGrid w:val="0"/>
        <w:spacing w:line="440" w:lineRule="exact"/>
        <w:ind w:left="0" w:firstLine="426" w:firstLineChars="0"/>
        <w:rPr>
          <w:rFonts w:ascii="宋体" w:hAnsi="宋体"/>
          <w:sz w:val="21"/>
          <w:szCs w:val="21"/>
        </w:rPr>
      </w:pPr>
      <w:r>
        <w:rPr>
          <w:rFonts w:hint="eastAsia" w:ascii="宋体" w:hAnsi="宋体"/>
          <w:szCs w:val="21"/>
        </w:rPr>
        <w:t>投标人应为中华人民共和国境内法律上和财务上独立的法人或其他组织，合法运</w:t>
      </w:r>
      <w:r>
        <w:rPr>
          <w:rFonts w:hint="eastAsia" w:ascii="宋体" w:hAnsi="宋体"/>
          <w:sz w:val="21"/>
          <w:szCs w:val="21"/>
        </w:rPr>
        <w:t>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pStyle w:val="9"/>
        <w:numPr>
          <w:ilvl w:val="2"/>
          <w:numId w:val="1"/>
        </w:numPr>
        <w:tabs>
          <w:tab w:val="left" w:pos="993"/>
        </w:tabs>
        <w:adjustRightInd w:val="0"/>
        <w:snapToGrid w:val="0"/>
        <w:spacing w:line="440" w:lineRule="exact"/>
        <w:ind w:left="0" w:firstLine="426" w:firstLineChars="0"/>
        <w:rPr>
          <w:rFonts w:hint="eastAsia" w:ascii="宋体" w:hAnsi="宋体" w:eastAsia="宋体" w:cs="Times New Roman"/>
          <w:sz w:val="21"/>
          <w:szCs w:val="21"/>
        </w:rPr>
      </w:pPr>
      <w:r>
        <w:rPr>
          <w:rFonts w:hint="eastAsia" w:ascii="宋体" w:hAnsi="宋体" w:eastAsia="宋体" w:cs="Times New Roman"/>
          <w:sz w:val="21"/>
          <w:szCs w:val="21"/>
        </w:rPr>
        <w:t>投标人的法定代表人或负责人为同一人或者存在控股、管理关系的不同投标人，不得参加同一标包投标或者未划分标包的同一招标项目投标。</w:t>
      </w:r>
    </w:p>
    <w:p>
      <w:pPr>
        <w:pStyle w:val="9"/>
        <w:numPr>
          <w:ilvl w:val="2"/>
          <w:numId w:val="1"/>
        </w:numPr>
        <w:tabs>
          <w:tab w:val="left" w:pos="993"/>
        </w:tabs>
        <w:adjustRightInd w:val="0"/>
        <w:snapToGrid w:val="0"/>
        <w:spacing w:line="440" w:lineRule="exact"/>
        <w:ind w:left="0" w:firstLine="426" w:firstLineChars="0"/>
        <w:rPr>
          <w:rFonts w:hint="eastAsia" w:ascii="宋体" w:hAnsi="宋体" w:eastAsia="宋体" w:cs="Times New Roman"/>
          <w:sz w:val="21"/>
          <w:szCs w:val="21"/>
          <w:highlight w:val="none"/>
        </w:rPr>
      </w:pPr>
      <w:r>
        <w:rPr>
          <w:rFonts w:hint="eastAsia" w:ascii="宋体" w:hAnsi="宋体"/>
          <w:szCs w:val="21"/>
          <w:highlight w:val="none"/>
        </w:rPr>
        <w:t>投标人为增值税一般纳税人，税务登记证副本须盖“增值税一般纳税人”章或202</w:t>
      </w:r>
      <w:r>
        <w:rPr>
          <w:rFonts w:hint="eastAsia" w:ascii="宋体" w:hAnsi="宋体"/>
          <w:szCs w:val="21"/>
          <w:highlight w:val="none"/>
          <w:lang w:val="en-US" w:eastAsia="zh-CN"/>
        </w:rPr>
        <w:t>1</w:t>
      </w:r>
      <w:r>
        <w:rPr>
          <w:rFonts w:hint="eastAsia" w:ascii="宋体" w:hAnsi="宋体"/>
          <w:szCs w:val="21"/>
          <w:highlight w:val="none"/>
        </w:rPr>
        <w:t>年1月后开具的增值税专用发票。</w:t>
      </w:r>
    </w:p>
    <w:p>
      <w:pPr>
        <w:pStyle w:val="9"/>
        <w:numPr>
          <w:ilvl w:val="2"/>
          <w:numId w:val="1"/>
        </w:numPr>
        <w:tabs>
          <w:tab w:val="left" w:pos="993"/>
        </w:tabs>
        <w:adjustRightInd w:val="0"/>
        <w:snapToGrid w:val="0"/>
        <w:spacing w:line="440" w:lineRule="exact"/>
        <w:ind w:left="0" w:firstLine="426" w:firstLineChars="0"/>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投标人须具备承担本次项目的能力，投标人须提供2018年1月1日至本公告发布之日止类似工程项目业绩合同复印件，原件备查。</w:t>
      </w:r>
    </w:p>
    <w:p>
      <w:pPr>
        <w:pStyle w:val="9"/>
        <w:numPr>
          <w:ilvl w:val="2"/>
          <w:numId w:val="1"/>
        </w:numPr>
        <w:tabs>
          <w:tab w:val="left" w:pos="993"/>
        </w:tabs>
        <w:adjustRightInd w:val="0"/>
        <w:snapToGrid w:val="0"/>
        <w:spacing w:line="440" w:lineRule="exact"/>
        <w:ind w:left="0" w:firstLine="426" w:firstLineChars="0"/>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本项目允许代理商投标，代理商投标的须提供</w:t>
      </w:r>
      <w:r>
        <w:rPr>
          <w:rFonts w:hint="eastAsia" w:ascii="宋体" w:hAnsi="宋体" w:eastAsia="宋体" w:cs="宋体"/>
          <w:kern w:val="2"/>
          <w:sz w:val="21"/>
          <w:szCs w:val="21"/>
          <w:lang w:val="en-US" w:eastAsia="zh-CN" w:bidi="ar-SA"/>
        </w:rPr>
        <w:t>制造商针对本项目代理授权书。一个制造商对同一品牌同一型号的货物，仅能委托一个代理商参加</w:t>
      </w:r>
      <w:r>
        <w:rPr>
          <w:rFonts w:hint="eastAsia" w:ascii="宋体" w:hAnsi="宋体" w:cs="宋体"/>
          <w:kern w:val="2"/>
          <w:sz w:val="21"/>
          <w:szCs w:val="21"/>
          <w:lang w:val="en-US" w:eastAsia="zh-CN" w:bidi="ar-SA"/>
        </w:rPr>
        <w:t>投标</w:t>
      </w:r>
      <w:r>
        <w:rPr>
          <w:rFonts w:hint="eastAsia" w:ascii="宋体" w:hAnsi="宋体" w:eastAsia="宋体" w:cs="宋体"/>
          <w:kern w:val="2"/>
          <w:sz w:val="21"/>
          <w:szCs w:val="21"/>
          <w:lang w:val="en-US" w:eastAsia="zh-CN" w:bidi="ar-SA"/>
        </w:rPr>
        <w:t>。违反规定的，相关</w:t>
      </w:r>
      <w:r>
        <w:rPr>
          <w:rFonts w:hint="eastAsia" w:ascii="宋体" w:hAnsi="宋体" w:cs="宋体"/>
          <w:kern w:val="2"/>
          <w:sz w:val="21"/>
          <w:szCs w:val="21"/>
          <w:lang w:val="en-US" w:eastAsia="zh-CN" w:bidi="ar-SA"/>
        </w:rPr>
        <w:t>投标</w:t>
      </w:r>
      <w:r>
        <w:rPr>
          <w:rFonts w:hint="eastAsia" w:ascii="宋体" w:hAnsi="宋体" w:eastAsia="宋体" w:cs="宋体"/>
          <w:kern w:val="2"/>
          <w:sz w:val="21"/>
          <w:szCs w:val="21"/>
          <w:lang w:val="en-US" w:eastAsia="zh-CN" w:bidi="ar-SA"/>
        </w:rPr>
        <w:t>均无效。</w:t>
      </w:r>
    </w:p>
    <w:p>
      <w:pPr>
        <w:pStyle w:val="9"/>
        <w:numPr>
          <w:ilvl w:val="0"/>
          <w:numId w:val="0"/>
        </w:numPr>
        <w:tabs>
          <w:tab w:val="left" w:pos="993"/>
        </w:tabs>
        <w:adjustRightInd w:val="0"/>
        <w:snapToGrid w:val="0"/>
        <w:spacing w:line="440" w:lineRule="exact"/>
        <w:ind w:left="426" w:leftChars="0"/>
        <w:rPr>
          <w:rFonts w:ascii="宋体" w:hAnsi="宋体"/>
          <w:szCs w:val="21"/>
        </w:rPr>
      </w:pPr>
      <w:r>
        <w:rPr>
          <w:rFonts w:hint="eastAsia" w:ascii="宋体" w:hAnsi="宋体"/>
          <w:szCs w:val="21"/>
          <w:lang w:val="en-US" w:eastAsia="zh-CN"/>
        </w:rPr>
        <w:t>2.1.6</w:t>
      </w:r>
      <w:r>
        <w:rPr>
          <w:rFonts w:hint="eastAsia" w:ascii="宋体" w:hAnsi="宋体"/>
          <w:szCs w:val="21"/>
        </w:rPr>
        <w:t>本次招标不接受联合体投标。</w:t>
      </w:r>
    </w:p>
    <w:p>
      <w:pPr>
        <w:pStyle w:val="9"/>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投标人不得存在下列情形之一</w:t>
      </w:r>
    </w:p>
    <w:p>
      <w:pPr>
        <w:numPr>
          <w:ilvl w:val="0"/>
          <w:numId w:val="3"/>
        </w:numPr>
        <w:tabs>
          <w:tab w:val="left" w:pos="0"/>
          <w:tab w:val="left" w:pos="993"/>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3"/>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被依法暂停或取消投标资格的；</w:t>
      </w:r>
    </w:p>
    <w:p>
      <w:pPr>
        <w:numPr>
          <w:ilvl w:val="0"/>
          <w:numId w:val="3"/>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3"/>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3"/>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在最近三年内（自2018年1月1日起）被相关行业主管部门或司法机关认定有骗取中标、严重违约、重大工程质量或者安全问题的；</w:t>
      </w:r>
    </w:p>
    <w:p>
      <w:pPr>
        <w:numPr>
          <w:ilvl w:val="0"/>
          <w:numId w:val="3"/>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在最近五年内（自2016年1月1日起）被判处单位行贿罪，且行贿行为与采购活动相关的（以“中国裁判文书网”的生效判决为准）；</w:t>
      </w:r>
    </w:p>
    <w:p>
      <w:pPr>
        <w:numPr>
          <w:ilvl w:val="0"/>
          <w:numId w:val="3"/>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在最近五年内（自2016年1月1日起）被判处合同诈骗罪的（以“中国裁判文书网”的生效判决为准）；</w:t>
      </w:r>
    </w:p>
    <w:p>
      <w:pPr>
        <w:numPr>
          <w:ilvl w:val="0"/>
          <w:numId w:val="3"/>
        </w:numPr>
        <w:tabs>
          <w:tab w:val="left" w:pos="0"/>
          <w:tab w:val="left" w:pos="993"/>
          <w:tab w:val="left" w:pos="2564"/>
          <w:tab w:val="clear" w:pos="1713"/>
        </w:tabs>
        <w:spacing w:line="440" w:lineRule="exact"/>
        <w:ind w:left="0" w:firstLine="422"/>
        <w:rPr>
          <w:rFonts w:ascii="宋体" w:hAnsi="宋体"/>
        </w:rPr>
      </w:pPr>
      <w:r>
        <w:rPr>
          <w:rFonts w:hint="eastAsia" w:asciiTheme="minorEastAsia" w:hAnsiTheme="minorEastAsia" w:eastAsiaTheme="minorEastAsia"/>
        </w:rPr>
        <w:t>被最高人民法院认定为失信被执行人的</w:t>
      </w:r>
      <w:r>
        <w:rPr>
          <w:rFonts w:asciiTheme="minorEastAsia" w:hAnsiTheme="minorEastAsia" w:eastAsiaTheme="minorEastAsia"/>
        </w:rPr>
        <w:t>(以“信用中国”网站（www.creditchina.gov.cn）或各级信用信息共享平台</w:t>
      </w:r>
      <w:r>
        <w:rPr>
          <w:rFonts w:hint="eastAsia" w:asciiTheme="minorEastAsia" w:hAnsiTheme="minorEastAsia" w:eastAsiaTheme="minorEastAsia"/>
        </w:rPr>
        <w:t>公布的</w:t>
      </w:r>
      <w:r>
        <w:rPr>
          <w:rFonts w:asciiTheme="minorEastAsia" w:hAnsiTheme="minorEastAsia" w:eastAsiaTheme="minorEastAsia"/>
        </w:rPr>
        <w:t>失信被执行人名单</w:t>
      </w:r>
      <w:r>
        <w:rPr>
          <w:rFonts w:hint="eastAsia" w:asciiTheme="minorEastAsia" w:hAnsiTheme="minorEastAsia" w:eastAsiaTheme="minorEastAsia"/>
        </w:rPr>
        <w:t>为准</w:t>
      </w:r>
      <w:r>
        <w:rPr>
          <w:rFonts w:asciiTheme="minorEastAsia" w:hAnsiTheme="minorEastAsia" w:eastAsiaTheme="minorEastAsia"/>
        </w:rPr>
        <w:t>)</w:t>
      </w:r>
      <w:r>
        <w:rPr>
          <w:rFonts w:hint="eastAsia" w:asciiTheme="minorEastAsia" w:hAnsiTheme="minorEastAsia" w:eastAsiaTheme="minorEastAsia"/>
        </w:rPr>
        <w:t>，已执行完毕或不再执行的除外</w:t>
      </w:r>
      <w:r>
        <w:rPr>
          <w:rFonts w:asciiTheme="minorEastAsia" w:hAnsiTheme="minorEastAsia" w:eastAsiaTheme="minorEastAsia"/>
        </w:rPr>
        <w:t>；</w:t>
      </w:r>
    </w:p>
    <w:p>
      <w:pPr>
        <w:numPr>
          <w:ilvl w:val="0"/>
          <w:numId w:val="3"/>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numPr>
          <w:ilvl w:val="0"/>
          <w:numId w:val="0"/>
        </w:numPr>
        <w:tabs>
          <w:tab w:val="left" w:pos="0"/>
          <w:tab w:val="left" w:pos="993"/>
          <w:tab w:val="left" w:pos="2564"/>
        </w:tabs>
        <w:spacing w:line="440" w:lineRule="exact"/>
        <w:ind w:left="20" w:leftChars="0" w:firstLine="459" w:firstLineChars="219"/>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（10）企业的投资、主要负责人与甲方员工本人及其配偶、子女及其配偶、亲属及其他特定关系人（特定关系人是指有近亲属以及其他共同利益关系的人）不得存在关联关系。</w:t>
      </w:r>
    </w:p>
    <w:p>
      <w:pPr>
        <w:pStyle w:val="9"/>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21"/>
      <w:bookmarkEnd w:id="22"/>
      <w:bookmarkEnd w:id="23"/>
    </w:p>
    <w:p>
      <w:pPr>
        <w:pStyle w:val="9"/>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本项目将进行资格后审，资格审查标准和内容见招标文件第三章“评标办法”，凡未通过资格后审的投标人，其投标将被否决。</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招标文件的获取</w:t>
      </w:r>
    </w:p>
    <w:p>
      <w:pPr>
        <w:pStyle w:val="9"/>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招标文件获取时间：</w:t>
      </w:r>
      <w:r>
        <w:rPr>
          <w:rFonts w:hint="eastAsia" w:ascii="宋体" w:hAnsi="宋体"/>
          <w:u w:val="single"/>
        </w:rPr>
        <w:t>【2021年7月6日至2021年7月12日】（法定公休日、法定节假日除外），每日上午【9时00分至11时30分】，下午【14时00分至17时00分】（北京时间，下同）。</w:t>
      </w:r>
    </w:p>
    <w:p>
      <w:pPr>
        <w:pStyle w:val="9"/>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rPr>
        <w:t>招标文件获取方式：潜在投标人应委托经办人将以下文件发送至邮箱：</w:t>
      </w:r>
      <w:r>
        <w:rPr>
          <w:rFonts w:hint="eastAsia" w:ascii="宋体" w:hAnsi="宋体"/>
          <w:u w:val="single"/>
        </w:rPr>
        <w:t>【chengtong9955.cutcc@chinaccs.cn】。</w:t>
      </w:r>
    </w:p>
    <w:p>
      <w:pPr>
        <w:pStyle w:val="9"/>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招标文件获取方式：投标人</w:t>
      </w:r>
      <w:r>
        <w:rPr>
          <w:rFonts w:hint="eastAsia" w:ascii="宋体" w:hAnsi="宋体"/>
        </w:rPr>
        <w:t>应委托经办人持下述文件向【招标人/招标代理机构】了解有关信息并购买</w:t>
      </w:r>
      <w:r>
        <w:rPr>
          <w:rFonts w:hint="eastAsia" w:ascii="宋体" w:hAnsi="宋体"/>
          <w:spacing w:val="2"/>
          <w:szCs w:val="21"/>
        </w:rPr>
        <w:t>招标文件。</w:t>
      </w:r>
    </w:p>
    <w:p>
      <w:pPr>
        <w:numPr>
          <w:ilvl w:val="0"/>
          <w:numId w:val="4"/>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单位介绍信【或营业执照副本复印件】并加盖公章；</w:t>
      </w:r>
    </w:p>
    <w:p>
      <w:pPr>
        <w:numPr>
          <w:ilvl w:val="0"/>
          <w:numId w:val="4"/>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经办人身份证原件；</w:t>
      </w:r>
    </w:p>
    <w:p>
      <w:pPr>
        <w:numPr>
          <w:ilvl w:val="0"/>
          <w:numId w:val="4"/>
        </w:numPr>
        <w:tabs>
          <w:tab w:val="left" w:pos="993"/>
          <w:tab w:val="clear" w:pos="1142"/>
        </w:tabs>
        <w:adjustRightInd w:val="0"/>
        <w:snapToGrid w:val="0"/>
        <w:spacing w:before="60" w:after="60" w:line="360" w:lineRule="exact"/>
        <w:ind w:left="0" w:firstLine="422"/>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【税务信息表并加盖财务专用章，格式如下：】</w:t>
      </w:r>
    </w:p>
    <w:tbl>
      <w:tblPr>
        <w:tblStyle w:val="6"/>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投标人名称</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投标人注册地址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投标人联系电话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bCs/>
                <w:szCs w:val="21"/>
              </w:rPr>
            </w:pPr>
            <w:r>
              <w:rPr>
                <w:rFonts w:hint="eastAsia" w:ascii="宋体" w:hAnsi="宋体"/>
                <w:bCs/>
                <w:szCs w:val="21"/>
              </w:rPr>
              <w:t>注：</w:t>
            </w:r>
          </w:p>
          <w:p>
            <w:pPr>
              <w:widowControl/>
              <w:numPr>
                <w:ilvl w:val="0"/>
                <w:numId w:val="5"/>
              </w:numPr>
              <w:jc w:val="left"/>
              <w:rPr>
                <w:rFonts w:ascii="宋体" w:hAnsi="宋体"/>
                <w:bCs/>
                <w:szCs w:val="21"/>
              </w:rPr>
            </w:pPr>
            <w:r>
              <w:rPr>
                <w:rFonts w:hint="eastAsia" w:ascii="宋体" w:hAnsi="宋体"/>
                <w:bCs/>
                <w:szCs w:val="21"/>
              </w:rPr>
              <w:t>本表为【招标人/招标代理机构】为投标人开具购买招标文件发票时所需信息。</w:t>
            </w:r>
          </w:p>
          <w:p>
            <w:pPr>
              <w:widowControl/>
              <w:numPr>
                <w:ilvl w:val="0"/>
                <w:numId w:val="5"/>
              </w:numPr>
              <w:jc w:val="left"/>
              <w:rPr>
                <w:rFonts w:ascii="宋体" w:hAnsi="宋体"/>
                <w:bCs/>
                <w:szCs w:val="21"/>
              </w:rPr>
            </w:pPr>
            <w:r>
              <w:rPr>
                <w:rFonts w:hint="eastAsia" w:ascii="宋体" w:hAnsi="宋体"/>
                <w:bCs/>
                <w:szCs w:val="21"/>
              </w:rPr>
              <w:t>如因投标人提供税务信息错误而导致的开票错误所造成的全部损失由由投标人承担。</w:t>
            </w:r>
          </w:p>
        </w:tc>
      </w:tr>
    </w:tbl>
    <w:p>
      <w:pPr>
        <w:numPr>
          <w:ilvl w:val="0"/>
          <w:numId w:val="4"/>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9"/>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rPr>
        <w:t>招标文件售价</w:t>
      </w:r>
      <w:r>
        <w:rPr>
          <w:rFonts w:hint="eastAsia" w:ascii="宋体" w:hAnsi="宋体"/>
          <w:u w:val="single"/>
        </w:rPr>
        <w:t>【</w:t>
      </w:r>
      <w:r>
        <w:rPr>
          <w:rFonts w:hint="eastAsia" w:ascii="宋体" w:hAnsi="宋体"/>
          <w:u w:val="single"/>
          <w:lang w:val="en-US" w:eastAsia="zh-CN"/>
        </w:rPr>
        <w:t>5</w:t>
      </w:r>
      <w:r>
        <w:rPr>
          <w:rFonts w:hint="eastAsia" w:ascii="宋体" w:hAnsi="宋体"/>
          <w:u w:val="single"/>
        </w:rPr>
        <w:t>00】</w:t>
      </w:r>
      <w:r>
        <w:rPr>
          <w:rFonts w:hint="eastAsia" w:ascii="宋体" w:hAnsi="宋体"/>
          <w:spacing w:val="2"/>
          <w:szCs w:val="21"/>
        </w:rPr>
        <w:t>元人民币，售后不退。</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投标文件的递交</w:t>
      </w:r>
    </w:p>
    <w:p>
      <w:pPr>
        <w:pStyle w:val="9"/>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投标文件递交截止时间（即投标截止时</w:t>
      </w:r>
      <w:r>
        <w:rPr>
          <w:rFonts w:hint="eastAsia" w:ascii="宋体" w:hAnsi="宋体"/>
          <w:szCs w:val="21"/>
          <w:highlight w:val="none"/>
        </w:rPr>
        <w:t>间）为：【</w:t>
      </w:r>
      <w:r>
        <w:rPr>
          <w:rFonts w:hint="eastAsia" w:ascii="宋体" w:hAnsi="宋体"/>
          <w:szCs w:val="21"/>
          <w:highlight w:val="yellow"/>
        </w:rPr>
        <w:t>202</w:t>
      </w:r>
      <w:r>
        <w:rPr>
          <w:rFonts w:hint="eastAsia" w:ascii="宋体" w:hAnsi="宋体"/>
          <w:szCs w:val="21"/>
          <w:highlight w:val="yellow"/>
          <w:lang w:val="en-US" w:eastAsia="zh-CN"/>
        </w:rPr>
        <w:t>1</w:t>
      </w:r>
      <w:r>
        <w:rPr>
          <w:rFonts w:hint="eastAsia" w:ascii="宋体" w:hAnsi="宋体"/>
          <w:szCs w:val="21"/>
          <w:highlight w:val="yellow"/>
        </w:rPr>
        <w:t>年</w:t>
      </w:r>
      <w:r>
        <w:rPr>
          <w:rFonts w:hint="eastAsia" w:ascii="宋体" w:hAnsi="宋体"/>
          <w:szCs w:val="21"/>
          <w:highlight w:val="yellow"/>
          <w:lang w:val="en-US" w:eastAsia="zh-CN"/>
        </w:rPr>
        <w:t>7</w:t>
      </w:r>
      <w:r>
        <w:rPr>
          <w:rFonts w:hint="eastAsia" w:ascii="宋体" w:hAnsi="宋体"/>
          <w:szCs w:val="21"/>
          <w:highlight w:val="yellow"/>
        </w:rPr>
        <w:t>月</w:t>
      </w:r>
      <w:r>
        <w:rPr>
          <w:rFonts w:hint="eastAsia" w:ascii="宋体" w:hAnsi="宋体"/>
          <w:szCs w:val="21"/>
          <w:highlight w:val="yellow"/>
          <w:lang w:val="en-US" w:eastAsia="zh-CN"/>
        </w:rPr>
        <w:t xml:space="preserve"> 28 </w:t>
      </w:r>
      <w:r>
        <w:rPr>
          <w:rFonts w:hint="eastAsia" w:ascii="宋体" w:hAnsi="宋体"/>
          <w:szCs w:val="21"/>
          <w:highlight w:val="yellow"/>
        </w:rPr>
        <w:t>日</w:t>
      </w:r>
      <w:r>
        <w:rPr>
          <w:rFonts w:hint="eastAsia" w:ascii="宋体" w:hAnsi="宋体"/>
          <w:szCs w:val="21"/>
          <w:highlight w:val="yellow"/>
          <w:lang w:val="en-US" w:eastAsia="zh-CN"/>
        </w:rPr>
        <w:t>14</w:t>
      </w:r>
      <w:r>
        <w:rPr>
          <w:rFonts w:hint="eastAsia" w:ascii="宋体" w:hAnsi="宋体"/>
          <w:szCs w:val="21"/>
          <w:highlight w:val="yellow"/>
        </w:rPr>
        <w:t>时</w:t>
      </w:r>
      <w:r>
        <w:rPr>
          <w:rFonts w:hint="eastAsia" w:ascii="宋体" w:hAnsi="宋体"/>
          <w:szCs w:val="21"/>
          <w:highlight w:val="yellow"/>
          <w:lang w:val="en-US" w:eastAsia="zh-CN"/>
        </w:rPr>
        <w:t>00</w:t>
      </w:r>
      <w:r>
        <w:rPr>
          <w:rFonts w:hint="eastAsia" w:ascii="宋体" w:hAnsi="宋体"/>
          <w:szCs w:val="21"/>
          <w:highlight w:val="yellow"/>
        </w:rPr>
        <w:t>分</w:t>
      </w:r>
      <w:r>
        <w:rPr>
          <w:rFonts w:hint="eastAsia" w:ascii="宋体" w:hAnsi="宋体"/>
          <w:highlight w:val="yellow"/>
        </w:rPr>
        <w:t>。</w:t>
      </w:r>
      <w:r>
        <w:rPr>
          <w:rFonts w:hint="eastAsia" w:ascii="宋体" w:hAnsi="宋体"/>
          <w:szCs w:val="21"/>
          <w:highlight w:val="none"/>
        </w:rPr>
        <w:t>】。</w:t>
      </w:r>
    </w:p>
    <w:p>
      <w:pPr>
        <w:pStyle w:val="9"/>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纸质投标文件递交地点：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9"/>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邀请投标人的法定代表人/负责人或者其委托代理人准时参加。</w:t>
      </w:r>
    </w:p>
    <w:p>
      <w:pPr>
        <w:pStyle w:val="9"/>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招标文件要求递交纸质投标文件的，出现以下情形之一时，</w:t>
      </w:r>
      <w:r>
        <w:rPr>
          <w:rFonts w:hint="eastAsia" w:ascii="宋体" w:hAnsi="宋体"/>
        </w:rPr>
        <w:t>【</w:t>
      </w:r>
      <w:r>
        <w:rPr>
          <w:rFonts w:hint="eastAsia" w:ascii="宋体" w:hAnsi="宋体"/>
          <w:spacing w:val="2"/>
          <w:szCs w:val="21"/>
        </w:rPr>
        <w:t>招标人/招标代理机构</w:t>
      </w:r>
      <w:r>
        <w:rPr>
          <w:rFonts w:hint="eastAsia" w:ascii="宋体" w:hAnsi="宋体"/>
        </w:rPr>
        <w:t>】</w:t>
      </w:r>
      <w:r>
        <w:rPr>
          <w:rFonts w:hint="eastAsia" w:ascii="宋体" w:hAnsi="宋体"/>
          <w:szCs w:val="21"/>
        </w:rPr>
        <w:t>不予接收：</w:t>
      </w:r>
    </w:p>
    <w:p>
      <w:pPr>
        <w:pStyle w:val="9"/>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9"/>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未按照招标文件要求密封的；</w:t>
      </w:r>
    </w:p>
    <w:p>
      <w:pPr>
        <w:pStyle w:val="9"/>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未按照本公告要求获得本项目招标文件的。</w:t>
      </w:r>
    </w:p>
    <w:p>
      <w:pPr>
        <w:pStyle w:val="9"/>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9"/>
        <w:wordWrap w:val="0"/>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本招标公告同时</w:t>
      </w:r>
      <w:r>
        <w:rPr>
          <w:rFonts w:hint="eastAsia" w:ascii="宋体" w:hAnsi="宋体"/>
          <w:highlight w:val="none"/>
        </w:rPr>
        <w:t>且仅在江苏有线南通分公司（www.jscnnet.com /nt/）</w:t>
      </w:r>
      <w:r>
        <w:rPr>
          <w:rFonts w:hint="eastAsia" w:ascii="宋体" w:hAnsi="宋体"/>
          <w:szCs w:val="21"/>
          <w:highlight w:val="none"/>
        </w:rPr>
        <w:t>上发布，其他媒介转载无效。</w:t>
      </w:r>
    </w:p>
    <w:p>
      <w:pPr>
        <w:pStyle w:val="9"/>
        <w:keepNext w:val="0"/>
        <w:keepLines w:val="0"/>
        <w:pageBreakBefore w:val="0"/>
        <w:widowControl w:val="0"/>
        <w:numPr>
          <w:ilvl w:val="0"/>
          <w:numId w:val="1"/>
        </w:numPr>
        <w:kinsoku/>
        <w:overflowPunct/>
        <w:topLinePunct w:val="0"/>
        <w:autoSpaceDE/>
        <w:autoSpaceDN/>
        <w:bidi w:val="0"/>
        <w:adjustRightInd w:val="0"/>
        <w:snapToGrid w:val="0"/>
        <w:spacing w:line="400" w:lineRule="exact"/>
        <w:ind w:left="0" w:firstLine="424" w:firstLineChars="201"/>
        <w:textAlignment w:val="auto"/>
        <w:rPr>
          <w:rFonts w:ascii="宋体" w:hAnsi="宋体"/>
          <w:b/>
          <w:szCs w:val="21"/>
        </w:rPr>
      </w:pPr>
      <w:r>
        <w:rPr>
          <w:rFonts w:hint="eastAsia" w:ascii="宋体" w:hAnsi="宋体"/>
          <w:b/>
          <w:szCs w:val="21"/>
        </w:rPr>
        <w:t>联系及异议接收方式</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招 标 人：【</w:t>
      </w:r>
      <w:r>
        <w:rPr>
          <w:rFonts w:hint="eastAsia" w:ascii="宋体" w:hAnsi="宋体" w:eastAsia="宋体" w:cs="Times New Roman"/>
          <w:u w:val="single"/>
        </w:rPr>
        <w:t>中广有线信息网络有限公司南通分公司</w:t>
      </w:r>
      <w:r>
        <w:rPr>
          <w:rFonts w:hint="eastAsia" w:ascii="宋体" w:hAnsi="宋体" w:eastAsia="宋体" w:cs="Times New Roman"/>
        </w:rPr>
        <w:t>】</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hint="default" w:ascii="宋体" w:hAnsi="宋体" w:eastAsia="宋体" w:cs="Times New Roman"/>
          <w:u w:val="single"/>
          <w:lang w:val="en-US" w:eastAsia="zh-CN"/>
        </w:rPr>
      </w:pPr>
      <w:r>
        <w:rPr>
          <w:rFonts w:hint="eastAsia" w:ascii="宋体" w:hAnsi="宋体" w:eastAsia="宋体" w:cs="Times New Roman"/>
        </w:rPr>
        <w:t>地    址：</w:t>
      </w:r>
      <w:r>
        <w:rPr>
          <w:rFonts w:hint="eastAsia" w:ascii="宋体" w:hAnsi="宋体" w:eastAsia="宋体" w:cs="Times New Roman"/>
          <w:u w:val="single"/>
          <w:lang w:val="en-US" w:eastAsia="zh-CN"/>
        </w:rPr>
        <w:t>南通市开发区复兴路9号</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hint="eastAsia" w:ascii="宋体" w:hAnsi="宋体" w:eastAsia="宋体" w:cs="Times New Roman"/>
        </w:rPr>
      </w:pPr>
      <w:r>
        <w:rPr>
          <w:rFonts w:hint="eastAsia" w:ascii="宋体" w:hAnsi="宋体" w:eastAsia="宋体" w:cs="Times New Roman"/>
        </w:rPr>
        <w:t>联 系 人：</w:t>
      </w:r>
      <w:r>
        <w:rPr>
          <w:rFonts w:hint="eastAsia" w:ascii="宋体" w:hAnsi="宋体" w:eastAsia="宋体" w:cs="Times New Roman"/>
          <w:u w:val="single"/>
        </w:rPr>
        <w:t xml:space="preserve">【蔡先生】  </w:t>
      </w:r>
      <w:r>
        <w:rPr>
          <w:rFonts w:hint="eastAsia" w:ascii="宋体" w:hAnsi="宋体" w:eastAsia="宋体" w:cs="Times New Roman"/>
        </w:rPr>
        <w:t xml:space="preserve">      </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hint="default" w:ascii="宋体" w:hAnsi="宋体" w:eastAsia="宋体" w:cs="Times New Roman"/>
          <w:lang w:val="en-US" w:eastAsia="zh-CN"/>
        </w:rPr>
      </w:pPr>
      <w:r>
        <w:rPr>
          <w:rFonts w:hint="eastAsia" w:ascii="宋体" w:hAnsi="宋体" w:eastAsia="宋体" w:cs="Times New Roman"/>
        </w:rPr>
        <w:t>电    话：</w:t>
      </w:r>
      <w:r>
        <w:rPr>
          <w:rFonts w:hint="eastAsia" w:ascii="宋体" w:hAnsi="宋体" w:eastAsia="宋体" w:cs="Times New Roman"/>
          <w:u w:val="single"/>
        </w:rPr>
        <w:t>【</w:t>
      </w:r>
      <w:r>
        <w:rPr>
          <w:rFonts w:hint="eastAsia" w:ascii="宋体" w:hAnsi="宋体" w:eastAsia="宋体" w:cs="Times New Roman"/>
          <w:u w:val="single"/>
          <w:lang w:val="en-US" w:eastAsia="zh-CN"/>
        </w:rPr>
        <w:t>13815219100</w:t>
      </w:r>
      <w:r>
        <w:rPr>
          <w:rFonts w:hint="eastAsia" w:ascii="宋体" w:hAnsi="宋体"/>
          <w:u w:val="single"/>
        </w:rPr>
        <w:t>】</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招标代理机构：</w:t>
      </w:r>
      <w:r>
        <w:rPr>
          <w:rFonts w:hint="eastAsia" w:ascii="宋体" w:hAnsi="宋体"/>
          <w:u w:val="single"/>
        </w:rPr>
        <w:t>【中邮通建设咨询有限公司】</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9"/>
        <w:keepNext w:val="0"/>
        <w:keepLines w:val="0"/>
        <w:pageBreakBefore w:val="0"/>
        <w:widowControl w:val="0"/>
        <w:kinsoku/>
        <w:overflowPunct/>
        <w:topLinePunct w:val="0"/>
        <w:autoSpaceDE/>
        <w:autoSpaceDN/>
        <w:bidi w:val="0"/>
        <w:spacing w:line="400" w:lineRule="exact"/>
        <w:textAlignment w:val="auto"/>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keepNext w:val="0"/>
        <w:keepLines w:val="0"/>
        <w:pageBreakBefore w:val="0"/>
        <w:widowControl w:val="0"/>
        <w:kinsoku/>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 xml:space="preserve">账  户 名 称：中邮通建设咨询有限公司               </w:t>
      </w:r>
    </w:p>
    <w:p>
      <w:pPr>
        <w:keepNext w:val="0"/>
        <w:keepLines w:val="0"/>
        <w:pageBreakBefore w:val="0"/>
        <w:widowControl w:val="0"/>
        <w:kinsoku/>
        <w:wordWrap w:val="0"/>
        <w:overflowPunct/>
        <w:topLinePunct w:val="0"/>
        <w:autoSpaceDE/>
        <w:autoSpaceDN/>
        <w:bidi w:val="0"/>
        <w:spacing w:line="400" w:lineRule="exact"/>
        <w:ind w:right="360" w:firstLine="420" w:firstLineChars="200"/>
        <w:textAlignment w:val="auto"/>
        <w:rPr>
          <w:rFonts w:ascii="宋体" w:hAnsi="宋体" w:cs="宋体"/>
          <w:kern w:val="0"/>
          <w:szCs w:val="21"/>
        </w:rPr>
      </w:pPr>
      <w:r>
        <w:rPr>
          <w:rFonts w:hint="eastAsia" w:ascii="宋体" w:hAnsi="宋体" w:cs="宋体"/>
          <w:kern w:val="0"/>
          <w:szCs w:val="21"/>
        </w:rPr>
        <w:t>开  户 银 行：中国工商银行南京油运大厦支行</w:t>
      </w:r>
    </w:p>
    <w:p>
      <w:pPr>
        <w:pStyle w:val="9"/>
        <w:keepNext w:val="0"/>
        <w:keepLines w:val="0"/>
        <w:pageBreakBefore w:val="0"/>
        <w:widowControl w:val="0"/>
        <w:kinsoku/>
        <w:overflowPunct/>
        <w:topLinePunct w:val="0"/>
        <w:autoSpaceDE/>
        <w:autoSpaceDN/>
        <w:bidi w:val="0"/>
        <w:spacing w:line="400" w:lineRule="exact"/>
        <w:ind w:left="425" w:firstLine="0" w:firstLineChars="0"/>
        <w:textAlignment w:val="auto"/>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keepNext w:val="0"/>
        <w:keepLines w:val="0"/>
        <w:pageBreakBefore w:val="0"/>
        <w:widowControl w:val="0"/>
        <w:kinsoku/>
        <w:overflowPunct/>
        <w:topLinePunct w:val="0"/>
        <w:autoSpaceDE/>
        <w:autoSpaceDN/>
        <w:bidi w:val="0"/>
        <w:spacing w:line="400" w:lineRule="exact"/>
        <w:ind w:firstLine="420" w:firstLineChars="200"/>
        <w:textAlignment w:val="auto"/>
      </w:pPr>
      <w:r>
        <w:rPr>
          <w:rFonts w:hint="eastAsia"/>
        </w:rPr>
        <w:t>异议接收邮箱：【</w:t>
      </w:r>
      <w:r>
        <w:rPr>
          <w:rFonts w:hint="eastAsia" w:ascii="宋体" w:hAnsi="宋体"/>
          <w:u w:val="single"/>
        </w:rPr>
        <w:t>chengtong9955.cutcc@chinaccs.cn</w:t>
      </w:r>
      <w:r>
        <w:rPr>
          <w:rFonts w:hint="eastAsia"/>
        </w:rPr>
        <w:t>】</w:t>
      </w:r>
    </w:p>
    <w:p>
      <w:pPr>
        <w:pStyle w:val="9"/>
        <w:spacing w:line="400" w:lineRule="exact"/>
        <w:ind w:left="425" w:firstLine="0" w:firstLineChars="0"/>
        <w:rPr>
          <w:rFonts w:ascii="宋体" w:hAnsi="宋体"/>
        </w:rPr>
      </w:pPr>
    </w:p>
    <w:p>
      <w:pPr>
        <w:pStyle w:val="9"/>
        <w:spacing w:line="400" w:lineRule="exact"/>
        <w:ind w:left="425" w:firstLine="0" w:firstLineChars="0"/>
        <w:rPr>
          <w:rFonts w:ascii="宋体" w:hAnsi="宋体"/>
        </w:rPr>
      </w:pPr>
    </w:p>
    <w:p>
      <w:pPr>
        <w:pStyle w:val="9"/>
        <w:spacing w:line="360" w:lineRule="auto"/>
        <w:ind w:left="425" w:right="279" w:firstLine="0" w:firstLineChars="0"/>
        <w:jc w:val="right"/>
        <w:rPr>
          <w:rFonts w:ascii="宋体" w:hAnsi="宋体"/>
          <w:szCs w:val="21"/>
        </w:rPr>
      </w:pPr>
      <w:r>
        <w:rPr>
          <w:rFonts w:hint="eastAsia" w:ascii="宋体" w:hAnsi="宋体"/>
          <w:szCs w:val="21"/>
        </w:rPr>
        <w:t>招标代理机构：</w:t>
      </w:r>
      <w:r>
        <w:rPr>
          <w:rFonts w:hint="eastAsia" w:ascii="宋体" w:hAnsi="宋体"/>
          <w:szCs w:val="21"/>
          <w:u w:val="single"/>
        </w:rPr>
        <w:t>【中邮通建设咨询有限公司】</w:t>
      </w:r>
    </w:p>
    <w:p>
      <w:pPr>
        <w:jc w:val="right"/>
      </w:pPr>
      <w:bookmarkStart w:id="24" w:name="_GoBack"/>
      <w:r>
        <w:rPr>
          <w:rFonts w:hint="eastAsia" w:ascii="宋体" w:hAnsi="宋体"/>
          <w:szCs w:val="21"/>
          <w:highlight w:val="none"/>
        </w:rPr>
        <w:t>【2021年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w:t>
      </w:r>
    </w:p>
    <w:bookmarkEnd w:i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F0A5F"/>
    <w:multiLevelType w:val="multilevel"/>
    <w:tmpl w:val="0AFF0A5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4">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956F74"/>
    <w:rsid w:val="4F956F74"/>
    <w:rsid w:val="54EE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outlineLvl w:val="3"/>
    </w:pPr>
    <w:rPr>
      <w:sz w:val="28"/>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customStyle="1" w:styleId="8">
    <w:name w:val="bt1bt1"/>
    <w:basedOn w:val="3"/>
    <w:qFormat/>
    <w:uiPriority w:val="0"/>
    <w:pPr>
      <w:spacing w:line="240" w:lineRule="auto"/>
      <w:jc w:val="center"/>
    </w:pPr>
    <w:rPr>
      <w:rFonts w:ascii="黑体" w:eastAsia="黑体"/>
      <w:b w:val="0"/>
      <w:sz w:val="36"/>
      <w:szCs w:val="36"/>
    </w:r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2021-07-01T04:03:00Z</dcterms:created>
  <dc:creator>NTKO</dc:creator>
  <cp:lastModifiedBy>NTKO</cp:lastModifiedBy>
  <dcterms:modified xsi:type="dcterms:W3CDTF">2021-07-05T01:08:07Z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A4D7698424F54FB5AE45D5531527B944</vt:lpwstr>
  </property>
</Properties>
</file>