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240" w:after="120"/>
        <w:rPr>
          <w:rFonts w:ascii="宋体" w:hAnsi="宋体"/>
          <w:b/>
          <w:szCs w:val="21"/>
        </w:rPr>
      </w:pPr>
      <w:bookmarkStart w:id="0" w:name="_Toc447265797"/>
      <w:bookmarkStart w:id="1" w:name="_Toc447265497"/>
      <w:bookmarkStart w:id="2" w:name="_Toc447188662"/>
      <w:bookmarkStart w:id="3" w:name="_Toc16097"/>
      <w:bookmarkStart w:id="4" w:name="_Toc447265211"/>
      <w:bookmarkStart w:id="24" w:name="_GoBack"/>
      <w:r>
        <w:rPr>
          <w:rFonts w:hint="eastAsia" w:ascii="宋体" w:hAnsi="宋体" w:eastAsia="宋体" w:cs="宋体"/>
          <w:b/>
          <w:bCs w:val="0"/>
          <w:kern w:val="0"/>
          <w:sz w:val="28"/>
          <w:szCs w:val="28"/>
        </w:rPr>
        <w:t>崇川区2022年寺庙和学校防控点位项目招标公告</w:t>
      </w:r>
      <w:bookmarkEnd w:id="0"/>
      <w:bookmarkEnd w:id="1"/>
      <w:bookmarkEnd w:id="2"/>
      <w:bookmarkEnd w:id="3"/>
      <w:bookmarkEnd w:id="4"/>
    </w:p>
    <w:bookmarkEnd w:id="24"/>
    <w:p>
      <w:pPr>
        <w:adjustRightInd w:val="0"/>
        <w:snapToGrid w:val="0"/>
        <w:spacing w:line="360" w:lineRule="auto"/>
        <w:ind w:firstLine="420"/>
        <w:rPr>
          <w:rFonts w:ascii="宋体" w:hAnsi="宋体"/>
          <w:szCs w:val="21"/>
        </w:rPr>
      </w:pPr>
      <w:r>
        <w:rPr>
          <w:rFonts w:hint="eastAsia" w:ascii="宋体" w:hAnsi="宋体"/>
          <w:szCs w:val="21"/>
        </w:rPr>
        <w:t>本招标项目为</w:t>
      </w:r>
      <w:r>
        <w:rPr>
          <w:rFonts w:hint="eastAsia" w:ascii="宋体" w:hAnsi="宋体"/>
          <w:szCs w:val="21"/>
          <w:u w:val="single"/>
        </w:rPr>
        <w:t>【</w:t>
      </w:r>
      <w:r>
        <w:rPr>
          <w:rFonts w:hint="eastAsia" w:ascii="宋体" w:hAnsi="宋体"/>
          <w:szCs w:val="21"/>
          <w:highlight w:val="none"/>
          <w:u w:val="single"/>
          <w:lang w:eastAsia="zh-CN"/>
        </w:rPr>
        <w:t>崇川区2022年寺庙和学校防控点位项目</w:t>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（招标编号：</w:t>
      </w:r>
      <w:r>
        <w:rPr>
          <w:rFonts w:hint="eastAsia" w:ascii="宋体" w:hAnsi="宋体"/>
          <w:szCs w:val="21"/>
          <w:u w:val="single"/>
          <w:lang w:eastAsia="zh-CN"/>
        </w:rPr>
        <w:t>ZYT-20231108-017</w:t>
      </w:r>
      <w:r>
        <w:rPr>
          <w:rFonts w:hint="eastAsia" w:ascii="宋体" w:hAnsi="宋体"/>
          <w:szCs w:val="21"/>
          <w:u w:val="single"/>
        </w:rPr>
        <w:t>）</w:t>
      </w:r>
      <w:r>
        <w:rPr>
          <w:rFonts w:hint="eastAsia" w:ascii="宋体" w:hAnsi="宋体"/>
          <w:szCs w:val="21"/>
        </w:rPr>
        <w:t>，招标人为</w:t>
      </w:r>
      <w:r>
        <w:rPr>
          <w:rFonts w:hint="eastAsia" w:ascii="宋体" w:hAnsi="宋体"/>
          <w:szCs w:val="21"/>
          <w:u w:val="single"/>
        </w:rPr>
        <w:t xml:space="preserve">【中广有线信息网络有限公司南通分公司】 </w:t>
      </w:r>
      <w:r>
        <w:rPr>
          <w:rFonts w:hint="eastAsia" w:ascii="宋体" w:hAnsi="宋体"/>
          <w:szCs w:val="21"/>
        </w:rPr>
        <w:t>，招标代理机构为中邮通建设咨询有限公司。项目资金由</w:t>
      </w:r>
      <w:r>
        <w:rPr>
          <w:rFonts w:hint="eastAsia" w:ascii="宋体" w:hAnsi="宋体"/>
          <w:szCs w:val="21"/>
          <w:u w:val="single"/>
        </w:rPr>
        <w:t xml:space="preserve"> 【招标人自筹】 </w:t>
      </w:r>
      <w:r>
        <w:rPr>
          <w:rFonts w:hint="eastAsia" w:ascii="宋体" w:hAnsi="宋体"/>
          <w:szCs w:val="21"/>
        </w:rPr>
        <w:t>，资金已落实。项目已具备招标条件，现进行公开招标，特邀请有意向的且具有提供标的物能力的潜在投标人（以下简称投标人）参加投标。</w:t>
      </w:r>
    </w:p>
    <w:p>
      <w:pPr>
        <w:pStyle w:val="11"/>
        <w:numPr>
          <w:ilvl w:val="0"/>
          <w:numId w:val="1"/>
        </w:numPr>
        <w:adjustRightInd w:val="0"/>
        <w:snapToGrid w:val="0"/>
        <w:spacing w:line="440" w:lineRule="exact"/>
        <w:ind w:firstLineChars="0"/>
        <w:outlineLvl w:val="1"/>
        <w:rPr>
          <w:rFonts w:ascii="宋体" w:hAnsi="宋体"/>
          <w:b/>
          <w:szCs w:val="21"/>
        </w:rPr>
      </w:pPr>
      <w:bookmarkStart w:id="5" w:name="_Toc9017234"/>
      <w:bookmarkStart w:id="6" w:name="_Toc7800"/>
      <w:r>
        <w:rPr>
          <w:rFonts w:hint="eastAsia" w:ascii="宋体" w:hAnsi="宋体"/>
          <w:b/>
          <w:szCs w:val="21"/>
        </w:rPr>
        <w:t>招标范围</w:t>
      </w:r>
      <w:bookmarkEnd w:id="5"/>
      <w:bookmarkEnd w:id="6"/>
    </w:p>
    <w:p>
      <w:pPr>
        <w:spacing w:line="360" w:lineRule="auto"/>
        <w:ind w:firstLine="420" w:firstLineChars="200"/>
        <w:rPr>
          <w:rFonts w:ascii="宋体" w:hAnsi="宋体"/>
          <w:szCs w:val="21"/>
          <w:highlight w:val="none"/>
        </w:rPr>
      </w:pPr>
      <w:r>
        <w:rPr>
          <w:rFonts w:hint="eastAsia" w:ascii="宋体" w:hAnsi="宋体"/>
          <w:szCs w:val="21"/>
        </w:rPr>
        <w:t>1.1项目概况：</w:t>
      </w:r>
      <w:r>
        <w:rPr>
          <w:rFonts w:hint="eastAsia" w:ascii="宋体" w:hAnsi="宋体"/>
          <w:szCs w:val="21"/>
          <w:highlight w:val="none"/>
          <w:lang w:eastAsia="zh-CN"/>
        </w:rPr>
        <w:t>崇川区2022年寺庙和学校防控点位项目</w:t>
      </w:r>
      <w:r>
        <w:rPr>
          <w:rFonts w:hint="eastAsia" w:ascii="宋体" w:hAnsi="宋体"/>
          <w:szCs w:val="21"/>
          <w:highlight w:val="none"/>
        </w:rPr>
        <w:t>，</w:t>
      </w:r>
      <w:r>
        <w:rPr>
          <w:rFonts w:hint="eastAsia" w:ascii="宋体" w:hAnsi="宋体"/>
          <w:szCs w:val="21"/>
          <w:highlight w:val="none"/>
          <w:lang w:val="en-US" w:eastAsia="zh-CN"/>
        </w:rPr>
        <w:t>项</w:t>
      </w:r>
      <w:r>
        <w:rPr>
          <w:rFonts w:hint="eastAsia" w:ascii="宋体" w:hAnsi="宋体"/>
          <w:szCs w:val="21"/>
          <w:lang w:val="en-US" w:eastAsia="zh-CN"/>
        </w:rPr>
        <w:t>目内容包含</w:t>
      </w:r>
      <w:r>
        <w:rPr>
          <w:rFonts w:hint="eastAsia" w:ascii="宋体" w:hAnsi="宋体"/>
          <w:szCs w:val="21"/>
        </w:rPr>
        <w:t>寺庙和学校点位管道、检修井、光缆及电源线线路施工及维护以及开发区中央路监控、光明东苑3个监控点、开发区上海路</w:t>
      </w:r>
      <w:r>
        <w:rPr>
          <w:rFonts w:hint="eastAsia" w:ascii="宋体" w:hAnsi="宋体"/>
          <w:szCs w:val="21"/>
          <w:highlight w:val="none"/>
        </w:rPr>
        <w:t>、富民港路管道、汇园小区管道进行管线修复。具体详见技术规范书。</w:t>
      </w:r>
    </w:p>
    <w:p>
      <w:pPr>
        <w:spacing w:line="440" w:lineRule="exact"/>
        <w:ind w:left="420"/>
        <w:jc w:val="left"/>
        <w:rPr>
          <w:rFonts w:ascii="宋体" w:hAnsi="宋体"/>
          <w:szCs w:val="21"/>
          <w:highlight w:val="none"/>
        </w:rPr>
      </w:pPr>
      <w:r>
        <w:rPr>
          <w:rFonts w:hint="eastAsia" w:ascii="宋体" w:hAnsi="宋体"/>
          <w:szCs w:val="21"/>
          <w:highlight w:val="none"/>
        </w:rPr>
        <w:t>1.2项目预算：人民币</w:t>
      </w:r>
      <w:r>
        <w:rPr>
          <w:rFonts w:hint="eastAsia" w:ascii="宋体" w:hAnsi="宋体"/>
          <w:szCs w:val="21"/>
          <w:highlight w:val="none"/>
          <w:lang w:val="en-US" w:eastAsia="zh-CN"/>
        </w:rPr>
        <w:t>36</w:t>
      </w:r>
      <w:r>
        <w:rPr>
          <w:rFonts w:hint="eastAsia" w:ascii="宋体" w:hAnsi="宋体"/>
          <w:szCs w:val="21"/>
          <w:highlight w:val="none"/>
        </w:rPr>
        <w:t>万元（含税）。</w:t>
      </w:r>
    </w:p>
    <w:p>
      <w:pPr>
        <w:spacing w:line="440" w:lineRule="exact"/>
        <w:ind w:left="420"/>
        <w:jc w:val="left"/>
        <w:rPr>
          <w:rFonts w:hint="eastAsia" w:ascii="宋体" w:hAnsi="宋体"/>
          <w:szCs w:val="21"/>
          <w:highlight w:val="none"/>
        </w:rPr>
      </w:pPr>
      <w:r>
        <w:rPr>
          <w:rFonts w:hint="eastAsia" w:ascii="宋体" w:hAnsi="宋体"/>
          <w:szCs w:val="21"/>
          <w:highlight w:val="none"/>
        </w:rPr>
        <w:t>1.3质保期：本系统（工程）维保期为 8 年(根据中华人民共和国国务院颁发的《建设工程质量管理条例》规定该类工程义务维保期 2 年，以后 6 年为本工程续延保期)，从本工程终验合格交付之日起计，因有偿续延维保期内服务费用已列入工程中标总价中，所以 8 年维保期内乙方负责无偿为本系统所有设备的维护、维修，确保甲方系统（工程）正常使用。在维保期内，乙方负责重大活动、节假日期间进行保障服务，平常每隔 3 个月进行一次供电线路；传输线路维护。</w:t>
      </w:r>
    </w:p>
    <w:p>
      <w:pPr>
        <w:spacing w:line="440" w:lineRule="exact"/>
        <w:ind w:left="420"/>
        <w:jc w:val="left"/>
        <w:rPr>
          <w:rFonts w:hint="eastAsia" w:ascii="宋体" w:hAnsi="宋体"/>
          <w:szCs w:val="21"/>
          <w:highlight w:val="none"/>
          <w:lang w:val="en-US"/>
        </w:rPr>
      </w:pPr>
      <w:r>
        <w:rPr>
          <w:rFonts w:hint="eastAsia" w:ascii="宋体" w:hAnsi="宋体"/>
          <w:szCs w:val="21"/>
          <w:highlight w:val="none"/>
        </w:rPr>
        <w:t>1.</w:t>
      </w:r>
      <w:r>
        <w:rPr>
          <w:rFonts w:hint="eastAsia" w:ascii="宋体" w:hAnsi="宋体"/>
          <w:szCs w:val="21"/>
          <w:highlight w:val="none"/>
          <w:lang w:val="en-US" w:eastAsia="zh-CN"/>
        </w:rPr>
        <w:t>4工期要求：合同签订后30日内完成。</w:t>
      </w:r>
    </w:p>
    <w:p>
      <w:pPr>
        <w:spacing w:line="440" w:lineRule="exact"/>
        <w:ind w:left="42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5</w:t>
      </w:r>
      <w:r>
        <w:rPr>
          <w:rFonts w:hint="eastAsia" w:ascii="宋体" w:hAnsi="宋体"/>
          <w:szCs w:val="21"/>
          <w:highlight w:val="none"/>
        </w:rPr>
        <w:t>质量标准要求：合格，符合国家相关质量标准及招标人技术要求。</w:t>
      </w:r>
    </w:p>
    <w:p>
      <w:pPr>
        <w:spacing w:line="440" w:lineRule="exact"/>
        <w:ind w:left="420"/>
        <w:jc w:val="left"/>
        <w:rPr>
          <w:rFonts w:ascii="宋体" w:hAnsi="宋体"/>
          <w:szCs w:val="21"/>
          <w:highlight w:val="none"/>
        </w:rPr>
      </w:pP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本项目不划分标包，本项目中标人数量为【1】个。</w:t>
      </w:r>
    </w:p>
    <w:p>
      <w:pPr>
        <w:spacing w:line="440" w:lineRule="exact"/>
        <w:ind w:left="420"/>
        <w:jc w:val="left"/>
        <w:rPr>
          <w:rFonts w:ascii="宋体" w:hAnsi="宋体"/>
          <w:szCs w:val="21"/>
          <w:highlight w:val="none"/>
        </w:rPr>
      </w:pPr>
      <w:r>
        <w:rPr>
          <w:rFonts w:hint="eastAsia" w:ascii="宋体" w:hAnsi="宋体"/>
          <w:szCs w:val="21"/>
          <w:highlight w:val="none"/>
        </w:rPr>
        <w:t>1.7本项目设置最高投标限价，最高投标限价为</w:t>
      </w:r>
      <w:r>
        <w:rPr>
          <w:rFonts w:hint="eastAsia" w:ascii="宋体" w:hAnsi="宋体"/>
          <w:szCs w:val="21"/>
          <w:highlight w:val="none"/>
          <w:lang w:val="en-US" w:eastAsia="zh-CN"/>
        </w:rPr>
        <w:t>36</w:t>
      </w:r>
      <w:r>
        <w:rPr>
          <w:rFonts w:hint="eastAsia" w:ascii="宋体" w:hAnsi="宋体"/>
          <w:szCs w:val="21"/>
          <w:highlight w:val="none"/>
        </w:rPr>
        <w:t>万元人民币（含税）。超过最高限价即否决投标。</w:t>
      </w:r>
    </w:p>
    <w:p>
      <w:pPr>
        <w:pStyle w:val="11"/>
        <w:numPr>
          <w:ilvl w:val="0"/>
          <w:numId w:val="1"/>
        </w:numPr>
        <w:adjustRightInd w:val="0"/>
        <w:snapToGrid w:val="0"/>
        <w:spacing w:line="440" w:lineRule="exact"/>
        <w:ind w:firstLineChars="0"/>
        <w:outlineLvl w:val="1"/>
        <w:rPr>
          <w:rFonts w:ascii="宋体" w:hAnsi="宋体"/>
          <w:b/>
          <w:szCs w:val="21"/>
        </w:rPr>
      </w:pPr>
      <w:bookmarkStart w:id="7" w:name="_Toc9017235"/>
      <w:bookmarkStart w:id="8" w:name="_Toc14687"/>
      <w:bookmarkStart w:id="9" w:name="_Toc184704556"/>
      <w:bookmarkStart w:id="10" w:name="_Toc319769474"/>
      <w:bookmarkStart w:id="11" w:name="_Toc319394715"/>
      <w:r>
        <w:rPr>
          <w:rFonts w:hint="eastAsia" w:ascii="宋体" w:hAnsi="宋体"/>
          <w:szCs w:val="21"/>
        </w:rPr>
        <w:t>★</w:t>
      </w:r>
      <w:r>
        <w:rPr>
          <w:rFonts w:hint="eastAsia" w:ascii="宋体" w:hAnsi="宋体"/>
          <w:b/>
          <w:szCs w:val="21"/>
        </w:rPr>
        <w:t>投标人资格条件</w:t>
      </w:r>
      <w:bookmarkEnd w:id="7"/>
      <w:bookmarkEnd w:id="8"/>
    </w:p>
    <w:p>
      <w:pPr>
        <w:numPr>
          <w:ilvl w:val="1"/>
          <w:numId w:val="1"/>
        </w:numPr>
        <w:spacing w:line="440" w:lineRule="exact"/>
        <w:ind w:left="0" w:firstLine="422"/>
        <w:rPr>
          <w:rFonts w:ascii="宋体" w:hAnsi="宋体"/>
          <w:b/>
          <w:szCs w:val="21"/>
        </w:rPr>
      </w:pPr>
      <w:r>
        <w:rPr>
          <w:rFonts w:hint="eastAsia" w:ascii="宋体" w:hAnsi="宋体"/>
          <w:b/>
          <w:szCs w:val="21"/>
        </w:rPr>
        <w:t>投标人基本资格要求</w:t>
      </w:r>
    </w:p>
    <w:p>
      <w:pPr>
        <w:pStyle w:val="11"/>
        <w:numPr>
          <w:ilvl w:val="2"/>
          <w:numId w:val="1"/>
        </w:numPr>
        <w:tabs>
          <w:tab w:val="left" w:pos="993"/>
        </w:tabs>
        <w:adjustRightInd w:val="0"/>
        <w:snapToGrid w:val="0"/>
        <w:spacing w:line="440" w:lineRule="exact"/>
        <w:ind w:left="0" w:firstLine="426" w:firstLineChars="0"/>
        <w:rPr>
          <w:rFonts w:asciiTheme="minorEastAsia" w:hAnsiTheme="minorEastAsia" w:eastAsiaTheme="minorEastAsia"/>
          <w:szCs w:val="21"/>
        </w:rPr>
      </w:pPr>
      <w:r>
        <w:rPr>
          <w:rFonts w:hint="eastAsia" w:asciiTheme="minorEastAsia" w:hAnsiTheme="minorEastAsia" w:eastAsiaTheme="minorEastAsia"/>
          <w:szCs w:val="21"/>
        </w:rPr>
        <w:t>投标人应为中华人民共和国境内法律上和财务上独立的法人或依法登记注册的其他组织，合法运作并独立于招标人和招标代理机构。投标人应具有良好的银行资信和商业信誉。法人下属不具备法人资格的分支机构参与投标的，应提供所属法人针对本项目或覆盖本项目的经营事项的有效授权。</w:t>
      </w:r>
    </w:p>
    <w:p>
      <w:pPr>
        <w:pStyle w:val="11"/>
        <w:numPr>
          <w:ilvl w:val="2"/>
          <w:numId w:val="1"/>
        </w:numPr>
        <w:tabs>
          <w:tab w:val="left" w:pos="993"/>
        </w:tabs>
        <w:adjustRightInd w:val="0"/>
        <w:snapToGrid w:val="0"/>
        <w:spacing w:line="440" w:lineRule="exact"/>
        <w:ind w:left="0" w:firstLine="426" w:firstLineChars="0"/>
        <w:rPr>
          <w:rFonts w:asciiTheme="minorEastAsia" w:hAnsiTheme="minorEastAsia" w:eastAsiaTheme="minorEastAsia"/>
          <w:szCs w:val="21"/>
        </w:rPr>
      </w:pPr>
      <w:r>
        <w:rPr>
          <w:rFonts w:hint="eastAsia" w:asciiTheme="minorEastAsia" w:hAnsiTheme="minorEastAsia" w:eastAsiaTheme="minorEastAsia"/>
          <w:szCs w:val="21"/>
        </w:rPr>
        <w:t>投标人的法定代表人或负责人为同一人或者存在控股、管理关系的不同投标人，不得参加同一标包投标或者未划分标包的同一招标项目投标。</w:t>
      </w:r>
    </w:p>
    <w:p>
      <w:pPr>
        <w:pStyle w:val="6"/>
        <w:ind w:firstLine="420" w:firstLineChars="200"/>
        <w:rPr>
          <w:rFonts w:ascii="宋体" w:hAnsi="宋体" w:cs="宋体"/>
          <w:sz w:val="21"/>
          <w:szCs w:val="21"/>
        </w:rPr>
      </w:pPr>
      <w:r>
        <w:rPr>
          <w:rFonts w:hint="eastAsia" w:ascii="宋体" w:hAnsi="宋体" w:cs="宋体"/>
          <w:sz w:val="21"/>
          <w:szCs w:val="21"/>
        </w:rPr>
        <w:t>2.1.3投标人须是“增值税一般纳税人”，能够开具符合国家要求的增值税专用发票；提供增值税发票复印件或者提供承诺书。</w:t>
      </w:r>
    </w:p>
    <w:p>
      <w:pPr>
        <w:pStyle w:val="4"/>
        <w:ind w:firstLine="420" w:firstLineChars="200"/>
        <w:jc w:val="both"/>
        <w:rPr>
          <w:rFonts w:ascii="宋体" w:hAnsi="宋体" w:eastAsia="宋体" w:cs="宋体"/>
          <w:kern w:val="2"/>
          <w:sz w:val="21"/>
          <w:szCs w:val="21"/>
        </w:rPr>
      </w:pPr>
      <w:r>
        <w:rPr>
          <w:rFonts w:hint="eastAsia" w:ascii="宋体" w:hAnsi="宋体" w:eastAsia="宋体" w:cs="宋体"/>
          <w:kern w:val="2"/>
          <w:sz w:val="21"/>
          <w:szCs w:val="21"/>
        </w:rPr>
        <w:t>2.1.4本项目标要求投标人同时具备以下资质（资质证明文件需在有效期内）：</w:t>
      </w:r>
    </w:p>
    <w:p>
      <w:pPr>
        <w:pStyle w:val="2"/>
        <w:spacing w:line="360" w:lineRule="auto"/>
        <w:ind w:firstLine="420" w:firstLineChars="200"/>
        <w:rPr>
          <w:rFonts w:hint="eastAsia" w:ascii="宋体" w:hAnsi="宋体" w:cs="宋体"/>
          <w:sz w:val="21"/>
          <w:szCs w:val="21"/>
        </w:rPr>
      </w:pPr>
      <w:r>
        <w:rPr>
          <w:rFonts w:hint="eastAsia" w:ascii="宋体" w:hAnsi="宋体" w:cs="宋体"/>
          <w:sz w:val="21"/>
          <w:szCs w:val="21"/>
        </w:rPr>
        <w:t>（1）《中广有线信息网络有限公司南通分公司政企项目合作伙伴入围》入围名单企业；</w:t>
      </w:r>
    </w:p>
    <w:p>
      <w:pPr>
        <w:pStyle w:val="2"/>
        <w:spacing w:line="360" w:lineRule="auto"/>
        <w:ind w:firstLine="420" w:firstLineChars="200"/>
        <w:rPr>
          <w:rFonts w:hint="eastAsia" w:ascii="宋体" w:hAnsi="宋体" w:cs="宋体"/>
          <w:sz w:val="21"/>
          <w:szCs w:val="21"/>
        </w:rPr>
      </w:pPr>
      <w:r>
        <w:rPr>
          <w:rFonts w:hint="eastAsia" w:ascii="宋体" w:hAnsi="宋体" w:cs="宋体"/>
          <w:sz w:val="21"/>
          <w:szCs w:val="21"/>
        </w:rPr>
        <w:t>（2）施工企业安全生产许可证（住建行政管理部门核发），提供资质证书复印件并加盖投标人公章。</w:t>
      </w:r>
    </w:p>
    <w:p>
      <w:pPr>
        <w:spacing w:line="360" w:lineRule="auto"/>
        <w:ind w:firstLine="420" w:firstLineChars="200"/>
        <w:rPr>
          <w:rFonts w:hint="eastAsia"/>
        </w:rPr>
      </w:pPr>
      <w:r>
        <w:rPr>
          <w:rFonts w:hint="eastAsia" w:ascii="宋体" w:hAnsi="宋体" w:eastAsia="宋体" w:cs="宋体"/>
          <w:kern w:val="2"/>
          <w:sz w:val="21"/>
          <w:szCs w:val="21"/>
        </w:rPr>
        <w:t>2.1.</w:t>
      </w:r>
      <w:r>
        <w:rPr>
          <w:rFonts w:hint="eastAsia" w:ascii="宋体" w:hAnsi="宋体" w:cs="宋体"/>
          <w:kern w:val="2"/>
          <w:sz w:val="21"/>
          <w:szCs w:val="21"/>
          <w:lang w:val="en-US" w:eastAsia="zh-CN"/>
        </w:rPr>
        <w:t>5</w:t>
      </w:r>
      <w:r>
        <w:rPr>
          <w:rFonts w:hint="eastAsia"/>
        </w:rPr>
        <w:t>本项目要求投标人提供项目经理1人，须具有国家二级注册建造师执业资格，且同时具备有效的安全生产考核合格证书（B证）。（提供身份证复印件、相关证书复印件、2023年3月至今的社保复印件，原件备查）。</w:t>
      </w:r>
    </w:p>
    <w:p>
      <w:pPr>
        <w:pStyle w:val="2"/>
        <w:spacing w:line="360" w:lineRule="auto"/>
        <w:ind w:firstLine="420" w:firstLineChars="200"/>
        <w:rPr>
          <w:rFonts w:ascii="宋体" w:hAnsi="宋体" w:cs="宋体"/>
          <w:sz w:val="21"/>
          <w:szCs w:val="21"/>
        </w:rPr>
      </w:pPr>
      <w:r>
        <w:rPr>
          <w:rFonts w:hint="eastAsia" w:ascii="宋体" w:hAnsi="宋体" w:cs="宋体"/>
          <w:sz w:val="21"/>
          <w:szCs w:val="21"/>
        </w:rPr>
        <w:t>2.1.</w:t>
      </w:r>
      <w:r>
        <w:rPr>
          <w:rFonts w:hint="eastAsia" w:ascii="宋体" w:hAnsi="宋体" w:cs="宋体"/>
          <w:sz w:val="21"/>
          <w:szCs w:val="21"/>
          <w:lang w:val="en-US" w:eastAsia="zh-CN"/>
        </w:rPr>
        <w:t>6</w:t>
      </w:r>
      <w:r>
        <w:rPr>
          <w:rFonts w:hint="eastAsia" w:ascii="宋体" w:hAnsi="宋体" w:cs="宋体"/>
          <w:sz w:val="21"/>
          <w:szCs w:val="21"/>
        </w:rPr>
        <w:t>投标人类似业绩要求：投标人须提供2018年1月1日至本公告发布之日止承担过类似项目业绩，累计合同金额不低于</w:t>
      </w:r>
      <w:r>
        <w:rPr>
          <w:rFonts w:hint="eastAsia" w:ascii="宋体" w:hAnsi="宋体" w:cs="宋体"/>
          <w:sz w:val="21"/>
          <w:szCs w:val="21"/>
          <w:lang w:val="en-US" w:eastAsia="zh-CN"/>
        </w:rPr>
        <w:t>30</w:t>
      </w:r>
      <w:r>
        <w:rPr>
          <w:rFonts w:hint="eastAsia" w:ascii="宋体" w:hAnsi="宋体" w:cs="宋体"/>
          <w:sz w:val="21"/>
          <w:szCs w:val="21"/>
        </w:rPr>
        <w:t>万元的业绩。提供合同文本关键页【含合同首页、签章页、签订日期、合同金额等信息】，时间以合同签订日期为准。</w:t>
      </w:r>
    </w:p>
    <w:p>
      <w:pPr>
        <w:pStyle w:val="2"/>
        <w:spacing w:line="360" w:lineRule="auto"/>
        <w:ind w:firstLine="420" w:firstLineChars="200"/>
        <w:rPr>
          <w:rFonts w:ascii="宋体" w:hAnsi="宋体" w:cs="宋体"/>
          <w:bCs/>
          <w:sz w:val="21"/>
          <w:szCs w:val="21"/>
        </w:rPr>
      </w:pPr>
      <w:r>
        <w:rPr>
          <w:rFonts w:hint="eastAsia" w:ascii="宋体" w:hAnsi="宋体" w:cs="宋体"/>
          <w:bCs/>
          <w:sz w:val="21"/>
          <w:szCs w:val="21"/>
        </w:rPr>
        <w:t>2.1.7</w:t>
      </w:r>
      <w:r>
        <w:rPr>
          <w:rFonts w:hint="eastAsia" w:ascii="宋体" w:hAnsi="宋体" w:cs="宋体"/>
          <w:sz w:val="21"/>
          <w:szCs w:val="21"/>
        </w:rPr>
        <w:t>投标</w:t>
      </w:r>
      <w:r>
        <w:rPr>
          <w:rFonts w:hint="eastAsia" w:ascii="宋体" w:hAnsi="宋体" w:cs="宋体"/>
          <w:bCs/>
          <w:sz w:val="21"/>
          <w:szCs w:val="21"/>
        </w:rPr>
        <w:t>人拟参与该项目的所有服务人员必须具有所属单位缴纳的有效期内的团体意外伤害保险或同类保险，个人保额为100万（含）以及上。未办理团体意外伤害保险或同类保险的</w:t>
      </w:r>
      <w:r>
        <w:rPr>
          <w:rFonts w:hint="eastAsia" w:ascii="宋体" w:hAnsi="宋体" w:cs="宋体"/>
          <w:bCs/>
          <w:sz w:val="21"/>
          <w:szCs w:val="21"/>
          <w:lang w:eastAsia="zh-CN"/>
        </w:rPr>
        <w:t>投标</w:t>
      </w:r>
      <w:r>
        <w:rPr>
          <w:rFonts w:hint="eastAsia" w:ascii="宋体" w:hAnsi="宋体" w:cs="宋体"/>
          <w:bCs/>
          <w:sz w:val="21"/>
          <w:szCs w:val="21"/>
        </w:rPr>
        <w:t>人须承诺，中标后，在合同签订前完成参与该项目的所有服务人员购买个人保额为100万（含）以及上的团体意外伤害保险或同类保险，否则视为放弃中标资格。（提供承诺书并加盖公章）。</w:t>
      </w:r>
    </w:p>
    <w:p>
      <w:pPr>
        <w:spacing w:line="360" w:lineRule="auto"/>
        <w:ind w:left="426"/>
        <w:rPr>
          <w:rFonts w:ascii="宋体" w:hAnsi="宋体" w:cs="宋体"/>
          <w:szCs w:val="21"/>
        </w:rPr>
      </w:pPr>
      <w:r>
        <w:rPr>
          <w:rFonts w:hint="eastAsia" w:ascii="宋体" w:hAnsi="宋体" w:cs="宋体"/>
          <w:szCs w:val="21"/>
        </w:rPr>
        <w:t>2.1.8本项目不接受联合体参与采购活动，中标人不得分包与转包。</w:t>
      </w:r>
    </w:p>
    <w:p>
      <w:pPr>
        <w:spacing w:line="360" w:lineRule="auto"/>
        <w:ind w:left="426"/>
      </w:pPr>
      <w:r>
        <w:rPr>
          <w:rFonts w:hint="eastAsia" w:ascii="宋体" w:hAnsi="宋体" w:cs="宋体"/>
          <w:szCs w:val="21"/>
        </w:rPr>
        <w:t>2.1.9国家法律法规规定的其他必须符合的要求。</w:t>
      </w:r>
    </w:p>
    <w:p>
      <w:pPr>
        <w:numPr>
          <w:ilvl w:val="1"/>
          <w:numId w:val="1"/>
        </w:numPr>
        <w:spacing w:line="440" w:lineRule="exact"/>
        <w:ind w:left="0" w:firstLine="422"/>
        <w:rPr>
          <w:rFonts w:ascii="宋体" w:hAnsi="宋体"/>
          <w:b/>
          <w:szCs w:val="21"/>
        </w:rPr>
      </w:pPr>
      <w:r>
        <w:rPr>
          <w:rFonts w:hint="eastAsia" w:ascii="宋体" w:hAnsi="宋体"/>
          <w:b/>
          <w:szCs w:val="21"/>
        </w:rPr>
        <w:t>投标人不得存在下列情形之一</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为招标人不具有独立法人资格的附属机构（单位）；</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被责令停业或破产状态的；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被暂停或取消投标资格的；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财产被重组、接管、查封、扣押或冻结的；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在最近三年内骗取中标情形的；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在最近三年内因严重违反合同约定被解除合同/协议，或取消供应商资格的；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在最近五年内，存在与采购活动相关的行贿犯罪记录的（以“中国裁判文书网”为准）；</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在与江苏省广电有线信息网络股份有限公司、中广有线信息网络有限公司或其他运营商合作过程中出现过重大问题且尚未妥善解决的；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相关产品在江苏省广电有线信息网络股份有限公司、中广有线信息网络有限公司或其他运营商出现过重大质量或安全问题且未妥善解决的；</w:t>
      </w:r>
    </w:p>
    <w:p>
      <w:pPr>
        <w:numPr>
          <w:ilvl w:val="0"/>
          <w:numId w:val="2"/>
        </w:numPr>
        <w:tabs>
          <w:tab w:val="left" w:pos="0"/>
          <w:tab w:val="left" w:pos="993"/>
          <w:tab w:val="clear" w:pos="1142"/>
        </w:tabs>
        <w:spacing w:line="440" w:lineRule="exact"/>
        <w:ind w:left="0" w:firstLine="422"/>
        <w:rPr>
          <w:rFonts w:ascii="宋体" w:hAnsi="宋体"/>
          <w:szCs w:val="21"/>
        </w:rPr>
      </w:pPr>
      <w:r>
        <w:rPr>
          <w:rFonts w:hint="eastAsia" w:ascii="宋体" w:hAnsi="宋体"/>
          <w:szCs w:val="21"/>
        </w:rPr>
        <w:t>单位负责人为同一人或者存在控股、管理关系的不同单位，不得参加同一标包投标或者未划分标包的同一招标项目投标；</w:t>
      </w:r>
    </w:p>
    <w:bookmarkEnd w:id="9"/>
    <w:bookmarkEnd w:id="10"/>
    <w:bookmarkEnd w:id="11"/>
    <w:p>
      <w:pPr>
        <w:pStyle w:val="11"/>
        <w:numPr>
          <w:ilvl w:val="0"/>
          <w:numId w:val="1"/>
        </w:numPr>
        <w:adjustRightInd w:val="0"/>
        <w:snapToGrid w:val="0"/>
        <w:spacing w:line="440" w:lineRule="exact"/>
        <w:ind w:firstLineChars="0"/>
        <w:outlineLvl w:val="1"/>
        <w:rPr>
          <w:rFonts w:ascii="宋体" w:hAnsi="宋体"/>
          <w:b/>
          <w:szCs w:val="21"/>
        </w:rPr>
      </w:pPr>
      <w:bookmarkStart w:id="12" w:name="_Toc9017236"/>
      <w:bookmarkStart w:id="13" w:name="_Toc18842"/>
      <w:r>
        <w:rPr>
          <w:rFonts w:hint="eastAsia" w:ascii="宋体" w:hAnsi="宋体"/>
          <w:b/>
          <w:szCs w:val="21"/>
        </w:rPr>
        <w:t>资格审查方法</w:t>
      </w:r>
      <w:bookmarkEnd w:id="12"/>
      <w:bookmarkEnd w:id="13"/>
    </w:p>
    <w:p>
      <w:pPr>
        <w:pStyle w:val="11"/>
        <w:adjustRightInd w:val="0"/>
        <w:snapToGrid w:val="0"/>
        <w:spacing w:line="440" w:lineRule="exact"/>
        <w:rPr>
          <w:rFonts w:ascii="宋体" w:hAnsi="宋体"/>
          <w:szCs w:val="21"/>
        </w:rPr>
      </w:pPr>
      <w:r>
        <w:rPr>
          <w:rFonts w:hint="eastAsia" w:ascii="宋体" w:hAnsi="宋体"/>
          <w:szCs w:val="21"/>
        </w:rPr>
        <w:t>本项目将进行资格后审，资格审查标准和内容见招标文件第三章“评标办法”，凡未通过资格后审的投标人，其投标将被否决。</w:t>
      </w:r>
    </w:p>
    <w:p>
      <w:pPr>
        <w:pStyle w:val="11"/>
        <w:numPr>
          <w:ilvl w:val="0"/>
          <w:numId w:val="1"/>
        </w:numPr>
        <w:adjustRightInd w:val="0"/>
        <w:snapToGrid w:val="0"/>
        <w:spacing w:line="440" w:lineRule="exact"/>
        <w:ind w:firstLineChars="0"/>
        <w:outlineLvl w:val="1"/>
        <w:rPr>
          <w:rFonts w:ascii="宋体" w:hAnsi="宋体"/>
          <w:b/>
          <w:szCs w:val="21"/>
        </w:rPr>
      </w:pPr>
      <w:bookmarkStart w:id="14" w:name="_Toc3146"/>
      <w:bookmarkStart w:id="15" w:name="_Toc9017237"/>
      <w:r>
        <w:rPr>
          <w:rFonts w:hint="eastAsia" w:ascii="宋体" w:hAnsi="宋体"/>
          <w:b/>
          <w:szCs w:val="21"/>
        </w:rPr>
        <w:t>招标文件获取</w:t>
      </w:r>
      <w:bookmarkEnd w:id="14"/>
      <w:bookmarkEnd w:id="15"/>
    </w:p>
    <w:p>
      <w:pPr>
        <w:pStyle w:val="11"/>
        <w:numPr>
          <w:ilvl w:val="1"/>
          <w:numId w:val="3"/>
        </w:numPr>
        <w:adjustRightInd w:val="0"/>
        <w:snapToGrid w:val="0"/>
        <w:spacing w:line="440" w:lineRule="exact"/>
        <w:ind w:left="0" w:firstLine="424" w:firstLineChars="202"/>
        <w:rPr>
          <w:rFonts w:ascii="宋体" w:hAnsi="宋体"/>
          <w:szCs w:val="21"/>
        </w:rPr>
      </w:pPr>
      <w:r>
        <w:rPr>
          <w:rFonts w:hint="eastAsia" w:ascii="宋体" w:hAnsi="宋体"/>
          <w:szCs w:val="21"/>
        </w:rPr>
        <w:t>招标文件获取时间:【2023年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日至2023年</w:t>
      </w:r>
      <w:r>
        <w:rPr>
          <w:rFonts w:ascii="宋体" w:hAnsi="宋体"/>
          <w:szCs w:val="21"/>
        </w:rPr>
        <w:t>1</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r>
        <w:rPr>
          <w:rFonts w:hint="eastAsia" w:ascii="宋体" w:hAnsi="宋体"/>
          <w:spacing w:val="2"/>
          <w:szCs w:val="21"/>
        </w:rPr>
        <w:t>。（北京时间，下同）</w:t>
      </w:r>
      <w:r>
        <w:rPr>
          <w:rFonts w:hint="eastAsia" w:ascii="宋体" w:hAnsi="宋体"/>
          <w:szCs w:val="21"/>
        </w:rPr>
        <w:t>】</w:t>
      </w:r>
    </w:p>
    <w:p>
      <w:pPr>
        <w:spacing w:line="440" w:lineRule="exact"/>
        <w:ind w:firstLine="420" w:firstLineChars="200"/>
        <w:jc w:val="left"/>
        <w:rPr>
          <w:rFonts w:ascii="宋体" w:hAnsi="宋体"/>
          <w:szCs w:val="21"/>
        </w:rPr>
      </w:pPr>
      <w:r>
        <w:rPr>
          <w:rFonts w:hint="eastAsia" w:ascii="宋体" w:hAnsi="宋体"/>
          <w:szCs w:val="21"/>
        </w:rPr>
        <w:t>4.2</w:t>
      </w:r>
      <w:r>
        <w:rPr>
          <w:rFonts w:hint="eastAsia" w:ascii="宋体" w:hAnsi="宋体"/>
          <w:szCs w:val="21"/>
          <w:lang w:val="en-US" w:eastAsia="zh-CN"/>
        </w:rPr>
        <w:t xml:space="preserve"> </w:t>
      </w:r>
      <w:r>
        <w:rPr>
          <w:rFonts w:hint="eastAsia" w:ascii="宋体" w:hAnsi="宋体"/>
          <w:szCs w:val="21"/>
        </w:rPr>
        <w:t>招标文件获取方式：潜在</w:t>
      </w:r>
      <w:r>
        <w:rPr>
          <w:rFonts w:hint="eastAsia" w:ascii="宋体" w:hAnsi="宋体"/>
          <w:szCs w:val="21"/>
          <w:lang w:val="en-US" w:eastAsia="zh-CN"/>
        </w:rPr>
        <w:t>投标</w:t>
      </w:r>
      <w:r>
        <w:rPr>
          <w:rFonts w:hint="eastAsia" w:ascii="宋体" w:hAnsi="宋体"/>
          <w:szCs w:val="21"/>
        </w:rPr>
        <w:t>人应委托经办人将以下文件发送至邮箱：</w:t>
      </w:r>
      <w:r>
        <w:rPr>
          <w:rFonts w:hint="eastAsia" w:ascii="宋体" w:hAnsi="宋体"/>
          <w:szCs w:val="21"/>
          <w:u w:val="single"/>
        </w:rPr>
        <w:t>jlchengt@163.com</w:t>
      </w:r>
    </w:p>
    <w:p>
      <w:pPr>
        <w:spacing w:line="440" w:lineRule="exact"/>
        <w:jc w:val="left"/>
        <w:rPr>
          <w:rFonts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授权人委托书</w:t>
      </w:r>
    </w:p>
    <w:p>
      <w:pPr>
        <w:spacing w:line="440" w:lineRule="exact"/>
        <w:ind w:right="-1"/>
        <w:rPr>
          <w:rFonts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经办人身份证复印件；</w:t>
      </w:r>
    </w:p>
    <w:p>
      <w:pPr>
        <w:spacing w:line="440" w:lineRule="exact"/>
        <w:ind w:right="-1"/>
        <w:rPr>
          <w:rFonts w:ascii="宋体" w:hAnsi="宋体"/>
          <w:szCs w:val="21"/>
        </w:rPr>
      </w:pPr>
      <w:r>
        <w:rPr>
          <w:rFonts w:hint="eastAsia" w:ascii="宋体" w:hAnsi="宋体"/>
          <w:szCs w:val="21"/>
        </w:rPr>
        <w:t>(3)  银行汇款凭证；</w:t>
      </w:r>
    </w:p>
    <w:p>
      <w:pPr>
        <w:spacing w:line="440" w:lineRule="exact"/>
        <w:ind w:right="-1"/>
        <w:rPr>
          <w:rFonts w:ascii="宋体" w:hAnsi="宋体"/>
          <w:b/>
          <w:bCs/>
          <w:color w:val="FF0000"/>
          <w:szCs w:val="21"/>
        </w:rPr>
      </w:pPr>
      <w:r>
        <w:rPr>
          <w:rFonts w:hint="eastAsia" w:ascii="宋体" w:hAnsi="宋体"/>
          <w:szCs w:val="21"/>
        </w:rPr>
        <w:t>(4)【税务信息表，格式如下：】</w:t>
      </w:r>
    </w:p>
    <w:tbl>
      <w:tblPr>
        <w:tblStyle w:val="7"/>
        <w:tblW w:w="4999" w:type="pct"/>
        <w:tblInd w:w="0" w:type="dxa"/>
        <w:tblLayout w:type="autofit"/>
        <w:tblCellMar>
          <w:top w:w="0" w:type="dxa"/>
          <w:left w:w="108" w:type="dxa"/>
          <w:bottom w:w="0" w:type="dxa"/>
          <w:right w:w="108" w:type="dxa"/>
        </w:tblCellMar>
      </w:tblPr>
      <w:tblGrid>
        <w:gridCol w:w="1101"/>
        <w:gridCol w:w="4149"/>
        <w:gridCol w:w="3270"/>
      </w:tblGrid>
      <w:tr>
        <w:trPr>
          <w:trHeight w:val="270" w:hRule="atLeast"/>
        </w:trPr>
        <w:tc>
          <w:tcPr>
            <w:tcW w:w="646" w:type="pct"/>
            <w:tcBorders>
              <w:top w:val="single" w:color="auto" w:sz="4" w:space="0"/>
              <w:left w:val="single" w:color="auto" w:sz="4" w:space="0"/>
              <w:bottom w:val="single" w:color="auto" w:sz="4" w:space="0"/>
              <w:right w:val="single" w:color="auto" w:sz="4" w:space="0"/>
            </w:tcBorders>
            <w:vAlign w:val="bottom"/>
          </w:tcPr>
          <w:p>
            <w:pPr>
              <w:tabs>
                <w:tab w:val="left" w:pos="900"/>
              </w:tabs>
              <w:spacing w:line="440" w:lineRule="exact"/>
              <w:jc w:val="center"/>
              <w:rPr>
                <w:rFonts w:ascii="宋体" w:hAnsi="宋体"/>
                <w:szCs w:val="21"/>
              </w:rPr>
            </w:pPr>
            <w:r>
              <w:rPr>
                <w:rFonts w:hint="eastAsia" w:ascii="宋体" w:hAnsi="宋体"/>
                <w:szCs w:val="21"/>
              </w:rPr>
              <w:t>序号</w:t>
            </w:r>
          </w:p>
        </w:tc>
        <w:tc>
          <w:tcPr>
            <w:tcW w:w="2435" w:type="pct"/>
            <w:tcBorders>
              <w:top w:val="single" w:color="auto" w:sz="4" w:space="0"/>
              <w:left w:val="nil"/>
              <w:bottom w:val="single" w:color="auto" w:sz="4" w:space="0"/>
              <w:right w:val="single" w:color="auto" w:sz="4" w:space="0"/>
            </w:tcBorders>
            <w:vAlign w:val="bottom"/>
          </w:tcPr>
          <w:p>
            <w:pPr>
              <w:tabs>
                <w:tab w:val="left" w:pos="900"/>
              </w:tabs>
              <w:spacing w:line="440" w:lineRule="exact"/>
              <w:jc w:val="center"/>
              <w:rPr>
                <w:rFonts w:ascii="宋体" w:hAnsi="宋体"/>
                <w:szCs w:val="21"/>
              </w:rPr>
            </w:pPr>
            <w:r>
              <w:rPr>
                <w:rFonts w:hint="eastAsia" w:ascii="宋体" w:hAnsi="宋体"/>
                <w:szCs w:val="21"/>
              </w:rPr>
              <w:t>类别</w:t>
            </w:r>
          </w:p>
        </w:tc>
        <w:tc>
          <w:tcPr>
            <w:tcW w:w="1917" w:type="pct"/>
            <w:tcBorders>
              <w:top w:val="single" w:color="auto" w:sz="4" w:space="0"/>
              <w:left w:val="nil"/>
              <w:bottom w:val="single" w:color="auto" w:sz="4" w:space="0"/>
              <w:right w:val="single" w:color="auto" w:sz="4" w:space="0"/>
            </w:tcBorders>
            <w:vAlign w:val="bottom"/>
          </w:tcPr>
          <w:p>
            <w:pPr>
              <w:tabs>
                <w:tab w:val="left" w:pos="900"/>
              </w:tabs>
              <w:spacing w:line="440" w:lineRule="exact"/>
              <w:jc w:val="center"/>
              <w:rPr>
                <w:rFonts w:ascii="宋体" w:hAnsi="宋体"/>
                <w:szCs w:val="21"/>
              </w:rPr>
            </w:pPr>
            <w:r>
              <w:rPr>
                <w:rFonts w:hint="eastAsia" w:ascii="宋体" w:hAnsi="宋体"/>
                <w:szCs w:val="21"/>
              </w:rPr>
              <w:t>信息</w:t>
            </w:r>
          </w:p>
        </w:tc>
      </w:tr>
      <w:tr>
        <w:trPr>
          <w:trHeight w:val="270" w:hRule="atLeast"/>
        </w:trPr>
        <w:tc>
          <w:tcPr>
            <w:tcW w:w="646" w:type="pct"/>
            <w:tcBorders>
              <w:top w:val="nil"/>
              <w:left w:val="single" w:color="auto" w:sz="4" w:space="0"/>
              <w:bottom w:val="single" w:color="auto" w:sz="4" w:space="0"/>
              <w:right w:val="single" w:color="auto" w:sz="4" w:space="0"/>
            </w:tcBorders>
            <w:vAlign w:val="center"/>
          </w:tcPr>
          <w:p>
            <w:pPr>
              <w:tabs>
                <w:tab w:val="left" w:pos="900"/>
              </w:tabs>
              <w:spacing w:line="440" w:lineRule="exact"/>
              <w:jc w:val="left"/>
              <w:rPr>
                <w:rFonts w:ascii="宋体" w:hAnsi="宋体"/>
                <w:szCs w:val="21"/>
              </w:rPr>
            </w:pPr>
            <w:r>
              <w:rPr>
                <w:rFonts w:hint="eastAsia" w:ascii="宋体" w:hAnsi="宋体"/>
                <w:szCs w:val="21"/>
              </w:rPr>
              <w:t>1</w:t>
            </w:r>
          </w:p>
        </w:tc>
        <w:tc>
          <w:tcPr>
            <w:tcW w:w="2435" w:type="pct"/>
            <w:tcBorders>
              <w:top w:val="nil"/>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潜在</w:t>
            </w:r>
            <w:r>
              <w:rPr>
                <w:rFonts w:hint="eastAsia" w:ascii="宋体" w:hAnsi="宋体"/>
                <w:szCs w:val="21"/>
                <w:lang w:val="en-US" w:eastAsia="zh-CN"/>
              </w:rPr>
              <w:t>投标</w:t>
            </w:r>
            <w:r>
              <w:rPr>
                <w:rFonts w:hint="eastAsia" w:ascii="宋体" w:hAnsi="宋体"/>
                <w:szCs w:val="21"/>
              </w:rPr>
              <w:t>人名称</w:t>
            </w:r>
          </w:p>
        </w:tc>
        <w:tc>
          <w:tcPr>
            <w:tcW w:w="1917" w:type="pct"/>
            <w:tcBorders>
              <w:top w:val="nil"/>
              <w:left w:val="nil"/>
              <w:bottom w:val="single" w:color="auto" w:sz="4" w:space="0"/>
              <w:right w:val="single" w:color="auto" w:sz="4" w:space="0"/>
            </w:tcBorders>
            <w:vAlign w:val="center"/>
          </w:tcPr>
          <w:p>
            <w:pPr>
              <w:tabs>
                <w:tab w:val="left" w:pos="900"/>
              </w:tabs>
              <w:spacing w:line="440" w:lineRule="exact"/>
              <w:jc w:val="left"/>
              <w:rPr>
                <w:rFonts w:ascii="宋体" w:hAnsi="宋体"/>
                <w:szCs w:val="21"/>
              </w:rPr>
            </w:pPr>
          </w:p>
        </w:tc>
      </w:tr>
      <w:tr>
        <w:tblPrEx>
          <w:tblCellMar>
            <w:top w:w="0" w:type="dxa"/>
            <w:left w:w="108" w:type="dxa"/>
            <w:bottom w:w="0" w:type="dxa"/>
            <w:right w:w="108" w:type="dxa"/>
          </w:tblCellMar>
        </w:tblPrEx>
        <w:trPr>
          <w:trHeight w:val="270" w:hRule="atLeast"/>
        </w:trPr>
        <w:tc>
          <w:tcPr>
            <w:tcW w:w="646" w:type="pct"/>
            <w:tcBorders>
              <w:top w:val="nil"/>
              <w:left w:val="single" w:color="auto" w:sz="4" w:space="0"/>
              <w:bottom w:val="single" w:color="auto" w:sz="4" w:space="0"/>
              <w:right w:val="single" w:color="auto" w:sz="4" w:space="0"/>
            </w:tcBorders>
            <w:vAlign w:val="center"/>
          </w:tcPr>
          <w:p>
            <w:pPr>
              <w:tabs>
                <w:tab w:val="left" w:pos="900"/>
              </w:tabs>
              <w:spacing w:line="440" w:lineRule="exact"/>
              <w:jc w:val="left"/>
              <w:rPr>
                <w:rFonts w:ascii="宋体" w:hAnsi="宋体"/>
                <w:szCs w:val="21"/>
              </w:rPr>
            </w:pPr>
            <w:r>
              <w:rPr>
                <w:rFonts w:hint="eastAsia" w:ascii="宋体" w:hAnsi="宋体"/>
                <w:szCs w:val="21"/>
              </w:rPr>
              <w:t>2</w:t>
            </w:r>
          </w:p>
        </w:tc>
        <w:tc>
          <w:tcPr>
            <w:tcW w:w="2435" w:type="pct"/>
            <w:tcBorders>
              <w:top w:val="nil"/>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纳税人识别号（开票所需信息）</w:t>
            </w:r>
          </w:p>
        </w:tc>
        <w:tc>
          <w:tcPr>
            <w:tcW w:w="1917" w:type="pct"/>
            <w:tcBorders>
              <w:top w:val="nil"/>
              <w:left w:val="nil"/>
              <w:bottom w:val="single" w:color="auto" w:sz="4" w:space="0"/>
              <w:right w:val="single" w:color="auto" w:sz="4" w:space="0"/>
            </w:tcBorders>
            <w:vAlign w:val="center"/>
          </w:tcPr>
          <w:p>
            <w:pPr>
              <w:tabs>
                <w:tab w:val="left" w:pos="900"/>
              </w:tabs>
              <w:spacing w:line="440" w:lineRule="exact"/>
              <w:jc w:val="left"/>
              <w:rPr>
                <w:rFonts w:ascii="宋体" w:hAnsi="宋体"/>
                <w:szCs w:val="21"/>
              </w:rPr>
            </w:pPr>
          </w:p>
        </w:tc>
      </w:tr>
      <w:tr>
        <w:trPr>
          <w:trHeight w:val="270" w:hRule="atLeast"/>
        </w:trPr>
        <w:tc>
          <w:tcPr>
            <w:tcW w:w="646" w:type="pct"/>
            <w:tcBorders>
              <w:top w:val="nil"/>
              <w:left w:val="single" w:color="auto" w:sz="4" w:space="0"/>
              <w:bottom w:val="single" w:color="auto" w:sz="4" w:space="0"/>
              <w:right w:val="single" w:color="auto" w:sz="4" w:space="0"/>
            </w:tcBorders>
            <w:vAlign w:val="center"/>
          </w:tcPr>
          <w:p>
            <w:pPr>
              <w:tabs>
                <w:tab w:val="left" w:pos="900"/>
              </w:tabs>
              <w:spacing w:line="440" w:lineRule="exact"/>
              <w:jc w:val="left"/>
              <w:rPr>
                <w:rFonts w:ascii="宋体" w:hAnsi="宋体"/>
                <w:szCs w:val="21"/>
              </w:rPr>
            </w:pPr>
            <w:r>
              <w:rPr>
                <w:rFonts w:hint="eastAsia" w:ascii="宋体" w:hAnsi="宋体"/>
                <w:szCs w:val="21"/>
              </w:rPr>
              <w:t>3</w:t>
            </w:r>
          </w:p>
        </w:tc>
        <w:tc>
          <w:tcPr>
            <w:tcW w:w="2435" w:type="pct"/>
            <w:tcBorders>
              <w:top w:val="nil"/>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潜在</w:t>
            </w:r>
            <w:r>
              <w:rPr>
                <w:rFonts w:hint="eastAsia" w:ascii="宋体" w:hAnsi="宋体"/>
                <w:szCs w:val="21"/>
                <w:lang w:val="en-US" w:eastAsia="zh-CN"/>
              </w:rPr>
              <w:t>投标</w:t>
            </w:r>
            <w:r>
              <w:rPr>
                <w:rFonts w:hint="eastAsia" w:ascii="宋体" w:hAnsi="宋体"/>
                <w:szCs w:val="21"/>
              </w:rPr>
              <w:t>人注册地址</w:t>
            </w:r>
          </w:p>
        </w:tc>
        <w:tc>
          <w:tcPr>
            <w:tcW w:w="1917" w:type="pct"/>
            <w:tcBorders>
              <w:top w:val="nil"/>
              <w:left w:val="nil"/>
              <w:bottom w:val="single" w:color="auto" w:sz="4" w:space="0"/>
              <w:right w:val="single" w:color="auto" w:sz="4" w:space="0"/>
            </w:tcBorders>
            <w:vAlign w:val="center"/>
          </w:tcPr>
          <w:p>
            <w:pPr>
              <w:tabs>
                <w:tab w:val="left" w:pos="900"/>
              </w:tabs>
              <w:spacing w:line="440" w:lineRule="exact"/>
              <w:jc w:val="left"/>
              <w:rPr>
                <w:rFonts w:ascii="宋体" w:hAnsi="宋体"/>
                <w:szCs w:val="21"/>
              </w:rPr>
            </w:pPr>
          </w:p>
        </w:tc>
      </w:tr>
      <w:tr>
        <w:tblPrEx>
          <w:tblCellMar>
            <w:top w:w="0" w:type="dxa"/>
            <w:left w:w="108" w:type="dxa"/>
            <w:bottom w:w="0" w:type="dxa"/>
            <w:right w:w="108" w:type="dxa"/>
          </w:tblCellMar>
        </w:tblPrEx>
        <w:trPr>
          <w:trHeight w:val="270" w:hRule="atLeast"/>
        </w:trPr>
        <w:tc>
          <w:tcPr>
            <w:tcW w:w="646" w:type="pct"/>
            <w:tcBorders>
              <w:top w:val="nil"/>
              <w:left w:val="single" w:color="auto" w:sz="4" w:space="0"/>
              <w:bottom w:val="single" w:color="auto" w:sz="4" w:space="0"/>
              <w:right w:val="single" w:color="auto" w:sz="4" w:space="0"/>
            </w:tcBorders>
            <w:vAlign w:val="center"/>
          </w:tcPr>
          <w:p>
            <w:pPr>
              <w:tabs>
                <w:tab w:val="left" w:pos="900"/>
              </w:tabs>
              <w:spacing w:line="440" w:lineRule="exact"/>
              <w:jc w:val="left"/>
              <w:rPr>
                <w:rFonts w:ascii="宋体" w:hAnsi="宋体"/>
                <w:szCs w:val="21"/>
              </w:rPr>
            </w:pPr>
            <w:r>
              <w:rPr>
                <w:rFonts w:hint="eastAsia" w:ascii="宋体" w:hAnsi="宋体"/>
                <w:szCs w:val="21"/>
              </w:rPr>
              <w:t>4</w:t>
            </w:r>
          </w:p>
        </w:tc>
        <w:tc>
          <w:tcPr>
            <w:tcW w:w="2435" w:type="pct"/>
            <w:tcBorders>
              <w:top w:val="nil"/>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潜在</w:t>
            </w:r>
            <w:r>
              <w:rPr>
                <w:rFonts w:hint="eastAsia" w:ascii="宋体" w:hAnsi="宋体"/>
                <w:szCs w:val="21"/>
                <w:lang w:val="en-US" w:eastAsia="zh-CN"/>
              </w:rPr>
              <w:t>投标</w:t>
            </w:r>
            <w:r>
              <w:rPr>
                <w:rFonts w:hint="eastAsia" w:ascii="宋体" w:hAnsi="宋体"/>
                <w:szCs w:val="21"/>
              </w:rPr>
              <w:t>人联系电话（固话）</w:t>
            </w:r>
          </w:p>
        </w:tc>
        <w:tc>
          <w:tcPr>
            <w:tcW w:w="1917" w:type="pct"/>
            <w:tcBorders>
              <w:top w:val="nil"/>
              <w:left w:val="nil"/>
              <w:bottom w:val="single" w:color="auto" w:sz="4" w:space="0"/>
              <w:right w:val="single" w:color="auto" w:sz="4" w:space="0"/>
            </w:tcBorders>
            <w:vAlign w:val="center"/>
          </w:tcPr>
          <w:p>
            <w:pPr>
              <w:tabs>
                <w:tab w:val="left" w:pos="900"/>
              </w:tabs>
              <w:spacing w:line="440" w:lineRule="exact"/>
              <w:jc w:val="left"/>
              <w:rPr>
                <w:rFonts w:ascii="宋体" w:hAnsi="宋体"/>
                <w:szCs w:val="21"/>
              </w:rPr>
            </w:pPr>
          </w:p>
        </w:tc>
      </w:tr>
      <w:tr>
        <w:tblPrEx>
          <w:tblCellMar>
            <w:top w:w="0" w:type="dxa"/>
            <w:left w:w="108" w:type="dxa"/>
            <w:bottom w:w="0" w:type="dxa"/>
            <w:right w:w="108" w:type="dxa"/>
          </w:tblCellMar>
        </w:tblPrEx>
        <w:trPr>
          <w:trHeight w:val="270" w:hRule="atLeast"/>
        </w:trPr>
        <w:tc>
          <w:tcPr>
            <w:tcW w:w="646" w:type="pct"/>
            <w:tcBorders>
              <w:top w:val="nil"/>
              <w:left w:val="single" w:color="auto" w:sz="4" w:space="0"/>
              <w:bottom w:val="single" w:color="auto" w:sz="4" w:space="0"/>
              <w:right w:val="single" w:color="auto" w:sz="4" w:space="0"/>
            </w:tcBorders>
            <w:vAlign w:val="center"/>
          </w:tcPr>
          <w:p>
            <w:pPr>
              <w:tabs>
                <w:tab w:val="left" w:pos="900"/>
              </w:tabs>
              <w:spacing w:line="440" w:lineRule="exact"/>
              <w:jc w:val="left"/>
              <w:rPr>
                <w:rFonts w:ascii="宋体" w:hAnsi="宋体"/>
                <w:szCs w:val="21"/>
              </w:rPr>
            </w:pPr>
            <w:r>
              <w:rPr>
                <w:rFonts w:hint="eastAsia" w:ascii="宋体" w:hAnsi="宋体"/>
                <w:szCs w:val="21"/>
              </w:rPr>
              <w:t>5</w:t>
            </w:r>
          </w:p>
        </w:tc>
        <w:tc>
          <w:tcPr>
            <w:tcW w:w="2435" w:type="pct"/>
            <w:tcBorders>
              <w:top w:val="nil"/>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开户银行</w:t>
            </w:r>
          </w:p>
        </w:tc>
        <w:tc>
          <w:tcPr>
            <w:tcW w:w="1917" w:type="pct"/>
            <w:tcBorders>
              <w:top w:val="nil"/>
              <w:left w:val="nil"/>
              <w:bottom w:val="single" w:color="auto" w:sz="4" w:space="0"/>
              <w:right w:val="single" w:color="auto" w:sz="4" w:space="0"/>
            </w:tcBorders>
            <w:vAlign w:val="center"/>
          </w:tcPr>
          <w:p>
            <w:pPr>
              <w:tabs>
                <w:tab w:val="left" w:pos="900"/>
              </w:tabs>
              <w:spacing w:line="440" w:lineRule="exact"/>
              <w:jc w:val="left"/>
              <w:rPr>
                <w:rFonts w:ascii="宋体" w:hAnsi="宋体"/>
                <w:szCs w:val="21"/>
              </w:rPr>
            </w:pPr>
          </w:p>
        </w:tc>
      </w:tr>
      <w:tr>
        <w:tblPrEx>
          <w:tblCellMar>
            <w:top w:w="0" w:type="dxa"/>
            <w:left w:w="108" w:type="dxa"/>
            <w:bottom w:w="0" w:type="dxa"/>
            <w:right w:w="108" w:type="dxa"/>
          </w:tblCellMar>
        </w:tblPrEx>
        <w:trPr>
          <w:trHeight w:val="270" w:hRule="atLeast"/>
        </w:trPr>
        <w:tc>
          <w:tcPr>
            <w:tcW w:w="646" w:type="pct"/>
            <w:tcBorders>
              <w:top w:val="nil"/>
              <w:left w:val="single" w:color="auto" w:sz="4" w:space="0"/>
              <w:bottom w:val="single" w:color="auto" w:sz="4" w:space="0"/>
              <w:right w:val="single" w:color="auto" w:sz="4" w:space="0"/>
            </w:tcBorders>
            <w:vAlign w:val="center"/>
          </w:tcPr>
          <w:p>
            <w:pPr>
              <w:tabs>
                <w:tab w:val="left" w:pos="900"/>
              </w:tabs>
              <w:spacing w:line="440" w:lineRule="exact"/>
              <w:jc w:val="left"/>
              <w:rPr>
                <w:rFonts w:ascii="宋体" w:hAnsi="宋体"/>
                <w:szCs w:val="21"/>
              </w:rPr>
            </w:pPr>
            <w:r>
              <w:rPr>
                <w:rFonts w:hint="eastAsia" w:ascii="宋体" w:hAnsi="宋体"/>
                <w:szCs w:val="21"/>
              </w:rPr>
              <w:t>6</w:t>
            </w:r>
          </w:p>
        </w:tc>
        <w:tc>
          <w:tcPr>
            <w:tcW w:w="2435" w:type="pct"/>
            <w:tcBorders>
              <w:top w:val="nil"/>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银行账号</w:t>
            </w:r>
          </w:p>
        </w:tc>
        <w:tc>
          <w:tcPr>
            <w:tcW w:w="1917" w:type="pct"/>
            <w:tcBorders>
              <w:top w:val="nil"/>
              <w:left w:val="nil"/>
              <w:bottom w:val="single" w:color="auto" w:sz="4" w:space="0"/>
              <w:right w:val="single" w:color="auto" w:sz="4" w:space="0"/>
            </w:tcBorders>
            <w:vAlign w:val="center"/>
          </w:tcPr>
          <w:p>
            <w:pPr>
              <w:tabs>
                <w:tab w:val="left" w:pos="900"/>
              </w:tabs>
              <w:spacing w:line="440" w:lineRule="exact"/>
              <w:jc w:val="left"/>
              <w:rPr>
                <w:rFonts w:ascii="宋体" w:hAnsi="宋体"/>
                <w:szCs w:val="21"/>
              </w:rPr>
            </w:pPr>
          </w:p>
        </w:tc>
      </w:tr>
      <w:tr>
        <w:tblPrEx>
          <w:tblCellMar>
            <w:top w:w="0" w:type="dxa"/>
            <w:left w:w="108" w:type="dxa"/>
            <w:bottom w:w="0" w:type="dxa"/>
            <w:right w:w="108" w:type="dxa"/>
          </w:tblCellMar>
        </w:tblPrEx>
        <w:trPr>
          <w:trHeight w:val="270" w:hRule="atLeast"/>
        </w:trPr>
        <w:tc>
          <w:tcPr>
            <w:tcW w:w="646" w:type="pct"/>
            <w:tcBorders>
              <w:top w:val="nil"/>
              <w:left w:val="single" w:color="auto" w:sz="4" w:space="0"/>
              <w:bottom w:val="single" w:color="auto" w:sz="4" w:space="0"/>
              <w:right w:val="single" w:color="auto" w:sz="4" w:space="0"/>
            </w:tcBorders>
            <w:vAlign w:val="center"/>
          </w:tcPr>
          <w:p>
            <w:pPr>
              <w:tabs>
                <w:tab w:val="left" w:pos="900"/>
              </w:tabs>
              <w:spacing w:line="440" w:lineRule="exact"/>
              <w:jc w:val="left"/>
              <w:rPr>
                <w:rFonts w:ascii="宋体" w:hAnsi="宋体"/>
                <w:szCs w:val="21"/>
              </w:rPr>
            </w:pPr>
            <w:r>
              <w:rPr>
                <w:rFonts w:hint="eastAsia" w:ascii="宋体" w:hAnsi="宋体"/>
                <w:szCs w:val="21"/>
              </w:rPr>
              <w:t>7</w:t>
            </w:r>
          </w:p>
        </w:tc>
        <w:tc>
          <w:tcPr>
            <w:tcW w:w="2435" w:type="pct"/>
            <w:tcBorders>
              <w:top w:val="nil"/>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组织机构代码（如有）</w:t>
            </w:r>
          </w:p>
        </w:tc>
        <w:tc>
          <w:tcPr>
            <w:tcW w:w="1917" w:type="pct"/>
            <w:tcBorders>
              <w:top w:val="nil"/>
              <w:left w:val="nil"/>
              <w:bottom w:val="single" w:color="auto" w:sz="4" w:space="0"/>
              <w:right w:val="single" w:color="auto" w:sz="4" w:space="0"/>
            </w:tcBorders>
            <w:vAlign w:val="center"/>
          </w:tcPr>
          <w:p>
            <w:pPr>
              <w:tabs>
                <w:tab w:val="left" w:pos="900"/>
              </w:tabs>
              <w:spacing w:line="440" w:lineRule="exact"/>
              <w:jc w:val="left"/>
              <w:rPr>
                <w:rFonts w:ascii="宋体" w:hAnsi="宋体"/>
                <w:szCs w:val="21"/>
              </w:rPr>
            </w:pPr>
          </w:p>
        </w:tc>
      </w:tr>
      <w:tr>
        <w:tblPrEx>
          <w:tblCellMar>
            <w:top w:w="0" w:type="dxa"/>
            <w:left w:w="108" w:type="dxa"/>
            <w:bottom w:w="0" w:type="dxa"/>
            <w:right w:w="108" w:type="dxa"/>
          </w:tblCellMar>
        </w:tblPrEx>
        <w:trPr>
          <w:trHeight w:val="270" w:hRule="atLeast"/>
        </w:trPr>
        <w:tc>
          <w:tcPr>
            <w:tcW w:w="646" w:type="pct"/>
            <w:tcBorders>
              <w:top w:val="nil"/>
              <w:left w:val="single" w:color="auto" w:sz="4" w:space="0"/>
              <w:bottom w:val="single" w:color="auto" w:sz="4" w:space="0"/>
              <w:right w:val="single" w:color="auto" w:sz="4" w:space="0"/>
            </w:tcBorders>
            <w:vAlign w:val="center"/>
          </w:tcPr>
          <w:p>
            <w:pPr>
              <w:tabs>
                <w:tab w:val="left" w:pos="900"/>
              </w:tabs>
              <w:spacing w:line="440" w:lineRule="exact"/>
              <w:jc w:val="left"/>
              <w:rPr>
                <w:rFonts w:ascii="宋体" w:hAnsi="宋体"/>
                <w:szCs w:val="21"/>
              </w:rPr>
            </w:pPr>
            <w:r>
              <w:rPr>
                <w:rFonts w:hint="eastAsia" w:ascii="宋体" w:hAnsi="宋体"/>
                <w:szCs w:val="21"/>
              </w:rPr>
              <w:t>8</w:t>
            </w:r>
          </w:p>
        </w:tc>
        <w:tc>
          <w:tcPr>
            <w:tcW w:w="2435" w:type="pct"/>
            <w:tcBorders>
              <w:top w:val="nil"/>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是否为一般纳税人</w:t>
            </w:r>
          </w:p>
        </w:tc>
        <w:tc>
          <w:tcPr>
            <w:tcW w:w="1917" w:type="pct"/>
            <w:tcBorders>
              <w:top w:val="nil"/>
              <w:left w:val="nil"/>
              <w:bottom w:val="single" w:color="auto" w:sz="4" w:space="0"/>
              <w:right w:val="single" w:color="auto" w:sz="4" w:space="0"/>
            </w:tcBorders>
            <w:vAlign w:val="center"/>
          </w:tcPr>
          <w:p>
            <w:pPr>
              <w:tabs>
                <w:tab w:val="left" w:pos="900"/>
              </w:tabs>
              <w:spacing w:line="440" w:lineRule="exact"/>
              <w:jc w:val="left"/>
              <w:rPr>
                <w:rFonts w:ascii="宋体" w:hAnsi="宋体"/>
                <w:szCs w:val="21"/>
              </w:rPr>
            </w:pPr>
          </w:p>
        </w:tc>
      </w:tr>
      <w:tr>
        <w:tblPrEx>
          <w:tblCellMar>
            <w:top w:w="0" w:type="dxa"/>
            <w:left w:w="108" w:type="dxa"/>
            <w:bottom w:w="0" w:type="dxa"/>
            <w:right w:w="108" w:type="dxa"/>
          </w:tblCellMar>
        </w:tblPrEx>
        <w:trPr>
          <w:trHeight w:val="270" w:hRule="atLeast"/>
        </w:trPr>
        <w:tc>
          <w:tcPr>
            <w:tcW w:w="646" w:type="pct"/>
            <w:tcBorders>
              <w:top w:val="nil"/>
              <w:left w:val="single" w:color="auto" w:sz="4" w:space="0"/>
              <w:bottom w:val="single" w:color="auto" w:sz="4" w:space="0"/>
              <w:right w:val="single" w:color="auto" w:sz="4" w:space="0"/>
            </w:tcBorders>
            <w:vAlign w:val="center"/>
          </w:tcPr>
          <w:p>
            <w:pPr>
              <w:tabs>
                <w:tab w:val="left" w:pos="900"/>
              </w:tabs>
              <w:spacing w:line="440" w:lineRule="exact"/>
              <w:jc w:val="left"/>
              <w:rPr>
                <w:rFonts w:ascii="宋体" w:hAnsi="宋体"/>
                <w:szCs w:val="21"/>
              </w:rPr>
            </w:pPr>
            <w:r>
              <w:rPr>
                <w:rFonts w:hint="eastAsia" w:ascii="宋体" w:hAnsi="宋体"/>
                <w:szCs w:val="21"/>
              </w:rPr>
              <w:t>9</w:t>
            </w:r>
          </w:p>
        </w:tc>
        <w:tc>
          <w:tcPr>
            <w:tcW w:w="2435" w:type="pct"/>
            <w:tcBorders>
              <w:top w:val="nil"/>
              <w:left w:val="nil"/>
              <w:bottom w:val="single" w:color="auto" w:sz="4" w:space="0"/>
              <w:right w:val="single" w:color="auto" w:sz="4" w:space="0"/>
            </w:tcBorders>
            <w:vAlign w:val="center"/>
          </w:tcPr>
          <w:p>
            <w:pPr>
              <w:spacing w:line="440" w:lineRule="exact"/>
              <w:rPr>
                <w:rFonts w:ascii="宋体" w:hAnsi="宋体"/>
                <w:szCs w:val="21"/>
              </w:rPr>
            </w:pPr>
            <w:r>
              <w:rPr>
                <w:rFonts w:hint="eastAsia" w:ascii="宋体" w:hAnsi="宋体"/>
                <w:szCs w:val="21"/>
              </w:rPr>
              <w:t>开票类型（增值税普通发票/增值税专用发票）</w:t>
            </w:r>
          </w:p>
        </w:tc>
        <w:tc>
          <w:tcPr>
            <w:tcW w:w="1917" w:type="pct"/>
            <w:tcBorders>
              <w:top w:val="nil"/>
              <w:left w:val="nil"/>
              <w:bottom w:val="single" w:color="auto" w:sz="4" w:space="0"/>
              <w:right w:val="single" w:color="auto" w:sz="4" w:space="0"/>
            </w:tcBorders>
            <w:vAlign w:val="center"/>
          </w:tcPr>
          <w:p>
            <w:pPr>
              <w:tabs>
                <w:tab w:val="left" w:pos="900"/>
              </w:tabs>
              <w:spacing w:line="440" w:lineRule="exact"/>
              <w:jc w:val="left"/>
              <w:rPr>
                <w:rFonts w:ascii="宋体" w:hAnsi="宋体"/>
                <w:szCs w:val="21"/>
              </w:rPr>
            </w:pPr>
          </w:p>
        </w:tc>
      </w:tr>
      <w:tr>
        <w:tblPrEx>
          <w:tblCellMar>
            <w:top w:w="0" w:type="dxa"/>
            <w:left w:w="108" w:type="dxa"/>
            <w:bottom w:w="0" w:type="dxa"/>
            <w:right w:w="108" w:type="dxa"/>
          </w:tblCellMar>
        </w:tblPrEx>
        <w:trPr>
          <w:trHeight w:val="270" w:hRule="atLeast"/>
        </w:trPr>
        <w:tc>
          <w:tcPr>
            <w:tcW w:w="5000" w:type="pct"/>
            <w:gridSpan w:val="3"/>
            <w:tcBorders>
              <w:top w:val="single" w:color="auto" w:sz="4" w:space="0"/>
              <w:left w:val="single" w:color="auto" w:sz="4" w:space="0"/>
              <w:bottom w:val="single" w:color="auto" w:sz="4" w:space="0"/>
              <w:right w:val="single" w:color="auto" w:sz="4" w:space="0"/>
            </w:tcBorders>
            <w:vAlign w:val="bottom"/>
          </w:tcPr>
          <w:p>
            <w:pPr>
              <w:tabs>
                <w:tab w:val="left" w:pos="900"/>
              </w:tabs>
              <w:spacing w:line="440" w:lineRule="exact"/>
              <w:jc w:val="left"/>
              <w:rPr>
                <w:rFonts w:ascii="宋体" w:hAnsi="宋体"/>
                <w:szCs w:val="21"/>
              </w:rPr>
            </w:pPr>
            <w:r>
              <w:rPr>
                <w:rFonts w:hint="eastAsia" w:ascii="宋体" w:hAnsi="宋体"/>
                <w:szCs w:val="21"/>
              </w:rPr>
              <w:t>三证合一的单位需提供以下复印件：1、营业执照；2、开户许可证。</w:t>
            </w:r>
          </w:p>
          <w:p>
            <w:pPr>
              <w:tabs>
                <w:tab w:val="left" w:pos="900"/>
              </w:tabs>
              <w:spacing w:line="440" w:lineRule="exact"/>
              <w:jc w:val="left"/>
              <w:rPr>
                <w:rFonts w:ascii="宋体" w:hAnsi="宋体"/>
                <w:szCs w:val="21"/>
              </w:rPr>
            </w:pPr>
            <w:r>
              <w:rPr>
                <w:rFonts w:hint="eastAsia" w:ascii="宋体" w:hAnsi="宋体"/>
                <w:szCs w:val="21"/>
              </w:rPr>
              <w:t>注：本表为【</w:t>
            </w:r>
            <w:r>
              <w:rPr>
                <w:rFonts w:hint="eastAsia" w:ascii="宋体" w:hAnsi="宋体"/>
                <w:szCs w:val="21"/>
                <w:lang w:val="en-US" w:eastAsia="zh-CN"/>
              </w:rPr>
              <w:t>招标</w:t>
            </w:r>
            <w:r>
              <w:rPr>
                <w:rFonts w:hint="eastAsia" w:ascii="宋体" w:hAnsi="宋体"/>
                <w:szCs w:val="21"/>
              </w:rPr>
              <w:t>人/</w:t>
            </w:r>
            <w:r>
              <w:rPr>
                <w:rFonts w:hint="eastAsia" w:ascii="宋体" w:hAnsi="宋体"/>
                <w:szCs w:val="21"/>
                <w:lang w:val="en-US" w:eastAsia="zh-CN"/>
              </w:rPr>
              <w:t>投标</w:t>
            </w:r>
            <w:r>
              <w:rPr>
                <w:rFonts w:hint="eastAsia" w:ascii="宋体" w:hAnsi="宋体"/>
                <w:szCs w:val="21"/>
              </w:rPr>
              <w:t>代理机构】为</w:t>
            </w:r>
            <w:r>
              <w:rPr>
                <w:rFonts w:hint="eastAsia" w:ascii="宋体" w:hAnsi="宋体"/>
                <w:szCs w:val="21"/>
                <w:lang w:val="en-US" w:eastAsia="zh-CN"/>
              </w:rPr>
              <w:t>投标</w:t>
            </w:r>
            <w:r>
              <w:rPr>
                <w:rFonts w:hint="eastAsia" w:ascii="宋体" w:hAnsi="宋体"/>
                <w:szCs w:val="21"/>
              </w:rPr>
              <w:t>人开具购买</w:t>
            </w:r>
            <w:r>
              <w:rPr>
                <w:rFonts w:hint="eastAsia" w:ascii="宋体" w:hAnsi="宋体"/>
                <w:szCs w:val="21"/>
                <w:lang w:val="en-US" w:eastAsia="zh-CN"/>
              </w:rPr>
              <w:t>招标</w:t>
            </w:r>
            <w:r>
              <w:rPr>
                <w:rFonts w:hint="eastAsia" w:ascii="宋体" w:hAnsi="宋体"/>
                <w:szCs w:val="21"/>
              </w:rPr>
              <w:t>文件发票时所需信息。如因</w:t>
            </w:r>
            <w:r>
              <w:rPr>
                <w:rFonts w:hint="eastAsia" w:ascii="宋体" w:hAnsi="宋体"/>
                <w:szCs w:val="21"/>
                <w:lang w:val="en-US" w:eastAsia="zh-CN"/>
              </w:rPr>
              <w:t>投标</w:t>
            </w:r>
            <w:r>
              <w:rPr>
                <w:rFonts w:hint="eastAsia" w:ascii="宋体" w:hAnsi="宋体"/>
                <w:szCs w:val="21"/>
              </w:rPr>
              <w:t>人提供税务信息错误而导致的开票错误所造成的全部损失由</w:t>
            </w:r>
            <w:r>
              <w:rPr>
                <w:rFonts w:hint="eastAsia" w:ascii="宋体" w:hAnsi="宋体"/>
                <w:szCs w:val="21"/>
                <w:lang w:val="en-US" w:eastAsia="zh-CN"/>
              </w:rPr>
              <w:t>投标</w:t>
            </w:r>
            <w:r>
              <w:rPr>
                <w:rFonts w:hint="eastAsia" w:ascii="宋体" w:hAnsi="宋体"/>
                <w:szCs w:val="21"/>
              </w:rPr>
              <w:t>人承担。</w:t>
            </w:r>
          </w:p>
        </w:tc>
      </w:tr>
    </w:tbl>
    <w:p>
      <w:pPr>
        <w:spacing w:line="440" w:lineRule="exact"/>
        <w:ind w:right="-1"/>
        <w:rPr>
          <w:rFonts w:ascii="宋体" w:hAnsi="宋体"/>
          <w:szCs w:val="21"/>
        </w:rPr>
      </w:pPr>
      <w:r>
        <w:rPr>
          <w:rFonts w:hint="eastAsia" w:ascii="宋体" w:hAnsi="宋体"/>
          <w:szCs w:val="21"/>
        </w:rPr>
        <w:t>4.3</w:t>
      </w:r>
      <w:r>
        <w:rPr>
          <w:rFonts w:hint="eastAsia" w:ascii="宋体" w:hAnsi="宋体"/>
          <w:szCs w:val="21"/>
          <w:lang w:val="en-US" w:eastAsia="zh-CN"/>
        </w:rPr>
        <w:t>招标</w:t>
      </w:r>
      <w:r>
        <w:rPr>
          <w:rFonts w:hint="eastAsia" w:ascii="宋体" w:hAnsi="宋体"/>
          <w:szCs w:val="21"/>
        </w:rPr>
        <w:t>文件每套售价【</w:t>
      </w:r>
      <w:r>
        <w:rPr>
          <w:rFonts w:hint="eastAsia" w:ascii="宋体" w:hAnsi="宋体"/>
          <w:szCs w:val="21"/>
          <w:lang w:val="en-US" w:eastAsia="zh-CN"/>
        </w:rPr>
        <w:t>5</w:t>
      </w:r>
      <w:r>
        <w:rPr>
          <w:rFonts w:hint="eastAsia" w:ascii="宋体" w:hAnsi="宋体"/>
          <w:szCs w:val="21"/>
        </w:rPr>
        <w:t>00】元人民币，售后不退。交纳方式：采用银行电汇、网银汇款的方式汇款至</w:t>
      </w:r>
      <w:r>
        <w:rPr>
          <w:rFonts w:hint="eastAsia" w:ascii="宋体" w:hAnsi="宋体"/>
          <w:szCs w:val="21"/>
          <w:lang w:val="en-US" w:eastAsia="zh-CN"/>
        </w:rPr>
        <w:t>招标</w:t>
      </w:r>
      <w:r>
        <w:rPr>
          <w:rFonts w:hint="eastAsia" w:ascii="宋体" w:hAnsi="宋体"/>
          <w:szCs w:val="21"/>
        </w:rPr>
        <w:t>代理机构指定银行账户，银行电汇、网银汇款的均须使用单位账户（账户名称须与</w:t>
      </w:r>
      <w:r>
        <w:rPr>
          <w:rFonts w:hint="eastAsia" w:ascii="宋体" w:hAnsi="宋体"/>
          <w:szCs w:val="21"/>
          <w:lang w:val="en-US" w:eastAsia="zh-CN"/>
        </w:rPr>
        <w:t>投标</w:t>
      </w:r>
      <w:r>
        <w:rPr>
          <w:rFonts w:hint="eastAsia" w:ascii="宋体" w:hAnsi="宋体"/>
          <w:szCs w:val="21"/>
        </w:rPr>
        <w:t>人的单位名称一致），需备注：程先生标书费</w:t>
      </w:r>
      <w:r>
        <w:rPr>
          <w:rFonts w:hint="eastAsia"/>
          <w:color w:val="000000"/>
          <w:shd w:val="clear" w:color="auto" w:fill="FFFFFF"/>
        </w:rPr>
        <w:t>。注：后续发票事宜，</w:t>
      </w:r>
      <w:r>
        <w:rPr>
          <w:rFonts w:hint="eastAsia" w:ascii="宋体" w:hAnsi="宋体"/>
          <w:szCs w:val="21"/>
          <w:lang w:val="en-US" w:eastAsia="zh-CN"/>
        </w:rPr>
        <w:t>投标</w:t>
      </w:r>
      <w:r>
        <w:rPr>
          <w:rFonts w:hint="eastAsia"/>
          <w:color w:val="000000"/>
          <w:shd w:val="clear" w:color="auto" w:fill="FFFFFF"/>
        </w:rPr>
        <w:t>人应登录“邮E招”电子招标采购平台(https:/www.youezhao.cn/)的“帮助中心”下载《供应商操作手册》并注册，注册完成并完善供应商信息后自主开票；如有疑问，可联系“邮E招”电子招标采购平台服务电话进行咨询。</w:t>
      </w:r>
    </w:p>
    <w:p>
      <w:pPr>
        <w:spacing w:line="400" w:lineRule="exact"/>
        <w:ind w:firstLine="420" w:firstLineChars="200"/>
        <w:rPr>
          <w:rFonts w:ascii="宋体" w:hAnsi="宋体"/>
        </w:rPr>
      </w:pPr>
      <w:r>
        <w:rPr>
          <w:rFonts w:hint="eastAsia" w:ascii="宋体" w:hAnsi="宋体"/>
        </w:rPr>
        <w:t>开户银行：招商银行南京分行城西支行</w:t>
      </w:r>
    </w:p>
    <w:p>
      <w:pPr>
        <w:spacing w:line="400" w:lineRule="exact"/>
        <w:ind w:firstLine="420" w:firstLineChars="200"/>
        <w:rPr>
          <w:rFonts w:ascii="宋体" w:hAnsi="宋体"/>
          <w:highlight w:val="none"/>
        </w:rPr>
      </w:pPr>
      <w:r>
        <w:rPr>
          <w:rFonts w:hint="eastAsia" w:ascii="宋体" w:hAnsi="宋体"/>
        </w:rPr>
        <w:t>开户名</w:t>
      </w:r>
      <w:r>
        <w:rPr>
          <w:rFonts w:hint="eastAsia" w:ascii="宋体" w:hAnsi="宋体"/>
          <w:highlight w:val="none"/>
        </w:rPr>
        <w:t>：中邮通建设咨询有限公司</w:t>
      </w:r>
    </w:p>
    <w:p>
      <w:pPr>
        <w:spacing w:line="400" w:lineRule="exact"/>
        <w:ind w:firstLine="420" w:firstLineChars="200"/>
        <w:rPr>
          <w:rFonts w:hint="default" w:ascii="宋体" w:hAnsi="宋体" w:eastAsia="宋体"/>
          <w:highlight w:val="none"/>
          <w:lang w:val="en-US" w:eastAsia="zh-CN"/>
        </w:rPr>
      </w:pPr>
      <w:r>
        <w:rPr>
          <w:rFonts w:hint="eastAsia" w:ascii="宋体" w:hAnsi="宋体"/>
          <w:highlight w:val="none"/>
        </w:rPr>
        <w:t>账号：</w:t>
      </w:r>
      <w:r>
        <w:rPr>
          <w:rFonts w:ascii="宋体" w:hAnsi="宋体"/>
          <w:highlight w:val="yellow"/>
        </w:rPr>
        <w:t>125902674910108</w:t>
      </w:r>
      <w:r>
        <w:rPr>
          <w:rFonts w:hint="eastAsia" w:ascii="宋体" w:hAnsi="宋体"/>
          <w:highlight w:val="yellow"/>
        </w:rPr>
        <w:t>00009905</w:t>
      </w:r>
    </w:p>
    <w:p>
      <w:pPr>
        <w:pStyle w:val="11"/>
        <w:numPr>
          <w:ilvl w:val="0"/>
          <w:numId w:val="1"/>
        </w:numPr>
        <w:adjustRightInd w:val="0"/>
        <w:snapToGrid w:val="0"/>
        <w:spacing w:line="440" w:lineRule="exact"/>
        <w:ind w:firstLineChars="0"/>
        <w:outlineLvl w:val="1"/>
        <w:rPr>
          <w:rFonts w:ascii="宋体" w:hAnsi="宋体"/>
          <w:b/>
          <w:szCs w:val="21"/>
        </w:rPr>
      </w:pPr>
      <w:r>
        <w:rPr>
          <w:rFonts w:hint="eastAsia" w:ascii="宋体" w:hAnsi="宋体"/>
          <w:b/>
          <w:szCs w:val="21"/>
        </w:rPr>
        <w:t>投标文件的递交</w:t>
      </w:r>
    </w:p>
    <w:p>
      <w:pPr>
        <w:pStyle w:val="11"/>
        <w:numPr>
          <w:ilvl w:val="1"/>
          <w:numId w:val="1"/>
        </w:numPr>
        <w:adjustRightInd w:val="0"/>
        <w:snapToGrid w:val="0"/>
        <w:spacing w:line="440" w:lineRule="exact"/>
        <w:ind w:left="0" w:firstLine="424" w:firstLineChars="202"/>
        <w:rPr>
          <w:rFonts w:ascii="宋体" w:hAnsi="宋体"/>
          <w:szCs w:val="21"/>
          <w:highlight w:val="none"/>
        </w:rPr>
      </w:pPr>
      <w:r>
        <w:rPr>
          <w:rFonts w:hint="eastAsia" w:ascii="宋体" w:hAnsi="宋体"/>
          <w:szCs w:val="21"/>
          <w:highlight w:val="none"/>
        </w:rPr>
        <w:t>【纸质】投标文件</w:t>
      </w:r>
      <w:r>
        <w:rPr>
          <w:rFonts w:hint="eastAsia" w:ascii="宋体" w:hAnsi="宋体"/>
          <w:highlight w:val="none"/>
        </w:rPr>
        <w:t>递交截止时间</w:t>
      </w:r>
      <w:r>
        <w:rPr>
          <w:rFonts w:hint="eastAsia" w:ascii="宋体" w:hAnsi="宋体"/>
          <w:szCs w:val="21"/>
          <w:highlight w:val="none"/>
        </w:rPr>
        <w:t>（即投标截止时间）为：2023年1</w:t>
      </w:r>
      <w:r>
        <w:rPr>
          <w:rFonts w:hint="eastAsia" w:ascii="宋体" w:hAnsi="宋体"/>
          <w:szCs w:val="21"/>
          <w:highlight w:val="none"/>
          <w:lang w:val="en-US" w:eastAsia="zh-CN"/>
        </w:rPr>
        <w:t>1</w:t>
      </w:r>
      <w:r>
        <w:rPr>
          <w:rFonts w:hint="eastAsia" w:ascii="宋体" w:hAnsi="宋体"/>
          <w:szCs w:val="21"/>
          <w:highlight w:val="none"/>
        </w:rPr>
        <w:t>月</w:t>
      </w:r>
      <w:r>
        <w:rPr>
          <w:rFonts w:hint="eastAsia" w:ascii="宋体" w:hAnsi="宋体"/>
          <w:szCs w:val="21"/>
          <w:highlight w:val="none"/>
          <w:lang w:val="en-US" w:eastAsia="zh-CN"/>
        </w:rPr>
        <w:t>29</w:t>
      </w:r>
      <w:r>
        <w:rPr>
          <w:rFonts w:hint="eastAsia" w:ascii="宋体" w:hAnsi="宋体"/>
          <w:szCs w:val="21"/>
          <w:highlight w:val="none"/>
        </w:rPr>
        <w:t>日9时30分</w:t>
      </w:r>
      <w:r>
        <w:rPr>
          <w:rFonts w:hint="eastAsia" w:ascii="宋体" w:hAnsi="宋体"/>
          <w:highlight w:val="none"/>
        </w:rPr>
        <w:t>。</w:t>
      </w:r>
    </w:p>
    <w:p>
      <w:pPr>
        <w:pStyle w:val="11"/>
        <w:numPr>
          <w:ilvl w:val="1"/>
          <w:numId w:val="1"/>
        </w:numPr>
        <w:adjustRightInd w:val="0"/>
        <w:snapToGrid w:val="0"/>
        <w:spacing w:line="440" w:lineRule="exact"/>
        <w:ind w:left="0" w:firstLine="424" w:firstLineChars="202"/>
        <w:rPr>
          <w:rFonts w:ascii="宋体" w:hAnsi="宋体"/>
          <w:szCs w:val="21"/>
          <w:u w:val="single"/>
        </w:rPr>
      </w:pPr>
      <w:r>
        <w:rPr>
          <w:rFonts w:hint="eastAsia" w:ascii="宋体" w:hAnsi="宋体"/>
          <w:szCs w:val="21"/>
        </w:rPr>
        <w:t>投标文件递交地点：</w:t>
      </w:r>
      <w:r>
        <w:rPr>
          <w:rFonts w:hint="eastAsia" w:ascii="宋体" w:hAnsi="宋体"/>
          <w:szCs w:val="21"/>
          <w:u w:val="single"/>
        </w:rPr>
        <w:t>中广有线南通分公司3号楼402室（南通市崇川经济开发区中兴街道复兴路9号）</w:t>
      </w:r>
      <w:r>
        <w:rPr>
          <w:rFonts w:hint="eastAsia" w:ascii="宋体" w:hAnsi="宋体"/>
          <w:u w:val="single"/>
        </w:rPr>
        <w:t>。</w:t>
      </w:r>
    </w:p>
    <w:p>
      <w:pPr>
        <w:pStyle w:val="11"/>
        <w:numPr>
          <w:ilvl w:val="1"/>
          <w:numId w:val="1"/>
        </w:numPr>
        <w:adjustRightInd w:val="0"/>
        <w:snapToGrid w:val="0"/>
        <w:spacing w:line="440" w:lineRule="exact"/>
        <w:ind w:left="0" w:firstLine="424" w:firstLineChars="202"/>
        <w:rPr>
          <w:rFonts w:ascii="宋体" w:hAnsi="宋体"/>
          <w:szCs w:val="21"/>
        </w:rPr>
      </w:pPr>
      <w:r>
        <w:rPr>
          <w:rFonts w:hint="eastAsia" w:ascii="宋体" w:hAnsi="宋体"/>
          <w:szCs w:val="21"/>
        </w:rPr>
        <w:t>本项目将于上述同一时间、地点进行开标，</w:t>
      </w:r>
      <w:r>
        <w:rPr>
          <w:rFonts w:hint="eastAsia" w:ascii="宋体" w:hAnsi="宋体"/>
          <w:spacing w:val="2"/>
          <w:szCs w:val="21"/>
        </w:rPr>
        <w:t>招标代理机构</w:t>
      </w:r>
      <w:r>
        <w:rPr>
          <w:rFonts w:hint="eastAsia" w:ascii="宋体" w:hAnsi="宋体"/>
          <w:szCs w:val="21"/>
        </w:rPr>
        <w:t>邀请投标人的法定代表人或者其委托代理人准时参加。</w:t>
      </w:r>
    </w:p>
    <w:p>
      <w:pPr>
        <w:pStyle w:val="11"/>
        <w:numPr>
          <w:ilvl w:val="1"/>
          <w:numId w:val="1"/>
        </w:numPr>
        <w:adjustRightInd w:val="0"/>
        <w:snapToGrid w:val="0"/>
        <w:spacing w:line="440" w:lineRule="exact"/>
        <w:ind w:firstLineChars="0"/>
        <w:rPr>
          <w:rFonts w:ascii="宋体" w:hAnsi="宋体"/>
          <w:szCs w:val="21"/>
        </w:rPr>
      </w:pPr>
      <w:r>
        <w:rPr>
          <w:rFonts w:hint="eastAsia" w:ascii="宋体" w:hAnsi="宋体"/>
          <w:szCs w:val="21"/>
        </w:rPr>
        <w:t>出现以下情形之一时，</w:t>
      </w:r>
      <w:r>
        <w:rPr>
          <w:rFonts w:hint="eastAsia" w:ascii="宋体" w:hAnsi="宋体"/>
          <w:spacing w:val="2"/>
          <w:szCs w:val="21"/>
        </w:rPr>
        <w:t>招标代理机构</w:t>
      </w:r>
      <w:r>
        <w:rPr>
          <w:rFonts w:hint="eastAsia" w:ascii="宋体" w:hAnsi="宋体"/>
          <w:szCs w:val="21"/>
        </w:rPr>
        <w:t>不予接收投标文件：</w:t>
      </w:r>
    </w:p>
    <w:p>
      <w:pPr>
        <w:pStyle w:val="11"/>
        <w:adjustRightInd w:val="0"/>
        <w:snapToGrid w:val="0"/>
        <w:spacing w:line="440" w:lineRule="exact"/>
        <w:rPr>
          <w:rFonts w:ascii="宋体" w:hAnsi="宋体" w:cs="宋体"/>
          <w:kern w:val="0"/>
          <w:szCs w:val="21"/>
        </w:rPr>
      </w:pPr>
      <w:bookmarkStart w:id="16" w:name="_Toc7973517"/>
      <w:bookmarkStart w:id="17" w:name="_Toc6844083"/>
      <w:bookmarkStart w:id="18" w:name="_Toc9017239"/>
      <w:r>
        <w:rPr>
          <w:rFonts w:hint="eastAsia" w:ascii="宋体" w:hAnsi="宋体" w:cs="宋体"/>
          <w:kern w:val="0"/>
          <w:szCs w:val="21"/>
        </w:rPr>
        <w:t>5.4.1逾期送达或者未送达指定地点的；</w:t>
      </w:r>
    </w:p>
    <w:p>
      <w:pPr>
        <w:pStyle w:val="11"/>
        <w:adjustRightInd w:val="0"/>
        <w:snapToGrid w:val="0"/>
        <w:spacing w:line="440" w:lineRule="exact"/>
        <w:rPr>
          <w:rFonts w:ascii="宋体" w:hAnsi="宋体" w:cs="宋体"/>
          <w:kern w:val="0"/>
          <w:szCs w:val="21"/>
        </w:rPr>
      </w:pPr>
      <w:r>
        <w:rPr>
          <w:rFonts w:hint="eastAsia" w:ascii="宋体" w:hAnsi="宋体" w:cs="宋体"/>
          <w:kern w:val="0"/>
          <w:szCs w:val="21"/>
        </w:rPr>
        <w:t>5.4.2未按照招标文件要求密封的；</w:t>
      </w:r>
    </w:p>
    <w:p>
      <w:pPr>
        <w:pStyle w:val="11"/>
        <w:adjustRightInd w:val="0"/>
        <w:snapToGrid w:val="0"/>
        <w:spacing w:line="440" w:lineRule="exact"/>
        <w:rPr>
          <w:rFonts w:ascii="宋体" w:hAnsi="宋体" w:cs="宋体"/>
          <w:kern w:val="0"/>
          <w:szCs w:val="21"/>
        </w:rPr>
      </w:pPr>
      <w:r>
        <w:rPr>
          <w:rFonts w:hint="eastAsia" w:ascii="宋体" w:hAnsi="宋体" w:cs="宋体"/>
          <w:kern w:val="0"/>
          <w:szCs w:val="21"/>
        </w:rPr>
        <w:t>5.4.3未按照本招标公告要求获得本项目招标文件的。</w:t>
      </w:r>
    </w:p>
    <w:p>
      <w:pPr>
        <w:pStyle w:val="11"/>
        <w:numPr>
          <w:ilvl w:val="0"/>
          <w:numId w:val="1"/>
        </w:numPr>
        <w:adjustRightInd w:val="0"/>
        <w:snapToGrid w:val="0"/>
        <w:spacing w:line="440" w:lineRule="exact"/>
        <w:ind w:firstLineChars="0"/>
        <w:outlineLvl w:val="1"/>
        <w:rPr>
          <w:rFonts w:ascii="宋体" w:hAnsi="宋体"/>
          <w:b/>
          <w:szCs w:val="21"/>
        </w:rPr>
      </w:pPr>
      <w:bookmarkStart w:id="19" w:name="_Toc13205"/>
      <w:r>
        <w:rPr>
          <w:rFonts w:hint="eastAsia" w:ascii="宋体" w:hAnsi="宋体"/>
          <w:b/>
          <w:szCs w:val="21"/>
        </w:rPr>
        <w:t>样品的递交</w:t>
      </w:r>
      <w:bookmarkEnd w:id="16"/>
      <w:bookmarkEnd w:id="17"/>
      <w:bookmarkEnd w:id="18"/>
      <w:bookmarkEnd w:id="19"/>
    </w:p>
    <w:p>
      <w:pPr>
        <w:widowControl/>
        <w:numPr>
          <w:ilvl w:val="1"/>
          <w:numId w:val="1"/>
        </w:numPr>
        <w:adjustRightInd w:val="0"/>
        <w:snapToGrid w:val="0"/>
        <w:spacing w:line="440" w:lineRule="exact"/>
        <w:ind w:left="0" w:firstLine="424" w:firstLineChars="202"/>
        <w:jc w:val="left"/>
        <w:rPr>
          <w:rFonts w:ascii="宋体" w:hAnsi="宋体"/>
          <w:szCs w:val="21"/>
        </w:rPr>
      </w:pPr>
      <w:r>
        <w:rPr>
          <w:rFonts w:hint="eastAsia" w:ascii="宋体" w:hAnsi="宋体"/>
          <w:szCs w:val="21"/>
        </w:rPr>
        <w:t>样品递交的时间、地</w:t>
      </w:r>
      <w:r>
        <w:rPr>
          <w:rFonts w:hint="eastAsia" w:ascii="宋体" w:hAnsi="宋体"/>
          <w:szCs w:val="21"/>
          <w:u w:val="single"/>
        </w:rPr>
        <w:t>点：</w:t>
      </w:r>
      <w:r>
        <w:rPr>
          <w:rFonts w:hint="eastAsia" w:ascii="宋体" w:hAnsi="宋体"/>
          <w:b/>
          <w:bCs/>
          <w:szCs w:val="21"/>
          <w:u w:val="single"/>
        </w:rPr>
        <w:t xml:space="preserve"> /</w:t>
      </w:r>
      <w:r>
        <w:rPr>
          <w:rFonts w:hint="eastAsia" w:ascii="宋体" w:hAnsi="宋体"/>
          <w:szCs w:val="21"/>
        </w:rPr>
        <w:t>。</w:t>
      </w:r>
    </w:p>
    <w:p>
      <w:pPr>
        <w:pStyle w:val="11"/>
        <w:numPr>
          <w:ilvl w:val="0"/>
          <w:numId w:val="1"/>
        </w:numPr>
        <w:adjustRightInd w:val="0"/>
        <w:snapToGrid w:val="0"/>
        <w:spacing w:line="440" w:lineRule="exact"/>
        <w:ind w:firstLineChars="0"/>
        <w:outlineLvl w:val="1"/>
        <w:rPr>
          <w:rFonts w:ascii="宋体" w:hAnsi="宋体"/>
          <w:b/>
          <w:szCs w:val="21"/>
        </w:rPr>
      </w:pPr>
      <w:bookmarkStart w:id="20" w:name="_Toc7948"/>
      <w:bookmarkStart w:id="21" w:name="_Toc9017241"/>
      <w:r>
        <w:rPr>
          <w:rFonts w:hint="eastAsia" w:ascii="宋体" w:hAnsi="宋体"/>
          <w:b/>
          <w:szCs w:val="21"/>
        </w:rPr>
        <w:t>发布公告的媒介</w:t>
      </w:r>
      <w:bookmarkEnd w:id="20"/>
      <w:bookmarkEnd w:id="21"/>
    </w:p>
    <w:p>
      <w:pPr>
        <w:pStyle w:val="11"/>
        <w:adjustRightInd w:val="0"/>
        <w:snapToGrid w:val="0"/>
        <w:spacing w:line="440" w:lineRule="exact"/>
        <w:jc w:val="left"/>
        <w:rPr>
          <w:rFonts w:ascii="宋体" w:hAnsi="宋体"/>
          <w:szCs w:val="21"/>
        </w:rPr>
      </w:pPr>
      <w:r>
        <w:rPr>
          <w:rFonts w:hint="eastAsia" w:ascii="宋体" w:hAnsi="宋体"/>
          <w:szCs w:val="21"/>
        </w:rPr>
        <w:t>本招标公告在江苏有线南通分公司（www.jscnnet.com /nt/）上发布，其他媒介转载无效。</w:t>
      </w:r>
    </w:p>
    <w:p>
      <w:pPr>
        <w:pStyle w:val="11"/>
        <w:numPr>
          <w:ilvl w:val="0"/>
          <w:numId w:val="1"/>
        </w:numPr>
        <w:adjustRightInd w:val="0"/>
        <w:snapToGrid w:val="0"/>
        <w:spacing w:line="440" w:lineRule="exact"/>
        <w:ind w:firstLineChars="0"/>
        <w:outlineLvl w:val="1"/>
        <w:rPr>
          <w:rFonts w:ascii="宋体" w:hAnsi="宋体"/>
          <w:b/>
          <w:szCs w:val="21"/>
        </w:rPr>
      </w:pPr>
      <w:bookmarkStart w:id="22" w:name="_Toc9017242"/>
      <w:bookmarkStart w:id="23" w:name="_Toc29431"/>
      <w:r>
        <w:rPr>
          <w:rFonts w:hint="eastAsia" w:ascii="宋体" w:hAnsi="宋体"/>
          <w:b/>
          <w:szCs w:val="21"/>
        </w:rPr>
        <w:t>联系方式</w:t>
      </w:r>
      <w:bookmarkEnd w:id="22"/>
      <w:bookmarkEnd w:id="23"/>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招   标   人：中广有线信息网络有限公司南通分公司</w:t>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招标代理机构：中邮通建设咨询有限公司</w:t>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联   系   人：程仝</w:t>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电        话：18066029955</w:t>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电 子 邮  件：</w:t>
      </w:r>
      <w:r>
        <w:fldChar w:fldCharType="begin"/>
      </w:r>
      <w:r>
        <w:instrText xml:space="preserve"> HYPERLINK "mailto:jlchengt@163.com" </w:instrText>
      </w:r>
      <w:r>
        <w:fldChar w:fldCharType="separate"/>
      </w:r>
      <w:r>
        <w:rPr>
          <w:rStyle w:val="9"/>
          <w:rFonts w:hint="eastAsia" w:ascii="宋体" w:hAnsi="宋体"/>
          <w:szCs w:val="21"/>
        </w:rPr>
        <w:t>jlchengt@163.com</w:t>
      </w:r>
      <w:r>
        <w:rPr>
          <w:rStyle w:val="9"/>
          <w:rFonts w:hint="eastAsia" w:ascii="宋体" w:hAnsi="宋体"/>
          <w:szCs w:val="21"/>
        </w:rPr>
        <w:fldChar w:fldCharType="end"/>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地        址：南京市南祖师庵7号</w:t>
      </w:r>
    </w:p>
    <w:p>
      <w:pPr>
        <w:pStyle w:val="11"/>
        <w:adjustRightInd w:val="0"/>
        <w:snapToGrid w:val="0"/>
        <w:spacing w:line="440" w:lineRule="exact"/>
        <w:ind w:left="425" w:firstLine="0" w:firstLineChars="0"/>
        <w:jc w:val="left"/>
        <w:rPr>
          <w:rFonts w:ascii="宋体" w:hAnsi="宋体"/>
          <w:szCs w:val="21"/>
        </w:rPr>
      </w:pPr>
      <w:r>
        <w:rPr>
          <w:rFonts w:hint="eastAsia" w:ascii="宋体" w:hAnsi="宋体"/>
          <w:szCs w:val="21"/>
        </w:rPr>
        <w:t>邮        编：210003</w:t>
      </w:r>
    </w:p>
    <w:p>
      <w:pPr>
        <w:pStyle w:val="11"/>
        <w:widowControl/>
        <w:spacing w:line="360" w:lineRule="auto"/>
        <w:ind w:left="425" w:right="420" w:firstLine="0" w:firstLineChars="0"/>
        <w:jc w:val="right"/>
        <w:rPr>
          <w:rFonts w:ascii="宋体" w:hAnsi="宋体"/>
          <w:color w:val="000000"/>
          <w:szCs w:val="21"/>
        </w:rPr>
      </w:pPr>
      <w:r>
        <w:rPr>
          <w:rFonts w:hint="eastAsia" w:ascii="宋体" w:hAnsi="宋体"/>
          <w:color w:val="000000"/>
          <w:szCs w:val="21"/>
        </w:rPr>
        <w:t>招标人：中广有线信息网络有限公司南通分公司</w:t>
      </w:r>
    </w:p>
    <w:p>
      <w:pPr>
        <w:pStyle w:val="11"/>
        <w:widowControl/>
        <w:spacing w:line="360" w:lineRule="auto"/>
        <w:ind w:left="425" w:right="420" w:firstLine="0" w:firstLineChars="0"/>
        <w:jc w:val="center"/>
        <w:rPr>
          <w:rFonts w:ascii="宋体" w:hAnsi="宋体"/>
          <w:color w:val="000000"/>
          <w:szCs w:val="21"/>
        </w:rPr>
      </w:pPr>
      <w:r>
        <w:rPr>
          <w:rFonts w:hint="eastAsia" w:ascii="宋体" w:hAnsi="宋体"/>
          <w:color w:val="000000"/>
          <w:szCs w:val="21"/>
        </w:rPr>
        <w:t xml:space="preserve">                      招标代理机构：中邮通建设咨询有限公司</w:t>
      </w:r>
    </w:p>
    <w:p>
      <w:pPr>
        <w:adjustRightInd w:val="0"/>
        <w:snapToGrid w:val="0"/>
        <w:spacing w:line="440" w:lineRule="exact"/>
        <w:ind w:firstLine="3990" w:firstLineChars="1900"/>
        <w:rPr>
          <w:rFonts w:ascii="宋体" w:hAnsi="宋体"/>
          <w:szCs w:val="21"/>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szCs w:val="21"/>
        </w:rPr>
        <w:t>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val="en-US" w:eastAsia="zh-CN"/>
        </w:rPr>
        <w:t>11</w:t>
      </w:r>
      <w:r>
        <w:rPr>
          <w:rFonts w:hint="eastAsia" w:ascii="宋体" w:hAnsi="宋体"/>
          <w:szCs w:val="21"/>
        </w:rPr>
        <w:t>月</w:t>
      </w:r>
      <w:r>
        <w:rPr>
          <w:rFonts w:hint="eastAsia" w:ascii="宋体" w:hAnsi="宋体"/>
          <w:szCs w:val="21"/>
          <w:lang w:val="en-US" w:eastAsia="zh-CN"/>
        </w:rPr>
        <w:t>8</w:t>
      </w:r>
      <w:r>
        <w:rPr>
          <w:rFonts w:hint="eastAsia" w:ascii="宋体" w:hAnsi="宋体"/>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022651"/>
    </w:sdtPr>
    <w:sdtContent>
      <w:p>
        <w:pPr>
          <w:pStyle w:val="5"/>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C200DD"/>
    <w:multiLevelType w:val="multilevel"/>
    <w:tmpl w:val="35C200DD"/>
    <w:lvl w:ilvl="0" w:tentative="0">
      <w:start w:val="1"/>
      <w:numFmt w:val="decimal"/>
      <w:lvlText w:val="%1."/>
      <w:lvlJc w:val="left"/>
      <w:pPr>
        <w:ind w:left="709"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5D32087B"/>
    <w:multiLevelType w:val="multilevel"/>
    <w:tmpl w:val="5D32087B"/>
    <w:lvl w:ilvl="0" w:tentative="0">
      <w:start w:val="1"/>
      <w:numFmt w:val="decimal"/>
      <w:lvlText w:val="（%1）"/>
      <w:lvlJc w:val="left"/>
      <w:pPr>
        <w:tabs>
          <w:tab w:val="left" w:pos="1142"/>
        </w:tabs>
        <w:ind w:left="1142"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8D603AC"/>
    <w:multiLevelType w:val="multilevel"/>
    <w:tmpl w:val="78D603AC"/>
    <w:lvl w:ilvl="0" w:tentative="0">
      <w:start w:val="4"/>
      <w:numFmt w:val="decimal"/>
      <w:lvlText w:val="%1."/>
      <w:lvlJc w:val="left"/>
      <w:pPr>
        <w:ind w:left="1135" w:hanging="425"/>
      </w:pPr>
      <w:rPr>
        <w:rFonts w:hint="eastAsia"/>
      </w:rPr>
    </w:lvl>
    <w:lvl w:ilvl="1" w:tentative="0">
      <w:start w:val="1"/>
      <w:numFmt w:val="decimal"/>
      <w:lvlText w:val="%1.%2"/>
      <w:lvlJc w:val="left"/>
      <w:pPr>
        <w:ind w:left="1702" w:hanging="567"/>
      </w:pPr>
      <w:rPr>
        <w:rFonts w:hint="eastAsia"/>
      </w:rPr>
    </w:lvl>
    <w:lvl w:ilvl="2" w:tentative="0">
      <w:start w:val="1"/>
      <w:numFmt w:val="decimal"/>
      <w:lvlText w:val="%1.%2.%3"/>
      <w:lvlJc w:val="left"/>
      <w:pPr>
        <w:ind w:left="2128" w:hanging="567"/>
      </w:pPr>
      <w:rPr>
        <w:rFonts w:hint="eastAsia" w:eastAsia="宋体" w:asciiTheme="minorEastAsia" w:hAnsiTheme="minorEastAsia"/>
      </w:rPr>
    </w:lvl>
    <w:lvl w:ilvl="3" w:tentative="0">
      <w:start w:val="1"/>
      <w:numFmt w:val="decimal"/>
      <w:lvlText w:val="%1.%2.%3.%4"/>
      <w:lvlJc w:val="left"/>
      <w:pPr>
        <w:ind w:left="2694" w:hanging="708"/>
      </w:pPr>
      <w:rPr>
        <w:rFonts w:hint="eastAsia"/>
      </w:rPr>
    </w:lvl>
    <w:lvl w:ilvl="4" w:tentative="0">
      <w:start w:val="1"/>
      <w:numFmt w:val="decimal"/>
      <w:lvlText w:val="%1.%2.%3.%4.%5"/>
      <w:lvlJc w:val="left"/>
      <w:pPr>
        <w:ind w:left="3261" w:hanging="850"/>
      </w:pPr>
      <w:rPr>
        <w:rFonts w:hint="eastAsia"/>
      </w:rPr>
    </w:lvl>
    <w:lvl w:ilvl="5" w:tentative="0">
      <w:start w:val="1"/>
      <w:numFmt w:val="decimal"/>
      <w:lvlText w:val="%1.%2.%3.%4.%5.%6"/>
      <w:lvlJc w:val="left"/>
      <w:pPr>
        <w:ind w:left="3970" w:hanging="1134"/>
      </w:pPr>
      <w:rPr>
        <w:rFonts w:hint="eastAsia"/>
      </w:rPr>
    </w:lvl>
    <w:lvl w:ilvl="6" w:tentative="0">
      <w:start w:val="1"/>
      <w:numFmt w:val="decimal"/>
      <w:lvlText w:val="%1.%2.%3.%4.%5.%6.%7"/>
      <w:lvlJc w:val="left"/>
      <w:pPr>
        <w:ind w:left="4537" w:hanging="1276"/>
      </w:pPr>
      <w:rPr>
        <w:rFonts w:hint="eastAsia"/>
      </w:rPr>
    </w:lvl>
    <w:lvl w:ilvl="7" w:tentative="0">
      <w:start w:val="1"/>
      <w:numFmt w:val="decimal"/>
      <w:lvlText w:val="%1.%2.%3.%4.%5.%6.%7.%8"/>
      <w:lvlJc w:val="left"/>
      <w:pPr>
        <w:ind w:left="5104" w:hanging="1418"/>
      </w:pPr>
      <w:rPr>
        <w:rFonts w:hint="eastAsia"/>
      </w:rPr>
    </w:lvl>
    <w:lvl w:ilvl="8" w:tentative="0">
      <w:start w:val="1"/>
      <w:numFmt w:val="decimal"/>
      <w:lvlText w:val="%1.%2.%3.%4.%5.%6.%7.%8.%9"/>
      <w:lvlJc w:val="left"/>
      <w:pPr>
        <w:ind w:left="581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0YjA2ZWVmMmFlZDM3NDk3Y2U4Y2Y1NjIzMjYyMTAifQ=="/>
  </w:docVars>
  <w:rsids>
    <w:rsidRoot w:val="2B902876"/>
    <w:rsid w:val="20FD3DA9"/>
    <w:rsid w:val="29F72C09"/>
    <w:rsid w:val="2B902876"/>
    <w:rsid w:val="2BB312C0"/>
    <w:rsid w:val="36542451"/>
    <w:rsid w:val="40490DDD"/>
    <w:rsid w:val="5F3E34B3"/>
    <w:rsid w:val="68143995"/>
    <w:rsid w:val="7540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styleId="4">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5">
    <w:name w:val="footer"/>
    <w:basedOn w:val="1"/>
    <w:unhideWhenUsed/>
    <w:qFormat/>
    <w:uiPriority w:val="0"/>
    <w:pPr>
      <w:tabs>
        <w:tab w:val="center" w:pos="4153"/>
        <w:tab w:val="right" w:pos="8306"/>
      </w:tabs>
      <w:snapToGrid w:val="0"/>
      <w:jc w:val="left"/>
    </w:pPr>
    <w:rPr>
      <w:sz w:val="18"/>
      <w:szCs w:val="18"/>
    </w:rPr>
  </w:style>
  <w:style w:type="paragraph" w:styleId="6">
    <w:name w:val="Body Text Indent 3"/>
    <w:basedOn w:val="1"/>
    <w:next w:val="4"/>
    <w:qFormat/>
    <w:uiPriority w:val="0"/>
    <w:pPr>
      <w:spacing w:after="120" w:line="360" w:lineRule="atLeast"/>
      <w:ind w:firstLine="720" w:firstLineChars="300"/>
    </w:pPr>
    <w:rPr>
      <w:sz w:val="24"/>
      <w:szCs w:val="20"/>
    </w:rPr>
  </w:style>
  <w:style w:type="character" w:styleId="9">
    <w:name w:val="Hyperlink"/>
    <w:qFormat/>
    <w:uiPriority w:val="99"/>
    <w:rPr>
      <w:color w:val="0000FF"/>
      <w:u w:val="single"/>
    </w:rPr>
  </w:style>
  <w:style w:type="paragraph" w:customStyle="1" w:styleId="10">
    <w:name w:val="bt1bt1"/>
    <w:basedOn w:val="3"/>
    <w:qFormat/>
    <w:uiPriority w:val="0"/>
    <w:pPr>
      <w:spacing w:line="240" w:lineRule="auto"/>
      <w:jc w:val="center"/>
    </w:pPr>
    <w:rPr>
      <w:rFonts w:ascii="黑体" w:eastAsia="黑体"/>
      <w:b w:val="0"/>
      <w:sz w:val="36"/>
      <w:szCs w:val="36"/>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2023-11-08T03:27:00Z</dcterms:created>
  <dc:creator>望劲若峰</dc:creator>
  <cp:lastModifiedBy>望劲若峰</cp:lastModifiedBy>
  <dcterms:modified xsi:type="dcterms:W3CDTF">2023-11-08T03:27:30Z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C018BA9499ED4A8CA520DC8FA2473416_11</vt:lpwstr>
  </property>
</Properties>
</file>