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sz w:val="44"/>
          <w:szCs w:val="44"/>
        </w:rPr>
      </w:pPr>
      <w:r>
        <w:rPr>
          <w:rFonts w:hint="eastAsia" w:ascii="仿宋" w:hAnsi="仿宋" w:eastAsia="仿宋" w:cs="仿宋_GB2312"/>
          <w:b/>
          <w:sz w:val="44"/>
          <w:szCs w:val="44"/>
        </w:rPr>
        <w:t>江苏有线如东分公司</w:t>
      </w:r>
      <w:r>
        <w:rPr>
          <w:rFonts w:hint="eastAsia" w:ascii="仿宋" w:hAnsi="仿宋" w:eastAsia="仿宋" w:cs="仿宋_GB2312"/>
          <w:b/>
          <w:sz w:val="44"/>
          <w:szCs w:val="44"/>
          <w:lang w:val="en-US" w:eastAsia="zh-CN"/>
        </w:rPr>
        <w:t>如东县马塘镇许楼村会议室多媒体系统安装项目</w:t>
      </w:r>
      <w:r>
        <w:rPr>
          <w:rFonts w:hint="eastAsia" w:ascii="仿宋" w:hAnsi="仿宋" w:eastAsia="仿宋" w:cs="仿宋_GB2312"/>
          <w:b/>
          <w:sz w:val="44"/>
          <w:szCs w:val="44"/>
        </w:rPr>
        <w:t>招标公告</w:t>
      </w:r>
    </w:p>
    <w:p>
      <w:pPr>
        <w:ind w:firstLine="482" w:firstLineChars="200"/>
        <w:rPr>
          <w:rFonts w:hint="eastAsia" w:ascii="宋体" w:hAnsi="宋体" w:eastAsia="宋体" w:cs="宋体"/>
          <w:sz w:val="24"/>
          <w:szCs w:val="24"/>
        </w:rPr>
      </w:pPr>
      <w:r>
        <w:rPr>
          <w:rFonts w:hint="eastAsia" w:ascii="宋体" w:hAnsi="宋体" w:eastAsia="宋体" w:cs="宋体"/>
          <w:b/>
          <w:bCs/>
          <w:sz w:val="24"/>
          <w:szCs w:val="24"/>
        </w:rPr>
        <w:t>我公司采购以下项目</w:t>
      </w:r>
      <w:r>
        <w:rPr>
          <w:rFonts w:hint="eastAsia" w:ascii="宋体" w:hAnsi="宋体" w:eastAsia="宋体" w:cs="宋体"/>
          <w:sz w:val="24"/>
          <w:szCs w:val="24"/>
        </w:rPr>
        <w:t>：</w:t>
      </w:r>
    </w:p>
    <w:p>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1.采购人：</w:t>
      </w:r>
      <w:r>
        <w:rPr>
          <w:rFonts w:hint="eastAsia" w:ascii="宋体" w:hAnsi="宋体" w:eastAsia="宋体" w:cs="宋体"/>
          <w:b/>
          <w:bCs/>
          <w:sz w:val="24"/>
          <w:szCs w:val="24"/>
          <w:lang w:eastAsia="zh-CN"/>
        </w:rPr>
        <w:t>江苏有线网络发展有限责任公司如东分公司</w:t>
      </w:r>
    </w:p>
    <w:p>
      <w:pPr>
        <w:spacing w:line="48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2.采购项目名称：</w:t>
      </w:r>
      <w:r>
        <w:rPr>
          <w:rFonts w:hint="eastAsia" w:ascii="宋体" w:hAnsi="宋体" w:cs="宋体"/>
          <w:b/>
          <w:bCs/>
          <w:sz w:val="24"/>
          <w:szCs w:val="24"/>
          <w:lang w:val="en-US" w:eastAsia="zh-CN"/>
        </w:rPr>
        <w:t>如东县马塘镇许楼村会议室多媒体系统安装项目</w:t>
      </w:r>
    </w:p>
    <w:p>
      <w:pPr>
        <w:spacing w:line="480" w:lineRule="exact"/>
        <w:ind w:firstLine="482" w:firstLineChars="200"/>
        <w:rPr>
          <w:rFonts w:hint="eastAsia" w:ascii="宋体" w:hAnsi="宋体" w:eastAsia="宋体" w:cs="宋体"/>
          <w:b w:val="0"/>
          <w:bCs w:val="0"/>
          <w:sz w:val="24"/>
          <w:szCs w:val="24"/>
        </w:rPr>
      </w:pPr>
      <w:r>
        <w:rPr>
          <w:rFonts w:hint="eastAsia" w:ascii="宋体" w:hAnsi="宋体" w:eastAsia="宋体" w:cs="宋体"/>
          <w:b/>
          <w:bCs/>
          <w:sz w:val="24"/>
          <w:szCs w:val="24"/>
        </w:rPr>
        <w:t>3.采购项目内容</w:t>
      </w:r>
      <w:r>
        <w:rPr>
          <w:rFonts w:hint="eastAsia" w:ascii="宋体" w:hAnsi="宋体" w:eastAsia="宋体" w:cs="宋体"/>
          <w:b w:val="0"/>
          <w:bCs w:val="0"/>
          <w:sz w:val="24"/>
          <w:szCs w:val="24"/>
        </w:rPr>
        <w:t xml:space="preserve">：详见清单 </w:t>
      </w:r>
    </w:p>
    <w:p>
      <w:pPr>
        <w:spacing w:line="480" w:lineRule="exact"/>
        <w:ind w:firstLine="482" w:firstLineChars="200"/>
        <w:rPr>
          <w:rFonts w:hint="eastAsia" w:ascii="宋体" w:hAnsi="宋体" w:eastAsia="宋体" w:cs="宋体"/>
          <w:b w:val="0"/>
          <w:bCs w:val="0"/>
          <w:sz w:val="24"/>
          <w:szCs w:val="24"/>
        </w:rPr>
      </w:pPr>
      <w:r>
        <w:rPr>
          <w:rFonts w:hint="eastAsia" w:ascii="宋体" w:hAnsi="宋体" w:eastAsia="宋体" w:cs="宋体"/>
          <w:b/>
          <w:bCs/>
          <w:sz w:val="24"/>
          <w:szCs w:val="24"/>
        </w:rPr>
        <w:t>4.采购方式</w:t>
      </w:r>
      <w:r>
        <w:rPr>
          <w:rFonts w:hint="eastAsia" w:ascii="宋体" w:hAnsi="宋体" w:eastAsia="宋体" w:cs="宋体"/>
          <w:b w:val="0"/>
          <w:bCs w:val="0"/>
          <w:sz w:val="24"/>
          <w:szCs w:val="24"/>
        </w:rPr>
        <w:t>：</w:t>
      </w:r>
      <w:r>
        <w:rPr>
          <w:rFonts w:hint="eastAsia" w:ascii="宋体" w:hAnsi="宋体" w:cs="宋体"/>
          <w:b/>
          <w:bCs/>
          <w:sz w:val="24"/>
          <w:szCs w:val="24"/>
          <w:lang w:val="en-US" w:eastAsia="zh-CN"/>
        </w:rPr>
        <w:t>公开招标</w:t>
      </w:r>
    </w:p>
    <w:p>
      <w:pPr>
        <w:spacing w:line="480" w:lineRule="exact"/>
        <w:ind w:firstLine="482" w:firstLineChars="200"/>
        <w:rPr>
          <w:rFonts w:hint="eastAsia" w:ascii="宋体" w:hAnsi="宋体" w:eastAsia="宋体" w:cs="宋体"/>
          <w:b/>
          <w:sz w:val="24"/>
          <w:szCs w:val="24"/>
        </w:rPr>
      </w:pPr>
      <w:r>
        <w:rPr>
          <w:rFonts w:hint="eastAsia" w:ascii="宋体" w:hAnsi="宋体" w:eastAsia="宋体" w:cs="宋体"/>
          <w:b/>
          <w:bCs/>
          <w:sz w:val="24"/>
          <w:szCs w:val="24"/>
        </w:rPr>
        <w:t>5.应标供应商资格要求（必须同时符合以下条件）</w:t>
      </w:r>
      <w:r>
        <w:rPr>
          <w:rFonts w:hint="eastAsia" w:ascii="宋体" w:hAnsi="宋体" w:eastAsia="宋体" w:cs="宋体"/>
          <w:b w:val="0"/>
          <w:bCs w:val="0"/>
          <w:sz w:val="24"/>
          <w:szCs w:val="24"/>
        </w:rPr>
        <w:t>：</w:t>
      </w:r>
    </w:p>
    <w:p>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为</w:t>
      </w:r>
      <w:r>
        <w:rPr>
          <w:rFonts w:hint="eastAsia" w:ascii="宋体" w:hAnsi="宋体" w:eastAsia="宋体" w:cs="宋体"/>
          <w:color w:val="auto"/>
          <w:sz w:val="24"/>
          <w:szCs w:val="24"/>
          <w:lang w:val="en-US" w:eastAsia="zh-CN"/>
        </w:rPr>
        <w:t>保证服务质量</w:t>
      </w:r>
      <w:r>
        <w:rPr>
          <w:rFonts w:hint="eastAsia" w:ascii="宋体" w:hAnsi="宋体" w:eastAsia="宋体" w:cs="宋体"/>
          <w:color w:val="auto"/>
          <w:sz w:val="24"/>
          <w:szCs w:val="24"/>
          <w:lang w:eastAsia="zh-CN"/>
        </w:rPr>
        <w:t>及售后</w:t>
      </w:r>
      <w:r>
        <w:rPr>
          <w:rFonts w:hint="eastAsia" w:ascii="宋体" w:hAnsi="宋体" w:eastAsia="宋体" w:cs="宋体"/>
          <w:color w:val="auto"/>
          <w:sz w:val="24"/>
          <w:szCs w:val="24"/>
          <w:lang w:val="en-US" w:eastAsia="zh-CN"/>
        </w:rPr>
        <w:t>响应时效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w:t>
      </w:r>
      <w:r>
        <w:rPr>
          <w:rFonts w:hint="eastAsia" w:ascii="宋体" w:hAnsi="宋体" w:eastAsia="宋体" w:cs="宋体"/>
          <w:color w:val="auto"/>
          <w:sz w:val="24"/>
          <w:szCs w:val="24"/>
          <w:lang w:val="en-US" w:eastAsia="zh-CN"/>
        </w:rPr>
        <w:t>企业</w:t>
      </w:r>
      <w:r>
        <w:rPr>
          <w:rFonts w:hint="eastAsia" w:ascii="宋体" w:hAnsi="宋体" w:eastAsia="宋体" w:cs="宋体"/>
          <w:color w:val="auto"/>
          <w:sz w:val="24"/>
          <w:szCs w:val="24"/>
        </w:rPr>
        <w:t>必须</w:t>
      </w:r>
      <w:r>
        <w:rPr>
          <w:rFonts w:hint="eastAsia" w:ascii="宋体" w:hAnsi="宋体" w:eastAsia="宋体" w:cs="宋体"/>
          <w:color w:val="auto"/>
          <w:sz w:val="24"/>
          <w:szCs w:val="24"/>
          <w:lang w:eastAsia="zh-CN"/>
        </w:rPr>
        <w:t>注册地位于江苏省南通市境内</w:t>
      </w:r>
      <w:r>
        <w:rPr>
          <w:rFonts w:hint="eastAsia" w:ascii="宋体" w:hAnsi="宋体" w:eastAsia="宋体" w:cs="宋体"/>
          <w:color w:val="auto"/>
          <w:sz w:val="24"/>
          <w:szCs w:val="24"/>
        </w:rPr>
        <w:t>；</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）符合《中华人民共和国政府采购法》第22条规定；</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投标人必须是中国境内注册的独立法人，具有独立承担民事责任的能力</w:t>
      </w:r>
      <w:r>
        <w:rPr>
          <w:rFonts w:hint="eastAsia" w:ascii="宋体" w:hAnsi="宋体" w:eastAsia="宋体" w:cs="宋体"/>
          <w:sz w:val="24"/>
          <w:szCs w:val="24"/>
        </w:rPr>
        <w:t>；</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）本项目不接受联合体参与投标。</w:t>
      </w:r>
    </w:p>
    <w:p>
      <w:pPr>
        <w:spacing w:line="48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6.其他资格要求</w:t>
      </w:r>
    </w:p>
    <w:p>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未被“信用中国”网站（www.creditchina.gov.cn）列入失信被执行人、重大税收违法案件当事人名单、政府采购严重失信行为记录名单，近三年内无行政处罚及其他失信行为。</w:t>
      </w:r>
    </w:p>
    <w:p>
      <w:pPr>
        <w:spacing w:line="480" w:lineRule="exact"/>
        <w:ind w:firstLine="482" w:firstLineChars="200"/>
        <w:rPr>
          <w:rFonts w:hint="eastAsia" w:ascii="宋体" w:hAnsi="宋体" w:eastAsia="宋体" w:cs="宋体"/>
          <w:b w:val="0"/>
          <w:bCs/>
          <w:sz w:val="24"/>
          <w:szCs w:val="24"/>
        </w:rPr>
      </w:pPr>
      <w:r>
        <w:rPr>
          <w:rFonts w:hint="eastAsia" w:ascii="宋体" w:hAnsi="宋体" w:eastAsia="宋体" w:cs="宋体"/>
          <w:b/>
          <w:bCs w:val="0"/>
          <w:sz w:val="24"/>
          <w:szCs w:val="24"/>
          <w:lang w:val="en-US" w:eastAsia="zh-CN"/>
        </w:rPr>
        <w:t>7.</w:t>
      </w:r>
      <w:r>
        <w:rPr>
          <w:rFonts w:hint="eastAsia" w:ascii="宋体" w:hAnsi="宋体" w:eastAsia="宋体" w:cs="宋体"/>
          <w:b/>
          <w:bCs w:val="0"/>
          <w:sz w:val="24"/>
          <w:szCs w:val="24"/>
        </w:rPr>
        <w:t>获取采购文件</w:t>
      </w:r>
    </w:p>
    <w:p>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时间：</w:t>
      </w:r>
      <w:r>
        <w:rPr>
          <w:rFonts w:hint="eastAsia" w:ascii="宋体" w:hAnsi="宋体" w:eastAsia="宋体" w:cs="宋体"/>
          <w:b w:val="0"/>
          <w:bCs/>
          <w:color w:val="FF0000"/>
          <w:sz w:val="24"/>
          <w:szCs w:val="24"/>
        </w:rPr>
        <w:t>202</w:t>
      </w:r>
      <w:r>
        <w:rPr>
          <w:rFonts w:hint="eastAsia" w:ascii="宋体" w:hAnsi="宋体" w:cs="宋体"/>
          <w:b w:val="0"/>
          <w:bCs/>
          <w:color w:val="FF0000"/>
          <w:sz w:val="24"/>
          <w:szCs w:val="24"/>
          <w:lang w:val="en-US" w:eastAsia="zh-CN"/>
        </w:rPr>
        <w:t>4</w:t>
      </w:r>
      <w:r>
        <w:rPr>
          <w:rFonts w:hint="eastAsia" w:ascii="宋体" w:hAnsi="宋体" w:eastAsia="宋体" w:cs="宋体"/>
          <w:b w:val="0"/>
          <w:bCs/>
          <w:color w:val="FF0000"/>
          <w:sz w:val="24"/>
          <w:szCs w:val="24"/>
        </w:rPr>
        <w:t>年</w:t>
      </w:r>
      <w:r>
        <w:rPr>
          <w:rFonts w:hint="eastAsia" w:ascii="宋体" w:hAnsi="宋体" w:cs="宋体"/>
          <w:b w:val="0"/>
          <w:bCs/>
          <w:color w:val="FF0000"/>
          <w:sz w:val="24"/>
          <w:szCs w:val="24"/>
          <w:lang w:val="en-US" w:eastAsia="zh-CN"/>
        </w:rPr>
        <w:t>1</w:t>
      </w:r>
      <w:r>
        <w:rPr>
          <w:rFonts w:hint="eastAsia" w:ascii="宋体" w:hAnsi="宋体" w:eastAsia="宋体" w:cs="宋体"/>
          <w:b w:val="0"/>
          <w:bCs/>
          <w:color w:val="FF0000"/>
          <w:sz w:val="24"/>
          <w:szCs w:val="24"/>
        </w:rPr>
        <w:t>月</w:t>
      </w:r>
      <w:r>
        <w:rPr>
          <w:rFonts w:hint="eastAsia" w:ascii="宋体" w:hAnsi="宋体" w:cs="宋体"/>
          <w:b w:val="0"/>
          <w:bCs/>
          <w:color w:val="FF0000"/>
          <w:sz w:val="24"/>
          <w:szCs w:val="24"/>
          <w:lang w:val="en-US" w:eastAsia="zh-CN"/>
        </w:rPr>
        <w:t>11</w:t>
      </w:r>
      <w:r>
        <w:rPr>
          <w:rFonts w:hint="eastAsia" w:ascii="宋体" w:hAnsi="宋体" w:eastAsia="宋体" w:cs="宋体"/>
          <w:b w:val="0"/>
          <w:bCs/>
          <w:color w:val="FF0000"/>
          <w:sz w:val="24"/>
          <w:szCs w:val="24"/>
        </w:rPr>
        <w:t>日至202</w:t>
      </w:r>
      <w:r>
        <w:rPr>
          <w:rFonts w:hint="eastAsia" w:ascii="宋体" w:hAnsi="宋体" w:cs="宋体"/>
          <w:b w:val="0"/>
          <w:bCs/>
          <w:color w:val="FF0000"/>
          <w:sz w:val="24"/>
          <w:szCs w:val="24"/>
          <w:lang w:val="en-US" w:eastAsia="zh-CN"/>
        </w:rPr>
        <w:t>4</w:t>
      </w:r>
      <w:r>
        <w:rPr>
          <w:rFonts w:hint="eastAsia" w:ascii="宋体" w:hAnsi="宋体" w:eastAsia="宋体" w:cs="宋体"/>
          <w:b w:val="0"/>
          <w:bCs/>
          <w:color w:val="FF0000"/>
          <w:sz w:val="24"/>
          <w:szCs w:val="24"/>
        </w:rPr>
        <w:t>年</w:t>
      </w:r>
      <w:r>
        <w:rPr>
          <w:rFonts w:hint="eastAsia" w:ascii="宋体" w:hAnsi="宋体" w:cs="宋体"/>
          <w:b w:val="0"/>
          <w:bCs/>
          <w:color w:val="FF0000"/>
          <w:sz w:val="24"/>
          <w:szCs w:val="24"/>
          <w:lang w:val="en-US" w:eastAsia="zh-CN"/>
        </w:rPr>
        <w:t>1</w:t>
      </w:r>
      <w:r>
        <w:rPr>
          <w:rFonts w:hint="eastAsia" w:ascii="宋体" w:hAnsi="宋体" w:eastAsia="宋体" w:cs="宋体"/>
          <w:b w:val="0"/>
          <w:bCs/>
          <w:color w:val="FF0000"/>
          <w:sz w:val="24"/>
          <w:szCs w:val="24"/>
        </w:rPr>
        <w:t>月</w:t>
      </w:r>
      <w:r>
        <w:rPr>
          <w:rFonts w:hint="eastAsia" w:ascii="宋体" w:hAnsi="宋体" w:cs="宋体"/>
          <w:b w:val="0"/>
          <w:bCs/>
          <w:color w:val="FF0000"/>
          <w:sz w:val="24"/>
          <w:szCs w:val="24"/>
          <w:lang w:val="en-US" w:eastAsia="zh-CN"/>
        </w:rPr>
        <w:t>21</w:t>
      </w:r>
      <w:r>
        <w:rPr>
          <w:rFonts w:hint="eastAsia" w:ascii="宋体" w:hAnsi="宋体" w:eastAsia="宋体" w:cs="宋体"/>
          <w:b w:val="0"/>
          <w:bCs/>
          <w:color w:val="FF0000"/>
          <w:sz w:val="24"/>
          <w:szCs w:val="24"/>
        </w:rPr>
        <w:t>日</w:t>
      </w:r>
    </w:p>
    <w:p>
      <w:pPr>
        <w:spacing w:line="480" w:lineRule="exact"/>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地点：</w:t>
      </w:r>
      <w:r>
        <w:rPr>
          <w:rFonts w:hint="eastAsia" w:ascii="宋体" w:hAnsi="宋体" w:eastAsia="宋体" w:cs="宋体"/>
          <w:b w:val="0"/>
          <w:bCs/>
          <w:sz w:val="24"/>
          <w:szCs w:val="24"/>
          <w:lang w:eastAsia="zh-CN"/>
        </w:rPr>
        <w:t>江苏有线如东分公司十楼</w:t>
      </w:r>
    </w:p>
    <w:p>
      <w:pPr>
        <w:spacing w:line="480" w:lineRule="exact"/>
        <w:ind w:firstLine="480" w:firstLineChars="200"/>
        <w:rPr>
          <w:rFonts w:hint="eastAsia" w:ascii="宋体" w:hAnsi="宋体" w:eastAsia="宋体" w:cs="宋体"/>
          <w:b/>
          <w:color w:val="FF0000"/>
          <w:sz w:val="24"/>
          <w:szCs w:val="24"/>
        </w:rPr>
      </w:pPr>
      <w:r>
        <w:rPr>
          <w:rFonts w:hint="eastAsia" w:ascii="宋体" w:hAnsi="宋体" w:eastAsia="宋体" w:cs="宋体"/>
          <w:b w:val="0"/>
          <w:bCs/>
          <w:sz w:val="24"/>
          <w:szCs w:val="24"/>
        </w:rPr>
        <w:t>本工程资料费</w:t>
      </w:r>
      <w:r>
        <w:rPr>
          <w:rFonts w:hint="eastAsia" w:ascii="宋体" w:hAnsi="宋体" w:cs="宋体"/>
          <w:b w:val="0"/>
          <w:bCs/>
          <w:sz w:val="24"/>
          <w:szCs w:val="24"/>
          <w:lang w:val="en-US" w:eastAsia="zh-CN"/>
        </w:rPr>
        <w:t>1</w:t>
      </w:r>
      <w:r>
        <w:rPr>
          <w:rFonts w:hint="eastAsia" w:ascii="宋体" w:hAnsi="宋体" w:eastAsia="宋体" w:cs="宋体"/>
          <w:b w:val="0"/>
          <w:bCs/>
          <w:sz w:val="24"/>
          <w:szCs w:val="24"/>
        </w:rPr>
        <w:t>00元/套，无论中标与否，不予退还。</w:t>
      </w:r>
    </w:p>
    <w:p>
      <w:pPr>
        <w:spacing w:line="480" w:lineRule="exact"/>
        <w:ind w:firstLine="482" w:firstLineChars="20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8.报名需携带的资料：</w:t>
      </w:r>
    </w:p>
    <w:p>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（1）企业法人营业执照复印件（加盖投标人公章）；</w:t>
      </w:r>
    </w:p>
    <w:p>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（2）法定代表人授权书原件（</w:t>
      </w:r>
      <w:r>
        <w:rPr>
          <w:rFonts w:hint="eastAsia" w:ascii="宋体" w:hAnsi="宋体" w:cs="宋体"/>
          <w:b w:val="0"/>
          <w:bCs/>
          <w:sz w:val="24"/>
          <w:szCs w:val="24"/>
          <w:lang w:val="en-US" w:eastAsia="zh-CN"/>
        </w:rPr>
        <w:t>格式自拟</w:t>
      </w:r>
      <w:r>
        <w:rPr>
          <w:rFonts w:hint="eastAsia" w:ascii="宋体" w:hAnsi="宋体" w:eastAsia="宋体" w:cs="宋体"/>
          <w:b w:val="0"/>
          <w:bCs/>
          <w:sz w:val="24"/>
          <w:szCs w:val="24"/>
        </w:rPr>
        <w:t>）（加盖投标人公章）；</w:t>
      </w:r>
    </w:p>
    <w:p>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供应商报名截止时间：</w:t>
      </w:r>
      <w:r>
        <w:rPr>
          <w:rFonts w:hint="eastAsia" w:ascii="宋体" w:hAnsi="宋体" w:eastAsia="宋体" w:cs="宋体"/>
          <w:b w:val="0"/>
          <w:bCs/>
          <w:color w:val="FF0000"/>
          <w:sz w:val="24"/>
          <w:szCs w:val="24"/>
        </w:rPr>
        <w:t>202</w:t>
      </w:r>
      <w:r>
        <w:rPr>
          <w:rFonts w:hint="eastAsia" w:ascii="宋体" w:hAnsi="宋体" w:cs="宋体"/>
          <w:b w:val="0"/>
          <w:bCs/>
          <w:color w:val="FF0000"/>
          <w:sz w:val="24"/>
          <w:szCs w:val="24"/>
          <w:lang w:val="en-US" w:eastAsia="zh-CN"/>
        </w:rPr>
        <w:t>4</w:t>
      </w:r>
      <w:r>
        <w:rPr>
          <w:rFonts w:hint="eastAsia" w:ascii="宋体" w:hAnsi="宋体" w:eastAsia="宋体" w:cs="宋体"/>
          <w:b w:val="0"/>
          <w:bCs/>
          <w:color w:val="FF0000"/>
          <w:sz w:val="24"/>
          <w:szCs w:val="24"/>
        </w:rPr>
        <w:t>年</w:t>
      </w:r>
      <w:r>
        <w:rPr>
          <w:rFonts w:hint="eastAsia" w:ascii="宋体" w:hAnsi="宋体" w:cs="宋体"/>
          <w:b w:val="0"/>
          <w:bCs/>
          <w:color w:val="FF0000"/>
          <w:sz w:val="24"/>
          <w:szCs w:val="24"/>
          <w:lang w:val="en-US" w:eastAsia="zh-CN"/>
        </w:rPr>
        <w:t>1</w:t>
      </w:r>
      <w:r>
        <w:rPr>
          <w:rFonts w:hint="eastAsia" w:ascii="宋体" w:hAnsi="宋体" w:eastAsia="宋体" w:cs="宋体"/>
          <w:b w:val="0"/>
          <w:bCs/>
          <w:color w:val="FF0000"/>
          <w:sz w:val="24"/>
          <w:szCs w:val="24"/>
        </w:rPr>
        <w:t>月</w:t>
      </w:r>
      <w:r>
        <w:rPr>
          <w:rFonts w:hint="eastAsia" w:ascii="宋体" w:hAnsi="宋体" w:cs="宋体"/>
          <w:b w:val="0"/>
          <w:bCs/>
          <w:color w:val="FF0000"/>
          <w:sz w:val="24"/>
          <w:szCs w:val="24"/>
          <w:lang w:val="en-US" w:eastAsia="zh-CN"/>
        </w:rPr>
        <w:t>21</w:t>
      </w:r>
      <w:r>
        <w:rPr>
          <w:rFonts w:hint="eastAsia" w:ascii="宋体" w:hAnsi="宋体" w:eastAsia="宋体" w:cs="宋体"/>
          <w:b w:val="0"/>
          <w:bCs/>
          <w:color w:val="FF0000"/>
          <w:sz w:val="24"/>
          <w:szCs w:val="24"/>
        </w:rPr>
        <w:t>日下午1</w:t>
      </w:r>
      <w:r>
        <w:rPr>
          <w:rFonts w:hint="eastAsia" w:ascii="宋体" w:hAnsi="宋体" w:eastAsia="宋体" w:cs="宋体"/>
          <w:b w:val="0"/>
          <w:bCs/>
          <w:color w:val="FF0000"/>
          <w:sz w:val="24"/>
          <w:szCs w:val="24"/>
          <w:lang w:val="en-US" w:eastAsia="zh-CN"/>
        </w:rPr>
        <w:t>7</w:t>
      </w:r>
      <w:r>
        <w:rPr>
          <w:rFonts w:hint="eastAsia" w:ascii="宋体" w:hAnsi="宋体" w:eastAsia="宋体" w:cs="宋体"/>
          <w:b w:val="0"/>
          <w:bCs/>
          <w:color w:val="FF0000"/>
          <w:sz w:val="24"/>
          <w:szCs w:val="24"/>
        </w:rPr>
        <w:t>:00</w:t>
      </w:r>
    </w:p>
    <w:p>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供应商投标截止时间：</w:t>
      </w:r>
      <w:r>
        <w:rPr>
          <w:rFonts w:hint="eastAsia" w:ascii="宋体" w:hAnsi="宋体" w:eastAsia="宋体" w:cs="宋体"/>
          <w:b w:val="0"/>
          <w:bCs/>
          <w:color w:val="FF0000"/>
          <w:sz w:val="24"/>
          <w:szCs w:val="24"/>
        </w:rPr>
        <w:t>202</w:t>
      </w:r>
      <w:r>
        <w:rPr>
          <w:rFonts w:hint="eastAsia" w:ascii="宋体" w:hAnsi="宋体" w:cs="宋体"/>
          <w:b w:val="0"/>
          <w:bCs/>
          <w:color w:val="FF0000"/>
          <w:sz w:val="24"/>
          <w:szCs w:val="24"/>
          <w:lang w:val="en-US" w:eastAsia="zh-CN"/>
        </w:rPr>
        <w:t>4</w:t>
      </w:r>
      <w:r>
        <w:rPr>
          <w:rFonts w:hint="eastAsia" w:ascii="宋体" w:hAnsi="宋体" w:eastAsia="宋体" w:cs="宋体"/>
          <w:b w:val="0"/>
          <w:bCs/>
          <w:color w:val="FF0000"/>
          <w:sz w:val="24"/>
          <w:szCs w:val="24"/>
        </w:rPr>
        <w:t>年</w:t>
      </w:r>
      <w:r>
        <w:rPr>
          <w:rFonts w:hint="eastAsia" w:ascii="宋体" w:hAnsi="宋体" w:cs="宋体"/>
          <w:b w:val="0"/>
          <w:bCs/>
          <w:color w:val="FF0000"/>
          <w:sz w:val="24"/>
          <w:szCs w:val="24"/>
          <w:lang w:val="en-US" w:eastAsia="zh-CN"/>
        </w:rPr>
        <w:t>1</w:t>
      </w:r>
      <w:r>
        <w:rPr>
          <w:rFonts w:hint="eastAsia" w:ascii="宋体" w:hAnsi="宋体" w:eastAsia="宋体" w:cs="宋体"/>
          <w:b w:val="0"/>
          <w:bCs/>
          <w:color w:val="FF0000"/>
          <w:sz w:val="24"/>
          <w:szCs w:val="24"/>
        </w:rPr>
        <w:t>月</w:t>
      </w:r>
      <w:r>
        <w:rPr>
          <w:rFonts w:hint="eastAsia" w:ascii="宋体" w:hAnsi="宋体" w:cs="宋体"/>
          <w:b w:val="0"/>
          <w:bCs/>
          <w:color w:val="FF0000"/>
          <w:sz w:val="24"/>
          <w:szCs w:val="24"/>
          <w:lang w:val="en-US" w:eastAsia="zh-CN"/>
        </w:rPr>
        <w:t>22</w:t>
      </w:r>
      <w:bookmarkStart w:id="0" w:name="_GoBack"/>
      <w:bookmarkEnd w:id="0"/>
      <w:r>
        <w:rPr>
          <w:rFonts w:hint="eastAsia" w:ascii="宋体" w:hAnsi="宋体" w:eastAsia="宋体" w:cs="宋体"/>
          <w:b w:val="0"/>
          <w:bCs/>
          <w:color w:val="FF0000"/>
          <w:sz w:val="24"/>
          <w:szCs w:val="24"/>
        </w:rPr>
        <w:t>日下午1</w:t>
      </w:r>
      <w:r>
        <w:rPr>
          <w:rFonts w:hint="eastAsia" w:ascii="宋体" w:hAnsi="宋体" w:eastAsia="宋体" w:cs="宋体"/>
          <w:b w:val="0"/>
          <w:bCs/>
          <w:color w:val="FF0000"/>
          <w:sz w:val="24"/>
          <w:szCs w:val="24"/>
          <w:lang w:val="en-US" w:eastAsia="zh-CN"/>
        </w:rPr>
        <w:t>5</w:t>
      </w:r>
      <w:r>
        <w:rPr>
          <w:rFonts w:hint="eastAsia" w:ascii="宋体" w:hAnsi="宋体" w:eastAsia="宋体" w:cs="宋体"/>
          <w:b w:val="0"/>
          <w:bCs/>
          <w:color w:val="FF0000"/>
          <w:sz w:val="24"/>
          <w:szCs w:val="24"/>
        </w:rPr>
        <w:t>:</w:t>
      </w:r>
      <w:r>
        <w:rPr>
          <w:rFonts w:hint="eastAsia" w:ascii="宋体" w:hAnsi="宋体" w:eastAsia="宋体" w:cs="宋体"/>
          <w:b w:val="0"/>
          <w:bCs/>
          <w:color w:val="FF0000"/>
          <w:sz w:val="24"/>
          <w:szCs w:val="24"/>
          <w:lang w:val="en-US" w:eastAsia="zh-CN"/>
        </w:rPr>
        <w:t>0</w:t>
      </w:r>
      <w:r>
        <w:rPr>
          <w:rFonts w:hint="eastAsia" w:ascii="宋体" w:hAnsi="宋体" w:eastAsia="宋体" w:cs="宋体"/>
          <w:b w:val="0"/>
          <w:bCs/>
          <w:color w:val="FF0000"/>
          <w:sz w:val="24"/>
          <w:szCs w:val="24"/>
        </w:rPr>
        <w:t>0</w:t>
      </w:r>
    </w:p>
    <w:p>
      <w:pPr>
        <w:spacing w:line="480" w:lineRule="exact"/>
        <w:ind w:firstLine="480" w:firstLineChars="200"/>
        <w:rPr>
          <w:rFonts w:hint="eastAsia" w:eastAsia="宋体"/>
          <w:lang w:eastAsia="zh-CN"/>
        </w:rPr>
      </w:pPr>
      <w:r>
        <w:rPr>
          <w:rFonts w:hint="eastAsia" w:ascii="宋体" w:hAnsi="宋体" w:eastAsia="宋体" w:cs="宋体"/>
          <w:b w:val="0"/>
          <w:bCs/>
          <w:sz w:val="24"/>
          <w:szCs w:val="24"/>
        </w:rPr>
        <w:t>投标文件递交地点：江苏有线如东分公司1</w:t>
      </w:r>
      <w:r>
        <w:rPr>
          <w:rFonts w:hint="eastAsia" w:ascii="宋体" w:hAnsi="宋体" w:eastAsia="宋体" w:cs="宋体"/>
          <w:b w:val="0"/>
          <w:bCs/>
          <w:sz w:val="24"/>
          <w:szCs w:val="24"/>
          <w:lang w:val="en-US" w:eastAsia="zh-CN"/>
        </w:rPr>
        <w:t>0</w:t>
      </w:r>
      <w:r>
        <w:rPr>
          <w:rFonts w:hint="eastAsia" w:ascii="宋体" w:hAnsi="宋体" w:eastAsia="宋体" w:cs="宋体"/>
          <w:b w:val="0"/>
          <w:bCs/>
          <w:sz w:val="24"/>
          <w:szCs w:val="24"/>
        </w:rPr>
        <w:t>楼会议室</w:t>
      </w:r>
      <w:r>
        <w:rPr>
          <w:rFonts w:hint="eastAsia" w:ascii="宋体" w:hAnsi="宋体" w:cs="宋体"/>
          <w:b w:val="0"/>
          <w:bCs/>
          <w:sz w:val="24"/>
          <w:szCs w:val="24"/>
          <w:lang w:eastAsia="zh-CN"/>
        </w:rPr>
        <w:t>。</w:t>
      </w:r>
      <w:r>
        <w:rPr>
          <w:rFonts w:hint="eastAsia" w:ascii="宋体" w:hAnsi="宋体" w:eastAsia="宋体" w:cs="宋体"/>
          <w:b w:val="0"/>
          <w:bCs/>
          <w:sz w:val="24"/>
          <w:szCs w:val="24"/>
        </w:rPr>
        <w:t xml:space="preserve"> </w:t>
      </w:r>
    </w:p>
    <w:p>
      <w:pPr>
        <w:spacing w:line="48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9</w:t>
      </w:r>
      <w:r>
        <w:rPr>
          <w:rFonts w:hint="eastAsia" w:ascii="宋体" w:hAnsi="宋体" w:eastAsia="宋体" w:cs="宋体"/>
          <w:b/>
          <w:bCs w:val="0"/>
          <w:sz w:val="24"/>
          <w:szCs w:val="24"/>
        </w:rPr>
        <w:t>.购买采购文件的银行信息：</w:t>
      </w:r>
    </w:p>
    <w:p>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户名：江苏有线网络发展有限责任公司如东分公司</w:t>
      </w:r>
    </w:p>
    <w:p>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地址：如东掘港镇长江路29号</w:t>
      </w:r>
    </w:p>
    <w:p>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开户行：中行城东支行        账号：510566056165</w:t>
      </w:r>
    </w:p>
    <w:p>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 xml:space="preserve">欢迎合格供应商与我公司联系报名，并领取本项目采购文件  </w:t>
      </w:r>
    </w:p>
    <w:p>
      <w:pPr>
        <w:spacing w:line="360" w:lineRule="auto"/>
        <w:ind w:firstLine="480" w:firstLineChars="200"/>
        <w:rPr>
          <w:rFonts w:hint="eastAsia" w:ascii="宋体" w:hAnsi="宋体" w:cs="宋体"/>
          <w:b w:val="0"/>
          <w:bCs/>
          <w:sz w:val="24"/>
          <w:szCs w:val="24"/>
          <w:lang w:val="en-US" w:eastAsia="zh-CN"/>
        </w:rPr>
      </w:pPr>
      <w:r>
        <w:rPr>
          <w:rFonts w:hint="eastAsia" w:ascii="宋体" w:hAnsi="宋体" w:eastAsia="宋体" w:cs="宋体"/>
          <w:b w:val="0"/>
          <w:bCs/>
          <w:sz w:val="24"/>
          <w:szCs w:val="24"/>
        </w:rPr>
        <w:t>联系人：缪逸飞，联系电话：0513-6892767</w:t>
      </w:r>
      <w:r>
        <w:rPr>
          <w:rFonts w:hint="eastAsia" w:ascii="宋体" w:hAnsi="宋体" w:cs="宋体"/>
          <w:b w:val="0"/>
          <w:bCs/>
          <w:sz w:val="24"/>
          <w:szCs w:val="24"/>
          <w:lang w:val="en-US" w:eastAsia="zh-CN"/>
        </w:rPr>
        <w:t>6</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10、设备清单</w:t>
      </w:r>
    </w:p>
    <w:tbl>
      <w:tblPr>
        <w:tblStyle w:val="6"/>
        <w:tblW w:w="501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4"/>
        <w:gridCol w:w="594"/>
        <w:gridCol w:w="4659"/>
        <w:gridCol w:w="657"/>
        <w:gridCol w:w="918"/>
        <w:gridCol w:w="1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名称</w:t>
            </w:r>
          </w:p>
        </w:tc>
        <w:tc>
          <w:tcPr>
            <w:tcW w:w="5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技术参数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显示设备</w:t>
            </w:r>
          </w:p>
        </w:tc>
        <w:tc>
          <w:tcPr>
            <w:tcW w:w="5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1、★像素点间距：≤2.0mm  屏体尺寸：4.16*2.4=9.984平方；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2、★刷新率：≥4200Hz；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3、单元板分辨率：≥12800 Dots；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4、显示效果：4K超清显示、色温均匀性好、亮度均匀性好，对比度高、色域广；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5、驱动方式：恒流驱动；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6、供电方式：支持电源均流DC4.2V～DC5V，供电支持电源双输出电压DC2.8V/DC3.8V；</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7、▲整屏平整度：≤0.04mm；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8、模组平整度：≤0.03mm；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9、拼接缝：≤0.03mm；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10、▲白平衡亮度：≥750Cd/m²；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11、亮度均匀性：≥99%；</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12、色度均匀性：±0.001Cx、Cy内；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13、▲色温：800-18000K；</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14、▲水平视角：≥170°；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15、▲垂直视角：≥170°；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16、▲对比度：≥9000：1；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17、像素密度：≥250000 Dots/m2；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18、像素失控率：&lt;1/100000；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19、发光点中心偏距：＜0.8%；</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20、峰值功耗：≤300W/m²；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21、平均功耗：≤120W/m²；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22、最大电流：≤5A；</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23、电流增益：电流增益调节范围：1%～199%，电流增益调节级别≥8位；</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24、▲具有列下消隐功能、倍频刷新率提升2/4/8倍、低灰偏色改善；</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25、▲色温为6500K时，100%、75%、50%、25%四档电平白场调节色温误差≤200K；</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26、▲PCB板材采用玻璃化温度≥150℃的覆铜板；PCB板采用FR-4材质，电路采用多层设计，符合CQC13-471301-2018国家标准；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27、▲每个灯芯的波长误差值在±1nm以内，每个灯芯的亮度误差在5%以内；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28、▲具有H2S宽动态处理技术，解决主控机二次重复播放时的衰减等现象；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29、▲屏幕表面光反射率：照度=10Lux/5600K条件下， 显示屏屏幕表面光反射率 （单位面积反射亮度）＜3.0cd/m²；</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30、绝缘电阻：在器具输入插座端或者电源引入端子与外壳裸露金属部件之间的绝缘电阻在正常大气条件下应≥100MΩ，湿热条件下应≥2MΩ；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以上技术参数需提供由权威检测机构出具带有“CNAS”、“CMA”、“ilac-MRA”标志的检测报告（提供相关证书复印件并加盖制造商公章）；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★所投产品具有CCC、CE、ROHS、FCC认证证书（提供相关证书复印件并加盖制造商公章）；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★符合光生物安全检测标准，无视网膜蓝光危害，并提供具有 TUV 标识的低蓝光认证证书；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★LED显示屏是由一种新型炫彩LED显示屏单元板组成（提供第三方机构出具的有效证明材料复印件并加盖公章）；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★LED显示屏具有全局控制的LED显示屏亮度，（提供第三方机构出具的有效证明材料复印件并加盖公章）；</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★LED显示屏产品需具备消鬼影控制电路，（提供第三方机构出具的有效证明材料复印件并加盖公章）。</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m2</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9.984</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强力巨彩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视频处理器</w:t>
            </w:r>
          </w:p>
        </w:tc>
        <w:tc>
          <w:tcPr>
            <w:tcW w:w="5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专业级LED显示屏控制设备，具备丰富的视频信号接口，支持DVI、HDMI、SDI等高清数字接口，多路信号间无缝切换；支持广播级缩放及多画面显示。具备6个千兆网口输出，单机可支持最宽8192像素，或最高4096像素的LED显示屏；同时，还具备一系列丰富实用的功能，可以实现灵活的屏幕控制和高品质的图像显示，在LED显示屏工程应用领域具有显著优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1.支持丰富的数字信号接口，包括2路DVI，1路HDMI，1路SDI；</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2.最大带载390万像素，最宽可达8192点，或最高可达4096点；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3.最大输入分辨率1920×1200@60Hz，支持分辨率任意设置；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4.支持6路千兆网口输出，支持单机或双机冗余备份；</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5.支持对视频信号任意切换，裁剪，拼接，缩放；</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6.支持3画面显示，位置、大小可自由调节；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7.支持独立音频输入；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8.支持RS232串口协议控制；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9.支持HDCP 高带宽数字内容保护技术；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10.支持亮度和色温调节；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11.支持低亮高灰，能有效地保持低亮下灰阶的完整显示；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12.电气规格 电源 AC100~240V，50/60Hz；</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13.功率 20W；</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14.工作环境 温度 -20℃~70℃/-4°F~158°F；</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15.湿度 0%RH~80%RH，无冷凝；</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16.存储环境 温度 -30℃~80℃/-22°F~176°F；</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17.湿度 0%RH~90%RH，无冷凝；</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18.设备规格 尺寸 W×H×L/482.6mm×44.0mm×305mm/19"×1.7"×12"；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19.净重 2.3Kg/5.07lbs；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20.包装规格 尺寸 W×H×L/545mm×105mm×390mm/21.5"×4.1"×15.4"；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21.净重 0.7kg/1.54lbs；</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★在-20°C-60°C下，控制器所有功能打开且参数设置到最大依然能正常工作，一直连续开 断电处理，控制器依然可以正常启动工作， 机箱结构配合散热风扇达到很好的散热效果；</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★为高效兼容交流电网电源的连接方式，视频控制设备可支持与交流电网电源的单独连接（提供厂家盖公章CMA、CNAS第三方检测报告）。</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卡莱特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智能中控</w:t>
            </w:r>
          </w:p>
        </w:tc>
        <w:tc>
          <w:tcPr>
            <w:tcW w:w="5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支持11路RS232/RS485/RS422，自带12路继电器，12路I/O，12路红外接口，1路网。</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诺瓦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可视化控制平台</w:t>
            </w:r>
          </w:p>
        </w:tc>
        <w:tc>
          <w:tcPr>
            <w:tcW w:w="5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1、移动端平台软件，支持IOS，安卓设备；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2、支持亮度控制、场景切换、窗口切换、信号源切换；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3、支持开关大屏；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4、支持客户二次开发。</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诺瓦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平板触摸屏</w:t>
            </w:r>
          </w:p>
        </w:tc>
        <w:tc>
          <w:tcPr>
            <w:tcW w:w="5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PAD平板、内存容量128G，支持WIFI及蓝牙连接方式,10.9英寸显示屏，分辨率：2560*1600，前置800W高清摄像头，后置1300W高清摄像头。</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小米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5" w:hRule="atLeas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无线路由器</w:t>
            </w:r>
          </w:p>
        </w:tc>
        <w:tc>
          <w:tcPr>
            <w:tcW w:w="5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3200M双频全千兆Wi-Fi 6无线路由器，外置天线设计，企业级芯片方案，千兆宽带接入能力，双核A53架构CPU，支持硬件NAT，推荐带机60台终端，无线：双频3202Mbps；有线：1WAN+3LAN共4个千兆网口，支持最新802.11ax标准，，支持Wi-Fi无缝漫游。</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锐捷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视频矩阵</w:t>
            </w:r>
          </w:p>
        </w:tc>
        <w:tc>
          <w:tcPr>
            <w:tcW w:w="5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HDMI矩阵8进8出是专门为为计算机高分辨率HDMI数字图像音频信号的传输切换而设计的高性能宽带智能矩阵开关设备，可将多路输入信号任意选择一路或多路分别输出给一路或多路显示设备；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配备RS232与Ethernet通讯接口，方便中控和上位机软件的配合使用；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功能特点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1.8路HDMI信号输入，8路HDMI信号输出，交叉切换；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2.支持高清1080P、支持3D、支持4K；</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3.长线输入自动均衡——确保能对每个输入进行独立的自动的补偿由于长距离传输或者使用低质量线材造成的信号损耗；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4.在理想的环境下，支持输入距离达到25米，输出距离达到20米；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5.支持蓝光DVD24/50/60fs/HD-DVD/xvYCC；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6.支持音频格式；DTS-HD/Dolby-trueHD/LPCM7.1/DTS/DOLBY-AC3/DSD。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7.支持HDMI 1.3a、HDCP 1.3、HDCP 1.4、以及DVI 1.0协议。支持高色深，以及高达6.5Gbps速率；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8.HDCP兼容——确保有内容保护的媒体能正常显示与其它HDCP兼容设备的协同使用；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9.全贴片SMD工艺，特有ESD静电保护功能；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10.本产品带有断电现现场切换记忆保护；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11.具有1路RS-232通讯接口；支持RS-232转RS-485通信接口；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技术参数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输入接口数 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输出接口数 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接口带宽 13.5Gbps；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串口控制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串行控制接口 RS-232，9-针母 D型 接口；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波特率与协议 波特率：9600，数据位：8位，停止位：1，无奇偶校验位；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串行控制口结构 2 = TX，3 = RX，5 = GND；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协议： 支持HDCP1.3协议，支持HDMI1.3协议，支持HDMI1.4协议，兼容DVI1.0协议。</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京邦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结构边框</w:t>
            </w:r>
          </w:p>
        </w:tc>
        <w:tc>
          <w:tcPr>
            <w:tcW w:w="5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镀锌方管焊接、黑钛不锈钢包边等。</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9.984</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 w:hRule="atLeas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线性音柱</w:t>
            </w:r>
          </w:p>
        </w:tc>
        <w:tc>
          <w:tcPr>
            <w:tcW w:w="5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1.配置不少于8个3英寸全频单元和1个1英寸钕磁高音单元；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2.灵敏度≥93dB 1m/1w，最大声压≥93dB；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3.额定功率≥270W；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4.频响范围 ：100Hz-20KHz；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5.阻抗：4Ω；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6.垂直扩散角度＞30°，水平扩散角度＞160°。</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HVYI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5" w:hRule="atLeas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数字功放</w:t>
            </w:r>
          </w:p>
        </w:tc>
        <w:tc>
          <w:tcPr>
            <w:tcW w:w="5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40" w:afterAutospacing="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1.智能控制强制散热设计，风机噪音小，散热效率高等特点；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2.内置智能压限系统，控制功率模块及扬声器系统在安全范围内工作；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3.具有BRI桥接、STE立体声、PAR立体声等模式，≥2种增益开关可选；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4.AB类高效的功率放大电路，完善可靠的安全保护措施和工作状态指示，让用户放心使用；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5.8Ω立体声额定功率≥250W×2；4Ω立体声额定功率≥450W×2；8Ω桥接功率≥620W；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6.输入阻抗:10KΩ非平衡.20KΩ平衡；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7.频率响应(@1W功率下）:20-20KHz/±0.5dB  ；                                                                                                                                                                                                            8.信噪比(A计权)：≥90dB；                                                                                                                                                                                            9.额定源电动势不劣于630mV；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10.保护方式:直流保护、超高频保护、短路保护、过载保护、开机关机保护、温度保护。</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HVYI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调音台</w:t>
            </w:r>
          </w:p>
        </w:tc>
        <w:tc>
          <w:tcPr>
            <w:tcW w:w="5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1.不少于六路话筒、两组立体声输入，每路输入均采用高频、低频和一个中频参量均衡器；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2.话筒输入、主输出、编组输出均具有单独INSERT接口，便于插入效果调节；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3.每路话筒输入设有幻象供电开关，具有4排电平指示灯；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4.内置蓝牙模块可手机播放音乐，同时支持USB播放。</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HVYI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智能配电箱</w:t>
            </w:r>
          </w:p>
        </w:tc>
        <w:tc>
          <w:tcPr>
            <w:tcW w:w="5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40" w:afterAutospacing="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LED专用15KW屏内配电系统，电流与功率设计符合屏体设计要求。配置一键开关大屏装置。</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w:t>
            </w:r>
          </w:p>
        </w:tc>
        <w:tc>
          <w:tcPr>
            <w:tcW w:w="5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国标JYV 6*5。</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江南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7" w:hRule="atLeas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时序电源主机</w:t>
            </w:r>
          </w:p>
        </w:tc>
        <w:tc>
          <w:tcPr>
            <w:tcW w:w="5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说明：方管焊接、黑色铝合金包边等。</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HVYI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一拖四无线话筒主机</w:t>
            </w:r>
          </w:p>
        </w:tc>
        <w:tc>
          <w:tcPr>
            <w:tcW w:w="5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频率范围：640-690MHz；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调制方式：宽带FM；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可调范围：50MHz；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信道数目：200；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信道间隔：250KHz；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频率稳定度：±0.005%以内；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动态范围：&gt;105dB；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最大频偏：±45KHz；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音频响应：40Hz-18KHz(±3dB)；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综合信噪比：&gt;110dB；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综合失真：≤0.2%；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工作温度：-25℃--+40℃；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接收机指标：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接收机方式：二次变频超外差；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输入功率：5W；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中频频率：第一中频：110MHz,第二中频10.7MHz；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无线接口：BNC/50Ω；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灵敏度：12 dBμV (80dBS/N)；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灵敏度调节范围：10-32dBμV；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杂散抑制：≥95dB；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最大输出电平：+10 dBV；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发射器指标：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天线程式：佩挂发射器采用1/4 波长鞭状天线,手持麦克风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内置天线；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输出功率： 20mW；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杂散抑制：-60dB。</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HVYI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音频处理器</w:t>
            </w:r>
          </w:p>
        </w:tc>
        <w:tc>
          <w:tcPr>
            <w:tcW w:w="5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DSP信号处理芯片：32-bit fixed-point DSP 300MHz；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音频系统延迟：&lt; 1ms；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数模转换：24-bit；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采样率：48KHz；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输入通道：8 路平衡输入. Mic/line level；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音频接口：3.81 mm 凤凰插， 12-pin；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输入阻抗：6kΩ；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最大输入电平：12dBu/Line, -7dBu/Mic@20dB增益；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幻象电源：+48VDC, 6.5mA, 每通道配置；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输出通道：8 路平衡输出， line level；</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输出阻抗：150Ω；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频响曲线：20Hz-20kHz(±0.5dB)/Line；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20Hz-20kHz(±1.5dB)/Mic，20dB增益；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THD+N：-90dB(@12dBu,1kHz,A-wt)/Line；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-86dB(@-7dBu,1kHz,A-wt)/Mic，20dB增益；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信噪比：105dB(@12dBu,1kHz,A-wt)/Line；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95dB(@-7dBu,1kHz,A-wt)/Mic，20dB增益；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USB：Type-B 2.0, 免驱RS232：Serial port communication串口通信；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TCP/IP网口：RJ-45；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指示灯：Power, Link, +48V，输入输出音频信号；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供电范围：AC100V---240V  5。</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HVYI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音响线</w:t>
            </w:r>
          </w:p>
        </w:tc>
        <w:tc>
          <w:tcPr>
            <w:tcW w:w="5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国标2C*2.0MM音频专用线缆。</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绿联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5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含PVC32电缆线管、线槽、音频跳线等接插件。</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国产优质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系统集成费</w:t>
            </w:r>
          </w:p>
        </w:tc>
        <w:tc>
          <w:tcPr>
            <w:tcW w:w="5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大屏，音响系统安装调试售后。含整个系统软硬件的三年维保。</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w:t>
            </w:r>
          </w:p>
        </w:tc>
      </w:tr>
    </w:tbl>
    <w:p>
      <w:pPr>
        <w:spacing w:line="360" w:lineRule="auto"/>
        <w:ind w:firstLine="562" w:firstLineChars="200"/>
        <w:rPr>
          <w:rFonts w:ascii="仿宋" w:hAnsi="仿宋" w:eastAsia="仿宋" w:cs="仿宋"/>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BmNWJlNjY0YmZjZGZhMmRhMzkwNTZlOWI1ZjFlYjkifQ=="/>
  </w:docVars>
  <w:rsids>
    <w:rsidRoot w:val="00FC2BA4"/>
    <w:rsid w:val="000008FA"/>
    <w:rsid w:val="00017B6B"/>
    <w:rsid w:val="00324478"/>
    <w:rsid w:val="003459F2"/>
    <w:rsid w:val="003B3377"/>
    <w:rsid w:val="003C00B3"/>
    <w:rsid w:val="00600F83"/>
    <w:rsid w:val="006C6FCE"/>
    <w:rsid w:val="006F7F78"/>
    <w:rsid w:val="0075178C"/>
    <w:rsid w:val="007D2868"/>
    <w:rsid w:val="008768F6"/>
    <w:rsid w:val="008C0E4B"/>
    <w:rsid w:val="008E5543"/>
    <w:rsid w:val="00910158"/>
    <w:rsid w:val="0097674E"/>
    <w:rsid w:val="00AB1310"/>
    <w:rsid w:val="00BC20B2"/>
    <w:rsid w:val="00C819D6"/>
    <w:rsid w:val="00CC4218"/>
    <w:rsid w:val="00DE0837"/>
    <w:rsid w:val="00E65C98"/>
    <w:rsid w:val="00FC2BA4"/>
    <w:rsid w:val="043C50D5"/>
    <w:rsid w:val="5F3A26FB"/>
    <w:rsid w:val="6184307D"/>
    <w:rsid w:val="7C743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ody Text"/>
    <w:basedOn w:val="1"/>
    <w:autoRedefine/>
    <w:qFormat/>
    <w:uiPriority w:val="0"/>
    <w:rPr>
      <w:sz w:val="28"/>
      <w:szCs w:val="24"/>
    </w:rPr>
  </w:style>
  <w:style w:type="paragraph" w:styleId="4">
    <w:name w:val="footer"/>
    <w:basedOn w:val="1"/>
    <w:link w:val="9"/>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3721</Words>
  <Characters>21212</Characters>
  <Lines>176</Lines>
  <Paragraphs>49</Paragraphs>
  <TotalTime>0</TotalTime>
  <ScaleCrop>false</ScaleCrop>
  <LinksUpToDate>false</LinksUpToDate>
  <CharactersWithSpaces>24884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2023-06-25T08:39:00Z</dcterms:created>
  <dc:creator>袁榕浩</dc:creator>
  <cp:lastModifiedBy>袁榕浩</cp:lastModifiedBy>
  <dcterms:modified xsi:type="dcterms:W3CDTF">2024-01-10T03:47:19Z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7CD24B906E594BFD904D908DE5DAC2CA_12</vt:lpwstr>
  </property>
</Properties>
</file>