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2"/>
        <w:widowControl w:val="0"/>
        <w:spacing w:before="0" w:after="0" w:line="360" w:lineRule="auto"/>
        <w:rPr>
          <w:kern w:val="2"/>
        </w:rPr>
      </w:pPr>
      <w:bookmarkStart w:id="0" w:name="_Toc67627991"/>
    </w:p>
    <w:p>
      <w:pPr>
        <w:spacing w:line="360" w:lineRule="auto"/>
        <w:jc w:val="center"/>
        <w:rPr>
          <w:rFonts w:ascii="宋体" w:hAnsi="宋体"/>
          <w:b/>
        </w:rPr>
      </w:pPr>
    </w:p>
    <w:p>
      <w:pPr>
        <w:jc w:val="center"/>
        <w:rPr>
          <w:rFonts w:ascii="黑体" w:hAnsi="宋体" w:eastAsia="黑体"/>
          <w:b/>
          <w:sz w:val="48"/>
          <w:szCs w:val="48"/>
        </w:rPr>
      </w:pPr>
      <w:r>
        <w:rPr>
          <w:rFonts w:hint="eastAsia" w:ascii="黑体" w:hAnsi="宋体" w:eastAsia="黑体"/>
          <w:b/>
          <w:sz w:val="48"/>
          <w:szCs w:val="48"/>
        </w:rPr>
        <w:t>江苏有线网络发展有限责任公司</w:t>
      </w:r>
    </w:p>
    <w:p>
      <w:pPr>
        <w:jc w:val="center"/>
        <w:rPr>
          <w:rFonts w:ascii="黑体" w:hAnsi="宋体" w:eastAsia="黑体"/>
          <w:b/>
          <w:sz w:val="48"/>
          <w:szCs w:val="48"/>
        </w:rPr>
      </w:pPr>
      <w:r>
        <w:rPr>
          <w:rFonts w:hint="eastAsia" w:ascii="黑体" w:hAnsi="宋体" w:eastAsia="黑体"/>
          <w:b/>
          <w:sz w:val="48"/>
          <w:szCs w:val="48"/>
        </w:rPr>
        <w:t>通州分公司</w:t>
      </w:r>
    </w:p>
    <w:p>
      <w:pPr>
        <w:jc w:val="center"/>
        <w:rPr>
          <w:rFonts w:ascii="黑体" w:hAnsi="宋体" w:eastAsia="黑体"/>
          <w:b/>
          <w:sz w:val="96"/>
        </w:rPr>
      </w:pPr>
      <w:r>
        <w:rPr>
          <w:rFonts w:hint="eastAsia" w:ascii="黑体" w:hAnsi="宋体" w:eastAsia="黑体"/>
          <w:b/>
          <w:sz w:val="48"/>
          <w:szCs w:val="48"/>
        </w:rPr>
        <w:t>波分系统维保项目</w:t>
      </w:r>
    </w:p>
    <w:p>
      <w:pPr>
        <w:spacing w:line="360" w:lineRule="auto"/>
        <w:jc w:val="center"/>
        <w:rPr>
          <w:rFonts w:ascii="黑体" w:hAnsi="宋体" w:eastAsia="黑体"/>
          <w:b/>
          <w:sz w:val="96"/>
        </w:rPr>
      </w:pPr>
    </w:p>
    <w:p>
      <w:pPr>
        <w:spacing w:line="360" w:lineRule="auto"/>
        <w:jc w:val="center"/>
        <w:rPr>
          <w:rFonts w:ascii="黑体" w:hAnsi="宋体" w:eastAsia="黑体"/>
          <w:b/>
          <w:sz w:val="96"/>
        </w:rPr>
      </w:pPr>
    </w:p>
    <w:p>
      <w:pPr>
        <w:spacing w:line="360" w:lineRule="auto"/>
        <w:jc w:val="center"/>
        <w:rPr>
          <w:rFonts w:ascii="黑体" w:hAnsi="宋体" w:eastAsia="黑体"/>
          <w:b/>
          <w:sz w:val="96"/>
        </w:rPr>
      </w:pPr>
      <w:r>
        <w:rPr>
          <w:rFonts w:hint="eastAsia" w:ascii="黑体" w:hAnsi="宋体" w:eastAsia="黑体"/>
          <w:b/>
          <w:sz w:val="96"/>
        </w:rPr>
        <w:t>招标文件</w:t>
      </w:r>
    </w:p>
    <w:p>
      <w:pPr>
        <w:spacing w:line="440" w:lineRule="exact"/>
        <w:jc w:val="center"/>
        <w:rPr>
          <w:rFonts w:ascii="黑体" w:hAnsi="宋体" w:eastAsia="黑体"/>
          <w:b/>
          <w:sz w:val="96"/>
        </w:rPr>
      </w:pPr>
    </w:p>
    <w:p>
      <w:pPr>
        <w:spacing w:line="360" w:lineRule="auto"/>
        <w:jc w:val="center"/>
        <w:rPr>
          <w:rFonts w:hint="default" w:ascii="宋体" w:hAnsi="宋体" w:eastAsia="宋体"/>
          <w:b/>
          <w:sz w:val="32"/>
          <w:szCs w:val="32"/>
          <w:lang w:val="en-US" w:eastAsia="zh-CN"/>
        </w:rPr>
      </w:pPr>
      <w:r>
        <w:rPr>
          <w:rFonts w:hint="eastAsia" w:ascii="宋体" w:hAnsi="宋体"/>
          <w:b/>
          <w:sz w:val="32"/>
          <w:szCs w:val="32"/>
        </w:rPr>
        <w:t>招标编号：JSCN-TZ</w:t>
      </w:r>
      <w:r>
        <w:rPr>
          <w:rFonts w:hint="eastAsia" w:ascii="宋体" w:hAnsi="宋体"/>
          <w:b/>
          <w:sz w:val="32"/>
          <w:szCs w:val="32"/>
          <w:lang w:val="en-US" w:eastAsia="zh-CN"/>
        </w:rPr>
        <w:t>YW2024002</w:t>
      </w: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tabs>
          <w:tab w:val="left" w:pos="360"/>
        </w:tabs>
        <w:spacing w:line="360" w:lineRule="auto"/>
        <w:jc w:val="center"/>
        <w:rPr>
          <w:rFonts w:ascii="宋体" w:hAnsi="宋体"/>
          <w:b/>
          <w:sz w:val="32"/>
        </w:rPr>
      </w:pPr>
    </w:p>
    <w:p>
      <w:pPr>
        <w:tabs>
          <w:tab w:val="left" w:pos="360"/>
        </w:tabs>
        <w:spacing w:line="360" w:lineRule="auto"/>
        <w:jc w:val="center"/>
        <w:rPr>
          <w:rFonts w:ascii="宋体" w:hAnsi="宋体"/>
          <w:b/>
          <w:sz w:val="32"/>
        </w:rPr>
      </w:pPr>
      <w:r>
        <w:rPr>
          <w:rFonts w:hint="eastAsia" w:ascii="宋体" w:hAnsi="宋体"/>
          <w:b/>
          <w:sz w:val="32"/>
        </w:rPr>
        <w:t>招标人：江苏有线网络发展有限责任公司通州分公司</w:t>
      </w:r>
    </w:p>
    <w:p>
      <w:pPr>
        <w:jc w:val="center"/>
        <w:rPr>
          <w:rFonts w:ascii="宋体" w:hAnsi="宋体"/>
          <w:b/>
          <w:sz w:val="32"/>
        </w:rPr>
      </w:pPr>
      <w:r>
        <w:rPr>
          <w:rFonts w:hint="eastAsia" w:ascii="宋体" w:hAnsi="宋体"/>
          <w:b/>
          <w:sz w:val="32"/>
        </w:rPr>
        <w:t>二O</w:t>
      </w:r>
      <w:r>
        <w:rPr>
          <w:rFonts w:hint="eastAsia" w:ascii="宋体" w:hAnsi="宋体"/>
          <w:b/>
          <w:sz w:val="32"/>
          <w:lang w:eastAsia="zh-CN"/>
        </w:rPr>
        <w:t>二四</w:t>
      </w:r>
      <w:r>
        <w:rPr>
          <w:rFonts w:hint="eastAsia" w:ascii="宋体" w:hAnsi="宋体"/>
          <w:b/>
          <w:sz w:val="32"/>
        </w:rPr>
        <w:t>年</w:t>
      </w:r>
      <w:r>
        <w:rPr>
          <w:rFonts w:hint="eastAsia" w:ascii="宋体" w:hAnsi="宋体"/>
          <w:b/>
          <w:sz w:val="32"/>
          <w:lang w:eastAsia="zh-CN"/>
        </w:rPr>
        <w:t>五</w:t>
      </w:r>
      <w:r>
        <w:rPr>
          <w:rFonts w:hint="eastAsia" w:ascii="宋体" w:hAnsi="宋体"/>
          <w:b/>
          <w:sz w:val="32"/>
        </w:rPr>
        <w:t>月</w:t>
      </w:r>
    </w:p>
    <w:p>
      <w:pPr>
        <w:pStyle w:val="2"/>
        <w:spacing w:line="360" w:lineRule="auto"/>
        <w:jc w:val="center"/>
        <w:rPr>
          <w:rFonts w:ascii="黑体" w:hAnsi="仿宋_GB2312" w:eastAsia="黑体"/>
          <w:bCs/>
          <w:sz w:val="52"/>
          <w:szCs w:val="52"/>
        </w:rPr>
      </w:pPr>
      <w:r>
        <w:rPr>
          <w:rFonts w:hint="eastAsia" w:ascii="黑体" w:hAnsi="仿宋_GB2312" w:eastAsia="黑体"/>
          <w:bCs/>
          <w:sz w:val="52"/>
          <w:szCs w:val="52"/>
        </w:rPr>
        <w:t>第一章 招标公告</w:t>
      </w:r>
    </w:p>
    <w:p>
      <w:pPr>
        <w:spacing w:line="360" w:lineRule="auto"/>
        <w:jc w:val="center"/>
        <w:rPr>
          <w:rFonts w:ascii="黑体" w:hAnsi="宋体" w:eastAsia="黑体"/>
          <w:b/>
          <w:sz w:val="30"/>
          <w:szCs w:val="30"/>
        </w:rPr>
      </w:pPr>
      <w:r>
        <w:rPr>
          <w:rFonts w:ascii="宋体" w:hAnsi="宋体"/>
          <w:b/>
        </w:rPr>
        <w:br w:type="page"/>
      </w:r>
      <w:r>
        <w:rPr>
          <w:rFonts w:hint="eastAsia" w:ascii="黑体" w:hAnsi="宋体" w:eastAsia="黑体"/>
          <w:b/>
          <w:kern w:val="0"/>
          <w:sz w:val="30"/>
          <w:szCs w:val="30"/>
        </w:rPr>
        <w:t xml:space="preserve">招 标 公 告 </w:t>
      </w:r>
    </w:p>
    <w:p>
      <w:pPr>
        <w:spacing w:line="360" w:lineRule="auto"/>
        <w:ind w:firstLine="525" w:firstLineChars="250"/>
        <w:rPr>
          <w:rFonts w:ascii="宋体" w:hAnsi="宋体"/>
          <w:szCs w:val="21"/>
        </w:rPr>
      </w:pPr>
      <w:r>
        <w:rPr>
          <w:rFonts w:hint="eastAsia" w:ascii="宋体" w:hAnsi="宋体"/>
          <w:szCs w:val="21"/>
        </w:rPr>
        <w:t>江苏有线网络发展有限责任公司通州分公司（以下简称“招标人”）为保证安播质量及主干网络稳定运行，现开展波分系统维保招标工作。现邀请满足基本资质要求的供应商参加。</w:t>
      </w:r>
    </w:p>
    <w:p>
      <w:pPr>
        <w:spacing w:line="360" w:lineRule="auto"/>
        <w:rPr>
          <w:rFonts w:ascii="宋体" w:hAnsi="宋体"/>
          <w:b/>
          <w:szCs w:val="21"/>
        </w:rPr>
      </w:pPr>
      <w:r>
        <w:rPr>
          <w:rFonts w:hint="eastAsia" w:ascii="宋体" w:hAnsi="宋体"/>
          <w:b/>
          <w:szCs w:val="21"/>
        </w:rPr>
        <w:t>一、项目名称</w:t>
      </w:r>
    </w:p>
    <w:p>
      <w:pPr>
        <w:spacing w:line="360" w:lineRule="auto"/>
        <w:ind w:firstLine="420" w:firstLineChars="200"/>
        <w:jc w:val="left"/>
        <w:rPr>
          <w:rFonts w:ascii="宋体" w:hAnsi="宋体"/>
          <w:szCs w:val="21"/>
        </w:rPr>
      </w:pPr>
      <w:r>
        <w:rPr>
          <w:rFonts w:hint="eastAsia" w:ascii="宋体" w:hAnsi="宋体"/>
          <w:szCs w:val="21"/>
        </w:rPr>
        <w:t>江苏有线网络发展有限责任公司通州分公司波分系统维保项目。</w:t>
      </w:r>
    </w:p>
    <w:p>
      <w:pPr>
        <w:spacing w:line="360" w:lineRule="auto"/>
        <w:ind w:firstLine="420" w:firstLineChars="200"/>
        <w:rPr>
          <w:rFonts w:hint="default" w:ascii="宋体" w:hAnsi="宋体" w:eastAsia="宋体"/>
          <w:szCs w:val="21"/>
          <w:lang w:val="en-US" w:eastAsia="zh-CN"/>
        </w:rPr>
      </w:pPr>
      <w:r>
        <w:rPr>
          <w:rFonts w:hint="eastAsia" w:ascii="宋体" w:hAnsi="宋体"/>
          <w:szCs w:val="21"/>
        </w:rPr>
        <w:t>招标编号： JSCN-TZ</w:t>
      </w:r>
      <w:r>
        <w:rPr>
          <w:rFonts w:hint="eastAsia" w:ascii="宋体" w:hAnsi="宋体"/>
          <w:szCs w:val="21"/>
          <w:lang w:val="en-US" w:eastAsia="zh-CN"/>
        </w:rPr>
        <w:t>YW2024002</w:t>
      </w:r>
    </w:p>
    <w:p>
      <w:pPr>
        <w:spacing w:line="360" w:lineRule="auto"/>
        <w:rPr>
          <w:rFonts w:ascii="宋体" w:hAnsi="宋体"/>
          <w:b/>
          <w:szCs w:val="21"/>
        </w:rPr>
      </w:pPr>
      <w:r>
        <w:rPr>
          <w:rFonts w:hint="eastAsia" w:ascii="宋体" w:hAnsi="宋体"/>
          <w:b/>
          <w:szCs w:val="21"/>
        </w:rPr>
        <w:t>二、合格投标人的基本资质要求</w:t>
      </w:r>
    </w:p>
    <w:p>
      <w:pPr>
        <w:numPr>
          <w:ilvl w:val="0"/>
          <w:numId w:val="11"/>
        </w:numPr>
        <w:spacing w:line="360" w:lineRule="auto"/>
        <w:rPr>
          <w:rFonts w:ascii="宋体" w:hAnsi="宋体"/>
          <w:bCs/>
          <w:szCs w:val="21"/>
        </w:rPr>
      </w:pPr>
      <w:r>
        <w:rPr>
          <w:rFonts w:hint="eastAsia" w:ascii="宋体" w:hAnsi="宋体"/>
          <w:bCs/>
          <w:szCs w:val="21"/>
        </w:rPr>
        <w:t>投标人须为在中华人民共和国境内合法注册的独立法人，遵守中国有关法律、法规，具有良好的商业信誉。</w:t>
      </w:r>
      <w:r>
        <w:rPr>
          <w:rFonts w:hint="eastAsia" w:ascii="宋体" w:hAnsi="宋体" w:cs="宋体"/>
          <w:bCs/>
          <w:szCs w:val="21"/>
        </w:rPr>
        <w:t>（提供《国家企业信用信息公示系统》公布的企业信用信息截图并加盖公章）。</w:t>
      </w:r>
    </w:p>
    <w:p>
      <w:pPr>
        <w:numPr>
          <w:ilvl w:val="0"/>
          <w:numId w:val="11"/>
        </w:numPr>
        <w:spacing w:line="360" w:lineRule="auto"/>
        <w:rPr>
          <w:rFonts w:ascii="宋体" w:hAnsi="宋体"/>
          <w:bCs/>
          <w:color w:val="000000"/>
          <w:szCs w:val="21"/>
        </w:rPr>
      </w:pPr>
      <w:r>
        <w:rPr>
          <w:rFonts w:hint="eastAsia" w:ascii="宋体" w:hAnsi="宋体" w:eastAsia="宋体" w:cs="Times New Roman"/>
          <w:bCs/>
          <w:color w:val="000000"/>
          <w:kern w:val="2"/>
          <w:sz w:val="21"/>
          <w:szCs w:val="21"/>
          <w:lang w:val="en-US" w:eastAsia="zh-CN" w:bidi="ar-SA"/>
        </w:rPr>
        <w:t>投标人须是投标标的的系统集成商，并提供响应标的的直接包修和服务的承诺。</w:t>
      </w:r>
    </w:p>
    <w:p>
      <w:pPr>
        <w:numPr>
          <w:ilvl w:val="0"/>
          <w:numId w:val="11"/>
        </w:numPr>
        <w:spacing w:line="360" w:lineRule="auto"/>
        <w:rPr>
          <w:rFonts w:ascii="宋体" w:hAnsi="宋体" w:cs="宋体"/>
          <w:bCs/>
          <w:szCs w:val="21"/>
        </w:rPr>
      </w:pPr>
      <w:r>
        <w:rPr>
          <w:rFonts w:hint="eastAsia" w:ascii="宋体" w:hAnsi="宋体" w:cs="宋体"/>
          <w:bCs/>
          <w:szCs w:val="21"/>
        </w:rPr>
        <w:t>投标人注册资金须不少于500万元人民币或等值外币（提供证明材料），若注册资金为外币的，须提供在法律上有效的文件证明在注册当日，注册资金核算成的人民币金额（提供证明材料）。</w:t>
      </w:r>
    </w:p>
    <w:p>
      <w:pPr>
        <w:numPr>
          <w:ilvl w:val="0"/>
          <w:numId w:val="11"/>
        </w:numPr>
        <w:spacing w:line="360" w:lineRule="auto"/>
        <w:rPr>
          <w:rFonts w:ascii="宋体" w:hAnsi="宋体" w:cs="宋体"/>
          <w:bCs/>
          <w:color w:val="000000"/>
          <w:szCs w:val="21"/>
        </w:rPr>
      </w:pPr>
      <w:r>
        <w:rPr>
          <w:rFonts w:hint="eastAsia" w:ascii="宋体" w:hAnsi="宋体" w:cs="宋体"/>
          <w:bCs/>
          <w:color w:val="000000"/>
          <w:szCs w:val="21"/>
        </w:rPr>
        <w:t>投标人须出具由波分系统原设备厂商出具的针对此项目投标人的制造商授权函。</w:t>
      </w:r>
    </w:p>
    <w:p>
      <w:pPr>
        <w:numPr>
          <w:ilvl w:val="0"/>
          <w:numId w:val="11"/>
        </w:numPr>
        <w:spacing w:line="360" w:lineRule="auto"/>
        <w:rPr>
          <w:rFonts w:ascii="宋体" w:hAnsi="宋体"/>
          <w:bCs/>
          <w:szCs w:val="21"/>
        </w:rPr>
      </w:pPr>
      <w:r>
        <w:rPr>
          <w:rFonts w:hint="eastAsia" w:ascii="宋体" w:hAnsi="宋体" w:cs="宋体"/>
          <w:bCs/>
          <w:szCs w:val="21"/>
        </w:rPr>
        <w:t>投标人须具备完整的售后服务体系、具有快速响应维护能力，具有较</w:t>
      </w:r>
      <w:r>
        <w:rPr>
          <w:rFonts w:hint="eastAsia" w:ascii="宋体" w:hAnsi="宋体"/>
          <w:bCs/>
          <w:szCs w:val="21"/>
        </w:rPr>
        <w:t>大规模的销售和售后服务的组织机构及完善快捷的技术支持能力，在江苏省南通市拥有固定可靠的有效服务网点</w:t>
      </w:r>
      <w:r>
        <w:rPr>
          <w:rFonts w:hint="eastAsia" w:ascii="宋体" w:hAnsi="宋体" w:cs="宋体"/>
          <w:bCs/>
          <w:szCs w:val="21"/>
        </w:rPr>
        <w:t>（提供有效网点产权证或在有效期内的租赁协议或分支机构的营业执照复印件）</w:t>
      </w:r>
      <w:r>
        <w:rPr>
          <w:rFonts w:hint="eastAsia" w:ascii="宋体" w:hAnsi="宋体"/>
          <w:bCs/>
          <w:szCs w:val="21"/>
        </w:rPr>
        <w:t>。有效服务网点指由</w:t>
      </w:r>
      <w:r>
        <w:rPr>
          <w:rFonts w:hint="eastAsia" w:ascii="宋体" w:hAnsi="宋体" w:cs="宋体"/>
          <w:bCs/>
          <w:szCs w:val="21"/>
        </w:rPr>
        <w:t>投标人</w:t>
      </w:r>
      <w:r>
        <w:rPr>
          <w:rFonts w:hint="eastAsia" w:ascii="宋体" w:hAnsi="宋体"/>
          <w:bCs/>
          <w:szCs w:val="21"/>
        </w:rPr>
        <w:t>自己或者其授权的服务商设立的具有维修和服务能力，并存有相应备品备件的网点。</w:t>
      </w:r>
    </w:p>
    <w:p>
      <w:pPr>
        <w:numPr>
          <w:ilvl w:val="0"/>
          <w:numId w:val="11"/>
        </w:numPr>
        <w:spacing w:line="360" w:lineRule="auto"/>
        <w:rPr>
          <w:rFonts w:ascii="宋体" w:hAnsi="宋体"/>
          <w:bCs/>
          <w:szCs w:val="21"/>
        </w:rPr>
      </w:pPr>
      <w:r>
        <w:rPr>
          <w:rFonts w:hint="eastAsia" w:ascii="宋体" w:hAnsi="宋体"/>
          <w:bCs/>
          <w:szCs w:val="21"/>
        </w:rPr>
        <w:t>投标人须在法律和财务上独立、合法运作并独立于招标人，不得直接或间接地与招标人或其附属机构有任何关联。</w:t>
      </w:r>
    </w:p>
    <w:p>
      <w:pPr>
        <w:numPr>
          <w:ilvl w:val="0"/>
          <w:numId w:val="11"/>
        </w:numPr>
        <w:spacing w:line="360" w:lineRule="auto"/>
        <w:rPr>
          <w:rFonts w:ascii="宋体" w:hAnsi="宋体"/>
          <w:bCs/>
          <w:szCs w:val="21"/>
        </w:rPr>
      </w:pPr>
      <w:r>
        <w:rPr>
          <w:rFonts w:hint="eastAsia" w:ascii="宋体" w:hAnsi="宋体"/>
          <w:bCs/>
          <w:szCs w:val="21"/>
        </w:rPr>
        <w:t>投标人须承诺，招标人在其本国使用</w:t>
      </w:r>
      <w:r>
        <w:rPr>
          <w:rFonts w:hint="eastAsia" w:ascii="宋体" w:hAnsi="宋体" w:cs="宋体"/>
          <w:bCs/>
          <w:szCs w:val="21"/>
        </w:rPr>
        <w:t>投标人</w:t>
      </w:r>
      <w:r>
        <w:rPr>
          <w:rFonts w:hint="eastAsia" w:ascii="宋体" w:hAnsi="宋体"/>
          <w:bCs/>
          <w:szCs w:val="21"/>
        </w:rPr>
        <w:t>提供的产品时</w:t>
      </w:r>
      <w:r>
        <w:rPr>
          <w:rFonts w:ascii="宋体" w:hAnsi="宋体"/>
          <w:bCs/>
          <w:szCs w:val="21"/>
        </w:rPr>
        <w:t>，</w:t>
      </w:r>
      <w:r>
        <w:rPr>
          <w:rFonts w:hint="eastAsia" w:ascii="宋体" w:hAnsi="宋体"/>
          <w:bCs/>
          <w:szCs w:val="21"/>
        </w:rPr>
        <w:t>不存在任何已知的不合法的情形，也不存在任何已知的与第三方专利权、著作权、商标权或工业设计权相关的任何争议。如果有任何因招标人使用</w:t>
      </w:r>
      <w:r>
        <w:rPr>
          <w:rFonts w:hint="eastAsia" w:ascii="宋体" w:hAnsi="宋体" w:cs="宋体"/>
          <w:bCs/>
          <w:szCs w:val="21"/>
        </w:rPr>
        <w:t>投标人</w:t>
      </w:r>
      <w:r>
        <w:rPr>
          <w:rFonts w:hint="eastAsia" w:ascii="宋体" w:hAnsi="宋体"/>
          <w:bCs/>
          <w:szCs w:val="21"/>
        </w:rPr>
        <w:t>提供的产品而提起的侵权指控，</w:t>
      </w:r>
      <w:r>
        <w:rPr>
          <w:rFonts w:hint="eastAsia" w:ascii="宋体" w:hAnsi="宋体" w:cs="宋体"/>
          <w:bCs/>
          <w:szCs w:val="21"/>
        </w:rPr>
        <w:t>投标人</w:t>
      </w:r>
      <w:r>
        <w:rPr>
          <w:rFonts w:hint="eastAsia" w:ascii="宋体" w:hAnsi="宋体"/>
          <w:bCs/>
          <w:szCs w:val="21"/>
        </w:rPr>
        <w:t>依法承担全部责任。</w:t>
      </w:r>
    </w:p>
    <w:p>
      <w:pPr>
        <w:numPr>
          <w:ilvl w:val="0"/>
          <w:numId w:val="11"/>
        </w:numPr>
        <w:spacing w:line="360" w:lineRule="auto"/>
        <w:rPr>
          <w:rFonts w:ascii="宋体" w:hAnsi="宋体"/>
          <w:bCs/>
          <w:szCs w:val="21"/>
        </w:rPr>
      </w:pPr>
      <w:r>
        <w:rPr>
          <w:rFonts w:hint="eastAsia" w:ascii="宋体" w:hAnsi="宋体"/>
          <w:bCs/>
          <w:szCs w:val="21"/>
        </w:rPr>
        <w:t>法定代表人为同一个人的两个及两个以上法人，母公司与全资子公司/由其控股的子公司，不得同时参与本项目。</w:t>
      </w:r>
    </w:p>
    <w:p>
      <w:pPr>
        <w:spacing w:line="360" w:lineRule="auto"/>
        <w:rPr>
          <w:rFonts w:ascii="宋体" w:hAnsi="宋体"/>
          <w:b/>
          <w:szCs w:val="21"/>
        </w:rPr>
      </w:pPr>
      <w:r>
        <w:rPr>
          <w:rFonts w:hint="eastAsia" w:ascii="宋体" w:hAnsi="宋体"/>
          <w:b/>
          <w:szCs w:val="21"/>
        </w:rPr>
        <w:t>三、招标文件的发布</w:t>
      </w:r>
    </w:p>
    <w:p>
      <w:pPr>
        <w:spacing w:line="360" w:lineRule="auto"/>
        <w:ind w:firstLine="420"/>
        <w:rPr>
          <w:rFonts w:ascii="宋体" w:hAnsi="宋体" w:cs="宋体"/>
          <w:szCs w:val="21"/>
        </w:rPr>
      </w:pPr>
      <w:r>
        <w:rPr>
          <w:rFonts w:hint="eastAsia" w:ascii="宋体" w:hAnsi="宋体" w:cs="宋体"/>
          <w:szCs w:val="21"/>
        </w:rPr>
        <w:t>发布时间：</w:t>
      </w:r>
      <w:r>
        <w:rPr>
          <w:rFonts w:ascii="宋体" w:hAnsi="宋体"/>
          <w:szCs w:val="21"/>
        </w:rPr>
        <w:t>20</w:t>
      </w:r>
      <w:r>
        <w:rPr>
          <w:rFonts w:hint="eastAsia" w:ascii="宋体" w:hAnsi="宋体"/>
          <w:szCs w:val="21"/>
          <w:lang w:val="en-US" w:eastAsia="zh-CN"/>
        </w:rPr>
        <w:t>24</w:t>
      </w:r>
      <w:r>
        <w:rPr>
          <w:rFonts w:ascii="宋体" w:hAnsi="宋体"/>
          <w:szCs w:val="21"/>
        </w:rPr>
        <w:t>年</w:t>
      </w:r>
      <w:r>
        <w:rPr>
          <w:rFonts w:hint="eastAsia" w:ascii="宋体" w:hAnsi="宋体"/>
          <w:szCs w:val="21"/>
        </w:rPr>
        <w:t>0</w:t>
      </w:r>
      <w:r>
        <w:rPr>
          <w:rFonts w:hint="default" w:ascii="宋体" w:hAnsi="宋体"/>
          <w:szCs w:val="21"/>
          <w:lang w:val="en-US"/>
        </w:rPr>
        <w:t>5</w:t>
      </w:r>
      <w:r>
        <w:rPr>
          <w:rFonts w:ascii="宋体" w:hAnsi="宋体"/>
          <w:szCs w:val="21"/>
        </w:rPr>
        <w:t>月</w:t>
      </w:r>
      <w:r>
        <w:rPr>
          <w:rFonts w:hint="eastAsia" w:ascii="宋体" w:hAnsi="宋体"/>
          <w:szCs w:val="21"/>
          <w:lang w:val="en-US" w:eastAsia="zh-CN"/>
        </w:rPr>
        <w:t>15</w:t>
      </w:r>
      <w:r>
        <w:rPr>
          <w:rFonts w:ascii="宋体" w:hAnsi="宋体"/>
          <w:szCs w:val="21"/>
        </w:rPr>
        <w:t>日</w:t>
      </w:r>
      <w:r>
        <w:rPr>
          <w:rFonts w:hint="eastAsia" w:ascii="宋体" w:hAnsi="宋体"/>
          <w:szCs w:val="21"/>
        </w:rPr>
        <w:t>至</w:t>
      </w:r>
      <w:r>
        <w:rPr>
          <w:rFonts w:ascii="宋体" w:hAnsi="宋体"/>
          <w:szCs w:val="21"/>
        </w:rPr>
        <w:t>20</w:t>
      </w:r>
      <w:r>
        <w:rPr>
          <w:rFonts w:hint="eastAsia" w:ascii="宋体" w:hAnsi="宋体"/>
          <w:szCs w:val="21"/>
          <w:lang w:val="en-US" w:eastAsia="zh-CN"/>
        </w:rPr>
        <w:t>24</w:t>
      </w:r>
      <w:r>
        <w:rPr>
          <w:rFonts w:ascii="宋体" w:hAnsi="宋体"/>
          <w:szCs w:val="21"/>
        </w:rPr>
        <w:t>年</w:t>
      </w:r>
      <w:r>
        <w:rPr>
          <w:rFonts w:hint="eastAsia" w:ascii="宋体" w:hAnsi="宋体"/>
          <w:szCs w:val="21"/>
        </w:rPr>
        <w:t>0</w:t>
      </w:r>
      <w:r>
        <w:rPr>
          <w:rFonts w:hint="default" w:ascii="宋体" w:hAnsi="宋体"/>
          <w:szCs w:val="21"/>
          <w:lang w:val="en-US"/>
        </w:rPr>
        <w:t>5</w:t>
      </w:r>
      <w:r>
        <w:rPr>
          <w:rFonts w:ascii="宋体" w:hAnsi="宋体"/>
          <w:szCs w:val="21"/>
        </w:rPr>
        <w:t>月</w:t>
      </w:r>
      <w:r>
        <w:rPr>
          <w:rFonts w:ascii="宋体" w:hAnsi="宋体"/>
          <w:szCs w:val="21"/>
          <w:lang w:val="en-US"/>
        </w:rPr>
        <w:t>2</w:t>
      </w:r>
      <w:r>
        <w:rPr>
          <w:rFonts w:hint="eastAsia" w:ascii="宋体" w:hAnsi="宋体"/>
          <w:szCs w:val="21"/>
          <w:lang w:val="en-US" w:eastAsia="zh-CN"/>
        </w:rPr>
        <w:t>6</w:t>
      </w:r>
      <w:r>
        <w:rPr>
          <w:rFonts w:ascii="宋体" w:hAnsi="宋体"/>
          <w:szCs w:val="21"/>
        </w:rPr>
        <w:t>日</w:t>
      </w:r>
      <w:r>
        <w:rPr>
          <w:rFonts w:hint="eastAsia" w:ascii="宋体" w:hAnsi="宋体"/>
          <w:szCs w:val="21"/>
        </w:rPr>
        <w:t>；</w:t>
      </w:r>
    </w:p>
    <w:p>
      <w:pPr>
        <w:spacing w:line="360" w:lineRule="auto"/>
        <w:ind w:firstLine="420"/>
        <w:rPr>
          <w:rFonts w:ascii="宋体" w:hAnsi="宋体" w:cs="宋体"/>
          <w:szCs w:val="21"/>
        </w:rPr>
      </w:pPr>
      <w:r>
        <w:rPr>
          <w:rFonts w:hint="eastAsia" w:ascii="宋体" w:hAnsi="宋体"/>
          <w:szCs w:val="21"/>
        </w:rPr>
        <w:t>发布方式：</w:t>
      </w:r>
      <w:r>
        <w:rPr>
          <w:rFonts w:hint="eastAsia" w:ascii="宋体" w:hAnsi="宋体" w:cs="宋体"/>
          <w:szCs w:val="21"/>
        </w:rPr>
        <w:t>在</w:t>
      </w:r>
      <w:r>
        <w:rPr>
          <w:rFonts w:ascii="宋体" w:hAnsi="宋体" w:cs="宋体"/>
          <w:szCs w:val="21"/>
        </w:rPr>
        <w:t>http://nt.jscnnet.com/</w:t>
      </w:r>
      <w:r>
        <w:rPr>
          <w:rFonts w:hint="eastAsia" w:ascii="宋体" w:hAnsi="宋体" w:cs="宋体"/>
          <w:szCs w:val="21"/>
        </w:rPr>
        <w:t>平台发布招标公告及招标文件。</w:t>
      </w:r>
    </w:p>
    <w:p>
      <w:pPr>
        <w:spacing w:line="360" w:lineRule="auto"/>
        <w:rPr>
          <w:rFonts w:ascii="宋体" w:hAnsi="宋体"/>
          <w:b/>
          <w:szCs w:val="21"/>
        </w:rPr>
      </w:pPr>
      <w:r>
        <w:rPr>
          <w:rFonts w:hint="eastAsia" w:ascii="宋体" w:hAnsi="宋体"/>
          <w:b/>
          <w:szCs w:val="21"/>
        </w:rPr>
        <w:t>四、投标文件的递交和开标</w:t>
      </w:r>
    </w:p>
    <w:p>
      <w:pPr>
        <w:spacing w:line="360" w:lineRule="auto"/>
        <w:ind w:firstLine="420"/>
        <w:rPr>
          <w:rFonts w:ascii="宋体" w:hAnsi="宋体" w:cs="宋体"/>
          <w:szCs w:val="21"/>
        </w:rPr>
      </w:pPr>
      <w:r>
        <w:rPr>
          <w:rFonts w:hint="eastAsia" w:ascii="宋体" w:hAnsi="宋体" w:cs="宋体"/>
          <w:szCs w:val="21"/>
        </w:rPr>
        <w:t>递交投标文件截止时间和开标时间：北京时间20</w:t>
      </w:r>
      <w:r>
        <w:rPr>
          <w:rFonts w:hint="eastAsia" w:ascii="宋体" w:hAnsi="宋体" w:cs="宋体"/>
          <w:szCs w:val="21"/>
          <w:lang w:val="en-US" w:eastAsia="zh-CN"/>
        </w:rPr>
        <w:t>24</w:t>
      </w:r>
      <w:r>
        <w:rPr>
          <w:rFonts w:hint="eastAsia" w:ascii="宋体" w:hAnsi="宋体" w:cs="宋体"/>
          <w:szCs w:val="21"/>
        </w:rPr>
        <w:t>年0</w:t>
      </w:r>
      <w:r>
        <w:rPr>
          <w:rFonts w:hint="default" w:ascii="宋体" w:hAnsi="宋体" w:cs="宋体"/>
          <w:szCs w:val="21"/>
          <w:lang w:val="en-US"/>
        </w:rPr>
        <w:t>5</w:t>
      </w:r>
      <w:r>
        <w:rPr>
          <w:rFonts w:hint="eastAsia" w:ascii="宋体" w:hAnsi="宋体" w:cs="宋体"/>
          <w:szCs w:val="21"/>
        </w:rPr>
        <w:t>月</w:t>
      </w:r>
      <w:r>
        <w:rPr>
          <w:rFonts w:hint="default" w:ascii="宋体" w:hAnsi="宋体" w:cs="宋体"/>
          <w:szCs w:val="21"/>
          <w:lang w:val="en-US"/>
        </w:rPr>
        <w:t>2</w:t>
      </w:r>
      <w:r>
        <w:rPr>
          <w:rFonts w:hint="eastAsia" w:ascii="宋体" w:hAnsi="宋体" w:cs="宋体"/>
          <w:szCs w:val="21"/>
          <w:lang w:val="en-US" w:eastAsia="zh-CN"/>
        </w:rPr>
        <w:t>7</w:t>
      </w:r>
      <w:r>
        <w:rPr>
          <w:rFonts w:hint="eastAsia" w:ascii="宋体" w:hAnsi="宋体" w:cs="宋体"/>
          <w:szCs w:val="21"/>
        </w:rPr>
        <w:t>日</w:t>
      </w:r>
      <w:bookmarkStart w:id="9" w:name="_GoBack"/>
      <w:bookmarkEnd w:id="9"/>
      <w:r>
        <w:rPr>
          <w:rFonts w:hint="eastAsia" w:ascii="宋体" w:hAnsi="宋体" w:cs="宋体"/>
          <w:szCs w:val="21"/>
          <w:lang w:val="en-US" w:eastAsia="zh-CN"/>
        </w:rPr>
        <w:t>14</w:t>
      </w:r>
      <w:r>
        <w:rPr>
          <w:rFonts w:hint="eastAsia" w:ascii="宋体" w:hAnsi="宋体" w:cs="宋体"/>
          <w:szCs w:val="21"/>
        </w:rPr>
        <w:t>：30整。逾期收到或不符合规定的投标文件恕不接受。</w:t>
      </w:r>
    </w:p>
    <w:p>
      <w:pPr>
        <w:spacing w:line="360" w:lineRule="auto"/>
        <w:ind w:firstLine="420"/>
        <w:rPr>
          <w:rFonts w:ascii="宋体" w:hAnsi="宋体" w:cs="宋体"/>
          <w:szCs w:val="21"/>
        </w:rPr>
      </w:pPr>
      <w:r>
        <w:rPr>
          <w:rFonts w:hint="eastAsia" w:ascii="宋体" w:hAnsi="宋体" w:cs="宋体"/>
          <w:szCs w:val="21"/>
        </w:rPr>
        <w:t>递交投标文件地点和开标地点：江苏省南通市通州区金沙街道新金西路68号院内三楼会议室。</w:t>
      </w:r>
    </w:p>
    <w:bookmarkEnd w:id="0"/>
    <w:p>
      <w:pPr>
        <w:spacing w:line="360" w:lineRule="auto"/>
        <w:ind w:firstLine="420" w:firstLineChars="200"/>
        <w:rPr>
          <w:rFonts w:ascii="宋体" w:hAnsi="宋体"/>
        </w:rPr>
      </w:pPr>
      <w:r>
        <w:rPr>
          <w:rFonts w:ascii="宋体" w:hAnsi="宋体"/>
        </w:rPr>
        <w:t>联系人：</w:t>
      </w:r>
      <w:r>
        <w:rPr>
          <w:rFonts w:hint="eastAsia" w:ascii="宋体" w:hAnsi="宋体"/>
        </w:rPr>
        <w:t>杨峰</w:t>
      </w:r>
    </w:p>
    <w:p>
      <w:pPr>
        <w:spacing w:line="360" w:lineRule="auto"/>
        <w:ind w:firstLine="420" w:firstLineChars="200"/>
        <w:rPr>
          <w:rFonts w:ascii="宋体" w:hAnsi="宋体"/>
        </w:rPr>
      </w:pPr>
      <w:r>
        <w:rPr>
          <w:rFonts w:ascii="宋体" w:hAnsi="宋体"/>
        </w:rPr>
        <w:t>联系电话：</w:t>
      </w:r>
      <w:r>
        <w:rPr>
          <w:rFonts w:hint="eastAsia" w:ascii="宋体" w:hAnsi="宋体"/>
        </w:rPr>
        <w:t>13962865066</w:t>
      </w:r>
    </w:p>
    <w:p>
      <w:pPr>
        <w:spacing w:line="360" w:lineRule="auto"/>
        <w:ind w:left="2520" w:leftChars="200" w:hanging="2100" w:hangingChars="1000"/>
        <w:rPr>
          <w:rFonts w:ascii="宋体"/>
          <w:szCs w:val="21"/>
        </w:rPr>
      </w:pPr>
    </w:p>
    <w:p>
      <w:pPr>
        <w:spacing w:line="360" w:lineRule="auto"/>
        <w:ind w:left="2520" w:leftChars="200" w:right="-1772" w:rightChars="-844" w:hanging="2100" w:hangingChars="1000"/>
        <w:rPr>
          <w:rFonts w:ascii="宋体"/>
          <w:szCs w:val="21"/>
        </w:rPr>
      </w:pPr>
      <w:r>
        <w:rPr>
          <w:rFonts w:hint="eastAsia" w:ascii="宋体"/>
          <w:szCs w:val="21"/>
        </w:rPr>
        <w:t>招标人：江苏有线网络发展有限责任公司通州分公司</w:t>
      </w:r>
    </w:p>
    <w:p>
      <w:pPr>
        <w:spacing w:line="360" w:lineRule="auto"/>
        <w:ind w:left="2520" w:leftChars="200" w:hanging="2100" w:hangingChars="1000"/>
        <w:rPr>
          <w:rFonts w:ascii="宋体"/>
          <w:szCs w:val="21"/>
        </w:rPr>
      </w:pPr>
      <w:r>
        <w:rPr>
          <w:rFonts w:hint="eastAsia" w:ascii="宋体"/>
          <w:szCs w:val="21"/>
        </w:rPr>
        <w:t>地址：江苏省南通市通州区金沙街道新金西路68号</w:t>
      </w:r>
    </w:p>
    <w:p>
      <w:pPr>
        <w:spacing w:line="360" w:lineRule="auto"/>
        <w:ind w:firstLine="420"/>
        <w:rPr>
          <w:rFonts w:ascii="宋体"/>
          <w:szCs w:val="21"/>
        </w:rPr>
      </w:pPr>
      <w:r>
        <w:rPr>
          <w:rFonts w:hint="eastAsia" w:ascii="宋体"/>
          <w:szCs w:val="21"/>
        </w:rPr>
        <w:t>联系人：采购部门-杨峰（13962865066），</w:t>
      </w:r>
      <w:r>
        <w:rPr>
          <w:rFonts w:hint="eastAsia" w:ascii="宋体" w:hAnsi="宋体"/>
        </w:rPr>
        <w:t>需求部门-邵新建（</w:t>
      </w:r>
      <w:r>
        <w:rPr>
          <w:rFonts w:hint="eastAsia" w:ascii="宋体"/>
          <w:szCs w:val="21"/>
        </w:rPr>
        <w:t>13515227700</w:t>
      </w:r>
      <w:r>
        <w:rPr>
          <w:rFonts w:hint="eastAsia" w:ascii="宋体" w:hAnsi="宋体"/>
        </w:rPr>
        <w:t>）</w:t>
      </w:r>
    </w:p>
    <w:p>
      <w:pPr>
        <w:pStyle w:val="2"/>
        <w:spacing w:line="360" w:lineRule="auto"/>
        <w:jc w:val="center"/>
        <w:rPr>
          <w:rFonts w:ascii="黑体" w:hAnsi="仿宋_GB2312" w:eastAsia="黑体"/>
          <w:bCs/>
          <w:sz w:val="52"/>
          <w:szCs w:val="52"/>
        </w:rPr>
      </w:pPr>
      <w:r>
        <w:rPr>
          <w:rFonts w:ascii="黑体" w:hAnsi="仿宋_GB2312" w:eastAsia="黑体"/>
          <w:bCs/>
          <w:sz w:val="52"/>
          <w:szCs w:val="52"/>
        </w:rPr>
        <w:br w:type="page"/>
      </w:r>
      <w:r>
        <w:rPr>
          <w:rFonts w:hint="eastAsia" w:ascii="黑体" w:hAnsi="仿宋_GB2312" w:eastAsia="黑体"/>
          <w:bCs/>
          <w:sz w:val="52"/>
          <w:szCs w:val="52"/>
        </w:rPr>
        <w:t>第二章 投标人须知前附表</w:t>
      </w:r>
    </w:p>
    <w:p>
      <w:pPr>
        <w:pStyle w:val="2"/>
        <w:spacing w:line="360" w:lineRule="auto"/>
        <w:jc w:val="center"/>
        <w:rPr>
          <w:rFonts w:ascii="黑体" w:hAnsi="仿宋_GB2312" w:eastAsia="黑体"/>
          <w:bCs/>
          <w:sz w:val="52"/>
          <w:szCs w:val="52"/>
        </w:rPr>
      </w:pPr>
      <w:r>
        <w:rPr>
          <w:rFonts w:hint="eastAsia" w:ascii="黑体" w:hAnsi="仿宋_GB2312" w:eastAsia="黑体"/>
          <w:bCs/>
          <w:sz w:val="52"/>
          <w:szCs w:val="52"/>
        </w:rPr>
        <w:t>及投标人须知</w:t>
      </w:r>
    </w:p>
    <w:p>
      <w:pPr>
        <w:pStyle w:val="2"/>
        <w:spacing w:before="360" w:after="360" w:line="360" w:lineRule="auto"/>
        <w:jc w:val="center"/>
        <w:rPr>
          <w:rFonts w:ascii="宋体" w:hAnsi="仿宋_GB2312"/>
          <w:sz w:val="36"/>
          <w:szCs w:val="36"/>
        </w:rPr>
      </w:pPr>
      <w:r>
        <w:rPr>
          <w:rFonts w:ascii="黑体" w:hAnsi="仿宋_GB2312" w:eastAsia="黑体"/>
          <w:bCs/>
          <w:sz w:val="52"/>
          <w:szCs w:val="52"/>
        </w:rPr>
        <w:br w:type="page"/>
      </w:r>
      <w:r>
        <w:rPr>
          <w:rFonts w:hint="eastAsia" w:ascii="宋体" w:hAnsi="仿宋_GB2312"/>
          <w:sz w:val="36"/>
          <w:szCs w:val="36"/>
        </w:rPr>
        <w:t>投标人须知前附表</w:t>
      </w:r>
    </w:p>
    <w:tbl>
      <w:tblPr>
        <w:tblStyle w:val="52"/>
        <w:tblW w:w="0" w:type="auto"/>
        <w:tblInd w:w="28"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5"/>
        <w:gridCol w:w="735"/>
        <w:gridCol w:w="1365"/>
        <w:gridCol w:w="5597"/>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序号</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条款号</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内容</w:t>
            </w:r>
          </w:p>
        </w:tc>
        <w:tc>
          <w:tcPr>
            <w:tcW w:w="5597" w:type="dxa"/>
            <w:vAlign w:val="center"/>
          </w:tcPr>
          <w:p>
            <w:pPr>
              <w:spacing w:line="300" w:lineRule="auto"/>
              <w:jc w:val="center"/>
              <w:rPr>
                <w:rFonts w:ascii="宋体" w:hAnsi="宋体" w:eastAsia="宋体"/>
                <w:szCs w:val="21"/>
              </w:rPr>
            </w:pPr>
            <w:r>
              <w:rPr>
                <w:rFonts w:hint="eastAsia" w:ascii="宋体" w:hAnsi="宋体" w:eastAsia="宋体"/>
                <w:szCs w:val="21"/>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1</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1.1</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招标人</w:t>
            </w:r>
          </w:p>
        </w:tc>
        <w:tc>
          <w:tcPr>
            <w:tcW w:w="5597" w:type="dxa"/>
            <w:vAlign w:val="center"/>
          </w:tcPr>
          <w:p>
            <w:pPr>
              <w:spacing w:line="300" w:lineRule="auto"/>
              <w:rPr>
                <w:rFonts w:ascii="宋体" w:hAnsi="宋体" w:eastAsia="宋体"/>
                <w:szCs w:val="21"/>
              </w:rPr>
            </w:pPr>
            <w:r>
              <w:rPr>
                <w:rFonts w:hint="eastAsia" w:ascii="宋体" w:hAnsi="宋体" w:eastAsia="宋体"/>
                <w:szCs w:val="21"/>
              </w:rPr>
              <w:t>本项目招标人为江苏有线网络发展有限责任公司通州分公司，以下简称“招标人”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2</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1.3</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合格的投标人</w:t>
            </w:r>
          </w:p>
        </w:tc>
        <w:tc>
          <w:tcPr>
            <w:tcW w:w="5597" w:type="dxa"/>
            <w:vAlign w:val="center"/>
          </w:tcPr>
          <w:p>
            <w:pPr>
              <w:spacing w:line="300" w:lineRule="auto"/>
              <w:rPr>
                <w:rFonts w:ascii="宋体" w:hAnsi="宋体" w:eastAsia="宋体"/>
                <w:szCs w:val="21"/>
              </w:rPr>
            </w:pPr>
            <w:r>
              <w:rPr>
                <w:rFonts w:hint="eastAsia" w:ascii="宋体" w:hAnsi="宋体" w:eastAsia="宋体"/>
                <w:szCs w:val="21"/>
              </w:rPr>
              <w:t>见招标文件第一章《招标公告》，并按公告要求提供相关证明材料。</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3</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7.1</w:t>
            </w:r>
          </w:p>
          <w:p>
            <w:pPr>
              <w:spacing w:line="300" w:lineRule="auto"/>
              <w:jc w:val="center"/>
              <w:rPr>
                <w:rFonts w:ascii="宋体" w:hAnsi="宋体" w:eastAsia="宋体"/>
                <w:szCs w:val="21"/>
              </w:rPr>
            </w:pPr>
            <w:r>
              <w:rPr>
                <w:rFonts w:hint="eastAsia" w:ascii="宋体" w:hAnsi="宋体" w:eastAsia="宋体"/>
                <w:szCs w:val="21"/>
              </w:rPr>
              <w:t>6）</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合同文本</w:t>
            </w:r>
          </w:p>
          <w:p>
            <w:pPr>
              <w:spacing w:line="300" w:lineRule="auto"/>
              <w:jc w:val="center"/>
              <w:rPr>
                <w:rFonts w:ascii="宋体" w:hAnsi="宋体" w:eastAsia="宋体"/>
                <w:szCs w:val="21"/>
              </w:rPr>
            </w:pPr>
            <w:r>
              <w:rPr>
                <w:rFonts w:hint="eastAsia" w:ascii="宋体" w:hAnsi="宋体" w:eastAsia="宋体"/>
                <w:szCs w:val="21"/>
              </w:rPr>
              <w:t>的提供</w:t>
            </w:r>
          </w:p>
        </w:tc>
        <w:tc>
          <w:tcPr>
            <w:tcW w:w="5597" w:type="dxa"/>
            <w:vAlign w:val="center"/>
          </w:tcPr>
          <w:p>
            <w:pPr>
              <w:spacing w:line="300" w:lineRule="auto"/>
              <w:rPr>
                <w:rFonts w:ascii="宋体" w:hAnsi="宋体" w:eastAsia="宋体"/>
                <w:szCs w:val="21"/>
              </w:rPr>
            </w:pPr>
            <w:r>
              <w:rPr>
                <w:rFonts w:hint="eastAsia" w:ascii="宋体" w:hAnsi="宋体" w:eastAsia="宋体"/>
                <w:szCs w:val="21"/>
              </w:rPr>
              <w:t>除了对招标文件的逐项应答（包括第四章《合同主要条款及格式》）外，投标人还应提供一份完整的合同文本，作为投标文件的一部分，该合同文本对于招标文件第四章《合同主要条款及格式》的任何负偏离均将导致废标。</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4</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8.1</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投标文件的式样和签署</w:t>
            </w:r>
          </w:p>
        </w:tc>
        <w:tc>
          <w:tcPr>
            <w:tcW w:w="5597" w:type="dxa"/>
            <w:vAlign w:val="center"/>
          </w:tcPr>
          <w:p>
            <w:pPr>
              <w:spacing w:line="300" w:lineRule="auto"/>
              <w:rPr>
                <w:rFonts w:ascii="宋体" w:hAnsi="宋体" w:eastAsia="宋体"/>
                <w:szCs w:val="21"/>
              </w:rPr>
            </w:pPr>
            <w:r>
              <w:rPr>
                <w:rFonts w:hint="eastAsia" w:ascii="宋体" w:hAnsi="宋体" w:eastAsia="宋体"/>
                <w:szCs w:val="21"/>
              </w:rPr>
              <w:t>投标文件一式3份（1份正本、2份副本）。</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8"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5</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9.1</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项目限价</w:t>
            </w:r>
          </w:p>
        </w:tc>
        <w:tc>
          <w:tcPr>
            <w:tcW w:w="5597" w:type="dxa"/>
            <w:vAlign w:val="center"/>
          </w:tcPr>
          <w:p>
            <w:pPr>
              <w:rPr>
                <w:rFonts w:ascii="宋体" w:hAnsi="宋体" w:eastAsia="宋体"/>
                <w:szCs w:val="21"/>
              </w:rPr>
            </w:pPr>
            <w:r>
              <w:rPr>
                <w:rFonts w:hint="eastAsia" w:ascii="宋体" w:hAnsi="宋体" w:eastAsia="宋体"/>
                <w:szCs w:val="21"/>
              </w:rPr>
              <w:t>本项目最高限价为</w:t>
            </w:r>
            <w:r>
              <w:rPr>
                <w:rFonts w:hint="eastAsia" w:ascii="宋体" w:hAnsi="宋体" w:eastAsia="宋体"/>
                <w:b/>
                <w:szCs w:val="21"/>
              </w:rPr>
              <w:t>人民币</w:t>
            </w:r>
            <w:r>
              <w:rPr>
                <w:rFonts w:hint="eastAsia" w:ascii="宋体" w:hAnsi="宋体" w:eastAsia="宋体"/>
                <w:b/>
                <w:szCs w:val="21"/>
                <w:lang w:val="en-US" w:eastAsia="zh-CN"/>
              </w:rPr>
              <w:t>543200.00元</w:t>
            </w:r>
            <w:r>
              <w:rPr>
                <w:rFonts w:hint="eastAsia" w:ascii="宋体" w:hAnsi="宋体" w:eastAsia="宋体"/>
                <w:szCs w:val="21"/>
              </w:rPr>
              <w:t>。所有报价不得高于限价，否则按废标处理。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1"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6</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9.1</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报价</w:t>
            </w:r>
          </w:p>
        </w:tc>
        <w:tc>
          <w:tcPr>
            <w:tcW w:w="5597" w:type="dxa"/>
            <w:vAlign w:val="center"/>
          </w:tcPr>
          <w:p>
            <w:pPr>
              <w:numPr>
                <w:ilvl w:val="0"/>
                <w:numId w:val="12"/>
              </w:numPr>
              <w:rPr>
                <w:rFonts w:ascii="宋体" w:hAnsi="宋体" w:eastAsia="宋体"/>
                <w:szCs w:val="21"/>
              </w:rPr>
            </w:pPr>
            <w:r>
              <w:rPr>
                <w:rFonts w:hint="eastAsia" w:ascii="宋体" w:hAnsi="宋体" w:eastAsia="宋体"/>
                <w:szCs w:val="21"/>
              </w:rPr>
              <w:t>投标人应根据技术需求书，在投标文件中提供其满足技术要求的产品的介绍、规格（格式见附件）；</w:t>
            </w:r>
          </w:p>
          <w:p>
            <w:pPr>
              <w:numPr>
                <w:ilvl w:val="0"/>
                <w:numId w:val="12"/>
              </w:numPr>
              <w:rPr>
                <w:rFonts w:ascii="宋体" w:hAnsi="宋体" w:eastAsia="宋体"/>
                <w:szCs w:val="21"/>
              </w:rPr>
            </w:pPr>
            <w:r>
              <w:rPr>
                <w:rFonts w:hint="eastAsia" w:ascii="宋体" w:hAnsi="宋体" w:eastAsia="宋体"/>
                <w:szCs w:val="21"/>
              </w:rPr>
              <w:t>本次报价为最终报价。</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7</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10.1</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投标保证金</w:t>
            </w:r>
          </w:p>
        </w:tc>
        <w:tc>
          <w:tcPr>
            <w:tcW w:w="5597" w:type="dxa"/>
            <w:vAlign w:val="center"/>
          </w:tcPr>
          <w:p>
            <w:pPr>
              <w:spacing w:line="300" w:lineRule="auto"/>
              <w:rPr>
                <w:rFonts w:ascii="宋体" w:hAnsi="宋体" w:eastAsia="宋体"/>
                <w:szCs w:val="21"/>
              </w:rPr>
            </w:pPr>
            <w:r>
              <w:rPr>
                <w:rFonts w:hint="eastAsia" w:ascii="宋体" w:hAnsi="宋体" w:eastAsia="宋体"/>
                <w:szCs w:val="21"/>
              </w:rPr>
              <w:t>投标人应提交不低于人民币壹万元的投标保证金，并作为其投标文件的一部分。</w:t>
            </w:r>
            <w:r>
              <w:rPr>
                <w:rFonts w:hint="eastAsia" w:ascii="宋体" w:hAnsi="宋体" w:eastAsia="宋体"/>
                <w:b/>
                <w:szCs w:val="21"/>
              </w:rPr>
              <w:t>投标保证金在投标人中标并签订合同后无息退还，未中标的投标人投标保证金将现场予以退还。</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8</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10.3</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投标保证金</w:t>
            </w:r>
          </w:p>
          <w:p>
            <w:pPr>
              <w:spacing w:line="300" w:lineRule="auto"/>
              <w:jc w:val="center"/>
              <w:rPr>
                <w:rFonts w:ascii="宋体" w:hAnsi="宋体" w:eastAsia="宋体"/>
                <w:szCs w:val="21"/>
              </w:rPr>
            </w:pPr>
            <w:r>
              <w:rPr>
                <w:rFonts w:hint="eastAsia" w:ascii="宋体" w:hAnsi="宋体" w:eastAsia="宋体"/>
                <w:szCs w:val="21"/>
              </w:rPr>
              <w:t>形式</w:t>
            </w:r>
          </w:p>
        </w:tc>
        <w:tc>
          <w:tcPr>
            <w:tcW w:w="5597" w:type="dxa"/>
            <w:vAlign w:val="center"/>
          </w:tcPr>
          <w:p>
            <w:pPr>
              <w:spacing w:line="300" w:lineRule="auto"/>
              <w:rPr>
                <w:rFonts w:ascii="宋体" w:hAnsi="宋体" w:eastAsia="宋体"/>
                <w:szCs w:val="21"/>
              </w:rPr>
            </w:pPr>
            <w:r>
              <w:rPr>
                <w:rFonts w:hint="eastAsia" w:ascii="宋体" w:hAnsi="宋体" w:eastAsia="宋体"/>
                <w:szCs w:val="21"/>
              </w:rPr>
              <w:t>现金，投标人应在递交投标文件时将投标保证金单独密封并随投标文件一同提交。</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9</w:t>
            </w:r>
          </w:p>
        </w:tc>
        <w:tc>
          <w:tcPr>
            <w:tcW w:w="735" w:type="dxa"/>
            <w:vAlign w:val="center"/>
          </w:tcPr>
          <w:p>
            <w:pPr>
              <w:spacing w:line="300" w:lineRule="auto"/>
              <w:jc w:val="center"/>
              <w:rPr>
                <w:rFonts w:ascii="宋体" w:hAnsi="宋体" w:eastAsia="宋体"/>
                <w:szCs w:val="21"/>
              </w:rPr>
            </w:pPr>
            <w:r>
              <w:rPr>
                <w:rFonts w:ascii="宋体" w:hAnsi="宋体" w:eastAsia="宋体"/>
                <w:szCs w:val="21"/>
              </w:rPr>
              <w:t>11.1</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投标有效期</w:t>
            </w:r>
          </w:p>
        </w:tc>
        <w:tc>
          <w:tcPr>
            <w:tcW w:w="5597" w:type="dxa"/>
            <w:vAlign w:val="center"/>
          </w:tcPr>
          <w:p>
            <w:pPr>
              <w:spacing w:line="300" w:lineRule="auto"/>
              <w:rPr>
                <w:rFonts w:ascii="宋体" w:hAnsi="宋体" w:eastAsia="宋体"/>
                <w:szCs w:val="21"/>
              </w:rPr>
            </w:pPr>
            <w:r>
              <w:rPr>
                <w:rFonts w:hint="eastAsia" w:ascii="宋体" w:hAnsi="宋体" w:eastAsia="宋体"/>
                <w:szCs w:val="21"/>
              </w:rPr>
              <w:t>投标人递交的投标文件应在规定的递交投标文件截止日后的90天内保持有效。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10</w:t>
            </w:r>
          </w:p>
        </w:tc>
        <w:tc>
          <w:tcPr>
            <w:tcW w:w="735" w:type="dxa"/>
            <w:vAlign w:val="center"/>
          </w:tcPr>
          <w:p>
            <w:pPr>
              <w:spacing w:line="300" w:lineRule="auto"/>
              <w:jc w:val="center"/>
              <w:rPr>
                <w:rFonts w:ascii="宋体" w:hAnsi="宋体" w:eastAsia="宋体"/>
                <w:szCs w:val="21"/>
              </w:rPr>
            </w:pPr>
            <w:r>
              <w:rPr>
                <w:rFonts w:ascii="宋体" w:hAnsi="宋体" w:eastAsia="宋体"/>
                <w:szCs w:val="21"/>
              </w:rPr>
              <w:t>13.1</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递交投标文件截止时间</w:t>
            </w:r>
          </w:p>
        </w:tc>
        <w:tc>
          <w:tcPr>
            <w:tcW w:w="5597" w:type="dxa"/>
            <w:vAlign w:val="center"/>
          </w:tcPr>
          <w:p>
            <w:pPr>
              <w:spacing w:line="300" w:lineRule="auto"/>
              <w:rPr>
                <w:rFonts w:ascii="宋体" w:hAnsi="宋体" w:eastAsia="宋体"/>
                <w:szCs w:val="21"/>
              </w:rPr>
            </w:pPr>
            <w:r>
              <w:rPr>
                <w:rFonts w:hint="eastAsia" w:ascii="宋体" w:hAnsi="宋体" w:eastAsia="宋体"/>
                <w:szCs w:val="21"/>
              </w:rPr>
              <w:t>见招标文件第一章《招标公告》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11</w:t>
            </w:r>
          </w:p>
        </w:tc>
        <w:tc>
          <w:tcPr>
            <w:tcW w:w="735" w:type="dxa"/>
            <w:vAlign w:val="center"/>
          </w:tcPr>
          <w:p>
            <w:pPr>
              <w:spacing w:line="300" w:lineRule="auto"/>
              <w:jc w:val="center"/>
              <w:rPr>
                <w:rFonts w:ascii="宋体" w:hAnsi="宋体" w:eastAsia="宋体"/>
                <w:szCs w:val="21"/>
              </w:rPr>
            </w:pPr>
            <w:r>
              <w:rPr>
                <w:rFonts w:ascii="宋体" w:hAnsi="宋体" w:eastAsia="宋体"/>
                <w:szCs w:val="21"/>
              </w:rPr>
              <w:t>1</w:t>
            </w:r>
            <w:r>
              <w:rPr>
                <w:rFonts w:hint="eastAsia" w:ascii="宋体" w:hAnsi="宋体" w:eastAsia="宋体"/>
                <w:szCs w:val="21"/>
              </w:rPr>
              <w:t>6</w:t>
            </w:r>
            <w:r>
              <w:rPr>
                <w:rFonts w:ascii="宋体" w:hAnsi="宋体" w:eastAsia="宋体"/>
                <w:szCs w:val="21"/>
              </w:rPr>
              <w:t>.1</w:t>
            </w:r>
          </w:p>
        </w:tc>
        <w:tc>
          <w:tcPr>
            <w:tcW w:w="1365" w:type="dxa"/>
            <w:vAlign w:val="center"/>
          </w:tcPr>
          <w:p>
            <w:pPr>
              <w:spacing w:line="300" w:lineRule="auto"/>
              <w:jc w:val="center"/>
              <w:rPr>
                <w:rFonts w:ascii="宋体" w:hAnsi="宋体" w:eastAsia="宋体" w:cs="宋体"/>
                <w:szCs w:val="21"/>
              </w:rPr>
            </w:pPr>
            <w:r>
              <w:rPr>
                <w:rFonts w:hint="eastAsia" w:ascii="宋体" w:hAnsi="宋体" w:eastAsia="宋体" w:cs="宋体"/>
                <w:szCs w:val="21"/>
              </w:rPr>
              <w:t>开标时间</w:t>
            </w:r>
          </w:p>
          <w:p>
            <w:pPr>
              <w:spacing w:line="300" w:lineRule="auto"/>
              <w:jc w:val="center"/>
              <w:rPr>
                <w:rFonts w:ascii="宋体" w:hAnsi="宋体" w:eastAsia="宋体" w:cs="宋体"/>
                <w:szCs w:val="21"/>
              </w:rPr>
            </w:pPr>
            <w:r>
              <w:rPr>
                <w:rFonts w:hint="eastAsia" w:ascii="宋体" w:hAnsi="宋体" w:eastAsia="宋体" w:cs="宋体"/>
                <w:szCs w:val="21"/>
              </w:rPr>
              <w:t>和地点</w:t>
            </w:r>
          </w:p>
        </w:tc>
        <w:tc>
          <w:tcPr>
            <w:tcW w:w="5597" w:type="dxa"/>
            <w:vAlign w:val="center"/>
          </w:tcPr>
          <w:p>
            <w:pPr>
              <w:spacing w:line="300" w:lineRule="auto"/>
              <w:ind w:left="496" w:hanging="495" w:hangingChars="236"/>
              <w:rPr>
                <w:rFonts w:ascii="宋体" w:hAnsi="宋体" w:eastAsia="宋体"/>
                <w:szCs w:val="21"/>
              </w:rPr>
            </w:pPr>
            <w:r>
              <w:rPr>
                <w:rFonts w:hint="eastAsia" w:ascii="宋体" w:hAnsi="宋体" w:eastAsia="宋体"/>
                <w:szCs w:val="21"/>
              </w:rPr>
              <w:t>见招标文件第一章《招标公告》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12</w:t>
            </w:r>
          </w:p>
        </w:tc>
        <w:tc>
          <w:tcPr>
            <w:tcW w:w="735" w:type="dxa"/>
            <w:vAlign w:val="center"/>
          </w:tcPr>
          <w:p>
            <w:pPr>
              <w:spacing w:line="300" w:lineRule="auto"/>
              <w:jc w:val="center"/>
              <w:rPr>
                <w:rFonts w:ascii="宋体" w:hAnsi="宋体" w:eastAsia="宋体"/>
                <w:szCs w:val="21"/>
              </w:rPr>
            </w:pPr>
            <w:r>
              <w:rPr>
                <w:rFonts w:ascii="宋体" w:hAnsi="宋体" w:eastAsia="宋体"/>
                <w:szCs w:val="21"/>
              </w:rPr>
              <w:t>1</w:t>
            </w:r>
            <w:r>
              <w:rPr>
                <w:rFonts w:hint="eastAsia" w:ascii="宋体" w:hAnsi="宋体" w:eastAsia="宋体"/>
                <w:szCs w:val="21"/>
              </w:rPr>
              <w:t>9</w:t>
            </w:r>
            <w:r>
              <w:rPr>
                <w:rFonts w:ascii="宋体" w:hAnsi="宋体" w:eastAsia="宋体"/>
                <w:szCs w:val="21"/>
              </w:rPr>
              <w:t>.</w:t>
            </w:r>
            <w:r>
              <w:rPr>
                <w:rFonts w:hint="eastAsia" w:ascii="宋体" w:hAnsi="宋体" w:eastAsia="宋体"/>
                <w:szCs w:val="21"/>
              </w:rPr>
              <w:t>5</w:t>
            </w:r>
          </w:p>
        </w:tc>
        <w:tc>
          <w:tcPr>
            <w:tcW w:w="1365" w:type="dxa"/>
            <w:vAlign w:val="center"/>
          </w:tcPr>
          <w:p>
            <w:pPr>
              <w:spacing w:line="300" w:lineRule="auto"/>
              <w:jc w:val="center"/>
              <w:rPr>
                <w:rFonts w:ascii="宋体" w:hAnsi="宋体" w:eastAsia="宋体" w:cs="宋体"/>
                <w:szCs w:val="21"/>
              </w:rPr>
            </w:pPr>
            <w:r>
              <w:rPr>
                <w:rFonts w:hint="eastAsia" w:ascii="宋体" w:hAnsi="宋体" w:eastAsia="宋体"/>
                <w:szCs w:val="21"/>
              </w:rPr>
              <w:t>如发现下列情况之一的，其投标文件将可能被拒绝</w:t>
            </w:r>
          </w:p>
        </w:tc>
        <w:tc>
          <w:tcPr>
            <w:tcW w:w="5597" w:type="dxa"/>
            <w:vAlign w:val="center"/>
          </w:tcPr>
          <w:p>
            <w:pPr>
              <w:spacing w:line="300" w:lineRule="auto"/>
              <w:rPr>
                <w:rFonts w:ascii="宋体" w:hAnsi="宋体" w:eastAsia="宋体"/>
                <w:szCs w:val="21"/>
              </w:rPr>
            </w:pPr>
            <w:r>
              <w:rPr>
                <w:rFonts w:hint="eastAsia" w:ascii="宋体" w:hAnsi="宋体" w:eastAsia="宋体"/>
                <w:szCs w:val="21"/>
              </w:rPr>
              <w:t>1）不满足招标文件对合格投标人的基本资质要求的；</w:t>
            </w:r>
          </w:p>
          <w:p>
            <w:pPr>
              <w:spacing w:line="300" w:lineRule="auto"/>
              <w:rPr>
                <w:rFonts w:ascii="宋体" w:hAnsi="宋体" w:eastAsia="宋体"/>
                <w:szCs w:val="21"/>
              </w:rPr>
            </w:pPr>
            <w:r>
              <w:rPr>
                <w:rFonts w:hint="eastAsia" w:ascii="宋体" w:hAnsi="宋体" w:eastAsia="宋体"/>
                <w:szCs w:val="21"/>
              </w:rPr>
              <w:t>2）投标人未提交投标保证金或金额不足、投标保证金形式不符合招标文件要求的；</w:t>
            </w:r>
          </w:p>
          <w:p>
            <w:pPr>
              <w:spacing w:line="300" w:lineRule="auto"/>
              <w:rPr>
                <w:rFonts w:ascii="宋体" w:hAnsi="宋体" w:eastAsia="宋体"/>
                <w:szCs w:val="21"/>
              </w:rPr>
            </w:pPr>
            <w:r>
              <w:rPr>
                <w:rFonts w:hint="eastAsia" w:ascii="宋体" w:hAnsi="宋体" w:eastAsia="宋体"/>
                <w:szCs w:val="21"/>
              </w:rPr>
              <w:t>3）投标人在投标文件中提供的产品不能实质性满足招标文件要求或不能提供实质性满足证明的；</w:t>
            </w:r>
          </w:p>
          <w:p>
            <w:pPr>
              <w:spacing w:line="300" w:lineRule="auto"/>
              <w:rPr>
                <w:rFonts w:ascii="宋体" w:hAnsi="宋体" w:eastAsia="宋体"/>
                <w:szCs w:val="21"/>
              </w:rPr>
            </w:pPr>
            <w:r>
              <w:rPr>
                <w:rFonts w:hint="eastAsia" w:ascii="宋体" w:hAnsi="宋体" w:eastAsia="宋体"/>
                <w:szCs w:val="21"/>
              </w:rPr>
              <w:t>4）投标人在投标文件中对于第四章《合同主要条款及格式》的任何负偏离；</w:t>
            </w:r>
          </w:p>
          <w:p>
            <w:pPr>
              <w:spacing w:line="300" w:lineRule="auto"/>
              <w:rPr>
                <w:rFonts w:ascii="宋体" w:hAnsi="宋体" w:eastAsia="宋体"/>
                <w:szCs w:val="21"/>
              </w:rPr>
            </w:pPr>
            <w:r>
              <w:rPr>
                <w:rFonts w:hint="eastAsia" w:ascii="宋体" w:hAnsi="宋体" w:eastAsia="宋体"/>
                <w:szCs w:val="21"/>
              </w:rPr>
              <w:t>5）资格证明文件不全、失效或不符合招标文件要求的；</w:t>
            </w:r>
          </w:p>
          <w:p>
            <w:pPr>
              <w:spacing w:line="300" w:lineRule="auto"/>
              <w:rPr>
                <w:rFonts w:ascii="宋体" w:hAnsi="宋体" w:eastAsia="宋体"/>
                <w:szCs w:val="21"/>
              </w:rPr>
            </w:pPr>
            <w:r>
              <w:rPr>
                <w:rFonts w:hint="eastAsia" w:ascii="宋体" w:hAnsi="宋体" w:eastAsia="宋体"/>
                <w:szCs w:val="21"/>
              </w:rPr>
              <w:t>6）投标文件无法定代表人签字，或签字人无法定代表人有效授权的；</w:t>
            </w:r>
          </w:p>
          <w:p>
            <w:pPr>
              <w:spacing w:line="300" w:lineRule="auto"/>
              <w:rPr>
                <w:rFonts w:ascii="宋体" w:hAnsi="宋体" w:eastAsia="宋体"/>
                <w:szCs w:val="21"/>
              </w:rPr>
            </w:pPr>
            <w:r>
              <w:rPr>
                <w:rFonts w:hint="eastAsia" w:ascii="宋体" w:hAnsi="宋体" w:eastAsia="宋体"/>
                <w:szCs w:val="21"/>
              </w:rPr>
              <w:t>7）投标文件或投标有效期不足的；</w:t>
            </w:r>
          </w:p>
          <w:p>
            <w:pPr>
              <w:spacing w:line="300" w:lineRule="auto"/>
              <w:rPr>
                <w:rFonts w:ascii="宋体" w:hAnsi="宋体" w:eastAsia="宋体"/>
                <w:szCs w:val="21"/>
              </w:rPr>
            </w:pPr>
            <w:r>
              <w:rPr>
                <w:rFonts w:hint="eastAsia" w:ascii="宋体" w:hAnsi="宋体" w:eastAsia="宋体"/>
                <w:szCs w:val="21"/>
              </w:rPr>
              <w:t>8）投标文件中提供虚假或失实资料的；</w:t>
            </w:r>
          </w:p>
          <w:p>
            <w:pPr>
              <w:spacing w:line="300" w:lineRule="auto"/>
              <w:rPr>
                <w:rFonts w:ascii="宋体" w:hAnsi="宋体" w:eastAsia="宋体"/>
                <w:szCs w:val="21"/>
              </w:rPr>
            </w:pPr>
            <w:r>
              <w:rPr>
                <w:rFonts w:hint="eastAsia" w:ascii="宋体" w:hAnsi="宋体" w:eastAsia="宋体"/>
                <w:szCs w:val="21"/>
              </w:rPr>
              <w:t>9）未按照招标文件规定的方式领取招标文件并按要求递交投标文件的；</w:t>
            </w:r>
          </w:p>
          <w:p>
            <w:pPr>
              <w:spacing w:line="300" w:lineRule="auto"/>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）评标委员会认为不能实质上满足招标文件其它要求的。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13</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20</w:t>
            </w:r>
          </w:p>
        </w:tc>
        <w:tc>
          <w:tcPr>
            <w:tcW w:w="1365" w:type="dxa"/>
            <w:vAlign w:val="center"/>
          </w:tcPr>
          <w:p>
            <w:pPr>
              <w:spacing w:line="300" w:lineRule="auto"/>
              <w:jc w:val="center"/>
              <w:rPr>
                <w:rFonts w:ascii="宋体" w:hAnsi="宋体" w:eastAsia="宋体"/>
                <w:szCs w:val="21"/>
              </w:rPr>
            </w:pPr>
            <w:r>
              <w:rPr>
                <w:rFonts w:hint="eastAsia" w:ascii="宋体" w:hAnsi="宋体" w:eastAsia="宋体" w:cs="宋体"/>
                <w:szCs w:val="21"/>
              </w:rPr>
              <w:t>评标</w:t>
            </w:r>
          </w:p>
        </w:tc>
        <w:tc>
          <w:tcPr>
            <w:tcW w:w="5597" w:type="dxa"/>
            <w:vAlign w:val="center"/>
          </w:tcPr>
          <w:p>
            <w:pPr>
              <w:spacing w:line="300" w:lineRule="auto"/>
              <w:rPr>
                <w:rFonts w:ascii="宋体" w:hAnsi="宋体" w:eastAsia="宋体"/>
                <w:szCs w:val="21"/>
              </w:rPr>
            </w:pPr>
            <w:r>
              <w:rPr>
                <w:rFonts w:hint="eastAsia" w:ascii="宋体" w:hAnsi="宋体" w:eastAsia="宋体"/>
                <w:szCs w:val="21"/>
              </w:rPr>
              <w:t>20</w:t>
            </w:r>
            <w:r>
              <w:rPr>
                <w:rFonts w:ascii="宋体" w:hAnsi="宋体" w:eastAsia="宋体"/>
                <w:szCs w:val="21"/>
              </w:rPr>
              <w:t xml:space="preserve">.1 </w:t>
            </w:r>
            <w:r>
              <w:rPr>
                <w:rFonts w:hint="eastAsia" w:ascii="宋体" w:hAnsi="宋体" w:eastAsia="宋体"/>
                <w:szCs w:val="21"/>
              </w:rPr>
              <w:t>评标委员会将按照本须知第20条规定对投标文件进行评价和比较。</w:t>
            </w:r>
          </w:p>
          <w:p>
            <w:pPr>
              <w:spacing w:line="300" w:lineRule="auto"/>
              <w:rPr>
                <w:rFonts w:ascii="宋体" w:hAnsi="宋体" w:eastAsia="宋体"/>
                <w:szCs w:val="21"/>
              </w:rPr>
            </w:pPr>
            <w:r>
              <w:rPr>
                <w:rFonts w:hint="eastAsia" w:ascii="宋体" w:hAnsi="宋体" w:eastAsia="宋体"/>
                <w:szCs w:val="21"/>
              </w:rPr>
              <w:t>20</w:t>
            </w:r>
            <w:r>
              <w:rPr>
                <w:rFonts w:ascii="宋体" w:hAnsi="宋体" w:eastAsia="宋体"/>
                <w:szCs w:val="21"/>
              </w:rPr>
              <w:t>.2</w:t>
            </w:r>
            <w:r>
              <w:rPr>
                <w:rFonts w:hint="eastAsia" w:ascii="宋体" w:hAnsi="宋体" w:eastAsia="宋体"/>
                <w:szCs w:val="21"/>
              </w:rPr>
              <w:t>评标委员会在评标时，将采用综合评标法：</w:t>
            </w:r>
          </w:p>
          <w:p>
            <w:pPr>
              <w:spacing w:line="300" w:lineRule="auto"/>
              <w:rPr>
                <w:rFonts w:ascii="宋体" w:hAnsi="宋体" w:eastAsia="宋体"/>
                <w:szCs w:val="21"/>
              </w:rPr>
            </w:pPr>
            <w:r>
              <w:rPr>
                <w:rFonts w:hint="eastAsia" w:ascii="宋体" w:hAnsi="宋体" w:eastAsia="宋体"/>
                <w:szCs w:val="21"/>
              </w:rPr>
              <w:t>详见第三章《评标办法》。</w:t>
            </w:r>
          </w:p>
          <w:p>
            <w:pPr>
              <w:spacing w:line="300" w:lineRule="auto"/>
              <w:rPr>
                <w:rFonts w:ascii="宋体" w:hAnsi="宋体" w:eastAsia="宋体"/>
                <w:szCs w:val="21"/>
              </w:rPr>
            </w:pPr>
            <w:r>
              <w:rPr>
                <w:rFonts w:hint="eastAsia" w:ascii="宋体" w:hAnsi="宋体" w:eastAsia="宋体"/>
                <w:szCs w:val="21"/>
              </w:rPr>
              <w:t>20.3评标委员会将根据综合评估结果，对投标人按综合得分从高到低排序，并按综合得分排序顺序确定中标人。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1"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14</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22</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合同</w:t>
            </w:r>
          </w:p>
          <w:p>
            <w:pPr>
              <w:spacing w:line="300" w:lineRule="auto"/>
              <w:jc w:val="center"/>
              <w:rPr>
                <w:rFonts w:ascii="宋体" w:hAnsi="宋体" w:eastAsia="宋体"/>
                <w:szCs w:val="21"/>
              </w:rPr>
            </w:pPr>
            <w:r>
              <w:rPr>
                <w:rFonts w:hint="eastAsia" w:ascii="宋体" w:hAnsi="宋体" w:eastAsia="宋体"/>
                <w:szCs w:val="21"/>
              </w:rPr>
              <w:t>的签订</w:t>
            </w:r>
          </w:p>
        </w:tc>
        <w:tc>
          <w:tcPr>
            <w:tcW w:w="5597" w:type="dxa"/>
            <w:vAlign w:val="center"/>
          </w:tcPr>
          <w:p>
            <w:pPr>
              <w:spacing w:line="300" w:lineRule="auto"/>
              <w:rPr>
                <w:rFonts w:ascii="宋体" w:hAnsi="宋体" w:eastAsia="宋体"/>
                <w:szCs w:val="21"/>
              </w:rPr>
            </w:pPr>
            <w:r>
              <w:rPr>
                <w:rFonts w:hint="eastAsia" w:ascii="宋体" w:hAnsi="宋体" w:eastAsia="宋体"/>
                <w:szCs w:val="21"/>
              </w:rPr>
              <w:t>现场确定中标人后，招标人将向中标人发出中标通知书，中标人应在收到中标通知书之日起叁日内与招标人签订合同。逾期将视为中标人未履约，履约保证金将被没收。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tblHeader/>
        </w:trPr>
        <w:tc>
          <w:tcPr>
            <w:tcW w:w="525" w:type="dxa"/>
            <w:vAlign w:val="center"/>
          </w:tcPr>
          <w:p>
            <w:pPr>
              <w:spacing w:line="300" w:lineRule="auto"/>
              <w:jc w:val="center"/>
              <w:rPr>
                <w:rFonts w:ascii="宋体" w:hAnsi="宋体" w:eastAsia="宋体"/>
                <w:szCs w:val="21"/>
              </w:rPr>
            </w:pPr>
            <w:r>
              <w:rPr>
                <w:rFonts w:hint="eastAsia" w:ascii="宋体" w:hAnsi="宋体" w:eastAsia="宋体"/>
                <w:szCs w:val="21"/>
              </w:rPr>
              <w:t>15</w:t>
            </w:r>
          </w:p>
        </w:tc>
        <w:tc>
          <w:tcPr>
            <w:tcW w:w="735" w:type="dxa"/>
            <w:vAlign w:val="center"/>
          </w:tcPr>
          <w:p>
            <w:pPr>
              <w:spacing w:line="300" w:lineRule="auto"/>
              <w:jc w:val="center"/>
              <w:rPr>
                <w:rFonts w:ascii="宋体" w:hAnsi="宋体" w:eastAsia="宋体"/>
                <w:szCs w:val="21"/>
              </w:rPr>
            </w:pPr>
            <w:r>
              <w:rPr>
                <w:rFonts w:hint="eastAsia" w:ascii="宋体" w:hAnsi="宋体" w:eastAsia="宋体"/>
                <w:szCs w:val="21"/>
              </w:rPr>
              <w:t>24.4</w:t>
            </w:r>
          </w:p>
        </w:tc>
        <w:tc>
          <w:tcPr>
            <w:tcW w:w="1365" w:type="dxa"/>
            <w:vAlign w:val="center"/>
          </w:tcPr>
          <w:p>
            <w:pPr>
              <w:spacing w:line="300" w:lineRule="auto"/>
              <w:jc w:val="center"/>
              <w:rPr>
                <w:rFonts w:ascii="宋体" w:hAnsi="宋体" w:eastAsia="宋体"/>
                <w:szCs w:val="21"/>
              </w:rPr>
            </w:pPr>
            <w:r>
              <w:rPr>
                <w:rFonts w:hint="eastAsia" w:ascii="宋体" w:hAnsi="宋体" w:eastAsia="宋体"/>
                <w:szCs w:val="21"/>
              </w:rPr>
              <w:t>无行贿犯罪记录证明的提供</w:t>
            </w:r>
          </w:p>
        </w:tc>
        <w:tc>
          <w:tcPr>
            <w:tcW w:w="5597" w:type="dxa"/>
            <w:vAlign w:val="center"/>
          </w:tcPr>
          <w:p>
            <w:pPr>
              <w:rPr>
                <w:rFonts w:ascii="宋体" w:hAnsi="宋体" w:eastAsia="宋体"/>
                <w:szCs w:val="21"/>
              </w:rPr>
            </w:pPr>
            <w:r>
              <w:rPr>
                <w:rFonts w:hint="eastAsia" w:ascii="宋体" w:hAnsi="宋体" w:eastAsia="宋体"/>
                <w:szCs w:val="21"/>
              </w:rPr>
              <w:t>投标人（投标单位）应在投标文件中提供自20</w:t>
            </w:r>
            <w:r>
              <w:rPr>
                <w:rFonts w:hint="eastAsia" w:ascii="宋体" w:hAnsi="宋体" w:eastAsia="宋体"/>
                <w:szCs w:val="21"/>
                <w:lang w:val="en-US" w:eastAsia="zh-CN"/>
              </w:rPr>
              <w:t>21</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月1日以来投标人（投标单位）和投标人（投标单位）针对本项目的项目经理的无行贿犯罪记录证明（检察院开据），即提供的无行贿犯罪记录证明的主体应涵盖以下两点：</w:t>
            </w:r>
          </w:p>
          <w:p>
            <w:pPr>
              <w:numPr>
                <w:ilvl w:val="0"/>
                <w:numId w:val="13"/>
              </w:numPr>
              <w:rPr>
                <w:rFonts w:ascii="宋体" w:hAnsi="宋体" w:eastAsia="宋体"/>
                <w:szCs w:val="21"/>
              </w:rPr>
            </w:pPr>
            <w:r>
              <w:rPr>
                <w:rFonts w:hint="eastAsia" w:ascii="宋体" w:hAnsi="宋体" w:eastAsia="宋体"/>
                <w:szCs w:val="21"/>
              </w:rPr>
              <w:t>投标人（即投标单位）；</w:t>
            </w:r>
          </w:p>
          <w:p>
            <w:pPr>
              <w:numPr>
                <w:ilvl w:val="0"/>
                <w:numId w:val="13"/>
              </w:numPr>
              <w:rPr>
                <w:rFonts w:ascii="宋体" w:hAnsi="宋体" w:eastAsia="宋体"/>
                <w:szCs w:val="21"/>
              </w:rPr>
            </w:pPr>
            <w:r>
              <w:rPr>
                <w:rFonts w:hint="eastAsia" w:ascii="宋体" w:hAnsi="宋体" w:eastAsia="宋体"/>
                <w:szCs w:val="21"/>
              </w:rPr>
              <w:t>本项目的项目经理。</w:t>
            </w:r>
          </w:p>
          <w:p>
            <w:pPr>
              <w:spacing w:line="300" w:lineRule="auto"/>
              <w:rPr>
                <w:rFonts w:ascii="宋体" w:hAnsi="宋体" w:eastAsia="宋体"/>
                <w:szCs w:val="21"/>
              </w:rPr>
            </w:pPr>
            <w:r>
              <w:rPr>
                <w:rFonts w:hint="eastAsia" w:ascii="宋体" w:hAnsi="宋体" w:eastAsia="宋体"/>
                <w:szCs w:val="21"/>
              </w:rPr>
              <w:t>如投标文件中未按照以上要求提供证明的，必须在签订合同前提供，否则视为投标人的违约行为，招标人有权不与其签订合同，并没收投标保证金。</w:t>
            </w:r>
          </w:p>
        </w:tc>
      </w:tr>
    </w:tbl>
    <w:p>
      <w:pPr>
        <w:rPr>
          <w:rFonts w:ascii="宋体" w:hAnsi="仿宋_GB2312"/>
          <w:sz w:val="36"/>
          <w:szCs w:val="36"/>
        </w:rPr>
      </w:pPr>
    </w:p>
    <w:p>
      <w:pPr>
        <w:spacing w:after="120" w:line="480" w:lineRule="auto"/>
        <w:rPr>
          <w:rFonts w:ascii="宋体" w:hAnsi="宋体"/>
          <w:b/>
          <w:sz w:val="36"/>
          <w:szCs w:val="36"/>
        </w:rPr>
      </w:pPr>
      <w:r>
        <w:rPr>
          <w:rFonts w:ascii="宋体" w:hAnsi="宋体"/>
          <w:sz w:val="32"/>
        </w:rPr>
        <w:br w:type="page"/>
      </w:r>
    </w:p>
    <w:p>
      <w:pPr>
        <w:spacing w:after="120" w:line="480" w:lineRule="auto"/>
        <w:jc w:val="center"/>
        <w:rPr>
          <w:rFonts w:ascii="宋体" w:hAnsi="宋体"/>
          <w:b/>
          <w:sz w:val="36"/>
          <w:szCs w:val="36"/>
        </w:rPr>
      </w:pPr>
      <w:r>
        <w:rPr>
          <w:rFonts w:hint="eastAsia" w:ascii="宋体" w:hAnsi="宋体"/>
          <w:b/>
          <w:sz w:val="36"/>
          <w:szCs w:val="36"/>
        </w:rPr>
        <w:t>投标人须知</w:t>
      </w:r>
    </w:p>
    <w:p>
      <w:pPr>
        <w:numPr>
          <w:ilvl w:val="0"/>
          <w:numId w:val="14"/>
        </w:numPr>
        <w:spacing w:line="360" w:lineRule="auto"/>
        <w:rPr>
          <w:rFonts w:ascii="宋体" w:hAnsi="宋体"/>
          <w:b/>
        </w:rPr>
      </w:pPr>
      <w:r>
        <w:rPr>
          <w:rFonts w:hint="eastAsia" w:ascii="宋体" w:hAnsi="宋体"/>
          <w:b/>
        </w:rPr>
        <w:t>说</w:t>
      </w:r>
      <w:r>
        <w:rPr>
          <w:rFonts w:ascii="宋体" w:hAnsi="宋体"/>
          <w:b/>
        </w:rPr>
        <w:t xml:space="preserve">  </w:t>
      </w:r>
      <w:r>
        <w:rPr>
          <w:rFonts w:hint="eastAsia" w:ascii="宋体" w:hAnsi="宋体"/>
          <w:b/>
        </w:rPr>
        <w:t>明</w:t>
      </w:r>
    </w:p>
    <w:p>
      <w:pPr>
        <w:spacing w:line="360" w:lineRule="auto"/>
        <w:ind w:left="525"/>
        <w:rPr>
          <w:rFonts w:ascii="宋体" w:hAnsi="宋体"/>
        </w:rPr>
      </w:pPr>
      <w:r>
        <w:rPr>
          <w:rFonts w:hint="eastAsia" w:ascii="宋体" w:hAnsi="宋体"/>
        </w:rPr>
        <w:t>1.招标人、招标代理机构及合格的投标人</w:t>
      </w:r>
    </w:p>
    <w:p>
      <w:pPr>
        <w:spacing w:line="360" w:lineRule="auto"/>
        <w:ind w:left="525"/>
        <w:rPr>
          <w:rFonts w:ascii="宋体" w:hAnsi="宋体"/>
        </w:rPr>
      </w:pPr>
      <w:r>
        <w:rPr>
          <w:rFonts w:hint="eastAsia" w:ascii="宋体" w:hAnsi="宋体"/>
        </w:rPr>
        <w:t>1.1 招标人是指提国内采购货物的国家机关、企业、事业单位或其它组织。本项目招标人</w:t>
      </w:r>
      <w:r>
        <w:rPr>
          <w:rFonts w:hint="eastAsia" w:ascii="宋体" w:hAnsi="宋体"/>
          <w:sz w:val="24"/>
          <w:u w:val="single"/>
        </w:rPr>
        <w:t>（详见《投标人须知前附表》）</w:t>
      </w:r>
      <w:r>
        <w:rPr>
          <w:rFonts w:hint="eastAsia" w:ascii="宋体" w:hAnsi="宋体"/>
        </w:rPr>
        <w:t>。</w:t>
      </w:r>
    </w:p>
    <w:p>
      <w:pPr>
        <w:spacing w:line="360" w:lineRule="auto"/>
        <w:ind w:left="525"/>
        <w:rPr>
          <w:rFonts w:ascii="宋体" w:hAnsi="宋体"/>
        </w:rPr>
      </w:pPr>
      <w:r>
        <w:rPr>
          <w:rFonts w:hint="eastAsia" w:ascii="宋体" w:hAnsi="宋体"/>
        </w:rPr>
        <w:t>1.2 招标代理机构是指招标人认定的从事国内、国际招标业务的法人或社会中介组织。本项目招标代理机构</w:t>
      </w:r>
      <w:r>
        <w:rPr>
          <w:rFonts w:hint="eastAsia" w:ascii="宋体" w:hAnsi="宋体"/>
          <w:sz w:val="24"/>
          <w:u w:val="single"/>
        </w:rPr>
        <w:t>（详见《投标人须知前附表》）</w:t>
      </w:r>
      <w:r>
        <w:rPr>
          <w:rFonts w:hint="eastAsia" w:ascii="宋体" w:hAnsi="宋体"/>
          <w:szCs w:val="21"/>
        </w:rPr>
        <w:t>。</w:t>
      </w:r>
    </w:p>
    <w:p>
      <w:pPr>
        <w:spacing w:line="360" w:lineRule="auto"/>
        <w:ind w:left="525"/>
        <w:rPr>
          <w:rFonts w:ascii="宋体" w:hAnsi="宋体"/>
        </w:rPr>
      </w:pPr>
      <w:r>
        <w:rPr>
          <w:rFonts w:hint="eastAsia" w:ascii="宋体" w:hAnsi="宋体"/>
        </w:rPr>
        <w:t>1.3合格的投标人（包括制造商及其产品）</w:t>
      </w:r>
      <w:r>
        <w:rPr>
          <w:rFonts w:hint="eastAsia" w:ascii="宋体" w:hAnsi="宋体"/>
          <w:sz w:val="24"/>
          <w:u w:val="single"/>
        </w:rPr>
        <w:t>（详见《投标人须知前附表》）</w:t>
      </w:r>
      <w:r>
        <w:rPr>
          <w:rFonts w:hint="eastAsia" w:ascii="宋体" w:hAnsi="宋体"/>
        </w:rPr>
        <w:t>。</w:t>
      </w:r>
    </w:p>
    <w:p>
      <w:pPr>
        <w:spacing w:line="360" w:lineRule="auto"/>
        <w:ind w:firstLine="525" w:firstLineChars="250"/>
        <w:rPr>
          <w:rFonts w:ascii="宋体" w:hAnsi="宋体"/>
        </w:rPr>
      </w:pPr>
    </w:p>
    <w:p>
      <w:pPr>
        <w:spacing w:line="360" w:lineRule="auto"/>
        <w:ind w:firstLine="525" w:firstLineChars="250"/>
        <w:rPr>
          <w:rFonts w:ascii="宋体" w:hAnsi="宋体"/>
        </w:rPr>
      </w:pPr>
      <w:r>
        <w:rPr>
          <w:rFonts w:hint="eastAsia" w:ascii="宋体" w:hAnsi="宋体"/>
        </w:rPr>
        <w:t>2.费用</w:t>
      </w:r>
    </w:p>
    <w:p>
      <w:pPr>
        <w:spacing w:line="360" w:lineRule="auto"/>
        <w:ind w:left="525"/>
        <w:rPr>
          <w:rFonts w:ascii="宋体" w:hAnsi="宋体"/>
        </w:rPr>
      </w:pPr>
      <w:r>
        <w:rPr>
          <w:rFonts w:hint="eastAsia" w:ascii="宋体" w:hAnsi="宋体"/>
        </w:rPr>
        <w:t>2.1  投标人应承担所有与准备和参加竞争有关的费用。不论结果如何，招标代理机构和招标人均无义务和责任承担这些费用。</w:t>
      </w:r>
    </w:p>
    <w:p>
      <w:pPr>
        <w:numPr>
          <w:ilvl w:val="0"/>
          <w:numId w:val="14"/>
        </w:numPr>
        <w:spacing w:line="360" w:lineRule="auto"/>
        <w:rPr>
          <w:rFonts w:ascii="宋体" w:hAnsi="宋体"/>
          <w:b/>
        </w:rPr>
      </w:pPr>
      <w:r>
        <w:rPr>
          <w:rFonts w:hint="eastAsia" w:ascii="宋体" w:hAnsi="宋体"/>
          <w:b/>
        </w:rPr>
        <w:t>招标文件</w:t>
      </w:r>
    </w:p>
    <w:p>
      <w:pPr>
        <w:spacing w:line="360" w:lineRule="auto"/>
        <w:ind w:left="525"/>
        <w:rPr>
          <w:rFonts w:ascii="宋体" w:hAnsi="宋体"/>
        </w:rPr>
      </w:pPr>
      <w:r>
        <w:rPr>
          <w:rFonts w:hint="eastAsia" w:ascii="宋体" w:hAnsi="宋体"/>
        </w:rPr>
        <w:t>3.招标文件构成</w:t>
      </w:r>
    </w:p>
    <w:p>
      <w:pPr>
        <w:spacing w:line="360" w:lineRule="auto"/>
        <w:ind w:left="525"/>
        <w:rPr>
          <w:rFonts w:ascii="宋体" w:hAnsi="宋体"/>
        </w:rPr>
      </w:pPr>
      <w:r>
        <w:rPr>
          <w:rFonts w:hint="eastAsia" w:ascii="宋体" w:hAnsi="宋体"/>
        </w:rPr>
        <w:t>3.1 招标文件共六章，内容如下：</w:t>
      </w:r>
    </w:p>
    <w:p>
      <w:pPr>
        <w:spacing w:line="360" w:lineRule="auto"/>
        <w:ind w:firstLine="945"/>
        <w:rPr>
          <w:rFonts w:ascii="宋体" w:hAnsi="宋体"/>
        </w:rPr>
      </w:pPr>
      <w:r>
        <w:rPr>
          <w:rFonts w:hint="eastAsia" w:ascii="宋体" w:hAnsi="宋体"/>
        </w:rPr>
        <w:t>第一章</w:t>
      </w:r>
      <w:r>
        <w:rPr>
          <w:rFonts w:ascii="宋体" w:hAnsi="宋体"/>
        </w:rPr>
        <w:t xml:space="preserve"> </w:t>
      </w:r>
      <w:r>
        <w:rPr>
          <w:rFonts w:hint="eastAsia" w:ascii="宋体" w:hAnsi="宋体"/>
        </w:rPr>
        <w:t>招标公告</w:t>
      </w:r>
    </w:p>
    <w:p>
      <w:pPr>
        <w:spacing w:line="360" w:lineRule="auto"/>
        <w:ind w:firstLine="945"/>
        <w:rPr>
          <w:rFonts w:ascii="宋体" w:hAnsi="宋体"/>
        </w:rPr>
      </w:pPr>
      <w:r>
        <w:rPr>
          <w:rFonts w:hint="eastAsia" w:ascii="宋体" w:hAnsi="宋体"/>
        </w:rPr>
        <w:t>第二章</w:t>
      </w:r>
      <w:r>
        <w:rPr>
          <w:rFonts w:ascii="宋体" w:hAnsi="宋体"/>
        </w:rPr>
        <w:t xml:space="preserve"> </w:t>
      </w:r>
      <w:r>
        <w:rPr>
          <w:rFonts w:hint="eastAsia" w:ascii="宋体" w:hAnsi="宋体"/>
        </w:rPr>
        <w:t>投标人须知前附表及投标人须知</w:t>
      </w:r>
    </w:p>
    <w:p>
      <w:pPr>
        <w:spacing w:line="360" w:lineRule="auto"/>
        <w:ind w:firstLine="945"/>
        <w:rPr>
          <w:rFonts w:ascii="宋体" w:hAnsi="宋体"/>
        </w:rPr>
      </w:pPr>
      <w:r>
        <w:rPr>
          <w:rFonts w:hint="eastAsia" w:ascii="宋体" w:hAnsi="宋体"/>
        </w:rPr>
        <w:t>第三章 评标办法</w:t>
      </w:r>
    </w:p>
    <w:p>
      <w:pPr>
        <w:spacing w:line="360" w:lineRule="auto"/>
        <w:ind w:firstLine="945"/>
        <w:rPr>
          <w:rFonts w:ascii="宋体" w:hAnsi="宋体"/>
        </w:rPr>
      </w:pPr>
      <w:r>
        <w:rPr>
          <w:rFonts w:hint="eastAsia" w:ascii="宋体" w:hAnsi="宋体"/>
        </w:rPr>
        <w:t>第四章 合同主要条款及格式</w:t>
      </w:r>
    </w:p>
    <w:p>
      <w:pPr>
        <w:spacing w:line="360" w:lineRule="auto"/>
        <w:ind w:firstLine="945"/>
        <w:rPr>
          <w:rFonts w:ascii="宋体" w:hAnsi="宋体"/>
        </w:rPr>
      </w:pPr>
      <w:r>
        <w:rPr>
          <w:rFonts w:hint="eastAsia" w:ascii="宋体" w:hAnsi="宋体"/>
        </w:rPr>
        <w:t>第五章 技术需求书</w:t>
      </w:r>
    </w:p>
    <w:p>
      <w:pPr>
        <w:spacing w:line="360" w:lineRule="auto"/>
        <w:ind w:firstLine="945"/>
        <w:rPr>
          <w:rFonts w:ascii="宋体" w:hAnsi="宋体"/>
        </w:rPr>
      </w:pPr>
      <w:r>
        <w:rPr>
          <w:rFonts w:hint="eastAsia" w:ascii="宋体" w:hAnsi="宋体"/>
        </w:rPr>
        <w:t>第六章 附件</w:t>
      </w:r>
    </w:p>
    <w:p>
      <w:pPr>
        <w:spacing w:line="360" w:lineRule="auto"/>
        <w:ind w:left="525"/>
        <w:rPr>
          <w:rFonts w:ascii="宋体" w:hAnsi="宋体"/>
        </w:rPr>
      </w:pPr>
      <w:r>
        <w:rPr>
          <w:rFonts w:hint="eastAsia" w:ascii="宋体" w:hAnsi="宋体"/>
        </w:rPr>
        <w:t>3.2 投标人应认真阅读招标文件中所有的事项、格式、条款和技术规范等。投标人没有按照招标文件要求提交全部资料，或者投标文件没有对招标文件在各方面都作出实质性响应是投标人的风险，并可能导致其投标文件被拒绝。</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4.招标文件的澄清</w:t>
      </w:r>
    </w:p>
    <w:p>
      <w:pPr>
        <w:spacing w:line="360" w:lineRule="auto"/>
        <w:ind w:left="525"/>
        <w:rPr>
          <w:rFonts w:ascii="宋体" w:hAnsi="宋体"/>
        </w:rPr>
      </w:pPr>
      <w:r>
        <w:rPr>
          <w:rFonts w:hint="eastAsia" w:ascii="宋体" w:hAnsi="宋体"/>
        </w:rPr>
        <w:t>4.1 任何要求对招标文件进行澄清的投标人，均应按第13条规定的递交投标文件截止期三（3）天前以书面形式通知招标人。逾期的澄清要求将不被接受。</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5.招标文件的修改</w:t>
      </w:r>
    </w:p>
    <w:p>
      <w:pPr>
        <w:spacing w:line="360" w:lineRule="auto"/>
        <w:ind w:left="525"/>
        <w:rPr>
          <w:rFonts w:ascii="宋体" w:hAnsi="宋体"/>
        </w:rPr>
      </w:pPr>
      <w:r>
        <w:rPr>
          <w:rFonts w:hint="eastAsia" w:ascii="宋体" w:hAnsi="宋体"/>
        </w:rPr>
        <w:t>5.1为使投标人准备投标文件时有充分时间对招标文件的修改部分进行研究，招标人可自行决定是否延长递交投标文件截止时间。</w:t>
      </w:r>
    </w:p>
    <w:p>
      <w:pPr>
        <w:spacing w:line="360" w:lineRule="auto"/>
        <w:ind w:left="525"/>
        <w:rPr>
          <w:rFonts w:ascii="宋体" w:hAnsi="宋体"/>
        </w:rPr>
      </w:pPr>
      <w:r>
        <w:rPr>
          <w:rFonts w:hint="eastAsia" w:ascii="宋体" w:hAnsi="宋体"/>
        </w:rPr>
        <w:t>5.2 在递交投标文件截止时间（包含延长了的递交投标文件截止时间）三（3）天以前的任何时候，无论出于何种原因，招标人可主动地或在解答投标人提出的澄清问题时对招标文件进行修改。</w:t>
      </w:r>
    </w:p>
    <w:p>
      <w:pPr>
        <w:spacing w:line="360" w:lineRule="auto"/>
        <w:ind w:left="525"/>
        <w:rPr>
          <w:rFonts w:ascii="宋体" w:hAnsi="宋体"/>
        </w:rPr>
      </w:pPr>
      <w:r>
        <w:rPr>
          <w:rFonts w:hint="eastAsia" w:ascii="宋体" w:hAnsi="宋体"/>
        </w:rPr>
        <w:t>5.3 招标文件的修改将以书面形式在递交投标文件截止时间（包含延长了的递交投标文件截止时间）三（3）天前通知所有购买招标文件的投标人，并对其具有约束力。投标人在收到上述通知后，应立即向招标人回函确认已收到上述通知，但是投标人的回函不作为其收到上述通知的唯一证据。</w:t>
      </w:r>
    </w:p>
    <w:p>
      <w:pPr>
        <w:spacing w:line="360" w:lineRule="auto"/>
        <w:ind w:left="525"/>
        <w:rPr>
          <w:rFonts w:ascii="宋体" w:hAnsi="宋体"/>
        </w:rPr>
      </w:pPr>
    </w:p>
    <w:p>
      <w:pPr>
        <w:numPr>
          <w:ilvl w:val="0"/>
          <w:numId w:val="14"/>
        </w:numPr>
        <w:spacing w:line="360" w:lineRule="auto"/>
        <w:rPr>
          <w:rFonts w:ascii="宋体" w:hAnsi="宋体"/>
          <w:b/>
        </w:rPr>
      </w:pPr>
      <w:r>
        <w:rPr>
          <w:rFonts w:hint="eastAsia" w:ascii="宋体" w:hAnsi="宋体"/>
          <w:b/>
        </w:rPr>
        <w:t>投标文件的编制</w:t>
      </w:r>
    </w:p>
    <w:p>
      <w:pPr>
        <w:spacing w:line="360" w:lineRule="auto"/>
        <w:ind w:left="525"/>
        <w:rPr>
          <w:rFonts w:ascii="宋体" w:hAnsi="宋体"/>
        </w:rPr>
      </w:pPr>
      <w:r>
        <w:rPr>
          <w:rFonts w:hint="eastAsia" w:ascii="宋体" w:hAnsi="宋体"/>
        </w:rPr>
        <w:t>6.投标文件的语言</w:t>
      </w:r>
    </w:p>
    <w:p>
      <w:pPr>
        <w:spacing w:line="360" w:lineRule="auto"/>
        <w:ind w:left="525"/>
        <w:rPr>
          <w:rFonts w:ascii="宋体" w:hAnsi="宋体"/>
        </w:rPr>
      </w:pPr>
      <w:r>
        <w:rPr>
          <w:rFonts w:ascii="宋体" w:hAnsi="宋体"/>
        </w:rPr>
        <w:t>6</w:t>
      </w:r>
      <w:r>
        <w:rPr>
          <w:rFonts w:hint="eastAsia" w:ascii="宋体" w:hAnsi="宋体"/>
        </w:rPr>
        <w:t>.1 投标人提交的投标文件以及投标人和招标人就有关投标文件的所有来往函电均应使用中文书写。投标人提交的支持文件和印制的文献可以用另一种语言，但相应内容应附有中文的翻译本，在解释投标文件时以中文翻译本为准。</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7.投标文件构成</w:t>
      </w:r>
    </w:p>
    <w:p>
      <w:pPr>
        <w:spacing w:line="360" w:lineRule="auto"/>
        <w:ind w:left="525"/>
        <w:rPr>
          <w:rFonts w:ascii="宋体" w:hAnsi="宋体"/>
        </w:rPr>
      </w:pPr>
      <w:r>
        <w:rPr>
          <w:rFonts w:hint="eastAsia" w:ascii="宋体" w:hAnsi="宋体"/>
        </w:rPr>
        <w:t>7.1 投标人应按下列投标文件格式要求组成投标文件（对以下所要求的投标文件如有任何一项未实质性响应，将可能导致其投标文件被拒绝）：投标文件基本文件；投标人资格证明文件</w:t>
      </w:r>
      <w:r>
        <w:rPr>
          <w:rFonts w:ascii="宋体" w:hAnsi="宋体"/>
        </w:rPr>
        <w:t>，</w:t>
      </w:r>
      <w:r>
        <w:rPr>
          <w:rFonts w:hint="eastAsia" w:ascii="宋体" w:hAnsi="宋体"/>
        </w:rPr>
        <w:t>证明投标人是合格的和有能力履行合同的文件；证明投标人提供的产品及/或服务的合格性和符合招标文件规定的文件；招标文件要求的其它文件；投标人认为其它需提供的文件。</w:t>
      </w:r>
    </w:p>
    <w:p>
      <w:pPr>
        <w:spacing w:line="360" w:lineRule="auto"/>
        <w:ind w:left="1021"/>
        <w:rPr>
          <w:rFonts w:ascii="宋体" w:hAnsi="宋体"/>
        </w:rPr>
      </w:pPr>
      <w:r>
        <w:rPr>
          <w:rFonts w:hint="eastAsia" w:ascii="宋体" w:hAnsi="宋体"/>
        </w:rPr>
        <w:t>1）投标文件基本文件</w:t>
      </w:r>
    </w:p>
    <w:p>
      <w:pPr>
        <w:numPr>
          <w:ilvl w:val="3"/>
          <w:numId w:val="15"/>
        </w:numPr>
        <w:spacing w:line="360" w:lineRule="auto"/>
        <w:rPr>
          <w:rFonts w:ascii="宋体" w:hAnsi="宋体"/>
        </w:rPr>
      </w:pPr>
      <w:r>
        <w:rPr>
          <w:rFonts w:hint="eastAsia" w:ascii="宋体" w:hAnsi="宋体"/>
        </w:rPr>
        <w:t>投标函（格式见 附件1）</w:t>
      </w:r>
    </w:p>
    <w:p>
      <w:pPr>
        <w:numPr>
          <w:ilvl w:val="3"/>
          <w:numId w:val="15"/>
        </w:numPr>
        <w:spacing w:line="360" w:lineRule="auto"/>
        <w:rPr>
          <w:rFonts w:ascii="宋体" w:hAnsi="宋体"/>
        </w:rPr>
      </w:pPr>
      <w:r>
        <w:rPr>
          <w:rFonts w:hint="eastAsia" w:ascii="宋体" w:hAnsi="宋体"/>
        </w:rPr>
        <w:t>开标一览表（格式见 附件2）</w:t>
      </w:r>
      <w:r>
        <w:rPr>
          <w:rFonts w:hint="eastAsia" w:ascii="宋体" w:hAnsi="宋体"/>
          <w:b/>
        </w:rPr>
        <w:t>单独密封，递交投标文件时单独递交</w:t>
      </w:r>
    </w:p>
    <w:p>
      <w:pPr>
        <w:numPr>
          <w:ilvl w:val="3"/>
          <w:numId w:val="15"/>
        </w:numPr>
        <w:tabs>
          <w:tab w:val="clear" w:pos="1680"/>
        </w:tabs>
        <w:spacing w:line="360" w:lineRule="auto"/>
        <w:ind w:left="1620" w:hanging="360"/>
        <w:rPr>
          <w:rFonts w:ascii="宋体" w:hAnsi="宋体"/>
        </w:rPr>
      </w:pPr>
      <w:r>
        <w:rPr>
          <w:rFonts w:hint="eastAsia" w:ascii="宋体" w:hAnsi="宋体"/>
        </w:rPr>
        <w:t>按照本须知第</w:t>
      </w:r>
      <w:r>
        <w:rPr>
          <w:rFonts w:ascii="宋体" w:hAnsi="宋体"/>
        </w:rPr>
        <w:t>1</w:t>
      </w:r>
      <w:r>
        <w:rPr>
          <w:rFonts w:hint="eastAsia" w:ascii="宋体" w:hAnsi="宋体"/>
        </w:rPr>
        <w:t>0条规定提交的投标保证金：</w:t>
      </w:r>
      <w:r>
        <w:rPr>
          <w:rFonts w:hint="eastAsia" w:ascii="宋体" w:hAnsi="宋体"/>
          <w:b/>
        </w:rPr>
        <w:t>单独密封，递交投标文件时单独递交</w:t>
      </w:r>
    </w:p>
    <w:p>
      <w:pPr>
        <w:spacing w:line="360" w:lineRule="auto"/>
        <w:ind w:left="1050" w:leftChars="500"/>
        <w:rPr>
          <w:rFonts w:ascii="宋体" w:hAnsi="宋体"/>
        </w:rPr>
      </w:pPr>
      <w:r>
        <w:rPr>
          <w:rFonts w:hint="eastAsia" w:ascii="宋体" w:hAnsi="宋体"/>
        </w:rPr>
        <w:t>2）投标人提交的证明其合格且入围后有能力履行合同的资格证明文件。资格证明文件应</w:t>
      </w:r>
      <w:r>
        <w:rPr>
          <w:rFonts w:hint="eastAsia"/>
        </w:rPr>
        <w:t>包括下列部分：</w:t>
      </w:r>
    </w:p>
    <w:p>
      <w:pPr>
        <w:numPr>
          <w:ilvl w:val="0"/>
          <w:numId w:val="16"/>
        </w:numPr>
        <w:spacing w:line="360" w:lineRule="auto"/>
        <w:rPr>
          <w:rFonts w:ascii="宋体" w:hAnsi="宋体"/>
        </w:rPr>
      </w:pPr>
      <w:r>
        <w:rPr>
          <w:rFonts w:hint="eastAsia" w:ascii="宋体" w:hAnsi="宋体"/>
        </w:rPr>
        <w:t>经年检合格的企业法人营业执照（须提供复印件并加盖公章）</w:t>
      </w:r>
    </w:p>
    <w:p>
      <w:pPr>
        <w:numPr>
          <w:ilvl w:val="0"/>
          <w:numId w:val="16"/>
        </w:numPr>
        <w:spacing w:line="360" w:lineRule="auto"/>
        <w:rPr>
          <w:rFonts w:ascii="宋体" w:hAnsi="宋体"/>
        </w:rPr>
      </w:pPr>
      <w:r>
        <w:rPr>
          <w:rFonts w:hint="eastAsia" w:ascii="宋体" w:hAnsi="宋体"/>
        </w:rPr>
        <w:t>法定代表人授权书（格式见 附件3）</w:t>
      </w:r>
    </w:p>
    <w:p>
      <w:pPr>
        <w:numPr>
          <w:ilvl w:val="0"/>
          <w:numId w:val="16"/>
        </w:numPr>
        <w:spacing w:line="360" w:lineRule="auto"/>
        <w:rPr>
          <w:rFonts w:ascii="宋体" w:hAnsi="宋体"/>
        </w:rPr>
      </w:pPr>
      <w:r>
        <w:rPr>
          <w:rFonts w:hint="eastAsia" w:ascii="宋体" w:hAnsi="宋体"/>
        </w:rPr>
        <w:t>招标文件规定的资格证明材料（格式见 附件4）</w:t>
      </w:r>
    </w:p>
    <w:p>
      <w:pPr>
        <w:numPr>
          <w:ilvl w:val="0"/>
          <w:numId w:val="16"/>
        </w:numPr>
        <w:tabs>
          <w:tab w:val="clear" w:pos="1680"/>
        </w:tabs>
        <w:spacing w:line="360" w:lineRule="auto"/>
      </w:pPr>
      <w:r>
        <w:rPr>
          <w:rFonts w:hint="eastAsia" w:ascii="宋体" w:hAnsi="宋体"/>
        </w:rPr>
        <w:t>投标人认为需提供的其它文件和证书</w:t>
      </w:r>
    </w:p>
    <w:p>
      <w:pPr>
        <w:spacing w:line="360" w:lineRule="auto"/>
        <w:ind w:left="1050" w:leftChars="500"/>
      </w:pPr>
      <w:r>
        <w:rPr>
          <w:rFonts w:hint="eastAsia"/>
        </w:rPr>
        <w:t>3）招标文件要求的其它内容和文件。</w:t>
      </w:r>
    </w:p>
    <w:p>
      <w:pPr>
        <w:spacing w:line="360" w:lineRule="auto"/>
        <w:ind w:left="1050" w:leftChars="500"/>
      </w:pPr>
      <w:r>
        <w:rPr>
          <w:rFonts w:hint="eastAsia"/>
        </w:rPr>
        <w:t>4）投标人认为其它需提供的文件或证书。</w:t>
      </w:r>
    </w:p>
    <w:p>
      <w:pPr>
        <w:spacing w:line="360" w:lineRule="auto"/>
        <w:ind w:left="525"/>
        <w:rPr>
          <w:rFonts w:ascii="宋体" w:hAnsi="宋体"/>
        </w:rPr>
      </w:pPr>
      <w:r>
        <w:rPr>
          <w:rFonts w:hint="eastAsia" w:ascii="宋体" w:hAnsi="宋体"/>
        </w:rPr>
        <w:t>7.2 投标人提供的以上材料必须真实有效，任何一项的虚假将导致其投标文件被拒绝。</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8.投标文件的式样和签署</w:t>
      </w:r>
      <w:r>
        <w:rPr>
          <w:rFonts w:hint="eastAsia" w:ascii="宋体" w:hAnsi="宋体"/>
          <w:sz w:val="24"/>
          <w:szCs w:val="24"/>
          <w:u w:val="single"/>
        </w:rPr>
        <w:t>（详见《投标人须知前附表》）</w:t>
      </w:r>
    </w:p>
    <w:p>
      <w:pPr>
        <w:spacing w:line="360" w:lineRule="auto"/>
        <w:ind w:left="525"/>
        <w:rPr>
          <w:rFonts w:ascii="宋体" w:hAnsi="宋体"/>
        </w:rPr>
      </w:pPr>
      <w:r>
        <w:rPr>
          <w:rFonts w:hint="eastAsia" w:ascii="宋体" w:hAnsi="宋体"/>
        </w:rPr>
        <w:t>8.1</w:t>
      </w:r>
      <w:r>
        <w:rPr>
          <w:rFonts w:ascii="宋体" w:hAnsi="宋体"/>
        </w:rPr>
        <w:t xml:space="preserve"> </w:t>
      </w:r>
      <w:r>
        <w:rPr>
          <w:rFonts w:hint="eastAsia" w:ascii="宋体" w:hAnsi="宋体"/>
        </w:rPr>
        <w:t>投标文件一式3份（1 份正本、2 份副本）。投标文件用中文编写，A4纸封装。</w:t>
      </w:r>
      <w:r>
        <w:rPr>
          <w:rFonts w:hint="eastAsia" w:ascii="宋体" w:hAnsi="宋体"/>
          <w:b/>
        </w:rPr>
        <w:t>不得采用活页封装，否则投标将被拒绝。</w:t>
      </w:r>
      <w:r>
        <w:rPr>
          <w:rFonts w:hint="eastAsia" w:ascii="宋体" w:hAnsi="宋体"/>
        </w:rPr>
        <w:t>其中正本必须注明“正本”字样，正、副本内容必须保持一致，副本可以用复印件。若正本和副本不符，以正本为准。</w:t>
      </w:r>
      <w:r>
        <w:rPr>
          <w:rFonts w:hint="eastAsia" w:ascii="宋体" w:hAnsi="宋体"/>
          <w:b/>
        </w:rPr>
        <w:t>开标一览表需另外单独封装一式二份。</w:t>
      </w:r>
    </w:p>
    <w:p>
      <w:pPr>
        <w:spacing w:line="360" w:lineRule="auto"/>
        <w:ind w:left="525"/>
        <w:rPr>
          <w:rFonts w:ascii="宋体" w:hAnsi="宋体"/>
        </w:rPr>
      </w:pPr>
      <w:r>
        <w:rPr>
          <w:rFonts w:hint="eastAsia" w:ascii="宋体" w:hAnsi="宋体"/>
        </w:rPr>
        <w:t>8.2 投标文件需由投标人法定代表人或经法定代表人正式授权并对投标人有约束力的代表在投标文件上签字。投标文件如是授权代表签字，须将“法定代表人授权书”附在投标文件中。投标文件无法定代表人签字，或签字无法定代表人有效授权，投标文件将被拒绝。</w:t>
      </w:r>
    </w:p>
    <w:p>
      <w:pPr>
        <w:spacing w:line="360" w:lineRule="auto"/>
        <w:ind w:left="525"/>
        <w:rPr>
          <w:rFonts w:ascii="宋体" w:hAnsi="宋体"/>
        </w:rPr>
      </w:pPr>
      <w:r>
        <w:rPr>
          <w:rFonts w:hint="eastAsia" w:ascii="宋体" w:hAnsi="宋体"/>
        </w:rPr>
        <w:t>8.3 如投标人对招标文件个别内容不能接受，应在投标文件中另做声明，否则将视为投标人接受招标文件全部内容。</w:t>
      </w:r>
    </w:p>
    <w:p>
      <w:pPr>
        <w:spacing w:line="360" w:lineRule="auto"/>
        <w:ind w:left="525"/>
        <w:rPr>
          <w:rFonts w:ascii="宋体" w:hAnsi="宋体"/>
        </w:rPr>
      </w:pPr>
      <w:r>
        <w:rPr>
          <w:rFonts w:hint="eastAsia" w:ascii="宋体" w:hAnsi="宋体"/>
        </w:rPr>
        <w:t>8.4 任何对投标文件行间插字、涂改和增删，必须由投标文件签字人签字或盖章后才有效。</w:t>
      </w:r>
    </w:p>
    <w:p>
      <w:pPr>
        <w:spacing w:line="360" w:lineRule="auto"/>
        <w:ind w:left="525"/>
        <w:rPr>
          <w:rFonts w:ascii="宋体" w:hAnsi="宋体"/>
        </w:rPr>
      </w:pPr>
      <w:r>
        <w:rPr>
          <w:rFonts w:hint="eastAsia" w:ascii="宋体" w:hAnsi="宋体"/>
        </w:rPr>
        <w:t>8.5 投标文件因字迹潦草或表达不清所引起的后果由投标人负责。</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9.报价</w:t>
      </w:r>
    </w:p>
    <w:p>
      <w:pPr>
        <w:spacing w:line="360" w:lineRule="auto"/>
        <w:ind w:left="525"/>
        <w:rPr>
          <w:rFonts w:ascii="宋体" w:hAnsi="宋体"/>
        </w:rPr>
      </w:pPr>
      <w:r>
        <w:rPr>
          <w:rFonts w:hint="eastAsia" w:ascii="宋体" w:hAnsi="宋体"/>
        </w:rPr>
        <w:t>9.1 报价：人民币单价。</w:t>
      </w:r>
      <w:r>
        <w:rPr>
          <w:rFonts w:hint="eastAsia" w:ascii="宋体" w:hAnsi="宋体"/>
          <w:b/>
        </w:rPr>
        <w:t>本项目设定的最高限价为</w:t>
      </w:r>
      <w:r>
        <w:rPr>
          <w:rFonts w:hint="eastAsia" w:ascii="宋体" w:hAnsi="宋体" w:eastAsia="宋体"/>
          <w:b/>
          <w:szCs w:val="21"/>
        </w:rPr>
        <w:t>人民币</w:t>
      </w:r>
      <w:r>
        <w:rPr>
          <w:rFonts w:hint="eastAsia" w:ascii="宋体" w:hAnsi="宋体" w:eastAsia="宋体"/>
          <w:b/>
          <w:color w:val="auto"/>
          <w:szCs w:val="21"/>
          <w:lang w:val="en-US" w:eastAsia="zh-CN"/>
        </w:rPr>
        <w:t>543200.00元</w:t>
      </w:r>
      <w:r>
        <w:rPr>
          <w:rFonts w:hint="eastAsia" w:ascii="宋体" w:hAnsi="宋体" w:eastAsia="宋体"/>
          <w:b/>
          <w:szCs w:val="21"/>
        </w:rPr>
        <w:t>整</w:t>
      </w:r>
      <w:r>
        <w:rPr>
          <w:rFonts w:hint="eastAsia" w:ascii="宋体" w:hAnsi="宋体"/>
          <w:b/>
        </w:rPr>
        <w:t>。</w:t>
      </w:r>
      <w:r>
        <w:rPr>
          <w:rFonts w:hint="eastAsia" w:ascii="宋体" w:hAnsi="宋体"/>
        </w:rPr>
        <w:t>投标人应按照招标文件要求报出本项目包含的所有产品和服务的报价。</w:t>
      </w:r>
    </w:p>
    <w:p>
      <w:pPr>
        <w:spacing w:line="360" w:lineRule="auto"/>
        <w:ind w:left="525"/>
        <w:rPr>
          <w:rFonts w:ascii="宋体" w:hAnsi="宋体"/>
        </w:rPr>
      </w:pPr>
      <w:r>
        <w:rPr>
          <w:rFonts w:hint="eastAsia" w:ascii="宋体" w:hAnsi="宋体"/>
        </w:rPr>
        <w:t>9.2 投标人的报价包括投标人为完成招标人的项目建设所发生的一切费用（包括全部货物及相关服务）且已包括与所报货物/服务相关的所有税费。投标人估算错误或漏项的风险一律由投标人承担。</w:t>
      </w:r>
    </w:p>
    <w:p>
      <w:pPr>
        <w:spacing w:line="360" w:lineRule="auto"/>
        <w:ind w:left="525"/>
        <w:rPr>
          <w:rFonts w:ascii="宋体" w:hAnsi="宋体"/>
        </w:rPr>
      </w:pPr>
      <w:r>
        <w:rPr>
          <w:rFonts w:hint="eastAsia" w:ascii="宋体" w:hAnsi="宋体"/>
        </w:rPr>
        <w:t>9.3 中标价格在合同执行过程中是固定不变的，未经招标人许可不得以任何理由予以变更。以可调整或可选择的价格提交的投标文件将作为非响应性文件而予以拒绝。</w:t>
      </w:r>
    </w:p>
    <w:p>
      <w:pPr>
        <w:spacing w:line="360" w:lineRule="auto"/>
        <w:ind w:left="525"/>
        <w:rPr>
          <w:rFonts w:ascii="宋体" w:hAnsi="宋体"/>
        </w:rPr>
      </w:pPr>
      <w:r>
        <w:rPr>
          <w:rFonts w:hint="eastAsia" w:ascii="宋体" w:hAnsi="宋体"/>
        </w:rPr>
        <w:t>9</w:t>
      </w:r>
      <w:r>
        <w:rPr>
          <w:rFonts w:ascii="宋体" w:hAnsi="宋体"/>
        </w:rPr>
        <w:t>.</w:t>
      </w:r>
      <w:r>
        <w:rPr>
          <w:rFonts w:hint="eastAsia" w:ascii="宋体" w:hAnsi="宋体"/>
        </w:rPr>
        <w:t>4</w:t>
      </w:r>
      <w:r>
        <w:rPr>
          <w:rFonts w:ascii="宋体" w:hAnsi="宋体"/>
        </w:rPr>
        <w:t xml:space="preserve"> </w:t>
      </w:r>
      <w:r>
        <w:rPr>
          <w:rFonts w:hint="eastAsia" w:ascii="宋体" w:hAnsi="宋体"/>
        </w:rPr>
        <w:t>投标人根据本须知9.2条规定将报价分成几部分并按附件3格式填写分项报价表，是为了方便招标人对投标文件进行比较，并不限制招标人以上述任何条件订立合同的权利。</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10</w:t>
      </w:r>
      <w:r>
        <w:rPr>
          <w:rFonts w:ascii="宋体" w:hAnsi="宋体"/>
        </w:rPr>
        <w:t>.</w:t>
      </w:r>
      <w:r>
        <w:rPr>
          <w:rFonts w:hint="eastAsia" w:ascii="宋体" w:hAnsi="宋体"/>
        </w:rPr>
        <w:t>投标保证金</w:t>
      </w:r>
    </w:p>
    <w:p>
      <w:pPr>
        <w:spacing w:line="360" w:lineRule="auto"/>
        <w:ind w:left="525"/>
        <w:rPr>
          <w:rFonts w:ascii="宋体" w:hAnsi="宋体"/>
          <w:sz w:val="24"/>
          <w:u w:val="single"/>
        </w:rPr>
      </w:pPr>
      <w:r>
        <w:rPr>
          <w:rFonts w:hint="eastAsia" w:ascii="宋体" w:hAnsi="宋体"/>
        </w:rPr>
        <w:t>10.1 投标人应提交规定金额的投标保证金，并作为其投标文件的一部分。</w:t>
      </w:r>
      <w:r>
        <w:rPr>
          <w:rFonts w:hint="eastAsia" w:ascii="宋体" w:hAnsi="宋体"/>
          <w:sz w:val="24"/>
          <w:u w:val="single"/>
        </w:rPr>
        <w:t>（详见《投标人须知前附表》）</w:t>
      </w:r>
    </w:p>
    <w:p>
      <w:pPr>
        <w:spacing w:line="360" w:lineRule="auto"/>
        <w:ind w:left="525"/>
        <w:rPr>
          <w:rFonts w:ascii="宋体" w:hAnsi="宋体"/>
        </w:rPr>
      </w:pPr>
      <w:r>
        <w:rPr>
          <w:rFonts w:hint="eastAsia" w:ascii="宋体" w:hAnsi="宋体"/>
        </w:rPr>
        <w:t>10.2 投标保证金是为了保护招标人免遭因投标人的行为而蒙受损失。招标人在因投标人的行为受到损害时可根据本须知第10.7条的规定没收投标人的投标保证金。</w:t>
      </w:r>
    </w:p>
    <w:p>
      <w:pPr>
        <w:spacing w:line="360" w:lineRule="auto"/>
        <w:ind w:left="525"/>
        <w:rPr>
          <w:rFonts w:ascii="宋体" w:hAnsi="宋体"/>
          <w:sz w:val="24"/>
          <w:u w:val="single"/>
        </w:rPr>
      </w:pPr>
      <w:r>
        <w:rPr>
          <w:rFonts w:hint="eastAsia" w:ascii="宋体" w:hAnsi="宋体"/>
        </w:rPr>
        <w:t>10.3 投标保证金应用报价货币，并采用下列任何一种形式：</w:t>
      </w:r>
      <w:r>
        <w:rPr>
          <w:rFonts w:hint="eastAsia" w:ascii="宋体" w:hAnsi="宋体"/>
          <w:sz w:val="24"/>
          <w:u w:val="single"/>
        </w:rPr>
        <w:t>（详见《投标人须知前附表》）</w:t>
      </w:r>
    </w:p>
    <w:p>
      <w:pPr>
        <w:spacing w:line="360" w:lineRule="auto"/>
        <w:ind w:left="525"/>
        <w:rPr>
          <w:rFonts w:ascii="宋体" w:hAnsi="宋体"/>
        </w:rPr>
      </w:pPr>
      <w:r>
        <w:rPr>
          <w:rFonts w:hint="eastAsia" w:ascii="宋体" w:hAnsi="宋体"/>
        </w:rPr>
        <w:t>10.4 凡没有根据本须知第</w:t>
      </w:r>
      <w:r>
        <w:rPr>
          <w:rFonts w:ascii="宋体" w:hAnsi="宋体"/>
        </w:rPr>
        <w:t>1</w:t>
      </w:r>
      <w:r>
        <w:rPr>
          <w:rFonts w:hint="eastAsia" w:ascii="宋体" w:hAnsi="宋体"/>
        </w:rPr>
        <w:t>0</w:t>
      </w:r>
      <w:r>
        <w:rPr>
          <w:rFonts w:ascii="宋体" w:hAnsi="宋体"/>
        </w:rPr>
        <w:t>.1</w:t>
      </w:r>
      <w:r>
        <w:rPr>
          <w:rFonts w:hint="eastAsia" w:ascii="宋体" w:hAnsi="宋体"/>
        </w:rPr>
        <w:t>条的规定随附投标保证金的投标文件，应按本须知第19条的规定视为非响应性文件予以拒绝。</w:t>
      </w:r>
    </w:p>
    <w:p>
      <w:pPr>
        <w:spacing w:line="360" w:lineRule="auto"/>
        <w:ind w:left="525"/>
        <w:rPr>
          <w:rFonts w:ascii="宋体" w:hAnsi="宋体"/>
        </w:rPr>
      </w:pPr>
      <w:r>
        <w:rPr>
          <w:rFonts w:hint="eastAsia" w:ascii="宋体" w:hAnsi="宋体"/>
        </w:rPr>
        <w:t>1</w:t>
      </w:r>
      <w:r>
        <w:rPr>
          <w:rFonts w:ascii="宋体" w:hAnsi="宋体"/>
        </w:rPr>
        <w:t>0</w:t>
      </w:r>
      <w:r>
        <w:rPr>
          <w:rFonts w:hint="eastAsia" w:ascii="宋体" w:hAnsi="宋体"/>
        </w:rPr>
        <w:t>.5 未中标投标人的投标保证金，将当场退还投标人。</w:t>
      </w:r>
    </w:p>
    <w:p>
      <w:pPr>
        <w:spacing w:line="360" w:lineRule="auto"/>
        <w:ind w:left="525"/>
        <w:rPr>
          <w:rFonts w:ascii="宋体" w:hAnsi="宋体"/>
        </w:rPr>
      </w:pPr>
      <w:r>
        <w:rPr>
          <w:rFonts w:hint="eastAsia" w:ascii="宋体" w:hAnsi="宋体"/>
        </w:rPr>
        <w:t>1</w:t>
      </w:r>
      <w:r>
        <w:rPr>
          <w:rFonts w:ascii="宋体" w:hAnsi="宋体"/>
        </w:rPr>
        <w:t>0</w:t>
      </w:r>
      <w:r>
        <w:rPr>
          <w:rFonts w:hint="eastAsia" w:ascii="宋体" w:hAnsi="宋体"/>
        </w:rPr>
        <w:t>.6中标人的投标保证金将在与招标人签订合同后无息退还。</w:t>
      </w:r>
    </w:p>
    <w:p>
      <w:pPr>
        <w:spacing w:line="360" w:lineRule="auto"/>
        <w:ind w:left="525"/>
        <w:rPr>
          <w:rFonts w:ascii="宋体" w:hAnsi="宋体"/>
        </w:rPr>
      </w:pPr>
      <w:r>
        <w:rPr>
          <w:rFonts w:hint="eastAsia" w:ascii="宋体" w:hAnsi="宋体"/>
        </w:rPr>
        <w:t>10.7 下列任何情况发生时，投标保证金将被没收：</w:t>
      </w:r>
    </w:p>
    <w:p>
      <w:pPr>
        <w:spacing w:line="360" w:lineRule="auto"/>
        <w:ind w:left="1050" w:leftChars="500"/>
      </w:pPr>
      <w:r>
        <w:rPr>
          <w:rFonts w:hint="eastAsia"/>
        </w:rPr>
        <w:t>1）投标人在招标文件中规定的投标有效期内撤回其投标文件；或</w:t>
      </w:r>
    </w:p>
    <w:p>
      <w:pPr>
        <w:spacing w:line="360" w:lineRule="auto"/>
        <w:ind w:left="1050" w:leftChars="500"/>
      </w:pPr>
      <w:r>
        <w:rPr>
          <w:rFonts w:hint="eastAsia"/>
        </w:rPr>
        <w:t>2）投标人提供的有关资料、资格证明文件被确认是不真实的；或</w:t>
      </w:r>
    </w:p>
    <w:p>
      <w:pPr>
        <w:spacing w:line="360" w:lineRule="auto"/>
        <w:ind w:left="1050" w:leftChars="500"/>
      </w:pPr>
      <w:r>
        <w:rPr>
          <w:rFonts w:hint="eastAsia"/>
        </w:rPr>
        <w:t>3）中标人在规定期限内未能根据本须知第</w:t>
      </w:r>
      <w:r>
        <w:t>2</w:t>
      </w:r>
      <w:r>
        <w:rPr>
          <w:rFonts w:hint="eastAsia"/>
        </w:rPr>
        <w:t>5条规定签订合同。</w:t>
      </w:r>
    </w:p>
    <w:p>
      <w:pPr>
        <w:spacing w:line="360" w:lineRule="auto"/>
        <w:ind w:firstLine="525"/>
        <w:rPr>
          <w:rFonts w:ascii="宋体" w:hAnsi="宋体"/>
        </w:rPr>
      </w:pPr>
    </w:p>
    <w:p>
      <w:pPr>
        <w:spacing w:line="360" w:lineRule="auto"/>
        <w:ind w:firstLine="525"/>
        <w:rPr>
          <w:rFonts w:ascii="宋体" w:hAnsi="宋体"/>
        </w:rPr>
      </w:pPr>
      <w:r>
        <w:rPr>
          <w:rFonts w:ascii="宋体" w:hAnsi="宋体"/>
        </w:rPr>
        <w:t>11</w:t>
      </w:r>
      <w:r>
        <w:rPr>
          <w:rFonts w:hint="eastAsia" w:ascii="宋体" w:hAnsi="宋体"/>
        </w:rPr>
        <w:t>.投标有效期</w:t>
      </w:r>
      <w:r>
        <w:rPr>
          <w:rFonts w:hint="eastAsia" w:ascii="宋体" w:hAnsi="宋体"/>
          <w:sz w:val="24"/>
          <w:u w:val="single"/>
        </w:rPr>
        <w:t>（详见《投标人须知前附表》）</w:t>
      </w:r>
    </w:p>
    <w:p>
      <w:pPr>
        <w:spacing w:line="360" w:lineRule="auto"/>
        <w:ind w:left="525"/>
        <w:rPr>
          <w:rFonts w:ascii="宋体" w:hAnsi="宋体"/>
        </w:rPr>
      </w:pPr>
      <w:r>
        <w:rPr>
          <w:rFonts w:ascii="宋体" w:hAnsi="宋体"/>
        </w:rPr>
        <w:t>11.1</w:t>
      </w:r>
      <w:r>
        <w:rPr>
          <w:rFonts w:hint="eastAsia" w:ascii="宋体" w:hAnsi="宋体"/>
        </w:rPr>
        <w:t>投标人递交的投标文件应在规定的递交投标文件截止日后的</w:t>
      </w:r>
      <w:r>
        <w:rPr>
          <w:rFonts w:hint="eastAsia" w:ascii="宋体" w:hAnsi="宋体"/>
          <w:u w:val="single"/>
        </w:rPr>
        <w:t>90</w:t>
      </w:r>
      <w:r>
        <w:rPr>
          <w:rFonts w:hint="eastAsia" w:ascii="宋体" w:hAnsi="宋体"/>
        </w:rPr>
        <w:t>天内保持有效。有效期不满足要求的投标文件将被视为非响应性文件而予以拒绝。</w:t>
      </w:r>
    </w:p>
    <w:p>
      <w:pPr>
        <w:spacing w:line="360" w:lineRule="auto"/>
        <w:ind w:left="525"/>
        <w:rPr>
          <w:rFonts w:ascii="宋体" w:hAnsi="宋体"/>
        </w:rPr>
      </w:pPr>
      <w:r>
        <w:rPr>
          <w:rFonts w:ascii="宋体" w:hAnsi="宋体"/>
        </w:rPr>
        <w:t xml:space="preserve">11.2 </w:t>
      </w:r>
      <w:r>
        <w:rPr>
          <w:rFonts w:hint="eastAsia" w:ascii="宋体" w:hAnsi="宋体"/>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文件，而只会被要求相应地延长其投标保证金的有效期。在这种情况下，本须知第</w:t>
      </w:r>
      <w:r>
        <w:rPr>
          <w:rFonts w:ascii="宋体" w:hAnsi="宋体"/>
        </w:rPr>
        <w:t>1</w:t>
      </w:r>
      <w:r>
        <w:rPr>
          <w:rFonts w:hint="eastAsia" w:ascii="宋体" w:hAnsi="宋体"/>
        </w:rPr>
        <w:t>0条有关投标保证金的退还和没收的规定将在延长了的有效期内继续有效。</w:t>
      </w:r>
    </w:p>
    <w:p>
      <w:pPr>
        <w:spacing w:line="360" w:lineRule="auto"/>
        <w:ind w:left="525"/>
        <w:rPr>
          <w:rFonts w:ascii="宋体" w:hAnsi="宋体"/>
        </w:rPr>
      </w:pPr>
    </w:p>
    <w:p>
      <w:pPr>
        <w:numPr>
          <w:ilvl w:val="0"/>
          <w:numId w:val="14"/>
        </w:numPr>
        <w:spacing w:line="360" w:lineRule="auto"/>
        <w:rPr>
          <w:rFonts w:ascii="宋体" w:hAnsi="宋体"/>
          <w:b/>
        </w:rPr>
      </w:pPr>
      <w:r>
        <w:rPr>
          <w:rFonts w:hint="eastAsia" w:ascii="宋体" w:hAnsi="宋体"/>
          <w:b/>
        </w:rPr>
        <w:t>投标文件的递交</w:t>
      </w:r>
    </w:p>
    <w:p>
      <w:pPr>
        <w:spacing w:line="360" w:lineRule="auto"/>
        <w:ind w:left="525"/>
        <w:rPr>
          <w:rFonts w:ascii="宋体" w:hAnsi="宋体"/>
        </w:rPr>
      </w:pPr>
      <w:r>
        <w:rPr>
          <w:rFonts w:ascii="宋体" w:hAnsi="宋体"/>
        </w:rPr>
        <w:t>12</w:t>
      </w:r>
      <w:r>
        <w:rPr>
          <w:rFonts w:hint="eastAsia" w:ascii="宋体" w:hAnsi="宋体"/>
        </w:rPr>
        <w:t>.投标文件的密封和标记</w:t>
      </w:r>
    </w:p>
    <w:p>
      <w:pPr>
        <w:spacing w:line="360" w:lineRule="auto"/>
        <w:ind w:left="525"/>
        <w:rPr>
          <w:rFonts w:ascii="宋体" w:hAnsi="宋体"/>
        </w:rPr>
      </w:pPr>
      <w:r>
        <w:rPr>
          <w:rFonts w:ascii="宋体" w:hAnsi="宋体"/>
        </w:rPr>
        <w:t>12.1</w:t>
      </w:r>
      <w:r>
        <w:rPr>
          <w:rFonts w:hint="eastAsia" w:ascii="宋体" w:hAnsi="宋体"/>
        </w:rPr>
        <w:t xml:space="preserve"> 投标人应单独密封提交投标保证金一份和开标一览表一式两份，并在信封上标明“投标保证金”、“开标一览表”字样。投标人应将投标文件正本、所有的副本均密封，且在信封上标明“正本”、“副本”字样。</w:t>
      </w:r>
    </w:p>
    <w:p>
      <w:pPr>
        <w:pStyle w:val="28"/>
        <w:spacing w:line="360" w:lineRule="auto"/>
        <w:ind w:left="525"/>
      </w:pPr>
      <w:r>
        <w:rPr>
          <w:rFonts w:hAnsi="宋体"/>
        </w:rPr>
        <w:t>12.</w:t>
      </w:r>
      <w:r>
        <w:rPr>
          <w:rFonts w:hint="eastAsia" w:hAnsi="宋体"/>
        </w:rPr>
        <w:t>2</w:t>
      </w:r>
      <w:r>
        <w:rPr>
          <w:rFonts w:hint="eastAsia"/>
        </w:rPr>
        <w:t>信封应：</w:t>
      </w:r>
    </w:p>
    <w:p>
      <w:pPr>
        <w:spacing w:line="360" w:lineRule="auto"/>
        <w:ind w:left="1050" w:leftChars="500"/>
      </w:pPr>
      <w:r>
        <w:rPr>
          <w:rFonts w:hint="eastAsia"/>
        </w:rPr>
        <w:t>1）标明递交至“招标公告”中指明的地点。</w:t>
      </w:r>
    </w:p>
    <w:p>
      <w:pPr>
        <w:spacing w:line="360" w:lineRule="auto"/>
        <w:ind w:left="1050" w:leftChars="500"/>
      </w:pPr>
      <w:r>
        <w:rPr>
          <w:rFonts w:hint="eastAsia"/>
        </w:rPr>
        <w:t>2）注明“招标公告”中指明的项目名称、编号和“在</w:t>
      </w:r>
      <w:r>
        <w:rPr>
          <w:rFonts w:hint="eastAsia"/>
          <w:u w:val="single"/>
        </w:rPr>
        <w:t xml:space="preserve">            </w:t>
      </w:r>
      <w:r>
        <w:rPr>
          <w:rFonts w:hint="eastAsia"/>
        </w:rPr>
        <w:t>”之前不得启封的字样，并填入“招标公告”中规定的日期和时间。</w:t>
      </w:r>
    </w:p>
    <w:p>
      <w:pPr>
        <w:spacing w:line="360" w:lineRule="auto"/>
        <w:ind w:left="525"/>
        <w:rPr>
          <w:rFonts w:ascii="宋体" w:hAnsi="宋体"/>
        </w:rPr>
      </w:pPr>
      <w:r>
        <w:rPr>
          <w:rFonts w:ascii="宋体" w:hAnsi="宋体"/>
        </w:rPr>
        <w:t>12.</w:t>
      </w:r>
      <w:r>
        <w:rPr>
          <w:rFonts w:hint="eastAsia" w:ascii="宋体" w:hAnsi="宋体"/>
        </w:rPr>
        <w:t>3信封应写明投标人名称和地址，以便若其投标文件被宣布为“迟到”投标文件时，能原封退回。</w:t>
      </w:r>
    </w:p>
    <w:p>
      <w:pPr>
        <w:spacing w:line="360" w:lineRule="auto"/>
        <w:ind w:left="525"/>
        <w:rPr>
          <w:rFonts w:ascii="宋体" w:hAnsi="宋体"/>
        </w:rPr>
      </w:pPr>
      <w:r>
        <w:rPr>
          <w:rFonts w:ascii="宋体" w:hAnsi="宋体"/>
        </w:rPr>
        <w:t>12.</w:t>
      </w:r>
      <w:r>
        <w:rPr>
          <w:rFonts w:hint="eastAsia" w:ascii="宋体" w:hAnsi="宋体"/>
        </w:rPr>
        <w:t>4 如果信封未按本须知第12.2条要求加写标记和密封，招标人对误投或过早启封概不负责。</w:t>
      </w:r>
    </w:p>
    <w:p>
      <w:pPr>
        <w:spacing w:line="360" w:lineRule="auto"/>
        <w:ind w:left="525"/>
        <w:rPr>
          <w:rFonts w:ascii="宋体" w:hAnsi="宋体"/>
        </w:rPr>
      </w:pPr>
      <w:r>
        <w:rPr>
          <w:rFonts w:hint="eastAsia" w:ascii="宋体" w:hAnsi="宋体"/>
        </w:rPr>
        <w:t>12.5 投标人须由其合法的授权人在递交投标文件截止时间之前将投标文件送达招标人并签字确认。投标人须承担因未送达并签字所造成的一切责任。</w:t>
      </w:r>
    </w:p>
    <w:p>
      <w:pPr>
        <w:spacing w:line="360" w:lineRule="auto"/>
        <w:ind w:left="525"/>
        <w:rPr>
          <w:rFonts w:ascii="宋体" w:hAnsi="宋体"/>
        </w:rPr>
      </w:pPr>
    </w:p>
    <w:p>
      <w:pPr>
        <w:spacing w:line="360" w:lineRule="auto"/>
        <w:ind w:left="525"/>
        <w:rPr>
          <w:rFonts w:ascii="宋体" w:hAnsi="宋体"/>
        </w:rPr>
      </w:pPr>
      <w:r>
        <w:rPr>
          <w:rFonts w:ascii="宋体" w:hAnsi="宋体"/>
        </w:rPr>
        <w:t>13</w:t>
      </w:r>
      <w:r>
        <w:rPr>
          <w:rFonts w:hint="eastAsia" w:ascii="宋体" w:hAnsi="宋体"/>
        </w:rPr>
        <w:t>.递交投标文件截止时间</w:t>
      </w:r>
      <w:r>
        <w:rPr>
          <w:rFonts w:hint="eastAsia" w:ascii="宋体" w:hAnsi="宋体"/>
          <w:sz w:val="24"/>
          <w:u w:val="single"/>
        </w:rPr>
        <w:t>（详见《投标人须知前附表》）</w:t>
      </w:r>
    </w:p>
    <w:p>
      <w:pPr>
        <w:spacing w:line="360" w:lineRule="auto"/>
        <w:ind w:left="525"/>
        <w:rPr>
          <w:rFonts w:ascii="宋体" w:hAnsi="宋体"/>
        </w:rPr>
      </w:pPr>
      <w:r>
        <w:rPr>
          <w:rFonts w:ascii="宋体" w:hAnsi="宋体"/>
        </w:rPr>
        <w:t xml:space="preserve">13.1 </w:t>
      </w:r>
      <w:r>
        <w:rPr>
          <w:rFonts w:hint="eastAsia" w:ascii="宋体" w:hAnsi="宋体"/>
        </w:rPr>
        <w:t>招标人收到投标文件的时间不迟于北京时间</w:t>
      </w:r>
      <w:r>
        <w:rPr>
          <w:rFonts w:hint="eastAsia" w:ascii="宋体" w:hAnsi="宋体"/>
          <w:u w:val="single"/>
        </w:rPr>
        <w:t xml:space="preserve"> 20</w:t>
      </w:r>
      <w:r>
        <w:rPr>
          <w:rFonts w:hint="eastAsia" w:ascii="宋体" w:hAnsi="宋体"/>
          <w:u w:val="single"/>
          <w:lang w:val="en-US" w:eastAsia="zh-CN"/>
        </w:rPr>
        <w:t>24</w:t>
      </w:r>
      <w:r>
        <w:rPr>
          <w:rFonts w:hint="eastAsia" w:ascii="宋体" w:hAnsi="宋体"/>
          <w:u w:val="single"/>
        </w:rPr>
        <w:t xml:space="preserve"> </w:t>
      </w:r>
      <w:r>
        <w:rPr>
          <w:rFonts w:hint="eastAsia" w:ascii="宋体" w:hAnsi="宋体"/>
        </w:rPr>
        <w:t>年</w:t>
      </w:r>
      <w:r>
        <w:rPr>
          <w:rFonts w:hint="eastAsia" w:ascii="宋体" w:hAnsi="宋体"/>
          <w:u w:val="single"/>
        </w:rPr>
        <w:t xml:space="preserve"> 0</w:t>
      </w:r>
      <w:r>
        <w:rPr>
          <w:rFonts w:hint="eastAsia" w:ascii="宋体" w:hAnsi="宋体"/>
          <w:u w:val="single"/>
          <w:lang w:val="en-US" w:eastAsia="zh-CN"/>
        </w:rPr>
        <w:t>5</w:t>
      </w:r>
      <w:r>
        <w:rPr>
          <w:rFonts w:hint="eastAsia" w:ascii="宋体" w:hAnsi="宋体"/>
        </w:rPr>
        <w:t>月</w:t>
      </w:r>
      <w:r>
        <w:rPr>
          <w:rFonts w:hint="eastAsia" w:ascii="宋体" w:hAnsi="宋体"/>
          <w:u w:val="single"/>
        </w:rPr>
        <w:t xml:space="preserve"> </w:t>
      </w:r>
      <w:r>
        <w:rPr>
          <w:rFonts w:hint="default" w:ascii="宋体" w:hAnsi="宋体"/>
          <w:u w:val="single"/>
          <w:lang w:val="en-US"/>
        </w:rPr>
        <w:t>2</w:t>
      </w:r>
      <w:r>
        <w:rPr>
          <w:rFonts w:hint="eastAsia" w:ascii="宋体" w:hAnsi="宋体"/>
          <w:u w:val="single"/>
          <w:lang w:val="en-US" w:eastAsia="zh-CN"/>
        </w:rPr>
        <w:t>7</w:t>
      </w:r>
      <w:r>
        <w:rPr>
          <w:rFonts w:hint="eastAsia" w:ascii="宋体" w:hAnsi="宋体"/>
        </w:rPr>
        <w:t>日</w:t>
      </w:r>
      <w:r>
        <w:rPr>
          <w:rFonts w:hint="eastAsia" w:ascii="宋体" w:hAnsi="宋体"/>
          <w:u w:val="single"/>
        </w:rPr>
        <w:t xml:space="preserve"> </w:t>
      </w:r>
      <w:r>
        <w:rPr>
          <w:rFonts w:hint="eastAsia" w:ascii="宋体" w:hAnsi="宋体"/>
          <w:u w:val="single"/>
          <w:lang w:val="en-US" w:eastAsia="zh-CN"/>
        </w:rPr>
        <w:t>14：</w:t>
      </w:r>
      <w:r>
        <w:rPr>
          <w:rFonts w:hint="eastAsia" w:ascii="宋体" w:hAnsi="宋体"/>
          <w:u w:val="single"/>
        </w:rPr>
        <w:t xml:space="preserve">30 </w:t>
      </w:r>
      <w:r>
        <w:rPr>
          <w:rFonts w:hint="eastAsia" w:ascii="宋体" w:hAnsi="宋体"/>
        </w:rPr>
        <w:t>整。</w:t>
      </w:r>
    </w:p>
    <w:p>
      <w:pPr>
        <w:spacing w:line="360" w:lineRule="auto"/>
        <w:ind w:left="525"/>
        <w:rPr>
          <w:rFonts w:ascii="宋体" w:hAnsi="宋体"/>
        </w:rPr>
      </w:pPr>
      <w:r>
        <w:rPr>
          <w:rFonts w:ascii="宋体" w:hAnsi="宋体"/>
        </w:rPr>
        <w:t xml:space="preserve">13.2 </w:t>
      </w:r>
      <w:r>
        <w:rPr>
          <w:rFonts w:hint="eastAsia" w:ascii="宋体" w:hAnsi="宋体"/>
        </w:rPr>
        <w:t>招标人可以按本须知第5条规定，通过修改招标文件自行决定酌情延长递交投标文件截止时间。在此情况下，招标人和投标人受递交投标文件截止时间制约的所有权利和义务均应延长至新的截止期。</w:t>
      </w:r>
    </w:p>
    <w:p>
      <w:pPr>
        <w:spacing w:line="360" w:lineRule="auto"/>
        <w:ind w:firstLine="525" w:firstLineChars="250"/>
        <w:rPr>
          <w:rFonts w:ascii="宋体" w:hAnsi="宋体"/>
        </w:rPr>
      </w:pPr>
    </w:p>
    <w:p>
      <w:pPr>
        <w:spacing w:line="360" w:lineRule="auto"/>
        <w:ind w:firstLine="525" w:firstLineChars="250"/>
        <w:rPr>
          <w:rFonts w:ascii="宋体" w:hAnsi="宋体"/>
        </w:rPr>
      </w:pPr>
      <w:r>
        <w:rPr>
          <w:rFonts w:hint="eastAsia" w:ascii="宋体" w:hAnsi="宋体"/>
        </w:rPr>
        <w:t>14.迟交的投标文件</w:t>
      </w:r>
    </w:p>
    <w:p>
      <w:pPr>
        <w:spacing w:line="360" w:lineRule="auto"/>
        <w:ind w:left="525"/>
        <w:rPr>
          <w:rFonts w:ascii="宋体" w:hAnsi="宋体"/>
        </w:rPr>
      </w:pPr>
      <w:r>
        <w:rPr>
          <w:rFonts w:ascii="宋体" w:hAnsi="宋体"/>
        </w:rPr>
        <w:t xml:space="preserve">14.1 </w:t>
      </w:r>
      <w:r>
        <w:rPr>
          <w:rFonts w:hint="eastAsia" w:ascii="宋体" w:hAnsi="宋体"/>
        </w:rPr>
        <w:t>招标人将拒绝并原封退回在规定的递交投标文件截止时间后收到的任何投标文件。</w:t>
      </w:r>
    </w:p>
    <w:p>
      <w:pPr>
        <w:spacing w:line="360" w:lineRule="auto"/>
        <w:ind w:left="525"/>
        <w:rPr>
          <w:rFonts w:ascii="宋体" w:hAnsi="宋体"/>
        </w:rPr>
      </w:pPr>
    </w:p>
    <w:p>
      <w:pPr>
        <w:spacing w:line="360" w:lineRule="auto"/>
        <w:ind w:left="525"/>
        <w:rPr>
          <w:rFonts w:ascii="宋体" w:hAnsi="宋体"/>
        </w:rPr>
      </w:pPr>
      <w:r>
        <w:rPr>
          <w:rFonts w:ascii="宋体" w:hAnsi="宋体"/>
        </w:rPr>
        <w:t>15</w:t>
      </w:r>
      <w:r>
        <w:rPr>
          <w:rFonts w:hint="eastAsia" w:ascii="宋体" w:hAnsi="宋体"/>
        </w:rPr>
        <w:t>.投标文件的修改与撤回</w:t>
      </w:r>
    </w:p>
    <w:p>
      <w:pPr>
        <w:spacing w:line="360" w:lineRule="auto"/>
        <w:ind w:left="525"/>
        <w:rPr>
          <w:rFonts w:ascii="宋体" w:hAnsi="宋体"/>
        </w:rPr>
      </w:pPr>
      <w:r>
        <w:rPr>
          <w:rFonts w:ascii="宋体" w:hAnsi="宋体"/>
        </w:rPr>
        <w:t xml:space="preserve">15.1 </w:t>
      </w:r>
      <w:r>
        <w:rPr>
          <w:rFonts w:hint="eastAsia" w:ascii="宋体" w:hAnsi="宋体"/>
        </w:rPr>
        <w:t>投标人在递交投标文件后，可以修改或撤回其投标文件，但招标人必须在规定的递交投标文件截止时间之前，收到投标人发出的修改或撤回的书面通知。</w:t>
      </w:r>
    </w:p>
    <w:p>
      <w:pPr>
        <w:spacing w:line="360" w:lineRule="auto"/>
        <w:ind w:left="525"/>
        <w:rPr>
          <w:rFonts w:ascii="宋体" w:hAnsi="宋体"/>
        </w:rPr>
      </w:pPr>
      <w:r>
        <w:rPr>
          <w:rFonts w:ascii="宋体" w:hAnsi="宋体"/>
        </w:rPr>
        <w:t xml:space="preserve">15.2 </w:t>
      </w:r>
      <w:r>
        <w:rPr>
          <w:rFonts w:hint="eastAsia" w:ascii="宋体" w:hAnsi="宋体"/>
        </w:rPr>
        <w:t>投标人的修改或撤回通知应按本须知第</w:t>
      </w:r>
      <w:r>
        <w:rPr>
          <w:rFonts w:ascii="宋体" w:hAnsi="宋体"/>
        </w:rPr>
        <w:t>1</w:t>
      </w:r>
      <w:r>
        <w:rPr>
          <w:rFonts w:hint="eastAsia" w:ascii="宋体" w:hAnsi="宋体"/>
        </w:rPr>
        <w:t>2条规定编制、密封、标记和发送。</w:t>
      </w:r>
    </w:p>
    <w:p>
      <w:pPr>
        <w:spacing w:line="360" w:lineRule="auto"/>
        <w:ind w:left="525"/>
        <w:rPr>
          <w:rFonts w:ascii="宋体" w:hAnsi="宋体"/>
        </w:rPr>
      </w:pPr>
      <w:r>
        <w:rPr>
          <w:rFonts w:ascii="宋体" w:hAnsi="宋体"/>
        </w:rPr>
        <w:t xml:space="preserve">15.3 </w:t>
      </w:r>
      <w:r>
        <w:rPr>
          <w:rFonts w:hint="eastAsia" w:ascii="宋体" w:hAnsi="宋体"/>
        </w:rPr>
        <w:t>在递交投标文件截止时间之后，投标人不得对其投标文件做任何修改。</w:t>
      </w:r>
    </w:p>
    <w:p>
      <w:pPr>
        <w:spacing w:line="360" w:lineRule="auto"/>
        <w:ind w:left="525"/>
        <w:rPr>
          <w:rFonts w:ascii="宋体" w:hAnsi="宋体"/>
        </w:rPr>
      </w:pPr>
      <w:r>
        <w:rPr>
          <w:rFonts w:ascii="宋体" w:hAnsi="宋体"/>
        </w:rPr>
        <w:t xml:space="preserve">15.4 </w:t>
      </w:r>
      <w:r>
        <w:rPr>
          <w:rFonts w:hint="eastAsia" w:ascii="宋体" w:hAnsi="宋体"/>
        </w:rPr>
        <w:t>从递交投标文件截止时间至投标人在</w:t>
      </w:r>
      <w:r>
        <w:rPr>
          <w:rFonts w:hint="eastAsia" w:ascii="宋体" w:hAnsi="宋体" w:cs="宋体"/>
        </w:rPr>
        <w:t>投标函</w:t>
      </w:r>
      <w:r>
        <w:rPr>
          <w:rFonts w:hint="eastAsia" w:ascii="宋体" w:hAnsi="宋体"/>
        </w:rPr>
        <w:t>格式中确定的投标有效期之间的这段时间内，投标人不得撤回其投标文件，否则其投标保证金将按照本须知第10</w:t>
      </w:r>
      <w:r>
        <w:rPr>
          <w:rFonts w:ascii="宋体" w:hAnsi="宋体"/>
        </w:rPr>
        <w:t>.7</w:t>
      </w:r>
      <w:r>
        <w:rPr>
          <w:rFonts w:hint="eastAsia" w:ascii="宋体" w:hAnsi="宋体"/>
        </w:rPr>
        <w:t>条的规定被没收。</w:t>
      </w:r>
    </w:p>
    <w:p>
      <w:pPr>
        <w:spacing w:line="360" w:lineRule="auto"/>
        <w:ind w:left="525"/>
        <w:rPr>
          <w:rFonts w:ascii="宋体" w:hAnsi="宋体"/>
        </w:rPr>
      </w:pPr>
    </w:p>
    <w:p>
      <w:pPr>
        <w:numPr>
          <w:ilvl w:val="0"/>
          <w:numId w:val="14"/>
        </w:numPr>
        <w:spacing w:line="360" w:lineRule="auto"/>
        <w:rPr>
          <w:rFonts w:ascii="宋体" w:hAnsi="宋体"/>
          <w:b/>
        </w:rPr>
      </w:pPr>
      <w:r>
        <w:rPr>
          <w:rFonts w:hint="eastAsia" w:ascii="宋体" w:hAnsi="宋体"/>
          <w:b/>
        </w:rPr>
        <w:t>开标与评标</w:t>
      </w:r>
    </w:p>
    <w:p>
      <w:pPr>
        <w:spacing w:line="360" w:lineRule="auto"/>
        <w:ind w:left="525"/>
        <w:rPr>
          <w:rFonts w:ascii="宋体" w:hAnsi="宋体"/>
        </w:rPr>
      </w:pPr>
      <w:r>
        <w:rPr>
          <w:rFonts w:hint="eastAsia" w:ascii="宋体" w:hAnsi="宋体"/>
        </w:rPr>
        <w:t>16. 开标</w:t>
      </w:r>
    </w:p>
    <w:p>
      <w:pPr>
        <w:spacing w:line="360" w:lineRule="auto"/>
        <w:ind w:left="525"/>
        <w:rPr>
          <w:rFonts w:ascii="宋体" w:hAnsi="宋体"/>
        </w:rPr>
      </w:pPr>
      <w:r>
        <w:rPr>
          <w:rFonts w:hint="eastAsia" w:ascii="宋体" w:hAnsi="宋体"/>
        </w:rPr>
        <w:t>16.1 招标人将在“投标人须知前附表”中规定的时间和地点组织公开开标。投标人可自愿参加开标仪式，参加开标的代表须签名以证明其出席。</w:t>
      </w:r>
    </w:p>
    <w:p>
      <w:pPr>
        <w:spacing w:line="360" w:lineRule="auto"/>
        <w:ind w:left="525"/>
        <w:rPr>
          <w:rFonts w:ascii="宋体" w:hAnsi="宋体"/>
        </w:rPr>
      </w:pPr>
      <w:r>
        <w:rPr>
          <w:rFonts w:hint="eastAsia" w:ascii="宋体" w:hAnsi="宋体"/>
        </w:rPr>
        <w:t>16.2 按照第15条规定，同意撤回的投标将不予开封。</w:t>
      </w:r>
    </w:p>
    <w:p>
      <w:pPr>
        <w:spacing w:line="360" w:lineRule="auto"/>
        <w:ind w:left="525"/>
        <w:rPr>
          <w:rFonts w:ascii="宋体" w:hAnsi="宋体"/>
        </w:rPr>
      </w:pPr>
      <w:r>
        <w:rPr>
          <w:rFonts w:hint="eastAsia" w:ascii="宋体" w:hAnsi="宋体"/>
        </w:rPr>
        <w:t>16.3开标时，将查验投标文件密封情况，确认无误后拆封唱标，若投标文件未密封，或未提交投标保证金（包括投标保证金不符合第 10条规定），招标人将宣布该投标文件无效。</w:t>
      </w:r>
    </w:p>
    <w:p>
      <w:pPr>
        <w:spacing w:line="360" w:lineRule="auto"/>
        <w:ind w:left="525"/>
        <w:rPr>
          <w:rFonts w:ascii="宋体" w:hAnsi="宋体"/>
        </w:rPr>
      </w:pPr>
      <w:r>
        <w:rPr>
          <w:rFonts w:hint="eastAsia" w:ascii="宋体" w:hAnsi="宋体"/>
        </w:rPr>
        <w:t>16.4 开标时，招标人将当众宣读每份投标文件中“开标一览表”的各项内容，以及招标人认为合适的其他详细内容。</w:t>
      </w:r>
    </w:p>
    <w:p>
      <w:pPr>
        <w:spacing w:line="360" w:lineRule="auto"/>
        <w:ind w:left="525"/>
        <w:rPr>
          <w:rFonts w:ascii="宋体" w:hAnsi="宋体"/>
        </w:rPr>
      </w:pPr>
      <w:r>
        <w:rPr>
          <w:rFonts w:hint="eastAsia" w:ascii="宋体" w:hAnsi="宋体"/>
        </w:rPr>
        <w:t>16.5 招标人将做开标记录，开标记录包括按第16</w:t>
      </w:r>
      <w:r>
        <w:rPr>
          <w:rFonts w:ascii="宋体" w:hAnsi="宋体"/>
        </w:rPr>
        <w:t>.3</w:t>
      </w:r>
      <w:r>
        <w:rPr>
          <w:rFonts w:hint="eastAsia" w:ascii="宋体" w:hAnsi="宋体"/>
        </w:rPr>
        <w:t>条规定在开标时宣读的全部内容。</w:t>
      </w:r>
    </w:p>
    <w:p>
      <w:pPr>
        <w:spacing w:line="360" w:lineRule="auto"/>
        <w:rPr>
          <w:rFonts w:ascii="宋体" w:hAnsi="宋体"/>
          <w:b/>
        </w:rPr>
      </w:pPr>
    </w:p>
    <w:p>
      <w:pPr>
        <w:spacing w:line="360" w:lineRule="auto"/>
        <w:ind w:left="525"/>
        <w:rPr>
          <w:rFonts w:ascii="宋体" w:hAnsi="宋体"/>
        </w:rPr>
      </w:pPr>
      <w:r>
        <w:rPr>
          <w:rFonts w:hint="eastAsia" w:ascii="宋体" w:hAnsi="宋体"/>
        </w:rPr>
        <w:t>17.评标委员会</w:t>
      </w:r>
    </w:p>
    <w:p>
      <w:pPr>
        <w:spacing w:line="360" w:lineRule="auto"/>
        <w:ind w:left="525"/>
        <w:rPr>
          <w:rFonts w:ascii="宋体" w:hAnsi="宋体"/>
        </w:rPr>
      </w:pPr>
      <w:r>
        <w:rPr>
          <w:rFonts w:ascii="宋体" w:hAnsi="宋体"/>
        </w:rPr>
        <w:t>1</w:t>
      </w:r>
      <w:r>
        <w:rPr>
          <w:rFonts w:hint="eastAsia" w:ascii="宋体" w:hAnsi="宋体"/>
        </w:rPr>
        <w:t>7</w:t>
      </w:r>
      <w:r>
        <w:rPr>
          <w:rFonts w:ascii="宋体" w:hAnsi="宋体"/>
        </w:rPr>
        <w:t>.1</w:t>
      </w:r>
      <w:r>
        <w:rPr>
          <w:rFonts w:hint="eastAsia" w:ascii="宋体" w:hAnsi="宋体"/>
        </w:rPr>
        <w:t>招标人根据要求组建评标委员会，评标委员会由专家、招标人代表组成。评标委员会负责整个项目的评标工作。</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18.投标文件的澄清</w:t>
      </w:r>
    </w:p>
    <w:p>
      <w:pPr>
        <w:spacing w:line="360" w:lineRule="auto"/>
        <w:ind w:left="525"/>
        <w:rPr>
          <w:rFonts w:ascii="宋体" w:hAnsi="宋体"/>
        </w:rPr>
      </w:pPr>
      <w:r>
        <w:rPr>
          <w:rFonts w:hint="eastAsia" w:ascii="宋体" w:hAnsi="宋体"/>
        </w:rPr>
        <w:t>18</w:t>
      </w:r>
      <w:r>
        <w:rPr>
          <w:rFonts w:ascii="宋体" w:hAnsi="宋体"/>
        </w:rPr>
        <w:t xml:space="preserve">.1 </w:t>
      </w:r>
      <w:r>
        <w:rPr>
          <w:rFonts w:hint="eastAsia" w:ascii="宋体" w:hAnsi="宋体"/>
        </w:rPr>
        <w:t>在评标期间，招标人可要求投标人对其投标文件的任何内容进行澄清或者说明，但是澄清或者说明不得超出投标文件的范围或者改变招标文件的实质性内容。有关澄清的要求和答复均应以书面形式提交。</w:t>
      </w:r>
    </w:p>
    <w:p>
      <w:pPr>
        <w:spacing w:line="360" w:lineRule="auto"/>
        <w:ind w:left="525"/>
        <w:rPr>
          <w:rFonts w:ascii="宋体" w:hAnsi="宋体"/>
        </w:rPr>
      </w:pPr>
      <w:r>
        <w:rPr>
          <w:rFonts w:hint="eastAsia" w:ascii="宋体" w:hAnsi="宋体"/>
        </w:rPr>
        <w:t>18</w:t>
      </w:r>
      <w:r>
        <w:rPr>
          <w:rFonts w:ascii="宋体" w:hAnsi="宋体"/>
        </w:rPr>
        <w:t>.</w:t>
      </w:r>
      <w:r>
        <w:rPr>
          <w:rFonts w:hint="eastAsia" w:ascii="宋体" w:hAnsi="宋体"/>
        </w:rPr>
        <w:t>2并非对每个投标人都做澄清要求。</w:t>
      </w:r>
    </w:p>
    <w:p>
      <w:pPr>
        <w:spacing w:line="360" w:lineRule="auto"/>
        <w:ind w:left="525"/>
        <w:rPr>
          <w:rFonts w:ascii="宋体" w:hAnsi="宋体"/>
        </w:rPr>
      </w:pPr>
      <w:r>
        <w:rPr>
          <w:rFonts w:hint="eastAsia" w:ascii="宋体" w:hAnsi="宋体"/>
        </w:rPr>
        <w:t>18.3接到评标委员会澄清要求的投标人应派人按评标委员会通知的时间和地点做出书面澄清，书面澄清的内容须由投标人法定代表人或授权代表签署，并作为投标文件的补充部分。</w:t>
      </w:r>
    </w:p>
    <w:p>
      <w:pPr>
        <w:spacing w:line="360" w:lineRule="auto"/>
        <w:ind w:left="525"/>
        <w:rPr>
          <w:rFonts w:ascii="宋体" w:hAnsi="宋体"/>
        </w:rPr>
      </w:pPr>
      <w:r>
        <w:rPr>
          <w:rFonts w:hint="eastAsia" w:ascii="宋体" w:hAnsi="宋体"/>
        </w:rPr>
        <w:t>18.4 接到评标委员会澄清要求的投标人如未按第18条的规定做出澄清，其风险由投标人自行承担。</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19.投标文件的初审</w:t>
      </w:r>
    </w:p>
    <w:p>
      <w:pPr>
        <w:spacing w:line="360" w:lineRule="auto"/>
        <w:ind w:left="525"/>
        <w:rPr>
          <w:rFonts w:ascii="宋体" w:hAnsi="宋体"/>
        </w:rPr>
      </w:pPr>
      <w:r>
        <w:rPr>
          <w:rFonts w:hint="eastAsia" w:ascii="宋体" w:hAnsi="宋体"/>
        </w:rPr>
        <w:t>19</w:t>
      </w:r>
      <w:r>
        <w:rPr>
          <w:rFonts w:ascii="宋体" w:hAnsi="宋体"/>
        </w:rPr>
        <w:t xml:space="preserve">.1 </w:t>
      </w:r>
      <w:r>
        <w:rPr>
          <w:rFonts w:hint="eastAsia" w:ascii="宋体" w:hAnsi="宋体"/>
        </w:rPr>
        <w:t>评标委员会将初步审查投标文件是否完整、总体编排是否有序、文件签署是否合格、投标人是否提交了投标保证金、有无计算上的错误等。只有通过初步评审的投标才能进入资格预审的详细评审。</w:t>
      </w:r>
    </w:p>
    <w:p>
      <w:pPr>
        <w:spacing w:line="360" w:lineRule="auto"/>
        <w:ind w:left="525"/>
        <w:rPr>
          <w:rFonts w:ascii="宋体" w:hAnsi="宋体"/>
        </w:rPr>
      </w:pPr>
      <w:r>
        <w:rPr>
          <w:rFonts w:hint="eastAsia" w:ascii="宋体" w:hAnsi="宋体"/>
        </w:rPr>
        <w:t>19</w:t>
      </w:r>
      <w:r>
        <w:rPr>
          <w:rFonts w:ascii="宋体" w:hAnsi="宋体"/>
        </w:rPr>
        <w:t xml:space="preserve">.2 </w:t>
      </w:r>
      <w:r>
        <w:rPr>
          <w:rFonts w:hint="eastAsia" w:ascii="宋体" w:hAnsi="宋体"/>
        </w:rPr>
        <w:t>算术错误将按以下方法更正：若单价计算的结果与总价不一致，以单价为准修改总价；若用文字表示的数值与用数字表示的数值不一致，以文字表示的数值为准。如果投标人不接受对其错误的更正，其投标文件将被拒绝。</w:t>
      </w:r>
    </w:p>
    <w:p>
      <w:pPr>
        <w:spacing w:line="360" w:lineRule="auto"/>
        <w:ind w:left="525"/>
        <w:rPr>
          <w:rFonts w:ascii="宋体" w:hAnsi="宋体"/>
        </w:rPr>
      </w:pPr>
      <w:r>
        <w:rPr>
          <w:rFonts w:hint="eastAsia" w:ascii="宋体" w:hAnsi="宋体"/>
        </w:rPr>
        <w:t>19</w:t>
      </w:r>
      <w:r>
        <w:rPr>
          <w:rFonts w:ascii="宋体" w:hAnsi="宋体"/>
        </w:rPr>
        <w:t xml:space="preserve">.3 </w:t>
      </w:r>
      <w:r>
        <w:rPr>
          <w:rFonts w:hint="eastAsia" w:ascii="宋体" w:hAnsi="宋体"/>
        </w:rPr>
        <w:t>对于投标文件中不构成实质性偏差的不正规、不一致或不规则，评标委员会可以接受，但这种接受不能损害或影响任何投标人的相对排序。</w:t>
      </w:r>
    </w:p>
    <w:p>
      <w:pPr>
        <w:spacing w:line="360" w:lineRule="auto"/>
        <w:ind w:left="525"/>
        <w:rPr>
          <w:rFonts w:ascii="宋体" w:hAnsi="宋体"/>
        </w:rPr>
      </w:pPr>
      <w:r>
        <w:rPr>
          <w:rFonts w:hint="eastAsia" w:ascii="宋体" w:hAnsi="宋体"/>
        </w:rPr>
        <w:t>19</w:t>
      </w:r>
      <w:r>
        <w:rPr>
          <w:rFonts w:ascii="宋体" w:hAnsi="宋体"/>
        </w:rPr>
        <w:t xml:space="preserve">.4 </w:t>
      </w:r>
      <w:r>
        <w:rPr>
          <w:rFonts w:hint="eastAsia" w:ascii="宋体" w:hAnsi="宋体"/>
        </w:rPr>
        <w:t>在详细评审之前，评标委员会要审查每份投标文件是否实质上响应了招标文件的要求。实质上响应的投标文件应该是与招标文件要求的全部条款、条件和规格相符，没有重大偏离的投标文件。对关键条文的偏离、保留或反对，例如关于投标保证金、适用法律、税及关税等内容的偏离将被认为是实质上的偏离。评标委员会决定投标文件的响应性只根据投标文件本身的内容，而不寻求外部的证据。</w:t>
      </w:r>
    </w:p>
    <w:p>
      <w:pPr>
        <w:spacing w:line="360" w:lineRule="auto"/>
        <w:ind w:left="525"/>
        <w:rPr>
          <w:rFonts w:ascii="宋体" w:hAnsi="宋体"/>
        </w:rPr>
      </w:pPr>
      <w:r>
        <w:rPr>
          <w:rFonts w:hint="eastAsia" w:ascii="宋体" w:hAnsi="宋体"/>
        </w:rPr>
        <w:t>19</w:t>
      </w:r>
      <w:r>
        <w:rPr>
          <w:rFonts w:ascii="宋体" w:hAnsi="宋体"/>
        </w:rPr>
        <w:t xml:space="preserve">.5 </w:t>
      </w:r>
      <w:r>
        <w:rPr>
          <w:rFonts w:hint="eastAsia" w:ascii="宋体" w:hAnsi="宋体"/>
        </w:rPr>
        <w:t>实质上没有响应招标文件要求的投标文件将被拒绝。投标人不得通过修正或撤消不合要求的偏离或保留从而使其投标文件成为实质上响应的投标文件。如发现下列情况之一的，其投标文件将可能被拒绝：</w:t>
      </w:r>
      <w:r>
        <w:rPr>
          <w:rFonts w:hint="eastAsia" w:ascii="宋体" w:hAnsi="宋体"/>
          <w:sz w:val="24"/>
          <w:u w:val="single"/>
        </w:rPr>
        <w:t>（详见《投标人须知前附表》）</w:t>
      </w:r>
    </w:p>
    <w:p>
      <w:pPr>
        <w:spacing w:line="360" w:lineRule="auto"/>
        <w:ind w:left="525"/>
        <w:rPr>
          <w:rFonts w:ascii="宋体" w:hAnsi="宋体"/>
        </w:rPr>
      </w:pPr>
      <w:r>
        <w:rPr>
          <w:rFonts w:hint="eastAsia" w:ascii="宋体" w:hAnsi="宋体"/>
        </w:rPr>
        <w:t>19</w:t>
      </w:r>
      <w:r>
        <w:rPr>
          <w:rFonts w:ascii="宋体" w:hAnsi="宋体"/>
        </w:rPr>
        <w:t>.</w:t>
      </w:r>
      <w:r>
        <w:rPr>
          <w:rFonts w:hint="eastAsia" w:ascii="宋体" w:hAnsi="宋体"/>
        </w:rPr>
        <w:t>6招标人保留对通过初审的投标人进行进一步审查的权利。招标人在认为必要的情况下，有权要求已通过初审的投标人提交有关资质证明文件的原件，如发现投标人提供的投标文件与资质原件有不符</w:t>
      </w:r>
      <w:r>
        <w:rPr>
          <w:rFonts w:ascii="宋体" w:hAnsi="宋体"/>
        </w:rPr>
        <w:t>、</w:t>
      </w:r>
      <w:r>
        <w:rPr>
          <w:rFonts w:hint="eastAsia" w:ascii="宋体" w:hAnsi="宋体"/>
        </w:rPr>
        <w:t>伪造或涂改等情况，将取消该投标人的资格。</w:t>
      </w:r>
    </w:p>
    <w:p>
      <w:pPr>
        <w:spacing w:line="360" w:lineRule="auto"/>
        <w:ind w:left="525"/>
        <w:rPr>
          <w:rFonts w:ascii="宋体" w:hAnsi="宋体"/>
        </w:rPr>
      </w:pPr>
    </w:p>
    <w:p>
      <w:pPr>
        <w:spacing w:line="360" w:lineRule="auto"/>
        <w:ind w:left="525"/>
        <w:rPr>
          <w:rFonts w:ascii="宋体" w:hAnsi="宋体"/>
          <w:sz w:val="24"/>
          <w:u w:val="single"/>
        </w:rPr>
      </w:pPr>
      <w:r>
        <w:rPr>
          <w:rFonts w:hint="eastAsia" w:ascii="宋体" w:hAnsi="宋体"/>
        </w:rPr>
        <w:t>20.评标</w:t>
      </w:r>
      <w:r>
        <w:rPr>
          <w:rFonts w:hint="eastAsia" w:ascii="宋体" w:hAnsi="宋体"/>
          <w:sz w:val="24"/>
          <w:u w:val="single"/>
        </w:rPr>
        <w:t>（详见《投标人须知前附表》）</w:t>
      </w:r>
    </w:p>
    <w:p>
      <w:pPr>
        <w:spacing w:line="360" w:lineRule="auto"/>
        <w:ind w:left="525"/>
        <w:rPr>
          <w:rFonts w:ascii="宋体" w:hAnsi="宋体"/>
        </w:rPr>
      </w:pPr>
    </w:p>
    <w:p>
      <w:pPr>
        <w:numPr>
          <w:ilvl w:val="0"/>
          <w:numId w:val="14"/>
        </w:numPr>
        <w:spacing w:line="360" w:lineRule="auto"/>
        <w:rPr>
          <w:rFonts w:ascii="宋体" w:hAnsi="宋体"/>
          <w:b/>
        </w:rPr>
      </w:pPr>
      <w:r>
        <w:rPr>
          <w:rFonts w:hint="eastAsia" w:ascii="宋体" w:hAnsi="宋体"/>
          <w:b/>
        </w:rPr>
        <w:t>保密</w:t>
      </w:r>
    </w:p>
    <w:p>
      <w:pPr>
        <w:spacing w:line="360" w:lineRule="auto"/>
        <w:ind w:left="525"/>
        <w:rPr>
          <w:rFonts w:ascii="宋体" w:hAnsi="宋体"/>
        </w:rPr>
      </w:pPr>
      <w:r>
        <w:rPr>
          <w:rFonts w:hint="eastAsia" w:ascii="宋体" w:hAnsi="宋体"/>
        </w:rPr>
        <w:t>21.与招标人的接触</w:t>
      </w:r>
    </w:p>
    <w:p>
      <w:pPr>
        <w:spacing w:line="360" w:lineRule="auto"/>
        <w:ind w:left="525"/>
        <w:rPr>
          <w:rFonts w:ascii="宋体" w:hAnsi="宋体"/>
        </w:rPr>
      </w:pPr>
      <w:r>
        <w:rPr>
          <w:rFonts w:hint="eastAsia" w:ascii="宋体" w:hAnsi="宋体"/>
        </w:rPr>
        <w:t>21</w:t>
      </w:r>
      <w:r>
        <w:rPr>
          <w:rFonts w:ascii="宋体" w:hAnsi="宋体"/>
        </w:rPr>
        <w:t xml:space="preserve">.1 </w:t>
      </w:r>
      <w:r>
        <w:rPr>
          <w:rFonts w:hint="eastAsia" w:ascii="宋体" w:hAnsi="宋体"/>
        </w:rPr>
        <w:t>除本须知第18条规定外，公开开标后，直至向中标的投标人授予合同时止，凡是与审查、澄清、评价和比较投标的有关资料以及授标建议等，均不得向投标人及与评标无关的其他人员透露。</w:t>
      </w:r>
    </w:p>
    <w:p>
      <w:pPr>
        <w:spacing w:line="360" w:lineRule="auto"/>
        <w:ind w:left="525"/>
        <w:rPr>
          <w:rFonts w:ascii="宋体" w:hAnsi="宋体"/>
        </w:rPr>
      </w:pPr>
      <w:r>
        <w:rPr>
          <w:rFonts w:ascii="宋体" w:hAnsi="宋体"/>
        </w:rPr>
        <w:t>2</w:t>
      </w:r>
      <w:r>
        <w:rPr>
          <w:rFonts w:hint="eastAsia" w:ascii="宋体" w:hAnsi="宋体"/>
        </w:rPr>
        <w:t>1</w:t>
      </w:r>
      <w:r>
        <w:rPr>
          <w:rFonts w:ascii="宋体" w:hAnsi="宋体"/>
        </w:rPr>
        <w:t xml:space="preserve">.2 </w:t>
      </w:r>
      <w:r>
        <w:rPr>
          <w:rFonts w:hint="eastAsia" w:ascii="宋体" w:hAnsi="宋体"/>
        </w:rPr>
        <w:t>投标人试图对评标委员会的评审、比较或授予合同的决定进行影响，都可能导致其投标文件被拒绝。</w:t>
      </w:r>
    </w:p>
    <w:p>
      <w:pPr>
        <w:spacing w:line="360" w:lineRule="auto"/>
        <w:ind w:left="525"/>
        <w:rPr>
          <w:rFonts w:ascii="宋体" w:hAnsi="宋体"/>
        </w:rPr>
      </w:pPr>
    </w:p>
    <w:p>
      <w:pPr>
        <w:numPr>
          <w:ilvl w:val="0"/>
          <w:numId w:val="14"/>
        </w:numPr>
        <w:spacing w:line="360" w:lineRule="auto"/>
        <w:rPr>
          <w:rFonts w:ascii="宋体" w:hAnsi="宋体"/>
          <w:b/>
        </w:rPr>
      </w:pPr>
      <w:r>
        <w:rPr>
          <w:rFonts w:hint="eastAsia" w:ascii="宋体" w:hAnsi="宋体"/>
          <w:b/>
        </w:rPr>
        <w:t>合同的签订</w:t>
      </w:r>
    </w:p>
    <w:p>
      <w:pPr>
        <w:spacing w:line="360" w:lineRule="auto"/>
        <w:ind w:left="624"/>
        <w:rPr>
          <w:rFonts w:ascii="宋体" w:hAnsi="宋体"/>
        </w:rPr>
      </w:pPr>
      <w:r>
        <w:rPr>
          <w:rFonts w:ascii="宋体" w:hAnsi="宋体"/>
        </w:rPr>
        <w:t>2</w:t>
      </w:r>
      <w:r>
        <w:rPr>
          <w:rFonts w:hint="eastAsia" w:ascii="宋体" w:hAnsi="宋体"/>
        </w:rPr>
        <w:t>2.合同的签订（详见《投标人须知前附表》）</w:t>
      </w:r>
    </w:p>
    <w:p>
      <w:pPr>
        <w:spacing w:line="360" w:lineRule="auto"/>
        <w:ind w:left="624"/>
        <w:rPr>
          <w:rFonts w:ascii="宋体" w:hAnsi="宋体"/>
        </w:rPr>
      </w:pPr>
      <w:r>
        <w:rPr>
          <w:rFonts w:hint="eastAsia" w:ascii="宋体" w:hAnsi="宋体"/>
        </w:rPr>
        <w:t>22.1评标委员会将根据综合评估结果，按综合得分排序向招标人推荐本项目的中标人。</w:t>
      </w:r>
    </w:p>
    <w:p>
      <w:pPr>
        <w:spacing w:line="360" w:lineRule="auto"/>
        <w:ind w:left="624"/>
        <w:rPr>
          <w:rFonts w:ascii="宋体" w:hAnsi="宋体"/>
        </w:rPr>
      </w:pPr>
      <w:r>
        <w:rPr>
          <w:rFonts w:ascii="宋体" w:hAnsi="宋体"/>
        </w:rPr>
        <w:t>2</w:t>
      </w:r>
      <w:r>
        <w:rPr>
          <w:rFonts w:hint="eastAsia" w:ascii="宋体" w:hAnsi="宋体"/>
        </w:rPr>
        <w:t>2</w:t>
      </w:r>
      <w:r>
        <w:rPr>
          <w:rFonts w:ascii="宋体" w:hAnsi="宋体"/>
        </w:rPr>
        <w:t>.</w:t>
      </w:r>
      <w:r>
        <w:rPr>
          <w:rFonts w:hint="eastAsia" w:ascii="宋体" w:hAnsi="宋体"/>
        </w:rPr>
        <w:t>2</w:t>
      </w:r>
      <w:r>
        <w:rPr>
          <w:rFonts w:ascii="宋体" w:hAnsi="宋体"/>
        </w:rPr>
        <w:t xml:space="preserve"> </w:t>
      </w:r>
      <w:r>
        <w:rPr>
          <w:rFonts w:hint="eastAsia" w:ascii="宋体" w:hAnsi="宋体"/>
        </w:rPr>
        <w:t>在签订合同前，如评标委员会发现中标人存在提供虚假不实资料的，将拒绝其投标文件，并取消中标人推荐资格，同时按综合评估排序对下一个候选人能否令人满意地履行合同作类似的审查。</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23. 接受和拒绝任何或所有投标文件的权力</w:t>
      </w:r>
    </w:p>
    <w:p>
      <w:pPr>
        <w:spacing w:line="360" w:lineRule="auto"/>
        <w:ind w:left="525"/>
        <w:rPr>
          <w:rFonts w:ascii="宋体" w:hAnsi="宋体"/>
        </w:rPr>
      </w:pPr>
      <w:r>
        <w:rPr>
          <w:rFonts w:ascii="宋体" w:hAnsi="宋体"/>
        </w:rPr>
        <w:t>2</w:t>
      </w:r>
      <w:r>
        <w:rPr>
          <w:rFonts w:hint="eastAsia" w:ascii="宋体" w:hAnsi="宋体"/>
        </w:rPr>
        <w:t>3</w:t>
      </w:r>
      <w:r>
        <w:rPr>
          <w:rFonts w:ascii="宋体" w:hAnsi="宋体"/>
        </w:rPr>
        <w:t>.1</w:t>
      </w:r>
      <w:r>
        <w:rPr>
          <w:rFonts w:hint="eastAsia" w:ascii="宋体" w:hAnsi="宋体"/>
        </w:rPr>
        <w:t>招标人保留在签订协议之前任何时候接受或拒绝任何投标文件，以及宣布本次采购无效或拒绝所有投标文件的权力，对受影响的投标人不承担任何责任，也无义务向受影响的投标人解释采取这一行动的理由。</w:t>
      </w:r>
    </w:p>
    <w:p>
      <w:pPr>
        <w:spacing w:line="360" w:lineRule="auto"/>
        <w:ind w:left="525"/>
        <w:rPr>
          <w:rFonts w:ascii="宋体" w:hAnsi="宋体"/>
        </w:rPr>
      </w:pPr>
    </w:p>
    <w:p>
      <w:pPr>
        <w:spacing w:line="360" w:lineRule="auto"/>
        <w:ind w:left="525"/>
        <w:rPr>
          <w:rFonts w:ascii="宋体" w:hAnsi="宋体"/>
        </w:rPr>
      </w:pPr>
      <w:r>
        <w:rPr>
          <w:rFonts w:hint="eastAsia" w:ascii="宋体" w:hAnsi="宋体"/>
        </w:rPr>
        <w:t>24.中标通知书</w:t>
      </w:r>
    </w:p>
    <w:p>
      <w:pPr>
        <w:spacing w:line="360" w:lineRule="auto"/>
        <w:ind w:left="525"/>
        <w:rPr>
          <w:rFonts w:ascii="宋体" w:hAnsi="宋体"/>
        </w:rPr>
      </w:pPr>
      <w:r>
        <w:rPr>
          <w:rFonts w:ascii="宋体" w:hAnsi="宋体"/>
        </w:rPr>
        <w:t>2</w:t>
      </w:r>
      <w:r>
        <w:rPr>
          <w:rFonts w:hint="eastAsia" w:ascii="宋体" w:hAnsi="宋体"/>
        </w:rPr>
        <w:t>4</w:t>
      </w:r>
      <w:r>
        <w:rPr>
          <w:rFonts w:ascii="宋体" w:hAnsi="宋体"/>
        </w:rPr>
        <w:t>.1</w:t>
      </w:r>
      <w:r>
        <w:rPr>
          <w:rFonts w:hint="eastAsia" w:ascii="宋体" w:hAnsi="宋体"/>
        </w:rPr>
        <w:t xml:space="preserve"> 中标人确定后，招标人将向中标人发出中标通知书。</w:t>
      </w:r>
    </w:p>
    <w:p>
      <w:pPr>
        <w:spacing w:line="360" w:lineRule="auto"/>
        <w:ind w:left="525"/>
        <w:rPr>
          <w:rFonts w:ascii="宋体" w:hAnsi="宋体"/>
        </w:rPr>
      </w:pPr>
      <w:r>
        <w:rPr>
          <w:rFonts w:ascii="宋体" w:hAnsi="宋体"/>
        </w:rPr>
        <w:t>2</w:t>
      </w:r>
      <w:r>
        <w:rPr>
          <w:rFonts w:hint="eastAsia" w:ascii="宋体" w:hAnsi="宋体"/>
        </w:rPr>
        <w:t>4</w:t>
      </w:r>
      <w:r>
        <w:rPr>
          <w:rFonts w:ascii="宋体" w:hAnsi="宋体"/>
        </w:rPr>
        <w:t>.</w:t>
      </w:r>
      <w:r>
        <w:rPr>
          <w:rFonts w:hint="eastAsia" w:ascii="宋体" w:hAnsi="宋体"/>
        </w:rPr>
        <w:t>2</w:t>
      </w:r>
      <w:r>
        <w:rPr>
          <w:rFonts w:ascii="宋体" w:hAnsi="宋体"/>
        </w:rPr>
        <w:t xml:space="preserve"> </w:t>
      </w:r>
      <w:r>
        <w:rPr>
          <w:rFonts w:hint="eastAsia" w:ascii="宋体" w:hAnsi="宋体"/>
        </w:rPr>
        <w:t>中标通知书是合同的一个组成部分。</w:t>
      </w:r>
    </w:p>
    <w:p>
      <w:pPr>
        <w:spacing w:line="360" w:lineRule="auto"/>
        <w:ind w:left="525"/>
        <w:rPr>
          <w:rFonts w:ascii="宋体" w:hAnsi="宋体"/>
        </w:rPr>
      </w:pPr>
    </w:p>
    <w:p>
      <w:pPr>
        <w:spacing w:line="360" w:lineRule="auto"/>
        <w:ind w:left="525"/>
        <w:rPr>
          <w:rFonts w:ascii="宋体" w:hAnsi="宋体"/>
        </w:rPr>
      </w:pPr>
      <w:r>
        <w:rPr>
          <w:rFonts w:ascii="宋体" w:hAnsi="宋体"/>
        </w:rPr>
        <w:t>2</w:t>
      </w:r>
      <w:r>
        <w:rPr>
          <w:rFonts w:hint="eastAsia" w:ascii="宋体" w:hAnsi="宋体"/>
        </w:rPr>
        <w:t>5.签订合同</w:t>
      </w:r>
    </w:p>
    <w:p>
      <w:pPr>
        <w:spacing w:line="360" w:lineRule="auto"/>
        <w:ind w:left="525"/>
        <w:rPr>
          <w:rFonts w:ascii="宋体" w:hAnsi="宋体"/>
        </w:rPr>
      </w:pPr>
      <w:r>
        <w:rPr>
          <w:rFonts w:ascii="宋体" w:hAnsi="宋体"/>
        </w:rPr>
        <w:t>2</w:t>
      </w:r>
      <w:r>
        <w:rPr>
          <w:rFonts w:hint="eastAsia" w:ascii="宋体" w:hAnsi="宋体"/>
        </w:rPr>
        <w:t>5</w:t>
      </w:r>
      <w:r>
        <w:rPr>
          <w:rFonts w:ascii="宋体" w:hAnsi="宋体"/>
        </w:rPr>
        <w:t>.1</w:t>
      </w:r>
      <w:r>
        <w:rPr>
          <w:rFonts w:hint="eastAsia" w:ascii="宋体" w:hAnsi="宋体"/>
        </w:rPr>
        <w:t>中标人应按中标通知书规定的时间、地点与招标人签订合同（格式见第四章 《合同主要条款及格式》），否则按投标有效期内撤回投标文件处理，其投标保证金将被没收。</w:t>
      </w:r>
    </w:p>
    <w:p>
      <w:pPr>
        <w:pStyle w:val="2"/>
        <w:spacing w:line="360" w:lineRule="auto"/>
        <w:jc w:val="center"/>
        <w:rPr>
          <w:rFonts w:ascii="黑体" w:hAnsi="仿宋_GB2312" w:eastAsia="黑体"/>
          <w:bCs/>
          <w:sz w:val="52"/>
          <w:szCs w:val="52"/>
        </w:rPr>
      </w:pPr>
      <w:r>
        <w:rPr>
          <w:rFonts w:ascii="黑体" w:hAnsi="仿宋_GB2312" w:eastAsia="黑体"/>
          <w:bCs/>
          <w:sz w:val="52"/>
          <w:szCs w:val="52"/>
        </w:rPr>
        <w:br w:type="page"/>
      </w:r>
      <w:r>
        <w:rPr>
          <w:rFonts w:hint="eastAsia" w:ascii="黑体" w:hAnsi="仿宋_GB2312" w:eastAsia="黑体"/>
          <w:bCs/>
          <w:sz w:val="52"/>
          <w:szCs w:val="52"/>
        </w:rPr>
        <w:t>第三章  评标办法</w:t>
      </w:r>
    </w:p>
    <w:p>
      <w:pPr>
        <w:spacing w:line="360" w:lineRule="auto"/>
        <w:ind w:firstLine="420"/>
        <w:jc w:val="center"/>
        <w:rPr>
          <w:rFonts w:ascii="宋体" w:hAnsi="宋体" w:eastAsia="宋体" w:cs="仿宋"/>
          <w:b/>
          <w:kern w:val="0"/>
          <w:szCs w:val="21"/>
        </w:rPr>
      </w:pPr>
      <w:r>
        <w:rPr>
          <w:rFonts w:hint="eastAsia" w:ascii="宋体" w:hAnsi="宋体" w:eastAsia="宋体" w:cs="仿宋"/>
          <w:b/>
          <w:kern w:val="0"/>
          <w:szCs w:val="21"/>
        </w:rPr>
        <w:t>评标委员会对所有实质上响应谈判文件要求的投标进行评审，选取价低者作为中标人。</w:t>
      </w:r>
      <w:r>
        <w:rPr>
          <w:rFonts w:ascii="黑体" w:hAnsi="仿宋_GB2312" w:eastAsia="黑体"/>
          <w:bCs/>
          <w:sz w:val="52"/>
          <w:szCs w:val="52"/>
        </w:rPr>
        <w:br w:type="page"/>
      </w:r>
      <w:r>
        <w:rPr>
          <w:rFonts w:hint="eastAsia" w:ascii="黑体" w:hAnsi="仿宋_GB2312" w:eastAsia="黑体"/>
          <w:bCs/>
          <w:sz w:val="52"/>
          <w:szCs w:val="52"/>
        </w:rPr>
        <w:t>第四章 合同主要条款及格式</w:t>
      </w:r>
    </w:p>
    <w:p>
      <w:pPr>
        <w:spacing w:line="360" w:lineRule="auto"/>
        <w:jc w:val="left"/>
        <w:rPr>
          <w:rFonts w:ascii="宋体" w:hAnsi="宋体"/>
          <w:b/>
          <w:u w:val="single"/>
        </w:rPr>
      </w:pPr>
      <w:r>
        <w:rPr>
          <w:rFonts w:hint="eastAsia" w:ascii="宋体" w:hAnsi="宋体"/>
          <w:b/>
          <w:u w:val="single"/>
        </w:rPr>
        <w:t>注：</w:t>
      </w:r>
    </w:p>
    <w:p>
      <w:pPr>
        <w:spacing w:line="360" w:lineRule="auto"/>
      </w:pPr>
      <w:r>
        <w:rPr>
          <w:rFonts w:hint="eastAsia" w:ascii="宋体" w:hAnsi="宋体"/>
          <w:b/>
          <w:u w:val="single"/>
        </w:rPr>
        <w:t>以下为合同格式文本：投标人须按照招标文件要求填写合同文本（含附件部分），如未按此操作的可能将影响投标人的投标文件符合有效性分值。</w:t>
      </w:r>
    </w:p>
    <w:p>
      <w:pPr>
        <w:widowControl/>
        <w:jc w:val="left"/>
        <w:rPr>
          <w:rFonts w:ascii="宋体" w:hAnsi="宋体" w:eastAsia="宋体" w:cs="宋体"/>
          <w:szCs w:val="21"/>
        </w:rPr>
      </w:pPr>
      <w:r>
        <w:rPr>
          <w:rFonts w:ascii="宋体" w:hAnsi="宋体"/>
          <w:b/>
          <w:szCs w:val="44"/>
        </w:rPr>
        <w:br w:type="page"/>
      </w:r>
    </w:p>
    <w:p>
      <w:pPr>
        <w:pStyle w:val="121"/>
        <w:widowControl/>
        <w:snapToGrid w:val="0"/>
        <w:rPr>
          <w:rFonts w:ascii="宋体" w:hAnsi="宋体"/>
          <w:sz w:val="21"/>
          <w:szCs w:val="21"/>
        </w:rPr>
      </w:pPr>
    </w:p>
    <w:p>
      <w:pPr>
        <w:widowControl/>
        <w:spacing w:line="400" w:lineRule="exact"/>
        <w:jc w:val="center"/>
        <w:rPr>
          <w:rFonts w:ascii="宋体" w:hAnsi="宋体" w:eastAsia="宋体"/>
          <w:b/>
          <w:sz w:val="32"/>
          <w:szCs w:val="32"/>
        </w:rPr>
      </w:pPr>
      <w:r>
        <w:rPr>
          <w:rFonts w:hint="eastAsia" w:ascii="宋体" w:hAnsi="宋体" w:eastAsia="宋体"/>
          <w:b/>
          <w:sz w:val="32"/>
          <w:szCs w:val="32"/>
        </w:rPr>
        <w:t>华为波分传输系统设备维保合同</w:t>
      </w:r>
    </w:p>
    <w:p>
      <w:pPr>
        <w:widowControl/>
        <w:spacing w:line="400" w:lineRule="exact"/>
        <w:rPr>
          <w:rFonts w:ascii="宋体" w:hAnsi="宋体" w:eastAsia="宋体"/>
          <w:szCs w:val="21"/>
        </w:rPr>
      </w:pPr>
    </w:p>
    <w:p>
      <w:pPr>
        <w:widowControl/>
        <w:spacing w:line="400" w:lineRule="exact"/>
        <w:rPr>
          <w:rFonts w:ascii="宋体" w:hAnsi="宋体" w:eastAsia="宋体"/>
          <w:szCs w:val="21"/>
        </w:rPr>
      </w:pPr>
      <w:r>
        <w:rPr>
          <w:rFonts w:hint="eastAsia" w:ascii="宋体" w:hAnsi="宋体" w:eastAsia="宋体"/>
          <w:szCs w:val="21"/>
        </w:rPr>
        <w:t>合同名称及</w:t>
      </w:r>
      <w:r>
        <w:rPr>
          <w:rFonts w:ascii="宋体" w:hAnsi="宋体" w:eastAsia="宋体"/>
          <w:szCs w:val="21"/>
        </w:rPr>
        <w:t>编号</w:t>
      </w:r>
      <w:r>
        <w:rPr>
          <w:rFonts w:hint="eastAsia" w:ascii="宋体" w:hAnsi="宋体" w:eastAsia="宋体"/>
          <w:szCs w:val="21"/>
        </w:rPr>
        <w:t>：</w:t>
      </w:r>
    </w:p>
    <w:p>
      <w:pPr>
        <w:widowControl/>
        <w:spacing w:line="400" w:lineRule="exact"/>
        <w:rPr>
          <w:rFonts w:hint="default" w:ascii="宋体" w:hAnsi="宋体" w:eastAsia="宋体"/>
          <w:bCs/>
          <w:szCs w:val="21"/>
          <w:lang w:val="en-US" w:eastAsia="zh-CN"/>
        </w:rPr>
      </w:pPr>
      <w:r>
        <w:rPr>
          <w:rFonts w:hint="eastAsia" w:ascii="宋体" w:hAnsi="宋体" w:eastAsia="宋体"/>
          <w:szCs w:val="21"/>
        </w:rPr>
        <w:t>招标编号：JSCN-TZ</w:t>
      </w:r>
      <w:r>
        <w:rPr>
          <w:rFonts w:hint="eastAsia" w:ascii="宋体" w:hAnsi="宋体"/>
          <w:szCs w:val="21"/>
          <w:lang w:val="en-US" w:eastAsia="zh-CN"/>
        </w:rPr>
        <w:t>YW2024002</w:t>
      </w:r>
    </w:p>
    <w:p>
      <w:pPr>
        <w:widowControl/>
        <w:spacing w:line="400" w:lineRule="exact"/>
        <w:rPr>
          <w:rFonts w:ascii="宋体" w:hAnsi="宋体" w:eastAsia="宋体"/>
          <w:szCs w:val="21"/>
        </w:rPr>
      </w:pPr>
      <w:r>
        <w:rPr>
          <w:rFonts w:hint="eastAsia" w:ascii="宋体" w:hAnsi="宋体" w:eastAsia="宋体"/>
          <w:szCs w:val="21"/>
        </w:rPr>
        <w:t>甲方：</w:t>
      </w:r>
      <w:r>
        <w:rPr>
          <w:rFonts w:hint="eastAsia" w:ascii="宋体" w:hAnsi="宋体" w:eastAsia="宋体"/>
          <w:b/>
          <w:szCs w:val="21"/>
        </w:rPr>
        <w:t>江苏有线网络发展有限责任公司通州分公司</w:t>
      </w:r>
    </w:p>
    <w:p>
      <w:pPr>
        <w:widowControl/>
        <w:spacing w:line="400" w:lineRule="exact"/>
        <w:rPr>
          <w:rFonts w:ascii="宋体" w:hAnsi="宋体" w:eastAsia="宋体"/>
          <w:szCs w:val="21"/>
        </w:rPr>
      </w:pPr>
      <w:r>
        <w:rPr>
          <w:rFonts w:hint="eastAsia" w:ascii="宋体" w:hAnsi="宋体" w:eastAsia="宋体"/>
          <w:szCs w:val="21"/>
        </w:rPr>
        <w:t>乙方：</w:t>
      </w:r>
    </w:p>
    <w:p>
      <w:pPr>
        <w:pStyle w:val="121"/>
        <w:widowControl/>
        <w:snapToGrid w:val="0"/>
        <w:spacing w:line="400" w:lineRule="exact"/>
        <w:ind w:firstLine="420" w:firstLineChars="200"/>
        <w:rPr>
          <w:rFonts w:ascii="宋体" w:hAnsi="宋体"/>
          <w:sz w:val="21"/>
          <w:szCs w:val="21"/>
        </w:rPr>
      </w:pPr>
      <w:r>
        <w:rPr>
          <w:rFonts w:ascii="宋体" w:hAnsi="宋体"/>
          <w:sz w:val="21"/>
          <w:szCs w:val="21"/>
        </w:rPr>
        <w:t>为了保证</w:t>
      </w:r>
      <w:r>
        <w:rPr>
          <w:rFonts w:hint="eastAsia" w:ascii="宋体" w:hAnsi="宋体"/>
          <w:sz w:val="21"/>
          <w:szCs w:val="21"/>
        </w:rPr>
        <w:t>江苏有线网络发展有限责任公司通州分公司</w:t>
      </w:r>
      <w:r>
        <w:rPr>
          <w:rFonts w:ascii="宋体" w:hAnsi="宋体"/>
          <w:sz w:val="21"/>
          <w:szCs w:val="21"/>
        </w:rPr>
        <w:t>网上运行的华为设备的网络安全及稳定运行，</w:t>
      </w:r>
      <w:r>
        <w:rPr>
          <w:rFonts w:hint="eastAsia" w:ascii="宋体" w:hAnsi="宋体"/>
          <w:sz w:val="21"/>
          <w:szCs w:val="21"/>
        </w:rPr>
        <w:t>乙方为甲方</w:t>
      </w:r>
      <w:r>
        <w:rPr>
          <w:rFonts w:ascii="宋体" w:hAnsi="宋体"/>
          <w:sz w:val="21"/>
          <w:szCs w:val="21"/>
        </w:rPr>
        <w:t>提供及时、有效的服务，根据《中华人民共和国合同法》及相关法律法规，甲乙双方遵循自愿、公平、合法、诚信的原则签订本合同，双方共同遵守。</w:t>
      </w:r>
    </w:p>
    <w:p>
      <w:pPr>
        <w:pStyle w:val="2"/>
        <w:numPr>
          <w:ilvl w:val="0"/>
          <w:numId w:val="17"/>
        </w:numPr>
        <w:spacing w:before="0" w:after="0" w:line="400" w:lineRule="exact"/>
        <w:rPr>
          <w:rFonts w:ascii="宋体" w:hAnsi="宋体" w:eastAsia="宋体"/>
          <w:b w:val="0"/>
          <w:sz w:val="21"/>
          <w:szCs w:val="21"/>
        </w:rPr>
      </w:pPr>
      <w:r>
        <w:rPr>
          <w:rFonts w:hint="eastAsia" w:ascii="宋体" w:hAnsi="宋体" w:eastAsia="宋体"/>
          <w:b w:val="0"/>
          <w:sz w:val="21"/>
          <w:szCs w:val="21"/>
        </w:rPr>
        <w:t>项目标的和内容</w:t>
      </w:r>
    </w:p>
    <w:p>
      <w:pPr>
        <w:spacing w:line="400" w:lineRule="exact"/>
        <w:ind w:firstLine="420" w:firstLineChars="200"/>
        <w:rPr>
          <w:rFonts w:ascii="宋体" w:hAnsi="宋体" w:eastAsia="宋体"/>
          <w:szCs w:val="21"/>
        </w:rPr>
      </w:pPr>
      <w:r>
        <w:rPr>
          <w:rFonts w:hint="eastAsia" w:ascii="宋体" w:hAnsi="宋体" w:eastAsia="宋体"/>
          <w:szCs w:val="21"/>
        </w:rPr>
        <w:t xml:space="preserve"> 乙方作为华为技术有限公司南通地区授权代理商，会同华为技术有限公司售后服务机构，对甲方所使用的由乙方提供的华为技术有限公司设备承担完整的后续服务。具体设备型号、数量、价格明细及总价等详见附件一：维保设备清单。</w:t>
      </w:r>
    </w:p>
    <w:p>
      <w:pPr>
        <w:spacing w:line="400" w:lineRule="exact"/>
        <w:rPr>
          <w:rFonts w:ascii="宋体" w:hAnsi="宋体" w:eastAsia="宋体"/>
          <w:szCs w:val="21"/>
        </w:rPr>
      </w:pPr>
    </w:p>
    <w:p>
      <w:pPr>
        <w:pStyle w:val="121"/>
        <w:widowControl/>
        <w:snapToGrid w:val="0"/>
        <w:spacing w:line="400" w:lineRule="exact"/>
        <w:outlineLvl w:val="1"/>
        <w:rPr>
          <w:rFonts w:ascii="宋体" w:hAnsi="宋体"/>
          <w:sz w:val="21"/>
          <w:szCs w:val="21"/>
        </w:rPr>
      </w:pPr>
      <w:r>
        <w:rPr>
          <w:rFonts w:hint="eastAsia" w:ascii="宋体" w:hAnsi="宋体"/>
          <w:sz w:val="21"/>
          <w:szCs w:val="21"/>
        </w:rPr>
        <w:t xml:space="preserve">    </w:t>
      </w:r>
      <w:r>
        <w:rPr>
          <w:rFonts w:ascii="宋体" w:hAnsi="宋体"/>
          <w:sz w:val="21"/>
          <w:szCs w:val="21"/>
        </w:rPr>
        <w:t>乙方为甲方所提供的服务如下：</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6"/>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861" w:type="pct"/>
          </w:tcPr>
          <w:p>
            <w:pPr>
              <w:pStyle w:val="121"/>
              <w:widowControl/>
              <w:spacing w:before="120" w:line="400" w:lineRule="exact"/>
              <w:outlineLvl w:val="1"/>
              <w:rPr>
                <w:rFonts w:ascii="宋体" w:hAnsi="宋体"/>
                <w:sz w:val="21"/>
                <w:szCs w:val="21"/>
              </w:rPr>
            </w:pPr>
            <w:r>
              <w:rPr>
                <w:rFonts w:hint="eastAsia" w:ascii="宋体" w:hAnsi="宋体"/>
                <w:sz w:val="21"/>
                <w:szCs w:val="21"/>
              </w:rPr>
              <w:t>地点</w:t>
            </w:r>
          </w:p>
        </w:tc>
        <w:tc>
          <w:tcPr>
            <w:tcW w:w="2139" w:type="pct"/>
          </w:tcPr>
          <w:p>
            <w:pPr>
              <w:pStyle w:val="121"/>
              <w:widowControl/>
              <w:spacing w:before="120" w:line="400" w:lineRule="exact"/>
              <w:outlineLvl w:val="1"/>
              <w:rPr>
                <w:rFonts w:ascii="宋体" w:hAnsi="宋体"/>
                <w:sz w:val="21"/>
                <w:szCs w:val="21"/>
              </w:rPr>
            </w:pPr>
            <w:r>
              <w:rPr>
                <w:rFonts w:hint="eastAsia" w:ascii="宋体" w:hAnsi="宋体"/>
                <w:bCs/>
                <w:sz w:val="21"/>
                <w:szCs w:val="21"/>
              </w:rPr>
              <w:t>客户支持服务</w:t>
            </w:r>
            <w:r>
              <w:rPr>
                <w:rFonts w:ascii="宋体" w:hAnsi="宋体"/>
                <w:bCs/>
                <w:sz w:val="21"/>
                <w:szCs w:val="21"/>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pct"/>
          </w:tcPr>
          <w:p>
            <w:pPr>
              <w:pStyle w:val="121"/>
              <w:widowControl/>
              <w:spacing w:before="120" w:line="400" w:lineRule="exact"/>
              <w:outlineLvl w:val="1"/>
              <w:rPr>
                <w:rFonts w:ascii="宋体" w:hAnsi="宋体"/>
                <w:sz w:val="21"/>
                <w:szCs w:val="21"/>
              </w:rPr>
            </w:pPr>
            <w:r>
              <w:rPr>
                <w:rFonts w:hint="eastAsia" w:ascii="宋体" w:hAnsi="宋体"/>
                <w:sz w:val="21"/>
                <w:szCs w:val="21"/>
              </w:rPr>
              <w:t>江苏有线通州分公司波分传输系统维保</w:t>
            </w:r>
          </w:p>
        </w:tc>
        <w:tc>
          <w:tcPr>
            <w:tcW w:w="2139" w:type="pct"/>
            <w:vMerge w:val="restart"/>
          </w:tcPr>
          <w:p>
            <w:pPr>
              <w:pStyle w:val="121"/>
              <w:widowControl/>
              <w:spacing w:before="120" w:line="400" w:lineRule="exact"/>
              <w:outlineLvl w:val="1"/>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24</w:t>
            </w:r>
            <w:r>
              <w:rPr>
                <w:rFonts w:hint="eastAsia" w:ascii="宋体" w:hAnsi="宋体"/>
                <w:sz w:val="21"/>
                <w:szCs w:val="21"/>
              </w:rPr>
              <w:t>年</w:t>
            </w:r>
            <w:r>
              <w:rPr>
                <w:rFonts w:hint="eastAsia" w:ascii="宋体" w:hAnsi="宋体"/>
                <w:sz w:val="18"/>
                <w:szCs w:val="18"/>
                <w:lang w:val="en-US" w:eastAsia="zh-CN"/>
              </w:rPr>
              <w:t>XXX</w:t>
            </w:r>
            <w:r>
              <w:rPr>
                <w:rFonts w:hint="eastAsia" w:ascii="宋体" w:hAnsi="宋体"/>
                <w:sz w:val="21"/>
                <w:szCs w:val="21"/>
              </w:rPr>
              <w:t xml:space="preserve">月 </w:t>
            </w:r>
            <w:r>
              <w:rPr>
                <w:rFonts w:hint="eastAsia" w:ascii="宋体" w:hAnsi="宋体"/>
                <w:sz w:val="18"/>
                <w:szCs w:val="18"/>
                <w:lang w:val="en-US" w:eastAsia="zh-CN"/>
              </w:rPr>
              <w:t>XXX</w:t>
            </w:r>
            <w:r>
              <w:rPr>
                <w:rFonts w:hint="eastAsia" w:ascii="宋体" w:hAnsi="宋体"/>
                <w:sz w:val="21"/>
                <w:szCs w:val="21"/>
              </w:rPr>
              <w:t xml:space="preserve"> 日～202</w:t>
            </w:r>
            <w:r>
              <w:rPr>
                <w:rFonts w:hint="eastAsia" w:ascii="宋体" w:hAnsi="宋体"/>
                <w:sz w:val="21"/>
                <w:szCs w:val="21"/>
                <w:lang w:val="en-US" w:eastAsia="zh-CN"/>
              </w:rPr>
              <w:t>6</w:t>
            </w:r>
            <w:r>
              <w:rPr>
                <w:rFonts w:hint="eastAsia" w:ascii="宋体" w:hAnsi="宋体"/>
                <w:sz w:val="21"/>
                <w:szCs w:val="21"/>
              </w:rPr>
              <w:t>年</w:t>
            </w:r>
            <w:r>
              <w:rPr>
                <w:rFonts w:hint="eastAsia" w:ascii="宋体" w:hAnsi="宋体"/>
                <w:sz w:val="18"/>
                <w:szCs w:val="18"/>
                <w:lang w:val="en-US" w:eastAsia="zh-CN"/>
              </w:rPr>
              <w:t>XXX</w:t>
            </w:r>
            <w:r>
              <w:rPr>
                <w:rFonts w:hint="eastAsia" w:ascii="宋体" w:hAnsi="宋体"/>
                <w:sz w:val="21"/>
                <w:szCs w:val="21"/>
              </w:rPr>
              <w:t xml:space="preserve">月 </w:t>
            </w:r>
            <w:r>
              <w:rPr>
                <w:rFonts w:hint="eastAsia" w:ascii="宋体" w:hAnsi="宋体"/>
                <w:sz w:val="18"/>
                <w:szCs w:val="18"/>
                <w:lang w:val="en-US" w:eastAsia="zh-CN"/>
              </w:rPr>
              <w:t>XXX</w:t>
            </w:r>
            <w:r>
              <w:rPr>
                <w:rFonts w:hint="eastAsia" w:ascii="宋体" w:hAnsi="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pct"/>
          </w:tcPr>
          <w:p>
            <w:pPr>
              <w:pStyle w:val="121"/>
              <w:widowControl/>
              <w:spacing w:before="120" w:line="400" w:lineRule="exact"/>
              <w:outlineLvl w:val="1"/>
              <w:rPr>
                <w:rFonts w:ascii="宋体" w:hAnsi="宋体"/>
                <w:sz w:val="21"/>
                <w:szCs w:val="21"/>
              </w:rPr>
            </w:pPr>
            <w:r>
              <w:rPr>
                <w:rFonts w:hint="eastAsia" w:ascii="宋体" w:hAnsi="宋体"/>
                <w:sz w:val="21"/>
                <w:szCs w:val="21"/>
              </w:rPr>
              <w:t>网管</w:t>
            </w:r>
          </w:p>
        </w:tc>
        <w:tc>
          <w:tcPr>
            <w:tcW w:w="2139" w:type="pct"/>
            <w:vMerge w:val="continue"/>
          </w:tcPr>
          <w:p>
            <w:pPr>
              <w:pStyle w:val="121"/>
              <w:widowControl/>
              <w:spacing w:before="120" w:line="400" w:lineRule="exact"/>
              <w:outlineLvl w:val="1"/>
              <w:rPr>
                <w:rFonts w:ascii="宋体" w:hAnsi="宋体"/>
                <w:sz w:val="21"/>
                <w:szCs w:val="21"/>
              </w:rPr>
            </w:pPr>
          </w:p>
        </w:tc>
      </w:tr>
    </w:tbl>
    <w:p>
      <w:pPr>
        <w:pStyle w:val="121"/>
        <w:widowControl/>
        <w:spacing w:before="120" w:line="400" w:lineRule="exact"/>
        <w:ind w:firstLine="420" w:firstLineChars="200"/>
        <w:jc w:val="center"/>
        <w:outlineLvl w:val="1"/>
        <w:rPr>
          <w:rFonts w:ascii="宋体" w:hAnsi="宋体"/>
          <w:sz w:val="21"/>
          <w:szCs w:val="21"/>
        </w:rPr>
      </w:pPr>
    </w:p>
    <w:tbl>
      <w:tblPr>
        <w:tblStyle w:val="52"/>
        <w:tblW w:w="8506" w:type="dxa"/>
        <w:tblInd w:w="-134" w:type="dxa"/>
        <w:tblLayout w:type="fixed"/>
        <w:tblCellMar>
          <w:top w:w="0" w:type="dxa"/>
          <w:left w:w="0" w:type="dxa"/>
          <w:bottom w:w="0" w:type="dxa"/>
          <w:right w:w="0" w:type="dxa"/>
        </w:tblCellMar>
      </w:tblPr>
      <w:tblGrid>
        <w:gridCol w:w="4962"/>
        <w:gridCol w:w="3544"/>
      </w:tblGrid>
      <w:tr>
        <w:tblPrEx>
          <w:tblCellMar>
            <w:top w:w="0" w:type="dxa"/>
            <w:left w:w="0" w:type="dxa"/>
            <w:bottom w:w="0" w:type="dxa"/>
            <w:right w:w="0" w:type="dxa"/>
          </w:tblCellMar>
        </w:tblPrEx>
        <w:trPr>
          <w:trHeight w:val="611" w:hRule="atLeast"/>
        </w:trPr>
        <w:tc>
          <w:tcPr>
            <w:tcW w:w="4962" w:type="dxa"/>
            <w:tcBorders>
              <w:top w:val="single" w:color="auto" w:sz="6" w:space="0"/>
              <w:left w:val="single" w:color="auto" w:sz="6" w:space="0"/>
              <w:bottom w:val="single" w:color="auto" w:sz="6" w:space="0"/>
              <w:right w:val="single" w:color="auto" w:sz="6" w:space="0"/>
            </w:tcBorders>
            <w:vAlign w:val="center"/>
          </w:tcPr>
          <w:p>
            <w:pPr>
              <w:pStyle w:val="121"/>
              <w:widowControl/>
              <w:spacing w:before="120" w:line="400" w:lineRule="exact"/>
              <w:outlineLvl w:val="1"/>
              <w:rPr>
                <w:rFonts w:ascii="宋体" w:hAnsi="宋体"/>
                <w:sz w:val="21"/>
                <w:szCs w:val="21"/>
              </w:rPr>
            </w:pPr>
            <w:r>
              <w:rPr>
                <w:rFonts w:ascii="宋体" w:hAnsi="宋体"/>
                <w:sz w:val="21"/>
                <w:szCs w:val="21"/>
              </w:rPr>
              <w:t>服务产品名称</w:t>
            </w:r>
          </w:p>
        </w:tc>
        <w:tc>
          <w:tcPr>
            <w:tcW w:w="3544" w:type="dxa"/>
            <w:tcBorders>
              <w:top w:val="single" w:color="auto" w:sz="6" w:space="0"/>
              <w:left w:val="single" w:color="auto" w:sz="6" w:space="0"/>
              <w:bottom w:val="single" w:color="auto" w:sz="6" w:space="0"/>
              <w:right w:val="single" w:color="auto" w:sz="6" w:space="0"/>
            </w:tcBorders>
            <w:vAlign w:val="center"/>
          </w:tcPr>
          <w:p>
            <w:pPr>
              <w:pStyle w:val="121"/>
              <w:widowControl/>
              <w:spacing w:before="120" w:line="400" w:lineRule="exact"/>
              <w:jc w:val="center"/>
              <w:outlineLvl w:val="1"/>
              <w:rPr>
                <w:rFonts w:ascii="宋体" w:hAnsi="宋体"/>
                <w:sz w:val="21"/>
                <w:szCs w:val="21"/>
              </w:rPr>
            </w:pPr>
            <w:r>
              <w:rPr>
                <w:rFonts w:ascii="宋体" w:hAnsi="宋体"/>
                <w:sz w:val="21"/>
                <w:szCs w:val="21"/>
              </w:rPr>
              <w:t>服务内容</w:t>
            </w:r>
          </w:p>
        </w:tc>
      </w:tr>
      <w:tr>
        <w:tblPrEx>
          <w:tblCellMar>
            <w:top w:w="0" w:type="dxa"/>
            <w:left w:w="0" w:type="dxa"/>
            <w:bottom w:w="0" w:type="dxa"/>
            <w:right w:w="0" w:type="dxa"/>
          </w:tblCellMar>
        </w:tblPrEx>
        <w:trPr>
          <w:trHeight w:val="283" w:hRule="atLeast"/>
        </w:trPr>
        <w:tc>
          <w:tcPr>
            <w:tcW w:w="4962" w:type="dxa"/>
            <w:tcBorders>
              <w:top w:val="single" w:color="auto" w:sz="6" w:space="0"/>
              <w:left w:val="single" w:color="auto" w:sz="6" w:space="0"/>
              <w:bottom w:val="single" w:color="auto" w:sz="6" w:space="0"/>
              <w:right w:val="single" w:color="auto" w:sz="6" w:space="0"/>
            </w:tcBorders>
          </w:tcPr>
          <w:p>
            <w:pPr>
              <w:pStyle w:val="121"/>
              <w:widowControl/>
              <w:spacing w:before="120" w:line="400" w:lineRule="exact"/>
              <w:outlineLvl w:val="1"/>
              <w:rPr>
                <w:rFonts w:ascii="宋体" w:hAnsi="宋体"/>
                <w:sz w:val="21"/>
                <w:szCs w:val="21"/>
              </w:rPr>
            </w:pPr>
            <w:r>
              <w:rPr>
                <w:rFonts w:hint="eastAsia" w:ascii="宋体" w:hAnsi="宋体"/>
                <w:sz w:val="21"/>
                <w:szCs w:val="21"/>
              </w:rPr>
              <w:t>传输维保服务</w:t>
            </w:r>
          </w:p>
        </w:tc>
        <w:tc>
          <w:tcPr>
            <w:tcW w:w="3544" w:type="dxa"/>
            <w:tcBorders>
              <w:top w:val="single" w:color="auto" w:sz="6" w:space="0"/>
              <w:left w:val="single" w:color="auto" w:sz="6" w:space="0"/>
              <w:bottom w:val="single" w:color="auto" w:sz="6" w:space="0"/>
              <w:right w:val="single" w:color="auto" w:sz="6" w:space="0"/>
            </w:tcBorders>
          </w:tcPr>
          <w:p>
            <w:pPr>
              <w:keepNext/>
              <w:snapToGrid w:val="0"/>
              <w:spacing w:line="400" w:lineRule="exact"/>
              <w:jc w:val="center"/>
              <w:rPr>
                <w:rFonts w:ascii="宋体" w:hAnsi="宋体" w:eastAsia="宋体" w:cs="Arial"/>
                <w:bCs/>
                <w:kern w:val="0"/>
                <w:szCs w:val="21"/>
              </w:rPr>
            </w:pPr>
            <w:r>
              <w:rPr>
                <w:rFonts w:hint="eastAsia" w:ascii="宋体" w:hAnsi="宋体" w:eastAsia="宋体" w:cs="Arial"/>
                <w:bCs/>
                <w:kern w:val="0"/>
                <w:szCs w:val="21"/>
              </w:rPr>
              <w:t>7×24</w:t>
            </w:r>
          </w:p>
          <w:p>
            <w:pPr>
              <w:pStyle w:val="121"/>
              <w:widowControl/>
              <w:spacing w:before="120" w:line="400" w:lineRule="exact"/>
              <w:ind w:firstLine="315" w:firstLineChars="150"/>
              <w:outlineLvl w:val="1"/>
              <w:rPr>
                <w:rFonts w:ascii="宋体" w:hAnsi="宋体"/>
                <w:sz w:val="21"/>
                <w:szCs w:val="21"/>
              </w:rPr>
            </w:pPr>
            <w:r>
              <w:rPr>
                <w:rFonts w:hint="eastAsia" w:ascii="宋体" w:hAnsi="宋体" w:cs="Arial"/>
                <w:bCs/>
                <w:sz w:val="21"/>
                <w:szCs w:val="21"/>
              </w:rPr>
              <w:t>送达服务和安排工程师抵达现场</w:t>
            </w:r>
          </w:p>
        </w:tc>
      </w:tr>
    </w:tbl>
    <w:p>
      <w:pPr>
        <w:spacing w:line="400" w:lineRule="exact"/>
        <w:rPr>
          <w:rFonts w:ascii="宋体" w:hAnsi="宋体" w:eastAsia="宋体"/>
          <w:szCs w:val="21"/>
        </w:rPr>
      </w:pP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二、合同总价</w:t>
      </w:r>
    </w:p>
    <w:p>
      <w:pPr>
        <w:spacing w:line="400" w:lineRule="exact"/>
        <w:rPr>
          <w:rFonts w:ascii="宋体" w:hAnsi="宋体" w:eastAsia="宋体"/>
          <w:szCs w:val="21"/>
        </w:rPr>
      </w:pPr>
      <w:r>
        <w:rPr>
          <w:rFonts w:ascii="宋体" w:hAnsi="宋体" w:eastAsia="宋体"/>
          <w:szCs w:val="21"/>
        </w:rPr>
        <w:t>1.</w:t>
      </w:r>
      <w:r>
        <w:rPr>
          <w:rFonts w:hint="eastAsia" w:ascii="宋体" w:hAnsi="宋体" w:eastAsia="宋体"/>
          <w:szCs w:val="21"/>
        </w:rPr>
        <w:t>合同总价（人民币大写）：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cs="宋体"/>
          <w:szCs w:val="21"/>
          <w:u w:val="single"/>
        </w:rPr>
        <w:t>整</w:t>
      </w:r>
      <w:r>
        <w:rPr>
          <w:rFonts w:hint="eastAsia" w:ascii="宋体" w:hAnsi="宋体" w:eastAsia="宋体"/>
          <w:szCs w:val="21"/>
        </w:rPr>
        <w:t>。</w:t>
      </w:r>
    </w:p>
    <w:p>
      <w:pPr>
        <w:spacing w:line="400" w:lineRule="exact"/>
        <w:ind w:firstLine="420"/>
        <w:rPr>
          <w:rFonts w:ascii="宋体" w:hAnsi="宋体" w:eastAsia="宋体"/>
          <w:szCs w:val="21"/>
        </w:rPr>
      </w:pPr>
      <w:r>
        <w:rPr>
          <w:rFonts w:hint="eastAsia" w:ascii="宋体" w:hAnsi="宋体" w:eastAsia="宋体"/>
          <w:szCs w:val="21"/>
        </w:rPr>
        <w:t>（人民币小写）</w:t>
      </w:r>
      <w:r>
        <w:rPr>
          <w:rFonts w:hint="eastAsia" w:ascii="宋体" w:hAnsi="宋体" w:eastAsia="宋体"/>
          <w:szCs w:val="21"/>
          <w:u w:val="single"/>
        </w:rPr>
        <w:t>：¥：</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元</w:t>
      </w:r>
      <w:r>
        <w:rPr>
          <w:rFonts w:hint="eastAsia" w:ascii="宋体" w:hAnsi="宋体" w:eastAsia="宋体"/>
          <w:szCs w:val="21"/>
        </w:rPr>
        <w:t>。</w:t>
      </w:r>
    </w:p>
    <w:p>
      <w:pPr>
        <w:spacing w:line="400" w:lineRule="exact"/>
        <w:rPr>
          <w:rFonts w:ascii="宋体" w:hAnsi="宋体" w:eastAsia="宋体"/>
          <w:szCs w:val="21"/>
        </w:rPr>
      </w:pPr>
      <w:r>
        <w:rPr>
          <w:rFonts w:ascii="宋体" w:hAnsi="宋体" w:eastAsia="宋体"/>
          <w:szCs w:val="21"/>
        </w:rPr>
        <w:t>2.</w:t>
      </w:r>
      <w:r>
        <w:rPr>
          <w:rFonts w:hint="eastAsia" w:ascii="宋体" w:hAnsi="宋体" w:eastAsia="宋体"/>
          <w:szCs w:val="21"/>
        </w:rPr>
        <w:t>合同总价系指按本合同的规定，乙方在完全履行了合同的义务后，甲方支付给乙方的总价款，包括但不限于软、硬件系统的检测验收费、培训费、备份设备费，以及与维保服务有关的一切税费。</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三、产品的质量要求</w:t>
      </w:r>
    </w:p>
    <w:p>
      <w:pPr>
        <w:spacing w:line="400" w:lineRule="exact"/>
        <w:ind w:firstLine="420" w:firstLineChars="200"/>
        <w:rPr>
          <w:rFonts w:ascii="宋体" w:hAnsi="宋体" w:eastAsia="宋体"/>
          <w:szCs w:val="21"/>
        </w:rPr>
      </w:pPr>
      <w:r>
        <w:rPr>
          <w:rFonts w:hint="eastAsia" w:ascii="宋体" w:hAnsi="宋体" w:eastAsia="宋体"/>
          <w:szCs w:val="21"/>
        </w:rPr>
        <w:t>乙方所提供的维保服务必须完全满足甲方提出的技术要求；乙方保证所提供的维保具备原厂授权，备品备件是原厂原装产品，没有任何版权或其他权属争议。</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四、付款方式及期限</w:t>
      </w:r>
    </w:p>
    <w:p>
      <w:pPr>
        <w:pStyle w:val="121"/>
        <w:widowControl/>
        <w:numPr>
          <w:ilvl w:val="0"/>
          <w:numId w:val="18"/>
        </w:numPr>
        <w:autoSpaceDE/>
        <w:autoSpaceDN/>
        <w:adjustRightInd/>
        <w:snapToGrid w:val="0"/>
        <w:spacing w:line="400" w:lineRule="exact"/>
        <w:jc w:val="both"/>
        <w:rPr>
          <w:rFonts w:ascii="宋体" w:hAnsi="宋体"/>
          <w:sz w:val="21"/>
          <w:szCs w:val="21"/>
        </w:rPr>
      </w:pPr>
      <w:r>
        <w:rPr>
          <w:rFonts w:ascii="宋体" w:hAnsi="宋体"/>
          <w:sz w:val="21"/>
          <w:szCs w:val="21"/>
        </w:rPr>
        <w:t>甲方按下表所示付款进度和结算方式进行合同款的支付：</w:t>
      </w:r>
    </w:p>
    <w:tbl>
      <w:tblPr>
        <w:tblStyle w:val="52"/>
        <w:tblW w:w="4872" w:type="pct"/>
        <w:tblInd w:w="0" w:type="dxa"/>
        <w:tblLayout w:type="autofit"/>
        <w:tblCellMar>
          <w:top w:w="0" w:type="dxa"/>
          <w:left w:w="0" w:type="dxa"/>
          <w:bottom w:w="0" w:type="dxa"/>
          <w:right w:w="0" w:type="dxa"/>
        </w:tblCellMar>
      </w:tblPr>
      <w:tblGrid>
        <w:gridCol w:w="1290"/>
        <w:gridCol w:w="1278"/>
        <w:gridCol w:w="3551"/>
        <w:gridCol w:w="1990"/>
      </w:tblGrid>
      <w:tr>
        <w:tblPrEx>
          <w:tblCellMar>
            <w:top w:w="0" w:type="dxa"/>
            <w:left w:w="0" w:type="dxa"/>
            <w:bottom w:w="0" w:type="dxa"/>
            <w:right w:w="0" w:type="dxa"/>
          </w:tblCellMar>
        </w:tblPrEx>
        <w:trPr>
          <w:cantSplit/>
          <w:trHeight w:val="571" w:hRule="exact"/>
        </w:trPr>
        <w:tc>
          <w:tcPr>
            <w:tcW w:w="795"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付款期</w:t>
            </w:r>
          </w:p>
        </w:tc>
        <w:tc>
          <w:tcPr>
            <w:tcW w:w="788"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金额（元）</w:t>
            </w:r>
          </w:p>
        </w:tc>
        <w:tc>
          <w:tcPr>
            <w:tcW w:w="2189"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最后付款期限</w:t>
            </w:r>
          </w:p>
        </w:tc>
        <w:tc>
          <w:tcPr>
            <w:tcW w:w="1226"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结算方式</w:t>
            </w:r>
          </w:p>
        </w:tc>
      </w:tr>
      <w:tr>
        <w:tblPrEx>
          <w:tblCellMar>
            <w:top w:w="0" w:type="dxa"/>
            <w:left w:w="0" w:type="dxa"/>
            <w:bottom w:w="0" w:type="dxa"/>
            <w:right w:w="0" w:type="dxa"/>
          </w:tblCellMar>
        </w:tblPrEx>
        <w:trPr>
          <w:cantSplit/>
          <w:trHeight w:val="619" w:hRule="exact"/>
        </w:trPr>
        <w:tc>
          <w:tcPr>
            <w:tcW w:w="795"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第一</w:t>
            </w:r>
            <w:r>
              <w:rPr>
                <w:rFonts w:hint="eastAsia" w:ascii="宋体" w:hAnsi="宋体"/>
                <w:sz w:val="21"/>
                <w:szCs w:val="21"/>
              </w:rPr>
              <w:t>年</w:t>
            </w:r>
          </w:p>
        </w:tc>
        <w:tc>
          <w:tcPr>
            <w:tcW w:w="788"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szCs w:val="21"/>
              </w:rPr>
            </w:pPr>
            <w:r>
              <w:rPr>
                <w:rFonts w:hint="eastAsia" w:ascii="宋体" w:hAnsi="宋体" w:eastAsia="宋体"/>
                <w:szCs w:val="21"/>
              </w:rPr>
              <w:t xml:space="preserve"> </w:t>
            </w:r>
          </w:p>
        </w:tc>
        <w:tc>
          <w:tcPr>
            <w:tcW w:w="218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24</w:t>
            </w:r>
            <w:r>
              <w:rPr>
                <w:rFonts w:hint="eastAsia" w:ascii="宋体" w:hAnsi="宋体" w:eastAsia="宋体"/>
                <w:szCs w:val="21"/>
              </w:rPr>
              <w:t>年</w:t>
            </w:r>
            <w:r>
              <w:rPr>
                <w:rFonts w:hint="eastAsia" w:ascii="宋体" w:hAnsi="宋体" w:eastAsia="宋体"/>
                <w:szCs w:val="21"/>
                <w:lang w:val="en-US" w:eastAsia="zh-CN"/>
              </w:rPr>
              <w:t>5</w:t>
            </w:r>
            <w:r>
              <w:rPr>
                <w:rFonts w:hint="eastAsia" w:ascii="宋体" w:hAnsi="宋体" w:eastAsia="宋体"/>
                <w:szCs w:val="21"/>
              </w:rPr>
              <w:t>月  日</w:t>
            </w:r>
          </w:p>
        </w:tc>
        <w:tc>
          <w:tcPr>
            <w:tcW w:w="1226"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电汇</w:t>
            </w:r>
            <w:r>
              <w:rPr>
                <w:rFonts w:hint="eastAsia" w:ascii="宋体" w:hAnsi="宋体"/>
                <w:sz w:val="21"/>
                <w:szCs w:val="21"/>
              </w:rPr>
              <w:t>■</w:t>
            </w:r>
            <w:r>
              <w:rPr>
                <w:rFonts w:ascii="宋体" w:hAnsi="宋体"/>
                <w:sz w:val="21"/>
                <w:szCs w:val="21"/>
              </w:rPr>
              <w:t>/银行汇票□</w:t>
            </w:r>
          </w:p>
        </w:tc>
      </w:tr>
      <w:tr>
        <w:tblPrEx>
          <w:tblCellMar>
            <w:top w:w="0" w:type="dxa"/>
            <w:left w:w="0" w:type="dxa"/>
            <w:bottom w:w="0" w:type="dxa"/>
            <w:right w:w="0" w:type="dxa"/>
          </w:tblCellMar>
        </w:tblPrEx>
        <w:trPr>
          <w:cantSplit/>
          <w:trHeight w:val="571" w:hRule="exact"/>
        </w:trPr>
        <w:tc>
          <w:tcPr>
            <w:tcW w:w="795"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第</w:t>
            </w:r>
            <w:r>
              <w:rPr>
                <w:rFonts w:hint="eastAsia" w:ascii="宋体" w:hAnsi="宋体"/>
                <w:sz w:val="21"/>
                <w:szCs w:val="21"/>
              </w:rPr>
              <w:t>二年</w:t>
            </w:r>
          </w:p>
        </w:tc>
        <w:tc>
          <w:tcPr>
            <w:tcW w:w="788"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szCs w:val="21"/>
              </w:rPr>
            </w:pPr>
            <w:r>
              <w:rPr>
                <w:rFonts w:hint="eastAsia" w:ascii="宋体" w:hAnsi="宋体" w:eastAsia="宋体"/>
                <w:szCs w:val="21"/>
              </w:rPr>
              <w:t xml:space="preserve">0 </w:t>
            </w:r>
          </w:p>
        </w:tc>
        <w:tc>
          <w:tcPr>
            <w:tcW w:w="218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25</w:t>
            </w:r>
            <w:r>
              <w:rPr>
                <w:rFonts w:hint="eastAsia" w:ascii="宋体" w:hAnsi="宋体" w:eastAsia="宋体"/>
                <w:szCs w:val="21"/>
              </w:rPr>
              <w:t>年</w:t>
            </w:r>
            <w:r>
              <w:rPr>
                <w:rFonts w:hint="eastAsia" w:ascii="宋体" w:hAnsi="宋体" w:eastAsia="宋体"/>
                <w:szCs w:val="21"/>
                <w:lang w:val="en-US" w:eastAsia="zh-CN"/>
              </w:rPr>
              <w:t>5</w:t>
            </w:r>
            <w:r>
              <w:rPr>
                <w:rFonts w:hint="eastAsia" w:ascii="宋体" w:hAnsi="宋体" w:eastAsia="宋体"/>
                <w:szCs w:val="21"/>
              </w:rPr>
              <w:t>月  日</w:t>
            </w:r>
          </w:p>
        </w:tc>
        <w:tc>
          <w:tcPr>
            <w:tcW w:w="1226" w:type="pct"/>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电汇</w:t>
            </w:r>
            <w:r>
              <w:rPr>
                <w:rFonts w:hint="eastAsia" w:ascii="宋体" w:hAnsi="宋体"/>
                <w:sz w:val="21"/>
                <w:szCs w:val="21"/>
              </w:rPr>
              <w:t>■</w:t>
            </w:r>
            <w:r>
              <w:rPr>
                <w:rFonts w:ascii="宋体" w:hAnsi="宋体"/>
                <w:sz w:val="21"/>
                <w:szCs w:val="21"/>
              </w:rPr>
              <w:t>/银行汇票□</w:t>
            </w:r>
          </w:p>
        </w:tc>
      </w:tr>
    </w:tbl>
    <w:p>
      <w:pPr>
        <w:pStyle w:val="121"/>
        <w:widowControl/>
        <w:numPr>
          <w:ilvl w:val="0"/>
          <w:numId w:val="18"/>
        </w:numPr>
        <w:autoSpaceDE/>
        <w:autoSpaceDN/>
        <w:adjustRightInd/>
        <w:spacing w:line="400" w:lineRule="exact"/>
        <w:jc w:val="both"/>
        <w:rPr>
          <w:rFonts w:ascii="宋体" w:hAnsi="宋体"/>
          <w:sz w:val="21"/>
          <w:szCs w:val="21"/>
        </w:rPr>
      </w:pPr>
      <w:r>
        <w:rPr>
          <w:rFonts w:hint="eastAsia" w:ascii="宋体" w:hAnsi="宋体"/>
          <w:sz w:val="21"/>
          <w:szCs w:val="21"/>
        </w:rPr>
        <w:t>甲方按以下信息向乙方支付合同款</w:t>
      </w:r>
    </w:p>
    <w:tbl>
      <w:tblPr>
        <w:tblStyle w:val="52"/>
        <w:tblW w:w="8080" w:type="dxa"/>
        <w:tblInd w:w="108" w:type="dxa"/>
        <w:tblLayout w:type="fixed"/>
        <w:tblCellMar>
          <w:top w:w="0" w:type="dxa"/>
          <w:left w:w="108" w:type="dxa"/>
          <w:bottom w:w="0" w:type="dxa"/>
          <w:right w:w="108" w:type="dxa"/>
        </w:tblCellMar>
      </w:tblPr>
      <w:tblGrid>
        <w:gridCol w:w="1843"/>
        <w:gridCol w:w="6237"/>
      </w:tblGrid>
      <w:tr>
        <w:tblPrEx>
          <w:tblCellMar>
            <w:top w:w="0" w:type="dxa"/>
            <w:left w:w="108" w:type="dxa"/>
            <w:bottom w:w="0" w:type="dxa"/>
            <w:right w:w="108" w:type="dxa"/>
          </w:tblCellMar>
        </w:tblPrEx>
        <w:trPr>
          <w:cantSplit/>
          <w:trHeight w:val="633" w:hRule="exact"/>
        </w:trPr>
        <w:tc>
          <w:tcPr>
            <w:tcW w:w="1843" w:type="dxa"/>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收款人名称</w:t>
            </w:r>
          </w:p>
        </w:tc>
        <w:tc>
          <w:tcPr>
            <w:tcW w:w="6237" w:type="dxa"/>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rPr>
                <w:rFonts w:ascii="宋体" w:hAnsi="宋体"/>
                <w:sz w:val="21"/>
                <w:szCs w:val="21"/>
              </w:rPr>
            </w:pPr>
          </w:p>
        </w:tc>
      </w:tr>
      <w:tr>
        <w:tblPrEx>
          <w:tblCellMar>
            <w:top w:w="0" w:type="dxa"/>
            <w:left w:w="108" w:type="dxa"/>
            <w:bottom w:w="0" w:type="dxa"/>
            <w:right w:w="108" w:type="dxa"/>
          </w:tblCellMar>
        </w:tblPrEx>
        <w:trPr>
          <w:cantSplit/>
          <w:trHeight w:val="633" w:hRule="exact"/>
        </w:trPr>
        <w:tc>
          <w:tcPr>
            <w:tcW w:w="1843" w:type="dxa"/>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开户银行</w:t>
            </w:r>
          </w:p>
        </w:tc>
        <w:tc>
          <w:tcPr>
            <w:tcW w:w="6237" w:type="dxa"/>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rPr>
                <w:rFonts w:ascii="宋体" w:hAnsi="宋体" w:cs="宋体"/>
                <w:sz w:val="21"/>
                <w:szCs w:val="21"/>
              </w:rPr>
            </w:pPr>
          </w:p>
        </w:tc>
      </w:tr>
      <w:tr>
        <w:tblPrEx>
          <w:tblCellMar>
            <w:top w:w="0" w:type="dxa"/>
            <w:left w:w="108" w:type="dxa"/>
            <w:bottom w:w="0" w:type="dxa"/>
            <w:right w:w="108" w:type="dxa"/>
          </w:tblCellMar>
        </w:tblPrEx>
        <w:trPr>
          <w:cantSplit/>
          <w:trHeight w:val="625" w:hRule="exact"/>
        </w:trPr>
        <w:tc>
          <w:tcPr>
            <w:tcW w:w="1843" w:type="dxa"/>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jc w:val="center"/>
              <w:rPr>
                <w:rFonts w:ascii="宋体" w:hAnsi="宋体"/>
                <w:sz w:val="21"/>
                <w:szCs w:val="21"/>
              </w:rPr>
            </w:pPr>
            <w:r>
              <w:rPr>
                <w:rFonts w:ascii="宋体" w:hAnsi="宋体"/>
                <w:sz w:val="21"/>
                <w:szCs w:val="21"/>
              </w:rPr>
              <w:t>银行帐号</w:t>
            </w:r>
          </w:p>
        </w:tc>
        <w:tc>
          <w:tcPr>
            <w:tcW w:w="6237" w:type="dxa"/>
            <w:tcBorders>
              <w:top w:val="single" w:color="auto" w:sz="6" w:space="0"/>
              <w:left w:val="single" w:color="auto" w:sz="6" w:space="0"/>
              <w:bottom w:val="single" w:color="auto" w:sz="6" w:space="0"/>
              <w:right w:val="single" w:color="auto" w:sz="6" w:space="0"/>
            </w:tcBorders>
            <w:vAlign w:val="center"/>
          </w:tcPr>
          <w:p>
            <w:pPr>
              <w:pStyle w:val="121"/>
              <w:widowControl/>
              <w:spacing w:line="400" w:lineRule="exact"/>
              <w:rPr>
                <w:rFonts w:ascii="宋体" w:hAnsi="宋体" w:cs="宋体"/>
                <w:sz w:val="21"/>
                <w:szCs w:val="21"/>
              </w:rPr>
            </w:pPr>
          </w:p>
        </w:tc>
      </w:tr>
    </w:tbl>
    <w:p>
      <w:pPr>
        <w:pStyle w:val="99"/>
        <w:numPr>
          <w:ilvl w:val="0"/>
          <w:numId w:val="18"/>
        </w:numPr>
        <w:spacing w:line="400" w:lineRule="exact"/>
        <w:ind w:firstLineChars="0"/>
        <w:rPr>
          <w:rFonts w:ascii="宋体" w:hAnsi="宋体" w:eastAsia="宋体"/>
          <w:szCs w:val="21"/>
        </w:rPr>
      </w:pPr>
      <w:r>
        <w:rPr>
          <w:rFonts w:hint="eastAsia" w:ascii="宋体" w:hAnsi="宋体" w:eastAsia="宋体"/>
          <w:szCs w:val="21"/>
        </w:rPr>
        <w:t>乙方须按照甲方的要求开据增值税专用发票</w:t>
      </w:r>
      <w:r>
        <w:rPr>
          <w:rFonts w:ascii="宋体" w:hAnsi="宋体" w:eastAsia="宋体"/>
          <w:szCs w:val="21"/>
        </w:rPr>
        <w:t>。</w:t>
      </w:r>
    </w:p>
    <w:p>
      <w:pPr>
        <w:pStyle w:val="99"/>
        <w:numPr>
          <w:ilvl w:val="0"/>
          <w:numId w:val="18"/>
        </w:numPr>
        <w:spacing w:line="400" w:lineRule="exact"/>
        <w:ind w:firstLineChars="0"/>
        <w:rPr>
          <w:rFonts w:ascii="宋体" w:hAnsi="宋体" w:eastAsia="宋体"/>
          <w:szCs w:val="21"/>
        </w:rPr>
      </w:pPr>
      <w:r>
        <w:rPr>
          <w:rFonts w:hint="eastAsia" w:ascii="宋体" w:hAnsi="宋体" w:eastAsia="宋体"/>
          <w:szCs w:val="21"/>
        </w:rPr>
        <w:t>廉政保证金：乙方违反本合同第十条廉洁条款第二点，甲方有权全部扣除合同总额的10%，若此时合同总额已经全部支付或余款不足10%的，甲方有权根据此合同向乙方进一步追诉。</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五、维保服务</w:t>
      </w:r>
    </w:p>
    <w:p>
      <w:pPr>
        <w:pStyle w:val="274"/>
        <w:numPr>
          <w:ilvl w:val="0"/>
          <w:numId w:val="19"/>
        </w:numPr>
        <w:spacing w:line="400" w:lineRule="exact"/>
        <w:ind w:firstLineChars="0"/>
        <w:rPr>
          <w:rFonts w:ascii="宋体" w:hAnsi="宋体" w:eastAsia="宋体"/>
          <w:szCs w:val="21"/>
        </w:rPr>
      </w:pPr>
      <w:r>
        <w:rPr>
          <w:rFonts w:hint="eastAsia" w:ascii="宋体" w:hAnsi="宋体" w:eastAsia="宋体"/>
          <w:szCs w:val="21"/>
        </w:rPr>
        <w:t>维保范围：</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1 \* GB2</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⑴</w:t>
      </w:r>
      <w:r>
        <w:rPr>
          <w:rFonts w:ascii="宋体" w:hAnsi="宋体" w:eastAsia="宋体"/>
          <w:szCs w:val="21"/>
        </w:rPr>
        <w:fldChar w:fldCharType="end"/>
      </w:r>
      <w:r>
        <w:rPr>
          <w:rFonts w:hint="eastAsia" w:ascii="宋体" w:hAnsi="宋体" w:eastAsia="宋体"/>
          <w:szCs w:val="21"/>
        </w:rPr>
        <w:t>江苏有线通州分公司波分传输系统OTN平台；</w:t>
      </w:r>
    </w:p>
    <w:p>
      <w:pPr>
        <w:pStyle w:val="274"/>
        <w:spacing w:line="400" w:lineRule="exact"/>
        <w:ind w:left="420" w:firstLine="0" w:firstLineChars="0"/>
        <w:rPr>
          <w:rFonts w:ascii="宋体" w:hAnsi="宋体" w:eastAsia="宋体"/>
          <w:szCs w:val="21"/>
        </w:rPr>
      </w:pPr>
      <w:r>
        <w:rPr>
          <w:rFonts w:hint="eastAsia" w:ascii="宋体" w:hAnsi="宋体" w:eastAsia="宋体"/>
          <w:szCs w:val="21"/>
        </w:rPr>
        <w:t xml:space="preserve">           </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2 \* GB2</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⑵</w:t>
      </w:r>
      <w:r>
        <w:rPr>
          <w:rFonts w:ascii="宋体" w:hAnsi="宋体" w:eastAsia="宋体"/>
          <w:szCs w:val="21"/>
        </w:rPr>
        <w:fldChar w:fldCharType="end"/>
      </w:r>
      <w:r>
        <w:rPr>
          <w:rFonts w:hint="eastAsia" w:ascii="宋体" w:hAnsi="宋体" w:eastAsia="宋体"/>
          <w:szCs w:val="21"/>
        </w:rPr>
        <w:t>江苏有线通州分公司波分传输系统网管平台。</w:t>
      </w:r>
    </w:p>
    <w:p>
      <w:pPr>
        <w:pStyle w:val="274"/>
        <w:numPr>
          <w:ilvl w:val="0"/>
          <w:numId w:val="19"/>
        </w:numPr>
        <w:spacing w:line="400" w:lineRule="exact"/>
        <w:ind w:firstLineChars="0"/>
        <w:rPr>
          <w:rFonts w:ascii="宋体" w:hAnsi="宋体" w:eastAsia="宋体"/>
          <w:szCs w:val="21"/>
        </w:rPr>
      </w:pPr>
      <w:r>
        <w:rPr>
          <w:rFonts w:hint="eastAsia" w:ascii="宋体" w:hAnsi="宋体" w:eastAsia="宋体"/>
          <w:szCs w:val="21"/>
        </w:rPr>
        <w:t xml:space="preserve">服务响应时间：乙方为甲方提供每周7天，每天24小时的软硬件技术支持服务。  </w:t>
      </w:r>
    </w:p>
    <w:p>
      <w:pPr>
        <w:numPr>
          <w:ilvl w:val="0"/>
          <w:numId w:val="19"/>
        </w:numPr>
        <w:spacing w:line="400" w:lineRule="exact"/>
        <w:rPr>
          <w:rFonts w:ascii="宋体" w:hAnsi="宋体" w:eastAsia="宋体"/>
          <w:szCs w:val="21"/>
        </w:rPr>
      </w:pPr>
      <w:r>
        <w:rPr>
          <w:rFonts w:hint="eastAsia" w:ascii="宋体" w:hAnsi="宋体" w:eastAsia="宋体"/>
          <w:szCs w:val="21"/>
        </w:rPr>
        <w:t>巡检服务：后续维保期内乙方每个季度定期为甲方上述维保范围检查波分系统软硬件平台。如果发现波分系统有不正常的故障存在，现场修复；如果发现板卡等损坏，乙方应无条件进行更换并确保运行正常，并通知甲方。</w:t>
      </w:r>
    </w:p>
    <w:p>
      <w:pPr>
        <w:numPr>
          <w:ilvl w:val="0"/>
          <w:numId w:val="19"/>
        </w:numPr>
        <w:spacing w:line="400" w:lineRule="exact"/>
        <w:rPr>
          <w:rFonts w:ascii="宋体" w:hAnsi="宋体" w:eastAsia="宋体"/>
          <w:szCs w:val="21"/>
        </w:rPr>
      </w:pPr>
      <w:r>
        <w:rPr>
          <w:rFonts w:hint="eastAsia" w:ascii="宋体" w:hAnsi="宋体" w:eastAsia="宋体"/>
          <w:szCs w:val="21"/>
        </w:rPr>
        <w:t>服务规范：乙方接到甲方的故障通知后均应立即派工程师到甲方处理故障，乙方工程师要认真填写《故障记录表》和《操作记录单》，甲乙双方技术人员签字确认。乙方按季度向甲方书面报备该季度维护情况和季度巡检中设备系统相关参数运行情况，如有设备更换，提供更换记录，并甲乙双方签名。</w:t>
      </w:r>
    </w:p>
    <w:p>
      <w:pPr>
        <w:pStyle w:val="274"/>
        <w:numPr>
          <w:ilvl w:val="0"/>
          <w:numId w:val="19"/>
        </w:numPr>
        <w:spacing w:line="400" w:lineRule="exact"/>
        <w:ind w:firstLineChars="0"/>
        <w:rPr>
          <w:rFonts w:ascii="宋体" w:hAnsi="宋体" w:eastAsia="宋体"/>
          <w:szCs w:val="21"/>
        </w:rPr>
      </w:pPr>
      <w:r>
        <w:rPr>
          <w:rFonts w:hint="eastAsia" w:ascii="宋体" w:hAnsi="宋体" w:eastAsia="宋体"/>
          <w:szCs w:val="21"/>
        </w:rPr>
        <w:t>服务人员：乙方须在南通派驻1名以上技术服务工程师，为甲方提供7天×24小时的技术支持服务（含国家法定假日），随时提供有效的技术服务与技术支持。</w:t>
      </w:r>
    </w:p>
    <w:p>
      <w:pPr>
        <w:pStyle w:val="274"/>
        <w:numPr>
          <w:ilvl w:val="0"/>
          <w:numId w:val="19"/>
        </w:numPr>
        <w:spacing w:line="400" w:lineRule="exact"/>
        <w:ind w:firstLineChars="0"/>
        <w:rPr>
          <w:rFonts w:ascii="宋体" w:hAnsi="宋体" w:eastAsia="宋体"/>
          <w:szCs w:val="21"/>
        </w:rPr>
      </w:pPr>
      <w:r>
        <w:rPr>
          <w:rFonts w:hint="eastAsia" w:ascii="宋体" w:hAnsi="宋体" w:eastAsia="宋体"/>
          <w:szCs w:val="21"/>
        </w:rPr>
        <w:t>产品备件： 乙方需在甲方设立易坏配件备件库，且乙方须及时补充相关替换的备件，确保合同所涉及备件质量和数量，可解决停产备件问题，以保证硬件设备的及时维修和更换。备品备件不得提供OEM产品，提供备品备件进行更换时，须向甲方提供原厂产品序列号等相关信息，并得到甲方的确认，否则视为违规操作。</w:t>
      </w:r>
    </w:p>
    <w:p>
      <w:pPr>
        <w:pStyle w:val="274"/>
        <w:numPr>
          <w:ilvl w:val="0"/>
          <w:numId w:val="19"/>
        </w:numPr>
        <w:spacing w:line="400" w:lineRule="exact"/>
        <w:ind w:firstLineChars="0"/>
        <w:rPr>
          <w:rFonts w:ascii="宋体" w:hAnsi="宋体" w:eastAsia="宋体"/>
          <w:szCs w:val="21"/>
        </w:rPr>
      </w:pPr>
      <w:r>
        <w:rPr>
          <w:rFonts w:ascii="宋体" w:hAnsi="宋体" w:eastAsia="宋体"/>
          <w:szCs w:val="21"/>
        </w:rPr>
        <w:t>培训</w:t>
      </w:r>
      <w:r>
        <w:rPr>
          <w:rFonts w:hint="eastAsia" w:ascii="宋体" w:hAnsi="宋体" w:eastAsia="宋体"/>
          <w:szCs w:val="21"/>
        </w:rPr>
        <w:t>：乙方每季度维护时为用户免费提供波分传输系统的技术咨询，如客户需要，免费提供现场培训服务。</w:t>
      </w:r>
    </w:p>
    <w:p>
      <w:pPr>
        <w:pStyle w:val="274"/>
        <w:numPr>
          <w:ilvl w:val="0"/>
          <w:numId w:val="19"/>
        </w:numPr>
        <w:spacing w:line="400" w:lineRule="exact"/>
        <w:ind w:firstLineChars="0"/>
        <w:rPr>
          <w:rFonts w:ascii="宋体" w:hAnsi="宋体" w:eastAsia="宋体"/>
          <w:szCs w:val="21"/>
        </w:rPr>
      </w:pPr>
      <w:r>
        <w:rPr>
          <w:rFonts w:ascii="宋体" w:hAnsi="宋体" w:eastAsia="宋体"/>
          <w:szCs w:val="21"/>
        </w:rPr>
        <w:t>软件升级</w:t>
      </w:r>
      <w:r>
        <w:rPr>
          <w:rFonts w:hint="eastAsia" w:ascii="宋体" w:hAnsi="宋体" w:eastAsia="宋体"/>
          <w:szCs w:val="21"/>
        </w:rPr>
        <w:t>：乙方承诺如果华为公司推出新版软件，乙方及时向客户提供波分系统新版软件信息，如甲方需要，乙方免费为甲方升级，并保证系统的原有运行业务正常。</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六、技术升级和优惠条件</w:t>
      </w:r>
    </w:p>
    <w:p>
      <w:pPr>
        <w:numPr>
          <w:ilvl w:val="0"/>
          <w:numId w:val="20"/>
        </w:numPr>
        <w:spacing w:line="400" w:lineRule="exact"/>
        <w:rPr>
          <w:rFonts w:ascii="宋体" w:hAnsi="宋体" w:eastAsia="宋体"/>
          <w:szCs w:val="21"/>
        </w:rPr>
      </w:pPr>
      <w:r>
        <w:rPr>
          <w:rFonts w:hint="eastAsia" w:ascii="宋体" w:hAnsi="宋体" w:eastAsia="宋体"/>
          <w:szCs w:val="21"/>
        </w:rPr>
        <w:t>乙方负责于甲方重大网络调整前进行上述维保范围的巡检。</w:t>
      </w:r>
    </w:p>
    <w:p>
      <w:pPr>
        <w:numPr>
          <w:ilvl w:val="0"/>
          <w:numId w:val="20"/>
        </w:numPr>
        <w:spacing w:line="400" w:lineRule="exact"/>
        <w:rPr>
          <w:rFonts w:ascii="宋体" w:hAnsi="宋体" w:eastAsia="宋体"/>
          <w:szCs w:val="21"/>
        </w:rPr>
      </w:pPr>
      <w:r>
        <w:rPr>
          <w:rFonts w:ascii="宋体" w:hAnsi="宋体" w:eastAsia="宋体"/>
          <w:szCs w:val="21"/>
        </w:rPr>
        <w:t>乙方技术人员在服务期间，应严格遵守甲方的各项规章制度，接受甲方的管理，乙方对不能胜任的乙方技术人员按甲方要求予以更换。</w:t>
      </w:r>
    </w:p>
    <w:p>
      <w:pPr>
        <w:numPr>
          <w:ilvl w:val="0"/>
          <w:numId w:val="20"/>
        </w:numPr>
        <w:spacing w:line="400" w:lineRule="exact"/>
        <w:rPr>
          <w:rFonts w:ascii="宋体" w:hAnsi="宋体" w:eastAsia="宋体"/>
          <w:szCs w:val="21"/>
        </w:rPr>
      </w:pPr>
      <w:r>
        <w:rPr>
          <w:rFonts w:ascii="宋体" w:hAnsi="宋体" w:eastAsia="宋体"/>
          <w:szCs w:val="21"/>
        </w:rPr>
        <w:t>乙方须为甲方</w:t>
      </w:r>
      <w:r>
        <w:rPr>
          <w:rFonts w:hint="eastAsia" w:ascii="宋体" w:hAnsi="宋体" w:eastAsia="宋体"/>
          <w:szCs w:val="21"/>
        </w:rPr>
        <w:t>波分系统</w:t>
      </w:r>
      <w:r>
        <w:rPr>
          <w:rFonts w:ascii="宋体" w:hAnsi="宋体" w:eastAsia="宋体"/>
          <w:szCs w:val="21"/>
        </w:rPr>
        <w:t>硬件中部件免费提供备件储备，并在部件出现故障后及时进行更换</w:t>
      </w:r>
      <w:r>
        <w:rPr>
          <w:rFonts w:hint="eastAsia" w:ascii="宋体" w:hAnsi="宋体" w:eastAsia="宋体"/>
          <w:szCs w:val="21"/>
        </w:rPr>
        <w:t>，</w:t>
      </w:r>
      <w:r>
        <w:rPr>
          <w:rFonts w:ascii="宋体" w:hAnsi="宋体" w:eastAsia="宋体"/>
          <w:szCs w:val="21"/>
        </w:rPr>
        <w:t>乙方在接到甲方报修电话后，应在</w:t>
      </w:r>
      <w:r>
        <w:rPr>
          <w:rFonts w:hint="eastAsia" w:ascii="宋体" w:hAnsi="宋体" w:eastAsia="宋体"/>
          <w:szCs w:val="21"/>
        </w:rPr>
        <w:t>10分钟</w:t>
      </w:r>
      <w:r>
        <w:rPr>
          <w:rFonts w:ascii="宋体" w:hAnsi="宋体" w:eastAsia="宋体"/>
          <w:szCs w:val="21"/>
        </w:rPr>
        <w:t>内响应，</w:t>
      </w:r>
      <w:r>
        <w:rPr>
          <w:rFonts w:hint="eastAsia" w:ascii="宋体" w:hAnsi="宋体" w:eastAsia="宋体"/>
          <w:szCs w:val="21"/>
        </w:rPr>
        <w:t>在约定的时间内</w:t>
      </w:r>
      <w:r>
        <w:rPr>
          <w:rFonts w:ascii="宋体" w:hAnsi="宋体" w:eastAsia="宋体"/>
          <w:szCs w:val="21"/>
        </w:rPr>
        <w:t>赶到指定地点，</w:t>
      </w:r>
      <w:r>
        <w:rPr>
          <w:rFonts w:hint="eastAsia" w:ascii="宋体" w:hAnsi="宋体" w:eastAsia="宋体"/>
          <w:szCs w:val="21"/>
        </w:rPr>
        <w:t>并免费</w:t>
      </w:r>
      <w:r>
        <w:rPr>
          <w:rFonts w:ascii="宋体" w:hAnsi="宋体" w:eastAsia="宋体"/>
          <w:szCs w:val="21"/>
        </w:rPr>
        <w:t>完成系统损坏硬件更换</w:t>
      </w:r>
      <w:r>
        <w:rPr>
          <w:rFonts w:hint="eastAsia" w:ascii="宋体" w:hAnsi="宋体" w:eastAsia="宋体"/>
          <w:szCs w:val="21"/>
        </w:rPr>
        <w:t>、安装到位</w:t>
      </w:r>
      <w:r>
        <w:rPr>
          <w:rFonts w:ascii="宋体" w:hAnsi="宋体" w:eastAsia="宋体"/>
          <w:szCs w:val="21"/>
        </w:rPr>
        <w:t>，</w:t>
      </w:r>
      <w:r>
        <w:rPr>
          <w:rFonts w:hint="eastAsia" w:ascii="宋体" w:hAnsi="宋体" w:eastAsia="宋体"/>
          <w:szCs w:val="21"/>
        </w:rPr>
        <w:t>并保证为系统运行至正常稳定状态，在甲方确定维修合格后，乙方才能完成维修任务，如后期甲方发现本次维修留有隐患，乙方无条件负责全部解决</w:t>
      </w:r>
      <w:r>
        <w:rPr>
          <w:rFonts w:ascii="宋体" w:hAnsi="宋体" w:eastAsia="宋体"/>
          <w:szCs w:val="21"/>
        </w:rPr>
        <w:t>。</w:t>
      </w:r>
      <w:r>
        <w:rPr>
          <w:rFonts w:hint="eastAsia" w:ascii="宋体" w:hAnsi="宋体" w:eastAsia="宋体"/>
          <w:szCs w:val="21"/>
        </w:rPr>
        <w:t>故障件返修周期为25个工作日。</w:t>
      </w:r>
    </w:p>
    <w:p>
      <w:pPr>
        <w:numPr>
          <w:ilvl w:val="0"/>
          <w:numId w:val="20"/>
        </w:numPr>
        <w:spacing w:line="400" w:lineRule="exact"/>
        <w:rPr>
          <w:rFonts w:ascii="宋体" w:hAnsi="宋体" w:eastAsia="宋体"/>
          <w:szCs w:val="21"/>
        </w:rPr>
      </w:pPr>
      <w:r>
        <w:rPr>
          <w:rFonts w:hint="eastAsia" w:ascii="宋体" w:hAnsi="宋体" w:eastAsia="宋体"/>
          <w:szCs w:val="21"/>
        </w:rPr>
        <w:t>本合同有效期间内，乙方经行业主管部门授予的资格（质）如发生变更，或出现机构变更、歇业、停产、转产等情况，应在15个工作日内书面通知甲方。</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七、技术和资料的保密事项</w:t>
      </w:r>
    </w:p>
    <w:p>
      <w:pPr>
        <w:numPr>
          <w:ilvl w:val="0"/>
          <w:numId w:val="21"/>
        </w:numPr>
        <w:spacing w:line="400" w:lineRule="exact"/>
        <w:rPr>
          <w:rFonts w:ascii="宋体" w:hAnsi="宋体" w:eastAsia="宋体"/>
          <w:szCs w:val="21"/>
        </w:rPr>
      </w:pPr>
      <w:r>
        <w:rPr>
          <w:rFonts w:ascii="宋体" w:hAnsi="宋体" w:eastAsia="宋体"/>
          <w:szCs w:val="21"/>
        </w:rPr>
        <w:t>甲乙</w:t>
      </w:r>
      <w:r>
        <w:rPr>
          <w:rFonts w:hint="eastAsia" w:ascii="宋体" w:hAnsi="宋体" w:eastAsia="宋体"/>
          <w:szCs w:val="21"/>
        </w:rPr>
        <w:t>双方同意，在任何时候，不论是合同有效期内还是合同终止以后，对任何一方提供的秘密信息或双方共有的秘密信息均实行严格保密。</w:t>
      </w:r>
    </w:p>
    <w:p>
      <w:pPr>
        <w:numPr>
          <w:ilvl w:val="0"/>
          <w:numId w:val="21"/>
        </w:numPr>
        <w:spacing w:line="400" w:lineRule="exact"/>
        <w:rPr>
          <w:rFonts w:ascii="宋体" w:hAnsi="宋体" w:eastAsia="宋体"/>
          <w:szCs w:val="21"/>
        </w:rPr>
      </w:pPr>
      <w:r>
        <w:rPr>
          <w:rFonts w:hint="eastAsia" w:ascii="宋体" w:hAnsi="宋体" w:eastAsia="宋体"/>
          <w:szCs w:val="21"/>
        </w:rPr>
        <w:t>甲方在未得到乙方许可前提下，不得向任何第三方透露乙方提供的软件及所附全部文档和资料的商业秘密和技术秘密。</w:t>
      </w:r>
    </w:p>
    <w:p>
      <w:pPr>
        <w:numPr>
          <w:ilvl w:val="0"/>
          <w:numId w:val="21"/>
        </w:numPr>
        <w:spacing w:line="400" w:lineRule="exact"/>
        <w:rPr>
          <w:rFonts w:ascii="宋体" w:hAnsi="宋体" w:eastAsia="宋体"/>
          <w:szCs w:val="21"/>
        </w:rPr>
      </w:pPr>
      <w:r>
        <w:rPr>
          <w:rFonts w:hint="eastAsia" w:ascii="宋体" w:hAnsi="宋体" w:eastAsia="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八、双方责任</w:t>
      </w:r>
    </w:p>
    <w:p>
      <w:pPr>
        <w:pStyle w:val="3"/>
        <w:spacing w:before="0" w:after="0" w:line="400" w:lineRule="exact"/>
        <w:ind w:firstLine="367" w:firstLineChars="175"/>
        <w:rPr>
          <w:rFonts w:ascii="宋体" w:hAnsi="宋体" w:eastAsia="宋体"/>
          <w:b w:val="0"/>
          <w:sz w:val="21"/>
          <w:szCs w:val="21"/>
        </w:rPr>
      </w:pPr>
      <w:r>
        <w:rPr>
          <w:rFonts w:hint="eastAsia" w:ascii="宋体" w:hAnsi="宋体" w:eastAsia="宋体"/>
          <w:b w:val="0"/>
          <w:bCs w:val="0"/>
          <w:sz w:val="21"/>
          <w:szCs w:val="21"/>
        </w:rPr>
        <w:t>甲方责任</w:t>
      </w:r>
    </w:p>
    <w:p>
      <w:pPr>
        <w:numPr>
          <w:ilvl w:val="0"/>
          <w:numId w:val="22"/>
        </w:numPr>
        <w:spacing w:line="400" w:lineRule="exact"/>
        <w:rPr>
          <w:rFonts w:ascii="宋体" w:hAnsi="宋体" w:eastAsia="宋体"/>
          <w:szCs w:val="21"/>
        </w:rPr>
      </w:pPr>
      <w:r>
        <w:rPr>
          <w:rFonts w:hint="eastAsia" w:ascii="宋体" w:hAnsi="宋体" w:eastAsia="宋体"/>
          <w:szCs w:val="21"/>
        </w:rPr>
        <w:t>甲方需为乙方提供项目实施便利，积极配合乙方进行维保服务。</w:t>
      </w:r>
    </w:p>
    <w:p>
      <w:pPr>
        <w:numPr>
          <w:ilvl w:val="0"/>
          <w:numId w:val="22"/>
        </w:numPr>
        <w:spacing w:line="400" w:lineRule="exact"/>
        <w:rPr>
          <w:rFonts w:ascii="宋体" w:hAnsi="宋体" w:eastAsia="宋体"/>
          <w:szCs w:val="21"/>
        </w:rPr>
      </w:pPr>
      <w:r>
        <w:rPr>
          <w:rFonts w:hint="eastAsia" w:ascii="宋体" w:hAnsi="宋体" w:eastAsia="宋体"/>
          <w:szCs w:val="21"/>
        </w:rPr>
        <w:t>甲方需为乙方协调各方关系提供便利。</w:t>
      </w:r>
    </w:p>
    <w:p>
      <w:pPr>
        <w:numPr>
          <w:ilvl w:val="0"/>
          <w:numId w:val="22"/>
        </w:numPr>
        <w:spacing w:line="400" w:lineRule="exact"/>
        <w:rPr>
          <w:rFonts w:ascii="宋体" w:hAnsi="宋体" w:eastAsia="宋体"/>
          <w:szCs w:val="21"/>
        </w:rPr>
      </w:pPr>
      <w:r>
        <w:rPr>
          <w:rFonts w:hint="eastAsia" w:ascii="宋体" w:hAnsi="宋体" w:eastAsia="宋体"/>
          <w:szCs w:val="21"/>
        </w:rPr>
        <w:t>甲方应指派管理人员、技术人员参加维保工作。</w:t>
      </w:r>
    </w:p>
    <w:p>
      <w:pPr>
        <w:pStyle w:val="3"/>
        <w:spacing w:before="0" w:after="0" w:line="400" w:lineRule="exact"/>
        <w:ind w:firstLine="367" w:firstLineChars="175"/>
        <w:rPr>
          <w:rFonts w:ascii="宋体" w:hAnsi="宋体" w:eastAsia="宋体"/>
          <w:b w:val="0"/>
          <w:bCs w:val="0"/>
          <w:sz w:val="21"/>
          <w:szCs w:val="21"/>
        </w:rPr>
      </w:pPr>
      <w:r>
        <w:rPr>
          <w:rFonts w:hint="eastAsia" w:ascii="宋体" w:hAnsi="宋体" w:eastAsia="宋体"/>
          <w:b w:val="0"/>
          <w:bCs w:val="0"/>
          <w:sz w:val="21"/>
          <w:szCs w:val="21"/>
        </w:rPr>
        <w:t>乙方责任</w:t>
      </w:r>
    </w:p>
    <w:p>
      <w:pPr>
        <w:numPr>
          <w:ilvl w:val="0"/>
          <w:numId w:val="23"/>
        </w:numPr>
        <w:spacing w:line="400" w:lineRule="exact"/>
        <w:rPr>
          <w:rFonts w:ascii="宋体" w:hAnsi="宋体" w:eastAsia="宋体"/>
          <w:szCs w:val="21"/>
        </w:rPr>
      </w:pPr>
      <w:r>
        <w:rPr>
          <w:rFonts w:hint="eastAsia" w:ascii="宋体" w:hAnsi="宋体" w:eastAsia="宋体"/>
          <w:szCs w:val="21"/>
        </w:rPr>
        <w:t>乙方应按照甲方的技术要求以及</w:t>
      </w:r>
      <w:r>
        <w:rPr>
          <w:rFonts w:ascii="宋体" w:hAnsi="宋体" w:eastAsia="宋体"/>
          <w:szCs w:val="21"/>
        </w:rPr>
        <w:t>甲乙</w:t>
      </w:r>
      <w:r>
        <w:rPr>
          <w:rFonts w:hint="eastAsia" w:ascii="宋体" w:hAnsi="宋体" w:eastAsia="宋体"/>
          <w:szCs w:val="21"/>
        </w:rPr>
        <w:t>双方协定补充文件，提供合格的维保服务。</w:t>
      </w:r>
    </w:p>
    <w:p>
      <w:pPr>
        <w:numPr>
          <w:ilvl w:val="0"/>
          <w:numId w:val="23"/>
        </w:numPr>
        <w:spacing w:line="400" w:lineRule="exact"/>
        <w:rPr>
          <w:rFonts w:ascii="宋体" w:hAnsi="宋体" w:eastAsia="宋体"/>
          <w:szCs w:val="21"/>
        </w:rPr>
      </w:pPr>
      <w:r>
        <w:rPr>
          <w:rFonts w:hint="eastAsia" w:ascii="宋体" w:hAnsi="宋体" w:eastAsia="宋体"/>
          <w:szCs w:val="21"/>
        </w:rPr>
        <w:t>在维保服务过程中，乙方须保证不影响甲方现有系统的正常运行和现有业务的正常发展。</w:t>
      </w:r>
    </w:p>
    <w:p>
      <w:pPr>
        <w:numPr>
          <w:ilvl w:val="0"/>
          <w:numId w:val="23"/>
        </w:numPr>
        <w:spacing w:line="400" w:lineRule="exact"/>
        <w:rPr>
          <w:rFonts w:ascii="宋体" w:hAnsi="宋体" w:eastAsia="宋体"/>
          <w:szCs w:val="21"/>
        </w:rPr>
      </w:pPr>
      <w:r>
        <w:rPr>
          <w:rFonts w:hint="eastAsia" w:ascii="宋体" w:hAnsi="宋体" w:eastAsia="宋体"/>
          <w:szCs w:val="21"/>
        </w:rPr>
        <w:t>乙方保证在维保服务过程中不非法使用第三方软件。</w:t>
      </w:r>
    </w:p>
    <w:p>
      <w:pPr>
        <w:numPr>
          <w:ilvl w:val="0"/>
          <w:numId w:val="23"/>
        </w:numPr>
        <w:spacing w:line="400" w:lineRule="exact"/>
        <w:rPr>
          <w:rFonts w:ascii="宋体" w:hAnsi="宋体" w:eastAsia="宋体"/>
          <w:szCs w:val="21"/>
        </w:rPr>
      </w:pPr>
      <w:r>
        <w:rPr>
          <w:rFonts w:hint="eastAsia" w:ascii="宋体" w:hAnsi="宋体" w:eastAsia="宋体"/>
          <w:szCs w:val="21"/>
        </w:rPr>
        <w:t>乙方按照要求提维保记录等技术资料。</w:t>
      </w:r>
    </w:p>
    <w:p>
      <w:pPr>
        <w:numPr>
          <w:ilvl w:val="0"/>
          <w:numId w:val="23"/>
        </w:numPr>
        <w:spacing w:line="400" w:lineRule="exact"/>
        <w:rPr>
          <w:rFonts w:ascii="宋体" w:hAnsi="宋体" w:eastAsia="宋体"/>
          <w:szCs w:val="21"/>
        </w:rPr>
      </w:pPr>
      <w:r>
        <w:rPr>
          <w:rFonts w:hint="eastAsia" w:ascii="宋体" w:hAnsi="宋体" w:eastAsia="宋体"/>
          <w:szCs w:val="21"/>
        </w:rPr>
        <w:t>乙方负责配合关联厂家，定期检查产品、及时排查硬件故障。</w:t>
      </w:r>
    </w:p>
    <w:p>
      <w:pPr>
        <w:numPr>
          <w:ilvl w:val="0"/>
          <w:numId w:val="23"/>
        </w:numPr>
        <w:spacing w:line="400" w:lineRule="exact"/>
        <w:rPr>
          <w:rFonts w:ascii="宋体" w:hAnsi="宋体" w:eastAsia="宋体"/>
          <w:szCs w:val="21"/>
        </w:rPr>
      </w:pPr>
      <w:r>
        <w:rPr>
          <w:rFonts w:hint="eastAsia" w:ascii="宋体" w:hAnsi="宋体" w:eastAsia="宋体"/>
          <w:szCs w:val="21"/>
        </w:rPr>
        <w:t>乙方保证不在软件中对功能、性能、容量进行人为限制，不得含有陷阱、逻辑炸弹、后门等非法程序代码。</w:t>
      </w:r>
    </w:p>
    <w:p>
      <w:pPr>
        <w:numPr>
          <w:ilvl w:val="0"/>
          <w:numId w:val="23"/>
        </w:numPr>
        <w:spacing w:line="400" w:lineRule="exact"/>
        <w:rPr>
          <w:rFonts w:ascii="宋体" w:hAnsi="宋体" w:eastAsia="宋体"/>
          <w:szCs w:val="21"/>
        </w:rPr>
      </w:pPr>
      <w:r>
        <w:rPr>
          <w:rFonts w:hint="eastAsia" w:ascii="宋体" w:hAnsi="宋体" w:eastAsia="宋体"/>
          <w:szCs w:val="21"/>
        </w:rPr>
        <w:t>乙方保证按培训计划对甲方技术人员进行培训，向甲方公开所有技术细节和技术资料，使甲方人员完全了解和掌握系统设备性能。</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九、违约责任</w:t>
      </w:r>
    </w:p>
    <w:p>
      <w:pPr>
        <w:numPr>
          <w:ilvl w:val="0"/>
          <w:numId w:val="24"/>
        </w:numPr>
        <w:spacing w:line="400" w:lineRule="exact"/>
        <w:rPr>
          <w:rFonts w:ascii="宋体" w:hAnsi="宋体" w:eastAsia="宋体"/>
          <w:szCs w:val="21"/>
        </w:rPr>
      </w:pPr>
      <w:r>
        <w:rPr>
          <w:rFonts w:ascii="宋体" w:hAnsi="宋体" w:eastAsia="宋体"/>
          <w:szCs w:val="21"/>
        </w:rPr>
        <w:t>如乙方</w:t>
      </w:r>
      <w:r>
        <w:rPr>
          <w:rFonts w:hint="eastAsia" w:ascii="宋体" w:hAnsi="宋体" w:eastAsia="宋体"/>
          <w:szCs w:val="21"/>
        </w:rPr>
        <w:t>如有一次</w:t>
      </w:r>
      <w:r>
        <w:rPr>
          <w:rFonts w:ascii="宋体" w:hAnsi="宋体" w:eastAsia="宋体"/>
          <w:szCs w:val="21"/>
        </w:rPr>
        <w:t>不能按维护作业计划完成日常维护工作或完成作业计划质量达不到</w:t>
      </w:r>
      <w:r>
        <w:rPr>
          <w:rFonts w:hint="eastAsia" w:ascii="宋体" w:hAnsi="宋体" w:eastAsia="宋体"/>
          <w:szCs w:val="21"/>
        </w:rPr>
        <w:t>合同</w:t>
      </w:r>
      <w:r>
        <w:rPr>
          <w:rFonts w:ascii="宋体" w:hAnsi="宋体" w:eastAsia="宋体"/>
          <w:szCs w:val="21"/>
        </w:rPr>
        <w:t>要求，根据实际情况，乙方应按本合同总</w:t>
      </w:r>
      <w:r>
        <w:rPr>
          <w:rFonts w:hint="eastAsia" w:ascii="宋体" w:hAnsi="宋体" w:eastAsia="宋体"/>
          <w:szCs w:val="21"/>
        </w:rPr>
        <w:t>金</w:t>
      </w:r>
      <w:r>
        <w:rPr>
          <w:rFonts w:ascii="宋体" w:hAnsi="宋体" w:eastAsia="宋体"/>
          <w:szCs w:val="21"/>
        </w:rPr>
        <w:t>额的1%向甲方支付违约金。</w:t>
      </w:r>
    </w:p>
    <w:p>
      <w:pPr>
        <w:numPr>
          <w:ilvl w:val="0"/>
          <w:numId w:val="24"/>
        </w:numPr>
        <w:spacing w:line="400" w:lineRule="exact"/>
        <w:rPr>
          <w:rFonts w:ascii="宋体" w:hAnsi="宋体" w:eastAsia="宋体"/>
          <w:szCs w:val="21"/>
        </w:rPr>
      </w:pPr>
      <w:r>
        <w:rPr>
          <w:rFonts w:ascii="宋体" w:hAnsi="宋体" w:eastAsia="宋体"/>
          <w:szCs w:val="21"/>
        </w:rPr>
        <w:t>服务期间，乙方技术人员</w:t>
      </w:r>
      <w:r>
        <w:rPr>
          <w:rFonts w:hint="eastAsia" w:ascii="宋体" w:hAnsi="宋体" w:eastAsia="宋体"/>
          <w:szCs w:val="21"/>
        </w:rPr>
        <w:t>如有一次</w:t>
      </w:r>
      <w:r>
        <w:rPr>
          <w:rFonts w:ascii="宋体" w:hAnsi="宋体" w:eastAsia="宋体"/>
          <w:szCs w:val="21"/>
        </w:rPr>
        <w:t>违反甲方的规章制度，</w:t>
      </w:r>
      <w:r>
        <w:rPr>
          <w:rFonts w:hint="eastAsia" w:ascii="宋体" w:hAnsi="宋体" w:eastAsia="宋体"/>
          <w:szCs w:val="21"/>
        </w:rPr>
        <w:t>并</w:t>
      </w:r>
      <w:r>
        <w:rPr>
          <w:rFonts w:ascii="宋体" w:hAnsi="宋体" w:eastAsia="宋体"/>
          <w:szCs w:val="21"/>
        </w:rPr>
        <w:t>造成损失的，乙方除了无条件更换技术人员外，应按不高于本合同总</w:t>
      </w:r>
      <w:r>
        <w:rPr>
          <w:rFonts w:hint="eastAsia" w:ascii="宋体" w:hAnsi="宋体" w:eastAsia="宋体"/>
          <w:szCs w:val="21"/>
        </w:rPr>
        <w:t>金</w:t>
      </w:r>
      <w:r>
        <w:rPr>
          <w:rFonts w:ascii="宋体" w:hAnsi="宋体" w:eastAsia="宋体"/>
          <w:szCs w:val="21"/>
        </w:rPr>
        <w:t>额的1%向甲方支付违约金。</w:t>
      </w:r>
    </w:p>
    <w:p>
      <w:pPr>
        <w:numPr>
          <w:ilvl w:val="0"/>
          <w:numId w:val="24"/>
        </w:numPr>
        <w:spacing w:line="400" w:lineRule="exact"/>
        <w:rPr>
          <w:rFonts w:ascii="宋体" w:hAnsi="宋体" w:eastAsia="宋体"/>
          <w:szCs w:val="21"/>
        </w:rPr>
      </w:pPr>
      <w:r>
        <w:rPr>
          <w:rFonts w:ascii="宋体" w:hAnsi="宋体" w:eastAsia="宋体"/>
          <w:szCs w:val="21"/>
        </w:rPr>
        <w:t>服务期间，乙方人员</w:t>
      </w:r>
      <w:r>
        <w:rPr>
          <w:rFonts w:hint="eastAsia" w:ascii="宋体" w:hAnsi="宋体" w:eastAsia="宋体"/>
          <w:szCs w:val="21"/>
        </w:rPr>
        <w:t>如有一次因</w:t>
      </w:r>
      <w:r>
        <w:rPr>
          <w:rFonts w:ascii="宋体" w:hAnsi="宋体" w:eastAsia="宋体"/>
          <w:szCs w:val="21"/>
        </w:rPr>
        <w:t>操作不当或违犯操作规程造成甲方设备损坏，乙方应承担损坏设备的全部恢复责任，并向甲方支付</w:t>
      </w:r>
      <w:r>
        <w:rPr>
          <w:rFonts w:hint="eastAsia" w:ascii="宋体" w:hAnsi="宋体" w:eastAsia="宋体"/>
          <w:szCs w:val="21"/>
        </w:rPr>
        <w:t>不超过</w:t>
      </w:r>
      <w:r>
        <w:rPr>
          <w:rFonts w:ascii="宋体" w:hAnsi="宋体" w:eastAsia="宋体"/>
          <w:szCs w:val="21"/>
        </w:rPr>
        <w:t>本合同总</w:t>
      </w:r>
      <w:r>
        <w:rPr>
          <w:rFonts w:hint="eastAsia" w:ascii="宋体" w:hAnsi="宋体" w:eastAsia="宋体"/>
          <w:szCs w:val="21"/>
        </w:rPr>
        <w:t>金</w:t>
      </w:r>
      <w:r>
        <w:rPr>
          <w:rFonts w:ascii="宋体" w:hAnsi="宋体" w:eastAsia="宋体"/>
          <w:szCs w:val="21"/>
        </w:rPr>
        <w:t>额5%的违约金。</w:t>
      </w:r>
    </w:p>
    <w:p>
      <w:pPr>
        <w:numPr>
          <w:ilvl w:val="0"/>
          <w:numId w:val="24"/>
        </w:numPr>
        <w:spacing w:line="400" w:lineRule="exact"/>
        <w:rPr>
          <w:rFonts w:ascii="宋体" w:hAnsi="宋体" w:eastAsia="宋体"/>
          <w:szCs w:val="21"/>
        </w:rPr>
      </w:pPr>
      <w:r>
        <w:rPr>
          <w:rFonts w:ascii="宋体" w:hAnsi="宋体" w:eastAsia="宋体"/>
          <w:szCs w:val="21"/>
        </w:rPr>
        <w:t>合同有效期内，由</w:t>
      </w:r>
      <w:r>
        <w:rPr>
          <w:rFonts w:hint="eastAsia" w:ascii="宋体" w:hAnsi="宋体" w:eastAsia="宋体"/>
          <w:szCs w:val="21"/>
        </w:rPr>
        <w:t>本章第一条至第三条</w:t>
      </w:r>
      <w:r>
        <w:rPr>
          <w:rFonts w:ascii="宋体" w:hAnsi="宋体" w:eastAsia="宋体"/>
          <w:szCs w:val="21"/>
        </w:rPr>
        <w:t>发生的违约金累计不得超过本合同总金额的20%</w:t>
      </w:r>
      <w:r>
        <w:rPr>
          <w:rFonts w:hint="eastAsia" w:ascii="宋体" w:hAnsi="宋体" w:eastAsia="宋体"/>
          <w:szCs w:val="21"/>
        </w:rPr>
        <w:t>。</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十、廉洁条款</w:t>
      </w:r>
    </w:p>
    <w:p>
      <w:pPr>
        <w:numPr>
          <w:ilvl w:val="0"/>
          <w:numId w:val="25"/>
        </w:numPr>
        <w:tabs>
          <w:tab w:val="clear" w:pos="420"/>
        </w:tabs>
        <w:spacing w:line="400" w:lineRule="exact"/>
        <w:rPr>
          <w:rFonts w:ascii="宋体" w:hAnsi="宋体" w:eastAsia="宋体"/>
          <w:szCs w:val="21"/>
        </w:rPr>
      </w:pPr>
      <w:r>
        <w:rPr>
          <w:rFonts w:ascii="宋体" w:hAnsi="宋体" w:eastAsia="宋体"/>
          <w:szCs w:val="21"/>
        </w:rPr>
        <w:t>甲乙</w:t>
      </w:r>
      <w:r>
        <w:rPr>
          <w:rFonts w:hint="eastAsia" w:ascii="宋体" w:hAnsi="宋体" w:eastAsia="宋体"/>
          <w:szCs w:val="21"/>
        </w:rPr>
        <w:t>双方全体工作人员应当共同遵守国家关于企业人员廉洁从业的规定，应通过正常合法的途径开展业务工作，甲方人员不得接受乙方的礼金、有价证券、贵重物品，不得在乙方报销任何费用，不得参加其任何的宴请和娱乐活动。如有甲方工作人员违纪违法接受好处，</w:t>
      </w:r>
      <w:r>
        <w:rPr>
          <w:rFonts w:ascii="宋体" w:hAnsi="宋体" w:eastAsia="宋体"/>
          <w:szCs w:val="21"/>
        </w:rPr>
        <w:t>甲乙</w:t>
      </w:r>
      <w:r>
        <w:rPr>
          <w:rFonts w:hint="eastAsia" w:ascii="宋体" w:hAnsi="宋体" w:eastAsia="宋体"/>
          <w:szCs w:val="21"/>
        </w:rPr>
        <w:t>双方均应及时向对方领导或对方上级部门举报，被举报的一方不得以任何借口向对方打击报复。</w:t>
      </w:r>
    </w:p>
    <w:p>
      <w:pPr>
        <w:numPr>
          <w:ilvl w:val="0"/>
          <w:numId w:val="25"/>
        </w:numPr>
        <w:tabs>
          <w:tab w:val="clear" w:pos="420"/>
        </w:tabs>
        <w:spacing w:line="400" w:lineRule="exact"/>
        <w:rPr>
          <w:rFonts w:ascii="宋体" w:hAnsi="宋体" w:eastAsia="宋体"/>
          <w:szCs w:val="21"/>
        </w:rPr>
      </w:pPr>
      <w:r>
        <w:rPr>
          <w:rFonts w:hint="eastAsia" w:ascii="宋体" w:hAnsi="宋体" w:eastAsia="宋体"/>
          <w:szCs w:val="21"/>
        </w:rPr>
        <w:t>乙方不得以任何借口向甲方人员送以礼金、有价证券、贵重物品，不得为甲方人员报销任何费用，不得邀请甲方人员参加其任何的宴请和娱乐活动。一经发现有上述行为，甲方有权一次性扣除全部廉政保证金、有权终止与乙方的合同，并不再邀请乙方参加任何招标活动。</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十一、不可抗力</w:t>
      </w:r>
    </w:p>
    <w:p>
      <w:pPr>
        <w:numPr>
          <w:ilvl w:val="0"/>
          <w:numId w:val="26"/>
        </w:numPr>
        <w:tabs>
          <w:tab w:val="clear" w:pos="420"/>
        </w:tabs>
        <w:spacing w:line="400" w:lineRule="exact"/>
        <w:rPr>
          <w:rFonts w:ascii="宋体" w:hAnsi="宋体" w:eastAsia="宋体"/>
          <w:szCs w:val="21"/>
        </w:rPr>
      </w:pPr>
      <w:r>
        <w:rPr>
          <w:rFonts w:hint="eastAsia" w:ascii="宋体" w:hAnsi="宋体" w:eastAsia="宋体"/>
          <w:szCs w:val="21"/>
        </w:rPr>
        <w:t>当发生不可抗拒事故时，受影响一方应于</w:t>
      </w:r>
      <w:r>
        <w:rPr>
          <w:rFonts w:ascii="宋体" w:hAnsi="宋体" w:eastAsia="宋体"/>
          <w:szCs w:val="21"/>
        </w:rPr>
        <w:t>10</w:t>
      </w:r>
      <w:r>
        <w:rPr>
          <w:rFonts w:hint="eastAsia" w:ascii="宋体" w:hAnsi="宋体" w:eastAsia="宋体"/>
          <w:szCs w:val="21"/>
        </w:rPr>
        <w:t>日内以传真形式通知对方，以减轻可能给对方造成的损失，并应当在合理期限内提供证明。</w:t>
      </w:r>
    </w:p>
    <w:p>
      <w:pPr>
        <w:numPr>
          <w:ilvl w:val="0"/>
          <w:numId w:val="26"/>
        </w:numPr>
        <w:tabs>
          <w:tab w:val="clear" w:pos="420"/>
        </w:tabs>
        <w:spacing w:line="400" w:lineRule="exact"/>
        <w:rPr>
          <w:rFonts w:ascii="宋体" w:hAnsi="宋体" w:eastAsia="宋体"/>
          <w:szCs w:val="21"/>
        </w:rPr>
      </w:pPr>
      <w:r>
        <w:rPr>
          <w:rFonts w:hint="eastAsia" w:ascii="宋体" w:hAnsi="宋体" w:eastAsia="宋体"/>
          <w:szCs w:val="21"/>
        </w:rPr>
        <w:t>当不可抗力事故终止后，受影响一方应以传真的形式通知对方，双方商定合同是否继续履行。</w:t>
      </w:r>
    </w:p>
    <w:p>
      <w:pPr>
        <w:numPr>
          <w:ilvl w:val="0"/>
          <w:numId w:val="26"/>
        </w:numPr>
        <w:tabs>
          <w:tab w:val="clear" w:pos="420"/>
        </w:tabs>
        <w:spacing w:line="400" w:lineRule="exact"/>
        <w:rPr>
          <w:rFonts w:ascii="宋体" w:hAnsi="宋体" w:eastAsia="宋体"/>
          <w:szCs w:val="21"/>
        </w:rPr>
      </w:pPr>
      <w:r>
        <w:rPr>
          <w:rFonts w:hint="eastAsia" w:ascii="宋体" w:hAnsi="宋体" w:eastAsia="宋体"/>
          <w:szCs w:val="21"/>
        </w:rPr>
        <w:t>不可抗力，互不追究或承担违约责任。但有违约因素的除外。</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十二、解决纠纷的方式</w:t>
      </w:r>
    </w:p>
    <w:p>
      <w:pPr>
        <w:numPr>
          <w:ilvl w:val="0"/>
          <w:numId w:val="27"/>
        </w:numPr>
        <w:spacing w:line="400" w:lineRule="exact"/>
        <w:rPr>
          <w:rFonts w:ascii="宋体" w:hAnsi="宋体" w:eastAsia="宋体"/>
          <w:szCs w:val="21"/>
        </w:rPr>
      </w:pPr>
      <w:r>
        <w:rPr>
          <w:rFonts w:hint="eastAsia" w:ascii="宋体" w:hAnsi="宋体" w:eastAsia="宋体"/>
          <w:szCs w:val="21"/>
        </w:rPr>
        <w:t>凡由执行本合同引起或与合同有关的争议，均应通过友好协商解决；协商不成的，由甲方所在地人民法院裁决。</w:t>
      </w:r>
    </w:p>
    <w:p>
      <w:pPr>
        <w:numPr>
          <w:ilvl w:val="0"/>
          <w:numId w:val="27"/>
        </w:numPr>
        <w:spacing w:line="400" w:lineRule="exact"/>
        <w:rPr>
          <w:rFonts w:ascii="宋体" w:hAnsi="宋体" w:eastAsia="宋体"/>
          <w:szCs w:val="21"/>
        </w:rPr>
      </w:pPr>
      <w:r>
        <w:rPr>
          <w:rFonts w:hint="eastAsia" w:ascii="宋体" w:hAnsi="宋体" w:eastAsia="宋体"/>
          <w:szCs w:val="21"/>
        </w:rPr>
        <w:t>除争议事项待处理外，双方应继续执行合同无争议部分，除非无争议部分不可单独履行。</w:t>
      </w:r>
    </w:p>
    <w:p>
      <w:pPr>
        <w:numPr>
          <w:ilvl w:val="0"/>
          <w:numId w:val="27"/>
        </w:numPr>
        <w:spacing w:line="400" w:lineRule="exact"/>
        <w:rPr>
          <w:rFonts w:ascii="宋体" w:hAnsi="宋体" w:eastAsia="宋体"/>
          <w:szCs w:val="21"/>
        </w:rPr>
      </w:pPr>
      <w:r>
        <w:rPr>
          <w:rFonts w:hint="eastAsia" w:ascii="宋体" w:hAnsi="宋体" w:eastAsia="宋体"/>
          <w:szCs w:val="21"/>
        </w:rPr>
        <w:t>本合同适用于中华人民共和国法律。</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十三、合同生效及其他：</w:t>
      </w:r>
    </w:p>
    <w:p>
      <w:pPr>
        <w:numPr>
          <w:ilvl w:val="0"/>
          <w:numId w:val="28"/>
        </w:numPr>
        <w:tabs>
          <w:tab w:val="clear" w:pos="420"/>
        </w:tabs>
        <w:spacing w:line="400" w:lineRule="exact"/>
        <w:rPr>
          <w:rFonts w:ascii="宋体" w:hAnsi="宋体" w:eastAsia="宋体"/>
          <w:szCs w:val="21"/>
        </w:rPr>
      </w:pPr>
      <w:r>
        <w:rPr>
          <w:rFonts w:hint="eastAsia" w:ascii="宋体" w:hAnsi="宋体" w:eastAsia="宋体"/>
          <w:szCs w:val="21"/>
        </w:rPr>
        <w:t>合同的生效期：本合同壹式肆份（</w:t>
      </w:r>
      <w:r>
        <w:rPr>
          <w:rFonts w:ascii="宋体" w:hAnsi="宋体" w:eastAsia="宋体"/>
          <w:szCs w:val="21"/>
        </w:rPr>
        <w:t>甲乙</w:t>
      </w:r>
      <w:r>
        <w:rPr>
          <w:rFonts w:hint="eastAsia" w:ascii="宋体" w:hAnsi="宋体" w:eastAsia="宋体"/>
          <w:szCs w:val="21"/>
        </w:rPr>
        <w:t>双方各贰份），自</w:t>
      </w:r>
      <w:r>
        <w:rPr>
          <w:rFonts w:ascii="宋体" w:hAnsi="宋体" w:eastAsia="宋体"/>
          <w:szCs w:val="21"/>
        </w:rPr>
        <w:t>甲乙</w:t>
      </w:r>
      <w:r>
        <w:rPr>
          <w:rFonts w:hint="eastAsia" w:ascii="宋体" w:hAnsi="宋体" w:eastAsia="宋体"/>
          <w:szCs w:val="21"/>
        </w:rPr>
        <w:t>双方签字盖章时生效。</w:t>
      </w:r>
    </w:p>
    <w:p>
      <w:pPr>
        <w:numPr>
          <w:ilvl w:val="0"/>
          <w:numId w:val="28"/>
        </w:numPr>
        <w:tabs>
          <w:tab w:val="clear" w:pos="420"/>
        </w:tabs>
        <w:spacing w:line="400" w:lineRule="exact"/>
        <w:rPr>
          <w:rFonts w:ascii="宋体" w:hAnsi="宋体" w:eastAsia="宋体"/>
          <w:szCs w:val="21"/>
        </w:rPr>
      </w:pPr>
      <w:r>
        <w:rPr>
          <w:rFonts w:hint="eastAsia" w:ascii="宋体" w:hAnsi="宋体" w:eastAsia="宋体"/>
          <w:szCs w:val="21"/>
        </w:rPr>
        <w:t>本合同所有附件为本合同不可分割的组成部分，与合同正文有同等的法律效力：</w:t>
      </w:r>
    </w:p>
    <w:p>
      <w:pPr>
        <w:numPr>
          <w:ilvl w:val="0"/>
          <w:numId w:val="28"/>
        </w:numPr>
        <w:tabs>
          <w:tab w:val="clear" w:pos="420"/>
        </w:tabs>
        <w:spacing w:line="400" w:lineRule="exact"/>
        <w:rPr>
          <w:rFonts w:ascii="宋体" w:hAnsi="宋体" w:eastAsia="宋体"/>
          <w:szCs w:val="21"/>
        </w:rPr>
      </w:pPr>
      <w:r>
        <w:rPr>
          <w:rFonts w:ascii="宋体" w:hAnsi="宋体" w:eastAsia="宋体"/>
          <w:szCs w:val="21"/>
        </w:rPr>
        <w:t>甲乙</w:t>
      </w:r>
      <w:r>
        <w:rPr>
          <w:rFonts w:hint="eastAsia" w:ascii="宋体" w:hAnsi="宋体" w:eastAsia="宋体"/>
          <w:szCs w:val="21"/>
        </w:rPr>
        <w:t>双方对合同条款的理解有争议时，应当按照合同的有关条款、合同的目的、交易习惯以及诚实信用原则，确定该条款的真实含义。</w:t>
      </w:r>
    </w:p>
    <w:p>
      <w:pPr>
        <w:numPr>
          <w:ilvl w:val="0"/>
          <w:numId w:val="28"/>
        </w:numPr>
        <w:tabs>
          <w:tab w:val="clear" w:pos="420"/>
        </w:tabs>
        <w:spacing w:line="400" w:lineRule="exact"/>
        <w:rPr>
          <w:rFonts w:ascii="宋体" w:hAnsi="宋体" w:eastAsia="宋体"/>
          <w:szCs w:val="21"/>
        </w:rPr>
      </w:pPr>
      <w:r>
        <w:rPr>
          <w:rFonts w:hint="eastAsia" w:ascii="宋体" w:hAnsi="宋体" w:eastAsia="宋体"/>
          <w:szCs w:val="21"/>
        </w:rPr>
        <w:t>对本合同的任何修改和增补，以双方授权代表签字或盖章的书面文件为准。</w:t>
      </w:r>
    </w:p>
    <w:p>
      <w:pPr>
        <w:numPr>
          <w:ilvl w:val="0"/>
          <w:numId w:val="28"/>
        </w:numPr>
        <w:tabs>
          <w:tab w:val="clear" w:pos="420"/>
        </w:tabs>
        <w:spacing w:line="400" w:lineRule="exact"/>
        <w:rPr>
          <w:rFonts w:ascii="宋体" w:hAnsi="宋体" w:eastAsia="宋体"/>
          <w:szCs w:val="21"/>
        </w:rPr>
      </w:pPr>
      <w:r>
        <w:rPr>
          <w:rFonts w:ascii="宋体" w:hAnsi="宋体" w:eastAsia="宋体"/>
          <w:szCs w:val="21"/>
        </w:rPr>
        <w:t>甲乙</w:t>
      </w:r>
      <w:r>
        <w:rPr>
          <w:rFonts w:hint="eastAsia" w:ascii="宋体" w:hAnsi="宋体" w:eastAsia="宋体"/>
          <w:szCs w:val="21"/>
        </w:rPr>
        <w:t>双方对本合同中产品的具体价格和交易方式有保密的责任，未经对方的书面许可，任何一方不得向第三方透露。</w:t>
      </w:r>
    </w:p>
    <w:p>
      <w:pPr>
        <w:numPr>
          <w:ilvl w:val="0"/>
          <w:numId w:val="28"/>
        </w:numPr>
        <w:tabs>
          <w:tab w:val="clear" w:pos="420"/>
        </w:tabs>
        <w:spacing w:line="400" w:lineRule="exact"/>
        <w:rPr>
          <w:rFonts w:ascii="宋体" w:hAnsi="宋体" w:eastAsia="宋体"/>
          <w:color w:val="000000"/>
          <w:szCs w:val="21"/>
        </w:rPr>
      </w:pPr>
      <w:r>
        <w:rPr>
          <w:rFonts w:hint="eastAsia" w:ascii="宋体" w:hAnsi="宋体" w:eastAsia="宋体"/>
          <w:color w:val="000000"/>
          <w:szCs w:val="21"/>
        </w:rPr>
        <w:t>甲方</w:t>
      </w:r>
      <w:r>
        <w:rPr>
          <w:rFonts w:ascii="宋体" w:hAnsi="宋体" w:eastAsia="宋体"/>
          <w:color w:val="000000"/>
          <w:szCs w:val="21"/>
        </w:rPr>
        <w:t>有权利根据设备到保情况以及实际使用情况购买相关维保服务</w:t>
      </w:r>
      <w:r>
        <w:rPr>
          <w:rFonts w:hint="eastAsia" w:ascii="宋体" w:hAnsi="宋体" w:eastAsia="宋体"/>
          <w:color w:val="000000"/>
          <w:szCs w:val="21"/>
        </w:rPr>
        <w:t>，具体合同签订时间根据需要由签订方主动联系乙方。</w:t>
      </w:r>
    </w:p>
    <w:p>
      <w:pPr>
        <w:numPr>
          <w:ilvl w:val="0"/>
          <w:numId w:val="28"/>
        </w:numPr>
        <w:tabs>
          <w:tab w:val="clear" w:pos="420"/>
        </w:tabs>
        <w:spacing w:line="400" w:lineRule="exact"/>
        <w:rPr>
          <w:rFonts w:ascii="宋体" w:hAnsi="宋体" w:eastAsia="宋体"/>
          <w:szCs w:val="21"/>
        </w:rPr>
      </w:pPr>
      <w:r>
        <w:rPr>
          <w:rFonts w:hint="eastAsia" w:ascii="宋体" w:hAnsi="宋体" w:eastAsia="宋体"/>
          <w:szCs w:val="21"/>
        </w:rPr>
        <w:t>本合同中的未尽事宜，</w:t>
      </w:r>
      <w:r>
        <w:rPr>
          <w:rFonts w:ascii="宋体" w:hAnsi="宋体" w:eastAsia="宋体"/>
          <w:szCs w:val="21"/>
        </w:rPr>
        <w:t>甲乙</w:t>
      </w:r>
      <w:r>
        <w:rPr>
          <w:rFonts w:hint="eastAsia" w:ascii="宋体" w:hAnsi="宋体" w:eastAsia="宋体"/>
          <w:szCs w:val="21"/>
        </w:rPr>
        <w:t>双方协商解决，并按《中华人民共和国合同法》调整。</w:t>
      </w:r>
    </w:p>
    <w:p>
      <w:pPr>
        <w:pStyle w:val="2"/>
        <w:spacing w:before="0" w:after="0" w:line="400" w:lineRule="exact"/>
        <w:rPr>
          <w:rFonts w:ascii="宋体" w:hAnsi="宋体" w:eastAsia="宋体"/>
          <w:b w:val="0"/>
          <w:sz w:val="21"/>
          <w:szCs w:val="21"/>
        </w:rPr>
      </w:pPr>
      <w:r>
        <w:rPr>
          <w:rFonts w:hint="eastAsia" w:ascii="宋体" w:hAnsi="宋体" w:eastAsia="宋体"/>
          <w:b w:val="0"/>
          <w:sz w:val="21"/>
          <w:szCs w:val="21"/>
        </w:rPr>
        <w:t>十四、附件列表</w:t>
      </w:r>
    </w:p>
    <w:p>
      <w:pPr>
        <w:spacing w:line="400" w:lineRule="exact"/>
        <w:ind w:firstLine="420" w:firstLineChars="200"/>
        <w:rPr>
          <w:rFonts w:ascii="宋体" w:hAnsi="宋体" w:eastAsia="宋体"/>
          <w:szCs w:val="21"/>
        </w:rPr>
      </w:pPr>
      <w:r>
        <w:rPr>
          <w:rFonts w:hint="eastAsia" w:ascii="宋体" w:hAnsi="宋体" w:eastAsia="宋体"/>
          <w:szCs w:val="21"/>
        </w:rPr>
        <w:t>附件一</w:t>
      </w:r>
      <w:r>
        <w:rPr>
          <w:rFonts w:ascii="宋体" w:hAnsi="宋体" w:eastAsia="宋体"/>
          <w:szCs w:val="21"/>
        </w:rPr>
        <w:t xml:space="preserve">  </w:t>
      </w:r>
      <w:r>
        <w:rPr>
          <w:rFonts w:hint="eastAsia" w:ascii="宋体" w:hAnsi="宋体" w:eastAsia="宋体"/>
          <w:szCs w:val="21"/>
        </w:rPr>
        <w:t>维保设备清单（包含产品名称、规格型号和配置、数量和总价）</w:t>
      </w:r>
    </w:p>
    <w:p>
      <w:pPr>
        <w:widowControl/>
        <w:spacing w:line="400" w:lineRule="exact"/>
        <w:jc w:val="left"/>
        <w:rPr>
          <w:rFonts w:ascii="宋体" w:hAnsi="宋体" w:eastAsia="宋体"/>
          <w:bCs/>
          <w:szCs w:val="21"/>
        </w:rPr>
      </w:pPr>
    </w:p>
    <w:p>
      <w:pPr>
        <w:widowControl/>
        <w:spacing w:line="480" w:lineRule="auto"/>
        <w:jc w:val="left"/>
        <w:rPr>
          <w:b/>
          <w:sz w:val="20"/>
        </w:rPr>
      </w:pPr>
      <w:r>
        <w:rPr>
          <w:rFonts w:hint="eastAsia" w:ascii="宋体" w:hAnsi="宋体"/>
          <w:sz w:val="20"/>
        </w:rPr>
        <w:t>甲方：</w:t>
      </w:r>
      <w:r>
        <w:rPr>
          <w:rFonts w:hint="eastAsia"/>
          <w:b/>
          <w:sz w:val="20"/>
          <w:u w:val="single"/>
        </w:rPr>
        <w:t>江苏有线网络发展有限责任</w:t>
      </w:r>
      <w:r>
        <w:rPr>
          <w:rFonts w:hint="eastAsia" w:ascii="宋体" w:hAnsi="宋体"/>
          <w:sz w:val="20"/>
        </w:rPr>
        <w:t xml:space="preserve">              乙方：</w:t>
      </w:r>
      <w:r>
        <w:rPr>
          <w:rFonts w:hint="eastAsia"/>
          <w:b/>
          <w:sz w:val="20"/>
          <w:u w:val="single"/>
        </w:rPr>
        <w:t xml:space="preserve"> </w:t>
      </w:r>
      <w:r>
        <w:rPr>
          <w:rFonts w:hint="eastAsia"/>
          <w:b/>
          <w:sz w:val="20"/>
          <w:u w:val="single"/>
          <w:lang w:val="en-US" w:eastAsia="zh-CN"/>
        </w:rPr>
        <w:t xml:space="preserve">                         </w:t>
      </w:r>
      <w:r>
        <w:rPr>
          <w:rFonts w:hint="eastAsia"/>
          <w:b/>
          <w:sz w:val="20"/>
          <w:u w:val="single"/>
        </w:rPr>
        <w:t xml:space="preserve"> </w:t>
      </w:r>
      <w:r>
        <w:rPr>
          <w:rFonts w:hint="eastAsia"/>
          <w:b/>
          <w:sz w:val="20"/>
        </w:rPr>
        <w:t xml:space="preserve">  </w:t>
      </w:r>
    </w:p>
    <w:p>
      <w:pPr>
        <w:widowControl/>
        <w:spacing w:line="480" w:lineRule="auto"/>
        <w:ind w:firstLine="602" w:firstLineChars="300"/>
        <w:jc w:val="left"/>
        <w:rPr>
          <w:rFonts w:ascii="宋体" w:hAnsi="宋体"/>
          <w:sz w:val="20"/>
        </w:rPr>
      </w:pPr>
      <w:r>
        <w:rPr>
          <w:rFonts w:hint="eastAsia"/>
          <w:b/>
          <w:sz w:val="20"/>
          <w:u w:val="single"/>
        </w:rPr>
        <w:t>公司</w:t>
      </w:r>
      <w:r>
        <w:rPr>
          <w:rFonts w:hint="eastAsia" w:ascii="宋体" w:hAnsi="宋体"/>
          <w:b/>
          <w:sz w:val="20"/>
          <w:u w:val="single"/>
        </w:rPr>
        <w:t>通州分公司</w:t>
      </w:r>
    </w:p>
    <w:p>
      <w:pPr>
        <w:spacing w:line="480" w:lineRule="auto"/>
        <w:ind w:left="-567" w:leftChars="-270" w:right="-764" w:rightChars="-364" w:firstLine="400" w:firstLineChars="200"/>
        <w:jc w:val="left"/>
        <w:rPr>
          <w:rFonts w:ascii="宋体" w:hAnsi="宋体"/>
          <w:sz w:val="20"/>
        </w:rPr>
      </w:pPr>
      <w:r>
        <w:rPr>
          <w:rFonts w:hint="eastAsia" w:ascii="宋体" w:hAnsi="宋体"/>
          <w:sz w:val="20"/>
        </w:rPr>
        <w:t>（盖章）</w:t>
      </w:r>
      <w:r>
        <w:rPr>
          <w:rFonts w:hint="eastAsia" w:ascii="宋体" w:hAnsi="宋体"/>
          <w:sz w:val="20"/>
          <w:u w:val="single"/>
        </w:rPr>
        <w:t>_________________________</w:t>
      </w:r>
      <w:r>
        <w:rPr>
          <w:rFonts w:hint="eastAsia" w:ascii="宋体" w:hAnsi="宋体"/>
          <w:sz w:val="20"/>
        </w:rPr>
        <w:t xml:space="preserve">            （盖章）</w:t>
      </w:r>
      <w:r>
        <w:rPr>
          <w:rFonts w:hint="eastAsia" w:ascii="宋体" w:hAnsi="宋体"/>
          <w:sz w:val="20"/>
          <w:u w:val="single"/>
        </w:rPr>
        <w:t>_______________________</w:t>
      </w:r>
    </w:p>
    <w:p>
      <w:pPr>
        <w:spacing w:line="480" w:lineRule="auto"/>
        <w:ind w:left="-567" w:leftChars="-270" w:right="-764" w:rightChars="-364" w:firstLine="534" w:firstLineChars="267"/>
        <w:jc w:val="left"/>
        <w:rPr>
          <w:rFonts w:ascii="宋体" w:hAnsi="宋体"/>
          <w:sz w:val="20"/>
        </w:rPr>
      </w:pPr>
      <w:r>
        <w:rPr>
          <w:rFonts w:hint="eastAsia" w:ascii="宋体" w:hAnsi="宋体"/>
          <w:sz w:val="20"/>
        </w:rPr>
        <w:t>法人代表或授权代表：</w:t>
      </w:r>
      <w:r>
        <w:rPr>
          <w:rFonts w:hint="eastAsia" w:ascii="宋体" w:hAnsi="宋体"/>
          <w:sz w:val="20"/>
          <w:u w:val="single"/>
        </w:rPr>
        <w:t>____________</w:t>
      </w:r>
      <w:r>
        <w:rPr>
          <w:rFonts w:hint="eastAsia" w:ascii="宋体" w:hAnsi="宋体"/>
          <w:sz w:val="20"/>
        </w:rPr>
        <w:t xml:space="preserve">             法人代表或授权代表：</w:t>
      </w:r>
      <w:r>
        <w:rPr>
          <w:rFonts w:hint="eastAsia" w:ascii="宋体" w:hAnsi="宋体"/>
          <w:sz w:val="20"/>
          <w:u w:val="single"/>
        </w:rPr>
        <w:t>__________</w:t>
      </w:r>
    </w:p>
    <w:p>
      <w:pPr>
        <w:spacing w:line="480" w:lineRule="auto"/>
        <w:ind w:left="-567" w:leftChars="-270" w:right="-764" w:rightChars="-364" w:firstLine="500" w:firstLineChars="250"/>
        <w:jc w:val="left"/>
        <w:rPr>
          <w:rFonts w:ascii="宋体"/>
          <w:sz w:val="20"/>
        </w:rPr>
      </w:pPr>
      <w:r>
        <w:rPr>
          <w:rFonts w:hint="eastAsia" w:ascii="宋体" w:hAnsi="宋体"/>
          <w:sz w:val="20"/>
        </w:rPr>
        <w:t>地址：</w:t>
      </w:r>
      <w:r>
        <w:rPr>
          <w:rFonts w:hint="eastAsia" w:ascii="宋体" w:hAnsi="宋体"/>
          <w:sz w:val="20"/>
          <w:u w:val="single"/>
        </w:rPr>
        <w:t xml:space="preserve">___________________        </w:t>
      </w:r>
      <w:r>
        <w:rPr>
          <w:rFonts w:hint="eastAsia" w:ascii="宋体" w:hAnsi="宋体"/>
          <w:sz w:val="20"/>
        </w:rPr>
        <w:t xml:space="preserve">            地址：</w:t>
      </w:r>
      <w:r>
        <w:rPr>
          <w:rFonts w:hint="eastAsia" w:ascii="宋体" w:hAnsi="宋体"/>
          <w:sz w:val="20"/>
          <w:u w:val="single"/>
        </w:rPr>
        <w:t xml:space="preserve">____________________    </w:t>
      </w:r>
    </w:p>
    <w:p>
      <w:pPr>
        <w:spacing w:line="480" w:lineRule="auto"/>
        <w:ind w:left="-567" w:leftChars="-270" w:right="-764" w:rightChars="-364" w:firstLine="500" w:firstLineChars="250"/>
        <w:jc w:val="left"/>
        <w:rPr>
          <w:rFonts w:ascii="宋体"/>
          <w:sz w:val="20"/>
          <w:u w:val="single"/>
        </w:rPr>
      </w:pPr>
      <w:r>
        <w:rPr>
          <w:rFonts w:hint="eastAsia" w:ascii="宋体" w:hAnsi="宋体"/>
          <w:sz w:val="20"/>
        </w:rPr>
        <w:t>电话：</w:t>
      </w:r>
      <w:r>
        <w:rPr>
          <w:rFonts w:hint="eastAsia" w:ascii="宋体" w:hAnsi="宋体"/>
          <w:sz w:val="20"/>
          <w:u w:val="single"/>
        </w:rPr>
        <w:t xml:space="preserve">                           </w:t>
      </w:r>
      <w:r>
        <w:rPr>
          <w:rFonts w:hint="eastAsia" w:ascii="宋体" w:hAnsi="宋体"/>
          <w:sz w:val="20"/>
        </w:rPr>
        <w:t xml:space="preserve">            电话：</w:t>
      </w:r>
      <w:r>
        <w:rPr>
          <w:rFonts w:hint="eastAsia" w:ascii="宋体" w:hAnsi="宋体"/>
          <w:sz w:val="20"/>
          <w:u w:val="single"/>
        </w:rPr>
        <w:t xml:space="preserve">                        </w:t>
      </w:r>
    </w:p>
    <w:p>
      <w:pPr>
        <w:spacing w:line="480" w:lineRule="auto"/>
        <w:ind w:left="-567" w:leftChars="-270" w:right="-764" w:rightChars="-364" w:firstLine="500" w:firstLineChars="250"/>
        <w:jc w:val="left"/>
        <w:rPr>
          <w:rFonts w:ascii="宋体"/>
          <w:sz w:val="20"/>
          <w:u w:val="single"/>
        </w:rPr>
      </w:pPr>
      <w:r>
        <w:rPr>
          <w:rFonts w:hint="eastAsia" w:ascii="宋体" w:hAnsi="宋体"/>
          <w:sz w:val="20"/>
        </w:rPr>
        <w:t>传真：</w:t>
      </w:r>
      <w:r>
        <w:rPr>
          <w:rFonts w:hint="eastAsia" w:ascii="宋体" w:hAnsi="宋体"/>
          <w:sz w:val="20"/>
          <w:u w:val="single"/>
        </w:rPr>
        <w:t xml:space="preserve">                           </w:t>
      </w:r>
      <w:r>
        <w:rPr>
          <w:rFonts w:hint="eastAsia" w:ascii="宋体" w:hAnsi="宋体"/>
          <w:sz w:val="20"/>
        </w:rPr>
        <w:t xml:space="preserve">            传真：</w:t>
      </w:r>
      <w:r>
        <w:rPr>
          <w:rFonts w:hint="eastAsia" w:ascii="宋体" w:hAnsi="宋体"/>
          <w:sz w:val="20"/>
          <w:u w:val="single"/>
        </w:rPr>
        <w:t xml:space="preserve">                        </w:t>
      </w:r>
    </w:p>
    <w:p>
      <w:pPr>
        <w:spacing w:line="480" w:lineRule="auto"/>
        <w:ind w:left="-567" w:leftChars="-270" w:right="-764" w:rightChars="-364" w:firstLine="500" w:firstLineChars="250"/>
        <w:jc w:val="left"/>
        <w:rPr>
          <w:rFonts w:ascii="宋体"/>
          <w:sz w:val="20"/>
          <w:u w:val="single"/>
        </w:rPr>
      </w:pPr>
      <w:r>
        <w:rPr>
          <w:rFonts w:hint="eastAsia" w:ascii="宋体" w:hAnsi="宋体"/>
          <w:sz w:val="20"/>
        </w:rPr>
        <w:t>邮编：</w:t>
      </w:r>
      <w:r>
        <w:rPr>
          <w:rFonts w:hint="eastAsia" w:ascii="宋体" w:hAnsi="宋体"/>
          <w:sz w:val="20"/>
          <w:u w:val="single"/>
        </w:rPr>
        <w:t xml:space="preserve">                           </w:t>
      </w:r>
      <w:r>
        <w:rPr>
          <w:rFonts w:hint="eastAsia" w:ascii="宋体" w:hAnsi="宋体"/>
          <w:sz w:val="20"/>
        </w:rPr>
        <w:t xml:space="preserve">            邮编：</w:t>
      </w:r>
      <w:r>
        <w:rPr>
          <w:rFonts w:hint="eastAsia" w:ascii="宋体" w:hAnsi="宋体"/>
          <w:sz w:val="20"/>
          <w:u w:val="single"/>
        </w:rPr>
        <w:t xml:space="preserve">                        </w:t>
      </w:r>
    </w:p>
    <w:p>
      <w:pPr>
        <w:spacing w:line="480" w:lineRule="auto"/>
        <w:ind w:left="-567" w:leftChars="-270" w:right="-764" w:rightChars="-364" w:firstLine="500" w:firstLineChars="250"/>
        <w:jc w:val="left"/>
        <w:rPr>
          <w:rFonts w:ascii="宋体"/>
          <w:sz w:val="20"/>
          <w:u w:val="single"/>
        </w:rPr>
      </w:pPr>
      <w:r>
        <w:rPr>
          <w:rFonts w:hint="eastAsia" w:ascii="宋体" w:hAnsi="宋体"/>
          <w:sz w:val="20"/>
        </w:rPr>
        <w:t>开户银行：</w:t>
      </w:r>
      <w:r>
        <w:rPr>
          <w:rFonts w:hint="eastAsia" w:ascii="宋体" w:hAnsi="宋体"/>
          <w:sz w:val="20"/>
          <w:u w:val="single"/>
        </w:rPr>
        <w:t xml:space="preserve">                       </w:t>
      </w:r>
      <w:r>
        <w:rPr>
          <w:rFonts w:hint="eastAsia" w:ascii="宋体" w:hAnsi="宋体"/>
          <w:sz w:val="20"/>
        </w:rPr>
        <w:t xml:space="preserve">            开户银行：</w:t>
      </w:r>
      <w:r>
        <w:rPr>
          <w:rFonts w:hint="eastAsia" w:ascii="宋体" w:hAnsi="宋体"/>
          <w:sz w:val="20"/>
          <w:u w:val="single"/>
        </w:rPr>
        <w:t xml:space="preserve">                    </w:t>
      </w:r>
    </w:p>
    <w:p>
      <w:pPr>
        <w:spacing w:line="480" w:lineRule="auto"/>
        <w:ind w:left="-567" w:leftChars="-270" w:right="-764" w:rightChars="-364" w:firstLine="500" w:firstLineChars="250"/>
        <w:jc w:val="left"/>
        <w:rPr>
          <w:rFonts w:ascii="宋体" w:hAnsi="宋体"/>
          <w:sz w:val="20"/>
          <w:u w:val="single"/>
        </w:rPr>
      </w:pPr>
      <w:r>
        <w:rPr>
          <w:rFonts w:hint="eastAsia" w:ascii="宋体" w:hAnsi="宋体"/>
          <w:sz w:val="20"/>
        </w:rPr>
        <w:t>银行账号：</w:t>
      </w:r>
      <w:r>
        <w:rPr>
          <w:rFonts w:hint="eastAsia" w:ascii="宋体" w:hAnsi="宋体"/>
          <w:sz w:val="20"/>
          <w:u w:val="single"/>
        </w:rPr>
        <w:t xml:space="preserve">                       </w:t>
      </w:r>
      <w:r>
        <w:rPr>
          <w:rFonts w:hint="eastAsia" w:ascii="宋体" w:hAnsi="宋体"/>
          <w:sz w:val="20"/>
        </w:rPr>
        <w:t xml:space="preserve">            银行账号：</w:t>
      </w:r>
      <w:r>
        <w:rPr>
          <w:rFonts w:hint="eastAsia" w:ascii="宋体" w:hAnsi="宋体"/>
          <w:sz w:val="20"/>
          <w:u w:val="single"/>
        </w:rPr>
        <w:t xml:space="preserve">                    </w:t>
      </w:r>
    </w:p>
    <w:p>
      <w:pPr>
        <w:spacing w:line="480" w:lineRule="auto"/>
        <w:ind w:left="-567" w:leftChars="-270" w:right="-764" w:rightChars="-364" w:firstLine="500" w:firstLineChars="250"/>
        <w:jc w:val="left"/>
        <w:rPr>
          <w:rFonts w:ascii="宋体" w:hAnsi="宋体"/>
          <w:b/>
          <w:bCs/>
          <w:sz w:val="20"/>
        </w:rPr>
      </w:pPr>
      <w:r>
        <w:rPr>
          <w:rFonts w:hint="eastAsia" w:ascii="宋体" w:hAnsi="宋体"/>
          <w:sz w:val="20"/>
        </w:rPr>
        <w:t>签订日期：    年    月    日                 签订日期：       年    月    日</w:t>
      </w:r>
    </w:p>
    <w:p>
      <w:pPr>
        <w:widowControl/>
        <w:spacing w:before="100" w:beforeAutospacing="1" w:after="100" w:afterAutospacing="1" w:line="360" w:lineRule="auto"/>
        <w:rPr>
          <w:rFonts w:ascii="宋体" w:hAnsi="宋体"/>
          <w:szCs w:val="21"/>
        </w:rPr>
        <w:sectPr>
          <w:headerReference r:id="rId3" w:type="default"/>
          <w:pgSz w:w="11906" w:h="16838"/>
          <w:pgMar w:top="1440" w:right="1800" w:bottom="1440" w:left="1800" w:header="851" w:footer="992" w:gutter="0"/>
          <w:cols w:space="720" w:num="1"/>
          <w:docGrid w:type="lines" w:linePitch="312" w:charSpace="0"/>
        </w:sectPr>
      </w:pPr>
    </w:p>
    <w:p>
      <w:bookmarkStart w:id="1" w:name="_Toc205622232"/>
      <w:bookmarkEnd w:id="1"/>
      <w:bookmarkStart w:id="2" w:name="_Toc205622231"/>
      <w:bookmarkEnd w:id="2"/>
      <w:bookmarkStart w:id="3" w:name="_Toc161767419"/>
      <w:bookmarkStart w:id="4" w:name="_Toc135998992"/>
    </w:p>
    <w:bookmarkEnd w:id="3"/>
    <w:bookmarkEnd w:id="4"/>
    <w:p>
      <w:pPr>
        <w:pStyle w:val="2"/>
        <w:spacing w:line="360" w:lineRule="auto"/>
        <w:jc w:val="center"/>
        <w:rPr>
          <w:rFonts w:ascii="黑体" w:hAnsi="仿宋_GB2312" w:eastAsia="黑体"/>
          <w:bCs/>
          <w:sz w:val="52"/>
          <w:szCs w:val="52"/>
        </w:rPr>
      </w:pPr>
      <w:r>
        <w:rPr>
          <w:rFonts w:hint="eastAsia" w:ascii="黑体" w:hAnsi="仿宋_GB2312" w:eastAsia="黑体"/>
          <w:bCs/>
          <w:sz w:val="52"/>
          <w:szCs w:val="52"/>
        </w:rPr>
        <w:t>第五章 附  件</w:t>
      </w:r>
    </w:p>
    <w:p>
      <w:pPr>
        <w:spacing w:line="360" w:lineRule="auto"/>
        <w:ind w:left="840"/>
        <w:rPr>
          <w:rFonts w:ascii="宋体" w:hAnsi="宋体"/>
          <w:i/>
        </w:rPr>
      </w:pPr>
    </w:p>
    <w:p>
      <w:pPr>
        <w:rPr>
          <w:rStyle w:val="64"/>
          <w:rFonts w:ascii="宋体" w:hAnsi="宋体"/>
          <w:sz w:val="36"/>
          <w:szCs w:val="36"/>
        </w:rPr>
      </w:pPr>
      <w:r>
        <w:rPr>
          <w:rFonts w:ascii="宋体" w:hAnsi="宋体"/>
          <w:sz w:val="30"/>
        </w:rPr>
        <w:br w:type="page"/>
      </w:r>
      <w:bookmarkStart w:id="5" w:name="_Toc135999006"/>
      <w:bookmarkStart w:id="6" w:name="_Toc161767428"/>
      <w:r>
        <w:rPr>
          <w:rStyle w:val="64"/>
          <w:rFonts w:hint="eastAsia" w:ascii="宋体" w:hAnsi="宋体"/>
          <w:sz w:val="36"/>
          <w:szCs w:val="36"/>
        </w:rPr>
        <w:t>附件1：</w:t>
      </w:r>
      <w:bookmarkEnd w:id="5"/>
      <w:bookmarkEnd w:id="6"/>
      <w:r>
        <w:rPr>
          <w:rStyle w:val="64"/>
          <w:rFonts w:hint="eastAsia" w:ascii="宋体" w:hAnsi="宋体"/>
          <w:sz w:val="36"/>
          <w:szCs w:val="36"/>
        </w:rPr>
        <w:t>投标函</w:t>
      </w:r>
    </w:p>
    <w:p>
      <w:pPr>
        <w:jc w:val="center"/>
        <w:rPr>
          <w:rStyle w:val="64"/>
          <w:rFonts w:ascii="宋体" w:hAnsi="宋体"/>
        </w:rPr>
      </w:pPr>
      <w:r>
        <w:rPr>
          <w:rStyle w:val="64"/>
          <w:rFonts w:hint="eastAsia" w:ascii="宋体" w:hAnsi="宋体"/>
        </w:rPr>
        <w:t>投标函</w:t>
      </w:r>
    </w:p>
    <w:p>
      <w:pPr>
        <w:spacing w:line="360" w:lineRule="auto"/>
        <w:rPr>
          <w:rFonts w:ascii="宋体" w:hAnsi="宋体"/>
          <w:sz w:val="24"/>
        </w:rPr>
      </w:pPr>
    </w:p>
    <w:p>
      <w:pPr>
        <w:spacing w:line="360" w:lineRule="auto"/>
        <w:rPr>
          <w:rFonts w:ascii="宋体" w:hAnsi="宋体"/>
          <w:szCs w:val="21"/>
        </w:rPr>
      </w:pPr>
      <w:r>
        <w:rPr>
          <w:rFonts w:hint="eastAsia"/>
        </w:rPr>
        <w:t>江苏有线网络发展有限责任公司通州分公司</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（投标人全称）授权</w:t>
      </w:r>
      <w:r>
        <w:rPr>
          <w:rFonts w:hint="eastAsia" w:ascii="宋体" w:hAnsi="宋体"/>
          <w:szCs w:val="21"/>
          <w:u w:val="single"/>
        </w:rPr>
        <w:t xml:space="preserve">             </w:t>
      </w:r>
      <w:r>
        <w:rPr>
          <w:rFonts w:hint="eastAsia" w:ascii="宋体" w:hAnsi="宋体"/>
          <w:szCs w:val="21"/>
        </w:rPr>
        <w:t>（全权代表姓名、职务、职称）</w:t>
      </w:r>
      <w:r>
        <w:rPr>
          <w:rFonts w:hint="eastAsia" w:ascii="宋体" w:hAnsi="宋体"/>
          <w:szCs w:val="21"/>
          <w:u w:val="single"/>
        </w:rPr>
        <w:t xml:space="preserve">                   </w:t>
      </w:r>
      <w:r>
        <w:rPr>
          <w:rFonts w:hint="eastAsia" w:ascii="宋体" w:hAnsi="宋体"/>
          <w:szCs w:val="21"/>
        </w:rPr>
        <w:t>为全权代表，参加贵方组织的</w:t>
      </w:r>
      <w:r>
        <w:rPr>
          <w:rFonts w:hint="eastAsia" w:ascii="宋体" w:hAnsi="宋体"/>
          <w:szCs w:val="21"/>
          <w:u w:val="single"/>
        </w:rPr>
        <w:t xml:space="preserve">                </w:t>
      </w:r>
      <w:r>
        <w:rPr>
          <w:rFonts w:hint="eastAsia" w:ascii="宋体" w:hAnsi="宋体"/>
          <w:szCs w:val="21"/>
        </w:rPr>
        <w:t>（招标编号、分包号、项目名称）的有关活动，为此：</w:t>
      </w:r>
    </w:p>
    <w:p>
      <w:pPr>
        <w:numPr>
          <w:ilvl w:val="0"/>
          <w:numId w:val="29"/>
        </w:numPr>
        <w:tabs>
          <w:tab w:val="clear" w:pos="840"/>
        </w:tabs>
        <w:spacing w:line="360" w:lineRule="auto"/>
        <w:ind w:left="420" w:firstLine="0"/>
        <w:rPr>
          <w:rFonts w:ascii="宋体" w:hAnsi="宋体"/>
          <w:szCs w:val="21"/>
        </w:rPr>
      </w:pPr>
      <w:r>
        <w:rPr>
          <w:rFonts w:hint="eastAsia" w:ascii="宋体" w:hAnsi="宋体"/>
          <w:szCs w:val="21"/>
        </w:rPr>
        <w:t>提供投标人须知规定的全部投标文件（正本[ 1 ]份，副本[ 2 ]份）。</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提供按招标文件要求的货物/服务的报价。（</w:t>
      </w:r>
      <w:r>
        <w:rPr>
          <w:rFonts w:hint="eastAsia" w:ascii="宋体" w:hAnsi="宋体"/>
          <w:szCs w:val="21"/>
          <w:u w:val="single"/>
        </w:rPr>
        <w:t>详见 附件2：开标一览表</w:t>
      </w:r>
      <w:r>
        <w:rPr>
          <w:rFonts w:hint="eastAsia" w:ascii="宋体" w:hAnsi="宋体"/>
          <w:szCs w:val="21"/>
        </w:rPr>
        <w:t>）。</w:t>
      </w:r>
    </w:p>
    <w:p>
      <w:pPr>
        <w:numPr>
          <w:ilvl w:val="0"/>
          <w:numId w:val="29"/>
        </w:numPr>
        <w:tabs>
          <w:tab w:val="clear" w:pos="840"/>
        </w:tabs>
        <w:spacing w:line="360" w:lineRule="auto"/>
        <w:ind w:left="1260" w:hanging="840"/>
        <w:rPr>
          <w:rFonts w:ascii="宋体" w:hAnsi="宋体"/>
          <w:szCs w:val="21"/>
          <w:u w:val="single"/>
        </w:rPr>
      </w:pPr>
      <w:r>
        <w:rPr>
          <w:rFonts w:hint="eastAsia" w:ascii="宋体" w:hAnsi="宋体"/>
          <w:szCs w:val="21"/>
        </w:rPr>
        <w:t>投标人货物的原产地为：</w:t>
      </w:r>
      <w:r>
        <w:rPr>
          <w:rFonts w:hint="eastAsia" w:ascii="宋体" w:hAnsi="宋体"/>
          <w:szCs w:val="21"/>
          <w:u w:val="single"/>
        </w:rPr>
        <w:t xml:space="preserve">                    </w:t>
      </w:r>
      <w:r>
        <w:rPr>
          <w:rFonts w:hint="eastAsia" w:ascii="宋体" w:hAnsi="宋体"/>
          <w:szCs w:val="21"/>
        </w:rPr>
        <w:t>（国家 / 地址 / 工厂名称）。</w:t>
      </w:r>
    </w:p>
    <w:p>
      <w:pPr>
        <w:numPr>
          <w:ilvl w:val="0"/>
          <w:numId w:val="29"/>
        </w:numPr>
        <w:spacing w:line="360" w:lineRule="auto"/>
        <w:rPr>
          <w:rFonts w:ascii="宋体" w:hAnsi="宋体"/>
          <w:szCs w:val="21"/>
        </w:rPr>
      </w:pPr>
      <w:r>
        <w:rPr>
          <w:rFonts w:hint="eastAsia" w:ascii="宋体" w:hAnsi="宋体"/>
          <w:szCs w:val="21"/>
        </w:rPr>
        <w:t>投标人将按招标文件的规定履行全部责任和义务。</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投标人已详细审查全部招标文件，我们完全理解并同意放弃对招标文件提出质疑及/或争议的权利。</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本投标人递交投标文件的有效期为自递交投标文件截止日起</w:t>
      </w:r>
      <w:r>
        <w:rPr>
          <w:rFonts w:hint="eastAsia" w:ascii="宋体" w:hAnsi="宋体"/>
          <w:szCs w:val="21"/>
          <w:u w:val="single"/>
        </w:rPr>
        <w:t xml:space="preserve"> 90 </w:t>
      </w:r>
      <w:r>
        <w:rPr>
          <w:rFonts w:hint="eastAsia" w:ascii="宋体" w:hAnsi="宋体"/>
          <w:szCs w:val="21"/>
        </w:rPr>
        <w:t>个日历日。</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如果在规定的递交投标文件截止时间后，投标人在投标有效期内撤回投标文件，投标保证金将被贵方没收。</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愿意向贵方提供任何与该项投标文件有关的数据、情况和技术资料，完全理解贵方不一定接受收到的任何投标文件。</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我方</w:t>
      </w:r>
      <w:r>
        <w:rPr>
          <w:rFonts w:hint="eastAsia" w:ascii="宋体" w:hAnsi="宋体"/>
          <w:bCs/>
          <w:szCs w:val="21"/>
        </w:rPr>
        <w:t>在法律和财务上独立、合法运作并独立于招标人，与招标人没有直接或间接地任何关联。</w:t>
      </w:r>
    </w:p>
    <w:p>
      <w:pPr>
        <w:numPr>
          <w:ilvl w:val="0"/>
          <w:numId w:val="29"/>
        </w:numPr>
        <w:tabs>
          <w:tab w:val="clear" w:pos="840"/>
        </w:tabs>
        <w:spacing w:line="360" w:lineRule="auto"/>
        <w:ind w:left="1260" w:hanging="840"/>
        <w:rPr>
          <w:rFonts w:ascii="宋体" w:hAnsi="宋体"/>
          <w:szCs w:val="21"/>
        </w:rPr>
      </w:pPr>
      <w:r>
        <w:rPr>
          <w:rFonts w:hint="eastAsia" w:ascii="宋体" w:hAnsi="宋体"/>
          <w:bCs/>
          <w:szCs w:val="21"/>
        </w:rPr>
        <w:t>我方承诺：招标人在其本国使用我方提供的货物时</w:t>
      </w:r>
      <w:r>
        <w:rPr>
          <w:rFonts w:ascii="宋体" w:hAnsi="宋体"/>
          <w:bCs/>
          <w:szCs w:val="21"/>
        </w:rPr>
        <w:t>，</w:t>
      </w:r>
      <w:r>
        <w:rPr>
          <w:rFonts w:hint="eastAsia" w:ascii="宋体" w:hAnsi="宋体"/>
          <w:bCs/>
          <w:szCs w:val="21"/>
        </w:rPr>
        <w:t>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29"/>
        </w:numPr>
        <w:tabs>
          <w:tab w:val="clear" w:pos="840"/>
        </w:tabs>
        <w:spacing w:line="36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现阶段国家没有标准的产品，在国家标准出台后我方将必须根据招标人要求无偿升级。</w:t>
      </w:r>
    </w:p>
    <w:p>
      <w:pPr>
        <w:numPr>
          <w:ilvl w:val="0"/>
          <w:numId w:val="29"/>
        </w:numPr>
        <w:tabs>
          <w:tab w:val="clear" w:pos="840"/>
        </w:tabs>
        <w:spacing w:line="360" w:lineRule="auto"/>
        <w:ind w:left="1260" w:hanging="840"/>
        <w:rPr>
          <w:rFonts w:ascii="宋体" w:hAnsi="宋体"/>
          <w:szCs w:val="21"/>
        </w:rPr>
      </w:pPr>
      <w:r>
        <w:rPr>
          <w:rFonts w:hint="eastAsia" w:ascii="宋体" w:hAnsi="宋体"/>
          <w:szCs w:val="21"/>
        </w:rPr>
        <w:t>与本投标文件有关的一切往来通讯请寄：</w:t>
      </w:r>
    </w:p>
    <w:p>
      <w:pPr>
        <w:spacing w:line="360" w:lineRule="auto"/>
        <w:ind w:left="420"/>
        <w:rPr>
          <w:rFonts w:ascii="宋体" w:hAnsi="宋体"/>
          <w:szCs w:val="21"/>
        </w:rPr>
      </w:pPr>
    </w:p>
    <w:p>
      <w:pPr>
        <w:spacing w:line="360" w:lineRule="auto"/>
        <w:rPr>
          <w:rFonts w:ascii="宋体" w:hAnsi="宋体"/>
          <w:szCs w:val="21"/>
        </w:rPr>
      </w:pPr>
      <w:r>
        <w:rPr>
          <w:rFonts w:hint="eastAsia" w:ascii="宋体" w:hAnsi="宋体"/>
          <w:szCs w:val="21"/>
        </w:rPr>
        <w:t xml:space="preserve">地址 </w:t>
      </w:r>
      <w:r>
        <w:rPr>
          <w:rFonts w:hint="eastAsia" w:ascii="宋体" w:hAnsi="宋体"/>
          <w:szCs w:val="21"/>
          <w:u w:val="single"/>
        </w:rPr>
        <w:t xml:space="preserve">                                      </w:t>
      </w:r>
      <w:r>
        <w:rPr>
          <w:rFonts w:hint="eastAsia" w:ascii="宋体" w:hAnsi="宋体"/>
          <w:szCs w:val="21"/>
        </w:rPr>
        <w:t xml:space="preserve">    传真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电子函件</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投标人名称（盖章）：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u w:val="single"/>
        </w:rPr>
      </w:pPr>
      <w:r>
        <w:rPr>
          <w:rFonts w:hint="eastAsia"/>
        </w:rPr>
        <w:t xml:space="preserve"> 日             期：</w:t>
      </w:r>
      <w:r>
        <w:rPr>
          <w:rFonts w:hint="eastAsia"/>
          <w:u w:val="single"/>
        </w:rPr>
        <w:t xml:space="preserve">                                      </w:t>
      </w:r>
    </w:p>
    <w:p>
      <w:pPr>
        <w:spacing w:line="360" w:lineRule="auto"/>
        <w:ind w:left="315" w:leftChars="150"/>
        <w:rPr>
          <w:rStyle w:val="64"/>
          <w:rFonts w:ascii="宋体" w:hAnsi="宋体"/>
          <w:sz w:val="36"/>
          <w:szCs w:val="36"/>
        </w:rPr>
      </w:pPr>
      <w:r>
        <w:rPr>
          <w:u w:val="single"/>
        </w:rPr>
        <w:br w:type="page"/>
      </w:r>
      <w:r>
        <w:rPr>
          <w:rStyle w:val="64"/>
          <w:rFonts w:hint="eastAsia" w:ascii="宋体" w:hAnsi="宋体"/>
          <w:sz w:val="36"/>
          <w:szCs w:val="36"/>
        </w:rPr>
        <w:t>附件2：开标一览表(格式)</w:t>
      </w:r>
    </w:p>
    <w:p>
      <w:pPr>
        <w:spacing w:line="360" w:lineRule="auto"/>
        <w:ind w:left="315" w:leftChars="150"/>
        <w:rPr>
          <w:rStyle w:val="64"/>
          <w:rFonts w:ascii="宋体" w:hAnsi="宋体"/>
          <w:sz w:val="36"/>
          <w:szCs w:val="36"/>
        </w:rPr>
      </w:pPr>
      <w:r>
        <w:rPr>
          <w:rFonts w:hint="eastAsia" w:ascii="宋体"/>
        </w:rPr>
        <w:t>项目名称：</w:t>
      </w:r>
      <w:r>
        <w:rPr>
          <w:rFonts w:hint="eastAsia" w:ascii="宋体"/>
          <w:u w:val="single"/>
        </w:rPr>
        <w:t xml:space="preserve"> 江苏有线通州分公司波分系统维保项目 </w:t>
      </w:r>
      <w:r>
        <w:rPr>
          <w:rFonts w:hint="eastAsia" w:ascii="宋体"/>
        </w:rPr>
        <w:t xml:space="preserve"> 招标编号：</w:t>
      </w:r>
      <w:r>
        <w:rPr>
          <w:rFonts w:hint="eastAsia" w:ascii="宋体"/>
          <w:u w:val="single"/>
        </w:rPr>
        <w:t xml:space="preserve">  JSCN-TZ-20</w:t>
      </w:r>
      <w:r>
        <w:rPr>
          <w:rFonts w:hint="eastAsia" w:ascii="宋体"/>
          <w:u w:val="single"/>
          <w:lang w:val="en-US" w:eastAsia="zh-CN"/>
        </w:rPr>
        <w:t>24</w:t>
      </w:r>
      <w:r>
        <w:rPr>
          <w:rFonts w:hint="eastAsia" w:ascii="宋体"/>
          <w:u w:val="single"/>
        </w:rPr>
        <w:t>-</w:t>
      </w:r>
      <w:r>
        <w:rPr>
          <w:rFonts w:hint="eastAsia" w:ascii="宋体"/>
          <w:u w:val="single"/>
          <w:lang w:val="en-US" w:eastAsia="zh-CN"/>
        </w:rPr>
        <w:t>xxx</w:t>
      </w:r>
      <w:r>
        <w:rPr>
          <w:rFonts w:hint="eastAsia" w:ascii="宋体"/>
          <w:u w:val="single"/>
        </w:rPr>
        <w:t xml:space="preserve">        </w:t>
      </w:r>
      <w:r>
        <w:rPr>
          <w:rFonts w:hint="eastAsia" w:ascii="宋体"/>
        </w:rPr>
        <w:t xml:space="preserve"> </w:t>
      </w:r>
    </w:p>
    <w:tbl>
      <w:tblPr>
        <w:tblStyle w:val="5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601"/>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tcPr>
          <w:p>
            <w:pPr>
              <w:spacing w:line="360" w:lineRule="auto"/>
              <w:jc w:val="center"/>
              <w:rPr>
                <w:rFonts w:ascii="宋体" w:hAnsi="宋体"/>
              </w:rPr>
            </w:pPr>
            <w:r>
              <w:rPr>
                <w:rFonts w:hint="eastAsia" w:ascii="宋体" w:hAnsi="宋体"/>
              </w:rPr>
              <w:t>序号</w:t>
            </w:r>
          </w:p>
        </w:tc>
        <w:tc>
          <w:tcPr>
            <w:tcW w:w="5601" w:type="dxa"/>
          </w:tcPr>
          <w:p>
            <w:pPr>
              <w:spacing w:line="360" w:lineRule="auto"/>
              <w:jc w:val="center"/>
              <w:rPr>
                <w:rFonts w:ascii="宋体" w:hAnsi="宋体"/>
              </w:rPr>
            </w:pPr>
            <w:r>
              <w:rPr>
                <w:rFonts w:hint="eastAsia" w:ascii="宋体" w:hAnsi="宋体"/>
              </w:rPr>
              <w:t>维保时间</w:t>
            </w:r>
          </w:p>
        </w:tc>
        <w:tc>
          <w:tcPr>
            <w:tcW w:w="3210" w:type="dxa"/>
          </w:tcPr>
          <w:p>
            <w:pPr>
              <w:spacing w:line="360" w:lineRule="auto"/>
              <w:jc w:val="center"/>
              <w:rPr>
                <w:rFonts w:ascii="宋体" w:hAnsi="宋体"/>
              </w:rPr>
            </w:pPr>
            <w:r>
              <w:rPr>
                <w:rFonts w:hint="eastAsia" w:ascii="宋体" w:hAnsi="宋体"/>
              </w:rPr>
              <w:t>维保费用（人民币：元）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tcPr>
          <w:p>
            <w:pPr>
              <w:spacing w:line="360" w:lineRule="auto"/>
              <w:jc w:val="center"/>
              <w:rPr>
                <w:rFonts w:ascii="宋体" w:hAnsi="宋体"/>
              </w:rPr>
            </w:pPr>
            <w:r>
              <w:rPr>
                <w:rFonts w:hint="eastAsia" w:ascii="宋体" w:hAnsi="宋体"/>
              </w:rPr>
              <w:t>1</w:t>
            </w:r>
          </w:p>
        </w:tc>
        <w:tc>
          <w:tcPr>
            <w:tcW w:w="5601" w:type="dxa"/>
          </w:tcPr>
          <w:p>
            <w:pPr>
              <w:spacing w:line="360" w:lineRule="auto"/>
              <w:jc w:val="center"/>
              <w:rPr>
                <w:rFonts w:ascii="宋体" w:hAnsi="宋体"/>
              </w:rPr>
            </w:pPr>
            <w:r>
              <w:rPr>
                <w:rFonts w:hint="eastAsia" w:ascii="宋体" w:hAnsi="宋体"/>
              </w:rPr>
              <w:t>20</w:t>
            </w:r>
            <w:r>
              <w:rPr>
                <w:rFonts w:hint="eastAsia" w:ascii="宋体" w:hAnsi="宋体"/>
                <w:lang w:val="en-US" w:eastAsia="zh-CN"/>
              </w:rPr>
              <w:t>24</w:t>
            </w:r>
            <w:r>
              <w:rPr>
                <w:rFonts w:hint="eastAsia" w:ascii="宋体" w:hAnsi="宋体"/>
              </w:rPr>
              <w:t>年</w:t>
            </w:r>
            <w:r>
              <w:rPr>
                <w:rFonts w:hint="eastAsia" w:ascii="宋体" w:hAnsi="宋体"/>
                <w:lang w:val="en-US" w:eastAsia="zh-CN"/>
              </w:rPr>
              <w:t>5</w:t>
            </w:r>
            <w:r>
              <w:rPr>
                <w:rFonts w:hint="eastAsia" w:ascii="宋体" w:hAnsi="宋体"/>
              </w:rPr>
              <w:t>月  日-202</w:t>
            </w:r>
            <w:r>
              <w:rPr>
                <w:rFonts w:hint="eastAsia" w:ascii="宋体" w:hAnsi="宋体"/>
                <w:lang w:val="en-US" w:eastAsia="zh-CN"/>
              </w:rPr>
              <w:t>6</w:t>
            </w:r>
            <w:r>
              <w:rPr>
                <w:rFonts w:hint="eastAsia" w:ascii="宋体" w:hAnsi="宋体"/>
              </w:rPr>
              <w:t>年</w:t>
            </w:r>
            <w:r>
              <w:rPr>
                <w:rFonts w:hint="eastAsia" w:ascii="宋体" w:hAnsi="宋体"/>
                <w:lang w:val="en-US" w:eastAsia="zh-CN"/>
              </w:rPr>
              <w:t>5</w:t>
            </w:r>
            <w:r>
              <w:rPr>
                <w:rFonts w:hint="eastAsia" w:ascii="宋体" w:hAnsi="宋体"/>
              </w:rPr>
              <w:t>月  日</w:t>
            </w:r>
          </w:p>
        </w:tc>
        <w:tc>
          <w:tcPr>
            <w:tcW w:w="3210"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tcPr>
          <w:p>
            <w:pPr>
              <w:spacing w:line="360" w:lineRule="auto"/>
              <w:jc w:val="center"/>
              <w:rPr>
                <w:rFonts w:ascii="宋体" w:hAnsi="宋体"/>
              </w:rPr>
            </w:pPr>
            <w:r>
              <w:rPr>
                <w:rFonts w:hint="eastAsia" w:ascii="宋体" w:hAnsi="宋体"/>
              </w:rPr>
              <w:t>2</w:t>
            </w:r>
          </w:p>
        </w:tc>
        <w:tc>
          <w:tcPr>
            <w:tcW w:w="5601" w:type="dxa"/>
          </w:tcPr>
          <w:p>
            <w:pPr>
              <w:spacing w:line="360" w:lineRule="auto"/>
              <w:jc w:val="center"/>
              <w:rPr>
                <w:rFonts w:ascii="宋体" w:hAnsi="宋体"/>
              </w:rPr>
            </w:pPr>
          </w:p>
        </w:tc>
        <w:tc>
          <w:tcPr>
            <w:tcW w:w="3210"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17" w:type="dxa"/>
          </w:tcPr>
          <w:p>
            <w:pPr>
              <w:spacing w:line="360" w:lineRule="auto"/>
              <w:jc w:val="center"/>
              <w:rPr>
                <w:rFonts w:hint="eastAsia" w:ascii="宋体" w:hAnsi="宋体" w:eastAsia="宋体"/>
                <w:lang w:eastAsia="zh-CN"/>
              </w:rPr>
            </w:pPr>
            <w:r>
              <w:rPr>
                <w:rFonts w:hint="eastAsia" w:ascii="宋体" w:hAnsi="宋体"/>
                <w:lang w:val="en-US" w:eastAsia="zh-CN"/>
              </w:rPr>
              <w:t>3</w:t>
            </w:r>
          </w:p>
        </w:tc>
        <w:tc>
          <w:tcPr>
            <w:tcW w:w="5601" w:type="dxa"/>
          </w:tcPr>
          <w:p>
            <w:pPr>
              <w:spacing w:line="360" w:lineRule="auto"/>
              <w:jc w:val="center"/>
              <w:rPr>
                <w:rFonts w:ascii="宋体" w:hAnsi="宋体"/>
              </w:rPr>
            </w:pPr>
            <w:r>
              <w:rPr>
                <w:rFonts w:hint="eastAsia" w:ascii="宋体" w:hAnsi="宋体"/>
              </w:rPr>
              <w:t>总计</w:t>
            </w:r>
          </w:p>
        </w:tc>
        <w:tc>
          <w:tcPr>
            <w:tcW w:w="3210" w:type="dxa"/>
          </w:tcPr>
          <w:p>
            <w:pPr>
              <w:spacing w:line="360" w:lineRule="auto"/>
              <w:rPr>
                <w:rFonts w:ascii="宋体" w:hAnsi="宋体"/>
              </w:rPr>
            </w:pPr>
          </w:p>
        </w:tc>
      </w:tr>
    </w:tbl>
    <w:p>
      <w:pPr>
        <w:spacing w:line="360" w:lineRule="auto"/>
        <w:rPr>
          <w:rFonts w:ascii="宋体" w:hAnsi="宋体"/>
          <w:u w:val="single"/>
        </w:rPr>
      </w:pPr>
      <w:r>
        <w:rPr>
          <w:rFonts w:hint="eastAsia" w:ascii="宋体" w:hAnsi="宋体"/>
        </w:rPr>
        <w:t>投标人名称（公章）：</w:t>
      </w:r>
      <w:r>
        <w:rPr>
          <w:rFonts w:hint="eastAsia" w:ascii="宋体" w:hAnsi="宋体"/>
          <w:u w:val="single"/>
        </w:rPr>
        <w:t xml:space="preserve">                     </w:t>
      </w:r>
    </w:p>
    <w:p>
      <w:pPr>
        <w:spacing w:line="360" w:lineRule="auto"/>
        <w:rPr>
          <w:rFonts w:hint="eastAsia" w:ascii="宋体" w:hAnsi="宋体" w:eastAsia="宋体"/>
          <w:u w:val="single"/>
          <w:lang w:val="en-US" w:eastAsia="zh-CN"/>
        </w:rPr>
      </w:pPr>
      <w:r>
        <w:rPr>
          <w:rFonts w:hint="eastAsia" w:ascii="宋体" w:hAnsi="宋体"/>
        </w:rPr>
        <w:t>投标人代表签字</w:t>
      </w:r>
      <w:r>
        <w:rPr>
          <w:rFonts w:hint="eastAsia" w:ascii="宋体" w:hAnsi="宋体"/>
          <w:u w:val="single"/>
        </w:rPr>
        <w:t xml:space="preserve">：                        </w:t>
      </w:r>
      <w:r>
        <w:rPr>
          <w:rFonts w:hint="eastAsia" w:ascii="宋体" w:hAnsi="宋体"/>
          <w:u w:val="single"/>
          <w:lang w:val="en-US" w:eastAsia="zh-CN"/>
        </w:rPr>
        <w:t xml:space="preserve"> </w:t>
      </w:r>
    </w:p>
    <w:p>
      <w:pPr>
        <w:spacing w:line="360" w:lineRule="auto"/>
        <w:rPr>
          <w:rFonts w:hint="default" w:ascii="宋体" w:hAnsi="宋体" w:eastAsia="宋体"/>
          <w:u w:val="single"/>
          <w:lang w:val="en-US" w:eastAsia="zh-CN"/>
        </w:rPr>
      </w:pPr>
      <w:r>
        <w:rPr>
          <w:rFonts w:hint="eastAsia" w:ascii="宋体" w:hAnsi="宋体"/>
        </w:rPr>
        <w:t>联系电话</w:t>
      </w:r>
      <w:r>
        <w:rPr>
          <w:rFonts w:hint="eastAsia" w:ascii="宋体" w:hAnsi="宋体"/>
          <w:u w:val="single"/>
        </w:rPr>
        <w:t xml:space="preserve">：                       </w:t>
      </w:r>
      <w:r>
        <w:rPr>
          <w:rFonts w:hint="eastAsia" w:ascii="宋体" w:hAnsi="宋体"/>
          <w:u w:val="single"/>
          <w:lang w:val="en-US" w:eastAsia="zh-CN"/>
        </w:rPr>
        <w:t xml:space="preserve">        </w:t>
      </w:r>
    </w:p>
    <w:p>
      <w:pPr>
        <w:spacing w:line="240" w:lineRule="atLeast"/>
        <w:rPr>
          <w:rFonts w:ascii="宋体" w:hAnsi="宋体"/>
        </w:rPr>
      </w:pPr>
    </w:p>
    <w:p>
      <w:pPr>
        <w:spacing w:line="360" w:lineRule="auto"/>
        <w:rPr>
          <w:rFonts w:ascii="宋体" w:hAnsi="宋体"/>
        </w:rPr>
      </w:pPr>
    </w:p>
    <w:p>
      <w:pPr>
        <w:snapToGrid w:val="0"/>
        <w:spacing w:line="360" w:lineRule="auto"/>
        <w:ind w:left="630" w:hanging="630" w:hangingChars="300"/>
        <w:rPr>
          <w:rFonts w:ascii="宋体" w:hAnsi="宋体"/>
          <w:szCs w:val="21"/>
        </w:rPr>
      </w:pPr>
      <w:r>
        <w:rPr>
          <w:rFonts w:hint="eastAsia" w:ascii="宋体" w:hAnsi="宋体"/>
        </w:rPr>
        <w:t>说明：</w:t>
      </w:r>
      <w:r>
        <w:rPr>
          <w:rFonts w:hint="eastAsia"/>
        </w:rPr>
        <w:t xml:space="preserve"> 1、如报价为零，则请在相应报价处标明“免费”字样</w:t>
      </w:r>
      <w:r>
        <w:rPr>
          <w:rFonts w:hint="eastAsia" w:ascii="宋体" w:hAnsi="宋体"/>
          <w:szCs w:val="21"/>
        </w:rPr>
        <w:t>。</w:t>
      </w:r>
    </w:p>
    <w:p>
      <w:pPr>
        <w:spacing w:line="360" w:lineRule="auto"/>
        <w:ind w:left="330"/>
        <w:rPr>
          <w:rStyle w:val="64"/>
          <w:rFonts w:ascii="宋体" w:hAnsi="宋体"/>
          <w:sz w:val="36"/>
          <w:szCs w:val="36"/>
        </w:rPr>
      </w:pPr>
      <w:r>
        <w:rPr>
          <w:rFonts w:hint="eastAsia" w:ascii="宋体" w:hAnsi="宋体"/>
          <w:szCs w:val="21"/>
        </w:rPr>
        <w:t xml:space="preserve">     </w:t>
      </w:r>
      <w:r>
        <w:rPr>
          <w:rStyle w:val="64"/>
          <w:rFonts w:ascii="宋体" w:hAnsi="宋体"/>
          <w:sz w:val="36"/>
          <w:szCs w:val="36"/>
        </w:rPr>
        <w:br w:type="page"/>
      </w:r>
    </w:p>
    <w:p>
      <w:pPr>
        <w:spacing w:line="360" w:lineRule="auto"/>
        <w:ind w:left="330"/>
        <w:rPr>
          <w:rStyle w:val="64"/>
          <w:rFonts w:ascii="宋体" w:hAnsi="宋体"/>
          <w:sz w:val="36"/>
          <w:szCs w:val="36"/>
        </w:rPr>
      </w:pPr>
    </w:p>
    <w:p>
      <w:pPr>
        <w:spacing w:line="360" w:lineRule="auto"/>
        <w:ind w:left="330"/>
        <w:rPr>
          <w:rFonts w:ascii="宋体" w:hAnsi="宋体"/>
          <w:b/>
          <w:sz w:val="36"/>
          <w:szCs w:val="36"/>
        </w:rPr>
      </w:pPr>
      <w:r>
        <w:rPr>
          <w:rStyle w:val="64"/>
          <w:rFonts w:hint="eastAsia" w:ascii="宋体" w:hAnsi="宋体"/>
          <w:sz w:val="36"/>
          <w:szCs w:val="36"/>
        </w:rPr>
        <w:t>附件3：法定代表人授权书</w:t>
      </w:r>
    </w:p>
    <w:p>
      <w:pPr>
        <w:spacing w:line="360" w:lineRule="auto"/>
        <w:rPr>
          <w:rFonts w:ascii="宋体" w:hAnsi="宋体"/>
          <w:b/>
        </w:rPr>
      </w:pPr>
    </w:p>
    <w:p>
      <w:pPr>
        <w:spacing w:line="360" w:lineRule="auto"/>
        <w:jc w:val="center"/>
        <w:rPr>
          <w:rFonts w:ascii="宋体" w:hAnsi="宋体"/>
          <w:b/>
        </w:rPr>
      </w:pPr>
    </w:p>
    <w:p>
      <w:pPr>
        <w:spacing w:line="360" w:lineRule="auto"/>
        <w:rPr>
          <w:rFonts w:ascii="宋体" w:hAnsi="宋体"/>
          <w:szCs w:val="21"/>
        </w:rPr>
      </w:pPr>
      <w:r>
        <w:rPr>
          <w:rFonts w:hint="eastAsia" w:ascii="宋体" w:hAnsi="宋体"/>
        </w:rPr>
        <w:t xml:space="preserve">    本授权书声明：注册于[</w:t>
      </w:r>
      <w:r>
        <w:rPr>
          <w:rFonts w:hint="eastAsia" w:ascii="宋体" w:hAnsi="宋体"/>
          <w:u w:val="single"/>
        </w:rPr>
        <w:t>国家或地区的名称</w:t>
      </w:r>
      <w:r>
        <w:rPr>
          <w:rFonts w:hint="eastAsia" w:ascii="宋体" w:hAnsi="宋体"/>
        </w:rPr>
        <w:t>]的[</w:t>
      </w:r>
      <w:r>
        <w:rPr>
          <w:rFonts w:hint="eastAsia" w:ascii="宋体" w:hAnsi="宋体"/>
          <w:u w:val="single"/>
        </w:rPr>
        <w:t>公司名称</w:t>
      </w:r>
      <w:r>
        <w:rPr>
          <w:rFonts w:hint="eastAsia" w:ascii="宋体" w:hAnsi="宋体"/>
        </w:rPr>
        <w:t>]的在下面签字的[</w:t>
      </w:r>
      <w:r>
        <w:rPr>
          <w:rFonts w:hint="eastAsia" w:ascii="宋体" w:hAnsi="宋体"/>
          <w:u w:val="single"/>
        </w:rPr>
        <w:t>法定代表人姓名、职务</w:t>
      </w:r>
      <w:r>
        <w:rPr>
          <w:rFonts w:hint="eastAsia" w:ascii="宋体" w:hAnsi="宋体"/>
        </w:rPr>
        <w:t>]代表</w:t>
      </w:r>
      <w:r>
        <w:rPr>
          <w:rFonts w:hint="eastAsia" w:ascii="宋体" w:hAnsi="宋体"/>
          <w:szCs w:val="21"/>
        </w:rPr>
        <w:t>本公司授权[</w:t>
      </w:r>
      <w:r>
        <w:rPr>
          <w:rFonts w:hint="eastAsia" w:ascii="宋体" w:hAnsi="宋体"/>
          <w:szCs w:val="21"/>
          <w:u w:val="single"/>
        </w:rPr>
        <w:t>单位名称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]为本公司的合法代理人，就[</w:t>
      </w:r>
      <w:r>
        <w:rPr>
          <w:rFonts w:hint="eastAsia" w:ascii="宋体" w:hAnsi="宋体"/>
          <w:szCs w:val="21"/>
          <w:u w:val="single"/>
        </w:rPr>
        <w:t>项目名称、招标编号</w:t>
      </w:r>
      <w:r>
        <w:rPr>
          <w:rFonts w:hint="eastAsia" w:ascii="宋体" w:hAnsi="宋体"/>
          <w:szCs w:val="21"/>
        </w:rPr>
        <w:t>]参与投标，以本公司名义处理一切与之有关的事务。</w:t>
      </w:r>
    </w:p>
    <w:p>
      <w:pPr>
        <w:spacing w:after="720" w:line="360" w:lineRule="auto"/>
        <w:rPr>
          <w:rFonts w:ascii="宋体" w:hAnsi="宋体"/>
          <w:szCs w:val="21"/>
        </w:rPr>
      </w:pPr>
      <w:r>
        <w:rPr>
          <w:rFonts w:hint="eastAsia" w:ascii="宋体" w:hAnsi="宋体"/>
          <w:szCs w:val="21"/>
        </w:rPr>
        <w:t xml:space="preserve">    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360" w:lineRule="auto"/>
        <w:rPr>
          <w:rFonts w:ascii="宋体" w:hAnsi="宋体"/>
          <w:u w:val="single"/>
        </w:rPr>
      </w:pPr>
      <w:r>
        <w:rPr>
          <w:rFonts w:hint="eastAsia" w:ascii="宋体" w:hAnsi="宋体"/>
        </w:rPr>
        <w:t>投标人名称（盖章）</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法定代表人签字或签章</w:t>
      </w:r>
      <w:r>
        <w:rPr>
          <w:rFonts w:hint="eastAsia" w:ascii="宋体" w:hAnsi="宋体"/>
          <w:u w:val="single"/>
        </w:rPr>
        <w:t xml:space="preserve">                         </w:t>
      </w:r>
    </w:p>
    <w:p>
      <w:pPr>
        <w:spacing w:line="360" w:lineRule="auto"/>
        <w:rPr>
          <w:rFonts w:ascii="宋体" w:hAnsi="宋体"/>
          <w:u w:val="single"/>
        </w:rPr>
      </w:pPr>
      <w:r>
        <w:rPr>
          <w:rFonts w:hint="eastAsia" w:ascii="宋体" w:hAnsi="宋体"/>
        </w:rPr>
        <w:t>被授权人签字</w:t>
      </w:r>
      <w:r>
        <w:rPr>
          <w:rFonts w:hint="eastAsia" w:ascii="宋体" w:hAnsi="宋体"/>
          <w:u w:val="single"/>
        </w:rPr>
        <w:t xml:space="preserve">                                  </w:t>
      </w:r>
    </w:p>
    <w:p>
      <w:pPr>
        <w:spacing w:line="360" w:lineRule="auto"/>
        <w:rPr>
          <w:rStyle w:val="64"/>
          <w:rFonts w:ascii="Times New Roman" w:hAnsi="Times New Roman" w:eastAsia="宋体"/>
          <w:b w:val="0"/>
          <w:bCs w:val="0"/>
          <w:sz w:val="21"/>
          <w:szCs w:val="20"/>
        </w:rPr>
      </w:pPr>
      <w:r>
        <w:rPr>
          <w:rFonts w:ascii="宋体" w:hAnsi="宋体"/>
        </w:rPr>
        <w:br w:type="page"/>
      </w:r>
      <w:bookmarkStart w:id="7" w:name="_Toc135999012"/>
      <w:bookmarkStart w:id="8" w:name="_Toc161767433"/>
      <w:r>
        <w:rPr>
          <w:rStyle w:val="64"/>
          <w:rFonts w:hint="eastAsia" w:ascii="宋体" w:hAnsi="宋体"/>
          <w:sz w:val="36"/>
          <w:szCs w:val="36"/>
        </w:rPr>
        <w:t>附件4：资格证明文件</w:t>
      </w:r>
      <w:bookmarkEnd w:id="7"/>
      <w:bookmarkEnd w:id="8"/>
    </w:p>
    <w:p>
      <w:pPr>
        <w:spacing w:line="360" w:lineRule="auto"/>
        <w:rPr>
          <w:rFonts w:ascii="宋体"/>
        </w:rPr>
      </w:pPr>
    </w:p>
    <w:p>
      <w:pPr>
        <w:spacing w:line="360" w:lineRule="auto"/>
        <w:rPr>
          <w:rFonts w:ascii="宋体"/>
        </w:rPr>
      </w:pPr>
      <w:r>
        <w:rPr>
          <w:rFonts w:hint="eastAsia" w:ascii="宋体"/>
        </w:rPr>
        <w:t>填写须知</w:t>
      </w:r>
    </w:p>
    <w:p>
      <w:pPr>
        <w:numPr>
          <w:ilvl w:val="0"/>
          <w:numId w:val="30"/>
        </w:numPr>
        <w:spacing w:line="360" w:lineRule="auto"/>
        <w:rPr>
          <w:rFonts w:ascii="宋体"/>
        </w:rPr>
      </w:pPr>
      <w:r>
        <w:rPr>
          <w:rFonts w:hint="eastAsia" w:ascii="宋体"/>
        </w:rPr>
        <w:t>投标人应填写和提交下述规定的全部格式以及其它有关资料。</w:t>
      </w:r>
    </w:p>
    <w:p>
      <w:pPr>
        <w:numPr>
          <w:ilvl w:val="0"/>
          <w:numId w:val="30"/>
        </w:numPr>
        <w:spacing w:line="360" w:lineRule="auto"/>
        <w:rPr>
          <w:rFonts w:ascii="宋体"/>
        </w:rPr>
      </w:pPr>
      <w:r>
        <w:rPr>
          <w:rFonts w:hint="eastAsia" w:ascii="宋体"/>
        </w:rPr>
        <w:t>所附格式中要求填写的全部问题和/或信息都必须填写。</w:t>
      </w:r>
    </w:p>
    <w:p>
      <w:pPr>
        <w:numPr>
          <w:ilvl w:val="0"/>
          <w:numId w:val="30"/>
        </w:numPr>
        <w:spacing w:line="360" w:lineRule="auto"/>
        <w:rPr>
          <w:rFonts w:ascii="宋体"/>
        </w:rPr>
      </w:pPr>
      <w:r>
        <w:rPr>
          <w:rFonts w:hint="eastAsia" w:ascii="宋体"/>
        </w:rPr>
        <w:t>本资格声明的签字人应保证全部声明和填写的内容是真实的和正确的。</w:t>
      </w:r>
    </w:p>
    <w:p>
      <w:pPr>
        <w:numPr>
          <w:ilvl w:val="0"/>
          <w:numId w:val="30"/>
        </w:numPr>
        <w:spacing w:line="360" w:lineRule="auto"/>
        <w:rPr>
          <w:rFonts w:ascii="宋体"/>
        </w:rPr>
      </w:pPr>
      <w:r>
        <w:rPr>
          <w:rFonts w:hint="eastAsia" w:ascii="宋体"/>
        </w:rPr>
        <w:t>投标人提交的材料将被保密，但不退还。</w:t>
      </w:r>
    </w:p>
    <w:p>
      <w:pPr>
        <w:numPr>
          <w:ilvl w:val="0"/>
          <w:numId w:val="30"/>
        </w:numPr>
        <w:spacing w:line="360" w:lineRule="auto"/>
        <w:rPr>
          <w:rFonts w:ascii="宋体"/>
        </w:rPr>
      </w:pPr>
      <w:r>
        <w:rPr>
          <w:rFonts w:hint="eastAsia" w:ascii="宋体"/>
        </w:rPr>
        <w:t>全部文件应按规定的语言和份数提交。</w:t>
      </w:r>
    </w:p>
    <w:p>
      <w:pPr>
        <w:spacing w:line="360" w:lineRule="auto"/>
        <w:rPr>
          <w:rFonts w:ascii="宋体"/>
        </w:rPr>
      </w:pPr>
    </w:p>
    <w:p>
      <w:pPr>
        <w:spacing w:after="240" w:line="360" w:lineRule="auto"/>
        <w:jc w:val="center"/>
        <w:rPr>
          <w:rFonts w:ascii="黑体" w:eastAsia="黑体"/>
          <w:b/>
        </w:rPr>
      </w:pPr>
      <w:r>
        <w:rPr>
          <w:rFonts w:ascii="宋体"/>
        </w:rPr>
        <w:br w:type="page"/>
      </w:r>
      <w:r>
        <w:rPr>
          <w:rFonts w:hint="eastAsia" w:ascii="黑体" w:eastAsia="黑体"/>
          <w:b/>
        </w:rPr>
        <w:t>4-1 资格声明</w:t>
      </w:r>
    </w:p>
    <w:p>
      <w:pPr>
        <w:spacing w:line="360" w:lineRule="auto"/>
        <w:rPr>
          <w:rFonts w:ascii="宋体"/>
        </w:rPr>
      </w:pPr>
      <w:r>
        <w:rPr>
          <w:rFonts w:hint="eastAsia" w:ascii="宋体"/>
        </w:rPr>
        <w:t>致：江苏有线网络发展有限责任公司通州分公司</w:t>
      </w:r>
      <w:r>
        <w:rPr>
          <w:rFonts w:hint="eastAsia" w:ascii="宋体" w:hAnsi="宋体"/>
          <w:szCs w:val="21"/>
        </w:rPr>
        <w:t>：</w:t>
      </w:r>
    </w:p>
    <w:p>
      <w:pPr>
        <w:spacing w:after="240" w:line="360" w:lineRule="auto"/>
        <w:jc w:val="center"/>
        <w:rPr>
          <w:rFonts w:ascii="黑体" w:eastAsia="黑体"/>
          <w:b/>
        </w:rPr>
      </w:pPr>
      <w:r>
        <w:rPr>
          <w:rFonts w:hint="eastAsia" w:ascii="黑体" w:eastAsia="黑体"/>
          <w:b/>
        </w:rPr>
        <w:t>资格声明</w:t>
      </w:r>
    </w:p>
    <w:p>
      <w:pPr>
        <w:spacing w:line="360" w:lineRule="auto"/>
        <w:rPr>
          <w:rFonts w:ascii="宋体"/>
        </w:rPr>
      </w:pPr>
      <w:r>
        <w:rPr>
          <w:rFonts w:hint="eastAsia" w:ascii="宋体"/>
        </w:rPr>
        <w:t>尊敬的女士/先生：</w:t>
      </w:r>
    </w:p>
    <w:p>
      <w:pPr>
        <w:spacing w:line="360" w:lineRule="auto"/>
        <w:ind w:firstLine="630"/>
        <w:rPr>
          <w:rFonts w:ascii="宋体"/>
        </w:rPr>
      </w:pPr>
      <w:r>
        <w:rPr>
          <w:rFonts w:hint="eastAsia" w:ascii="宋体"/>
        </w:rPr>
        <w:t>为响应你方的[</w:t>
      </w:r>
      <w:r>
        <w:rPr>
          <w:rFonts w:hint="eastAsia" w:ascii="宋体"/>
          <w:u w:val="single"/>
        </w:rPr>
        <w:t>招标编号]</w:t>
      </w:r>
      <w:r>
        <w:rPr>
          <w:rFonts w:hint="eastAsia" w:ascii="宋体"/>
        </w:rPr>
        <w:t>招标公告，下述签字人自愿参与投标，提供招标文件技术需求书中规定的[</w:t>
      </w:r>
      <w:r>
        <w:rPr>
          <w:rFonts w:hint="eastAsia" w:ascii="宋体"/>
          <w:u w:val="single"/>
        </w:rPr>
        <w:t>货物/服务名称]</w:t>
      </w:r>
      <w:r>
        <w:rPr>
          <w:rFonts w:hint="eastAsia" w:ascii="宋体"/>
        </w:rPr>
        <w:t>，提交下述文件并声明全部说明是真实的和正确的。下述签字人将就下述文件中存在的虚假或不真实内容对招标代理机构和招标人承担法律责任。</w:t>
      </w:r>
    </w:p>
    <w:p>
      <w:pPr>
        <w:numPr>
          <w:ilvl w:val="0"/>
          <w:numId w:val="31"/>
        </w:numPr>
        <w:spacing w:line="360" w:lineRule="auto"/>
        <w:rPr>
          <w:rFonts w:ascii="宋体"/>
        </w:rPr>
      </w:pPr>
      <w:r>
        <w:rPr>
          <w:rFonts w:hint="eastAsia" w:ascii="宋体"/>
        </w:rPr>
        <w:t>我方的资格声明，各有[</w:t>
      </w:r>
      <w:r>
        <w:rPr>
          <w:rFonts w:hint="eastAsia" w:ascii="宋体"/>
          <w:u w:val="single"/>
        </w:rPr>
        <w:t xml:space="preserve">  </w:t>
      </w:r>
      <w:r>
        <w:rPr>
          <w:rFonts w:hint="eastAsia" w:ascii="宋体"/>
        </w:rPr>
        <w:t>]份正本，[</w:t>
      </w:r>
      <w:r>
        <w:rPr>
          <w:rFonts w:hint="eastAsia" w:ascii="宋体"/>
          <w:u w:val="single"/>
        </w:rPr>
        <w:t xml:space="preserve">  </w:t>
      </w:r>
      <w:r>
        <w:rPr>
          <w:rFonts w:hint="eastAsia" w:ascii="宋体"/>
        </w:rPr>
        <w:t>]份副本。</w:t>
      </w:r>
    </w:p>
    <w:p>
      <w:pPr>
        <w:numPr>
          <w:ilvl w:val="0"/>
          <w:numId w:val="31"/>
        </w:numPr>
        <w:spacing w:line="360" w:lineRule="auto"/>
        <w:rPr>
          <w:rFonts w:ascii="宋体"/>
        </w:rPr>
      </w:pPr>
      <w:r>
        <w:rPr>
          <w:rFonts w:hint="eastAsia" w:ascii="宋体"/>
        </w:rPr>
        <w:t>下述签字人证明本资格文件中的内容是真实的和正确的。</w:t>
      </w:r>
    </w:p>
    <w:p>
      <w:pPr>
        <w:numPr>
          <w:ilvl w:val="0"/>
          <w:numId w:val="31"/>
        </w:numPr>
        <w:spacing w:line="360" w:lineRule="auto"/>
        <w:rPr>
          <w:rFonts w:ascii="宋体"/>
        </w:rPr>
      </w:pPr>
      <w:r>
        <w:rPr>
          <w:rFonts w:hint="eastAsia" w:ascii="宋体"/>
        </w:rPr>
        <w:t>下述签字人知道，招标人可能要求其提供进一步的资格材料并同意按招标人的要求提交。</w:t>
      </w:r>
    </w:p>
    <w:p>
      <w:pPr>
        <w:spacing w:line="360" w:lineRule="auto"/>
        <w:rPr>
          <w:rFonts w:ascii="宋体"/>
          <w:b/>
        </w:rPr>
      </w:pPr>
    </w:p>
    <w:p>
      <w:pPr>
        <w:spacing w:line="360" w:lineRule="auto"/>
        <w:rPr>
          <w:rFonts w:ascii="宋体"/>
        </w:rPr>
      </w:pPr>
      <w:r>
        <w:rPr>
          <w:rFonts w:hint="eastAsia" w:ascii="宋体"/>
          <w:b/>
        </w:rPr>
        <w:t xml:space="preserve">投标人 </w:t>
      </w:r>
      <w:r>
        <w:rPr>
          <w:rFonts w:hint="eastAsia" w:ascii="宋体"/>
        </w:rPr>
        <w:t xml:space="preserve">                  </w:t>
      </w:r>
      <w:r>
        <w:rPr>
          <w:rFonts w:ascii="宋体"/>
        </w:rPr>
        <w:t xml:space="preserve">              </w:t>
      </w:r>
      <w:r>
        <w:rPr>
          <w:rFonts w:hint="eastAsia" w:ascii="宋体"/>
        </w:rPr>
        <w:t>授权签署本资格文件</w:t>
      </w:r>
    </w:p>
    <w:p>
      <w:pPr>
        <w:spacing w:line="360" w:lineRule="auto"/>
        <w:rPr>
          <w:rFonts w:ascii="宋体"/>
        </w:rPr>
      </w:pPr>
      <w:r>
        <w:rPr>
          <w:rFonts w:hint="eastAsia" w:ascii="宋体"/>
        </w:rPr>
        <w:t>名称（盖章）</w:t>
      </w:r>
      <w:r>
        <w:rPr>
          <w:rFonts w:ascii="宋体"/>
          <w:u w:val="single"/>
        </w:rPr>
        <w:t xml:space="preserve">                     </w:t>
      </w:r>
      <w:r>
        <w:rPr>
          <w:rFonts w:hint="eastAsia" w:ascii="宋体"/>
        </w:rPr>
        <w:t xml:space="preserve">      签字人姓名、职务（印刷字体）</w:t>
      </w:r>
    </w:p>
    <w:p>
      <w:pPr>
        <w:spacing w:line="360" w:lineRule="auto"/>
        <w:rPr>
          <w:rFonts w:ascii="宋体"/>
        </w:rPr>
      </w:pPr>
      <w:r>
        <w:rPr>
          <w:rFonts w:hint="eastAsia" w:ascii="宋体"/>
        </w:rPr>
        <w:t>地址</w:t>
      </w:r>
      <w:r>
        <w:rPr>
          <w:rFonts w:ascii="宋体"/>
          <w:u w:val="single"/>
        </w:rPr>
        <w:t xml:space="preserve">                             </w:t>
      </w:r>
      <w:r>
        <w:rPr>
          <w:rFonts w:hint="eastAsia" w:ascii="宋体"/>
        </w:rPr>
        <w:t xml:space="preserve">      </w:t>
      </w:r>
      <w:r>
        <w:rPr>
          <w:rFonts w:ascii="宋体"/>
          <w:u w:val="single"/>
        </w:rPr>
        <w:t xml:space="preserve">                            </w:t>
      </w:r>
    </w:p>
    <w:p>
      <w:pPr>
        <w:spacing w:line="360" w:lineRule="auto"/>
        <w:rPr>
          <w:rFonts w:ascii="宋体"/>
          <w:u w:val="single"/>
        </w:rPr>
      </w:pPr>
      <w:r>
        <w:rPr>
          <w:rFonts w:hint="eastAsia" w:ascii="宋体"/>
        </w:rPr>
        <w:t>传真</w:t>
      </w:r>
      <w:r>
        <w:rPr>
          <w:rFonts w:ascii="宋体"/>
          <w:u w:val="single"/>
        </w:rPr>
        <w:t xml:space="preserve">                             </w:t>
      </w:r>
      <w:r>
        <w:rPr>
          <w:rFonts w:hint="eastAsia" w:ascii="宋体"/>
        </w:rPr>
        <w:t xml:space="preserve">      签字</w:t>
      </w:r>
      <w:r>
        <w:rPr>
          <w:rFonts w:ascii="宋体"/>
          <w:u w:val="single"/>
        </w:rPr>
        <w:t xml:space="preserve">                        </w:t>
      </w:r>
    </w:p>
    <w:p>
      <w:pPr>
        <w:spacing w:line="360" w:lineRule="auto"/>
        <w:rPr>
          <w:rFonts w:ascii="宋体"/>
          <w:u w:val="single"/>
        </w:rPr>
      </w:pPr>
      <w:r>
        <w:rPr>
          <w:rFonts w:hint="eastAsia" w:ascii="宋体"/>
        </w:rPr>
        <w:t>邮编</w:t>
      </w:r>
      <w:r>
        <w:rPr>
          <w:rFonts w:ascii="宋体"/>
          <w:u w:val="single"/>
        </w:rPr>
        <w:t xml:space="preserve">                             </w:t>
      </w:r>
      <w:r>
        <w:rPr>
          <w:rFonts w:hint="eastAsia" w:ascii="宋体"/>
        </w:rPr>
        <w:t xml:space="preserve">      电话</w:t>
      </w:r>
      <w:r>
        <w:rPr>
          <w:rFonts w:ascii="宋体"/>
          <w:u w:val="single"/>
        </w:rPr>
        <w:t xml:space="preserve">                        </w:t>
      </w:r>
    </w:p>
    <w:p>
      <w:pPr>
        <w:spacing w:line="360" w:lineRule="auto"/>
        <w:rPr>
          <w:rFonts w:ascii="宋体"/>
          <w:u w:val="single"/>
        </w:rPr>
      </w:pPr>
    </w:p>
    <w:p>
      <w:pPr>
        <w:widowControl/>
        <w:jc w:val="left"/>
        <w:rPr>
          <w:rFonts w:ascii="宋体"/>
          <w:u w:val="single"/>
        </w:rPr>
      </w:pPr>
      <w:r>
        <w:rPr>
          <w:rFonts w:ascii="宋体"/>
          <w:u w:val="single"/>
        </w:rPr>
        <w:br w:type="page"/>
      </w:r>
    </w:p>
    <w:p>
      <w:pPr>
        <w:spacing w:line="360" w:lineRule="auto"/>
        <w:rPr>
          <w:rFonts w:ascii="黑体" w:eastAsia="黑体"/>
          <w:b/>
          <w:bCs/>
        </w:rPr>
      </w:pPr>
    </w:p>
    <w:p>
      <w:pPr>
        <w:pStyle w:val="28"/>
        <w:ind w:firstLine="632" w:firstLineChars="300"/>
        <w:jc w:val="center"/>
        <w:rPr>
          <w:rFonts w:ascii="黑体" w:eastAsia="黑体"/>
          <w:b/>
          <w:bCs/>
        </w:rPr>
      </w:pPr>
      <w:r>
        <w:rPr>
          <w:rFonts w:hint="eastAsia" w:ascii="黑体" w:eastAsia="黑体"/>
          <w:b/>
          <w:bCs/>
        </w:rPr>
        <w:t>4-2原厂商直接保修和服务的承诺</w:t>
      </w:r>
    </w:p>
    <w:p>
      <w:pPr>
        <w:pStyle w:val="28"/>
      </w:pPr>
    </w:p>
    <w:p>
      <w:pPr>
        <w:pStyle w:val="28"/>
        <w:spacing w:line="360" w:lineRule="auto"/>
      </w:pPr>
      <w:r>
        <w:t>致：</w:t>
      </w:r>
      <w:r>
        <w:rPr>
          <w:rFonts w:hint="eastAsia"/>
        </w:rPr>
        <w:t>江苏有线网络发展有限责任公司通州分公司</w:t>
      </w:r>
    </w:p>
    <w:p>
      <w:pPr>
        <w:pStyle w:val="28"/>
        <w:spacing w:line="360" w:lineRule="auto"/>
        <w:ind w:firstLine="420"/>
      </w:pPr>
      <w:r>
        <w:t>我们</w:t>
      </w:r>
      <w:r>
        <w:rPr>
          <w:rFonts w:hint="eastAsia"/>
        </w:rPr>
        <w:t>[</w:t>
      </w:r>
      <w:r>
        <w:rPr>
          <w:rFonts w:hint="eastAsia"/>
          <w:u w:val="single"/>
        </w:rPr>
        <w:t>投标人</w:t>
      </w:r>
      <w:r>
        <w:rPr>
          <w:u w:val="single"/>
        </w:rPr>
        <w:t>名称</w:t>
      </w:r>
      <w:r>
        <w:rPr>
          <w:rFonts w:hint="eastAsia"/>
        </w:rPr>
        <w:t>]</w:t>
      </w:r>
      <w:r>
        <w:t>是按</w:t>
      </w:r>
      <w:r>
        <w:rPr>
          <w:rFonts w:hint="eastAsia"/>
        </w:rPr>
        <w:t>[</w:t>
      </w:r>
      <w:r>
        <w:rPr>
          <w:u w:val="single"/>
        </w:rPr>
        <w:t>国家名称</w:t>
      </w:r>
      <w:r>
        <w:rPr>
          <w:rFonts w:hint="eastAsia"/>
        </w:rPr>
        <w:t>]</w:t>
      </w:r>
      <w:r>
        <w:t>法律成立的一家</w:t>
      </w:r>
      <w:r>
        <w:rPr>
          <w:rFonts w:hint="eastAsia"/>
          <w:u w:val="single"/>
        </w:rPr>
        <w:t xml:space="preserve"> [公司类型] </w:t>
      </w:r>
      <w:r>
        <w:rPr>
          <w:rFonts w:hint="eastAsia"/>
        </w:rPr>
        <w:t>公司</w:t>
      </w:r>
      <w:r>
        <w:t>，主要营业地点设在</w:t>
      </w:r>
      <w:r>
        <w:rPr>
          <w:rFonts w:hint="eastAsia"/>
        </w:rPr>
        <w:t>[</w:t>
      </w:r>
      <w:r>
        <w:rPr>
          <w:rFonts w:hint="eastAsia"/>
          <w:u w:val="single"/>
        </w:rPr>
        <w:t>投标人</w:t>
      </w:r>
      <w:r>
        <w:rPr>
          <w:u w:val="single"/>
        </w:rPr>
        <w:t>地址</w:t>
      </w:r>
      <w:r>
        <w:rPr>
          <w:rFonts w:hint="eastAsia"/>
        </w:rPr>
        <w:t>]，根据</w:t>
      </w:r>
      <w:r>
        <w:t>贵方</w:t>
      </w:r>
      <w:r>
        <w:rPr>
          <w:rFonts w:hint="eastAsia"/>
        </w:rPr>
        <w:t>招标公告</w:t>
      </w:r>
      <w:r>
        <w:t>要求提供由我方制造的货物。</w:t>
      </w:r>
    </w:p>
    <w:p>
      <w:pPr>
        <w:pStyle w:val="28"/>
        <w:spacing w:line="360" w:lineRule="auto"/>
        <w:ind w:firstLine="420"/>
      </w:pPr>
      <w:r>
        <w:rPr>
          <w:rFonts w:hint="eastAsia"/>
        </w:rPr>
        <w:t>如我公司在本项目中中标，我方承诺：</w:t>
      </w:r>
    </w:p>
    <w:p>
      <w:pPr>
        <w:pStyle w:val="28"/>
        <w:spacing w:line="360" w:lineRule="auto"/>
        <w:ind w:firstLine="420"/>
        <w:rPr>
          <w:u w:val="single"/>
        </w:rPr>
      </w:pPr>
      <w:r>
        <w:rPr>
          <w:rFonts w:hint="eastAsia"/>
        </w:rPr>
        <w:t>在实际履约过程中，只要是为本项目所提供的产品，不论是从我方直接采购或通过其它渠道获得，我方均提供全部原厂商质保和服务。</w:t>
      </w:r>
    </w:p>
    <w:p>
      <w:pPr>
        <w:pStyle w:val="28"/>
        <w:spacing w:line="360" w:lineRule="auto"/>
        <w:ind w:left="420"/>
      </w:pPr>
      <w:r>
        <w:rPr>
          <w:rFonts w:hint="eastAsia"/>
        </w:rPr>
        <w:t>我方于[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]日签署本文件。</w:t>
      </w:r>
    </w:p>
    <w:p>
      <w:pPr>
        <w:pStyle w:val="28"/>
        <w:spacing w:line="360" w:lineRule="auto"/>
        <w:ind w:left="420"/>
      </w:pPr>
      <w:r>
        <w:rPr>
          <w:rFonts w:hint="eastAsia"/>
        </w:rPr>
        <w:t>特此承诺。</w:t>
      </w:r>
    </w:p>
    <w:p>
      <w:pPr>
        <w:pStyle w:val="28"/>
        <w:spacing w:line="360" w:lineRule="auto"/>
        <w:ind w:left="420"/>
      </w:pPr>
    </w:p>
    <w:p>
      <w:pPr>
        <w:pStyle w:val="28"/>
        <w:spacing w:line="360" w:lineRule="auto"/>
        <w:ind w:left="420"/>
      </w:pPr>
      <w:r>
        <w:rPr>
          <w:rFonts w:hint="eastAsia"/>
        </w:rPr>
        <w:t>投标人名称（盖章）</w:t>
      </w:r>
      <w:r>
        <w:rPr>
          <w:rFonts w:hint="eastAsia"/>
          <w:u w:val="single"/>
        </w:rPr>
        <w:t xml:space="preserve">                </w:t>
      </w:r>
      <w:r>
        <w:rPr>
          <w:rFonts w:hint="eastAsia"/>
        </w:rPr>
        <w:t xml:space="preserve">    </w:t>
      </w:r>
    </w:p>
    <w:p>
      <w:pPr>
        <w:pStyle w:val="28"/>
        <w:spacing w:line="360" w:lineRule="auto"/>
        <w:ind w:left="420"/>
      </w:pPr>
      <w:r>
        <w:rPr>
          <w:rFonts w:hint="eastAsia"/>
        </w:rPr>
        <w:t>签字人职务和部门</w:t>
      </w:r>
      <w:r>
        <w:rPr>
          <w:rFonts w:hint="eastAsia"/>
          <w:u w:val="single"/>
        </w:rPr>
        <w:t xml:space="preserve">                  </w:t>
      </w:r>
      <w:r>
        <w:rPr>
          <w:rFonts w:hint="eastAsia"/>
        </w:rPr>
        <w:t xml:space="preserve">   </w:t>
      </w:r>
    </w:p>
    <w:p>
      <w:pPr>
        <w:pStyle w:val="28"/>
        <w:spacing w:line="360" w:lineRule="auto"/>
        <w:ind w:left="420"/>
        <w:rPr>
          <w:u w:val="single"/>
        </w:rPr>
      </w:pPr>
      <w:r>
        <w:rPr>
          <w:rFonts w:hint="eastAsia"/>
        </w:rPr>
        <w:t>签字人姓名</w:t>
      </w:r>
      <w:r>
        <w:rPr>
          <w:rFonts w:hint="eastAsia"/>
          <w:u w:val="single"/>
        </w:rPr>
        <w:t xml:space="preserve">                        </w:t>
      </w:r>
    </w:p>
    <w:p>
      <w:pPr>
        <w:pStyle w:val="28"/>
        <w:spacing w:line="360" w:lineRule="auto"/>
        <w:ind w:left="420"/>
        <w:rPr>
          <w:u w:val="single"/>
        </w:rPr>
      </w:pPr>
      <w:r>
        <w:rPr>
          <w:rFonts w:hint="eastAsia"/>
        </w:rPr>
        <w:t>签字人签名</w:t>
      </w:r>
      <w:r>
        <w:rPr>
          <w:rFonts w:hint="eastAsia"/>
          <w:u w:val="single"/>
        </w:rPr>
        <w:t xml:space="preserve">                        </w:t>
      </w:r>
    </w:p>
    <w:p>
      <w:pPr>
        <w:widowControl/>
        <w:jc w:val="left"/>
        <w:rPr>
          <w:rFonts w:ascii="宋体" w:hAnsi="Courier New"/>
          <w:u w:val="single"/>
        </w:rPr>
      </w:pPr>
      <w:r>
        <w:rPr>
          <w:u w:val="single"/>
        </w:rPr>
        <w:br w:type="page"/>
      </w:r>
    </w:p>
    <w:p>
      <w:pPr>
        <w:pStyle w:val="28"/>
        <w:ind w:firstLine="632" w:firstLineChars="300"/>
        <w:jc w:val="center"/>
        <w:rPr>
          <w:rFonts w:ascii="黑体" w:eastAsia="黑体"/>
          <w:b/>
          <w:bCs/>
        </w:rPr>
      </w:pPr>
      <w:r>
        <w:rPr>
          <w:rFonts w:hint="eastAsia" w:ascii="黑体" w:eastAsia="黑体"/>
          <w:b/>
          <w:bCs/>
        </w:rPr>
        <w:t>4-3华为提供的软件及硬件授权证书</w:t>
      </w:r>
    </w:p>
    <w:p>
      <w:pPr>
        <w:pStyle w:val="28"/>
        <w:rPr>
          <w:u w:val="single"/>
        </w:rPr>
      </w:pPr>
    </w:p>
    <w:sectPr>
      <w:headerReference r:id="rId4" w:type="default"/>
      <w:pgSz w:w="11906" w:h="16838"/>
      <w:pgMar w:top="1304" w:right="1247" w:bottom="1304"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0000000000000000000"/>
    <w:charset w:val="86"/>
    <w:family w:val="auto"/>
    <w:pitch w:val="default"/>
    <w:sig w:usb0="00000000" w:usb1="00000000" w:usb2="00000010" w:usb3="00000000" w:csb0="0004009F" w:csb1="00000000"/>
  </w:font>
  <w:font w:name="Arial Unicode MS">
    <w:altName w:val="Vijaya"/>
    <w:panose1 w:val="020B0604020000020204"/>
    <w:charset w:val="00"/>
    <w:family w:val="roman"/>
    <w:pitch w:val="default"/>
    <w:sig w:usb0="00000000" w:usb1="00000000" w:usb2="00000000" w:usb3="00000000" w:csb0="00000001" w:csb1="00000000"/>
  </w:font>
  <w:font w:name="Arial Narrow">
    <w:altName w:val="Arial"/>
    <w:panose1 w:val="020B0606020000030204"/>
    <w:charset w:val="00"/>
    <w:family w:val="swiss"/>
    <w:pitch w:val="default"/>
    <w:sig w:usb0="00000000" w:usb1="00000000" w:usb2="00000000" w:usb3="00000000" w:csb0="2000009F" w:csb1="DFD70000"/>
  </w:font>
  <w:font w:name="全真中明體">
    <w:altName w:val="MingLiU"/>
    <w:panose1 w:val="00000000000000000000"/>
    <w:charset w:val="88"/>
    <w:family w:val="modern"/>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MS Mincho">
    <w:panose1 w:val="02020609040205080304"/>
    <w:charset w:val="80"/>
    <w:family w:val="modern"/>
    <w:pitch w:val="default"/>
    <w:sig w:usb0="E00002FF" w:usb1="6AC7FDFB" w:usb2="00000012" w:usb3="00000000" w:csb0="4002009F" w:csb1="DFD70000"/>
  </w:font>
  <w:font w:name="Century Gothic">
    <w:altName w:val="Segoe UI"/>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14"/>
      <w:lvlText w:val="%1."/>
      <w:lvlJc w:val="left"/>
      <w:pPr>
        <w:tabs>
          <w:tab w:val="left" w:pos="360"/>
        </w:tabs>
        <w:ind w:left="360" w:hanging="360"/>
      </w:pPr>
    </w:lvl>
  </w:abstractNum>
  <w:abstractNum w:abstractNumId="1">
    <w:nsid w:val="00000001"/>
    <w:multiLevelType w:val="multilevel"/>
    <w:tmpl w:val="00000001"/>
    <w:lvl w:ilvl="0" w:tentative="0">
      <w:start w:val="1"/>
      <w:numFmt w:val="decimal"/>
      <w:lvlText w:val=" %1"/>
      <w:lvlJc w:val="left"/>
      <w:pPr>
        <w:tabs>
          <w:tab w:val="left" w:pos="907"/>
        </w:tabs>
        <w:ind w:left="1191" w:hanging="964"/>
      </w:pPr>
      <w:rPr>
        <w:rFonts w:hint="default" w:ascii="Tahoma" w:hAnsi="Tahoma"/>
        <w:b/>
        <w:i w:val="0"/>
        <w:spacing w:val="40"/>
        <w:sz w:val="21"/>
        <w:szCs w:val="21"/>
      </w:rPr>
    </w:lvl>
    <w:lvl w:ilvl="1" w:tentative="0">
      <w:start w:val="1"/>
      <w:numFmt w:val="decimal"/>
      <w:pStyle w:val="129"/>
      <w:lvlText w:val="%1.%2"/>
      <w:lvlJc w:val="left"/>
      <w:pPr>
        <w:tabs>
          <w:tab w:val="left" w:pos="930"/>
        </w:tabs>
        <w:ind w:left="420" w:firstLine="0"/>
      </w:pPr>
      <w:rPr>
        <w:rFonts w:hint="default" w:ascii="Tahoma" w:hAnsi="Tahoma"/>
        <w:b w:val="0"/>
        <w:i w:val="0"/>
        <w:sz w:val="21"/>
        <w:szCs w:val="21"/>
      </w:rPr>
    </w:lvl>
    <w:lvl w:ilvl="2" w:tentative="0">
      <w:start w:val="1"/>
      <w:numFmt w:val="decimal"/>
      <w:pStyle w:val="236"/>
      <w:lvlText w:val="%1.%2.%3"/>
      <w:lvlJc w:val="left"/>
      <w:pPr>
        <w:tabs>
          <w:tab w:val="left" w:pos="1894"/>
        </w:tabs>
        <w:ind w:left="1497" w:hanging="57"/>
      </w:pPr>
      <w:rPr>
        <w:rFonts w:hint="default" w:ascii="Tahoma" w:hAnsi="Tahoma"/>
        <w:b w:val="0"/>
        <w:i w:val="0"/>
        <w:sz w:val="21"/>
        <w:szCs w:val="21"/>
        <w:lang w:eastAsia="zh-CN"/>
      </w:rPr>
    </w:lvl>
    <w:lvl w:ilvl="3" w:tentative="0">
      <w:start w:val="1"/>
      <w:numFmt w:val="decimal"/>
      <w:pStyle w:val="115"/>
      <w:lvlText w:val="%1.%2.%3.%4"/>
      <w:lvlJc w:val="left"/>
      <w:pPr>
        <w:tabs>
          <w:tab w:val="left" w:pos="851"/>
        </w:tabs>
        <w:ind w:left="680" w:hanging="113"/>
      </w:pPr>
      <w:rPr>
        <w:rFonts w:hint="default" w:ascii="Tahoma" w:hAnsi="Tahoma"/>
        <w:b w:val="0"/>
        <w:i w:val="0"/>
        <w:sz w:val="21"/>
        <w:szCs w:val="21"/>
      </w:rPr>
    </w:lvl>
    <w:lvl w:ilvl="4" w:tentative="0">
      <w:start w:val="1"/>
      <w:numFmt w:val="decimal"/>
      <w:lvlText w:val="%1.%2.%3.%4.%5"/>
      <w:lvlJc w:val="left"/>
      <w:pPr>
        <w:tabs>
          <w:tab w:val="left" w:pos="2260"/>
        </w:tabs>
        <w:ind w:left="2260" w:hanging="1008"/>
      </w:pPr>
      <w:rPr>
        <w:rFonts w:hint="eastAsia"/>
      </w:rPr>
    </w:lvl>
    <w:lvl w:ilvl="5" w:tentative="0">
      <w:start w:val="1"/>
      <w:numFmt w:val="decimal"/>
      <w:lvlText w:val="%1.%2.%3.%4.%5.%6"/>
      <w:lvlJc w:val="left"/>
      <w:pPr>
        <w:tabs>
          <w:tab w:val="left" w:pos="2404"/>
        </w:tabs>
        <w:ind w:left="2404" w:hanging="1152"/>
      </w:pPr>
      <w:rPr>
        <w:rFonts w:hint="eastAsia"/>
      </w:rPr>
    </w:lvl>
    <w:lvl w:ilvl="6" w:tentative="0">
      <w:start w:val="1"/>
      <w:numFmt w:val="decimal"/>
      <w:lvlText w:val="%1.%2.%3.%4.%5.%6.%7"/>
      <w:lvlJc w:val="left"/>
      <w:pPr>
        <w:tabs>
          <w:tab w:val="left" w:pos="2548"/>
        </w:tabs>
        <w:ind w:left="2548" w:hanging="1296"/>
      </w:pPr>
      <w:rPr>
        <w:rFonts w:hint="eastAsia"/>
      </w:rPr>
    </w:lvl>
    <w:lvl w:ilvl="7" w:tentative="0">
      <w:start w:val="1"/>
      <w:numFmt w:val="decimal"/>
      <w:lvlText w:val="%1.%2.%3.%4.%5.%6.%7.%8"/>
      <w:lvlJc w:val="left"/>
      <w:pPr>
        <w:tabs>
          <w:tab w:val="left" w:pos="2692"/>
        </w:tabs>
        <w:ind w:left="2692" w:hanging="1440"/>
      </w:pPr>
      <w:rPr>
        <w:rFonts w:hint="eastAsia"/>
      </w:rPr>
    </w:lvl>
    <w:lvl w:ilvl="8" w:tentative="0">
      <w:start w:val="1"/>
      <w:numFmt w:val="decimal"/>
      <w:lvlText w:val="%1.%2.%3.%4.%5.%6.%7.%8.%9"/>
      <w:lvlJc w:val="left"/>
      <w:pPr>
        <w:tabs>
          <w:tab w:val="left" w:pos="2836"/>
        </w:tabs>
        <w:ind w:left="2836" w:hanging="1584"/>
      </w:pPr>
      <w:rPr>
        <w:rFonts w:hint="eastAsia"/>
      </w:rPr>
    </w:lvl>
  </w:abstractNum>
  <w:abstractNum w:abstractNumId="2">
    <w:nsid w:val="00000002"/>
    <w:multiLevelType w:val="multilevel"/>
    <w:tmpl w:val="00000002"/>
    <w:lvl w:ilvl="0" w:tentative="0">
      <w:start w:val="1"/>
      <w:numFmt w:val="bullet"/>
      <w:pStyle w:val="259"/>
      <w:lvlText w:val=""/>
      <w:lvlJc w:val="left"/>
      <w:pPr>
        <w:tabs>
          <w:tab w:val="left" w:pos="2114"/>
        </w:tabs>
        <w:ind w:left="2114" w:hanging="420"/>
      </w:pPr>
      <w:rPr>
        <w:rFonts w:hint="default" w:ascii="Symbol" w:hAnsi="Symbol"/>
        <w:color w:val="auto"/>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3"/>
    <w:multiLevelType w:val="multilevel"/>
    <w:tmpl w:val="00000003"/>
    <w:lvl w:ilvl="0" w:tentative="0">
      <w:start w:val="1"/>
      <w:numFmt w:val="lowerLetter"/>
      <w:pStyle w:val="275"/>
      <w:lvlText w:val="%1)"/>
      <w:lvlJc w:val="left"/>
      <w:pPr>
        <w:tabs>
          <w:tab w:val="left" w:pos="814"/>
        </w:tabs>
        <w:ind w:firstLine="454"/>
      </w:pPr>
      <w:rPr>
        <w:rFonts w:hint="eastAsia"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4"/>
    <w:multiLevelType w:val="multilevel"/>
    <w:tmpl w:val="00000004"/>
    <w:lvl w:ilvl="0" w:tentative="0">
      <w:start w:val="1"/>
      <w:numFmt w:val="bullet"/>
      <w:pStyle w:val="257"/>
      <w:lvlText w:val=""/>
      <w:lvlJc w:val="left"/>
      <w:pPr>
        <w:tabs>
          <w:tab w:val="left" w:pos="1134"/>
        </w:tabs>
        <w:ind w:left="1134" w:hanging="294"/>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5"/>
    <w:multiLevelType w:val="singleLevel"/>
    <w:tmpl w:val="00000005"/>
    <w:lvl w:ilvl="0" w:tentative="0">
      <w:start w:val="1"/>
      <w:numFmt w:val="decimal"/>
      <w:lvlText w:val="%1)"/>
      <w:lvlJc w:val="left"/>
      <w:pPr>
        <w:tabs>
          <w:tab w:val="left" w:pos="397"/>
        </w:tabs>
        <w:ind w:left="397" w:hanging="397"/>
      </w:pPr>
      <w:rPr>
        <w:rFonts w:hint="eastAsia"/>
      </w:rPr>
    </w:lvl>
  </w:abstractNum>
  <w:abstractNum w:abstractNumId="6">
    <w:nsid w:val="00000006"/>
    <w:multiLevelType w:val="multilevel"/>
    <w:tmpl w:val="00000006"/>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07"/>
    <w:multiLevelType w:val="multilevel"/>
    <w:tmpl w:val="00000007"/>
    <w:lvl w:ilvl="0" w:tentative="0">
      <w:start w:val="1"/>
      <w:numFmt w:val="bullet"/>
      <w:pStyle w:val="249"/>
      <w:lvlText w:val=""/>
      <w:lvlJc w:val="left"/>
      <w:pPr>
        <w:tabs>
          <w:tab w:val="left" w:pos="2160"/>
        </w:tabs>
        <w:ind w:left="2160" w:hanging="360"/>
      </w:pPr>
      <w:rPr>
        <w:rFonts w:hint="default" w:ascii="Wingdings" w:hAnsi="Wingdings" w:cs="Times New Roman"/>
        <w:sz w:val="16"/>
        <w:szCs w:val="16"/>
      </w:rPr>
    </w:lvl>
    <w:lvl w:ilvl="1" w:tentative="0">
      <w:start w:val="1"/>
      <w:numFmt w:val="bullet"/>
      <w:lvlText w:val="o"/>
      <w:lvlJc w:val="left"/>
      <w:pPr>
        <w:tabs>
          <w:tab w:val="left" w:pos="2880"/>
        </w:tabs>
        <w:ind w:left="2880" w:hanging="360"/>
      </w:pPr>
      <w:rPr>
        <w:rFonts w:hint="default" w:ascii="Courier New" w:hAnsi="Courier New" w:cs="Courier New"/>
      </w:rPr>
    </w:lvl>
    <w:lvl w:ilvl="2" w:tentative="0">
      <w:start w:val="1"/>
      <w:numFmt w:val="bullet"/>
      <w:lvlText w:val=""/>
      <w:lvlJc w:val="left"/>
      <w:pPr>
        <w:tabs>
          <w:tab w:val="left" w:pos="3600"/>
        </w:tabs>
        <w:ind w:left="3600" w:hanging="360"/>
      </w:pPr>
      <w:rPr>
        <w:rFonts w:hint="default" w:ascii="Wingdings" w:hAnsi="Wingdings" w:cs="Times New Roman"/>
      </w:rPr>
    </w:lvl>
    <w:lvl w:ilvl="3" w:tentative="0">
      <w:start w:val="1"/>
      <w:numFmt w:val="bullet"/>
      <w:lvlText w:val=""/>
      <w:lvlJc w:val="left"/>
      <w:pPr>
        <w:tabs>
          <w:tab w:val="left" w:pos="4320"/>
        </w:tabs>
        <w:ind w:left="4320" w:hanging="360"/>
      </w:pPr>
      <w:rPr>
        <w:rFonts w:hint="default" w:ascii="Symbol" w:hAnsi="Symbol" w:cs="Times New Roman"/>
      </w:rPr>
    </w:lvl>
    <w:lvl w:ilvl="4" w:tentative="0">
      <w:start w:val="1"/>
      <w:numFmt w:val="bullet"/>
      <w:lvlText w:val="o"/>
      <w:lvlJc w:val="left"/>
      <w:pPr>
        <w:tabs>
          <w:tab w:val="left" w:pos="5040"/>
        </w:tabs>
        <w:ind w:left="5040" w:hanging="360"/>
      </w:pPr>
      <w:rPr>
        <w:rFonts w:hint="default" w:ascii="Courier New" w:hAnsi="Courier New" w:cs="Courier New"/>
      </w:rPr>
    </w:lvl>
    <w:lvl w:ilvl="5" w:tentative="0">
      <w:start w:val="1"/>
      <w:numFmt w:val="bullet"/>
      <w:lvlText w:val=""/>
      <w:lvlJc w:val="left"/>
      <w:pPr>
        <w:tabs>
          <w:tab w:val="left" w:pos="5760"/>
        </w:tabs>
        <w:ind w:left="5760" w:hanging="360"/>
      </w:pPr>
      <w:rPr>
        <w:rFonts w:hint="default" w:ascii="Wingdings" w:hAnsi="Wingdings" w:cs="Times New Roman"/>
      </w:rPr>
    </w:lvl>
    <w:lvl w:ilvl="6" w:tentative="0">
      <w:start w:val="1"/>
      <w:numFmt w:val="bullet"/>
      <w:lvlText w:val=""/>
      <w:lvlJc w:val="left"/>
      <w:pPr>
        <w:tabs>
          <w:tab w:val="left" w:pos="6480"/>
        </w:tabs>
        <w:ind w:left="6480" w:hanging="360"/>
      </w:pPr>
      <w:rPr>
        <w:rFonts w:hint="default" w:ascii="Symbol" w:hAnsi="Symbol" w:cs="Times New Roman"/>
      </w:rPr>
    </w:lvl>
    <w:lvl w:ilvl="7" w:tentative="0">
      <w:start w:val="1"/>
      <w:numFmt w:val="bullet"/>
      <w:lvlText w:val="o"/>
      <w:lvlJc w:val="left"/>
      <w:pPr>
        <w:tabs>
          <w:tab w:val="left" w:pos="7200"/>
        </w:tabs>
        <w:ind w:left="7200" w:hanging="360"/>
      </w:pPr>
      <w:rPr>
        <w:rFonts w:hint="default" w:ascii="Courier New" w:hAnsi="Courier New" w:cs="Courier New"/>
      </w:rPr>
    </w:lvl>
    <w:lvl w:ilvl="8" w:tentative="0">
      <w:start w:val="1"/>
      <w:numFmt w:val="bullet"/>
      <w:lvlText w:val=""/>
      <w:lvlJc w:val="left"/>
      <w:pPr>
        <w:tabs>
          <w:tab w:val="left" w:pos="7920"/>
        </w:tabs>
        <w:ind w:left="7920" w:hanging="360"/>
      </w:pPr>
      <w:rPr>
        <w:rFonts w:hint="default" w:ascii="Wingdings" w:hAnsi="Wingdings" w:cs="Times New Roman"/>
      </w:rPr>
    </w:lvl>
  </w:abstractNum>
  <w:abstractNum w:abstractNumId="8">
    <w:nsid w:val="00000008"/>
    <w:multiLevelType w:val="multilevel"/>
    <w:tmpl w:val="00000008"/>
    <w:lvl w:ilvl="0" w:tentative="0">
      <w:start w:val="1"/>
      <w:numFmt w:val="decimal"/>
      <w:pStyle w:val="200"/>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09"/>
    <w:multiLevelType w:val="singleLevel"/>
    <w:tmpl w:val="00000009"/>
    <w:lvl w:ilvl="0" w:tentative="0">
      <w:start w:val="1"/>
      <w:numFmt w:val="decimal"/>
      <w:lvlText w:val="(%1)"/>
      <w:lvlJc w:val="left"/>
      <w:pPr>
        <w:tabs>
          <w:tab w:val="left" w:pos="454"/>
        </w:tabs>
        <w:ind w:left="454" w:hanging="454"/>
      </w:pPr>
      <w:rPr>
        <w:rFonts w:hint="eastAsia"/>
      </w:rPr>
    </w:lvl>
  </w:abstractNum>
  <w:abstractNum w:abstractNumId="10">
    <w:nsid w:val="0000000A"/>
    <w:multiLevelType w:val="multilevel"/>
    <w:tmpl w:val="0000000A"/>
    <w:lvl w:ilvl="0" w:tentative="0">
      <w:start w:val="1"/>
      <w:numFmt w:val="lowerLetter"/>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decimal"/>
      <w:lvlText w:val="%1."/>
      <w:lvlJc w:val="left"/>
      <w:pPr>
        <w:tabs>
          <w:tab w:val="left" w:pos="420"/>
        </w:tabs>
        <w:ind w:left="420" w:hanging="420"/>
      </w:pPr>
      <w:rPr>
        <w:rFonts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0C"/>
    <w:multiLevelType w:val="multilevel"/>
    <w:tmpl w:val="0000000C"/>
    <w:lvl w:ilvl="0" w:tentative="0">
      <w:start w:val="1"/>
      <w:numFmt w:val="japaneseCounting"/>
      <w:lvlText w:val="第%1章"/>
      <w:lvlJc w:val="left"/>
      <w:pPr>
        <w:tabs>
          <w:tab w:val="left" w:pos="1080"/>
        </w:tabs>
        <w:ind w:left="108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lowerLetter"/>
      <w:lvlText w:val="%4)"/>
      <w:lvlJc w:val="left"/>
      <w:pPr>
        <w:tabs>
          <w:tab w:val="left" w:pos="1680"/>
        </w:tabs>
        <w:ind w:left="1680" w:hanging="420"/>
      </w:pPr>
      <w:rPr>
        <w:rFonts w:hint="eastAsia"/>
      </w:rPr>
    </w:lvl>
    <w:lvl w:ilvl="4" w:tentative="0">
      <w:start w:val="1"/>
      <w:numFmt w:val="decimal"/>
      <w:lvlText w:val="%5."/>
      <w:lvlJc w:val="left"/>
      <w:pPr>
        <w:tabs>
          <w:tab w:val="left" w:pos="2100"/>
        </w:tabs>
        <w:ind w:left="2100" w:hanging="420"/>
      </w:pPr>
      <w:rPr>
        <w:rFonts w:hint="default"/>
      </w:rPr>
    </w:lvl>
    <w:lvl w:ilvl="5" w:tentative="0">
      <w:start w:val="1"/>
      <w:numFmt w:val="decimal"/>
      <w:lvlText w:val="%6、"/>
      <w:lvlJc w:val="left"/>
      <w:pPr>
        <w:tabs>
          <w:tab w:val="left" w:pos="2460"/>
        </w:tabs>
        <w:ind w:left="2381" w:hanging="281"/>
      </w:pPr>
      <w:rPr>
        <w:rFonts w:hint="default"/>
      </w:rPr>
    </w:lvl>
    <w:lvl w:ilvl="6" w:tentative="0">
      <w:start w:val="10"/>
      <w:numFmt w:val="decimal"/>
      <w:lvlText w:val="%7"/>
      <w:lvlJc w:val="left"/>
      <w:pPr>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000000E"/>
    <w:multiLevelType w:val="singleLevel"/>
    <w:tmpl w:val="0000000E"/>
    <w:lvl w:ilvl="0" w:tentative="0">
      <w:start w:val="1"/>
      <w:numFmt w:val="chineseCountingThousand"/>
      <w:lvlText w:val="%1、"/>
      <w:lvlJc w:val="left"/>
      <w:pPr>
        <w:tabs>
          <w:tab w:val="left" w:pos="624"/>
        </w:tabs>
        <w:ind w:left="624" w:hanging="624"/>
      </w:pPr>
      <w:rPr>
        <w:rFonts w:hint="eastAsia" w:ascii="黑体" w:eastAsia="黑体"/>
        <w:b/>
        <w:i w:val="0"/>
        <w:u w:val="none"/>
      </w:rPr>
    </w:lvl>
  </w:abstractNum>
  <w:abstractNum w:abstractNumId="15">
    <w:nsid w:val="0000000F"/>
    <w:multiLevelType w:val="multilevel"/>
    <w:tmpl w:val="0000000F"/>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6">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1"/>
    <w:multiLevelType w:val="multilevel"/>
    <w:tmpl w:val="0000001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00000012"/>
    <w:multiLevelType w:val="multilevel"/>
    <w:tmpl w:val="000000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3"/>
    <w:multiLevelType w:val="multilevel"/>
    <w:tmpl w:val="00000013"/>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20">
    <w:nsid w:val="00000014"/>
    <w:multiLevelType w:val="multilevel"/>
    <w:tmpl w:val="00000014"/>
    <w:lvl w:ilvl="0" w:tentative="0">
      <w:start w:val="1"/>
      <w:numFmt w:val="decimal"/>
      <w:pStyle w:val="221"/>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15"/>
    <w:multiLevelType w:val="multilevel"/>
    <w:tmpl w:val="00000015"/>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00000016"/>
    <w:multiLevelType w:val="multilevel"/>
    <w:tmpl w:val="00000016"/>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23">
    <w:nsid w:val="00000017"/>
    <w:multiLevelType w:val="multilevel"/>
    <w:tmpl w:val="00000017"/>
    <w:lvl w:ilvl="0" w:tentative="0">
      <w:start w:val="1"/>
      <w:numFmt w:val="decimal"/>
      <w:pStyle w:val="104"/>
      <w:lvlText w:val="(%1)"/>
      <w:lvlJc w:val="left"/>
      <w:pPr>
        <w:tabs>
          <w:tab w:val="left" w:pos="907"/>
        </w:tabs>
        <w:ind w:left="907" w:hanging="482"/>
      </w:pPr>
      <w:rPr>
        <w:rFonts w:hint="default" w:ascii="Times New Roman" w:hAnsi="Times New Roman"/>
        <w:b w:val="0"/>
        <w:i w:val="0"/>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8"/>
    <w:multiLevelType w:val="multilevel"/>
    <w:tmpl w:val="0000001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9"/>
    <w:multiLevelType w:val="multilevel"/>
    <w:tmpl w:val="00000019"/>
    <w:lvl w:ilvl="0" w:tentative="0">
      <w:start w:val="1"/>
      <w:numFmt w:val="none"/>
      <w:pStyle w:val="10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B"/>
    <w:multiLevelType w:val="multilevel"/>
    <w:tmpl w:val="0000001B"/>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0000001C"/>
    <w:multiLevelType w:val="multilevel"/>
    <w:tmpl w:val="0000001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0000001D"/>
    <w:multiLevelType w:val="multilevel"/>
    <w:tmpl w:val="0000001D"/>
    <w:lvl w:ilvl="0" w:tentative="0">
      <w:start w:val="1"/>
      <w:numFmt w:val="decimal"/>
      <w:lvlText w:val="%1)"/>
      <w:lvlJc w:val="left"/>
      <w:pPr>
        <w:tabs>
          <w:tab w:val="left" w:pos="704"/>
        </w:tabs>
        <w:ind w:left="704" w:hanging="420"/>
      </w:pPr>
      <w:rPr>
        <w:rFonts w:hint="eastAsia"/>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1E"/>
    <w:multiLevelType w:val="multilevel"/>
    <w:tmpl w:val="0000001E"/>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5"/>
  </w:num>
  <w:num w:numId="3">
    <w:abstractNumId w:val="23"/>
  </w:num>
  <w:num w:numId="4">
    <w:abstractNumId w:val="1"/>
  </w:num>
  <w:num w:numId="5">
    <w:abstractNumId w:val="8"/>
  </w:num>
  <w:num w:numId="6">
    <w:abstractNumId w:val="20"/>
  </w:num>
  <w:num w:numId="7">
    <w:abstractNumId w:val="7"/>
  </w:num>
  <w:num w:numId="8">
    <w:abstractNumId w:val="4"/>
  </w:num>
  <w:num w:numId="9">
    <w:abstractNumId w:val="2"/>
  </w:num>
  <w:num w:numId="10">
    <w:abstractNumId w:val="3"/>
  </w:num>
  <w:num w:numId="11">
    <w:abstractNumId w:val="29"/>
  </w:num>
  <w:num w:numId="12">
    <w:abstractNumId w:val="26"/>
  </w:num>
  <w:num w:numId="13">
    <w:abstractNumId w:val="16"/>
  </w:num>
  <w:num w:numId="14">
    <w:abstractNumId w:val="14"/>
  </w:num>
  <w:num w:numId="15">
    <w:abstractNumId w:val="12"/>
  </w:num>
  <w:num w:numId="16">
    <w:abstractNumId w:val="10"/>
  </w:num>
  <w:num w:numId="17">
    <w:abstractNumId w:val="24"/>
  </w:num>
  <w:num w:numId="18">
    <w:abstractNumId w:val="18"/>
  </w:num>
  <w:num w:numId="19">
    <w:abstractNumId w:val="11"/>
  </w:num>
  <w:num w:numId="20">
    <w:abstractNumId w:val="17"/>
  </w:num>
  <w:num w:numId="21">
    <w:abstractNumId w:val="30"/>
  </w:num>
  <w:num w:numId="22">
    <w:abstractNumId w:val="6"/>
  </w:num>
  <w:num w:numId="23">
    <w:abstractNumId w:val="13"/>
  </w:num>
  <w:num w:numId="24">
    <w:abstractNumId w:val="27"/>
  </w:num>
  <w:num w:numId="25">
    <w:abstractNumId w:val="19"/>
  </w:num>
  <w:num w:numId="26">
    <w:abstractNumId w:val="22"/>
  </w:num>
  <w:num w:numId="27">
    <w:abstractNumId w:val="15"/>
  </w:num>
  <w:num w:numId="28">
    <w:abstractNumId w:val="28"/>
  </w:num>
  <w:num w:numId="29">
    <w:abstractNumId w:val="21"/>
  </w:num>
  <w:num w:numId="30">
    <w:abstractNumId w:val="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0"/>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YjNmZmM2NTY0Y2E4MjczZWQzZjMzMTUxNWZkMTQifQ=="/>
  </w:docVars>
  <w:rsids>
    <w:rsidRoot w:val="00000000"/>
    <w:rsid w:val="0B895C6A"/>
    <w:rsid w:val="18C02C24"/>
    <w:rsid w:val="76C5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8"/>
    <w:autoRedefine/>
    <w:qFormat/>
    <w:uiPriority w:val="0"/>
    <w:pPr>
      <w:keepNext/>
      <w:keepLines/>
      <w:spacing w:before="340" w:after="330" w:line="578" w:lineRule="auto"/>
      <w:outlineLvl w:val="0"/>
    </w:pPr>
    <w:rPr>
      <w:b/>
      <w:kern w:val="44"/>
      <w:sz w:val="44"/>
      <w:szCs w:val="24"/>
    </w:rPr>
  </w:style>
  <w:style w:type="paragraph" w:styleId="3">
    <w:name w:val="heading 2"/>
    <w:basedOn w:val="1"/>
    <w:next w:val="1"/>
    <w:link w:val="268"/>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269"/>
    <w:autoRedefine/>
    <w:qFormat/>
    <w:uiPriority w:val="0"/>
    <w:pPr>
      <w:keepNext/>
      <w:keepLines/>
      <w:adjustRightInd w:val="0"/>
      <w:spacing w:before="280" w:after="290" w:line="376" w:lineRule="atLeast"/>
      <w:textAlignment w:val="baseline"/>
      <w:outlineLvl w:val="3"/>
    </w:pPr>
    <w:rPr>
      <w:rFonts w:ascii="Arial" w:hAnsi="Arial" w:eastAsia="黑体"/>
      <w:b/>
      <w:kern w:val="0"/>
      <w:sz w:val="28"/>
    </w:rPr>
  </w:style>
  <w:style w:type="paragraph" w:styleId="6">
    <w:name w:val="heading 5"/>
    <w:basedOn w:val="1"/>
    <w:next w:val="1"/>
    <w:link w:val="270"/>
    <w:autoRedefine/>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autoRedefine/>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autoRedefine/>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autoRedefine/>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4">
    <w:name w:val="Default Paragraph Font"/>
    <w:autoRedefine/>
    <w:qFormat/>
    <w:uiPriority w:val="1"/>
  </w:style>
  <w:style w:type="table" w:default="1" w:styleId="52">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Cs w:val="21"/>
    </w:rPr>
  </w:style>
  <w:style w:type="paragraph" w:styleId="12">
    <w:name w:val="List Number 2"/>
    <w:basedOn w:val="1"/>
    <w:autoRedefine/>
    <w:qFormat/>
    <w:uiPriority w:val="0"/>
    <w:pPr>
      <w:widowControl/>
      <w:tabs>
        <w:tab w:val="left" w:pos="720"/>
      </w:tabs>
      <w:ind w:left="720" w:hanging="360"/>
    </w:pPr>
    <w:rPr>
      <w:rFonts w:ascii="Arial" w:hAnsi="Arial"/>
      <w:kern w:val="0"/>
      <w:sz w:val="20"/>
      <w:lang w:eastAsia="en-US"/>
    </w:rPr>
  </w:style>
  <w:style w:type="paragraph" w:styleId="13">
    <w:name w:val="List Bullet 4"/>
    <w:basedOn w:val="1"/>
    <w:autoRedefine/>
    <w:qFormat/>
    <w:uiPriority w:val="0"/>
    <w:pPr>
      <w:widowControl/>
      <w:tabs>
        <w:tab w:val="left" w:pos="1440"/>
      </w:tabs>
      <w:ind w:left="1440" w:hanging="360"/>
    </w:pPr>
    <w:rPr>
      <w:rFonts w:ascii="Arial" w:hAnsi="Arial"/>
      <w:kern w:val="0"/>
      <w:sz w:val="20"/>
      <w:lang w:eastAsia="en-US"/>
    </w:rPr>
  </w:style>
  <w:style w:type="paragraph" w:styleId="14">
    <w:name w:val="List Number"/>
    <w:basedOn w:val="1"/>
    <w:autoRedefine/>
    <w:qFormat/>
    <w:uiPriority w:val="0"/>
    <w:pPr>
      <w:numPr>
        <w:ilvl w:val="0"/>
        <w:numId w:val="1"/>
      </w:numPr>
    </w:pPr>
    <w:rPr>
      <w:szCs w:val="24"/>
    </w:rPr>
  </w:style>
  <w:style w:type="paragraph" w:styleId="15">
    <w:name w:val="Normal Indent"/>
    <w:basedOn w:val="1"/>
    <w:autoRedefine/>
    <w:qFormat/>
    <w:uiPriority w:val="0"/>
    <w:pPr>
      <w:ind w:firstLine="420"/>
    </w:pPr>
    <w:rPr>
      <w:rFonts w:ascii="宋体"/>
      <w:sz w:val="24"/>
    </w:rPr>
  </w:style>
  <w:style w:type="paragraph" w:styleId="16">
    <w:name w:val="List Bullet"/>
    <w:basedOn w:val="1"/>
    <w:autoRedefine/>
    <w:qFormat/>
    <w:uiPriority w:val="0"/>
    <w:pPr>
      <w:tabs>
        <w:tab w:val="left" w:pos="360"/>
      </w:tabs>
      <w:ind w:left="360" w:hanging="360"/>
    </w:pPr>
    <w:rPr>
      <w:sz w:val="24"/>
      <w:szCs w:val="24"/>
    </w:rPr>
  </w:style>
  <w:style w:type="paragraph" w:styleId="17">
    <w:name w:val="Document Map"/>
    <w:basedOn w:val="1"/>
    <w:autoRedefine/>
    <w:qFormat/>
    <w:uiPriority w:val="0"/>
    <w:pPr>
      <w:shd w:val="clear" w:color="auto" w:fill="000080"/>
    </w:pPr>
  </w:style>
  <w:style w:type="paragraph" w:styleId="18">
    <w:name w:val="annotation text"/>
    <w:basedOn w:val="1"/>
    <w:link w:val="88"/>
    <w:autoRedefine/>
    <w:qFormat/>
    <w:uiPriority w:val="0"/>
    <w:pPr>
      <w:jc w:val="left"/>
    </w:pPr>
  </w:style>
  <w:style w:type="paragraph" w:styleId="19">
    <w:name w:val="Body Text 3"/>
    <w:basedOn w:val="1"/>
    <w:autoRedefine/>
    <w:qFormat/>
    <w:uiPriority w:val="0"/>
    <w:pPr>
      <w:spacing w:after="120"/>
    </w:pPr>
    <w:rPr>
      <w:sz w:val="16"/>
      <w:szCs w:val="16"/>
    </w:rPr>
  </w:style>
  <w:style w:type="paragraph" w:styleId="20">
    <w:name w:val="List Bullet 3"/>
    <w:basedOn w:val="1"/>
    <w:autoRedefine/>
    <w:qFormat/>
    <w:uiPriority w:val="0"/>
    <w:pPr>
      <w:widowControl/>
      <w:tabs>
        <w:tab w:val="left" w:pos="1080"/>
      </w:tabs>
      <w:ind w:left="1080" w:hanging="360"/>
    </w:pPr>
    <w:rPr>
      <w:rFonts w:ascii="Arial" w:hAnsi="Arial"/>
      <w:kern w:val="0"/>
      <w:sz w:val="20"/>
      <w:lang w:eastAsia="en-US"/>
    </w:rPr>
  </w:style>
  <w:style w:type="paragraph" w:styleId="21">
    <w:name w:val="Body Text"/>
    <w:basedOn w:val="1"/>
    <w:autoRedefine/>
    <w:qFormat/>
    <w:uiPriority w:val="0"/>
    <w:pPr>
      <w:spacing w:after="120"/>
    </w:pPr>
  </w:style>
  <w:style w:type="paragraph" w:styleId="22">
    <w:name w:val="Body Text Indent"/>
    <w:basedOn w:val="1"/>
    <w:autoRedefine/>
    <w:qFormat/>
    <w:uiPriority w:val="0"/>
    <w:pPr>
      <w:spacing w:after="120"/>
      <w:ind w:left="420" w:leftChars="200"/>
    </w:pPr>
  </w:style>
  <w:style w:type="paragraph" w:styleId="23">
    <w:name w:val="List Number 3"/>
    <w:basedOn w:val="1"/>
    <w:autoRedefine/>
    <w:qFormat/>
    <w:uiPriority w:val="0"/>
    <w:pPr>
      <w:widowControl/>
      <w:tabs>
        <w:tab w:val="left" w:pos="1080"/>
      </w:tabs>
      <w:ind w:left="1080" w:hanging="360"/>
    </w:pPr>
    <w:rPr>
      <w:rFonts w:ascii="Arial" w:hAnsi="Arial"/>
      <w:kern w:val="0"/>
      <w:sz w:val="20"/>
      <w:lang w:eastAsia="en-US"/>
    </w:rPr>
  </w:style>
  <w:style w:type="paragraph" w:styleId="24">
    <w:name w:val="List Bullet 2"/>
    <w:basedOn w:val="1"/>
    <w:next w:val="25"/>
    <w:autoRedefine/>
    <w:qFormat/>
    <w:uiPriority w:val="0"/>
    <w:pPr>
      <w:keepLines/>
      <w:tabs>
        <w:tab w:val="left" w:pos="780"/>
      </w:tabs>
      <w:spacing w:afterLines="20" w:line="264" w:lineRule="auto"/>
      <w:ind w:left="780" w:hanging="360"/>
    </w:pPr>
    <w:rPr>
      <w:rFonts w:ascii="宋体"/>
      <w:sz w:val="24"/>
      <w:szCs w:val="21"/>
    </w:rPr>
  </w:style>
  <w:style w:type="paragraph" w:styleId="25">
    <w:name w:val="Body Text First Indent"/>
    <w:basedOn w:val="21"/>
    <w:autoRedefine/>
    <w:qFormat/>
    <w:uiPriority w:val="0"/>
    <w:pPr>
      <w:ind w:firstLine="210" w:firstLineChars="100"/>
    </w:pPr>
  </w:style>
  <w:style w:type="paragraph" w:styleId="26">
    <w:name w:val="toc 5"/>
    <w:basedOn w:val="1"/>
    <w:next w:val="1"/>
    <w:autoRedefine/>
    <w:qFormat/>
    <w:uiPriority w:val="0"/>
    <w:pPr>
      <w:ind w:left="840"/>
      <w:jc w:val="left"/>
    </w:pPr>
    <w:rPr>
      <w:szCs w:val="21"/>
    </w:rPr>
  </w:style>
  <w:style w:type="paragraph" w:styleId="27">
    <w:name w:val="toc 3"/>
    <w:basedOn w:val="1"/>
    <w:next w:val="1"/>
    <w:autoRedefine/>
    <w:qFormat/>
    <w:uiPriority w:val="0"/>
    <w:pPr>
      <w:tabs>
        <w:tab w:val="right" w:leader="dot" w:pos="9020"/>
      </w:tabs>
      <w:ind w:left="840" w:leftChars="400"/>
    </w:pPr>
  </w:style>
  <w:style w:type="paragraph" w:styleId="28">
    <w:name w:val="Plain Text"/>
    <w:basedOn w:val="1"/>
    <w:autoRedefine/>
    <w:qFormat/>
    <w:uiPriority w:val="0"/>
    <w:pPr>
      <w:adjustRightInd w:val="0"/>
      <w:textAlignment w:val="baseline"/>
    </w:pPr>
    <w:rPr>
      <w:rFonts w:ascii="宋体" w:hAnsi="Courier New"/>
    </w:rPr>
  </w:style>
  <w:style w:type="paragraph" w:styleId="29">
    <w:name w:val="List Bullet 5"/>
    <w:basedOn w:val="1"/>
    <w:autoRedefine/>
    <w:qFormat/>
    <w:uiPriority w:val="0"/>
    <w:pPr>
      <w:widowControl/>
      <w:tabs>
        <w:tab w:val="left" w:pos="1800"/>
      </w:tabs>
      <w:ind w:left="1800" w:hanging="360"/>
    </w:pPr>
    <w:rPr>
      <w:rFonts w:ascii="Arial" w:hAnsi="Arial"/>
      <w:kern w:val="0"/>
      <w:sz w:val="20"/>
      <w:lang w:eastAsia="en-US"/>
    </w:rPr>
  </w:style>
  <w:style w:type="paragraph" w:styleId="30">
    <w:name w:val="List Number 4"/>
    <w:basedOn w:val="1"/>
    <w:autoRedefine/>
    <w:qFormat/>
    <w:uiPriority w:val="0"/>
    <w:pPr>
      <w:widowControl/>
      <w:tabs>
        <w:tab w:val="left" w:pos="1440"/>
      </w:tabs>
      <w:ind w:left="1440" w:hanging="360"/>
    </w:pPr>
    <w:rPr>
      <w:rFonts w:ascii="Arial" w:hAnsi="Arial"/>
      <w:kern w:val="0"/>
      <w:sz w:val="20"/>
      <w:lang w:eastAsia="en-US"/>
    </w:rPr>
  </w:style>
  <w:style w:type="paragraph" w:styleId="31">
    <w:name w:val="toc 8"/>
    <w:basedOn w:val="1"/>
    <w:next w:val="1"/>
    <w:autoRedefine/>
    <w:qFormat/>
    <w:uiPriority w:val="0"/>
    <w:pPr>
      <w:ind w:left="1470"/>
      <w:jc w:val="left"/>
    </w:pPr>
    <w:rPr>
      <w:szCs w:val="21"/>
    </w:rPr>
  </w:style>
  <w:style w:type="paragraph" w:styleId="32">
    <w:name w:val="Date"/>
    <w:basedOn w:val="1"/>
    <w:next w:val="1"/>
    <w:autoRedefine/>
    <w:qFormat/>
    <w:uiPriority w:val="0"/>
    <w:pPr>
      <w:ind w:left="100" w:leftChars="2500"/>
    </w:pPr>
  </w:style>
  <w:style w:type="paragraph" w:styleId="33">
    <w:name w:val="Body Text Indent 2"/>
    <w:basedOn w:val="1"/>
    <w:link w:val="87"/>
    <w:autoRedefine/>
    <w:qFormat/>
    <w:uiPriority w:val="0"/>
    <w:pPr>
      <w:ind w:left="105" w:firstLine="690"/>
    </w:pPr>
    <w:rPr>
      <w:sz w:val="32"/>
    </w:rPr>
  </w:style>
  <w:style w:type="paragraph" w:styleId="34">
    <w:name w:val="endnote text"/>
    <w:basedOn w:val="1"/>
    <w:autoRedefine/>
    <w:qFormat/>
    <w:uiPriority w:val="0"/>
    <w:pPr>
      <w:numPr>
        <w:ilvl w:val="6"/>
        <w:numId w:val="2"/>
      </w:numPr>
      <w:snapToGrid w:val="0"/>
      <w:jc w:val="left"/>
    </w:pPr>
    <w:rPr>
      <w:szCs w:val="24"/>
    </w:rPr>
  </w:style>
  <w:style w:type="paragraph" w:styleId="35">
    <w:name w:val="Balloon Text"/>
    <w:basedOn w:val="1"/>
    <w:autoRedefine/>
    <w:qFormat/>
    <w:uiPriority w:val="0"/>
    <w:rPr>
      <w:sz w:val="18"/>
      <w:szCs w:val="18"/>
    </w:rPr>
  </w:style>
  <w:style w:type="paragraph" w:styleId="36">
    <w:name w:val="footer"/>
    <w:basedOn w:val="1"/>
    <w:link w:val="66"/>
    <w:qFormat/>
    <w:uiPriority w:val="99"/>
    <w:pPr>
      <w:tabs>
        <w:tab w:val="center" w:pos="4153"/>
        <w:tab w:val="right" w:pos="8306"/>
      </w:tabs>
      <w:snapToGrid w:val="0"/>
      <w:jc w:val="left"/>
    </w:pPr>
    <w:rPr>
      <w:sz w:val="18"/>
      <w:szCs w:val="18"/>
    </w:rPr>
  </w:style>
  <w:style w:type="paragraph" w:styleId="37">
    <w:name w:val="header"/>
    <w:basedOn w:val="1"/>
    <w:link w:val="65"/>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0"/>
    <w:pPr>
      <w:tabs>
        <w:tab w:val="right" w:leader="dot" w:pos="9020"/>
      </w:tabs>
      <w:spacing w:line="360" w:lineRule="auto"/>
    </w:pPr>
  </w:style>
  <w:style w:type="paragraph" w:styleId="39">
    <w:name w:val="toc 4"/>
    <w:basedOn w:val="1"/>
    <w:next w:val="1"/>
    <w:qFormat/>
    <w:uiPriority w:val="0"/>
    <w:pPr>
      <w:ind w:left="630"/>
      <w:jc w:val="left"/>
    </w:pPr>
    <w:rPr>
      <w:szCs w:val="21"/>
    </w:rPr>
  </w:style>
  <w:style w:type="paragraph" w:styleId="40">
    <w:name w:val="index heading"/>
    <w:basedOn w:val="1"/>
    <w:next w:val="41"/>
    <w:autoRedefine/>
    <w:qFormat/>
    <w:uiPriority w:val="0"/>
    <w:pPr>
      <w:adjustRightInd w:val="0"/>
      <w:spacing w:line="312" w:lineRule="atLeast"/>
      <w:textAlignment w:val="baseline"/>
    </w:pPr>
    <w:rPr>
      <w:kern w:val="0"/>
    </w:rPr>
  </w:style>
  <w:style w:type="paragraph" w:styleId="41">
    <w:name w:val="index 1"/>
    <w:basedOn w:val="1"/>
    <w:next w:val="1"/>
    <w:autoRedefine/>
    <w:qFormat/>
    <w:uiPriority w:val="0"/>
  </w:style>
  <w:style w:type="paragraph" w:styleId="42">
    <w:name w:val="List Number 5"/>
    <w:basedOn w:val="1"/>
    <w:qFormat/>
    <w:uiPriority w:val="0"/>
    <w:pPr>
      <w:widowControl/>
      <w:tabs>
        <w:tab w:val="left" w:pos="1800"/>
      </w:tabs>
      <w:ind w:left="1800" w:hanging="360"/>
    </w:pPr>
    <w:rPr>
      <w:rFonts w:ascii="Arial" w:hAnsi="Arial"/>
      <w:kern w:val="0"/>
      <w:sz w:val="20"/>
      <w:lang w:eastAsia="en-US"/>
    </w:rPr>
  </w:style>
  <w:style w:type="paragraph" w:styleId="43">
    <w:name w:val="footnote text"/>
    <w:basedOn w:val="1"/>
    <w:link w:val="277"/>
    <w:autoRedefine/>
    <w:qFormat/>
    <w:uiPriority w:val="0"/>
    <w:pPr>
      <w:snapToGrid w:val="0"/>
      <w:jc w:val="left"/>
    </w:pPr>
    <w:rPr>
      <w:sz w:val="18"/>
      <w:szCs w:val="18"/>
    </w:rPr>
  </w:style>
  <w:style w:type="paragraph" w:styleId="44">
    <w:name w:val="toc 6"/>
    <w:basedOn w:val="1"/>
    <w:next w:val="1"/>
    <w:autoRedefine/>
    <w:qFormat/>
    <w:uiPriority w:val="0"/>
    <w:pPr>
      <w:ind w:left="1050"/>
      <w:jc w:val="left"/>
    </w:pPr>
    <w:rPr>
      <w:szCs w:val="21"/>
    </w:rPr>
  </w:style>
  <w:style w:type="paragraph" w:styleId="45">
    <w:name w:val="Body Text Indent 3"/>
    <w:basedOn w:val="1"/>
    <w:qFormat/>
    <w:uiPriority w:val="0"/>
    <w:pPr>
      <w:adjustRightInd w:val="0"/>
      <w:spacing w:line="360" w:lineRule="auto"/>
      <w:ind w:left="960"/>
      <w:jc w:val="left"/>
      <w:textAlignment w:val="baseline"/>
    </w:pPr>
    <w:rPr>
      <w:rFonts w:eastAsia="楷体"/>
      <w:kern w:val="0"/>
      <w:sz w:val="24"/>
    </w:rPr>
  </w:style>
  <w:style w:type="paragraph" w:styleId="46">
    <w:name w:val="toc 2"/>
    <w:basedOn w:val="1"/>
    <w:next w:val="1"/>
    <w:autoRedefine/>
    <w:qFormat/>
    <w:uiPriority w:val="0"/>
    <w:pPr>
      <w:tabs>
        <w:tab w:val="left" w:pos="1050"/>
        <w:tab w:val="right" w:leader="dot" w:pos="9020"/>
      </w:tabs>
      <w:spacing w:line="300" w:lineRule="auto"/>
      <w:ind w:left="420" w:leftChars="200"/>
    </w:pPr>
  </w:style>
  <w:style w:type="paragraph" w:styleId="47">
    <w:name w:val="toc 9"/>
    <w:basedOn w:val="1"/>
    <w:next w:val="1"/>
    <w:autoRedefine/>
    <w:qFormat/>
    <w:uiPriority w:val="0"/>
    <w:pPr>
      <w:ind w:left="1680"/>
      <w:jc w:val="left"/>
    </w:pPr>
    <w:rPr>
      <w:szCs w:val="21"/>
    </w:rPr>
  </w:style>
  <w:style w:type="paragraph" w:styleId="48">
    <w:name w:val="Body Text 2"/>
    <w:basedOn w:val="1"/>
    <w:autoRedefine/>
    <w:qFormat/>
    <w:uiPriority w:val="0"/>
    <w:rPr>
      <w:color w:val="FF0000"/>
    </w:rPr>
  </w:style>
  <w:style w:type="paragraph" w:styleId="49">
    <w:name w:val="HTML Preformatted"/>
    <w:basedOn w:val="1"/>
    <w:link w:val="6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50">
    <w:name w:val="Normal (Web)"/>
    <w:basedOn w:val="1"/>
    <w:qFormat/>
    <w:uiPriority w:val="0"/>
    <w:rPr>
      <w:sz w:val="24"/>
      <w:szCs w:val="24"/>
    </w:rPr>
  </w:style>
  <w:style w:type="paragraph" w:styleId="51">
    <w:name w:val="annotation subject"/>
    <w:basedOn w:val="18"/>
    <w:next w:val="18"/>
    <w:link w:val="73"/>
    <w:autoRedefine/>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basedOn w:val="54"/>
    <w:qFormat/>
    <w:uiPriority w:val="0"/>
  </w:style>
  <w:style w:type="character" w:styleId="57">
    <w:name w:val="FollowedHyperlink"/>
    <w:autoRedefine/>
    <w:qFormat/>
    <w:uiPriority w:val="0"/>
    <w:rPr>
      <w:color w:val="800080"/>
      <w:u w:val="single"/>
    </w:rPr>
  </w:style>
  <w:style w:type="character" w:styleId="58">
    <w:name w:val="Hyperlink"/>
    <w:qFormat/>
    <w:uiPriority w:val="0"/>
    <w:rPr>
      <w:color w:val="0000FF"/>
      <w:u w:val="single"/>
    </w:rPr>
  </w:style>
  <w:style w:type="character" w:styleId="59">
    <w:name w:val="annotation reference"/>
    <w:autoRedefine/>
    <w:qFormat/>
    <w:uiPriority w:val="0"/>
    <w:rPr>
      <w:sz w:val="21"/>
      <w:szCs w:val="21"/>
    </w:rPr>
  </w:style>
  <w:style w:type="character" w:styleId="60">
    <w:name w:val="footnote reference"/>
    <w:basedOn w:val="54"/>
    <w:qFormat/>
    <w:uiPriority w:val="0"/>
    <w:rPr>
      <w:vertAlign w:val="superscript"/>
    </w:rPr>
  </w:style>
  <w:style w:type="character" w:customStyle="1" w:styleId="61">
    <w:name w:val="title_emph1"/>
    <w:autoRedefine/>
    <w:qFormat/>
    <w:uiPriority w:val="0"/>
    <w:rPr>
      <w:rFonts w:hint="default" w:ascii="Arial" w:hAnsi="Arial" w:cs="Arial"/>
      <w:b/>
      <w:bCs/>
      <w:sz w:val="20"/>
      <w:szCs w:val="20"/>
    </w:rPr>
  </w:style>
  <w:style w:type="character" w:customStyle="1" w:styleId="62">
    <w:name w:val="正文 + 标题 3 Char"/>
    <w:autoRedefine/>
    <w:qFormat/>
    <w:uiPriority w:val="0"/>
    <w:rPr>
      <w:rFonts w:eastAsia="宋体"/>
      <w:b/>
      <w:bCs/>
      <w:kern w:val="2"/>
      <w:sz w:val="32"/>
      <w:szCs w:val="32"/>
      <w:lang w:val="en-US" w:eastAsia="zh-CN" w:bidi="ar-SA"/>
    </w:rPr>
  </w:style>
  <w:style w:type="character" w:customStyle="1" w:styleId="63">
    <w:name w:val="HTML 预设格式 Char1"/>
    <w:link w:val="49"/>
    <w:qFormat/>
    <w:uiPriority w:val="0"/>
    <w:rPr>
      <w:rFonts w:ascii="Courier New" w:hAnsi="Courier New" w:cs="Courier New"/>
      <w:kern w:val="2"/>
    </w:rPr>
  </w:style>
  <w:style w:type="character" w:customStyle="1" w:styleId="64">
    <w:name w:val="标题 2 Char Char Char"/>
    <w:autoRedefine/>
    <w:qFormat/>
    <w:uiPriority w:val="0"/>
    <w:rPr>
      <w:rFonts w:ascii="Arial" w:hAnsi="Arial" w:eastAsia="黑体"/>
      <w:b/>
      <w:bCs/>
      <w:kern w:val="2"/>
      <w:sz w:val="32"/>
      <w:szCs w:val="32"/>
      <w:lang w:val="en-US" w:eastAsia="zh-CN" w:bidi="ar-SA"/>
    </w:rPr>
  </w:style>
  <w:style w:type="character" w:customStyle="1" w:styleId="65">
    <w:name w:val="页眉 Char"/>
    <w:link w:val="37"/>
    <w:autoRedefine/>
    <w:qFormat/>
    <w:uiPriority w:val="99"/>
    <w:rPr>
      <w:kern w:val="2"/>
      <w:sz w:val="18"/>
      <w:szCs w:val="18"/>
    </w:rPr>
  </w:style>
  <w:style w:type="character" w:customStyle="1" w:styleId="66">
    <w:name w:val="页脚 Char"/>
    <w:link w:val="36"/>
    <w:qFormat/>
    <w:uiPriority w:val="99"/>
    <w:rPr>
      <w:kern w:val="2"/>
      <w:sz w:val="18"/>
      <w:szCs w:val="18"/>
    </w:rPr>
  </w:style>
  <w:style w:type="character" w:customStyle="1" w:styleId="67">
    <w:name w:val="Style Heading A + (Latin) Times New Roman (Asian) 楷体_GB2312 Char"/>
    <w:autoRedefine/>
    <w:qFormat/>
    <w:uiPriority w:val="0"/>
    <w:rPr>
      <w:rFonts w:ascii="Arial" w:hAnsi="Arial" w:eastAsia="楷体_GB2312" w:cs="Arial"/>
      <w:b/>
      <w:kern w:val="28"/>
      <w:sz w:val="36"/>
      <w:lang w:val="en-US" w:eastAsia="zh-CN" w:bidi="ar-SA"/>
    </w:rPr>
  </w:style>
  <w:style w:type="character" w:customStyle="1" w:styleId="68">
    <w:name w:val="标题 4 Char1"/>
    <w:autoRedefine/>
    <w:qFormat/>
    <w:uiPriority w:val="0"/>
    <w:rPr>
      <w:rFonts w:eastAsia="宋体"/>
      <w:b/>
      <w:bCs/>
      <w:kern w:val="2"/>
      <w:sz w:val="24"/>
      <w:szCs w:val="28"/>
      <w:lang w:val="en-US" w:eastAsia="zh-CN" w:bidi="ar-SA"/>
    </w:rPr>
  </w:style>
  <w:style w:type="character" w:customStyle="1" w:styleId="69">
    <w:name w:val="标题 3 Char"/>
    <w:link w:val="4"/>
    <w:autoRedefine/>
    <w:qFormat/>
    <w:uiPriority w:val="0"/>
    <w:rPr>
      <w:rFonts w:eastAsia="宋体"/>
      <w:b/>
      <w:bCs/>
      <w:kern w:val="2"/>
      <w:sz w:val="32"/>
      <w:szCs w:val="32"/>
      <w:lang w:val="en-US" w:eastAsia="zh-CN" w:bidi="ar-SA"/>
    </w:rPr>
  </w:style>
  <w:style w:type="character" w:customStyle="1" w:styleId="70">
    <w:name w:val="HTML 预设格式 Char"/>
    <w:qFormat/>
    <w:uiPriority w:val="99"/>
    <w:rPr>
      <w:rFonts w:ascii="黑体" w:hAnsi="Courier New" w:eastAsia="黑体" w:cs="Courier New"/>
    </w:rPr>
  </w:style>
  <w:style w:type="character" w:customStyle="1" w:styleId="71">
    <w:name w:val="正文文本缩进 Char"/>
    <w:autoRedefine/>
    <w:qFormat/>
    <w:uiPriority w:val="0"/>
    <w:rPr>
      <w:rFonts w:eastAsia="宋体"/>
      <w:kern w:val="2"/>
      <w:sz w:val="32"/>
      <w:lang w:val="en-US" w:eastAsia="zh-CN" w:bidi="ar-SA"/>
    </w:rPr>
  </w:style>
  <w:style w:type="character" w:customStyle="1" w:styleId="72">
    <w:name w:val="font1"/>
    <w:autoRedefine/>
    <w:qFormat/>
    <w:uiPriority w:val="0"/>
    <w:rPr>
      <w:color w:val="000000"/>
      <w:sz w:val="18"/>
      <w:szCs w:val="18"/>
    </w:rPr>
  </w:style>
  <w:style w:type="character" w:customStyle="1" w:styleId="73">
    <w:name w:val="批注主题 Char"/>
    <w:link w:val="51"/>
    <w:qFormat/>
    <w:uiPriority w:val="0"/>
    <w:rPr>
      <w:b/>
      <w:bCs/>
      <w:kern w:val="2"/>
      <w:sz w:val="21"/>
    </w:rPr>
  </w:style>
  <w:style w:type="character" w:customStyle="1" w:styleId="74">
    <w:name w:val="p131"/>
    <w:autoRedefine/>
    <w:qFormat/>
    <w:uiPriority w:val="0"/>
    <w:rPr>
      <w:sz w:val="22"/>
      <w:szCs w:val="22"/>
      <w:u w:val="none"/>
    </w:rPr>
  </w:style>
  <w:style w:type="character" w:customStyle="1" w:styleId="75">
    <w:name w:val="Style Heading A + (Latin) 楷体_GB2312 (Asian) 楷体_GB2312 Char"/>
    <w:autoRedefine/>
    <w:qFormat/>
    <w:uiPriority w:val="0"/>
    <w:rPr>
      <w:rFonts w:ascii="楷体_GB2312" w:hAnsi="楷体_GB2312" w:eastAsia="楷体_GB2312" w:cs="Arial"/>
      <w:b/>
      <w:kern w:val="28"/>
      <w:sz w:val="36"/>
      <w:lang w:val="en-US" w:eastAsia="zh-CN" w:bidi="ar-SA"/>
    </w:rPr>
  </w:style>
  <w:style w:type="character" w:customStyle="1" w:styleId="76">
    <w:name w:val="样式3 Char"/>
    <w:qFormat/>
    <w:uiPriority w:val="0"/>
    <w:rPr>
      <w:rFonts w:eastAsia="宋体"/>
      <w:kern w:val="2"/>
      <w:sz w:val="21"/>
      <w:szCs w:val="24"/>
      <w:lang w:val="en-US" w:eastAsia="zh-CN" w:bidi="ar-SA"/>
    </w:rPr>
  </w:style>
  <w:style w:type="character" w:customStyle="1" w:styleId="77">
    <w:name w:val="纯文本 Char"/>
    <w:autoRedefine/>
    <w:qFormat/>
    <w:uiPriority w:val="0"/>
    <w:rPr>
      <w:rFonts w:ascii="宋体" w:hAnsi="Courier New" w:eastAsia="宋体" w:cs="Courier New"/>
      <w:kern w:val="2"/>
      <w:sz w:val="21"/>
      <w:szCs w:val="21"/>
      <w:lang w:val="en-US" w:eastAsia="zh-CN" w:bidi="ar-SA"/>
    </w:rPr>
  </w:style>
  <w:style w:type="character" w:customStyle="1" w:styleId="78">
    <w:name w:val="标题 1 Char"/>
    <w:link w:val="2"/>
    <w:autoRedefine/>
    <w:qFormat/>
    <w:uiPriority w:val="0"/>
    <w:rPr>
      <w:b/>
      <w:kern w:val="44"/>
      <w:sz w:val="44"/>
      <w:szCs w:val="24"/>
    </w:rPr>
  </w:style>
  <w:style w:type="character" w:customStyle="1" w:styleId="79">
    <w:name w:val="项目 1 Char Char Char"/>
    <w:autoRedefine/>
    <w:qFormat/>
    <w:uiPriority w:val="0"/>
    <w:rPr>
      <w:rFonts w:ascii="Tahoma" w:hAnsi="Tahoma" w:eastAsia="宋体"/>
      <w:kern w:val="2"/>
      <w:sz w:val="24"/>
      <w:szCs w:val="24"/>
      <w:lang w:val="en-US" w:eastAsia="zh-CN" w:bidi="ar-SA"/>
    </w:rPr>
  </w:style>
  <w:style w:type="character" w:customStyle="1" w:styleId="80">
    <w:name w:val="样式1 Char Char"/>
    <w:autoRedefine/>
    <w:qFormat/>
    <w:uiPriority w:val="0"/>
    <w:rPr>
      <w:rFonts w:ascii="新宋体" w:eastAsia="新宋体"/>
      <w:color w:val="0000FF"/>
      <w:sz w:val="18"/>
      <w:szCs w:val="18"/>
      <w:lang w:val="en-US" w:eastAsia="zh-CN" w:bidi="ar-SA"/>
    </w:rPr>
  </w:style>
  <w:style w:type="character" w:customStyle="1" w:styleId="81">
    <w:name w:val="编号列表 Char"/>
    <w:autoRedefine/>
    <w:qFormat/>
    <w:uiPriority w:val="0"/>
    <w:rPr>
      <w:rFonts w:ascii="Verdana" w:hAnsi="Verdana" w:eastAsia="宋体"/>
      <w:kern w:val="2"/>
      <w:sz w:val="24"/>
      <w:szCs w:val="24"/>
      <w:lang w:val="en-US" w:eastAsia="zh-CN" w:bidi="ar-SA"/>
    </w:rPr>
  </w:style>
  <w:style w:type="character" w:customStyle="1" w:styleId="82">
    <w:name w:val="t181"/>
    <w:autoRedefine/>
    <w:qFormat/>
    <w:uiPriority w:val="0"/>
    <w:rPr>
      <w:color w:val="000000"/>
      <w:sz w:val="21"/>
      <w:szCs w:val="21"/>
    </w:rPr>
  </w:style>
  <w:style w:type="character" w:customStyle="1" w:styleId="83">
    <w:name w:val="段 Char Char"/>
    <w:link w:val="84"/>
    <w:autoRedefine/>
    <w:qFormat/>
    <w:uiPriority w:val="0"/>
    <w:rPr>
      <w:rFonts w:ascii="宋体"/>
      <w:sz w:val="21"/>
      <w:lang w:val="en-US" w:eastAsia="zh-CN" w:bidi="ar-SA"/>
    </w:rPr>
  </w:style>
  <w:style w:type="paragraph" w:customStyle="1" w:styleId="84">
    <w:name w:val="段"/>
    <w:link w:val="8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5">
    <w:name w:val="表正文 Char1"/>
    <w:autoRedefine/>
    <w:qFormat/>
    <w:uiPriority w:val="0"/>
    <w:rPr>
      <w:rFonts w:eastAsia="宋体"/>
      <w:kern w:val="2"/>
      <w:sz w:val="21"/>
      <w:szCs w:val="24"/>
      <w:lang w:val="en-US" w:eastAsia="zh-CN" w:bidi="ar-SA"/>
    </w:rPr>
  </w:style>
  <w:style w:type="character" w:customStyle="1" w:styleId="86">
    <w:name w:val="标题 2 Char1"/>
    <w:autoRedefine/>
    <w:qFormat/>
    <w:uiPriority w:val="0"/>
    <w:rPr>
      <w:rFonts w:ascii="Arial" w:hAnsi="Arial" w:eastAsia="黑体"/>
      <w:b/>
      <w:bCs/>
      <w:kern w:val="2"/>
      <w:sz w:val="32"/>
      <w:szCs w:val="32"/>
      <w:lang w:val="en-US" w:eastAsia="zh-CN" w:bidi="ar-SA"/>
    </w:rPr>
  </w:style>
  <w:style w:type="character" w:customStyle="1" w:styleId="87">
    <w:name w:val="正文文本缩进 2 Char"/>
    <w:link w:val="33"/>
    <w:autoRedefine/>
    <w:qFormat/>
    <w:uiPriority w:val="0"/>
    <w:rPr>
      <w:kern w:val="2"/>
      <w:sz w:val="32"/>
    </w:rPr>
  </w:style>
  <w:style w:type="character" w:customStyle="1" w:styleId="88">
    <w:name w:val="批注文字 Char"/>
    <w:link w:val="18"/>
    <w:autoRedefine/>
    <w:qFormat/>
    <w:uiPriority w:val="0"/>
    <w:rPr>
      <w:kern w:val="2"/>
      <w:sz w:val="21"/>
    </w:rPr>
  </w:style>
  <w:style w:type="paragraph" w:customStyle="1" w:styleId="89">
    <w:name w:val="Table Text"/>
    <w:basedOn w:val="1"/>
    <w:autoRedefine/>
    <w:qFormat/>
    <w:uiPriority w:val="0"/>
    <w:pPr>
      <w:widowControl/>
      <w:autoSpaceDE w:val="0"/>
      <w:autoSpaceDN w:val="0"/>
      <w:spacing w:before="60" w:after="60"/>
      <w:jc w:val="left"/>
    </w:pPr>
    <w:rPr>
      <w:kern w:val="0"/>
    </w:rPr>
  </w:style>
  <w:style w:type="paragraph" w:customStyle="1" w:styleId="90">
    <w:name w:val="xl42"/>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rPr>
  </w:style>
  <w:style w:type="paragraph" w:customStyle="1" w:styleId="91">
    <w:name w:val="样式2"/>
    <w:basedOn w:val="2"/>
    <w:autoRedefine/>
    <w:qFormat/>
    <w:uiPriority w:val="0"/>
    <w:pPr>
      <w:tabs>
        <w:tab w:val="left" w:pos="840"/>
      </w:tabs>
      <w:adjustRightInd w:val="0"/>
      <w:snapToGrid w:val="0"/>
      <w:spacing w:before="240" w:after="240" w:line="360" w:lineRule="auto"/>
      <w:ind w:left="840" w:hanging="420"/>
    </w:pPr>
    <w:rPr>
      <w:rFonts w:eastAsia="黑体"/>
      <w:b w:val="0"/>
      <w:bCs/>
      <w:szCs w:val="28"/>
    </w:rPr>
  </w:style>
  <w:style w:type="paragraph" w:customStyle="1" w:styleId="92">
    <w:name w:val="xl47"/>
    <w:basedOn w:val="1"/>
    <w:autoRedefine/>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rPr>
  </w:style>
  <w:style w:type="paragraph" w:customStyle="1" w:styleId="93">
    <w:name w:val="Heading B"/>
    <w:basedOn w:val="3"/>
    <w:next w:val="21"/>
    <w:autoRedefine/>
    <w:qFormat/>
    <w:uiPriority w:val="0"/>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Cs w:val="0"/>
      <w:kern w:val="0"/>
      <w:sz w:val="24"/>
      <w:szCs w:val="20"/>
    </w:rPr>
  </w:style>
  <w:style w:type="paragraph" w:customStyle="1" w:styleId="94">
    <w:name w:val="招标文件》"/>
    <w:basedOn w:val="95"/>
    <w:autoRedefine/>
    <w:qFormat/>
    <w:uiPriority w:val="0"/>
    <w:pPr>
      <w:tabs>
        <w:tab w:val="left" w:pos="560"/>
      </w:tabs>
      <w:ind w:left="200" w:firstLine="0" w:firstLineChars="0"/>
    </w:pPr>
  </w:style>
  <w:style w:type="paragraph" w:customStyle="1" w:styleId="95">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6">
    <w:name w:val="section list2"/>
    <w:basedOn w:val="1"/>
    <w:autoRedefine/>
    <w:qFormat/>
    <w:uiPriority w:val="0"/>
    <w:pPr>
      <w:widowControl/>
      <w:tabs>
        <w:tab w:val="left" w:pos="1680"/>
      </w:tabs>
      <w:autoSpaceDE w:val="0"/>
      <w:autoSpaceDN w:val="0"/>
      <w:spacing w:line="360" w:lineRule="auto"/>
      <w:ind w:left="1680" w:hanging="420"/>
      <w:jc w:val="left"/>
    </w:pPr>
    <w:rPr>
      <w:spacing w:val="20"/>
    </w:rPr>
  </w:style>
  <w:style w:type="paragraph" w:customStyle="1" w:styleId="97">
    <w:name w:val="标题下顺序正文"/>
    <w:basedOn w:val="1"/>
    <w:autoRedefine/>
    <w:qFormat/>
    <w:uiPriority w:val="0"/>
    <w:pPr>
      <w:spacing w:beforeLines="50" w:line="0" w:lineRule="atLeast"/>
      <w:ind w:left="1049" w:leftChars="437" w:firstLine="1"/>
    </w:pPr>
    <w:rPr>
      <w:rFonts w:ascii="宋体"/>
      <w:sz w:val="24"/>
    </w:rPr>
  </w:style>
  <w:style w:type="paragraph" w:customStyle="1" w:styleId="98">
    <w:name w:val="font9"/>
    <w:basedOn w:val="1"/>
    <w:autoRedefine/>
    <w:qFormat/>
    <w:uiPriority w:val="0"/>
    <w:pPr>
      <w:widowControl/>
      <w:spacing w:before="100" w:beforeAutospacing="1" w:after="100" w:afterAutospacing="1"/>
      <w:jc w:val="left"/>
    </w:pPr>
    <w:rPr>
      <w:rFonts w:hint="eastAsia" w:ascii="华文楷体" w:hAnsi="华文楷体" w:eastAsia="华文楷体"/>
      <w:b/>
      <w:bCs/>
      <w:kern w:val="0"/>
      <w:sz w:val="20"/>
    </w:rPr>
  </w:style>
  <w:style w:type="paragraph" w:styleId="99">
    <w:name w:val="List Paragraph"/>
    <w:basedOn w:val="1"/>
    <w:autoRedefine/>
    <w:qFormat/>
    <w:uiPriority w:val="34"/>
    <w:pPr>
      <w:ind w:firstLine="420" w:firstLineChars="200"/>
    </w:pPr>
    <w:rPr>
      <w:rFonts w:ascii="Calibri" w:hAnsi="Calibri"/>
      <w:szCs w:val="22"/>
    </w:rPr>
  </w:style>
  <w:style w:type="paragraph" w:customStyle="1" w:styleId="100">
    <w:name w:val="四级条标题"/>
    <w:basedOn w:val="101"/>
    <w:next w:val="1"/>
    <w:autoRedefine/>
    <w:qFormat/>
    <w:uiPriority w:val="0"/>
    <w:pPr>
      <w:numPr>
        <w:ilvl w:val="3"/>
        <w:numId w:val="0"/>
      </w:numPr>
      <w:tabs>
        <w:tab w:val="left" w:pos="840"/>
        <w:tab w:val="left" w:pos="907"/>
        <w:tab w:val="left" w:pos="1260"/>
        <w:tab w:val="left" w:pos="1680"/>
        <w:tab w:val="left" w:pos="2100"/>
        <w:tab w:val="left" w:pos="2520"/>
      </w:tabs>
      <w:ind w:left="2520" w:hanging="420"/>
      <w:outlineLvl w:val="5"/>
    </w:pPr>
  </w:style>
  <w:style w:type="paragraph" w:customStyle="1" w:styleId="101">
    <w:name w:val="三级条标题"/>
    <w:basedOn w:val="102"/>
    <w:next w:val="1"/>
    <w:autoRedefine/>
    <w:qFormat/>
    <w:uiPriority w:val="0"/>
    <w:pPr>
      <w:numPr>
        <w:ilvl w:val="2"/>
        <w:numId w:val="0"/>
      </w:numPr>
      <w:tabs>
        <w:tab w:val="left" w:pos="840"/>
        <w:tab w:val="left" w:pos="907"/>
        <w:tab w:val="left" w:pos="1260"/>
        <w:tab w:val="left" w:pos="1680"/>
        <w:tab w:val="left" w:pos="2100"/>
      </w:tabs>
      <w:ind w:left="2100" w:hanging="420"/>
      <w:outlineLvl w:val="4"/>
    </w:pPr>
  </w:style>
  <w:style w:type="paragraph" w:customStyle="1" w:styleId="102">
    <w:name w:val="二级条标题"/>
    <w:basedOn w:val="103"/>
    <w:next w:val="1"/>
    <w:autoRedefine/>
    <w:qFormat/>
    <w:uiPriority w:val="0"/>
    <w:pPr>
      <w:numPr>
        <w:ilvl w:val="1"/>
        <w:numId w:val="0"/>
      </w:numPr>
      <w:tabs>
        <w:tab w:val="left" w:pos="840"/>
        <w:tab w:val="left" w:pos="907"/>
        <w:tab w:val="left" w:pos="1260"/>
        <w:tab w:val="left" w:pos="1680"/>
      </w:tabs>
      <w:ind w:left="1680" w:hanging="420"/>
      <w:outlineLvl w:val="3"/>
    </w:pPr>
  </w:style>
  <w:style w:type="paragraph" w:customStyle="1" w:styleId="103">
    <w:name w:val="一级条标题"/>
    <w:basedOn w:val="104"/>
    <w:next w:val="1"/>
    <w:autoRedefine/>
    <w:qFormat/>
    <w:uiPriority w:val="0"/>
    <w:pPr>
      <w:numPr>
        <w:ilvl w:val="0"/>
        <w:numId w:val="2"/>
      </w:numPr>
      <w:tabs>
        <w:tab w:val="left" w:pos="840"/>
        <w:tab w:val="left" w:pos="907"/>
        <w:tab w:val="left" w:pos="1260"/>
      </w:tabs>
      <w:ind w:left="1260" w:hanging="420"/>
      <w:outlineLvl w:val="2"/>
    </w:pPr>
  </w:style>
  <w:style w:type="paragraph" w:customStyle="1" w:styleId="104">
    <w:name w:val="章标题"/>
    <w:next w:val="1"/>
    <w:autoRedefine/>
    <w:qFormat/>
    <w:uiPriority w:val="0"/>
    <w:pPr>
      <w:numPr>
        <w:ilvl w:val="0"/>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105">
    <w:name w:val="标题下列示顺序"/>
    <w:basedOn w:val="97"/>
    <w:autoRedefine/>
    <w:qFormat/>
    <w:uiPriority w:val="0"/>
    <w:pPr>
      <w:tabs>
        <w:tab w:val="left" w:pos="1680"/>
      </w:tabs>
      <w:ind w:left="1680" w:leftChars="0" w:hanging="420"/>
    </w:pPr>
  </w:style>
  <w:style w:type="paragraph" w:customStyle="1" w:styleId="106">
    <w:name w:val="样式4"/>
    <w:autoRedefine/>
    <w:qFormat/>
    <w:uiPriority w:val="0"/>
    <w:rPr>
      <w:rFonts w:ascii="宋体" w:hAnsi="宋体" w:eastAsia="宋体" w:cs="Times New Roman"/>
      <w:b/>
      <w:bCs/>
      <w:kern w:val="2"/>
      <w:sz w:val="28"/>
      <w:szCs w:val="28"/>
      <w:lang w:val="en-US" w:eastAsia="zh-CN" w:bidi="ar-SA"/>
    </w:rPr>
  </w:style>
  <w:style w:type="paragraph" w:customStyle="1" w:styleId="107">
    <w:name w:val="序3"/>
    <w:basedOn w:val="1"/>
    <w:autoRedefine/>
    <w:qFormat/>
    <w:uiPriority w:val="0"/>
    <w:pPr>
      <w:tabs>
        <w:tab w:val="left" w:pos="0"/>
        <w:tab w:val="left" w:pos="643"/>
      </w:tabs>
      <w:ind w:left="643" w:hanging="360"/>
    </w:pPr>
    <w:rPr>
      <w:rFonts w:eastAsia="楷体_GB2312"/>
      <w:b/>
      <w:bCs/>
      <w:sz w:val="32"/>
      <w:szCs w:val="24"/>
    </w:rPr>
  </w:style>
  <w:style w:type="paragraph" w:customStyle="1" w:styleId="108">
    <w:name w:val="font0"/>
    <w:basedOn w:val="1"/>
    <w:autoRedefine/>
    <w:qFormat/>
    <w:uiPriority w:val="0"/>
    <w:pPr>
      <w:widowControl/>
      <w:spacing w:before="100" w:beforeAutospacing="1" w:after="100" w:afterAutospacing="1"/>
      <w:jc w:val="left"/>
    </w:pPr>
    <w:rPr>
      <w:rFonts w:ascii="Arial" w:hAnsi="Arial" w:eastAsia="Arial Unicode MS" w:cs="Arial"/>
      <w:kern w:val="0"/>
      <w:sz w:val="20"/>
    </w:rPr>
  </w:style>
  <w:style w:type="paragraph" w:customStyle="1" w:styleId="109">
    <w:name w:val="font6"/>
    <w:basedOn w:val="1"/>
    <w:autoRedefine/>
    <w:qFormat/>
    <w:uiPriority w:val="0"/>
    <w:pPr>
      <w:widowControl/>
      <w:spacing w:before="100" w:beforeAutospacing="1" w:after="100" w:afterAutospacing="1"/>
      <w:jc w:val="left"/>
    </w:pPr>
    <w:rPr>
      <w:rFonts w:ascii="Arial" w:hAnsi="Arial" w:cs="Arial"/>
      <w:kern w:val="0"/>
      <w:sz w:val="16"/>
      <w:szCs w:val="16"/>
    </w:rPr>
  </w:style>
  <w:style w:type="paragraph" w:customStyle="1" w:styleId="110">
    <w:name w:val="黑正体次次级"/>
    <w:basedOn w:val="111"/>
    <w:autoRedefine/>
    <w:qFormat/>
    <w:uiPriority w:val="0"/>
    <w:pPr>
      <w:tabs>
        <w:tab w:val="left" w:pos="425"/>
      </w:tabs>
      <w:ind w:left="1417" w:hanging="425"/>
    </w:pPr>
    <w:rPr>
      <w:i/>
      <w:sz w:val="20"/>
    </w:rPr>
  </w:style>
  <w:style w:type="paragraph" w:customStyle="1" w:styleId="111">
    <w:name w:val="黑正文次级"/>
    <w:basedOn w:val="1"/>
    <w:autoRedefine/>
    <w:qFormat/>
    <w:uiPriority w:val="0"/>
    <w:pPr>
      <w:widowControl/>
      <w:overflowPunct w:val="0"/>
      <w:autoSpaceDE w:val="0"/>
      <w:autoSpaceDN w:val="0"/>
      <w:adjustRightInd w:val="0"/>
      <w:spacing w:line="300" w:lineRule="auto"/>
      <w:ind w:left="400" w:leftChars="300" w:hanging="100" w:hangingChars="100"/>
      <w:jc w:val="left"/>
      <w:textAlignment w:val="baseline"/>
    </w:pPr>
    <w:rPr>
      <w:kern w:val="0"/>
      <w:sz w:val="24"/>
    </w:rPr>
  </w:style>
  <w:style w:type="paragraph" w:customStyle="1" w:styleId="112">
    <w:name w:val="Char1 Char Char Char Char Char Char Char Char Char Char Char Char Char"/>
    <w:basedOn w:val="1"/>
    <w:autoRedefine/>
    <w:qFormat/>
    <w:uiPriority w:val="0"/>
    <w:pPr>
      <w:adjustRightInd w:val="0"/>
      <w:spacing w:line="360" w:lineRule="auto"/>
    </w:pPr>
    <w:rPr>
      <w:kern w:val="0"/>
      <w:sz w:val="24"/>
    </w:rPr>
  </w:style>
  <w:style w:type="paragraph" w:customStyle="1" w:styleId="113">
    <w:name w:val="正文表标题"/>
    <w:next w:val="1"/>
    <w:autoRedefine/>
    <w:qFormat/>
    <w:uiPriority w:val="0"/>
    <w:pPr>
      <w:numPr>
        <w:ilvl w:val="5"/>
        <w:numId w:val="2"/>
      </w:numPr>
      <w:tabs>
        <w:tab w:val="left" w:pos="360"/>
      </w:tabs>
      <w:jc w:val="center"/>
    </w:pPr>
    <w:rPr>
      <w:rFonts w:ascii="黑体" w:hAnsi="Times New Roman" w:eastAsia="黑体" w:cs="Times New Roman"/>
      <w:sz w:val="21"/>
      <w:lang w:val="en-US" w:eastAsia="zh-CN" w:bidi="ar-SA"/>
    </w:rPr>
  </w:style>
  <w:style w:type="paragraph" w:customStyle="1" w:styleId="114">
    <w:name w:val="招标文件1.1.1.1"/>
    <w:basedOn w:val="1"/>
    <w:autoRedefine/>
    <w:qFormat/>
    <w:uiPriority w:val="0"/>
    <w:pPr>
      <w:spacing w:before="120" w:after="120" w:line="480" w:lineRule="exact"/>
      <w:ind w:left="200"/>
      <w:jc w:val="left"/>
      <w:outlineLvl w:val="4"/>
    </w:pPr>
    <w:rPr>
      <w:rFonts w:ascii="宋体"/>
      <w:b/>
      <w:spacing w:val="10"/>
      <w:w w:val="95"/>
      <w:szCs w:val="24"/>
    </w:rPr>
  </w:style>
  <w:style w:type="paragraph" w:customStyle="1" w:styleId="115">
    <w:name w:val="¸½Â¼"/>
    <w:basedOn w:val="4"/>
    <w:autoRedefine/>
    <w:qFormat/>
    <w:uiPriority w:val="0"/>
    <w:pPr>
      <w:keepLines w:val="0"/>
      <w:widowControl/>
      <w:numPr>
        <w:ilvl w:val="3"/>
        <w:numId w:val="4"/>
      </w:numPr>
      <w:tabs>
        <w:tab w:val="clear" w:pos="851"/>
      </w:tabs>
      <w:overflowPunct w:val="0"/>
      <w:autoSpaceDE w:val="0"/>
      <w:autoSpaceDN w:val="0"/>
      <w:adjustRightInd w:val="0"/>
      <w:spacing w:before="0" w:after="0" w:line="240" w:lineRule="auto"/>
      <w:ind w:left="0" w:firstLine="0"/>
      <w:textAlignment w:val="baseline"/>
      <w:outlineLvl w:val="9"/>
    </w:pPr>
    <w:rPr>
      <w:b w:val="0"/>
      <w:bCs w:val="0"/>
      <w:kern w:val="0"/>
      <w:position w:val="20"/>
      <w:sz w:val="24"/>
      <w:szCs w:val="20"/>
    </w:rPr>
  </w:style>
  <w:style w:type="paragraph" w:customStyle="1" w:styleId="116">
    <w:name w:val="xl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17">
    <w:name w:val="默认段落字体 Para Char Char Char1 Char Char Char Char Char Char Char"/>
    <w:basedOn w:val="1"/>
    <w:autoRedefine/>
    <w:qFormat/>
    <w:uiPriority w:val="0"/>
    <w:pPr>
      <w:adjustRightInd w:val="0"/>
      <w:spacing w:line="360" w:lineRule="auto"/>
    </w:pPr>
    <w:rPr>
      <w:kern w:val="0"/>
      <w:sz w:val="24"/>
    </w:rPr>
  </w:style>
  <w:style w:type="paragraph" w:customStyle="1" w:styleId="118">
    <w:name w:val="修订版本号"/>
    <w:autoRedefine/>
    <w:qFormat/>
    <w:uiPriority w:val="99"/>
    <w:rPr>
      <w:rFonts w:ascii="Times New Roman" w:hAnsi="Times New Roman" w:eastAsia="宋体" w:cs="Times New Roman"/>
      <w:kern w:val="2"/>
      <w:sz w:val="21"/>
      <w:lang w:val="en-US" w:eastAsia="zh-CN" w:bidi="ar-SA"/>
    </w:rPr>
  </w:style>
  <w:style w:type="paragraph" w:customStyle="1" w:styleId="119">
    <w:name w:val="prop1"/>
    <w:basedOn w:val="5"/>
    <w:qFormat/>
    <w:uiPriority w:val="0"/>
    <w:pPr>
      <w:tabs>
        <w:tab w:val="left" w:pos="540"/>
      </w:tabs>
      <w:adjustRightInd/>
      <w:spacing w:line="360" w:lineRule="auto"/>
      <w:ind w:left="540" w:hanging="540"/>
      <w:textAlignment w:val="auto"/>
    </w:pPr>
    <w:rPr>
      <w:kern w:val="2"/>
    </w:rPr>
  </w:style>
  <w:style w:type="paragraph" w:customStyle="1" w:styleId="120">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rPr>
  </w:style>
  <w:style w:type="paragraph" w:customStyle="1" w:styleId="121">
    <w:name w:val="缺省文本"/>
    <w:basedOn w:val="1"/>
    <w:link w:val="276"/>
    <w:autoRedefine/>
    <w:qFormat/>
    <w:uiPriority w:val="0"/>
    <w:pPr>
      <w:autoSpaceDE w:val="0"/>
      <w:autoSpaceDN w:val="0"/>
      <w:adjustRightInd w:val="0"/>
      <w:jc w:val="left"/>
    </w:pPr>
    <w:rPr>
      <w:kern w:val="0"/>
      <w:sz w:val="24"/>
    </w:rPr>
  </w:style>
  <w:style w:type="paragraph" w:customStyle="1" w:styleId="122">
    <w:name w:val="List Bullet1"/>
    <w:basedOn w:val="1"/>
    <w:autoRedefine/>
    <w:qFormat/>
    <w:uiPriority w:val="0"/>
    <w:pPr>
      <w:widowControl/>
      <w:tabs>
        <w:tab w:val="left" w:pos="987"/>
      </w:tabs>
      <w:adjustRightInd w:val="0"/>
      <w:snapToGrid w:val="0"/>
      <w:spacing w:line="360" w:lineRule="auto"/>
      <w:ind w:left="987" w:right="57" w:hanging="420"/>
      <w:jc w:val="left"/>
    </w:pPr>
    <w:rPr>
      <w:kern w:val="0"/>
      <w:sz w:val="24"/>
      <w:szCs w:val="24"/>
    </w:rPr>
  </w:style>
  <w:style w:type="paragraph" w:customStyle="1" w:styleId="123">
    <w:name w:val="文档正文 Char Char Char Char Char"/>
    <w:basedOn w:val="1"/>
    <w:autoRedefine/>
    <w:qFormat/>
    <w:uiPriority w:val="0"/>
    <w:pPr>
      <w:adjustRightInd w:val="0"/>
      <w:spacing w:line="440" w:lineRule="exact"/>
      <w:ind w:left="100" w:leftChars="100" w:right="210" w:rightChars="100" w:firstLine="420"/>
      <w:textAlignment w:val="baseline"/>
    </w:pPr>
    <w:rPr>
      <w:rFonts w:ascii="Arial Narrow" w:hAnsi="Arial Narrow"/>
      <w:kern w:val="0"/>
      <w:sz w:val="24"/>
      <w:szCs w:val="24"/>
    </w:rPr>
  </w:style>
  <w:style w:type="paragraph" w:customStyle="1" w:styleId="124">
    <w:name w:val="修订1"/>
    <w:autoRedefine/>
    <w:qFormat/>
    <w:uiPriority w:val="99"/>
    <w:rPr>
      <w:rFonts w:ascii="Times New Roman" w:hAnsi="Times New Roman" w:eastAsia="宋体" w:cs="Times New Roman"/>
      <w:kern w:val="2"/>
      <w:sz w:val="21"/>
      <w:lang w:val="en-US" w:eastAsia="zh-CN" w:bidi="ar-SA"/>
    </w:rPr>
  </w:style>
  <w:style w:type="paragraph" w:customStyle="1" w:styleId="125">
    <w:name w:val="P6"/>
    <w:autoRedefine/>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26">
    <w:name w:val="xl23"/>
    <w:basedOn w:val="1"/>
    <w:autoRedefine/>
    <w:qFormat/>
    <w:uiPriority w:val="0"/>
    <w:pPr>
      <w:widowControl/>
      <w:spacing w:beforeAutospacing="1" w:afterAutospacing="1"/>
    </w:pPr>
    <w:rPr>
      <w:rFonts w:eastAsia="Arial Unicode MS"/>
      <w:kern w:val="0"/>
    </w:rPr>
  </w:style>
  <w:style w:type="paragraph" w:customStyle="1" w:styleId="127">
    <w:name w:val="font10"/>
    <w:basedOn w:val="1"/>
    <w:autoRedefine/>
    <w:qFormat/>
    <w:uiPriority w:val="0"/>
    <w:pPr>
      <w:widowControl/>
      <w:spacing w:before="100" w:beforeAutospacing="1" w:after="100" w:afterAutospacing="1"/>
      <w:jc w:val="left"/>
    </w:pPr>
    <w:rPr>
      <w:kern w:val="0"/>
      <w:sz w:val="20"/>
    </w:rPr>
  </w:style>
  <w:style w:type="paragraph" w:customStyle="1" w:styleId="128">
    <w:name w:val="xl5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rPr>
  </w:style>
  <w:style w:type="paragraph" w:customStyle="1" w:styleId="129">
    <w:name w:val="目录"/>
    <w:basedOn w:val="1"/>
    <w:next w:val="1"/>
    <w:autoRedefine/>
    <w:qFormat/>
    <w:uiPriority w:val="0"/>
    <w:pPr>
      <w:numPr>
        <w:ilvl w:val="1"/>
        <w:numId w:val="4"/>
      </w:numPr>
      <w:ind w:left="0"/>
      <w:jc w:val="center"/>
    </w:pPr>
    <w:rPr>
      <w:b/>
      <w:sz w:val="24"/>
    </w:rPr>
  </w:style>
  <w:style w:type="paragraph" w:customStyle="1" w:styleId="130">
    <w:name w:val="c"/>
    <w:autoRedefine/>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31">
    <w:name w:val="xl41"/>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rPr>
  </w:style>
  <w:style w:type="paragraph" w:customStyle="1" w:styleId="132">
    <w:name w:val="Centered"/>
    <w:basedOn w:val="1"/>
    <w:next w:val="21"/>
    <w:autoRedefine/>
    <w:qFormat/>
    <w:uiPriority w:val="0"/>
    <w:pPr>
      <w:widowControl/>
      <w:spacing w:after="240" w:line="240" w:lineRule="exact"/>
      <w:jc w:val="center"/>
    </w:pPr>
    <w:rPr>
      <w:kern w:val="0"/>
      <w:sz w:val="24"/>
      <w:szCs w:val="24"/>
      <w:lang w:val="en-GB"/>
    </w:rPr>
  </w:style>
  <w:style w:type="paragraph" w:customStyle="1" w:styleId="133">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134">
    <w:name w:val="Char1 Char Char Char Char Char Char"/>
    <w:basedOn w:val="1"/>
    <w:qFormat/>
    <w:uiPriority w:val="0"/>
    <w:rPr>
      <w:rFonts w:ascii="Tahoma" w:hAnsi="Tahoma"/>
      <w:sz w:val="24"/>
    </w:rPr>
  </w:style>
  <w:style w:type="paragraph" w:customStyle="1" w:styleId="135">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36">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137">
    <w:name w:val="正文表格"/>
    <w:basedOn w:val="1"/>
    <w:qFormat/>
    <w:uiPriority w:val="0"/>
    <w:pPr>
      <w:ind w:left="10" w:leftChars="10" w:right="10" w:rightChars="10"/>
    </w:pPr>
    <w:rPr>
      <w:bCs/>
      <w:szCs w:val="24"/>
    </w:rPr>
  </w:style>
  <w:style w:type="paragraph" w:customStyle="1" w:styleId="13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9">
    <w:name w:val="标题5"/>
    <w:basedOn w:val="1"/>
    <w:autoRedefine/>
    <w:qFormat/>
    <w:uiPriority w:val="0"/>
    <w:pPr>
      <w:tabs>
        <w:tab w:val="left" w:pos="0"/>
      </w:tabs>
      <w:autoSpaceDE w:val="0"/>
      <w:autoSpaceDN w:val="0"/>
      <w:adjustRightInd w:val="0"/>
      <w:snapToGrid w:val="0"/>
      <w:spacing w:line="320" w:lineRule="atLeast"/>
    </w:pPr>
    <w:rPr>
      <w:rFonts w:ascii="宋体"/>
      <w:kern w:val="0"/>
      <w:szCs w:val="21"/>
    </w:rPr>
  </w:style>
  <w:style w:type="paragraph" w:customStyle="1" w:styleId="140">
    <w:name w:val="默认段落字体 Para Char Char Char Char Char Char Char Char Char Char"/>
    <w:basedOn w:val="1"/>
    <w:qFormat/>
    <w:uiPriority w:val="0"/>
    <w:rPr>
      <w:rFonts w:ascii="Tahoma" w:hAnsi="Tahoma"/>
      <w:sz w:val="24"/>
      <w:szCs w:val="24"/>
      <w:u w:val="single"/>
    </w:rPr>
  </w:style>
  <w:style w:type="paragraph" w:customStyle="1" w:styleId="141">
    <w:name w:val="图名"/>
    <w:basedOn w:val="1"/>
    <w:next w:val="15"/>
    <w:autoRedefine/>
    <w:qFormat/>
    <w:uiPriority w:val="0"/>
    <w:pPr>
      <w:spacing w:line="360" w:lineRule="auto"/>
      <w:jc w:val="center"/>
    </w:pPr>
    <w:rPr>
      <w:rFonts w:ascii="Arial" w:hAnsi="Arial" w:eastAsia="黑体"/>
      <w:b/>
      <w:szCs w:val="24"/>
    </w:rPr>
  </w:style>
  <w:style w:type="paragraph" w:customStyle="1" w:styleId="142">
    <w:name w:val="font8"/>
    <w:basedOn w:val="1"/>
    <w:autoRedefine/>
    <w:qFormat/>
    <w:uiPriority w:val="0"/>
    <w:pPr>
      <w:widowControl/>
      <w:spacing w:before="100" w:beforeAutospacing="1" w:after="100" w:afterAutospacing="1"/>
      <w:jc w:val="left"/>
    </w:pPr>
    <w:rPr>
      <w:rFonts w:hint="eastAsia" w:ascii="宋体" w:hAnsi="宋体"/>
      <w:b/>
      <w:bCs/>
      <w:kern w:val="0"/>
      <w:sz w:val="20"/>
    </w:rPr>
  </w:style>
  <w:style w:type="paragraph" w:customStyle="1" w:styleId="143">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4">
    <w:name w:val="*8. General Text"/>
    <w:basedOn w:val="145"/>
    <w:next w:val="145"/>
    <w:autoRedefine/>
    <w:qFormat/>
    <w:uiPriority w:val="0"/>
    <w:pPr>
      <w:spacing w:after="120"/>
    </w:pPr>
    <w:rPr>
      <w:color w:val="auto"/>
    </w:rPr>
  </w:style>
  <w:style w:type="paragraph" w:customStyle="1" w:styleId="14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6">
    <w:name w:val="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rPr>
  </w:style>
  <w:style w:type="paragraph" w:customStyle="1" w:styleId="148">
    <w:name w:val="2"/>
    <w:basedOn w:val="1"/>
    <w:next w:val="22"/>
    <w:autoRedefine/>
    <w:qFormat/>
    <w:uiPriority w:val="0"/>
    <w:pPr>
      <w:spacing w:line="440" w:lineRule="exact"/>
      <w:ind w:firstLine="420"/>
    </w:pPr>
    <w:rPr>
      <w:sz w:val="28"/>
    </w:rPr>
  </w:style>
  <w:style w:type="paragraph" w:customStyle="1" w:styleId="149">
    <w:name w:val="标题下列示"/>
    <w:basedOn w:val="150"/>
    <w:next w:val="97"/>
    <w:autoRedefine/>
    <w:qFormat/>
    <w:uiPriority w:val="0"/>
    <w:pPr>
      <w:tabs>
        <w:tab w:val="left" w:pos="420"/>
        <w:tab w:val="left" w:pos="1680"/>
      </w:tabs>
      <w:ind w:left="1680"/>
    </w:pPr>
  </w:style>
  <w:style w:type="paragraph" w:customStyle="1" w:styleId="150">
    <w:name w:val="标题下顺序"/>
    <w:basedOn w:val="1"/>
    <w:autoRedefine/>
    <w:qFormat/>
    <w:uiPriority w:val="0"/>
    <w:pPr>
      <w:tabs>
        <w:tab w:val="left" w:pos="420"/>
      </w:tabs>
      <w:spacing w:beforeLines="50" w:line="0" w:lineRule="atLeast"/>
      <w:ind w:left="420" w:hanging="420"/>
    </w:pPr>
    <w:rPr>
      <w:rFonts w:ascii="宋体" w:hAnsi="宋体"/>
      <w:sz w:val="28"/>
    </w:rPr>
  </w:style>
  <w:style w:type="paragraph" w:customStyle="1" w:styleId="151">
    <w:name w:val="操作步骤"/>
    <w:basedOn w:val="1"/>
    <w:autoRedefine/>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152">
    <w:name w:val="表格首行"/>
    <w:basedOn w:val="1"/>
    <w:qFormat/>
    <w:uiPriority w:val="0"/>
    <w:pPr>
      <w:jc w:val="center"/>
    </w:pPr>
    <w:rPr>
      <w:rFonts w:ascii="宋体" w:hAnsi="宋体"/>
      <w:szCs w:val="24"/>
    </w:rPr>
  </w:style>
  <w:style w:type="paragraph" w:customStyle="1" w:styleId="153">
    <w:name w:val="P1"/>
    <w:autoRedefine/>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54">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56">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57">
    <w:name w:val="黑正文"/>
    <w:basedOn w:val="1"/>
    <w:autoRedefine/>
    <w:qFormat/>
    <w:uiPriority w:val="0"/>
    <w:pPr>
      <w:widowControl/>
      <w:tabs>
        <w:tab w:val="left" w:pos="625"/>
      </w:tabs>
      <w:overflowPunct w:val="0"/>
      <w:adjustRightInd w:val="0"/>
      <w:spacing w:line="300" w:lineRule="auto"/>
      <w:ind w:left="625" w:hanging="425"/>
      <w:jc w:val="left"/>
    </w:pPr>
    <w:rPr>
      <w:b/>
      <w:kern w:val="0"/>
      <w:sz w:val="24"/>
    </w:rPr>
  </w:style>
  <w:style w:type="paragraph" w:customStyle="1" w:styleId="158">
    <w:name w:val="项目2"/>
    <w:autoRedefine/>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15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rPr>
  </w:style>
  <w:style w:type="paragraph" w:customStyle="1" w:styleId="160">
    <w:name w:val="一级标题"/>
    <w:basedOn w:val="17"/>
    <w:autoRedefine/>
    <w:qFormat/>
    <w:uiPriority w:val="0"/>
    <w:pPr>
      <w:adjustRightInd w:val="0"/>
      <w:spacing w:line="360" w:lineRule="auto"/>
      <w:ind w:left="1985" w:hanging="709"/>
      <w:jc w:val="center"/>
      <w:outlineLvl w:val="3"/>
    </w:pPr>
    <w:rPr>
      <w:rFonts w:ascii="Tahoma" w:hAnsi="Tahoma"/>
      <w:sz w:val="24"/>
      <w:szCs w:val="24"/>
    </w:rPr>
  </w:style>
  <w:style w:type="paragraph" w:customStyle="1" w:styleId="161">
    <w:name w:val="文章标题"/>
    <w:basedOn w:val="1"/>
    <w:autoRedefine/>
    <w:qFormat/>
    <w:uiPriority w:val="0"/>
    <w:pPr>
      <w:spacing w:beforeLines="200" w:afterLines="200"/>
      <w:jc w:val="center"/>
    </w:pPr>
    <w:rPr>
      <w:b/>
      <w:sz w:val="44"/>
      <w:szCs w:val="24"/>
    </w:rPr>
  </w:style>
  <w:style w:type="paragraph" w:customStyle="1" w:styleId="162">
    <w:name w:val="招标文件1"/>
    <w:basedOn w:val="1"/>
    <w:autoRedefine/>
    <w:qFormat/>
    <w:uiPriority w:val="0"/>
    <w:pPr>
      <w:tabs>
        <w:tab w:val="left" w:pos="420"/>
      </w:tabs>
      <w:spacing w:before="120" w:after="120" w:line="480" w:lineRule="exact"/>
      <w:ind w:left="200"/>
      <w:jc w:val="left"/>
      <w:outlineLvl w:val="1"/>
    </w:pPr>
    <w:rPr>
      <w:rFonts w:ascii="宋体"/>
      <w:b/>
      <w:spacing w:val="10"/>
      <w:w w:val="95"/>
      <w:kern w:val="0"/>
      <w:sz w:val="28"/>
      <w:szCs w:val="24"/>
    </w:rPr>
  </w:style>
  <w:style w:type="paragraph" w:customStyle="1" w:styleId="163">
    <w:name w:val="标题四"/>
    <w:basedOn w:val="4"/>
    <w:autoRedefine/>
    <w:qFormat/>
    <w:uiPriority w:val="0"/>
    <w:rPr>
      <w:sz w:val="28"/>
    </w:rPr>
  </w:style>
  <w:style w:type="paragraph" w:customStyle="1" w:styleId="164">
    <w:name w:val="我的正文下级"/>
    <w:basedOn w:val="1"/>
    <w:autoRedefine/>
    <w:qFormat/>
    <w:uiPriority w:val="0"/>
    <w:rPr>
      <w:rFonts w:hint="eastAsia" w:ascii="仿宋_GB2312" w:hAnsi="宋体" w:eastAsia="仿宋_GB2312"/>
      <w:kern w:val="0"/>
      <w:sz w:val="28"/>
      <w:szCs w:val="24"/>
    </w:rPr>
  </w:style>
  <w:style w:type="paragraph" w:customStyle="1" w:styleId="165">
    <w:name w:val="文本框样式1"/>
    <w:basedOn w:val="1"/>
    <w:autoRedefine/>
    <w:qFormat/>
    <w:uiPriority w:val="0"/>
    <w:pPr>
      <w:adjustRightInd w:val="0"/>
      <w:snapToGrid w:val="0"/>
      <w:spacing w:before="60" w:line="180" w:lineRule="exact"/>
      <w:jc w:val="center"/>
    </w:pPr>
    <w:rPr>
      <w:szCs w:val="21"/>
    </w:rPr>
  </w:style>
  <w:style w:type="paragraph" w:customStyle="1" w:styleId="166">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167">
    <w:name w:val="正文1"/>
    <w:basedOn w:val="1"/>
    <w:autoRedefine/>
    <w:qFormat/>
    <w:uiPriority w:val="0"/>
    <w:pPr>
      <w:tabs>
        <w:tab w:val="left" w:pos="1290"/>
      </w:tabs>
      <w:ind w:left="1290" w:hanging="420"/>
      <w:jc w:val="left"/>
    </w:pPr>
    <w:rPr>
      <w:sz w:val="24"/>
      <w:szCs w:val="24"/>
    </w:rPr>
  </w:style>
  <w:style w:type="paragraph" w:customStyle="1" w:styleId="168">
    <w:name w:val="五级条标题"/>
    <w:basedOn w:val="100"/>
    <w:next w:val="1"/>
    <w:autoRedefine/>
    <w:qFormat/>
    <w:uiPriority w:val="0"/>
    <w:pPr>
      <w:numPr>
        <w:ilvl w:val="4"/>
        <w:numId w:val="0"/>
      </w:numPr>
      <w:tabs>
        <w:tab w:val="left" w:pos="2940"/>
      </w:tabs>
      <w:ind w:left="2940" w:hanging="420"/>
      <w:outlineLvl w:val="6"/>
    </w:pPr>
  </w:style>
  <w:style w:type="paragraph" w:customStyle="1" w:styleId="169">
    <w:name w:val="序4"/>
    <w:basedOn w:val="1"/>
    <w:autoRedefine/>
    <w:qFormat/>
    <w:uiPriority w:val="0"/>
    <w:pPr>
      <w:tabs>
        <w:tab w:val="left" w:pos="1680"/>
      </w:tabs>
      <w:spacing w:before="120"/>
      <w:ind w:left="1680" w:hanging="420"/>
      <w:jc w:val="left"/>
    </w:pPr>
    <w:rPr>
      <w:rFonts w:eastAsia="黑体"/>
      <w:b/>
      <w:bCs/>
      <w:caps/>
      <w:sz w:val="24"/>
      <w:szCs w:val="24"/>
    </w:rPr>
  </w:style>
  <w:style w:type="paragraph" w:customStyle="1" w:styleId="170">
    <w:name w:val="序2"/>
    <w:basedOn w:val="1"/>
    <w:autoRedefine/>
    <w:qFormat/>
    <w:uiPriority w:val="0"/>
    <w:pPr>
      <w:tabs>
        <w:tab w:val="left" w:pos="360"/>
        <w:tab w:val="left" w:pos="840"/>
      </w:tabs>
      <w:ind w:left="360" w:hanging="360"/>
    </w:pPr>
    <w:rPr>
      <w:rFonts w:eastAsia="黑体"/>
      <w:b/>
      <w:bCs/>
      <w:sz w:val="44"/>
      <w:szCs w:val="24"/>
    </w:rPr>
  </w:style>
  <w:style w:type="paragraph" w:customStyle="1" w:styleId="171">
    <w:name w:val="Char Char1 Char Char Char Char Char1"/>
    <w:basedOn w:val="1"/>
    <w:autoRedefine/>
    <w:qFormat/>
    <w:uiPriority w:val="0"/>
    <w:rPr>
      <w:rFonts w:ascii="Tahoma" w:hAnsi="Tahoma"/>
      <w:sz w:val="24"/>
    </w:rPr>
  </w:style>
  <w:style w:type="paragraph" w:customStyle="1" w:styleId="172">
    <w:name w:val="P8"/>
    <w:basedOn w:val="125"/>
    <w:autoRedefine/>
    <w:qFormat/>
    <w:uiPriority w:val="0"/>
    <w:pPr>
      <w:ind w:left="4032"/>
    </w:pPr>
  </w:style>
  <w:style w:type="paragraph" w:customStyle="1" w:styleId="173">
    <w:name w:val="编号列表"/>
    <w:basedOn w:val="1"/>
    <w:autoRedefine/>
    <w:qFormat/>
    <w:uiPriority w:val="0"/>
    <w:pPr>
      <w:tabs>
        <w:tab w:val="left" w:pos="992"/>
      </w:tabs>
      <w:adjustRightInd w:val="0"/>
      <w:snapToGrid w:val="0"/>
      <w:spacing w:beforeLines="50" w:afterLines="50" w:line="360" w:lineRule="auto"/>
      <w:ind w:left="992" w:hanging="572"/>
    </w:pPr>
    <w:rPr>
      <w:rFonts w:ascii="Verdana" w:hAnsi="Verdana"/>
      <w:sz w:val="24"/>
      <w:szCs w:val="24"/>
    </w:rPr>
  </w:style>
  <w:style w:type="paragraph" w:customStyle="1" w:styleId="174">
    <w:name w:val="正文（首行缩进）"/>
    <w:basedOn w:val="1"/>
    <w:autoRedefine/>
    <w:qFormat/>
    <w:uiPriority w:val="0"/>
    <w:pPr>
      <w:spacing w:line="360" w:lineRule="auto"/>
      <w:ind w:firstLine="420"/>
    </w:pPr>
    <w:rPr>
      <w:sz w:val="24"/>
    </w:rPr>
  </w:style>
  <w:style w:type="paragraph" w:customStyle="1" w:styleId="175">
    <w:name w:val="font7"/>
    <w:basedOn w:val="1"/>
    <w:autoRedefine/>
    <w:qFormat/>
    <w:uiPriority w:val="0"/>
    <w:pPr>
      <w:widowControl/>
      <w:spacing w:before="100" w:beforeAutospacing="1" w:after="100" w:afterAutospacing="1"/>
      <w:jc w:val="left"/>
    </w:pPr>
    <w:rPr>
      <w:rFonts w:ascii="Arial" w:hAnsi="Arial" w:cs="Arial"/>
      <w:b/>
      <w:bCs/>
      <w:kern w:val="0"/>
      <w:sz w:val="20"/>
    </w:rPr>
  </w:style>
  <w:style w:type="paragraph" w:customStyle="1" w:styleId="176">
    <w:name w:val="gczx正文"/>
    <w:basedOn w:val="1"/>
    <w:autoRedefine/>
    <w:qFormat/>
    <w:uiPriority w:val="0"/>
    <w:pPr>
      <w:spacing w:beforeLines="25" w:afterLines="25" w:line="440" w:lineRule="exact"/>
      <w:ind w:firstLine="200" w:firstLineChars="200"/>
    </w:pPr>
    <w:rPr>
      <w:sz w:val="24"/>
    </w:rPr>
  </w:style>
  <w:style w:type="paragraph" w:customStyle="1" w:styleId="177">
    <w:name w:val="正文文字(ALT+W)"/>
    <w:basedOn w:val="1"/>
    <w:next w:val="15"/>
    <w:autoRedefine/>
    <w:qFormat/>
    <w:uiPriority w:val="0"/>
    <w:pPr>
      <w:adjustRightInd w:val="0"/>
      <w:snapToGrid w:val="0"/>
      <w:spacing w:line="360" w:lineRule="auto"/>
      <w:ind w:firstLine="420"/>
    </w:pPr>
    <w:rPr>
      <w:sz w:val="24"/>
    </w:rPr>
  </w:style>
  <w:style w:type="paragraph" w:customStyle="1" w:styleId="178">
    <w:name w:val="表格"/>
    <w:basedOn w:val="1"/>
    <w:autoRedefine/>
    <w:qFormat/>
    <w:uiPriority w:val="0"/>
    <w:pPr>
      <w:jc w:val="left"/>
    </w:pPr>
    <w:rPr>
      <w:bCs/>
      <w:color w:val="000000"/>
      <w:szCs w:val="21"/>
    </w:rPr>
  </w:style>
  <w:style w:type="paragraph" w:customStyle="1" w:styleId="179">
    <w:name w:val="样式3"/>
    <w:basedOn w:val="3"/>
    <w:autoRedefine/>
    <w:qFormat/>
    <w:uiPriority w:val="0"/>
    <w:pPr>
      <w:keepNext w:val="0"/>
      <w:keepLines w:val="0"/>
      <w:tabs>
        <w:tab w:val="left" w:pos="576"/>
      </w:tabs>
      <w:spacing w:before="0" w:after="0" w:line="360" w:lineRule="auto"/>
      <w:ind w:left="576" w:hanging="576"/>
    </w:pPr>
    <w:rPr>
      <w:rFonts w:ascii="宋体" w:hAnsi="宋体" w:eastAsia="宋体"/>
      <w:sz w:val="28"/>
      <w:szCs w:val="28"/>
    </w:rPr>
  </w:style>
  <w:style w:type="paragraph" w:customStyle="1" w:styleId="180">
    <w:name w:val="图中文字"/>
    <w:basedOn w:val="1"/>
    <w:autoRedefine/>
    <w:qFormat/>
    <w:uiPriority w:val="0"/>
    <w:pPr>
      <w:adjustRightInd w:val="0"/>
      <w:snapToGrid w:val="0"/>
      <w:spacing w:line="0" w:lineRule="atLeast"/>
      <w:jc w:val="center"/>
    </w:pPr>
  </w:style>
  <w:style w:type="paragraph" w:customStyle="1" w:styleId="181">
    <w:name w:val="xl45"/>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rPr>
  </w:style>
  <w:style w:type="paragraph" w:customStyle="1" w:styleId="182">
    <w:name w:val="font11"/>
    <w:basedOn w:val="1"/>
    <w:autoRedefine/>
    <w:qFormat/>
    <w:uiPriority w:val="0"/>
    <w:pPr>
      <w:widowControl/>
      <w:spacing w:before="100" w:beforeAutospacing="1" w:after="100" w:afterAutospacing="1"/>
      <w:jc w:val="left"/>
    </w:pPr>
    <w:rPr>
      <w:rFonts w:hint="eastAsia" w:ascii="宋体" w:hAnsi="宋体" w:cs="Arial Unicode MS"/>
      <w:color w:val="FF0000"/>
      <w:kern w:val="0"/>
      <w:sz w:val="24"/>
      <w:szCs w:val="24"/>
    </w:rPr>
  </w:style>
  <w:style w:type="paragraph" w:customStyle="1" w:styleId="183">
    <w:name w:val="日期1"/>
    <w:basedOn w:val="1"/>
    <w:next w:val="1"/>
    <w:autoRedefine/>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84">
    <w:name w:val="P3"/>
    <w:autoRedefine/>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85">
    <w:name w:val="xl4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rPr>
  </w:style>
  <w:style w:type="paragraph" w:customStyle="1" w:styleId="18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87">
    <w:name w:val="标题3 Char"/>
    <w:basedOn w:val="4"/>
    <w:autoRedefine/>
    <w:qFormat/>
    <w:uiPriority w:val="0"/>
    <w:pPr>
      <w:adjustRightInd w:val="0"/>
      <w:spacing w:before="160" w:after="160" w:line="160" w:lineRule="atLeast"/>
      <w:ind w:firstLine="562" w:firstLineChars="200"/>
      <w:textAlignment w:val="baseline"/>
    </w:pPr>
    <w:rPr>
      <w:rFonts w:ascii="黑体" w:eastAsia="黑体"/>
      <w:bCs w:val="0"/>
      <w:kern w:val="0"/>
      <w:sz w:val="28"/>
      <w:szCs w:val="20"/>
    </w:rPr>
  </w:style>
  <w:style w:type="paragraph" w:customStyle="1" w:styleId="188">
    <w:name w:val="可研正文"/>
    <w:basedOn w:val="21"/>
    <w:autoRedefine/>
    <w:qFormat/>
    <w:uiPriority w:val="0"/>
    <w:pPr>
      <w:adjustRightInd w:val="0"/>
      <w:snapToGrid w:val="0"/>
      <w:spacing w:after="0" w:line="440" w:lineRule="exact"/>
      <w:ind w:firstLine="567"/>
    </w:pPr>
    <w:rPr>
      <w:rFonts w:ascii="仿宋_GB2312" w:eastAsia="仿宋_GB2312"/>
      <w:sz w:val="28"/>
    </w:rPr>
  </w:style>
  <w:style w:type="paragraph" w:customStyle="1" w:styleId="189">
    <w:name w:val="Char Char Char Char Char Char1 Char Char Char Char Char Char"/>
    <w:basedOn w:val="1"/>
    <w:autoRedefine/>
    <w:qFormat/>
    <w:uiPriority w:val="0"/>
    <w:rPr>
      <w:rFonts w:ascii="Tahoma" w:hAnsi="Tahoma"/>
      <w:sz w:val="24"/>
    </w:rPr>
  </w:style>
  <w:style w:type="paragraph" w:customStyle="1" w:styleId="190">
    <w:name w:val="表格项目符号 2"/>
    <w:basedOn w:val="24"/>
    <w:autoRedefine/>
    <w:qFormat/>
    <w:uiPriority w:val="0"/>
    <w:pPr>
      <w:keepLines w:val="0"/>
      <w:tabs>
        <w:tab w:val="clear" w:pos="780"/>
      </w:tabs>
      <w:snapToGrid w:val="0"/>
      <w:spacing w:line="300" w:lineRule="auto"/>
      <w:ind w:left="623" w:hanging="374"/>
    </w:pPr>
    <w:rPr>
      <w:rFonts w:ascii="Times New Roman"/>
      <w:sz w:val="21"/>
      <w:szCs w:val="24"/>
    </w:rPr>
  </w:style>
  <w:style w:type="paragraph" w:customStyle="1" w:styleId="191">
    <w:name w:val="Bullet 1"/>
    <w:basedOn w:val="1"/>
    <w:autoRedefine/>
    <w:qFormat/>
    <w:uiPriority w:val="0"/>
    <w:pPr>
      <w:widowControl/>
      <w:tabs>
        <w:tab w:val="left" w:pos="420"/>
      </w:tabs>
      <w:autoSpaceDE w:val="0"/>
      <w:autoSpaceDN w:val="0"/>
      <w:spacing w:after="72"/>
      <w:ind w:left="420" w:hanging="420"/>
    </w:pPr>
    <w:rPr>
      <w:kern w:val="0"/>
      <w:sz w:val="24"/>
    </w:rPr>
  </w:style>
  <w:style w:type="paragraph" w:customStyle="1" w:styleId="192">
    <w:name w:val="注释"/>
    <w:basedOn w:val="1"/>
    <w:autoRedefine/>
    <w:qFormat/>
    <w:uiPriority w:val="0"/>
    <w:pPr>
      <w:shd w:val="clear" w:color="auto" w:fill="E0E0E0"/>
      <w:spacing w:beforeLines="50" w:afterLines="50"/>
    </w:pPr>
    <w:rPr>
      <w:rFonts w:ascii="Arial" w:hAnsi="Arial" w:eastAsia="仿宋_GB2312"/>
      <w:szCs w:val="24"/>
    </w:rPr>
  </w:style>
  <w:style w:type="paragraph" w:customStyle="1" w:styleId="193">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94">
    <w:name w:val="Heading A"/>
    <w:basedOn w:val="2"/>
    <w:next w:val="21"/>
    <w:qFormat/>
    <w:uiPriority w:val="0"/>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kern w:val="28"/>
      <w:sz w:val="36"/>
      <w:szCs w:val="20"/>
    </w:rPr>
  </w:style>
  <w:style w:type="paragraph" w:customStyle="1" w:styleId="195">
    <w:name w:val="1 Char"/>
    <w:basedOn w:val="1"/>
    <w:autoRedefine/>
    <w:qFormat/>
    <w:uiPriority w:val="0"/>
    <w:rPr>
      <w:rFonts w:ascii="Tahoma" w:hAnsi="Tahoma"/>
      <w:sz w:val="24"/>
    </w:rPr>
  </w:style>
  <w:style w:type="paragraph" w:customStyle="1" w:styleId="196">
    <w:name w:val="xl3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97">
    <w:name w:val="Char Char2"/>
    <w:basedOn w:val="1"/>
    <w:autoRedefine/>
    <w:qFormat/>
    <w:uiPriority w:val="0"/>
    <w:rPr>
      <w:rFonts w:ascii="Tahoma" w:hAnsi="Tahoma"/>
      <w:sz w:val="24"/>
    </w:rPr>
  </w:style>
  <w:style w:type="paragraph" w:customStyle="1" w:styleId="198">
    <w:name w:val="样式 正文缩进正文（首行缩进两字）表正文正文非缩进特点标题4段1 + 首行缩进:  2 字符"/>
    <w:basedOn w:val="15"/>
    <w:autoRedefine/>
    <w:qFormat/>
    <w:uiPriority w:val="0"/>
    <w:pPr>
      <w:adjustRightInd w:val="0"/>
      <w:snapToGrid w:val="0"/>
      <w:spacing w:line="360" w:lineRule="auto"/>
      <w:ind w:firstLine="480" w:firstLineChars="200"/>
    </w:pPr>
    <w:rPr>
      <w:rFonts w:ascii="Times New Roman"/>
    </w:rPr>
  </w:style>
  <w:style w:type="paragraph" w:customStyle="1" w:styleId="199">
    <w:name w:val="Char Char"/>
    <w:basedOn w:val="1"/>
    <w:autoRedefine/>
    <w:qFormat/>
    <w:uiPriority w:val="0"/>
    <w:rPr>
      <w:rFonts w:ascii="Tahoma" w:hAnsi="Tahoma"/>
      <w:sz w:val="24"/>
    </w:rPr>
  </w:style>
  <w:style w:type="paragraph" w:customStyle="1" w:styleId="200">
    <w:name w:val="规范正文"/>
    <w:basedOn w:val="1"/>
    <w:autoRedefine/>
    <w:qFormat/>
    <w:uiPriority w:val="0"/>
    <w:pPr>
      <w:numPr>
        <w:ilvl w:val="0"/>
        <w:numId w:val="5"/>
      </w:numPr>
      <w:adjustRightInd w:val="0"/>
      <w:spacing w:beforeLines="50" w:line="360" w:lineRule="auto"/>
      <w:textAlignment w:val="baseline"/>
    </w:pPr>
  </w:style>
  <w:style w:type="paragraph" w:customStyle="1" w:styleId="201">
    <w:name w:val="默认段落字体 Para Char"/>
    <w:basedOn w:val="1"/>
    <w:autoRedefine/>
    <w:qFormat/>
    <w:uiPriority w:val="0"/>
    <w:rPr>
      <w:rFonts w:ascii="Tahoma" w:hAnsi="Tahoma"/>
      <w:sz w:val="24"/>
    </w:rPr>
  </w:style>
  <w:style w:type="paragraph" w:customStyle="1" w:styleId="202">
    <w:name w:val="Table Heading"/>
    <w:basedOn w:val="89"/>
    <w:autoRedefine/>
    <w:qFormat/>
    <w:uiPriority w:val="0"/>
    <w:pPr>
      <w:autoSpaceDE/>
      <w:autoSpaceDN/>
      <w:spacing w:line="288" w:lineRule="auto"/>
      <w:jc w:val="center"/>
    </w:pPr>
    <w:rPr>
      <w:rFonts w:ascii="宋体" w:hAnsi="宋体"/>
      <w:b/>
    </w:rPr>
  </w:style>
  <w:style w:type="paragraph" w:customStyle="1" w:styleId="203">
    <w:name w:val="xl68"/>
    <w:basedOn w:val="1"/>
    <w:autoRedefine/>
    <w:qFormat/>
    <w:uiPriority w:val="0"/>
    <w:pPr>
      <w:widowControl/>
      <w:spacing w:before="100" w:beforeAutospacing="1" w:after="100" w:afterAutospacing="1"/>
      <w:jc w:val="center"/>
    </w:pPr>
    <w:rPr>
      <w:rFonts w:ascii="Arial" w:hAnsi="Arial" w:cs="Arial"/>
      <w:kern w:val="0"/>
      <w:sz w:val="20"/>
    </w:rPr>
  </w:style>
  <w:style w:type="paragraph" w:customStyle="1" w:styleId="204">
    <w:name w:val="P2"/>
    <w:autoRedefine/>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0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6">
    <w:name w:val="标3"/>
    <w:basedOn w:val="1"/>
    <w:autoRedefine/>
    <w:qFormat/>
    <w:uiPriority w:val="0"/>
    <w:pPr>
      <w:tabs>
        <w:tab w:val="left" w:pos="360"/>
      </w:tabs>
      <w:adjustRightInd w:val="0"/>
      <w:snapToGrid w:val="0"/>
      <w:spacing w:before="50"/>
      <w:outlineLvl w:val="2"/>
    </w:pPr>
    <w:rPr>
      <w:rFonts w:ascii="Arial Narrow" w:hAnsi="Arial Narrow" w:eastAsia="仿宋_GB2312"/>
      <w:sz w:val="28"/>
    </w:rPr>
  </w:style>
  <w:style w:type="paragraph" w:customStyle="1" w:styleId="207">
    <w:name w:val="xl29"/>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208">
    <w:name w:val="Char11"/>
    <w:basedOn w:val="1"/>
    <w:autoRedefine/>
    <w:qFormat/>
    <w:uiPriority w:val="0"/>
    <w:pPr>
      <w:spacing w:line="360" w:lineRule="auto"/>
      <w:ind w:firstLine="200" w:firstLineChars="200"/>
    </w:pPr>
    <w:rPr>
      <w:rFonts w:ascii="Tahoma" w:hAnsi="Tahoma"/>
      <w:sz w:val="24"/>
    </w:rPr>
  </w:style>
  <w:style w:type="paragraph" w:customStyle="1" w:styleId="209">
    <w:name w:val="CN Title"/>
    <w:basedOn w:val="1"/>
    <w:autoRedefine/>
    <w:qFormat/>
    <w:uiPriority w:val="0"/>
    <w:pPr>
      <w:widowControl/>
      <w:tabs>
        <w:tab w:val="left" w:pos="720"/>
      </w:tabs>
      <w:spacing w:before="144" w:after="72"/>
      <w:ind w:left="720" w:hanging="360"/>
      <w:jc w:val="center"/>
    </w:pPr>
    <w:rPr>
      <w:b/>
      <w:bCs/>
      <w:kern w:val="0"/>
      <w:sz w:val="28"/>
      <w:szCs w:val="28"/>
    </w:rPr>
  </w:style>
  <w:style w:type="paragraph" w:customStyle="1" w:styleId="21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11">
    <w:name w:val="Char Char21"/>
    <w:basedOn w:val="1"/>
    <w:qFormat/>
    <w:uiPriority w:val="0"/>
    <w:rPr>
      <w:rFonts w:ascii="Tahoma" w:hAnsi="Tahoma"/>
      <w:sz w:val="24"/>
    </w:rPr>
  </w:style>
  <w:style w:type="paragraph" w:customStyle="1" w:styleId="212">
    <w:name w:val="项目 1"/>
    <w:basedOn w:val="1"/>
    <w:autoRedefine/>
    <w:qFormat/>
    <w:uiPriority w:val="0"/>
    <w:pPr>
      <w:tabs>
        <w:tab w:val="left" w:pos="1446"/>
      </w:tabs>
      <w:adjustRightInd w:val="0"/>
      <w:snapToGrid w:val="0"/>
      <w:spacing w:afterLines="50"/>
      <w:ind w:left="1446" w:hanging="488"/>
    </w:pPr>
    <w:rPr>
      <w:rFonts w:ascii="Tahoma" w:hAnsi="Tahoma"/>
      <w:sz w:val="24"/>
      <w:szCs w:val="24"/>
    </w:rPr>
  </w:style>
  <w:style w:type="paragraph" w:customStyle="1" w:styleId="213">
    <w:name w:val="Char Char2 Char Char Char Char Char Char"/>
    <w:basedOn w:val="1"/>
    <w:autoRedefine/>
    <w:qFormat/>
    <w:uiPriority w:val="0"/>
    <w:pPr>
      <w:tabs>
        <w:tab w:val="left" w:pos="360"/>
      </w:tabs>
      <w:ind w:firstLine="420" w:firstLineChars="150"/>
    </w:pPr>
    <w:rPr>
      <w:rFonts w:ascii="Arial" w:hAnsi="Arial" w:cs="Arial"/>
      <w:sz w:val="20"/>
    </w:rPr>
  </w:style>
  <w:style w:type="paragraph" w:customStyle="1" w:styleId="214">
    <w:name w:val="Revision_0ea53ac3-4a1e-414f-81fb-d35a496a436f"/>
    <w:autoRedefine/>
    <w:qFormat/>
    <w:uiPriority w:val="99"/>
    <w:rPr>
      <w:rFonts w:ascii="Times New Roman" w:hAnsi="Times New Roman" w:eastAsia="宋体" w:cs="Times New Roman"/>
      <w:kern w:val="2"/>
      <w:sz w:val="21"/>
      <w:lang w:val="en-US" w:eastAsia="zh-CN" w:bidi="ar-SA"/>
    </w:rPr>
  </w:style>
  <w:style w:type="paragraph" w:customStyle="1" w:styleId="215">
    <w:name w:val="Default Text"/>
    <w:basedOn w:val="1"/>
    <w:autoRedefine/>
    <w:qFormat/>
    <w:uiPriority w:val="0"/>
    <w:pPr>
      <w:autoSpaceDE w:val="0"/>
      <w:autoSpaceDN w:val="0"/>
      <w:adjustRightInd w:val="0"/>
      <w:spacing w:after="100"/>
      <w:jc w:val="left"/>
    </w:pPr>
    <w:rPr>
      <w:rFonts w:ascii="Arial" w:hAnsi="Arial" w:cs="Arial"/>
      <w:kern w:val="0"/>
      <w:sz w:val="20"/>
    </w:rPr>
  </w:style>
  <w:style w:type="paragraph" w:customStyle="1" w:styleId="216">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17">
    <w:name w:val="附录 Heading 2"/>
    <w:basedOn w:val="3"/>
    <w:autoRedefine/>
    <w:qFormat/>
    <w:uiPriority w:val="0"/>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iCs/>
      <w:kern w:val="0"/>
      <w:szCs w:val="28"/>
    </w:rPr>
  </w:style>
  <w:style w:type="paragraph" w:customStyle="1" w:styleId="21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rPr>
  </w:style>
  <w:style w:type="paragraph" w:customStyle="1" w:styleId="219">
    <w:name w:val="P5"/>
    <w:autoRedefine/>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20">
    <w:name w:val="Reader's comments"/>
    <w:basedOn w:val="1"/>
    <w:autoRedefine/>
    <w:qFormat/>
    <w:uiPriority w:val="0"/>
    <w:pPr>
      <w:widowControl/>
      <w:overflowPunct w:val="0"/>
      <w:autoSpaceDE w:val="0"/>
      <w:autoSpaceDN w:val="0"/>
      <w:adjustRightInd w:val="0"/>
      <w:spacing w:after="120"/>
      <w:jc w:val="left"/>
      <w:textAlignment w:val="baseline"/>
    </w:pPr>
    <w:rPr>
      <w:rFonts w:ascii="Arial" w:hAnsi="Arial"/>
      <w:i/>
      <w:iCs/>
      <w:color w:val="CC00CC"/>
      <w:kern w:val="0"/>
      <w:sz w:val="20"/>
      <w:lang w:eastAsia="en-US"/>
    </w:rPr>
  </w:style>
  <w:style w:type="paragraph" w:customStyle="1" w:styleId="221">
    <w:name w:val="test1"/>
    <w:basedOn w:val="1"/>
    <w:autoRedefine/>
    <w:qFormat/>
    <w:uiPriority w:val="0"/>
    <w:pPr>
      <w:numPr>
        <w:ilvl w:val="0"/>
        <w:numId w:val="6"/>
      </w:numPr>
      <w:tabs>
        <w:tab w:val="clear" w:pos="425"/>
      </w:tabs>
      <w:overflowPunct w:val="0"/>
      <w:autoSpaceDE w:val="0"/>
      <w:autoSpaceDN w:val="0"/>
      <w:adjustRightInd w:val="0"/>
      <w:spacing w:before="120" w:line="288" w:lineRule="auto"/>
      <w:ind w:left="0" w:firstLine="0"/>
      <w:jc w:val="left"/>
      <w:textAlignment w:val="baseline"/>
    </w:pPr>
    <w:rPr>
      <w:rFonts w:ascii="宋体"/>
      <w:b/>
      <w:bCs/>
      <w:kern w:val="0"/>
      <w:szCs w:val="21"/>
    </w:rPr>
  </w:style>
  <w:style w:type="paragraph" w:customStyle="1" w:styleId="22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223">
    <w:name w:val="首行缩进 1"/>
    <w:basedOn w:val="1"/>
    <w:autoRedefine/>
    <w:qFormat/>
    <w:uiPriority w:val="0"/>
    <w:pPr>
      <w:spacing w:after="120" w:line="360" w:lineRule="auto"/>
      <w:ind w:firstLine="200" w:firstLineChars="200"/>
    </w:pPr>
    <w:rPr>
      <w:sz w:val="24"/>
      <w:szCs w:val="24"/>
    </w:rPr>
  </w:style>
  <w:style w:type="paragraph" w:customStyle="1" w:styleId="224">
    <w:name w:val="xl37"/>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rPr>
  </w:style>
  <w:style w:type="paragraph" w:customStyle="1" w:styleId="225">
    <w:name w:val="封面标准文稿类别"/>
    <w:autoRedefine/>
    <w:qFormat/>
    <w:uiPriority w:val="0"/>
    <w:pPr>
      <w:spacing w:before="440" w:line="400" w:lineRule="exact"/>
      <w:jc w:val="center"/>
    </w:pPr>
    <w:rPr>
      <w:rFonts w:ascii="宋体" w:hAnsi="Times New Roman" w:eastAsia="宋体" w:cs="Times New Roman"/>
      <w:sz w:val="24"/>
      <w:szCs w:val="22"/>
      <w:lang w:val="en-US" w:eastAsia="zh-CN" w:bidi="ar-SA"/>
    </w:rPr>
  </w:style>
  <w:style w:type="paragraph" w:customStyle="1" w:styleId="226">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27">
    <w:name w:val="图片"/>
    <w:basedOn w:val="1"/>
    <w:next w:val="141"/>
    <w:autoRedefine/>
    <w:qFormat/>
    <w:uiPriority w:val="0"/>
    <w:pPr>
      <w:spacing w:beforeLines="50" w:afterLines="50"/>
      <w:jc w:val="center"/>
    </w:pPr>
    <w:rPr>
      <w:szCs w:val="24"/>
    </w:rPr>
  </w:style>
  <w:style w:type="paragraph" w:customStyle="1" w:styleId="228">
    <w:name w:val="楷体粗正文文字"/>
    <w:basedOn w:val="1"/>
    <w:next w:val="45"/>
    <w:autoRedefine/>
    <w:qFormat/>
    <w:uiPriority w:val="0"/>
    <w:pPr>
      <w:snapToGrid w:val="0"/>
      <w:spacing w:line="480" w:lineRule="exact"/>
      <w:ind w:firstLine="560"/>
    </w:pPr>
    <w:rPr>
      <w:sz w:val="28"/>
    </w:rPr>
  </w:style>
  <w:style w:type="paragraph" w:customStyle="1" w:styleId="229">
    <w:name w:val="P4"/>
    <w:autoRedefine/>
    <w:qFormat/>
    <w:uiPriority w:val="0"/>
    <w:pPr>
      <w:widowControl w:val="0"/>
      <w:adjustRightInd w:val="0"/>
      <w:spacing w:after="240" w:line="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230">
    <w:name w:val="Comment"/>
    <w:basedOn w:val="1"/>
    <w:autoRedefine/>
    <w:qFormat/>
    <w:uiPriority w:val="0"/>
    <w:pPr>
      <w:widowControl/>
      <w:overflowPunct w:val="0"/>
      <w:autoSpaceDE w:val="0"/>
      <w:autoSpaceDN w:val="0"/>
      <w:adjustRightInd w:val="0"/>
      <w:spacing w:after="100"/>
      <w:jc w:val="left"/>
      <w:textAlignment w:val="baseline"/>
    </w:pPr>
    <w:rPr>
      <w:rFonts w:ascii="Arial" w:hAnsi="Arial" w:cs="Arial"/>
      <w:color w:val="0000FF"/>
      <w:kern w:val="0"/>
      <w:sz w:val="20"/>
    </w:rPr>
  </w:style>
  <w:style w:type="paragraph" w:customStyle="1" w:styleId="231">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rPr>
  </w:style>
  <w:style w:type="paragraph" w:customStyle="1" w:styleId="232">
    <w:name w:val="正文2"/>
    <w:autoRedefine/>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233">
    <w:name w:val="样式1"/>
    <w:basedOn w:val="1"/>
    <w:autoRedefine/>
    <w:qFormat/>
    <w:uiPriority w:val="0"/>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rPr>
  </w:style>
  <w:style w:type="paragraph" w:customStyle="1" w:styleId="23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235">
    <w:name w:val="Char"/>
    <w:basedOn w:val="1"/>
    <w:autoRedefine/>
    <w:qFormat/>
    <w:uiPriority w:val="0"/>
    <w:pPr>
      <w:tabs>
        <w:tab w:val="left" w:pos="360"/>
      </w:tabs>
      <w:ind w:left="360" w:hanging="360" w:hangingChars="200"/>
    </w:pPr>
    <w:rPr>
      <w:sz w:val="24"/>
      <w:szCs w:val="24"/>
    </w:rPr>
  </w:style>
  <w:style w:type="paragraph" w:customStyle="1" w:styleId="236">
    <w:name w:val="主标题"/>
    <w:basedOn w:val="1"/>
    <w:next w:val="1"/>
    <w:autoRedefine/>
    <w:qFormat/>
    <w:uiPriority w:val="0"/>
    <w:pPr>
      <w:numPr>
        <w:ilvl w:val="2"/>
        <w:numId w:val="4"/>
      </w:numPr>
      <w:spacing w:line="360" w:lineRule="auto"/>
      <w:ind w:left="0" w:firstLine="0"/>
      <w:jc w:val="center"/>
    </w:pPr>
    <w:rPr>
      <w:b/>
      <w:sz w:val="30"/>
    </w:rPr>
  </w:style>
  <w:style w:type="paragraph" w:customStyle="1" w:styleId="237">
    <w:name w:val="注释文字"/>
    <w:basedOn w:val="1"/>
    <w:autoRedefine/>
    <w:qFormat/>
    <w:uiPriority w:val="0"/>
    <w:pPr>
      <w:tabs>
        <w:tab w:val="left" w:pos="620"/>
        <w:tab w:val="left" w:pos="720"/>
      </w:tabs>
      <w:ind w:left="620" w:hanging="420"/>
      <w:jc w:val="left"/>
    </w:pPr>
    <w:rPr>
      <w:color w:val="008080"/>
      <w:sz w:val="24"/>
      <w:szCs w:val="24"/>
      <w:u w:val="words"/>
    </w:rPr>
  </w:style>
  <w:style w:type="paragraph" w:customStyle="1" w:styleId="238">
    <w:name w:val="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39">
    <w:name w:val="Char Char1 Char Char Char Char1 Char Char Char Char Char Char Char Char Char Char Char Char"/>
    <w:basedOn w:val="1"/>
    <w:autoRedefine/>
    <w:qFormat/>
    <w:uiPriority w:val="0"/>
    <w:rPr>
      <w:rFonts w:ascii="Tahoma" w:hAnsi="Tahoma"/>
      <w:sz w:val="24"/>
    </w:rPr>
  </w:style>
  <w:style w:type="paragraph" w:customStyle="1" w:styleId="240">
    <w:name w:val="Char Char Char Char"/>
    <w:basedOn w:val="1"/>
    <w:next w:val="1"/>
    <w:autoRedefine/>
    <w:qFormat/>
    <w:uiPriority w:val="0"/>
    <w:pPr>
      <w:widowControl/>
      <w:tabs>
        <w:tab w:val="left" w:pos="360"/>
      </w:tabs>
      <w:ind w:left="360" w:hanging="360"/>
      <w:jc w:val="left"/>
    </w:pPr>
    <w:rPr>
      <w:rFonts w:eastAsia="MS Mincho"/>
      <w:kern w:val="0"/>
      <w:sz w:val="24"/>
      <w:szCs w:val="24"/>
      <w:lang w:eastAsia="ja-JP"/>
    </w:rPr>
  </w:style>
  <w:style w:type="paragraph" w:customStyle="1" w:styleId="241">
    <w:name w:val="*4. Head 1"/>
    <w:basedOn w:val="145"/>
    <w:next w:val="145"/>
    <w:autoRedefine/>
    <w:qFormat/>
    <w:uiPriority w:val="0"/>
    <w:pPr>
      <w:spacing w:before="180" w:after="60"/>
    </w:pPr>
    <w:rPr>
      <w:rFonts w:ascii="Arial" w:hAnsi="Arial"/>
      <w:color w:val="auto"/>
    </w:rPr>
  </w:style>
  <w:style w:type="paragraph" w:customStyle="1" w:styleId="242">
    <w:name w:val="Char Char1 Char Char Char Char Char"/>
    <w:basedOn w:val="1"/>
    <w:autoRedefine/>
    <w:qFormat/>
    <w:uiPriority w:val="0"/>
    <w:rPr>
      <w:rFonts w:ascii="Tahoma" w:hAnsi="Tahoma"/>
      <w:sz w:val="24"/>
    </w:rPr>
  </w:style>
  <w:style w:type="paragraph" w:customStyle="1" w:styleId="243">
    <w:name w:val="正文带点"/>
    <w:basedOn w:val="1"/>
    <w:autoRedefine/>
    <w:qFormat/>
    <w:uiPriority w:val="0"/>
    <w:pPr>
      <w:tabs>
        <w:tab w:val="left" w:pos="927"/>
      </w:tabs>
      <w:spacing w:line="360" w:lineRule="auto"/>
      <w:ind w:left="567"/>
      <w:jc w:val="left"/>
    </w:pPr>
    <w:rPr>
      <w:rFonts w:ascii="楷体_GB2312" w:eastAsia="楷体_GB2312"/>
      <w:bCs/>
      <w:sz w:val="28"/>
      <w:szCs w:val="24"/>
    </w:rPr>
  </w:style>
  <w:style w:type="paragraph" w:customStyle="1" w:styleId="244">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rPr>
  </w:style>
  <w:style w:type="paragraph" w:customStyle="1" w:styleId="245">
    <w:name w:val="6"/>
    <w:basedOn w:val="1"/>
    <w:next w:val="50"/>
    <w:qFormat/>
    <w:uiPriority w:val="0"/>
    <w:pPr>
      <w:adjustRightInd w:val="0"/>
      <w:snapToGrid w:val="0"/>
    </w:pPr>
    <w:rPr>
      <w:sz w:val="24"/>
      <w:szCs w:val="24"/>
    </w:rPr>
  </w:style>
  <w:style w:type="paragraph" w:customStyle="1" w:styleId="246">
    <w:name w:val="附件小标题"/>
    <w:basedOn w:val="5"/>
    <w:autoRedefine/>
    <w:qFormat/>
    <w:uiPriority w:val="0"/>
    <w:pPr>
      <w:tabs>
        <w:tab w:val="left" w:pos="720"/>
      </w:tabs>
      <w:adjustRightInd/>
      <w:spacing w:before="120" w:after="120" w:line="240" w:lineRule="atLeast"/>
      <w:ind w:left="720" w:hanging="720"/>
      <w:jc w:val="left"/>
      <w:textAlignment w:val="auto"/>
    </w:pPr>
    <w:rPr>
      <w:rFonts w:ascii="Verdana" w:hAnsi="Verdana" w:eastAsia="宋体"/>
      <w:bCs/>
      <w:kern w:val="2"/>
      <w:szCs w:val="28"/>
    </w:rPr>
  </w:style>
  <w:style w:type="paragraph" w:customStyle="1" w:styleId="247">
    <w:name w:val="空项目内容"/>
    <w:basedOn w:val="1"/>
    <w:autoRedefine/>
    <w:qFormat/>
    <w:uiPriority w:val="0"/>
    <w:pPr>
      <w:tabs>
        <w:tab w:val="left" w:pos="720"/>
      </w:tabs>
      <w:spacing w:line="360" w:lineRule="auto"/>
      <w:ind w:left="720" w:hanging="720"/>
    </w:pPr>
    <w:rPr>
      <w:sz w:val="24"/>
      <w:szCs w:val="24"/>
    </w:rPr>
  </w:style>
  <w:style w:type="paragraph" w:customStyle="1" w:styleId="248">
    <w:name w:val="xl24"/>
    <w:basedOn w:val="1"/>
    <w:autoRedefine/>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249">
    <w:name w:val="B_项目符号"/>
    <w:basedOn w:val="1"/>
    <w:autoRedefine/>
    <w:qFormat/>
    <w:uiPriority w:val="0"/>
    <w:pPr>
      <w:widowControl/>
      <w:numPr>
        <w:ilvl w:val="0"/>
        <w:numId w:val="7"/>
      </w:numPr>
      <w:tabs>
        <w:tab w:val="clear" w:pos="2160"/>
      </w:tabs>
      <w:overflowPunct w:val="0"/>
      <w:autoSpaceDE w:val="0"/>
      <w:autoSpaceDN w:val="0"/>
      <w:adjustRightInd w:val="0"/>
      <w:spacing w:line="312" w:lineRule="atLeast"/>
      <w:ind w:left="851" w:hanging="426"/>
      <w:textAlignment w:val="baseline"/>
    </w:pPr>
    <w:rPr>
      <w:rFonts w:ascii="宋体"/>
      <w:kern w:val="0"/>
    </w:rPr>
  </w:style>
  <w:style w:type="paragraph" w:customStyle="1" w:styleId="250">
    <w:name w:val="编号正文"/>
    <w:basedOn w:val="136"/>
    <w:autoRedefine/>
    <w:qFormat/>
    <w:uiPriority w:val="0"/>
    <w:pPr>
      <w:tabs>
        <w:tab w:val="left" w:pos="1407"/>
      </w:tabs>
      <w:spacing w:line="440" w:lineRule="exact"/>
      <w:ind w:left="1407" w:hanging="420"/>
      <w:jc w:val="left"/>
    </w:pPr>
    <w:rPr>
      <w:rFonts w:ascii="Arial Narrow" w:hAnsi="Arial Narrow" w:eastAsia="仿宋_GB2312"/>
      <w:sz w:val="24"/>
      <w:szCs w:val="24"/>
    </w:rPr>
  </w:style>
  <w:style w:type="paragraph" w:customStyle="1" w:styleId="251">
    <w:name w:val="xl48"/>
    <w:basedOn w:val="1"/>
    <w:autoRedefine/>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rPr>
  </w:style>
  <w:style w:type="paragraph" w:customStyle="1" w:styleId="252">
    <w:name w:val="aria"/>
    <w:basedOn w:val="1"/>
    <w:autoRedefine/>
    <w:qFormat/>
    <w:uiPriority w:val="0"/>
    <w:pPr>
      <w:spacing w:line="360" w:lineRule="auto"/>
    </w:pPr>
    <w:rPr>
      <w:b/>
      <w:sz w:val="24"/>
      <w:szCs w:val="24"/>
    </w:rPr>
  </w:style>
  <w:style w:type="paragraph" w:customStyle="1" w:styleId="2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54">
    <w:name w:val="Table Paragraph"/>
    <w:basedOn w:val="1"/>
    <w:qFormat/>
    <w:uiPriority w:val="1"/>
    <w:pPr>
      <w:jc w:val="left"/>
    </w:pPr>
    <w:rPr>
      <w:rFonts w:ascii="Calibri" w:hAnsi="Calibri"/>
      <w:kern w:val="0"/>
      <w:sz w:val="22"/>
      <w:szCs w:val="22"/>
      <w:lang w:eastAsia="en-US"/>
    </w:rPr>
  </w:style>
  <w:style w:type="paragraph" w:customStyle="1" w:styleId="255">
    <w:name w:val="正文文字（缩进2字）"/>
    <w:basedOn w:val="21"/>
    <w:autoRedefine/>
    <w:qFormat/>
    <w:uiPriority w:val="0"/>
    <w:pPr>
      <w:spacing w:beforeLines="50" w:afterLines="50"/>
      <w:ind w:firstLine="200" w:firstLineChars="200"/>
    </w:pPr>
  </w:style>
  <w:style w:type="paragraph" w:customStyle="1" w:styleId="256">
    <w:name w:val="强调列表"/>
    <w:basedOn w:val="1"/>
    <w:autoRedefine/>
    <w:qFormat/>
    <w:uiPriority w:val="0"/>
    <w:pPr>
      <w:tabs>
        <w:tab w:val="left" w:pos="1742"/>
      </w:tabs>
      <w:ind w:left="1742" w:hanging="420"/>
    </w:pPr>
    <w:rPr>
      <w:sz w:val="24"/>
    </w:rPr>
  </w:style>
  <w:style w:type="paragraph" w:customStyle="1" w:styleId="257">
    <w:name w:val="样式 普通(网站) + 仿宋_GB2312 段前: 自动 段后: 自动 行距: 1.5 倍行距1"/>
    <w:basedOn w:val="1"/>
    <w:autoRedefine/>
    <w:qFormat/>
    <w:uiPriority w:val="0"/>
    <w:pPr>
      <w:widowControl/>
      <w:numPr>
        <w:ilvl w:val="0"/>
        <w:numId w:val="8"/>
      </w:numPr>
      <w:spacing w:after="120"/>
      <w:jc w:val="left"/>
    </w:pPr>
    <w:rPr>
      <w:rFonts w:ascii="Arial" w:hAnsi="Arial"/>
      <w:kern w:val="0"/>
      <w:sz w:val="20"/>
      <w:lang w:val="en-GB"/>
    </w:rPr>
  </w:style>
  <w:style w:type="paragraph" w:customStyle="1" w:styleId="258">
    <w:name w:val="黑列表"/>
    <w:basedOn w:val="1"/>
    <w:autoRedefine/>
    <w:qFormat/>
    <w:uiPriority w:val="0"/>
    <w:pPr>
      <w:widowControl/>
      <w:tabs>
        <w:tab w:val="left" w:pos="420"/>
      </w:tabs>
      <w:adjustRightInd w:val="0"/>
      <w:spacing w:line="300" w:lineRule="auto"/>
      <w:ind w:left="300" w:leftChars="200" w:hanging="100" w:hangingChars="100"/>
      <w:jc w:val="left"/>
    </w:pPr>
    <w:rPr>
      <w:bCs/>
      <w:kern w:val="0"/>
      <w:sz w:val="24"/>
    </w:rPr>
  </w:style>
  <w:style w:type="paragraph" w:customStyle="1" w:styleId="259">
    <w:name w:val="E4表头2"/>
    <w:basedOn w:val="1"/>
    <w:autoRedefine/>
    <w:qFormat/>
    <w:uiPriority w:val="0"/>
    <w:pPr>
      <w:numPr>
        <w:ilvl w:val="0"/>
        <w:numId w:val="9"/>
      </w:numPr>
    </w:pPr>
    <w:rPr>
      <w:szCs w:val="24"/>
    </w:rPr>
  </w:style>
  <w:style w:type="paragraph" w:customStyle="1" w:styleId="260">
    <w:name w:val="Char1 Char Char Char Char Char"/>
    <w:basedOn w:val="1"/>
    <w:autoRedefine/>
    <w:qFormat/>
    <w:uiPriority w:val="0"/>
    <w:pPr>
      <w:adjustRightInd w:val="0"/>
    </w:pPr>
    <w:rPr>
      <w:rFonts w:ascii="Tahoma" w:hAnsi="Tahoma"/>
      <w:sz w:val="24"/>
    </w:rPr>
  </w:style>
  <w:style w:type="paragraph" w:customStyle="1" w:styleId="261">
    <w:name w:val="表格文字（大）"/>
    <w:basedOn w:val="1"/>
    <w:autoRedefine/>
    <w:qFormat/>
    <w:uiPriority w:val="0"/>
    <w:pPr>
      <w:spacing w:before="20" w:after="20"/>
    </w:pPr>
    <w:rPr>
      <w:rFonts w:ascii="Century Gothic" w:hAnsi="Century Gothic"/>
      <w:sz w:val="24"/>
    </w:rPr>
  </w:style>
  <w:style w:type="paragraph" w:customStyle="1" w:styleId="262">
    <w:name w:val="项目"/>
    <w:basedOn w:val="22"/>
    <w:qFormat/>
    <w:uiPriority w:val="0"/>
    <w:pPr>
      <w:ind w:left="0" w:leftChars="0"/>
      <w:jc w:val="center"/>
    </w:pPr>
    <w:rPr>
      <w:rFonts w:ascii="楷体_GB2312" w:eastAsia="楷体_GB2312"/>
      <w:b/>
      <w:sz w:val="24"/>
    </w:rPr>
  </w:style>
  <w:style w:type="paragraph" w:customStyle="1" w:styleId="263">
    <w:name w:val="xl51"/>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rPr>
  </w:style>
  <w:style w:type="paragraph" w:customStyle="1" w:styleId="264">
    <w:name w:val="Normal Cenered"/>
    <w:basedOn w:val="1"/>
    <w:autoRedefine/>
    <w:qFormat/>
    <w:uiPriority w:val="0"/>
    <w:pPr>
      <w:widowControl/>
      <w:tabs>
        <w:tab w:val="left" w:pos="6660"/>
      </w:tabs>
      <w:spacing w:before="240" w:after="120" w:line="288" w:lineRule="auto"/>
      <w:jc w:val="center"/>
    </w:pPr>
    <w:rPr>
      <w:kern w:val="0"/>
      <w:szCs w:val="24"/>
    </w:rPr>
  </w:style>
  <w:style w:type="paragraph" w:customStyle="1" w:styleId="265">
    <w:name w:val="正文样式1"/>
    <w:basedOn w:val="1"/>
    <w:autoRedefine/>
    <w:qFormat/>
    <w:uiPriority w:val="0"/>
    <w:pPr>
      <w:spacing w:line="300" w:lineRule="auto"/>
      <w:ind w:firstLine="560" w:firstLineChars="200"/>
    </w:pPr>
    <w:rPr>
      <w:rFonts w:ascii="楷体_GB2312" w:eastAsia="楷体_GB2312"/>
      <w:kern w:val="0"/>
      <w:sz w:val="28"/>
      <w:szCs w:val="24"/>
    </w:rPr>
  </w:style>
  <w:style w:type="paragraph" w:customStyle="1" w:styleId="266">
    <w:name w:val="默认段落字体 Para Char Char Char Char Char Char Char"/>
    <w:basedOn w:val="1"/>
    <w:autoRedefine/>
    <w:qFormat/>
    <w:uiPriority w:val="0"/>
    <w:rPr>
      <w:rFonts w:ascii="Tahoma" w:hAnsi="Tahoma"/>
      <w:sz w:val="24"/>
    </w:rPr>
  </w:style>
  <w:style w:type="paragraph" w:customStyle="1" w:styleId="267">
    <w:name w:val="项目 1 Char Char"/>
    <w:basedOn w:val="1"/>
    <w:autoRedefine/>
    <w:qFormat/>
    <w:uiPriority w:val="0"/>
    <w:pPr>
      <w:tabs>
        <w:tab w:val="left" w:pos="907"/>
      </w:tabs>
      <w:adjustRightInd w:val="0"/>
      <w:snapToGrid w:val="0"/>
      <w:spacing w:afterLines="50"/>
      <w:ind w:left="902" w:hanging="420"/>
    </w:pPr>
    <w:rPr>
      <w:rFonts w:ascii="Tahoma" w:hAnsi="Tahoma"/>
      <w:sz w:val="24"/>
      <w:szCs w:val="24"/>
    </w:rPr>
  </w:style>
  <w:style w:type="character" w:customStyle="1" w:styleId="268">
    <w:name w:val="标题 2 Char"/>
    <w:link w:val="3"/>
    <w:autoRedefine/>
    <w:qFormat/>
    <w:uiPriority w:val="9"/>
    <w:rPr>
      <w:rFonts w:ascii="Arial" w:hAnsi="Arial" w:eastAsia="黑体"/>
      <w:b/>
      <w:bCs/>
      <w:kern w:val="2"/>
      <w:sz w:val="32"/>
      <w:szCs w:val="32"/>
    </w:rPr>
  </w:style>
  <w:style w:type="character" w:customStyle="1" w:styleId="269">
    <w:name w:val="标题 4 Char"/>
    <w:link w:val="5"/>
    <w:autoRedefine/>
    <w:qFormat/>
    <w:uiPriority w:val="0"/>
    <w:rPr>
      <w:rFonts w:ascii="Arial" w:hAnsi="Arial" w:eastAsia="黑体"/>
      <w:b/>
      <w:sz w:val="28"/>
    </w:rPr>
  </w:style>
  <w:style w:type="character" w:customStyle="1" w:styleId="270">
    <w:name w:val="标题 5 Char"/>
    <w:link w:val="6"/>
    <w:autoRedefine/>
    <w:qFormat/>
    <w:uiPriority w:val="0"/>
    <w:rPr>
      <w:b/>
      <w:sz w:val="28"/>
    </w:rPr>
  </w:style>
  <w:style w:type="paragraph" w:customStyle="1" w:styleId="271">
    <w:name w:val="正文 + 首行缩进:  2 字符 段后: 7.8 磅"/>
    <w:basedOn w:val="1"/>
    <w:qFormat/>
    <w:uiPriority w:val="0"/>
    <w:pPr>
      <w:spacing w:after="156" w:line="360" w:lineRule="auto"/>
      <w:ind w:firstLine="480" w:firstLineChars="200"/>
      <w:jc w:val="left"/>
    </w:pPr>
    <w:rPr>
      <w:rFonts w:cs="宋体"/>
      <w:sz w:val="24"/>
    </w:rPr>
  </w:style>
  <w:style w:type="paragraph" w:styleId="272">
    <w:name w:val="No Spacing"/>
    <w:link w:val="273"/>
    <w:qFormat/>
    <w:uiPriority w:val="1"/>
    <w:rPr>
      <w:rFonts w:ascii="Calibri" w:hAnsi="Calibri" w:eastAsia="宋体" w:cs="宋体"/>
      <w:sz w:val="22"/>
      <w:szCs w:val="22"/>
      <w:lang w:val="en-US" w:eastAsia="zh-CN" w:bidi="ar-SA"/>
    </w:rPr>
  </w:style>
  <w:style w:type="character" w:customStyle="1" w:styleId="273">
    <w:name w:val="无间隔 Char"/>
    <w:basedOn w:val="54"/>
    <w:link w:val="272"/>
    <w:autoRedefine/>
    <w:uiPriority w:val="1"/>
    <w:rPr>
      <w:rFonts w:ascii="Calibri" w:hAnsi="Calibri" w:eastAsia="宋体" w:cs="宋体"/>
      <w:sz w:val="22"/>
      <w:szCs w:val="22"/>
    </w:rPr>
  </w:style>
  <w:style w:type="paragraph" w:customStyle="1" w:styleId="274">
    <w:name w:val="列出段落2"/>
    <w:basedOn w:val="1"/>
    <w:qFormat/>
    <w:uiPriority w:val="99"/>
    <w:pPr>
      <w:ind w:firstLine="420" w:firstLineChars="200"/>
    </w:pPr>
  </w:style>
  <w:style w:type="paragraph" w:customStyle="1" w:styleId="275">
    <w:name w:val="样式 样式 列项· + 段后: 0.5 行 + 段前: 0.5 行"/>
    <w:basedOn w:val="1"/>
    <w:uiPriority w:val="0"/>
    <w:pPr>
      <w:widowControl/>
      <w:numPr>
        <w:ilvl w:val="0"/>
        <w:numId w:val="10"/>
      </w:numPr>
      <w:spacing w:beforeLines="50"/>
      <w:jc w:val="left"/>
    </w:pPr>
    <w:rPr>
      <w:rFonts w:ascii="宋体" w:cs="宋体"/>
      <w:kern w:val="0"/>
      <w:sz w:val="24"/>
    </w:rPr>
  </w:style>
  <w:style w:type="character" w:customStyle="1" w:styleId="276">
    <w:name w:val="缺省文本 Char"/>
    <w:basedOn w:val="54"/>
    <w:link w:val="121"/>
    <w:autoRedefine/>
    <w:uiPriority w:val="0"/>
    <w:rPr>
      <w:sz w:val="24"/>
    </w:rPr>
  </w:style>
  <w:style w:type="character" w:customStyle="1" w:styleId="277">
    <w:name w:val="脚注文本 Char"/>
    <w:basedOn w:val="54"/>
    <w:link w:val="4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E7E66-FF94-42E0-9B0C-B18F5C08B6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12831</Words>
  <Characters>13449</Characters>
  <Paragraphs>546</Paragraphs>
  <TotalTime>127</TotalTime>
  <ScaleCrop>false</ScaleCrop>
  <LinksUpToDate>false</LinksUpToDate>
  <CharactersWithSpaces>15042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2019-02-27T08:11:00Z</dcterms:created>
  <dc:creator>SONY</dc:creator>
  <cp:lastModifiedBy>杨峰</cp:lastModifiedBy>
  <cp:lastPrinted>2018-11-30T08:30:00Z</cp:lastPrinted>
  <dcterms:modified xsi:type="dcterms:W3CDTF">2024-05-15T07:39:30Z</dcterms:modified>
  <dc:title>系统资源整合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317E0FFD0D5E44958BB450D51489A3D9_13</vt:lpwstr>
  </property>
</Properties>
</file>