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48"/>
          <w:szCs w:val="48"/>
        </w:rPr>
      </w:pPr>
      <w:r>
        <w:rPr>
          <w:rFonts w:hint="eastAsia" w:ascii="宋体" w:hAnsi="宋体" w:cs="宋体"/>
          <w:b/>
          <w:sz w:val="48"/>
          <w:szCs w:val="48"/>
        </w:rPr>
        <w:t>江苏有线泰州分公司省备份中心</w:t>
      </w:r>
    </w:p>
    <w:p>
      <w:pPr>
        <w:spacing w:line="360" w:lineRule="auto"/>
        <w:jc w:val="center"/>
        <w:rPr>
          <w:rFonts w:ascii="宋体" w:hAnsi="宋体" w:cs="宋体"/>
          <w:b/>
          <w:sz w:val="48"/>
          <w:szCs w:val="48"/>
        </w:rPr>
      </w:pPr>
      <w:r>
        <w:rPr>
          <w:rFonts w:hint="eastAsia" w:ascii="宋体" w:hAnsi="宋体" w:cs="宋体"/>
          <w:b/>
          <w:sz w:val="48"/>
          <w:szCs w:val="48"/>
        </w:rPr>
        <w:t>前端平台监测多画面服务器采购</w:t>
      </w:r>
    </w:p>
    <w:p>
      <w:pPr>
        <w:spacing w:before="100" w:after="100"/>
        <w:jc w:val="center"/>
        <w:rPr>
          <w:rFonts w:ascii="黑体" w:hAnsi="宋体" w:eastAsia="黑体"/>
          <w:b/>
          <w:sz w:val="48"/>
          <w:szCs w:val="48"/>
        </w:rPr>
      </w:pPr>
    </w:p>
    <w:p>
      <w:pPr>
        <w:spacing w:before="100" w:after="100"/>
        <w:jc w:val="center"/>
        <w:rPr>
          <w:rFonts w:eastAsia="黑体"/>
          <w:b/>
          <w:sz w:val="60"/>
        </w:rPr>
      </w:pPr>
    </w:p>
    <w:p>
      <w:pPr>
        <w:jc w:val="center"/>
        <w:outlineLvl w:val="0"/>
        <w:rPr>
          <w:rFonts w:ascii="黑体" w:eastAsia="黑体"/>
          <w:bCs/>
          <w:sz w:val="72"/>
          <w:szCs w:val="72"/>
        </w:rPr>
      </w:pPr>
      <w:r>
        <w:rPr>
          <w:rFonts w:hint="eastAsia" w:ascii="黑体" w:eastAsia="黑体"/>
          <w:bCs/>
          <w:sz w:val="72"/>
          <w:szCs w:val="72"/>
        </w:rPr>
        <w:t>邀</w:t>
      </w:r>
    </w:p>
    <w:p>
      <w:pPr>
        <w:jc w:val="center"/>
        <w:outlineLvl w:val="0"/>
        <w:rPr>
          <w:rFonts w:ascii="黑体" w:eastAsia="黑体"/>
          <w:bCs/>
          <w:sz w:val="72"/>
          <w:szCs w:val="72"/>
        </w:rPr>
      </w:pPr>
      <w:r>
        <w:rPr>
          <w:rFonts w:hint="eastAsia" w:ascii="黑体" w:eastAsia="黑体"/>
          <w:bCs/>
          <w:sz w:val="72"/>
          <w:szCs w:val="72"/>
        </w:rPr>
        <w:t>请</w:t>
      </w:r>
    </w:p>
    <w:p>
      <w:pPr>
        <w:autoSpaceDE w:val="0"/>
        <w:autoSpaceDN w:val="0"/>
        <w:adjustRightInd w:val="0"/>
        <w:jc w:val="center"/>
        <w:rPr>
          <w:rFonts w:eastAsia="黑体"/>
          <w:bCs/>
          <w:sz w:val="60"/>
        </w:rPr>
      </w:pPr>
      <w:r>
        <w:rPr>
          <w:rFonts w:hint="eastAsia" w:ascii="黑体" w:eastAsia="黑体"/>
          <w:bCs/>
          <w:sz w:val="72"/>
          <w:szCs w:val="72"/>
        </w:rPr>
        <w:t>函</w:t>
      </w:r>
    </w:p>
    <w:p>
      <w:pPr>
        <w:autoSpaceDE w:val="0"/>
        <w:autoSpaceDN w:val="0"/>
        <w:adjustRightInd w:val="0"/>
        <w:jc w:val="center"/>
        <w:rPr>
          <w:rFonts w:eastAsia="黑体"/>
          <w:b/>
          <w:sz w:val="60"/>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spacing w:line="360" w:lineRule="auto"/>
        <w:ind w:firstLine="643" w:firstLineChars="200"/>
        <w:rPr>
          <w:rFonts w:eastAsia="黑体"/>
          <w:b/>
          <w:sz w:val="32"/>
        </w:rPr>
      </w:pPr>
      <w:r>
        <w:rPr>
          <w:rFonts w:hint="eastAsia" w:eastAsia="黑体"/>
          <w:b/>
          <w:sz w:val="32"/>
        </w:rPr>
        <w:t>采购人：江苏省广电有线信息网络股份有限公司</w:t>
      </w:r>
    </w:p>
    <w:p>
      <w:pPr>
        <w:autoSpaceDE w:val="0"/>
        <w:autoSpaceDN w:val="0"/>
        <w:adjustRightInd w:val="0"/>
        <w:spacing w:line="360" w:lineRule="auto"/>
        <w:ind w:firstLine="420"/>
        <w:jc w:val="center"/>
        <w:rPr>
          <w:rFonts w:eastAsia="黑体"/>
          <w:b/>
          <w:sz w:val="32"/>
        </w:rPr>
      </w:pPr>
      <w:r>
        <w:rPr>
          <w:rFonts w:hint="eastAsia" w:eastAsia="黑体"/>
          <w:b/>
          <w:sz w:val="32"/>
        </w:rPr>
        <w:t>泰州分公司</w:t>
      </w:r>
    </w:p>
    <w:p>
      <w:pPr>
        <w:pStyle w:val="14"/>
        <w:spacing w:line="360" w:lineRule="auto"/>
        <w:rPr>
          <w:rFonts w:ascii="宋体" w:hAnsi="宋体" w:eastAsia="宋体"/>
          <w:kern w:val="0"/>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720" w:num="1"/>
          <w:titlePg/>
          <w:docGrid w:linePitch="312" w:charSpace="0"/>
        </w:sectPr>
      </w:pPr>
    </w:p>
    <w:p>
      <w:pPr>
        <w:spacing w:line="360" w:lineRule="auto"/>
        <w:jc w:val="center"/>
        <w:rPr>
          <w:rFonts w:ascii="宋体" w:hAnsi="宋体" w:cs="宋体"/>
          <w:b/>
          <w:szCs w:val="21"/>
        </w:rPr>
      </w:pPr>
    </w:p>
    <w:p>
      <w:pPr>
        <w:jc w:val="center"/>
        <w:outlineLvl w:val="0"/>
        <w:rPr>
          <w:rFonts w:ascii="黑体" w:eastAsia="黑体"/>
          <w:b/>
          <w:sz w:val="37"/>
        </w:rPr>
      </w:pPr>
      <w:r>
        <w:rPr>
          <w:rFonts w:hint="eastAsia" w:ascii="黑体" w:eastAsia="黑体"/>
          <w:b/>
          <w:sz w:val="37"/>
        </w:rPr>
        <w:t>邀请函</w:t>
      </w:r>
    </w:p>
    <w:p>
      <w:pPr>
        <w:pStyle w:val="30"/>
        <w:spacing w:line="360" w:lineRule="auto"/>
        <w:ind w:firstLine="480" w:firstLineChars="200"/>
      </w:pPr>
      <w:r>
        <w:rPr>
          <w:rFonts w:hint="eastAsia"/>
        </w:rPr>
        <w:t>江苏有线泰州分公司现就“</w:t>
      </w:r>
      <w:r>
        <w:rPr>
          <w:rFonts w:hint="eastAsia"/>
          <w:bCs/>
          <w:szCs w:val="21"/>
        </w:rPr>
        <w:t>省备份中心前端平台监测多画面服务器采购</w:t>
      </w:r>
      <w:r>
        <w:rPr>
          <w:b/>
        </w:rPr>
        <w:t>”</w:t>
      </w:r>
      <w:r>
        <w:rPr>
          <w:rFonts w:hint="eastAsia"/>
        </w:rPr>
        <w:t>项目进行自主招标采购，</w:t>
      </w:r>
      <w:r>
        <w:rPr>
          <w:rFonts w:hint="eastAsia"/>
          <w:szCs w:val="21"/>
        </w:rPr>
        <w:t>现邀请有意向且满足基本资质要求的单位参加。</w:t>
      </w:r>
      <w:r>
        <w:rPr>
          <w:rFonts w:hint="eastAsia"/>
        </w:rPr>
        <w:t>。</w:t>
      </w:r>
    </w:p>
    <w:p>
      <w:pPr>
        <w:numPr>
          <w:ilvl w:val="0"/>
          <w:numId w:val="0"/>
        </w:numPr>
        <w:spacing w:line="360" w:lineRule="auto"/>
        <w:ind w:leftChars="0" w:firstLine="480" w:firstLineChars="200"/>
        <w:rPr>
          <w:rFonts w:ascii="宋体" w:hAnsi="宋体"/>
          <w:sz w:val="24"/>
        </w:rPr>
      </w:pPr>
      <w:r>
        <w:rPr>
          <w:rFonts w:hint="eastAsia" w:ascii="宋体" w:hAnsi="宋体" w:cs="宋体"/>
          <w:sz w:val="24"/>
        </w:rPr>
        <w:t>项目名称：</w:t>
      </w:r>
      <w:r>
        <w:rPr>
          <w:rFonts w:hint="eastAsia"/>
          <w:bCs/>
          <w:sz w:val="24"/>
        </w:rPr>
        <w:t>省备份中心前端平台监测多画面服务器采购</w:t>
      </w:r>
    </w:p>
    <w:p>
      <w:pPr>
        <w:spacing w:line="360" w:lineRule="auto"/>
        <w:ind w:firstLine="480" w:firstLineChars="200"/>
        <w:rPr>
          <w:rFonts w:ascii="宋体" w:hAnsi="宋体" w:cs="宋体"/>
          <w:sz w:val="24"/>
        </w:rPr>
      </w:pPr>
      <w:r>
        <w:rPr>
          <w:rFonts w:hint="eastAsia" w:ascii="宋体" w:hAnsi="宋体" w:cs="宋体"/>
          <w:sz w:val="24"/>
        </w:rPr>
        <w:t>采购人：江苏省广电有线信息网络股份有限公司泰州分公司（以下简称江苏有线泰州分公司）</w:t>
      </w:r>
    </w:p>
    <w:p>
      <w:pPr>
        <w:spacing w:line="360" w:lineRule="auto"/>
        <w:ind w:firstLine="411" w:firstLineChars="196"/>
        <w:rPr>
          <w:rFonts w:ascii="宋体" w:hAnsi="宋体"/>
          <w:szCs w:val="21"/>
        </w:rPr>
      </w:pPr>
      <w:r>
        <w:rPr>
          <w:rFonts w:hint="eastAsia" w:ascii="宋体" w:hAnsi="宋体"/>
          <w:szCs w:val="21"/>
        </w:rPr>
        <w:t>（二）最高限价</w:t>
      </w:r>
    </w:p>
    <w:p>
      <w:pPr>
        <w:spacing w:line="360" w:lineRule="auto"/>
        <w:ind w:firstLine="411" w:firstLineChars="196"/>
        <w:rPr>
          <w:rFonts w:ascii="宋体" w:hAnsi="宋体"/>
          <w:szCs w:val="21"/>
        </w:rPr>
      </w:pPr>
      <w:r>
        <w:rPr>
          <w:rFonts w:hint="eastAsia" w:ascii="宋体" w:hAnsi="宋体"/>
          <w:szCs w:val="21"/>
        </w:rPr>
        <w:t>本项目投标设置最高限价，</w:t>
      </w:r>
      <w:r>
        <w:rPr>
          <w:rFonts w:hint="eastAsia" w:ascii="宋体" w:hAnsi="宋体"/>
          <w:color w:val="FF0000"/>
          <w:szCs w:val="21"/>
        </w:rPr>
        <w:t>投标限价为120000.00元</w:t>
      </w:r>
      <w:r>
        <w:rPr>
          <w:rFonts w:hint="eastAsia" w:ascii="宋体" w:hAnsi="宋体"/>
          <w:color w:val="FF0000"/>
          <w:szCs w:val="21"/>
          <w:lang w:eastAsia="zh-CN"/>
        </w:rPr>
        <w:t>（</w:t>
      </w:r>
      <w:r>
        <w:rPr>
          <w:rFonts w:hint="eastAsia" w:ascii="宋体" w:hAnsi="宋体"/>
          <w:color w:val="FF0000"/>
          <w:szCs w:val="21"/>
          <w:lang w:val="en-US" w:eastAsia="zh-CN"/>
        </w:rPr>
        <w:t>壹拾贰万元整</w:t>
      </w:r>
      <w:r>
        <w:rPr>
          <w:rFonts w:hint="eastAsia" w:ascii="宋体" w:hAnsi="宋体"/>
          <w:color w:val="FF0000"/>
          <w:szCs w:val="21"/>
          <w:lang w:eastAsia="zh-CN"/>
        </w:rPr>
        <w:t>）</w:t>
      </w:r>
      <w:r>
        <w:rPr>
          <w:rFonts w:hint="eastAsia" w:ascii="宋体" w:hAnsi="宋体"/>
          <w:szCs w:val="21"/>
        </w:rPr>
        <w:t>。（部分利旧不纳入报价）</w:t>
      </w:r>
    </w:p>
    <w:p>
      <w:pPr>
        <w:spacing w:line="360" w:lineRule="auto"/>
        <w:ind w:firstLine="411" w:firstLineChars="196"/>
        <w:rPr>
          <w:rFonts w:ascii="宋体" w:hAnsi="宋体"/>
          <w:bCs/>
          <w:szCs w:val="21"/>
        </w:rPr>
      </w:pPr>
      <w:r>
        <w:rPr>
          <w:rFonts w:hint="eastAsia" w:ascii="宋体" w:hAnsi="宋体"/>
          <w:bCs/>
          <w:szCs w:val="21"/>
        </w:rPr>
        <w:t>（三）选择流程：</w:t>
      </w:r>
    </w:p>
    <w:p>
      <w:pPr>
        <w:numPr>
          <w:ilvl w:val="0"/>
          <w:numId w:val="1"/>
        </w:numPr>
        <w:spacing w:line="360" w:lineRule="auto"/>
        <w:ind w:firstLine="411" w:firstLineChars="196"/>
        <w:rPr>
          <w:rFonts w:ascii="宋体" w:hAnsi="宋体"/>
          <w:bCs/>
          <w:szCs w:val="21"/>
        </w:rPr>
      </w:pPr>
      <w:r>
        <w:rPr>
          <w:rFonts w:hint="eastAsia" w:ascii="宋体" w:hAnsi="宋体"/>
          <w:bCs/>
          <w:szCs w:val="21"/>
        </w:rPr>
        <w:t>采用</w:t>
      </w:r>
      <w:r>
        <w:rPr>
          <w:rFonts w:hint="eastAsia" w:ascii="宋体" w:hAnsi="宋体"/>
          <w:szCs w:val="21"/>
        </w:rPr>
        <w:t>自主招标</w:t>
      </w:r>
      <w:r>
        <w:rPr>
          <w:rFonts w:hint="eastAsia" w:ascii="宋体" w:hAnsi="宋体"/>
          <w:bCs/>
          <w:szCs w:val="21"/>
        </w:rPr>
        <w:t>的方式邀请潜在投标人参与本项目。</w:t>
      </w:r>
    </w:p>
    <w:p>
      <w:pPr>
        <w:numPr>
          <w:ilvl w:val="0"/>
          <w:numId w:val="1"/>
        </w:numPr>
        <w:spacing w:line="360" w:lineRule="auto"/>
        <w:ind w:firstLine="411" w:firstLineChars="196"/>
        <w:rPr>
          <w:rFonts w:ascii="宋体" w:hAnsi="宋体"/>
          <w:bCs/>
          <w:szCs w:val="21"/>
        </w:rPr>
      </w:pPr>
      <w:r>
        <w:rPr>
          <w:rFonts w:hint="eastAsia" w:ascii="宋体" w:hAnsi="宋体"/>
          <w:bCs/>
          <w:szCs w:val="21"/>
        </w:rPr>
        <w:t>投标人应按本邀请的</w:t>
      </w:r>
      <w:r>
        <w:rPr>
          <w:rFonts w:hint="eastAsia" w:ascii="宋体" w:hAnsi="宋体"/>
          <w:szCs w:val="21"/>
        </w:rPr>
        <w:t>自主招标</w:t>
      </w:r>
      <w:r>
        <w:rPr>
          <w:rFonts w:hint="eastAsia" w:ascii="宋体" w:hAnsi="宋体"/>
          <w:bCs/>
          <w:szCs w:val="21"/>
        </w:rPr>
        <w:t>，按照文件要求递交响应文件。</w:t>
      </w:r>
    </w:p>
    <w:p>
      <w:pPr>
        <w:numPr>
          <w:ilvl w:val="0"/>
          <w:numId w:val="1"/>
        </w:numPr>
        <w:spacing w:line="360" w:lineRule="auto"/>
        <w:ind w:firstLine="411" w:firstLineChars="196"/>
        <w:rPr>
          <w:rFonts w:ascii="宋体" w:hAnsi="宋体"/>
          <w:bCs/>
          <w:szCs w:val="21"/>
        </w:rPr>
      </w:pPr>
      <w:r>
        <w:rPr>
          <w:rFonts w:hint="eastAsia" w:ascii="宋体" w:hAnsi="宋体"/>
          <w:bCs/>
          <w:szCs w:val="21"/>
        </w:rPr>
        <w:t>采购人组织成立该项目评审委员会。</w:t>
      </w:r>
    </w:p>
    <w:p>
      <w:pPr>
        <w:spacing w:line="360" w:lineRule="auto"/>
        <w:ind w:left="703" w:leftChars="335" w:firstLine="420" w:firstLineChars="200"/>
        <w:rPr>
          <w:rFonts w:ascii="宋体" w:hAnsi="宋体"/>
          <w:bCs/>
          <w:szCs w:val="21"/>
        </w:rPr>
      </w:pPr>
      <w:r>
        <w:rPr>
          <w:rFonts w:hint="eastAsia" w:ascii="宋体" w:hAnsi="宋体"/>
          <w:bCs/>
          <w:szCs w:val="21"/>
        </w:rPr>
        <w:t>4）  评审委员会对投标人递交的响应文件从最终报价排序确定一家供应商。</w:t>
      </w:r>
    </w:p>
    <w:p>
      <w:pPr>
        <w:spacing w:line="360" w:lineRule="auto"/>
        <w:ind w:firstLine="420" w:firstLineChars="200"/>
        <w:rPr>
          <w:rFonts w:ascii="宋体" w:hAnsi="宋体"/>
          <w:szCs w:val="21"/>
        </w:rPr>
      </w:pPr>
    </w:p>
    <w:p>
      <w:pPr>
        <w:spacing w:line="360" w:lineRule="auto"/>
        <w:rPr>
          <w:rFonts w:ascii="宋体" w:hAnsi="宋体"/>
          <w:b/>
          <w:szCs w:val="21"/>
        </w:rPr>
      </w:pPr>
      <w:r>
        <w:rPr>
          <w:rFonts w:hint="eastAsia" w:ascii="宋体" w:hAnsi="宋体"/>
          <w:b/>
          <w:szCs w:val="21"/>
        </w:rPr>
        <w:t xml:space="preserve">    三、合格申请人的基本资质要求</w:t>
      </w:r>
    </w:p>
    <w:p>
      <w:pPr>
        <w:spacing w:line="360" w:lineRule="auto"/>
        <w:ind w:firstLine="420"/>
        <w:rPr>
          <w:rFonts w:ascii="宋体" w:hAnsi="宋体"/>
          <w:bCs/>
          <w:color w:val="000000"/>
          <w:szCs w:val="21"/>
        </w:rPr>
      </w:pPr>
      <w:r>
        <w:rPr>
          <w:rFonts w:ascii="宋体" w:hAnsi="宋体"/>
          <w:bCs/>
          <w:color w:val="000000"/>
          <w:szCs w:val="21"/>
        </w:rPr>
        <w:t>（一）投标人的资质要求：</w:t>
      </w:r>
    </w:p>
    <w:p>
      <w:pPr>
        <w:spacing w:line="360" w:lineRule="auto"/>
        <w:ind w:firstLine="420" w:firstLineChars="200"/>
        <w:rPr>
          <w:rFonts w:ascii="宋体" w:hAnsi="宋体"/>
          <w:color w:val="000000"/>
        </w:rPr>
      </w:pPr>
      <w:r>
        <w:rPr>
          <w:rFonts w:ascii="宋体" w:hAnsi="宋体"/>
          <w:bCs/>
          <w:color w:val="000000"/>
          <w:szCs w:val="21"/>
        </w:rPr>
        <w:t>1）投标人须为在中华人民共和国境内合法注册的独立法人，遵守中国有关法律、法规，具有良好的商业信誉</w:t>
      </w:r>
      <w:r>
        <w:rPr>
          <w:rFonts w:ascii="宋体" w:hAnsi="宋体"/>
          <w:color w:val="000000"/>
        </w:rPr>
        <w:t>和健全的财务会计制度</w:t>
      </w:r>
      <w:r>
        <w:rPr>
          <w:rFonts w:ascii="宋体" w:hAnsi="宋体"/>
          <w:bCs/>
          <w:color w:val="000000"/>
          <w:szCs w:val="21"/>
        </w:rPr>
        <w:t>。</w:t>
      </w:r>
    </w:p>
    <w:p>
      <w:pPr>
        <w:spacing w:line="360" w:lineRule="auto"/>
        <w:ind w:firstLine="420" w:firstLineChars="200"/>
        <w:rPr>
          <w:rFonts w:ascii="宋体" w:hAnsi="宋体"/>
          <w:color w:val="000000"/>
        </w:rPr>
      </w:pPr>
      <w:r>
        <w:rPr>
          <w:rFonts w:ascii="宋体" w:hAnsi="宋体"/>
          <w:bCs/>
          <w:color w:val="000000"/>
          <w:szCs w:val="21"/>
        </w:rPr>
        <w:t>2）</w:t>
      </w:r>
      <w:r>
        <w:rPr>
          <w:rFonts w:ascii="宋体" w:hAnsi="宋体"/>
          <w:color w:val="000000"/>
        </w:rPr>
        <w:t>投标人须保证，招标人在其本国使用投标人提供的货物时，不存在任何已知的不合法的情形，也不存在任何已知的与第三方专利权、著作权、商标权或工业设计权相关的任何争议。如果有任何因招标人使用投标人提供的货物而提起的侵权指控，投标人（包括制造商）须依法承担全部责任。</w:t>
      </w:r>
    </w:p>
    <w:p>
      <w:pPr>
        <w:spacing w:line="360" w:lineRule="auto"/>
        <w:ind w:firstLine="420"/>
        <w:rPr>
          <w:rFonts w:ascii="宋体" w:hAnsi="宋体"/>
          <w:b/>
          <w:szCs w:val="21"/>
        </w:rPr>
      </w:pPr>
      <w:r>
        <w:rPr>
          <w:rFonts w:hint="eastAsia" w:ascii="宋体" w:hAnsi="宋体"/>
          <w:b/>
          <w:szCs w:val="21"/>
        </w:rPr>
        <w:t>四、招标文件的发布</w:t>
      </w:r>
      <w:bookmarkStart w:id="3" w:name="_GoBack"/>
      <w:bookmarkEnd w:id="3"/>
    </w:p>
    <w:p>
      <w:pPr>
        <w:spacing w:line="360" w:lineRule="auto"/>
        <w:ind w:firstLine="420"/>
        <w:rPr>
          <w:rFonts w:ascii="宋体" w:hAnsi="宋体" w:cs="宋体"/>
          <w:szCs w:val="21"/>
        </w:rPr>
      </w:pPr>
      <w:r>
        <w:rPr>
          <w:rFonts w:hint="eastAsia" w:ascii="宋体" w:hAnsi="宋体" w:cs="宋体"/>
          <w:szCs w:val="21"/>
        </w:rPr>
        <w:t>时间</w:t>
      </w:r>
      <w:r>
        <w:rPr>
          <w:rFonts w:hint="eastAsia" w:ascii="宋体" w:hAnsi="宋体"/>
          <w:szCs w:val="21"/>
        </w:rPr>
        <w:t>：</w:t>
      </w:r>
      <w:r>
        <w:rPr>
          <w:rFonts w:hint="eastAsia" w:ascii="宋体" w:hAnsi="宋体" w:cs="宋体"/>
          <w:szCs w:val="21"/>
        </w:rPr>
        <w:t xml:space="preserve"> 2022年 </w:t>
      </w:r>
      <w:r>
        <w:rPr>
          <w:rFonts w:hint="eastAsia" w:ascii="宋体" w:hAnsi="宋体" w:cs="宋体"/>
          <w:szCs w:val="21"/>
          <w:lang w:val="en-US" w:eastAsia="zh-CN"/>
        </w:rPr>
        <w:t>04</w:t>
      </w:r>
      <w:r>
        <w:rPr>
          <w:rFonts w:hint="eastAsia" w:ascii="宋体" w:hAnsi="宋体" w:cs="宋体"/>
          <w:szCs w:val="21"/>
        </w:rPr>
        <w:t xml:space="preserve">月 </w:t>
      </w:r>
      <w:r>
        <w:rPr>
          <w:rFonts w:hint="eastAsia" w:ascii="宋体" w:hAnsi="宋体" w:cs="宋体"/>
          <w:szCs w:val="21"/>
          <w:lang w:val="en-US" w:eastAsia="zh-CN"/>
        </w:rPr>
        <w:t>07</w:t>
      </w:r>
      <w:r>
        <w:rPr>
          <w:rFonts w:hint="eastAsia" w:ascii="宋体" w:hAnsi="宋体" w:cs="宋体"/>
          <w:szCs w:val="21"/>
        </w:rPr>
        <w:t>日</w:t>
      </w:r>
    </w:p>
    <w:p>
      <w:pPr>
        <w:spacing w:line="360" w:lineRule="auto"/>
        <w:ind w:firstLine="420"/>
        <w:rPr>
          <w:rFonts w:ascii="宋体" w:hAnsi="宋体"/>
          <w:szCs w:val="21"/>
        </w:rPr>
      </w:pPr>
      <w:r>
        <w:rPr>
          <w:rFonts w:hint="eastAsia" w:ascii="宋体" w:hAnsi="宋体"/>
          <w:szCs w:val="21"/>
        </w:rPr>
        <w:t>发布地点：江苏省广电有线信息网络股份有限公司泰州分公司 泰州市梅兰东路99号</w:t>
      </w:r>
    </w:p>
    <w:p>
      <w:pPr>
        <w:spacing w:line="360" w:lineRule="auto"/>
        <w:ind w:firstLine="420"/>
        <w:rPr>
          <w:rFonts w:ascii="宋体" w:hAnsi="宋体"/>
          <w:szCs w:val="21"/>
        </w:rPr>
      </w:pPr>
      <w:r>
        <w:rPr>
          <w:rFonts w:hint="eastAsia" w:ascii="宋体" w:hAnsi="宋体"/>
          <w:szCs w:val="21"/>
        </w:rPr>
        <w:t>发布方式：</w:t>
      </w:r>
      <w:r>
        <w:rPr>
          <w:rFonts w:hint="eastAsia" w:ascii="宋体" w:hAnsi="宋体" w:cs="宋体"/>
          <w:szCs w:val="21"/>
        </w:rPr>
        <w:t>江苏省广电有线信息网络股份有限公司泰州分公司官网.</w:t>
      </w:r>
    </w:p>
    <w:p>
      <w:pPr>
        <w:spacing w:line="360" w:lineRule="auto"/>
        <w:ind w:firstLine="523" w:firstLineChars="248"/>
        <w:rPr>
          <w:rFonts w:ascii="宋体" w:hAnsi="宋体"/>
          <w:b/>
          <w:szCs w:val="21"/>
        </w:rPr>
      </w:pPr>
    </w:p>
    <w:p>
      <w:pPr>
        <w:spacing w:line="360" w:lineRule="auto"/>
        <w:ind w:firstLine="523" w:firstLineChars="248"/>
        <w:rPr>
          <w:rFonts w:ascii="宋体" w:hAnsi="宋体"/>
          <w:b/>
          <w:szCs w:val="21"/>
        </w:rPr>
      </w:pPr>
    </w:p>
    <w:p>
      <w:pPr>
        <w:spacing w:line="360" w:lineRule="auto"/>
        <w:ind w:firstLine="523" w:firstLineChars="248"/>
        <w:rPr>
          <w:rFonts w:ascii="宋体" w:hAnsi="宋体"/>
          <w:b/>
          <w:szCs w:val="21"/>
        </w:rPr>
      </w:pPr>
    </w:p>
    <w:p>
      <w:pPr>
        <w:spacing w:line="360" w:lineRule="auto"/>
        <w:ind w:firstLine="523" w:firstLineChars="248"/>
        <w:rPr>
          <w:rFonts w:ascii="宋体" w:hAnsi="宋体"/>
          <w:b/>
          <w:szCs w:val="21"/>
        </w:rPr>
      </w:pPr>
      <w:r>
        <w:rPr>
          <w:rFonts w:hint="eastAsia" w:ascii="宋体" w:hAnsi="宋体"/>
          <w:b/>
          <w:szCs w:val="21"/>
        </w:rPr>
        <w:t>五、远程竞价文件</w:t>
      </w:r>
    </w:p>
    <w:p>
      <w:pPr>
        <w:spacing w:line="360" w:lineRule="auto"/>
        <w:ind w:firstLine="523" w:firstLineChars="248"/>
        <w:rPr>
          <w:rFonts w:ascii="宋体" w:hAnsi="宋体"/>
          <w:b/>
          <w:szCs w:val="21"/>
        </w:rPr>
      </w:pPr>
      <w:r>
        <w:rPr>
          <w:rFonts w:hint="eastAsia" w:ascii="宋体" w:hAnsi="宋体"/>
          <w:b/>
          <w:szCs w:val="21"/>
        </w:rPr>
        <w:t>1、竞价文件包含的内容</w:t>
      </w:r>
    </w:p>
    <w:p>
      <w:pPr>
        <w:widowControl/>
        <w:adjustRightInd w:val="0"/>
        <w:spacing w:line="360" w:lineRule="auto"/>
        <w:ind w:firstLine="555"/>
        <w:outlineLvl w:val="0"/>
        <w:rPr>
          <w:rFonts w:ascii="宋体" w:hAnsi="宋体"/>
          <w:bCs/>
          <w:color w:val="000000"/>
          <w:szCs w:val="21"/>
        </w:rPr>
      </w:pPr>
      <w:r>
        <w:rPr>
          <w:rFonts w:hint="eastAsia" w:ascii="宋体" w:hAnsi="宋体"/>
          <w:bCs/>
          <w:color w:val="000000"/>
          <w:szCs w:val="21"/>
        </w:rPr>
        <w:t>1</w:t>
      </w:r>
      <w:r>
        <w:rPr>
          <w:rFonts w:ascii="宋体" w:hAnsi="宋体"/>
          <w:bCs/>
          <w:color w:val="000000"/>
          <w:szCs w:val="21"/>
        </w:rPr>
        <w:t>）</w:t>
      </w:r>
      <w:r>
        <w:rPr>
          <w:rFonts w:hint="eastAsia" w:ascii="宋体" w:hAnsi="宋体"/>
          <w:bCs/>
          <w:color w:val="000000"/>
          <w:szCs w:val="21"/>
        </w:rPr>
        <w:t>企业法人营业执照；</w:t>
      </w:r>
    </w:p>
    <w:p>
      <w:pPr>
        <w:widowControl/>
        <w:adjustRightInd w:val="0"/>
        <w:spacing w:line="360" w:lineRule="auto"/>
        <w:ind w:firstLine="555"/>
        <w:outlineLvl w:val="0"/>
        <w:rPr>
          <w:rFonts w:ascii="宋体" w:hAnsi="宋体"/>
          <w:bCs/>
          <w:color w:val="000000"/>
          <w:szCs w:val="21"/>
        </w:rPr>
      </w:pPr>
      <w:r>
        <w:rPr>
          <w:rFonts w:hint="eastAsia" w:ascii="宋体" w:hAnsi="宋体"/>
          <w:bCs/>
          <w:color w:val="000000"/>
          <w:szCs w:val="21"/>
        </w:rPr>
        <w:t>2）法定代表人授权书；</w:t>
      </w:r>
    </w:p>
    <w:p>
      <w:pPr>
        <w:widowControl/>
        <w:adjustRightInd w:val="0"/>
        <w:spacing w:line="360" w:lineRule="auto"/>
        <w:ind w:firstLine="525" w:firstLineChars="250"/>
        <w:outlineLvl w:val="0"/>
        <w:rPr>
          <w:rFonts w:ascii="宋体" w:hAnsi="宋体"/>
          <w:bCs/>
          <w:color w:val="000000"/>
          <w:szCs w:val="21"/>
        </w:rPr>
      </w:pPr>
      <w:r>
        <w:rPr>
          <w:rFonts w:ascii="宋体" w:hAnsi="宋体"/>
          <w:bCs/>
          <w:color w:val="000000"/>
          <w:szCs w:val="21"/>
        </w:rPr>
        <w:t>3</w:t>
      </w:r>
      <w:r>
        <w:rPr>
          <w:rFonts w:hint="eastAsia" w:ascii="宋体" w:hAnsi="宋体"/>
          <w:bCs/>
          <w:color w:val="000000"/>
          <w:szCs w:val="21"/>
        </w:rPr>
        <w:t>）开标一栏表；</w:t>
      </w:r>
    </w:p>
    <w:p>
      <w:pPr>
        <w:spacing w:line="360" w:lineRule="auto"/>
        <w:ind w:firstLine="734" w:firstLineChars="348"/>
        <w:rPr>
          <w:rFonts w:ascii="宋体" w:hAnsi="宋体"/>
          <w:b/>
          <w:szCs w:val="21"/>
        </w:rPr>
      </w:pPr>
      <w:r>
        <w:rPr>
          <w:rFonts w:hint="eastAsia" w:ascii="宋体" w:hAnsi="宋体"/>
          <w:b/>
          <w:szCs w:val="21"/>
        </w:rPr>
        <w:t>以上文件需单独加盖公司公章，缺少任意一项将自动丧失竞争资格。</w:t>
      </w:r>
    </w:p>
    <w:p>
      <w:pPr>
        <w:spacing w:line="360" w:lineRule="auto"/>
        <w:ind w:firstLine="422" w:firstLineChars="200"/>
        <w:rPr>
          <w:rFonts w:ascii="宋体" w:hAnsi="宋体"/>
          <w:b/>
          <w:szCs w:val="21"/>
        </w:rPr>
      </w:pPr>
      <w:r>
        <w:rPr>
          <w:rFonts w:hint="eastAsia" w:ascii="宋体" w:hAnsi="宋体"/>
          <w:b/>
          <w:szCs w:val="21"/>
        </w:rPr>
        <w:t>2、</w:t>
      </w:r>
      <w:r>
        <w:rPr>
          <w:rFonts w:hint="eastAsia" w:ascii="宋体" w:hAnsi="宋体" w:cs="宋体"/>
          <w:szCs w:val="21"/>
        </w:rPr>
        <w:t>招标文件发布：</w:t>
      </w:r>
    </w:p>
    <w:p>
      <w:pPr>
        <w:spacing w:line="360" w:lineRule="auto"/>
        <w:ind w:firstLine="420"/>
        <w:rPr>
          <w:rFonts w:ascii="仿宋_GB2312" w:hAnsi="宋体" w:eastAsia="仿宋_GB2312" w:cs="宋体"/>
          <w:sz w:val="28"/>
          <w:szCs w:val="28"/>
        </w:rPr>
      </w:pPr>
      <w:r>
        <w:rPr>
          <w:rFonts w:hint="eastAsia" w:ascii="宋体" w:hAnsi="宋体" w:cs="宋体"/>
          <w:szCs w:val="21"/>
        </w:rPr>
        <w:t>发布方式：江苏省广电有线信息网络股份有限公司泰州分公司官网。</w:t>
      </w:r>
      <w:r>
        <w:rPr>
          <w:rFonts w:hint="eastAsia" w:ascii="仿宋_GB2312" w:hAnsi="宋体" w:eastAsia="仿宋_GB2312" w:cs="宋体"/>
          <w:sz w:val="28"/>
          <w:szCs w:val="28"/>
        </w:rPr>
        <w:t xml:space="preserve"> </w:t>
      </w:r>
    </w:p>
    <w:p>
      <w:pPr>
        <w:spacing w:line="360" w:lineRule="auto"/>
        <w:ind w:firstLine="420"/>
        <w:rPr>
          <w:rFonts w:ascii="宋体" w:hAnsi="宋体" w:cs="宋体"/>
          <w:szCs w:val="21"/>
        </w:rPr>
      </w:pPr>
      <w:r>
        <w:rPr>
          <w:rFonts w:hint="eastAsia" w:ascii="宋体" w:hAnsi="宋体" w:cs="宋体"/>
          <w:szCs w:val="21"/>
        </w:rPr>
        <w:t>网址：http://www.jscnnet.com/tz/</w:t>
      </w:r>
    </w:p>
    <w:p>
      <w:pPr>
        <w:spacing w:line="360" w:lineRule="auto"/>
        <w:ind w:firstLine="422" w:firstLineChars="200"/>
        <w:rPr>
          <w:rFonts w:ascii="宋体" w:hAnsi="宋体"/>
          <w:b/>
          <w:szCs w:val="21"/>
        </w:rPr>
      </w:pPr>
      <w:r>
        <w:rPr>
          <w:rFonts w:hint="eastAsia" w:ascii="宋体" w:hAnsi="宋体"/>
          <w:b/>
          <w:szCs w:val="21"/>
        </w:rPr>
        <w:t>3、竞价文件的递交</w:t>
      </w:r>
    </w:p>
    <w:p>
      <w:pPr>
        <w:spacing w:line="360" w:lineRule="auto"/>
        <w:ind w:firstLine="420"/>
        <w:rPr>
          <w:rFonts w:ascii="宋体" w:hAnsi="宋体" w:cs="宋体"/>
          <w:szCs w:val="21"/>
        </w:rPr>
      </w:pPr>
      <w:r>
        <w:rPr>
          <w:rFonts w:hint="eastAsia" w:ascii="宋体" w:hAnsi="宋体" w:cs="宋体"/>
          <w:szCs w:val="21"/>
        </w:rPr>
        <w:t>投标文件递交采用送达的方式，响应文件截止时间：</w:t>
      </w:r>
      <w:r>
        <w:rPr>
          <w:rFonts w:hint="eastAsia" w:ascii="宋体" w:hAnsi="宋体"/>
          <w:b/>
          <w:szCs w:val="21"/>
        </w:rPr>
        <w:t>2022年 04月</w:t>
      </w:r>
      <w:r>
        <w:rPr>
          <w:rFonts w:hint="eastAsia" w:ascii="宋体" w:hAnsi="宋体"/>
          <w:b/>
          <w:szCs w:val="21"/>
          <w:lang w:val="en-US" w:eastAsia="zh-CN"/>
        </w:rPr>
        <w:t>11</w:t>
      </w:r>
      <w:r>
        <w:rPr>
          <w:rFonts w:hint="eastAsia" w:ascii="宋体" w:hAnsi="宋体"/>
          <w:b/>
          <w:szCs w:val="21"/>
        </w:rPr>
        <w:t>日</w:t>
      </w:r>
      <w:r>
        <w:rPr>
          <w:rFonts w:hint="eastAsia" w:asciiTheme="minorEastAsia" w:hAnsiTheme="minorEastAsia" w:eastAsiaTheme="minorEastAsia"/>
          <w:b/>
          <w:szCs w:val="21"/>
        </w:rPr>
        <w:t>9:00</w:t>
      </w:r>
      <w:r>
        <w:rPr>
          <w:rFonts w:hint="eastAsia" w:ascii="宋体" w:hAnsi="宋体" w:cs="宋体"/>
          <w:szCs w:val="21"/>
        </w:rPr>
        <w:t>。逾期收到或不符合规定的响应文件恕不接受。</w:t>
      </w:r>
    </w:p>
    <w:p>
      <w:pPr>
        <w:spacing w:line="360" w:lineRule="auto"/>
        <w:ind w:firstLine="420"/>
        <w:rPr>
          <w:rFonts w:ascii="宋体" w:hAnsi="宋体" w:cs="宋体"/>
          <w:szCs w:val="21"/>
        </w:rPr>
      </w:pPr>
      <w:r>
        <w:rPr>
          <w:rFonts w:hint="eastAsia" w:ascii="宋体" w:hAnsi="宋体" w:cs="宋体"/>
          <w:szCs w:val="21"/>
        </w:rPr>
        <w:t>递交竞价响应文件地点：响应文件密封盖公司启封章后送达</w:t>
      </w:r>
      <w:r>
        <w:rPr>
          <w:rFonts w:hint="eastAsia" w:ascii="宋体" w:hAnsi="宋体"/>
          <w:szCs w:val="21"/>
        </w:rPr>
        <w:t>江苏省广电有线信息网络股份有限公司泰州分公司 泰州市梅兰东路99号</w:t>
      </w:r>
      <w:r>
        <w:rPr>
          <w:rFonts w:hint="eastAsia" w:ascii="宋体" w:hAnsi="宋体" w:cs="宋体"/>
          <w:szCs w:val="21"/>
        </w:rPr>
        <w:t>。</w:t>
      </w:r>
    </w:p>
    <w:p>
      <w:pPr>
        <w:spacing w:line="360" w:lineRule="auto"/>
        <w:ind w:left="2520" w:leftChars="200" w:hanging="2100" w:hangingChars="1000"/>
        <w:rPr>
          <w:rFonts w:ascii="宋体" w:hAnsi="宋体"/>
          <w:szCs w:val="21"/>
        </w:rPr>
      </w:pPr>
      <w:r>
        <w:rPr>
          <w:rFonts w:hint="eastAsia" w:ascii="宋体" w:hAnsi="宋体"/>
          <w:szCs w:val="21"/>
        </w:rPr>
        <w:t>采购人：江苏省广电有线信息网络股份有限公司泰州分公司</w:t>
      </w:r>
    </w:p>
    <w:p>
      <w:pPr>
        <w:spacing w:line="360" w:lineRule="auto"/>
        <w:ind w:left="2520" w:leftChars="200" w:hanging="2100" w:hangingChars="1000"/>
        <w:rPr>
          <w:rFonts w:ascii="宋体" w:hAnsi="宋体"/>
          <w:szCs w:val="21"/>
        </w:rPr>
      </w:pPr>
      <w:r>
        <w:rPr>
          <w:rFonts w:hint="eastAsia" w:ascii="宋体" w:hAnsi="宋体"/>
          <w:szCs w:val="21"/>
        </w:rPr>
        <w:t>地  址：泰州市梅兰东路99号</w:t>
      </w:r>
    </w:p>
    <w:p>
      <w:pPr>
        <w:spacing w:line="360" w:lineRule="auto"/>
        <w:ind w:left="2520" w:leftChars="200" w:hanging="2100" w:hangingChars="1000"/>
        <w:rPr>
          <w:rFonts w:ascii="宋体" w:hAnsi="宋体"/>
          <w:szCs w:val="21"/>
        </w:rPr>
      </w:pPr>
      <w:r>
        <w:rPr>
          <w:rFonts w:hint="eastAsia" w:ascii="宋体" w:hAnsi="宋体"/>
          <w:szCs w:val="21"/>
        </w:rPr>
        <w:t>联系人：李晓峰</w:t>
      </w:r>
    </w:p>
    <w:p>
      <w:pPr>
        <w:spacing w:line="360" w:lineRule="auto"/>
        <w:ind w:left="2520" w:leftChars="200" w:hanging="2100" w:hangingChars="1000"/>
        <w:rPr>
          <w:rFonts w:ascii="宋体" w:hAnsi="宋体"/>
          <w:szCs w:val="21"/>
        </w:rPr>
      </w:pPr>
      <w:r>
        <w:rPr>
          <w:rFonts w:hint="eastAsia" w:ascii="宋体" w:hAnsi="宋体"/>
          <w:szCs w:val="21"/>
        </w:rPr>
        <w:t>联系电话：</w:t>
      </w:r>
      <w:r>
        <w:rPr>
          <w:rFonts w:hint="eastAsia" w:ascii="宋体" w:hAnsi="宋体" w:cs="宋体"/>
          <w:kern w:val="0"/>
          <w:szCs w:val="21"/>
        </w:rPr>
        <w:t>15052813300</w:t>
      </w:r>
    </w:p>
    <w:p>
      <w:pPr>
        <w:spacing w:line="360" w:lineRule="auto"/>
        <w:ind w:left="2520" w:leftChars="200" w:hanging="2100" w:hangingChars="1000"/>
        <w:rPr>
          <w:rFonts w:ascii="宋体" w:hAnsi="宋体"/>
          <w:szCs w:val="21"/>
        </w:rPr>
      </w:pPr>
    </w:p>
    <w:p>
      <w:pPr>
        <w:spacing w:line="360" w:lineRule="auto"/>
        <w:ind w:left="2520" w:leftChars="200" w:hanging="2100" w:hangingChars="1000"/>
        <w:rPr>
          <w:rFonts w:ascii="宋体" w:hAnsi="宋体"/>
          <w:szCs w:val="21"/>
        </w:rPr>
      </w:pPr>
      <w:r>
        <w:rPr>
          <w:rFonts w:hint="eastAsia" w:ascii="宋体" w:hAnsi="宋体"/>
          <w:szCs w:val="21"/>
        </w:rPr>
        <w:t>技术联系人：唐凡</w:t>
      </w:r>
    </w:p>
    <w:p>
      <w:pPr>
        <w:spacing w:line="360" w:lineRule="auto"/>
        <w:ind w:left="2520" w:leftChars="200" w:hanging="2100" w:hangingChars="1000"/>
        <w:rPr>
          <w:rFonts w:hint="eastAsia" w:ascii="宋体" w:hAnsi="宋体"/>
          <w:szCs w:val="21"/>
        </w:rPr>
      </w:pPr>
      <w:r>
        <w:rPr>
          <w:rFonts w:hint="eastAsia" w:ascii="宋体" w:hAnsi="宋体"/>
          <w:szCs w:val="21"/>
        </w:rPr>
        <w:t>联系电话：15152686668</w:t>
      </w:r>
    </w:p>
    <w:p>
      <w:pPr>
        <w:rPr>
          <w:rFonts w:hint="eastAsia" w:ascii="宋体" w:hAnsi="宋体"/>
          <w:szCs w:val="21"/>
        </w:rPr>
      </w:pPr>
      <w:r>
        <w:rPr>
          <w:rFonts w:hint="eastAsia" w:ascii="宋体" w:hAnsi="宋体"/>
          <w:szCs w:val="21"/>
        </w:rPr>
        <w:br w:type="page"/>
      </w:r>
    </w:p>
    <w:p>
      <w:pPr>
        <w:autoSpaceDE w:val="0"/>
        <w:autoSpaceDN w:val="0"/>
        <w:adjustRightInd w:val="0"/>
        <w:spacing w:line="360" w:lineRule="auto"/>
        <w:jc w:val="center"/>
        <w:rPr>
          <w:rFonts w:hint="eastAsia" w:ascii="黑体" w:hAnsi="宋体" w:eastAsia="黑体" w:cs="黑体"/>
          <w:sz w:val="36"/>
          <w:szCs w:val="36"/>
          <w:lang w:val="zh-CN"/>
        </w:rPr>
      </w:pPr>
      <w:r>
        <w:rPr>
          <w:rFonts w:hint="eastAsia" w:ascii="黑体" w:hAnsi="宋体" w:eastAsia="黑体" w:cs="黑体"/>
          <w:sz w:val="36"/>
          <w:szCs w:val="36"/>
          <w:lang w:val="en-US" w:eastAsia="zh-CN"/>
        </w:rPr>
        <w:t>第一章 投标人</w:t>
      </w:r>
      <w:r>
        <w:rPr>
          <w:rFonts w:hint="eastAsia" w:ascii="黑体" w:hAnsi="宋体" w:eastAsia="黑体" w:cs="黑体"/>
          <w:sz w:val="36"/>
          <w:szCs w:val="36"/>
          <w:lang w:val="zh-CN"/>
        </w:rPr>
        <w:t>须知</w:t>
      </w:r>
    </w:p>
    <w:p>
      <w:pPr>
        <w:spacing w:line="360" w:lineRule="auto"/>
        <w:ind w:firstLine="420" w:firstLineChars="200"/>
        <w:rPr>
          <w:rFonts w:ascii="宋体" w:hAnsi="宋体" w:cs="宋体"/>
          <w:sz w:val="24"/>
        </w:rPr>
      </w:pPr>
      <w:r>
        <w:rPr>
          <w:rFonts w:hint="eastAsia" w:ascii="宋体" w:hAnsi="宋体" w:eastAsia="宋体" w:cs="宋体"/>
          <w:sz w:val="21"/>
          <w:szCs w:val="21"/>
        </w:rPr>
        <w:t>1、供应商应当</w:t>
      </w:r>
      <w:r>
        <w:rPr>
          <w:rFonts w:hint="eastAsia" w:ascii="宋体" w:hAnsi="宋体" w:cs="宋体"/>
          <w:sz w:val="24"/>
        </w:rPr>
        <w:t>符合本次采购项目要求的条件。</w:t>
      </w:r>
    </w:p>
    <w:p>
      <w:pPr>
        <w:spacing w:line="360" w:lineRule="auto"/>
        <w:ind w:firstLine="480" w:firstLineChars="200"/>
        <w:jc w:val="left"/>
        <w:rPr>
          <w:rFonts w:ascii="宋体" w:hAnsi="宋体" w:cs="宋体"/>
          <w:sz w:val="24"/>
        </w:rPr>
      </w:pPr>
      <w:r>
        <w:rPr>
          <w:rFonts w:hint="eastAsia" w:ascii="宋体" w:hAnsi="宋体" w:cs="宋体"/>
          <w:sz w:val="24"/>
        </w:rPr>
        <w:t>2、供应商应由其法定代表人或法定代表人授权委托人，在规定的报价时间内提交竞争性谈判文件。</w:t>
      </w:r>
    </w:p>
    <w:p>
      <w:pPr>
        <w:spacing w:line="360" w:lineRule="auto"/>
        <w:ind w:firstLine="480" w:firstLineChars="200"/>
        <w:rPr>
          <w:rFonts w:ascii="宋体" w:hAnsi="宋体" w:cs="宋体"/>
          <w:sz w:val="24"/>
        </w:rPr>
      </w:pPr>
      <w:r>
        <w:rPr>
          <w:rFonts w:hint="eastAsia" w:ascii="宋体" w:hAnsi="宋体" w:cs="宋体"/>
          <w:sz w:val="24"/>
        </w:rPr>
        <w:t>3、报价产品必须是全新、未使用过的原装合格正品，完全符合采购文件规定的质量、规格和性能的要求，达到国家或行业规定的标准，并对来源合法性负责；属于国家强制认证的产品，必须通过认证。</w:t>
      </w:r>
    </w:p>
    <w:p>
      <w:pPr>
        <w:spacing w:line="360" w:lineRule="auto"/>
        <w:ind w:firstLine="480" w:firstLineChars="200"/>
        <w:rPr>
          <w:rFonts w:ascii="宋体" w:hAnsi="宋体" w:cs="宋体"/>
          <w:sz w:val="24"/>
        </w:rPr>
      </w:pPr>
      <w:r>
        <w:rPr>
          <w:rFonts w:hint="eastAsia" w:ascii="宋体" w:hAnsi="宋体" w:cs="宋体"/>
          <w:sz w:val="24"/>
        </w:rPr>
        <w:t>4、报价应包括交付使用前的所有费用：即货物设计、制造、包装、仓储、运输、安装、调试、培训、技术服务及验收合格之前及保修期内备品备件发生的所有含税费用。</w:t>
      </w:r>
    </w:p>
    <w:p>
      <w:pPr>
        <w:spacing w:line="360" w:lineRule="auto"/>
        <w:ind w:left="0" w:leftChars="0" w:firstLine="470" w:firstLineChars="196"/>
        <w:rPr>
          <w:rFonts w:hint="eastAsia" w:ascii="宋体" w:hAnsi="宋体"/>
          <w:szCs w:val="21"/>
        </w:rPr>
      </w:pPr>
      <w:r>
        <w:rPr>
          <w:rFonts w:hint="eastAsia" w:ascii="宋体" w:hAnsi="宋体" w:cs="宋体"/>
          <w:sz w:val="24"/>
        </w:rPr>
        <w:t>5、供应商应按照邀请函文件要求编制响应文件，响应文件应对邀请函文件提出的要求和条件作出实质性响应。响应文件应包含《报价表》（附件一）、《各类资格汇总表》（附件二）、所供货物品牌、型号、规格、配置和技术指标、技术资料或彩页和服务承诺（报价文件不全的按无效报价处理），并标注好“江苏有线泰州分公司</w:t>
      </w:r>
      <w:r>
        <w:rPr>
          <w:rFonts w:hint="eastAsia"/>
          <w:bCs/>
          <w:sz w:val="24"/>
        </w:rPr>
        <w:t>省备份中心前端平台监测多画面服务器采购</w:t>
      </w:r>
      <w:r>
        <w:rPr>
          <w:rFonts w:hint="eastAsia" w:ascii="宋体" w:hAnsi="宋体" w:cs="宋体"/>
          <w:sz w:val="24"/>
        </w:rPr>
        <w:t>项目报价”。属于集成项目的，应有具体实施方案且符合要求等。否则，按照不响应处理。</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hint="eastAsia" w:ascii="黑体" w:hAnsi="宋体" w:eastAsia="黑体" w:cs="黑体"/>
          <w:sz w:val="36"/>
          <w:szCs w:val="36"/>
          <w:lang w:val="zh-CN"/>
        </w:rPr>
      </w:pPr>
      <w:r>
        <w:rPr>
          <w:rFonts w:hint="eastAsia" w:ascii="黑体" w:hAnsi="宋体" w:eastAsia="黑体" w:cs="黑体"/>
          <w:sz w:val="36"/>
          <w:szCs w:val="36"/>
          <w:lang w:val="zh-CN"/>
        </w:rPr>
        <w:br w:type="page"/>
      </w:r>
    </w:p>
    <w:p>
      <w:pPr>
        <w:autoSpaceDE w:val="0"/>
        <w:autoSpaceDN w:val="0"/>
        <w:adjustRightInd w:val="0"/>
        <w:spacing w:line="360" w:lineRule="auto"/>
        <w:jc w:val="center"/>
        <w:rPr>
          <w:rFonts w:hint="default" w:ascii="黑体" w:hAnsi="Verdana" w:eastAsia="黑体" w:cs="黑体"/>
          <w:sz w:val="36"/>
          <w:szCs w:val="36"/>
          <w:lang w:val="en-US" w:eastAsia="zh-CN"/>
        </w:rPr>
      </w:pPr>
      <w:r>
        <w:rPr>
          <w:rFonts w:hint="eastAsia" w:ascii="黑体" w:hAnsi="宋体" w:eastAsia="黑体" w:cs="黑体"/>
          <w:sz w:val="36"/>
          <w:szCs w:val="36"/>
          <w:lang w:val="zh-CN"/>
        </w:rPr>
        <w:t>第</w:t>
      </w:r>
      <w:r>
        <w:rPr>
          <w:rFonts w:hint="eastAsia" w:ascii="黑体" w:hAnsi="宋体" w:eastAsia="黑体" w:cs="黑体"/>
          <w:sz w:val="36"/>
          <w:szCs w:val="36"/>
          <w:lang w:val="en-US" w:eastAsia="zh-CN"/>
        </w:rPr>
        <w:t>二</w:t>
      </w:r>
      <w:r>
        <w:rPr>
          <w:rFonts w:hint="eastAsia" w:ascii="黑体" w:hAnsi="宋体" w:eastAsia="黑体" w:cs="黑体"/>
          <w:sz w:val="36"/>
          <w:szCs w:val="36"/>
          <w:lang w:val="zh-CN"/>
        </w:rPr>
        <w:t>章</w:t>
      </w:r>
      <w:r>
        <w:rPr>
          <w:rFonts w:hint="eastAsia" w:ascii="黑体" w:hAnsi="宋体" w:eastAsia="黑体" w:cs="黑体"/>
          <w:sz w:val="36"/>
          <w:szCs w:val="36"/>
        </w:rPr>
        <w:t xml:space="preserve"> </w:t>
      </w:r>
      <w:r>
        <w:rPr>
          <w:rFonts w:hint="eastAsia" w:ascii="黑体" w:hAnsi="宋体" w:eastAsia="黑体" w:cs="黑体"/>
          <w:sz w:val="36"/>
          <w:szCs w:val="36"/>
          <w:lang w:val="en-US" w:eastAsia="zh-CN"/>
        </w:rPr>
        <w:t>技术及服务需求</w:t>
      </w:r>
    </w:p>
    <w:p>
      <w:pPr>
        <w:pStyle w:val="3"/>
        <w:spacing w:line="240" w:lineRule="auto"/>
        <w:rPr>
          <w:rFonts w:hint="default"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sz w:val="24"/>
          <w:szCs w:val="24"/>
          <w:lang w:val="en-US" w:eastAsia="zh-CN"/>
        </w:rPr>
        <w:t>技术需求</w:t>
      </w:r>
    </w:p>
    <w:p>
      <w:pPr>
        <w:adjustRightInd w:val="0"/>
        <w:snapToGrid w:val="0"/>
        <w:spacing w:line="360" w:lineRule="auto"/>
        <w:ind w:firstLine="480" w:firstLineChars="200"/>
        <w:rPr>
          <w:rFonts w:ascii="宋体" w:hAnsi="宋体" w:cs="宋体"/>
          <w:kern w:val="0"/>
          <w:sz w:val="24"/>
        </w:rPr>
      </w:pPr>
      <w:bookmarkStart w:id="0" w:name="_Toc462564063"/>
      <w:bookmarkStart w:id="1" w:name="_Toc261277655"/>
      <w:r>
        <w:rPr>
          <w:rFonts w:hint="eastAsia" w:ascii="宋体" w:hAnsi="宋体" w:cs="宋体"/>
          <w:kern w:val="0"/>
          <w:sz w:val="24"/>
        </w:rPr>
        <w:t>本项目计划采购三台多画面服务器，一台用于IP直播业务监测，一台用于DTMB信号监测，一台用于大网备路射频DVB-C信号监测，配属一台管理客户端。</w:t>
      </w:r>
    </w:p>
    <w:bookmarkEnd w:id="0"/>
    <w:bookmarkEnd w:id="1"/>
    <w:p>
      <w:pPr>
        <w:pStyle w:val="3"/>
        <w:spacing w:line="240" w:lineRule="auto"/>
        <w:rPr>
          <w:rFonts w:ascii="宋体" w:hAnsi="宋体" w:eastAsia="宋体"/>
          <w:sz w:val="24"/>
          <w:szCs w:val="24"/>
        </w:rPr>
      </w:pPr>
      <w:bookmarkStart w:id="2" w:name="_Toc261277656"/>
      <w:r>
        <w:rPr>
          <w:rFonts w:hint="eastAsia" w:ascii="宋体" w:hAnsi="宋体" w:eastAsia="宋体"/>
          <w:sz w:val="24"/>
          <w:szCs w:val="24"/>
          <w:lang w:val="en-US" w:eastAsia="zh-CN"/>
        </w:rPr>
        <w:t>（一）</w:t>
      </w:r>
      <w:r>
        <w:rPr>
          <w:rFonts w:ascii="宋体" w:hAnsi="宋体" w:eastAsia="宋体"/>
          <w:sz w:val="24"/>
          <w:szCs w:val="24"/>
        </w:rPr>
        <w:t>技术</w:t>
      </w:r>
      <w:bookmarkEnd w:id="2"/>
      <w:r>
        <w:rPr>
          <w:rFonts w:hint="eastAsia" w:ascii="宋体" w:hAnsi="宋体" w:eastAsia="宋体"/>
          <w:sz w:val="24"/>
          <w:szCs w:val="24"/>
        </w:rPr>
        <w:t>要求</w:t>
      </w:r>
    </w:p>
    <w:p>
      <w:pPr>
        <w:spacing w:before="120" w:after="120" w:line="360" w:lineRule="auto"/>
        <w:ind w:firstLine="420" w:firstLineChars="200"/>
        <w:rPr>
          <w:rFonts w:ascii="宋体" w:hAnsi="宋体" w:cs="宋体"/>
          <w:sz w:val="24"/>
        </w:rPr>
      </w:pPr>
      <w:r>
        <w:rPr>
          <w:rFonts w:hint="eastAsia" w:ascii="宋体" w:hAnsi="宋体" w:cs="Arial"/>
          <w:szCs w:val="21"/>
        </w:rPr>
        <w:t xml:space="preserve"> 1、</w:t>
      </w:r>
      <w:r>
        <w:rPr>
          <w:rFonts w:hint="eastAsia" w:ascii="宋体" w:hAnsi="宋体" w:cs="宋体"/>
          <w:sz w:val="24"/>
        </w:rPr>
        <w:t>多画面服务器要求：</w:t>
      </w:r>
    </w:p>
    <w:p>
      <w:pPr>
        <w:spacing w:before="120" w:after="120" w:line="360" w:lineRule="auto"/>
        <w:ind w:firstLine="480" w:firstLineChars="200"/>
        <w:rPr>
          <w:rFonts w:ascii="宋体" w:hAnsi="宋体" w:cs="宋体"/>
          <w:sz w:val="24"/>
        </w:rPr>
      </w:pPr>
      <w:r>
        <w:rPr>
          <w:rFonts w:hint="eastAsia" w:ascii="宋体" w:hAnsi="宋体" w:cs="宋体"/>
          <w:sz w:val="24"/>
        </w:rPr>
        <w:t>（1）CPU不低于志强8核，内存不小于16G，硬盘不少于4T。</w:t>
      </w:r>
    </w:p>
    <w:p>
      <w:pPr>
        <w:spacing w:before="120" w:after="120" w:line="360" w:lineRule="auto"/>
        <w:ind w:firstLine="480" w:firstLineChars="200"/>
        <w:rPr>
          <w:rFonts w:ascii="宋体" w:hAnsi="宋体" w:cs="宋体"/>
          <w:sz w:val="24"/>
        </w:rPr>
      </w:pPr>
      <w:r>
        <w:rPr>
          <w:rFonts w:hint="eastAsia" w:ascii="宋体" w:hAnsi="宋体" w:cs="宋体"/>
          <w:sz w:val="24"/>
        </w:rPr>
        <w:t>（2）多格式高标清节目解码：支持MPEG-2、MPEG-4、H.264、H.265、AVS2、AVS、AVS+的高标清视频解码；支持MP2、MP3、AC3、AAC、DRA的音频解码。支持5.1声道伴音的解码、监听、彩色音量柱显示。对于立体声节目，支持左右声道分别监听。</w:t>
      </w:r>
    </w:p>
    <w:p>
      <w:pPr>
        <w:spacing w:before="120" w:after="120" w:line="360" w:lineRule="auto"/>
        <w:ind w:firstLine="480" w:firstLineChars="200"/>
        <w:rPr>
          <w:rFonts w:ascii="宋体" w:hAnsi="宋体" w:cs="宋体"/>
          <w:sz w:val="24"/>
        </w:rPr>
      </w:pPr>
      <w:r>
        <w:rPr>
          <w:rFonts w:hint="eastAsia" w:ascii="宋体" w:hAnsi="宋体" w:cs="宋体"/>
          <w:sz w:val="24"/>
        </w:rPr>
        <w:t>（3）准确的视音频内容监测：支持黑场、静帧、视频丢失、视频解码异常、彩场、彩条、台标丢失等视频故障监测，音频丢失、音量过高、音量过低等音频故障监测。对于视频故障，可以精确到帧监测，并可指定监测区域，能对马赛克进行监测；对于音频故障，能准确识别正常伴音丢失后的杂音，区分单声道、双声道与立体声监测。</w:t>
      </w:r>
    </w:p>
    <w:p>
      <w:pPr>
        <w:spacing w:before="120" w:after="120" w:line="360" w:lineRule="auto"/>
        <w:ind w:firstLine="480" w:firstLineChars="200"/>
        <w:rPr>
          <w:rFonts w:ascii="宋体" w:hAnsi="宋体" w:cs="宋体"/>
          <w:sz w:val="24"/>
        </w:rPr>
      </w:pPr>
      <w:r>
        <w:rPr>
          <w:rFonts w:hint="eastAsia" w:ascii="宋体" w:hAnsi="宋体" w:cs="宋体"/>
          <w:sz w:val="24"/>
        </w:rPr>
        <w:t>（4）单台多画面可以监测不少于48套高清或者96套标清。</w:t>
      </w:r>
    </w:p>
    <w:p>
      <w:pPr>
        <w:spacing w:before="120" w:after="120" w:line="360" w:lineRule="auto"/>
        <w:ind w:firstLine="480" w:firstLineChars="200"/>
        <w:rPr>
          <w:rFonts w:ascii="宋体" w:hAnsi="宋体" w:cs="宋体"/>
          <w:sz w:val="24"/>
        </w:rPr>
      </w:pPr>
      <w:r>
        <w:rPr>
          <w:rFonts w:hint="eastAsia" w:ascii="宋体" w:hAnsi="宋体" w:cs="宋体"/>
          <w:sz w:val="24"/>
        </w:rPr>
        <w:t>（5）支持4K节目解析监测，具备异态录像存储功能。</w:t>
      </w:r>
    </w:p>
    <w:p>
      <w:pPr>
        <w:spacing w:before="120" w:after="120" w:line="360" w:lineRule="auto"/>
        <w:ind w:firstLine="480" w:firstLineChars="200"/>
        <w:rPr>
          <w:rFonts w:ascii="宋体" w:hAnsi="宋体" w:cs="宋体"/>
          <w:sz w:val="24"/>
        </w:rPr>
      </w:pPr>
      <w:r>
        <w:rPr>
          <w:rFonts w:hint="eastAsia" w:ascii="宋体" w:hAnsi="宋体" w:cs="宋体"/>
          <w:sz w:val="24"/>
        </w:rPr>
        <w:t>2、DTMB信号监测要求：</w:t>
      </w:r>
    </w:p>
    <w:p>
      <w:pPr>
        <w:spacing w:before="120" w:after="120" w:line="360" w:lineRule="auto"/>
        <w:ind w:firstLine="480" w:firstLineChars="200"/>
        <w:rPr>
          <w:rFonts w:ascii="宋体" w:hAnsi="宋体" w:cs="宋体"/>
          <w:sz w:val="24"/>
        </w:rPr>
      </w:pPr>
      <w:r>
        <w:rPr>
          <w:rFonts w:hint="eastAsia" w:ascii="宋体" w:hAnsi="宋体" w:cs="宋体"/>
          <w:sz w:val="24"/>
        </w:rPr>
        <w:t xml:space="preserve">   满足14个频点的DTMB信号解调需要。</w:t>
      </w:r>
    </w:p>
    <w:p>
      <w:pPr>
        <w:spacing w:before="120" w:after="120" w:line="360" w:lineRule="auto"/>
        <w:ind w:firstLine="480" w:firstLineChars="200"/>
        <w:rPr>
          <w:rFonts w:ascii="宋体" w:hAnsi="宋体" w:cs="宋体"/>
          <w:sz w:val="24"/>
        </w:rPr>
      </w:pPr>
      <w:r>
        <w:rPr>
          <w:rFonts w:hint="eastAsia" w:ascii="宋体" w:hAnsi="宋体" w:cs="宋体"/>
          <w:sz w:val="24"/>
        </w:rPr>
        <w:t>3、大网备路射频</w:t>
      </w:r>
      <w:r>
        <w:rPr>
          <w:rFonts w:hint="eastAsia" w:ascii="宋体" w:hAnsi="宋体" w:cs="宋体"/>
          <w:kern w:val="0"/>
          <w:sz w:val="24"/>
        </w:rPr>
        <w:t>DVB-C</w:t>
      </w:r>
      <w:r>
        <w:rPr>
          <w:rFonts w:hint="eastAsia" w:ascii="宋体" w:hAnsi="宋体" w:cs="宋体"/>
          <w:sz w:val="24"/>
        </w:rPr>
        <w:t>信号监测：</w:t>
      </w:r>
    </w:p>
    <w:p>
      <w:pPr>
        <w:spacing w:before="120" w:after="120" w:line="360" w:lineRule="auto"/>
        <w:ind w:firstLine="480" w:firstLineChars="200"/>
        <w:rPr>
          <w:rFonts w:ascii="宋体" w:hAnsi="宋体" w:cs="宋体"/>
          <w:sz w:val="24"/>
        </w:rPr>
      </w:pPr>
      <w:r>
        <w:rPr>
          <w:rFonts w:hint="eastAsia" w:ascii="宋体" w:hAnsi="宋体" w:cs="宋体"/>
          <w:sz w:val="24"/>
        </w:rPr>
        <w:t xml:space="preserve">   满足不少于8个频点，每个频点不少于4套节目的解调解扰能力。</w:t>
      </w:r>
    </w:p>
    <w:p>
      <w:pPr>
        <w:numPr>
          <w:ilvl w:val="0"/>
          <w:numId w:val="2"/>
        </w:numPr>
        <w:spacing w:before="120" w:after="120" w:line="360" w:lineRule="auto"/>
        <w:ind w:firstLine="480" w:firstLineChars="200"/>
        <w:rPr>
          <w:rFonts w:hint="eastAsia" w:ascii="宋体" w:hAnsi="宋体" w:cs="宋体"/>
          <w:sz w:val="24"/>
        </w:rPr>
      </w:pPr>
      <w:r>
        <w:rPr>
          <w:rFonts w:hint="eastAsia" w:ascii="宋体" w:hAnsi="宋体" w:cs="宋体"/>
          <w:sz w:val="24"/>
        </w:rPr>
        <w:t>提供DVB-C信号指标分析能力。</w:t>
      </w:r>
    </w:p>
    <w:p>
      <w:pPr>
        <w:numPr>
          <w:ilvl w:val="0"/>
          <w:numId w:val="2"/>
        </w:numPr>
        <w:spacing w:before="120" w:after="120" w:line="360" w:lineRule="auto"/>
        <w:ind w:firstLine="480" w:firstLineChars="200"/>
        <w:rPr>
          <w:rFonts w:ascii="宋体" w:hAnsi="宋体" w:cs="宋体"/>
          <w:sz w:val="24"/>
        </w:rPr>
      </w:pPr>
      <w:r>
        <w:rPr>
          <w:rFonts w:hint="eastAsia" w:ascii="宋体" w:hAnsi="宋体" w:cs="宋体"/>
          <w:sz w:val="24"/>
        </w:rPr>
        <w:t>管理客户端内存16G以上，硬盘存储512G以上，CPUI-5以上。</w:t>
      </w:r>
    </w:p>
    <w:p>
      <w:pPr>
        <w:spacing w:before="120" w:after="120"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、能够充分与泰州公司现有的监测系统对接（报警平台至少对接一个）</w:t>
      </w:r>
      <w:r>
        <w:rPr>
          <w:rFonts w:hint="eastAsia" w:ascii="宋体" w:hAnsi="宋体" w:cs="宋体"/>
          <w:color w:val="FF0000"/>
          <w:sz w:val="24"/>
        </w:rPr>
        <w:t>（对接双方均需给出对接承若并书面盖章，对接产生的任何费用与</w:t>
      </w:r>
      <w:r>
        <w:rPr>
          <w:rFonts w:hint="eastAsia" w:ascii="宋体" w:hAnsi="宋体" w:cs="宋体"/>
          <w:color w:val="FF0000"/>
          <w:sz w:val="24"/>
          <w:lang w:eastAsia="zh-CN"/>
        </w:rPr>
        <w:t>招标</w:t>
      </w:r>
      <w:r>
        <w:rPr>
          <w:rFonts w:hint="eastAsia" w:ascii="宋体" w:hAnsi="宋体" w:cs="宋体"/>
          <w:color w:val="FF0000"/>
          <w:sz w:val="24"/>
        </w:rPr>
        <w:t>方无关，不得计入合同报价），根据泰州公司设备使用现状制定个性化的设备采购清单。</w:t>
      </w:r>
    </w:p>
    <w:p>
      <w:pPr>
        <w:pStyle w:val="3"/>
        <w:spacing w:line="240" w:lineRule="auto"/>
        <w:rPr>
          <w:rFonts w:ascii="宋体" w:hAnsi="宋体" w:eastAsia="宋体"/>
          <w:sz w:val="24"/>
          <w:szCs w:val="24"/>
        </w:rPr>
      </w:pPr>
      <w:r>
        <w:rPr>
          <w:rFonts w:hint="eastAsia" w:ascii="宋体" w:hAnsi="宋体" w:eastAsia="宋体"/>
          <w:sz w:val="24"/>
          <w:szCs w:val="24"/>
        </w:rPr>
        <w:t>（二）施工要求</w:t>
      </w:r>
    </w:p>
    <w:p>
      <w:pPr>
        <w:spacing w:before="120" w:after="120"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进场施工人员需提供48小时内核酸证明，施工期间不得离开泰州。</w:t>
      </w:r>
    </w:p>
    <w:p>
      <w:pPr>
        <w:spacing w:before="120" w:after="120"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施工人员施工期间应严格遵守泰州分公司机房管理条例。</w:t>
      </w:r>
    </w:p>
    <w:p>
      <w:pPr>
        <w:spacing w:before="120" w:after="120" w:line="360" w:lineRule="auto"/>
        <w:ind w:firstLine="480" w:firstLineChars="200"/>
        <w:rPr>
          <w:rFonts w:hint="eastAsia" w:ascii="宋体" w:hAnsi="宋体" w:cs="宋体"/>
          <w:sz w:val="24"/>
        </w:rPr>
      </w:pPr>
      <w:r>
        <w:rPr>
          <w:rFonts w:hint="eastAsia" w:ascii="宋体" w:hAnsi="宋体" w:cs="宋体"/>
          <w:sz w:val="24"/>
        </w:rPr>
        <w:t>3、施工人员施工期间任何对现有监测系统的参数修改，硬件插拔均需向甲方报批。</w:t>
      </w:r>
    </w:p>
    <w:p>
      <w:pPr>
        <w:pStyle w:val="3"/>
        <w:spacing w:line="240" w:lineRule="auto"/>
        <w:rPr>
          <w:rFonts w:hint="default" w:ascii="宋体" w:hAnsi="宋体" w:eastAsia="宋体"/>
          <w:sz w:val="24"/>
          <w:szCs w:val="24"/>
          <w:lang w:val="en-US" w:eastAsia="zh-CN"/>
        </w:rPr>
      </w:pPr>
      <w:r>
        <w:rPr>
          <w:rFonts w:hint="eastAsia" w:ascii="宋体" w:hAnsi="宋体" w:eastAsia="宋体"/>
          <w:sz w:val="24"/>
          <w:szCs w:val="24"/>
          <w:lang w:val="en-US" w:eastAsia="zh-CN"/>
        </w:rPr>
        <w:t>二、售后服务</w:t>
      </w:r>
    </w:p>
    <w:p>
      <w:pPr>
        <w:spacing w:before="120" w:after="120" w:line="360" w:lineRule="auto"/>
        <w:ind w:firstLine="480" w:firstLineChars="200"/>
        <w:rPr>
          <w:rFonts w:hint="eastAsia" w:ascii="宋体" w:hAnsi="宋体" w:cs="宋体"/>
          <w:color w:val="FF0000"/>
          <w:sz w:val="24"/>
        </w:rPr>
      </w:pPr>
      <w:r>
        <w:rPr>
          <w:rFonts w:hint="eastAsia" w:ascii="宋体" w:hAnsi="宋体" w:cs="宋体"/>
          <w:color w:val="FF0000"/>
          <w:sz w:val="24"/>
        </w:rPr>
        <w:t>设备</w:t>
      </w:r>
      <w:r>
        <w:rPr>
          <w:rFonts w:hint="eastAsia" w:ascii="宋体" w:hAnsi="宋体" w:cs="宋体"/>
          <w:color w:val="FF0000"/>
          <w:sz w:val="24"/>
          <w:lang w:val="en-US" w:eastAsia="zh-CN"/>
        </w:rPr>
        <w:t>免费</w:t>
      </w:r>
      <w:r>
        <w:rPr>
          <w:rFonts w:hint="eastAsia" w:ascii="宋体" w:hAnsi="宋体" w:cs="宋体"/>
          <w:color w:val="FF0000"/>
          <w:sz w:val="24"/>
        </w:rPr>
        <w:t>质保</w:t>
      </w:r>
      <w:r>
        <w:rPr>
          <w:rFonts w:hint="eastAsia" w:ascii="宋体" w:hAnsi="宋体" w:cs="宋体"/>
          <w:color w:val="FF0000"/>
          <w:sz w:val="24"/>
          <w:lang w:val="en-US" w:eastAsia="zh-CN"/>
        </w:rPr>
        <w:t>期</w:t>
      </w:r>
      <w:r>
        <w:rPr>
          <w:rFonts w:hint="default" w:ascii="Arial" w:hAnsi="Arial" w:cs="Arial"/>
          <w:color w:val="FF0000"/>
          <w:sz w:val="24"/>
          <w:lang w:val="en-US" w:eastAsia="zh-CN"/>
        </w:rPr>
        <w:t>≥</w:t>
      </w:r>
      <w:r>
        <w:rPr>
          <w:rFonts w:hint="eastAsia" w:ascii="Arial" w:hAnsi="Arial" w:cs="Arial"/>
          <w:color w:val="FF0000"/>
          <w:sz w:val="24"/>
          <w:lang w:val="en-US" w:eastAsia="zh-CN"/>
        </w:rPr>
        <w:t>贰</w:t>
      </w:r>
      <w:r>
        <w:rPr>
          <w:rFonts w:hint="eastAsia" w:ascii="宋体" w:hAnsi="宋体" w:cs="宋体"/>
          <w:color w:val="FF0000"/>
          <w:sz w:val="24"/>
        </w:rPr>
        <w:t>年。</w:t>
      </w:r>
    </w:p>
    <w:p>
      <w:pPr>
        <w:rPr>
          <w:rFonts w:hint="eastAsia" w:ascii="宋体" w:hAnsi="宋体" w:cs="宋体"/>
          <w:sz w:val="24"/>
        </w:rPr>
      </w:pPr>
      <w:r>
        <w:rPr>
          <w:rFonts w:hint="eastAsia" w:ascii="宋体" w:hAnsi="宋体" w:cs="宋体"/>
          <w:sz w:val="24"/>
        </w:rPr>
        <w:br w:type="page"/>
      </w:r>
    </w:p>
    <w:p>
      <w:pPr>
        <w:spacing w:before="120" w:after="120" w:line="360" w:lineRule="auto"/>
        <w:ind w:left="0" w:leftChars="0" w:firstLine="0" w:firstLineChars="0"/>
        <w:jc w:val="center"/>
        <w:rPr>
          <w:rFonts w:hint="eastAsia" w:ascii="宋体" w:hAnsi="宋体" w:cs="宋体"/>
          <w:sz w:val="24"/>
        </w:rPr>
      </w:pPr>
      <w:r>
        <w:rPr>
          <w:rFonts w:hint="eastAsia" w:ascii="黑体" w:hAnsi="宋体" w:eastAsia="黑体" w:cs="黑体"/>
          <w:sz w:val="36"/>
          <w:szCs w:val="36"/>
          <w:lang w:val="zh-CN"/>
        </w:rPr>
        <w:t>第</w:t>
      </w:r>
      <w:r>
        <w:rPr>
          <w:rFonts w:hint="eastAsia" w:ascii="黑体" w:hAnsi="宋体" w:eastAsia="黑体" w:cs="黑体"/>
          <w:sz w:val="36"/>
          <w:szCs w:val="36"/>
          <w:lang w:val="en-US" w:eastAsia="zh-CN"/>
        </w:rPr>
        <w:t>三</w:t>
      </w:r>
      <w:r>
        <w:rPr>
          <w:rFonts w:hint="eastAsia" w:ascii="黑体" w:hAnsi="宋体" w:eastAsia="黑体" w:cs="黑体"/>
          <w:sz w:val="36"/>
          <w:szCs w:val="36"/>
          <w:lang w:val="zh-CN"/>
        </w:rPr>
        <w:t>章</w:t>
      </w:r>
      <w:r>
        <w:rPr>
          <w:rFonts w:hint="eastAsia" w:ascii="黑体" w:hAnsi="宋体" w:eastAsia="黑体" w:cs="黑体"/>
          <w:sz w:val="36"/>
          <w:szCs w:val="36"/>
        </w:rPr>
        <w:t xml:space="preserve"> </w:t>
      </w:r>
      <w:r>
        <w:rPr>
          <w:rFonts w:hint="eastAsia" w:ascii="黑体" w:hAnsi="宋体" w:eastAsia="黑体" w:cs="黑体"/>
          <w:sz w:val="36"/>
          <w:szCs w:val="36"/>
          <w:lang w:val="en-US" w:eastAsia="zh-CN"/>
        </w:rPr>
        <w:t>商务需求</w:t>
      </w:r>
    </w:p>
    <w:p>
      <w:pPr>
        <w:pStyle w:val="3"/>
        <w:spacing w:line="240" w:lineRule="auto"/>
        <w:ind w:firstLine="480" w:firstLineChars="20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设备交货期</w:t>
      </w:r>
    </w:p>
    <w:p>
      <w:pPr>
        <w:spacing w:line="360" w:lineRule="auto"/>
        <w:ind w:firstLine="480" w:firstLineChars="200"/>
        <w:rPr>
          <w:rFonts w:ascii="宋体" w:hAnsi="宋体" w:cs="宋体"/>
          <w:sz w:val="24"/>
        </w:rPr>
      </w:pPr>
      <w:r>
        <w:rPr>
          <w:rFonts w:hint="eastAsia" w:ascii="宋体" w:hAnsi="宋体" w:cs="宋体"/>
          <w:sz w:val="24"/>
        </w:rPr>
        <w:t>交货期：合同签订之日起不超过15天。</w:t>
      </w:r>
    </w:p>
    <w:p>
      <w:pPr>
        <w:spacing w:line="360" w:lineRule="auto"/>
        <w:ind w:firstLine="480" w:firstLineChars="200"/>
        <w:rPr>
          <w:rFonts w:hint="eastAsia" w:ascii="宋体" w:hAnsi="宋体" w:cs="宋体"/>
          <w:sz w:val="24"/>
        </w:rPr>
      </w:pPr>
      <w:r>
        <w:rPr>
          <w:rFonts w:hint="eastAsia" w:ascii="宋体" w:hAnsi="宋体" w:cs="宋体"/>
          <w:sz w:val="24"/>
        </w:rPr>
        <w:t>交货地点：泰州市梅兰东路99号。</w:t>
      </w:r>
    </w:p>
    <w:p>
      <w:pPr>
        <w:spacing w:line="360" w:lineRule="auto"/>
        <w:ind w:firstLine="480" w:firstLineChars="200"/>
        <w:rPr>
          <w:rFonts w:hint="eastAsia" w:ascii="宋体" w:hAnsi="宋体" w:cs="宋体"/>
          <w:sz w:val="24"/>
        </w:rPr>
      </w:pPr>
      <w:r>
        <w:rPr>
          <w:rFonts w:hint="eastAsia" w:ascii="宋体" w:hAnsi="宋体" w:cs="宋体"/>
          <w:sz w:val="24"/>
        </w:rPr>
        <w:t>卖方交货时，由双方依据设备清单清点设备数量，与该设备清单不符时或双方有异议时，应书面确认，如出现损坏或缺少的，卖方应于20日内更换或补齐。</w:t>
      </w:r>
    </w:p>
    <w:p>
      <w:pPr>
        <w:pStyle w:val="3"/>
        <w:spacing w:line="240" w:lineRule="auto"/>
        <w:ind w:firstLine="480" w:firstLineChars="20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2.安装调试</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双方清点完设备数量并与设备清单一致交货合格后，由卖方负责</w:t>
      </w:r>
      <w:r>
        <w:rPr>
          <w:rFonts w:hint="eastAsia" w:ascii="宋体" w:hAnsi="宋体" w:cs="宋体"/>
          <w:sz w:val="24"/>
          <w:lang w:val="en-US" w:eastAsia="zh-CN"/>
        </w:rPr>
        <w:t>于1个月内完成</w:t>
      </w:r>
      <w:r>
        <w:rPr>
          <w:rFonts w:hint="eastAsia" w:ascii="宋体" w:hAnsi="宋体" w:cs="宋体"/>
          <w:sz w:val="24"/>
        </w:rPr>
        <w:t>合同货物的安装及调试，安装调试完成</w:t>
      </w:r>
      <w:r>
        <w:rPr>
          <w:rFonts w:hint="eastAsia" w:ascii="宋体" w:hAnsi="宋体" w:cs="宋体"/>
          <w:sz w:val="24"/>
          <w:lang w:val="en-US" w:eastAsia="zh-CN"/>
        </w:rPr>
        <w:t>试运行3个月后组织验收。</w:t>
      </w:r>
    </w:p>
    <w:p>
      <w:pPr>
        <w:pStyle w:val="3"/>
        <w:spacing w:line="240" w:lineRule="auto"/>
        <w:ind w:firstLine="480" w:firstLineChars="20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3.货款支付</w:t>
      </w:r>
    </w:p>
    <w:p>
      <w:pPr>
        <w:spacing w:before="120" w:after="120" w:line="360" w:lineRule="auto"/>
        <w:ind w:firstLine="480" w:firstLineChars="200"/>
        <w:rPr>
          <w:rFonts w:ascii="宋体" w:hAnsi="宋体" w:cs="宋体"/>
          <w:sz w:val="24"/>
        </w:rPr>
      </w:pPr>
      <w:r>
        <w:rPr>
          <w:rFonts w:hint="eastAsia" w:ascii="宋体" w:hAnsi="宋体" w:cs="宋体"/>
          <w:sz w:val="24"/>
          <w:lang w:val="en-US" w:eastAsia="zh-CN"/>
        </w:rPr>
        <w:t>验收合格后7个</w:t>
      </w:r>
      <w:r>
        <w:rPr>
          <w:rFonts w:hint="eastAsia" w:ascii="宋体" w:hAnsi="宋体" w:cs="宋体"/>
          <w:sz w:val="24"/>
        </w:rPr>
        <w:t>工作日内，买方支付90%合同款给卖方，</w:t>
      </w:r>
      <w:r>
        <w:rPr>
          <w:rFonts w:hint="eastAsia" w:ascii="宋体" w:hAnsi="宋体" w:cs="宋体"/>
          <w:sz w:val="24"/>
          <w:lang w:val="en-US" w:eastAsia="zh-CN"/>
        </w:rPr>
        <w:t>验收合格一年后买方向卖方支付合同款的7%，合同款3%作为质保和廉政保证金，在质保到期后一次性付清。</w:t>
      </w:r>
      <w:r>
        <w:rPr>
          <w:rFonts w:hint="eastAsia" w:ascii="宋体" w:hAnsi="宋体" w:cs="宋体"/>
          <w:sz w:val="24"/>
        </w:rPr>
        <w:t>付款方以银行承兑汇票的方式支付</w:t>
      </w:r>
      <w:r>
        <w:rPr>
          <w:rFonts w:hint="eastAsia" w:ascii="宋体" w:hAnsi="宋体" w:cs="宋体"/>
          <w:sz w:val="24"/>
          <w:lang w:eastAsia="zh-CN"/>
        </w:rPr>
        <w:t>。</w:t>
      </w:r>
      <w:r>
        <w:rPr>
          <w:rFonts w:hint="eastAsia" w:ascii="宋体" w:hAnsi="宋体" w:cs="宋体"/>
          <w:sz w:val="24"/>
        </w:rPr>
        <w:t>如收款方的账号和开户行变更，须及时以</w:t>
      </w:r>
      <w:r>
        <w:rPr>
          <w:rFonts w:ascii="宋体" w:hAnsi="宋体" w:cs="宋体"/>
          <w:sz w:val="24"/>
        </w:rPr>
        <w:t>书面形式通知付款方，通知上必须同时盖有收款方的合同章和财务章。</w:t>
      </w:r>
      <w:r>
        <w:rPr>
          <w:rFonts w:hint="eastAsia" w:ascii="宋体" w:hAnsi="宋体" w:cs="宋体"/>
          <w:sz w:val="24"/>
        </w:rPr>
        <w:t>卖方提供给买方合同全款增值税专用发票（税率13%）.</w:t>
      </w:r>
    </w:p>
    <w:p>
      <w:pPr>
        <w:spacing w:line="360" w:lineRule="auto"/>
        <w:rPr>
          <w:rFonts w:ascii="宋体" w:hAnsi="宋体"/>
        </w:rPr>
      </w:pPr>
    </w:p>
    <w:p>
      <w:pPr>
        <w:rPr>
          <w:rFonts w:ascii="黑体" w:hAnsi="黑体" w:eastAsia="黑体" w:cs="黑体"/>
          <w:sz w:val="36"/>
          <w:szCs w:val="36"/>
        </w:rPr>
      </w:pPr>
      <w:r>
        <w:rPr>
          <w:rFonts w:hint="eastAsia" w:ascii="黑体" w:hAnsi="黑体" w:eastAsia="黑体" w:cs="黑体"/>
          <w:sz w:val="36"/>
          <w:szCs w:val="36"/>
        </w:rPr>
        <w:br w:type="page"/>
      </w:r>
    </w:p>
    <w:p>
      <w:pPr>
        <w:widowControl/>
        <w:numPr>
          <w:ilvl w:val="0"/>
          <w:numId w:val="0"/>
        </w:numPr>
        <w:spacing w:line="360" w:lineRule="auto"/>
        <w:jc w:val="center"/>
        <w:rPr>
          <w:rFonts w:ascii="黑体" w:hAnsi="黑体" w:eastAsia="黑体" w:cs="黑体"/>
          <w:sz w:val="36"/>
          <w:szCs w:val="36"/>
        </w:rPr>
      </w:pPr>
      <w:r>
        <w:rPr>
          <w:rFonts w:hint="eastAsia" w:ascii="黑体" w:hAnsi="黑体" w:eastAsia="黑体" w:cs="黑体"/>
          <w:sz w:val="36"/>
          <w:szCs w:val="36"/>
          <w:lang w:val="en-US" w:eastAsia="zh-CN"/>
        </w:rPr>
        <w:t xml:space="preserve">第四章 </w:t>
      </w:r>
      <w:r>
        <w:rPr>
          <w:rFonts w:hint="eastAsia" w:ascii="黑体" w:hAnsi="黑体" w:eastAsia="黑体" w:cs="黑体"/>
          <w:sz w:val="36"/>
          <w:szCs w:val="36"/>
        </w:rPr>
        <w:t>评审办法</w:t>
      </w:r>
    </w:p>
    <w:p>
      <w:pPr>
        <w:pStyle w:val="30"/>
        <w:adjustRightInd w:val="0"/>
        <w:snapToGrid w:val="0"/>
        <w:spacing w:line="360" w:lineRule="auto"/>
        <w:ind w:firstLine="420"/>
        <w:rPr>
          <w:b/>
          <w:bCs/>
        </w:rPr>
      </w:pPr>
      <w:r>
        <w:rPr>
          <w:rFonts w:hint="eastAsia"/>
        </w:rPr>
        <w:t>1、</w:t>
      </w:r>
      <w:r>
        <w:rPr>
          <w:rFonts w:hint="eastAsia"/>
          <w:b/>
          <w:bCs/>
        </w:rPr>
        <w:t>评审与成交标准：</w:t>
      </w:r>
    </w:p>
    <w:p>
      <w:pPr>
        <w:pStyle w:val="30"/>
        <w:adjustRightInd w:val="0"/>
        <w:snapToGrid w:val="0"/>
        <w:spacing w:line="360" w:lineRule="auto"/>
        <w:ind w:firstLine="420"/>
      </w:pPr>
      <w:r>
        <w:rPr>
          <w:rFonts w:hint="eastAsia"/>
        </w:rPr>
        <w:t xml:space="preserve">1.1 </w:t>
      </w:r>
      <w:r>
        <w:rPr>
          <w:rFonts w:hint="eastAsia"/>
          <w:b/>
          <w:bCs/>
        </w:rPr>
        <w:t>评审：</w:t>
      </w:r>
      <w:r>
        <w:rPr>
          <w:rFonts w:hint="eastAsia"/>
        </w:rPr>
        <w:t>泰州分公司</w:t>
      </w:r>
      <w:r>
        <w:t>专家</w:t>
      </w:r>
      <w:r>
        <w:rPr>
          <w:rFonts w:hint="eastAsia"/>
        </w:rPr>
        <w:t>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w:t>
      </w:r>
    </w:p>
    <w:p>
      <w:pPr>
        <w:pStyle w:val="30"/>
        <w:adjustRightInd w:val="0"/>
        <w:snapToGrid w:val="0"/>
        <w:spacing w:line="360" w:lineRule="auto"/>
        <w:ind w:firstLine="420"/>
        <w:rPr>
          <w:b/>
          <w:bCs/>
        </w:rPr>
      </w:pPr>
      <w:r>
        <w:rPr>
          <w:rFonts w:hint="eastAsia"/>
        </w:rPr>
        <w:t xml:space="preserve">1.2 </w:t>
      </w:r>
      <w:r>
        <w:rPr>
          <w:rFonts w:hint="eastAsia"/>
          <w:b/>
          <w:bCs/>
        </w:rPr>
        <w:t>成交标准：</w:t>
      </w:r>
    </w:p>
    <w:p>
      <w:pPr>
        <w:pStyle w:val="30"/>
        <w:adjustRightInd w:val="0"/>
        <w:snapToGrid w:val="0"/>
        <w:spacing w:line="360" w:lineRule="auto"/>
        <w:ind w:firstLine="407"/>
        <w:rPr>
          <w:rFonts w:hint="eastAsia"/>
        </w:rPr>
      </w:pPr>
      <w:r>
        <w:rPr>
          <w:rFonts w:hint="eastAsia"/>
        </w:rPr>
        <w:t>设定技术、服务、价格综合评分表，由评委打分，综合得分排名第一名的供应商为中标单位。</w:t>
      </w:r>
    </w:p>
    <w:p>
      <w:pPr>
        <w:pStyle w:val="30"/>
        <w:adjustRightInd w:val="0"/>
        <w:snapToGrid w:val="0"/>
        <w:spacing w:line="360" w:lineRule="auto"/>
        <w:ind w:firstLine="420"/>
        <w:rPr>
          <w:rFonts w:hint="default" w:eastAsia="宋体"/>
          <w:b/>
          <w:bCs/>
          <w:lang w:val="en-US" w:eastAsia="zh-CN"/>
        </w:rPr>
      </w:pPr>
      <w:r>
        <w:rPr>
          <w:rFonts w:hint="eastAsia"/>
        </w:rPr>
        <w:t>1.</w:t>
      </w:r>
      <w:r>
        <w:rPr>
          <w:rFonts w:hint="eastAsia"/>
          <w:lang w:val="en-US" w:eastAsia="zh-CN"/>
        </w:rPr>
        <w:t>3</w:t>
      </w:r>
      <w:r>
        <w:rPr>
          <w:rFonts w:hint="eastAsia"/>
        </w:rPr>
        <w:t xml:space="preserve"> </w:t>
      </w:r>
      <w:r>
        <w:rPr>
          <w:rFonts w:hint="eastAsia"/>
          <w:b/>
          <w:bCs/>
          <w:lang w:val="en-US" w:eastAsia="zh-CN"/>
        </w:rPr>
        <w:t>评分标准</w:t>
      </w:r>
    </w:p>
    <w:p>
      <w:pPr>
        <w:jc w:val="center"/>
        <w:rPr>
          <w:b/>
          <w:sz w:val="30"/>
          <w:szCs w:val="30"/>
        </w:rPr>
      </w:pPr>
      <w:r>
        <w:rPr>
          <w:rFonts w:hint="eastAsia"/>
          <w:b/>
          <w:sz w:val="30"/>
          <w:szCs w:val="30"/>
        </w:rPr>
        <w:t>评分表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5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18" w:type="dxa"/>
          </w:tcPr>
          <w:p>
            <w:pPr>
              <w:jc w:val="center"/>
              <w:rPr>
                <w:rFonts w:hint="eastAsia" w:ascii="宋体" w:hAnsi="宋体" w:eastAsia="宋体" w:cs="宋体"/>
                <w:b/>
                <w:sz w:val="21"/>
                <w:szCs w:val="21"/>
              </w:rPr>
            </w:pPr>
            <w:r>
              <w:rPr>
                <w:rFonts w:hint="eastAsia" w:ascii="宋体" w:hAnsi="宋体" w:eastAsia="宋体" w:cs="宋体"/>
                <w:b/>
                <w:sz w:val="21"/>
                <w:szCs w:val="21"/>
              </w:rPr>
              <w:t>评分项</w:t>
            </w:r>
          </w:p>
        </w:tc>
        <w:tc>
          <w:tcPr>
            <w:tcW w:w="5244" w:type="dxa"/>
          </w:tcPr>
          <w:p>
            <w:pPr>
              <w:jc w:val="center"/>
              <w:rPr>
                <w:rFonts w:hint="eastAsia" w:ascii="宋体" w:hAnsi="宋体" w:eastAsia="宋体" w:cs="宋体"/>
                <w:b/>
                <w:sz w:val="21"/>
                <w:szCs w:val="21"/>
              </w:rPr>
            </w:pPr>
            <w:r>
              <w:rPr>
                <w:rFonts w:hint="eastAsia" w:ascii="宋体" w:hAnsi="宋体" w:eastAsia="宋体" w:cs="宋体"/>
                <w:b/>
                <w:sz w:val="21"/>
                <w:szCs w:val="21"/>
              </w:rPr>
              <w:t>评分要求</w:t>
            </w:r>
          </w:p>
        </w:tc>
        <w:tc>
          <w:tcPr>
            <w:tcW w:w="1043" w:type="dxa"/>
          </w:tcPr>
          <w:p>
            <w:pPr>
              <w:jc w:val="center"/>
              <w:rPr>
                <w:rFonts w:hint="eastAsia" w:ascii="宋体" w:hAnsi="宋体" w:eastAsia="宋体" w:cs="宋体"/>
                <w:b/>
                <w:sz w:val="21"/>
                <w:szCs w:val="21"/>
              </w:rPr>
            </w:pPr>
            <w:r>
              <w:rPr>
                <w:rFonts w:hint="eastAsia" w:ascii="宋体" w:hAnsi="宋体" w:eastAsia="宋体" w:cs="宋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rPr>
                <w:rFonts w:hint="eastAsia" w:ascii="宋体" w:hAnsi="宋体" w:eastAsia="宋体" w:cs="宋体"/>
                <w:b/>
                <w:sz w:val="21"/>
                <w:szCs w:val="21"/>
              </w:rPr>
            </w:pPr>
            <w:r>
              <w:rPr>
                <w:rFonts w:hint="eastAsia" w:ascii="宋体" w:hAnsi="宋体" w:eastAsia="宋体" w:cs="宋体"/>
                <w:b/>
                <w:sz w:val="21"/>
                <w:szCs w:val="21"/>
              </w:rPr>
              <w:t>1</w:t>
            </w:r>
          </w:p>
        </w:tc>
        <w:tc>
          <w:tcPr>
            <w:tcW w:w="14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rPr>
              <w:t>价格</w:t>
            </w:r>
          </w:p>
          <w:p>
            <w:pPr>
              <w:jc w:val="center"/>
              <w:rPr>
                <w:rFonts w:hint="eastAsia" w:ascii="宋体" w:hAnsi="宋体" w:eastAsia="宋体" w:cs="宋体"/>
                <w:b/>
                <w:sz w:val="21"/>
                <w:szCs w:val="21"/>
              </w:rPr>
            </w:pPr>
            <w:r>
              <w:rPr>
                <w:rFonts w:hint="eastAsia" w:ascii="宋体" w:hAnsi="宋体" w:eastAsia="宋体" w:cs="宋体"/>
                <w:b/>
                <w:kern w:val="0"/>
                <w:sz w:val="21"/>
                <w:szCs w:val="21"/>
              </w:rPr>
              <w:t>（</w:t>
            </w:r>
            <w:r>
              <w:rPr>
                <w:rFonts w:hint="eastAsia" w:ascii="宋体" w:hAnsi="宋体" w:eastAsia="宋体" w:cs="宋体"/>
                <w:b/>
                <w:kern w:val="0"/>
                <w:sz w:val="21"/>
                <w:szCs w:val="21"/>
                <w:lang w:val="en-US" w:eastAsia="zh-CN"/>
              </w:rPr>
              <w:t>35</w:t>
            </w:r>
            <w:r>
              <w:rPr>
                <w:rFonts w:hint="eastAsia" w:ascii="宋体" w:hAnsi="宋体" w:eastAsia="宋体" w:cs="宋体"/>
                <w:b/>
                <w:kern w:val="0"/>
                <w:sz w:val="21"/>
                <w:szCs w:val="21"/>
              </w:rPr>
              <w:t>分）</w:t>
            </w:r>
          </w:p>
        </w:tc>
        <w:tc>
          <w:tcPr>
            <w:tcW w:w="5244" w:type="dxa"/>
            <w:vAlign w:val="center"/>
          </w:tcPr>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满足招标文件要求且投标价格最低的投标报价为评标基准价，其价格分为满分。其他投标人的价格分统一按照下列公式计算：</w:t>
            </w:r>
          </w:p>
          <w:p>
            <w:pPr>
              <w:rPr>
                <w:rFonts w:hint="eastAsia" w:ascii="宋体" w:hAnsi="宋体" w:eastAsia="宋体" w:cs="宋体"/>
                <w:b/>
                <w:sz w:val="21"/>
                <w:szCs w:val="21"/>
                <w:lang w:val="en-US" w:eastAsia="zh-CN"/>
              </w:rPr>
            </w:pPr>
            <w:r>
              <w:rPr>
                <w:rFonts w:hint="eastAsia" w:ascii="宋体" w:hAnsi="宋体" w:eastAsia="宋体" w:cs="宋体"/>
                <w:sz w:val="21"/>
                <w:szCs w:val="21"/>
              </w:rPr>
              <w:t>投标报价得分=(评标基准价／投标报价)×</w:t>
            </w:r>
            <w:r>
              <w:rPr>
                <w:rFonts w:hint="eastAsia" w:ascii="宋体" w:hAnsi="宋体" w:eastAsia="宋体" w:cs="宋体"/>
                <w:sz w:val="21"/>
                <w:szCs w:val="21"/>
                <w:lang w:val="en-US" w:eastAsia="zh-CN"/>
              </w:rPr>
              <w:t>35</w:t>
            </w:r>
          </w:p>
        </w:tc>
        <w:tc>
          <w:tcPr>
            <w:tcW w:w="1043" w:type="dxa"/>
          </w:tcPr>
          <w:p>
            <w:pPr>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17" w:type="dxa"/>
            <w:vMerge w:val="restart"/>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b/>
                <w:sz w:val="21"/>
                <w:szCs w:val="21"/>
                <w:lang w:val="en-US" w:eastAsia="zh-CN"/>
              </w:rPr>
              <w:t>2</w:t>
            </w:r>
          </w:p>
        </w:tc>
        <w:tc>
          <w:tcPr>
            <w:tcW w:w="1418" w:type="dxa"/>
            <w:vMerge w:val="restart"/>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kern w:val="0"/>
                <w:sz w:val="21"/>
                <w:szCs w:val="21"/>
              </w:rPr>
              <w:t>技术方案（2</w:t>
            </w:r>
            <w:r>
              <w:rPr>
                <w:rFonts w:hint="eastAsia" w:ascii="宋体" w:hAnsi="宋体" w:eastAsia="宋体" w:cs="宋体"/>
                <w:b/>
                <w:kern w:val="0"/>
                <w:sz w:val="21"/>
                <w:szCs w:val="21"/>
                <w:lang w:val="en-US" w:eastAsia="zh-CN"/>
              </w:rPr>
              <w:t>5</w:t>
            </w:r>
            <w:r>
              <w:rPr>
                <w:rFonts w:hint="eastAsia" w:ascii="宋体" w:hAnsi="宋体" w:eastAsia="宋体" w:cs="宋体"/>
                <w:b/>
                <w:kern w:val="0"/>
                <w:sz w:val="21"/>
                <w:szCs w:val="21"/>
              </w:rPr>
              <w:t>）</w:t>
            </w:r>
          </w:p>
        </w:tc>
        <w:tc>
          <w:tcPr>
            <w:tcW w:w="5244"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根据投标方提供的</w:t>
            </w:r>
            <w:r>
              <w:rPr>
                <w:rFonts w:hint="eastAsia" w:ascii="宋体" w:hAnsi="宋体" w:eastAsia="宋体" w:cs="宋体"/>
                <w:sz w:val="21"/>
                <w:szCs w:val="21"/>
              </w:rPr>
              <w:t>技术方案</w:t>
            </w:r>
            <w:r>
              <w:rPr>
                <w:rFonts w:hint="eastAsia" w:ascii="宋体" w:hAnsi="宋体" w:eastAsia="宋体" w:cs="宋体"/>
                <w:sz w:val="21"/>
                <w:szCs w:val="21"/>
                <w:lang w:val="en-US" w:eastAsia="zh-CN"/>
              </w:rPr>
              <w:t>进行评分</w:t>
            </w:r>
            <w:r>
              <w:rPr>
                <w:rFonts w:hint="eastAsia" w:ascii="宋体" w:hAnsi="宋体" w:eastAsia="宋体" w:cs="宋体"/>
                <w:sz w:val="21"/>
                <w:szCs w:val="21"/>
              </w:rPr>
              <w:t>。优</w:t>
            </w:r>
            <w:r>
              <w:rPr>
                <w:rFonts w:hint="eastAsia" w:ascii="宋体" w:hAnsi="宋体" w:eastAsia="宋体" w:cs="宋体"/>
                <w:sz w:val="21"/>
                <w:szCs w:val="21"/>
                <w:lang w:val="en-US" w:eastAsia="zh-CN"/>
              </w:rPr>
              <w:t>15</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分，良1</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分，一般</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分，差</w:t>
            </w:r>
            <w:r>
              <w:rPr>
                <w:rFonts w:hint="eastAsia" w:ascii="宋体" w:hAnsi="宋体" w:eastAsia="宋体" w:cs="宋体"/>
                <w:sz w:val="21"/>
                <w:szCs w:val="21"/>
                <w:lang w:val="en-US" w:eastAsia="zh-CN"/>
              </w:rPr>
              <w:t>4</w:t>
            </w:r>
            <w:r>
              <w:rPr>
                <w:rFonts w:hint="eastAsia" w:ascii="宋体" w:hAnsi="宋体" w:eastAsia="宋体" w:cs="宋体"/>
                <w:sz w:val="21"/>
                <w:szCs w:val="21"/>
              </w:rPr>
              <w:t>-0分</w:t>
            </w:r>
          </w:p>
        </w:tc>
        <w:tc>
          <w:tcPr>
            <w:tcW w:w="1043" w:type="dxa"/>
            <w:vMerge w:val="restart"/>
          </w:tcPr>
          <w:p>
            <w:pPr>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7" w:type="dxa"/>
            <w:vMerge w:val="continue"/>
            <w:vAlign w:val="center"/>
          </w:tcPr>
          <w:p>
            <w:pPr>
              <w:rPr>
                <w:rFonts w:hint="eastAsia" w:ascii="宋体" w:hAnsi="宋体" w:eastAsia="宋体" w:cs="宋体"/>
                <w:b/>
                <w:sz w:val="21"/>
                <w:szCs w:val="21"/>
                <w:lang w:val="en-US" w:eastAsia="zh-CN"/>
              </w:rPr>
            </w:pPr>
          </w:p>
        </w:tc>
        <w:tc>
          <w:tcPr>
            <w:tcW w:w="1418" w:type="dxa"/>
            <w:vMerge w:val="continue"/>
            <w:vAlign w:val="center"/>
          </w:tcPr>
          <w:p>
            <w:pPr>
              <w:jc w:val="center"/>
              <w:rPr>
                <w:rFonts w:hint="eastAsia" w:ascii="宋体" w:hAnsi="宋体" w:eastAsia="宋体" w:cs="宋体"/>
                <w:sz w:val="21"/>
                <w:szCs w:val="21"/>
              </w:rPr>
            </w:pPr>
          </w:p>
        </w:tc>
        <w:tc>
          <w:tcPr>
            <w:tcW w:w="5244" w:type="dxa"/>
            <w:vAlign w:val="center"/>
          </w:tcPr>
          <w:p>
            <w:pPr>
              <w:rPr>
                <w:rFonts w:hint="eastAsia" w:ascii="宋体" w:hAnsi="宋体" w:cs="宋体"/>
                <w:bCs/>
                <w:sz w:val="21"/>
                <w:szCs w:val="21"/>
                <w:lang w:val="en-US" w:eastAsia="zh-CN"/>
              </w:rPr>
            </w:pPr>
            <w:r>
              <w:rPr>
                <w:rFonts w:hint="eastAsia" w:ascii="宋体" w:hAnsi="宋体" w:eastAsia="宋体" w:cs="宋体"/>
                <w:bCs/>
                <w:sz w:val="21"/>
                <w:szCs w:val="21"/>
                <w:lang w:val="en-US" w:eastAsia="zh-CN"/>
              </w:rPr>
              <w:t>根据技术参数符合情况进行评分，</w:t>
            </w:r>
            <w:r>
              <w:rPr>
                <w:rFonts w:hint="eastAsia" w:ascii="宋体" w:hAnsi="宋体" w:cs="宋体"/>
                <w:bCs/>
                <w:sz w:val="21"/>
                <w:szCs w:val="21"/>
                <w:lang w:val="en-US" w:eastAsia="zh-CN"/>
              </w:rPr>
              <w:t>满分</w:t>
            </w:r>
            <w:r>
              <w:rPr>
                <w:rFonts w:hint="eastAsia" w:ascii="宋体" w:hAnsi="宋体" w:eastAsia="宋体" w:cs="宋体"/>
                <w:bCs/>
                <w:sz w:val="21"/>
                <w:szCs w:val="21"/>
                <w:lang w:val="en-US" w:eastAsia="zh-CN"/>
              </w:rPr>
              <w:t>10分，负偏离一项扣2分，</w:t>
            </w:r>
            <w:r>
              <w:rPr>
                <w:rFonts w:hint="eastAsia" w:ascii="宋体" w:hAnsi="宋体" w:cs="宋体"/>
                <w:bCs/>
                <w:sz w:val="21"/>
                <w:szCs w:val="21"/>
                <w:lang w:val="en-US" w:eastAsia="zh-CN"/>
              </w:rPr>
              <w:t>扣完为止。</w:t>
            </w:r>
          </w:p>
          <w:p>
            <w:pPr>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不能承诺与现有的监测系统对接的本项</w:t>
            </w:r>
            <w:r>
              <w:rPr>
                <w:rFonts w:hint="eastAsia" w:ascii="宋体" w:hAnsi="宋体" w:cs="宋体"/>
                <w:bCs/>
                <w:sz w:val="21"/>
                <w:szCs w:val="21"/>
                <w:lang w:val="en-US" w:eastAsia="zh-CN"/>
              </w:rPr>
              <w:t>0</w:t>
            </w:r>
            <w:r>
              <w:rPr>
                <w:rFonts w:hint="eastAsia" w:ascii="宋体" w:hAnsi="宋体" w:eastAsia="宋体" w:cs="宋体"/>
                <w:bCs/>
                <w:sz w:val="21"/>
                <w:szCs w:val="21"/>
                <w:lang w:val="en-US" w:eastAsia="zh-CN"/>
              </w:rPr>
              <w:t>分。</w:t>
            </w:r>
          </w:p>
        </w:tc>
        <w:tc>
          <w:tcPr>
            <w:tcW w:w="1043" w:type="dxa"/>
            <w:vMerge w:val="continue"/>
          </w:tcPr>
          <w:p>
            <w:pPr>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3</w:t>
            </w:r>
          </w:p>
        </w:tc>
        <w:tc>
          <w:tcPr>
            <w:tcW w:w="141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施工方案</w:t>
            </w:r>
          </w:p>
          <w:p>
            <w:pPr>
              <w:jc w:val="center"/>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0</w:t>
            </w:r>
            <w:r>
              <w:rPr>
                <w:rFonts w:hint="eastAsia" w:ascii="宋体" w:hAnsi="宋体" w:eastAsia="宋体" w:cs="宋体"/>
                <w:b/>
                <w:sz w:val="21"/>
                <w:szCs w:val="21"/>
              </w:rPr>
              <w:t>分）</w:t>
            </w:r>
          </w:p>
        </w:tc>
        <w:tc>
          <w:tcPr>
            <w:tcW w:w="5244" w:type="dxa"/>
            <w:vAlign w:val="center"/>
          </w:tcPr>
          <w:p>
            <w:pPr>
              <w:rPr>
                <w:rFonts w:hint="eastAsia" w:ascii="宋体" w:hAnsi="宋体" w:eastAsia="宋体" w:cs="宋体"/>
                <w:sz w:val="21"/>
                <w:szCs w:val="21"/>
              </w:rPr>
            </w:pPr>
            <w:r>
              <w:rPr>
                <w:rFonts w:hint="eastAsia" w:ascii="宋体" w:hAnsi="宋体" w:eastAsia="宋体" w:cs="宋体"/>
                <w:sz w:val="21"/>
                <w:szCs w:val="21"/>
              </w:rPr>
              <w:t>根据投标人提供的“项目实施方案”的完整性及合理性、是否考虑交货、安装、调试、测试、应急措施等对采购人的有利性、有项目管理组织机构、人员配备的合理性、保证项目顺利实施优10-8分，良7-5分，一般4-2分，差1-0分</w:t>
            </w:r>
          </w:p>
        </w:tc>
        <w:tc>
          <w:tcPr>
            <w:tcW w:w="1043" w:type="dxa"/>
          </w:tcPr>
          <w:p>
            <w:pPr>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rPr>
                <w:rFonts w:hint="eastAsia" w:ascii="宋体" w:hAnsi="宋体" w:eastAsia="宋体" w:cs="宋体"/>
                <w:b/>
                <w:sz w:val="21"/>
                <w:szCs w:val="21"/>
              </w:rPr>
            </w:pPr>
            <w:r>
              <w:rPr>
                <w:rFonts w:hint="eastAsia" w:ascii="宋体" w:hAnsi="宋体" w:eastAsia="宋体" w:cs="宋体"/>
                <w:b/>
                <w:sz w:val="21"/>
                <w:szCs w:val="21"/>
              </w:rPr>
              <w:t>3</w:t>
            </w:r>
          </w:p>
        </w:tc>
        <w:tc>
          <w:tcPr>
            <w:tcW w:w="141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lang w:eastAsia="zh-CN"/>
              </w:rPr>
              <w:t>业绩</w:t>
            </w:r>
            <w:r>
              <w:rPr>
                <w:rFonts w:hint="eastAsia" w:ascii="宋体" w:hAnsi="宋体" w:eastAsia="宋体" w:cs="宋体"/>
                <w:b/>
                <w:sz w:val="21"/>
                <w:szCs w:val="21"/>
              </w:rPr>
              <w:t>（</w:t>
            </w:r>
            <w:r>
              <w:rPr>
                <w:rFonts w:hint="eastAsia" w:ascii="宋体" w:hAnsi="宋体" w:eastAsia="宋体" w:cs="宋体"/>
                <w:b/>
                <w:sz w:val="21"/>
                <w:szCs w:val="21"/>
                <w:lang w:val="en-US" w:eastAsia="zh-CN"/>
              </w:rPr>
              <w:t>20</w:t>
            </w:r>
            <w:r>
              <w:rPr>
                <w:rFonts w:hint="eastAsia" w:ascii="宋体" w:hAnsi="宋体" w:eastAsia="宋体" w:cs="宋体"/>
                <w:b/>
                <w:sz w:val="21"/>
                <w:szCs w:val="21"/>
              </w:rPr>
              <w:t>）</w:t>
            </w:r>
          </w:p>
        </w:tc>
        <w:tc>
          <w:tcPr>
            <w:tcW w:w="5244" w:type="dxa"/>
            <w:vAlign w:val="center"/>
          </w:tcPr>
          <w:p>
            <w:pPr>
              <w:rPr>
                <w:rFonts w:hint="eastAsia" w:ascii="宋体" w:hAnsi="宋体" w:eastAsia="宋体" w:cs="宋体"/>
                <w:sz w:val="21"/>
                <w:szCs w:val="21"/>
              </w:rPr>
            </w:pPr>
            <w:r>
              <w:rPr>
                <w:rFonts w:hint="eastAsia" w:ascii="宋体" w:hAnsi="宋体" w:eastAsia="宋体" w:cs="宋体"/>
                <w:sz w:val="21"/>
                <w:szCs w:val="21"/>
              </w:rPr>
              <w:t>（1）近5年内具有江苏省省级以上（含省级）广电单位（包括网络公司、电视台、监测台等）建设案例，且合同价格在30万以上的，有一个得</w:t>
            </w:r>
            <w:r>
              <w:rPr>
                <w:rFonts w:hint="eastAsia" w:ascii="宋体" w:hAnsi="宋体" w:cs="宋体"/>
                <w:sz w:val="21"/>
                <w:szCs w:val="21"/>
                <w:lang w:val="en-US" w:eastAsia="zh-CN"/>
              </w:rPr>
              <w:t>3</w:t>
            </w:r>
            <w:r>
              <w:rPr>
                <w:rFonts w:hint="eastAsia" w:ascii="宋体" w:hAnsi="宋体" w:eastAsia="宋体" w:cs="宋体"/>
                <w:sz w:val="21"/>
                <w:szCs w:val="21"/>
              </w:rPr>
              <w:t>分，没有得0分。（投标方需提供合同复印件佐证）</w:t>
            </w:r>
          </w:p>
          <w:p>
            <w:pPr>
              <w:rPr>
                <w:rFonts w:hint="eastAsia" w:ascii="宋体" w:hAnsi="宋体" w:eastAsia="宋体" w:cs="宋体"/>
                <w:sz w:val="21"/>
                <w:szCs w:val="21"/>
              </w:rPr>
            </w:pPr>
            <w:r>
              <w:rPr>
                <w:rFonts w:hint="eastAsia" w:ascii="宋体" w:hAnsi="宋体" w:eastAsia="宋体" w:cs="宋体"/>
                <w:sz w:val="21"/>
                <w:szCs w:val="21"/>
              </w:rPr>
              <w:t>（2）近5年内具有江苏省市级广电单位（包括网络公司、电视台等）建设案例，且合同价格在20万以上的，有一个得</w:t>
            </w:r>
            <w:r>
              <w:rPr>
                <w:rFonts w:hint="eastAsia" w:ascii="宋体" w:hAnsi="宋体" w:cs="宋体"/>
                <w:sz w:val="21"/>
                <w:szCs w:val="21"/>
                <w:lang w:val="en-US" w:eastAsia="zh-CN"/>
              </w:rPr>
              <w:t>3</w:t>
            </w:r>
            <w:r>
              <w:rPr>
                <w:rFonts w:hint="eastAsia" w:ascii="宋体" w:hAnsi="宋体" w:eastAsia="宋体" w:cs="宋体"/>
                <w:sz w:val="21"/>
                <w:szCs w:val="21"/>
              </w:rPr>
              <w:t>分，没有得0分。（投标方需提供合同复印件佐证）</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总</w:t>
            </w:r>
            <w:r>
              <w:rPr>
                <w:rFonts w:hint="eastAsia" w:ascii="宋体" w:hAnsi="宋体" w:eastAsia="宋体" w:cs="宋体"/>
                <w:sz w:val="21"/>
                <w:szCs w:val="21"/>
              </w:rPr>
              <w:t>分不超过</w:t>
            </w:r>
            <w:r>
              <w:rPr>
                <w:rFonts w:hint="eastAsia" w:ascii="宋体" w:hAnsi="宋体" w:cs="宋体"/>
                <w:sz w:val="21"/>
                <w:szCs w:val="21"/>
                <w:lang w:val="en-US" w:eastAsia="zh-CN"/>
              </w:rPr>
              <w:t>2</w:t>
            </w:r>
            <w:r>
              <w:rPr>
                <w:rFonts w:hint="eastAsia" w:ascii="宋体" w:hAnsi="宋体" w:eastAsia="宋体" w:cs="宋体"/>
                <w:sz w:val="21"/>
                <w:szCs w:val="21"/>
              </w:rPr>
              <w:t>0分</w:t>
            </w:r>
          </w:p>
        </w:tc>
        <w:tc>
          <w:tcPr>
            <w:tcW w:w="1043" w:type="dxa"/>
          </w:tcPr>
          <w:p>
            <w:pPr>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rPr>
                <w:rFonts w:hint="eastAsia" w:ascii="宋体" w:hAnsi="宋体" w:eastAsia="宋体" w:cs="宋体"/>
                <w:b/>
                <w:sz w:val="21"/>
                <w:szCs w:val="21"/>
              </w:rPr>
            </w:pPr>
            <w:r>
              <w:rPr>
                <w:rFonts w:hint="eastAsia" w:ascii="宋体" w:hAnsi="宋体" w:eastAsia="宋体" w:cs="宋体"/>
                <w:b/>
                <w:sz w:val="21"/>
                <w:szCs w:val="21"/>
              </w:rPr>
              <w:t>4</w:t>
            </w:r>
          </w:p>
        </w:tc>
        <w:tc>
          <w:tcPr>
            <w:tcW w:w="141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质保期</w:t>
            </w:r>
          </w:p>
          <w:p>
            <w:pPr>
              <w:jc w:val="center"/>
              <w:rPr>
                <w:rFonts w:hint="eastAsia" w:ascii="宋体" w:hAnsi="宋体" w:eastAsia="宋体" w:cs="宋体"/>
                <w:b/>
                <w:sz w:val="21"/>
                <w:szCs w:val="21"/>
              </w:rPr>
            </w:pPr>
            <w:r>
              <w:rPr>
                <w:rFonts w:hint="eastAsia" w:ascii="宋体" w:hAnsi="宋体" w:eastAsia="宋体" w:cs="宋体"/>
                <w:b/>
                <w:sz w:val="21"/>
                <w:szCs w:val="21"/>
              </w:rPr>
              <w:t>（10）</w:t>
            </w:r>
          </w:p>
        </w:tc>
        <w:tc>
          <w:tcPr>
            <w:tcW w:w="5244" w:type="dxa"/>
            <w:vAlign w:val="center"/>
          </w:tcPr>
          <w:p>
            <w:pPr>
              <w:rPr>
                <w:rFonts w:hint="eastAsia" w:ascii="宋体" w:hAnsi="宋体" w:eastAsia="宋体" w:cs="宋体"/>
                <w:sz w:val="21"/>
                <w:szCs w:val="21"/>
              </w:rPr>
            </w:pPr>
            <w:r>
              <w:rPr>
                <w:rFonts w:hint="eastAsia" w:ascii="宋体" w:hAnsi="宋体" w:eastAsia="宋体" w:cs="宋体"/>
                <w:sz w:val="21"/>
                <w:szCs w:val="21"/>
              </w:rPr>
              <w:t>免费质保2年得4分，每多1年加3分，本项满分10分</w:t>
            </w:r>
          </w:p>
        </w:tc>
        <w:tc>
          <w:tcPr>
            <w:tcW w:w="1043" w:type="dxa"/>
          </w:tcPr>
          <w:p>
            <w:pPr>
              <w:jc w:val="center"/>
              <w:rPr>
                <w:rFonts w:hint="eastAsia" w:ascii="宋体" w:hAnsi="宋体" w:eastAsia="宋体" w:cs="宋体"/>
                <w:b/>
                <w:sz w:val="21"/>
                <w:szCs w:val="21"/>
              </w:rPr>
            </w:pPr>
          </w:p>
        </w:tc>
      </w:tr>
    </w:tbl>
    <w:p>
      <w:pPr>
        <w:pStyle w:val="30"/>
        <w:adjustRightInd w:val="0"/>
        <w:snapToGrid w:val="0"/>
        <w:spacing w:line="360" w:lineRule="auto"/>
        <w:ind w:firstLine="407"/>
        <w:rPr>
          <w:rFonts w:hint="eastAsia" w:ascii="宋体" w:hAnsi="宋体" w:eastAsia="宋体" w:cs="宋体"/>
          <w:sz w:val="21"/>
          <w:szCs w:val="21"/>
        </w:rPr>
      </w:pPr>
    </w:p>
    <w:p>
      <w:pPr>
        <w:pStyle w:val="30"/>
        <w:adjustRightInd w:val="0"/>
        <w:snapToGrid w:val="0"/>
        <w:spacing w:line="360" w:lineRule="auto"/>
        <w:rPr>
          <w:rFonts w:hint="eastAsia" w:ascii="宋体" w:hAnsi="宋体" w:eastAsia="宋体" w:cs="宋体"/>
          <w:sz w:val="21"/>
          <w:szCs w:val="21"/>
        </w:rPr>
      </w:pPr>
    </w:p>
    <w:p>
      <w:pPr>
        <w:spacing w:line="360" w:lineRule="auto"/>
        <w:rPr>
          <w:rFonts w:ascii="宋体" w:hAnsi="宋体" w:cs="宋体"/>
          <w:sz w:val="24"/>
        </w:rPr>
      </w:pPr>
    </w:p>
    <w:p>
      <w:pPr>
        <w:spacing w:line="360" w:lineRule="auto"/>
        <w:rPr>
          <w:rFonts w:ascii="宋体" w:hAnsi="宋体" w:cs="宋体"/>
          <w:sz w:val="24"/>
        </w:rPr>
      </w:pPr>
    </w:p>
    <w:p>
      <w:pPr>
        <w:autoSpaceDE w:val="0"/>
        <w:autoSpaceDN w:val="0"/>
        <w:adjustRightInd w:val="0"/>
        <w:spacing w:line="360" w:lineRule="auto"/>
        <w:jc w:val="center"/>
        <w:rPr>
          <w:rFonts w:ascii="黑体" w:hAnsi="宋体" w:eastAsia="黑体" w:cs="黑体"/>
          <w:sz w:val="36"/>
          <w:szCs w:val="36"/>
          <w:lang w:val="zh-CN"/>
        </w:rPr>
        <w:sectPr>
          <w:headerReference r:id="rId9" w:type="default"/>
          <w:footerReference r:id="rId10" w:type="default"/>
          <w:pgSz w:w="11906" w:h="16838"/>
          <w:pgMar w:top="1418" w:right="1134" w:bottom="1418" w:left="1134" w:header="680" w:footer="680" w:gutter="0"/>
          <w:cols w:space="720" w:num="1"/>
          <w:docGrid w:type="lines" w:linePitch="312" w:charSpace="0"/>
        </w:sectPr>
      </w:pPr>
    </w:p>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附件：</w:t>
      </w:r>
    </w:p>
    <w:p>
      <w:pPr>
        <w:spacing w:line="360" w:lineRule="auto"/>
        <w:jc w:val="center"/>
        <w:rPr>
          <w:rFonts w:ascii="宋体" w:hAnsi="宋体"/>
          <w:sz w:val="32"/>
          <w:szCs w:val="32"/>
        </w:rPr>
      </w:pPr>
      <w:r>
        <w:rPr>
          <w:rFonts w:hint="eastAsia" w:ascii="黑体" w:hAnsi="宋体" w:eastAsia="黑体" w:cs="黑体"/>
          <w:b/>
          <w:sz w:val="36"/>
          <w:szCs w:val="36"/>
        </w:rPr>
        <w:t>报价表</w:t>
      </w:r>
    </w:p>
    <w:p>
      <w:pPr>
        <w:spacing w:line="360" w:lineRule="auto"/>
        <w:jc w:val="left"/>
        <w:rPr>
          <w:rFonts w:ascii="宋体" w:hAnsi="宋体"/>
          <w:szCs w:val="21"/>
        </w:rPr>
      </w:pPr>
      <w:r>
        <w:rPr>
          <w:rFonts w:hint="eastAsia" w:ascii="宋体" w:hAnsi="宋体"/>
          <w:szCs w:val="21"/>
        </w:rPr>
        <w:t>项目名称：</w:t>
      </w:r>
      <w:r>
        <w:rPr>
          <w:rFonts w:hint="eastAsia" w:ascii="宋体" w:hAnsi="宋体" w:cs="宋体"/>
          <w:bCs/>
          <w:color w:val="000000"/>
          <w:kern w:val="0"/>
          <w:szCs w:val="21"/>
        </w:rPr>
        <w:t>江苏有线泰州分公司</w:t>
      </w:r>
      <w:r>
        <w:rPr>
          <w:rFonts w:hint="eastAsia"/>
          <w:bCs/>
          <w:szCs w:val="21"/>
        </w:rPr>
        <w:t>省备份中心前端平台监测多画面服务器采购</w:t>
      </w:r>
    </w:p>
    <w:p>
      <w:pPr>
        <w:spacing w:line="360" w:lineRule="auto"/>
        <w:jc w:val="left"/>
        <w:rPr>
          <w:rFonts w:ascii="宋体" w:hAnsi="宋体"/>
          <w:b/>
          <w:szCs w:val="21"/>
        </w:rPr>
      </w:pPr>
      <w:r>
        <w:rPr>
          <w:rFonts w:hint="eastAsia" w:ascii="宋体" w:hAnsi="宋体"/>
          <w:szCs w:val="21"/>
        </w:rPr>
        <w:t>采购编号：</w:t>
      </w:r>
    </w:p>
    <w:tbl>
      <w:tblPr>
        <w:tblStyle w:val="1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25"/>
        <w:gridCol w:w="1042"/>
        <w:gridCol w:w="1568"/>
        <w:gridCol w:w="1430"/>
        <w:gridCol w:w="1064"/>
        <w:gridCol w:w="1186"/>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2" w:type="dxa"/>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367" w:type="dxa"/>
            <w:gridSpan w:val="2"/>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568" w:type="dxa"/>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143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规格型号</w:t>
            </w:r>
          </w:p>
        </w:tc>
        <w:tc>
          <w:tcPr>
            <w:tcW w:w="1064"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1186" w:type="dxa"/>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单价</w:t>
            </w:r>
          </w:p>
        </w:tc>
        <w:tc>
          <w:tcPr>
            <w:tcW w:w="1694" w:type="dxa"/>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12" w:type="dxa"/>
            <w:shd w:val="clear" w:color="auto" w:fill="auto"/>
            <w:noWrap/>
            <w:vAlign w:val="center"/>
          </w:tcPr>
          <w:p>
            <w:pPr>
              <w:widowControl/>
              <w:jc w:val="center"/>
              <w:rPr>
                <w:rFonts w:ascii="宋体" w:hAnsi="宋体"/>
                <w:szCs w:val="21"/>
              </w:rPr>
            </w:pPr>
            <w:r>
              <w:rPr>
                <w:rFonts w:hint="eastAsia" w:ascii="宋体" w:hAnsi="宋体"/>
                <w:szCs w:val="21"/>
              </w:rPr>
              <w:t>1</w:t>
            </w:r>
          </w:p>
        </w:tc>
        <w:tc>
          <w:tcPr>
            <w:tcW w:w="1367" w:type="dxa"/>
            <w:gridSpan w:val="2"/>
            <w:vMerge w:val="restart"/>
            <w:shd w:val="clear" w:color="auto" w:fill="auto"/>
            <w:vAlign w:val="center"/>
          </w:tcPr>
          <w:p>
            <w:pPr>
              <w:widowControl/>
              <w:jc w:val="center"/>
              <w:rPr>
                <w:rFonts w:ascii="宋体" w:hAnsi="宋体" w:cs="宋体"/>
                <w:kern w:val="0"/>
                <w:szCs w:val="21"/>
              </w:rPr>
            </w:pPr>
            <w:r>
              <w:rPr>
                <w:rFonts w:hint="eastAsia" w:ascii="宋体" w:hAnsi="宋体" w:cs="宋体"/>
                <w:bCs/>
                <w:color w:val="000000"/>
                <w:kern w:val="0"/>
                <w:szCs w:val="21"/>
              </w:rPr>
              <w:t>江苏有线泰州分公司</w:t>
            </w:r>
            <w:r>
              <w:rPr>
                <w:rFonts w:hint="eastAsia"/>
                <w:bCs/>
                <w:szCs w:val="21"/>
              </w:rPr>
              <w:t>省备份中心前端平台监测多画面服务器采购</w:t>
            </w:r>
          </w:p>
        </w:tc>
        <w:tc>
          <w:tcPr>
            <w:tcW w:w="1568" w:type="dxa"/>
            <w:vAlign w:val="center"/>
          </w:tcPr>
          <w:p>
            <w:pPr>
              <w:jc w:val="center"/>
              <w:rPr>
                <w:rFonts w:ascii="宋体" w:hAnsi="宋体"/>
                <w:sz w:val="22"/>
              </w:rPr>
            </w:pPr>
          </w:p>
        </w:tc>
        <w:tc>
          <w:tcPr>
            <w:tcW w:w="1430" w:type="dxa"/>
            <w:shd w:val="clear" w:color="auto" w:fill="auto"/>
            <w:vAlign w:val="center"/>
          </w:tcPr>
          <w:p>
            <w:pPr>
              <w:widowControl/>
              <w:rPr>
                <w:rFonts w:ascii="宋体" w:hAnsi="宋体" w:cs="宋体"/>
                <w:kern w:val="0"/>
                <w:szCs w:val="21"/>
              </w:rPr>
            </w:pPr>
          </w:p>
        </w:tc>
        <w:tc>
          <w:tcPr>
            <w:tcW w:w="1064" w:type="dxa"/>
            <w:shd w:val="clear" w:color="auto" w:fill="auto"/>
            <w:vAlign w:val="center"/>
          </w:tcPr>
          <w:p>
            <w:pPr>
              <w:widowControl/>
              <w:rPr>
                <w:rFonts w:ascii="宋体" w:hAnsi="宋体" w:cs="宋体"/>
                <w:kern w:val="0"/>
                <w:szCs w:val="21"/>
              </w:rPr>
            </w:pPr>
          </w:p>
        </w:tc>
        <w:tc>
          <w:tcPr>
            <w:tcW w:w="1186" w:type="dxa"/>
            <w:shd w:val="clear" w:color="auto" w:fill="auto"/>
            <w:noWrap/>
            <w:vAlign w:val="center"/>
          </w:tcPr>
          <w:p>
            <w:pPr>
              <w:jc w:val="center"/>
              <w:rPr>
                <w:rFonts w:ascii="宋体" w:hAnsi="宋体" w:cs="宋体"/>
                <w:color w:val="000000"/>
                <w:kern w:val="0"/>
                <w:szCs w:val="21"/>
              </w:rPr>
            </w:pPr>
          </w:p>
        </w:tc>
        <w:tc>
          <w:tcPr>
            <w:tcW w:w="1694" w:type="dxa"/>
            <w:shd w:val="clear" w:color="auto" w:fill="auto"/>
            <w:noWrap/>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2" w:type="dxa"/>
            <w:shd w:val="clear" w:color="auto" w:fill="auto"/>
            <w:noWrap/>
            <w:vAlign w:val="center"/>
          </w:tcPr>
          <w:p>
            <w:pPr>
              <w:widowControl/>
              <w:jc w:val="center"/>
              <w:rPr>
                <w:rFonts w:ascii="宋体" w:hAnsi="宋体"/>
                <w:szCs w:val="21"/>
              </w:rPr>
            </w:pPr>
            <w:r>
              <w:rPr>
                <w:rFonts w:hint="eastAsia" w:ascii="宋体" w:hAnsi="宋体"/>
                <w:szCs w:val="21"/>
              </w:rPr>
              <w:t>2</w:t>
            </w:r>
          </w:p>
        </w:tc>
        <w:tc>
          <w:tcPr>
            <w:tcW w:w="1367" w:type="dxa"/>
            <w:gridSpan w:val="2"/>
            <w:vMerge w:val="continue"/>
            <w:shd w:val="clear" w:color="auto" w:fill="auto"/>
            <w:vAlign w:val="center"/>
          </w:tcPr>
          <w:p>
            <w:pPr>
              <w:widowControl/>
              <w:jc w:val="center"/>
              <w:rPr>
                <w:rFonts w:ascii="宋体" w:hAnsi="宋体" w:cs="Arial"/>
                <w:color w:val="000000"/>
                <w:kern w:val="0"/>
                <w:szCs w:val="21"/>
              </w:rPr>
            </w:pPr>
          </w:p>
        </w:tc>
        <w:tc>
          <w:tcPr>
            <w:tcW w:w="1568" w:type="dxa"/>
            <w:vAlign w:val="center"/>
          </w:tcPr>
          <w:p>
            <w:pPr>
              <w:jc w:val="center"/>
              <w:rPr>
                <w:rFonts w:ascii="宋体" w:hAnsi="宋体"/>
                <w:sz w:val="22"/>
              </w:rPr>
            </w:pPr>
          </w:p>
        </w:tc>
        <w:tc>
          <w:tcPr>
            <w:tcW w:w="1430" w:type="dxa"/>
            <w:shd w:val="clear" w:color="auto" w:fill="auto"/>
            <w:vAlign w:val="center"/>
          </w:tcPr>
          <w:p>
            <w:pPr>
              <w:widowControl/>
              <w:rPr>
                <w:rFonts w:ascii="宋体" w:hAnsi="宋体" w:cs="宋体"/>
                <w:kern w:val="0"/>
                <w:szCs w:val="21"/>
              </w:rPr>
            </w:pPr>
          </w:p>
        </w:tc>
        <w:tc>
          <w:tcPr>
            <w:tcW w:w="1064" w:type="dxa"/>
            <w:shd w:val="clear" w:color="auto" w:fill="auto"/>
            <w:vAlign w:val="center"/>
          </w:tcPr>
          <w:p>
            <w:pPr>
              <w:widowControl/>
              <w:rPr>
                <w:rFonts w:ascii="宋体" w:hAnsi="宋体" w:cs="宋体"/>
                <w:kern w:val="0"/>
                <w:szCs w:val="21"/>
              </w:rPr>
            </w:pPr>
          </w:p>
        </w:tc>
        <w:tc>
          <w:tcPr>
            <w:tcW w:w="1186" w:type="dxa"/>
            <w:shd w:val="clear" w:color="auto" w:fill="auto"/>
            <w:noWrap/>
            <w:vAlign w:val="center"/>
          </w:tcPr>
          <w:p>
            <w:pPr>
              <w:jc w:val="center"/>
              <w:rPr>
                <w:rFonts w:ascii="宋体" w:hAnsi="宋体" w:cs="宋体"/>
                <w:color w:val="000000"/>
                <w:kern w:val="0"/>
                <w:szCs w:val="21"/>
              </w:rPr>
            </w:pPr>
          </w:p>
        </w:tc>
        <w:tc>
          <w:tcPr>
            <w:tcW w:w="1694" w:type="dxa"/>
            <w:shd w:val="clear" w:color="auto" w:fill="auto"/>
            <w:noWrap/>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2" w:type="dxa"/>
            <w:shd w:val="clear" w:color="auto" w:fill="auto"/>
            <w:noWrap/>
            <w:vAlign w:val="center"/>
          </w:tcPr>
          <w:p>
            <w:pPr>
              <w:widowControl/>
              <w:jc w:val="center"/>
              <w:rPr>
                <w:rFonts w:ascii="宋体" w:hAnsi="宋体"/>
                <w:szCs w:val="21"/>
              </w:rPr>
            </w:pPr>
            <w:r>
              <w:rPr>
                <w:rFonts w:hint="eastAsia" w:ascii="宋体" w:hAnsi="宋体"/>
                <w:szCs w:val="21"/>
              </w:rPr>
              <w:t>3</w:t>
            </w:r>
          </w:p>
        </w:tc>
        <w:tc>
          <w:tcPr>
            <w:tcW w:w="1367" w:type="dxa"/>
            <w:gridSpan w:val="2"/>
            <w:vMerge w:val="continue"/>
            <w:shd w:val="clear" w:color="auto" w:fill="auto"/>
            <w:vAlign w:val="center"/>
          </w:tcPr>
          <w:p>
            <w:pPr>
              <w:widowControl/>
              <w:jc w:val="center"/>
              <w:rPr>
                <w:rFonts w:ascii="宋体" w:hAnsi="宋体" w:cs="Arial"/>
                <w:color w:val="000000"/>
                <w:kern w:val="0"/>
                <w:szCs w:val="21"/>
              </w:rPr>
            </w:pPr>
          </w:p>
        </w:tc>
        <w:tc>
          <w:tcPr>
            <w:tcW w:w="1568" w:type="dxa"/>
            <w:vAlign w:val="center"/>
          </w:tcPr>
          <w:p>
            <w:pPr>
              <w:jc w:val="center"/>
              <w:rPr>
                <w:rFonts w:ascii="宋体" w:hAnsi="宋体"/>
                <w:sz w:val="24"/>
              </w:rPr>
            </w:pPr>
          </w:p>
        </w:tc>
        <w:tc>
          <w:tcPr>
            <w:tcW w:w="1430" w:type="dxa"/>
            <w:shd w:val="clear" w:color="auto" w:fill="auto"/>
            <w:vAlign w:val="center"/>
          </w:tcPr>
          <w:p>
            <w:pPr>
              <w:widowControl/>
              <w:rPr>
                <w:rFonts w:ascii="宋体" w:hAnsi="宋体" w:cs="宋体"/>
                <w:kern w:val="0"/>
                <w:szCs w:val="21"/>
              </w:rPr>
            </w:pPr>
          </w:p>
        </w:tc>
        <w:tc>
          <w:tcPr>
            <w:tcW w:w="1064" w:type="dxa"/>
            <w:shd w:val="clear" w:color="auto" w:fill="auto"/>
            <w:vAlign w:val="center"/>
          </w:tcPr>
          <w:p>
            <w:pPr>
              <w:widowControl/>
              <w:rPr>
                <w:rFonts w:ascii="宋体" w:hAnsi="宋体" w:cs="宋体"/>
                <w:kern w:val="0"/>
                <w:szCs w:val="21"/>
              </w:rPr>
            </w:pPr>
          </w:p>
        </w:tc>
        <w:tc>
          <w:tcPr>
            <w:tcW w:w="1186" w:type="dxa"/>
            <w:shd w:val="clear" w:color="auto" w:fill="auto"/>
            <w:noWrap/>
            <w:vAlign w:val="center"/>
          </w:tcPr>
          <w:p>
            <w:pPr>
              <w:jc w:val="center"/>
              <w:rPr>
                <w:rFonts w:ascii="宋体" w:hAnsi="宋体" w:cs="宋体"/>
                <w:color w:val="000000"/>
                <w:kern w:val="0"/>
                <w:szCs w:val="21"/>
              </w:rPr>
            </w:pPr>
          </w:p>
        </w:tc>
        <w:tc>
          <w:tcPr>
            <w:tcW w:w="1694" w:type="dxa"/>
            <w:shd w:val="clear" w:color="auto" w:fill="auto"/>
            <w:noWrap/>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2" w:type="dxa"/>
            <w:shd w:val="clear" w:color="auto" w:fill="auto"/>
            <w:noWrap/>
            <w:vAlign w:val="center"/>
          </w:tcPr>
          <w:p>
            <w:pPr>
              <w:widowControl/>
              <w:jc w:val="center"/>
              <w:rPr>
                <w:rFonts w:ascii="宋体" w:hAnsi="宋体"/>
                <w:szCs w:val="21"/>
              </w:rPr>
            </w:pPr>
            <w:r>
              <w:rPr>
                <w:rFonts w:hint="eastAsia" w:ascii="宋体" w:hAnsi="宋体"/>
                <w:szCs w:val="21"/>
              </w:rPr>
              <w:t>4</w:t>
            </w:r>
          </w:p>
        </w:tc>
        <w:tc>
          <w:tcPr>
            <w:tcW w:w="1367" w:type="dxa"/>
            <w:gridSpan w:val="2"/>
            <w:vMerge w:val="continue"/>
            <w:shd w:val="clear" w:color="auto" w:fill="auto"/>
            <w:vAlign w:val="center"/>
          </w:tcPr>
          <w:p>
            <w:pPr>
              <w:widowControl/>
              <w:jc w:val="center"/>
              <w:rPr>
                <w:rFonts w:ascii="宋体" w:hAnsi="宋体" w:cs="Arial"/>
                <w:color w:val="000000"/>
                <w:kern w:val="0"/>
                <w:szCs w:val="21"/>
              </w:rPr>
            </w:pPr>
          </w:p>
        </w:tc>
        <w:tc>
          <w:tcPr>
            <w:tcW w:w="1568" w:type="dxa"/>
            <w:vAlign w:val="center"/>
          </w:tcPr>
          <w:p>
            <w:pPr>
              <w:jc w:val="center"/>
              <w:rPr>
                <w:rFonts w:ascii="宋体" w:hAnsi="宋体"/>
                <w:sz w:val="24"/>
              </w:rPr>
            </w:pPr>
          </w:p>
        </w:tc>
        <w:tc>
          <w:tcPr>
            <w:tcW w:w="1430" w:type="dxa"/>
            <w:shd w:val="clear" w:color="auto" w:fill="auto"/>
            <w:vAlign w:val="center"/>
          </w:tcPr>
          <w:p>
            <w:pPr>
              <w:widowControl/>
              <w:rPr>
                <w:rFonts w:ascii="宋体" w:hAnsi="宋体" w:cs="宋体"/>
                <w:kern w:val="0"/>
                <w:szCs w:val="21"/>
              </w:rPr>
            </w:pPr>
          </w:p>
        </w:tc>
        <w:tc>
          <w:tcPr>
            <w:tcW w:w="1064" w:type="dxa"/>
            <w:shd w:val="clear" w:color="auto" w:fill="auto"/>
            <w:vAlign w:val="center"/>
          </w:tcPr>
          <w:p>
            <w:pPr>
              <w:widowControl/>
              <w:rPr>
                <w:rFonts w:ascii="宋体" w:hAnsi="宋体" w:cs="宋体"/>
                <w:kern w:val="0"/>
                <w:szCs w:val="21"/>
              </w:rPr>
            </w:pPr>
          </w:p>
        </w:tc>
        <w:tc>
          <w:tcPr>
            <w:tcW w:w="1186" w:type="dxa"/>
            <w:shd w:val="clear" w:color="auto" w:fill="auto"/>
            <w:noWrap/>
            <w:vAlign w:val="center"/>
          </w:tcPr>
          <w:p>
            <w:pPr>
              <w:jc w:val="center"/>
              <w:rPr>
                <w:rFonts w:ascii="宋体" w:hAnsi="宋体" w:cs="宋体"/>
                <w:color w:val="000000"/>
                <w:kern w:val="0"/>
                <w:szCs w:val="21"/>
              </w:rPr>
            </w:pPr>
          </w:p>
        </w:tc>
        <w:tc>
          <w:tcPr>
            <w:tcW w:w="1694" w:type="dxa"/>
            <w:shd w:val="clear" w:color="auto" w:fill="auto"/>
            <w:noWrap/>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79" w:type="dxa"/>
            <w:gridSpan w:val="3"/>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总报价</w:t>
            </w:r>
          </w:p>
        </w:tc>
        <w:tc>
          <w:tcPr>
            <w:tcW w:w="6942" w:type="dxa"/>
            <w:gridSpan w:val="5"/>
            <w:vAlign w:val="center"/>
          </w:tcPr>
          <w:p>
            <w:pPr>
              <w:widowControl/>
              <w:rPr>
                <w:rFonts w:ascii="宋体" w:hAnsi="宋体" w:cs="宋体"/>
                <w:kern w:val="0"/>
                <w:szCs w:val="21"/>
              </w:rPr>
            </w:pPr>
            <w:r>
              <w:rPr>
                <w:rFonts w:hint="eastAsia" w:ascii="宋体" w:hAnsi="宋体" w:cs="宋体"/>
                <w:kern w:val="0"/>
                <w:szCs w:val="21"/>
              </w:rPr>
              <w:t>人民币(大写)：</w:t>
            </w:r>
            <w:r>
              <w:rPr>
                <w:rFonts w:hint="eastAsia" w:ascii="宋体" w:hAnsi="宋体" w:cs="宋体"/>
                <w:kern w:val="0"/>
                <w:szCs w:val="21"/>
                <w:u w:val="single"/>
              </w:rPr>
              <w:t xml:space="preserve">           </w:t>
            </w:r>
            <w:r>
              <w:rPr>
                <w:rFonts w:hint="eastAsia" w:ascii="宋体" w:hAnsi="宋体" w:cs="宋体"/>
                <w:kern w:val="0"/>
                <w:szCs w:val="21"/>
              </w:rPr>
              <w:t>元                   ¥：</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79" w:type="dxa"/>
            <w:gridSpan w:val="3"/>
            <w:vAlign w:val="center"/>
          </w:tcPr>
          <w:p>
            <w:pPr>
              <w:widowControl/>
              <w:jc w:val="center"/>
              <w:rPr>
                <w:rFonts w:ascii="宋体" w:hAnsi="宋体" w:cs="宋体"/>
                <w:kern w:val="0"/>
                <w:szCs w:val="21"/>
              </w:rPr>
            </w:pPr>
            <w:r>
              <w:rPr>
                <w:rFonts w:hint="eastAsia" w:ascii="宋体" w:hAnsi="宋体" w:cs="宋体"/>
                <w:kern w:val="0"/>
                <w:szCs w:val="21"/>
              </w:rPr>
              <w:t>服务及质保承诺</w:t>
            </w:r>
          </w:p>
        </w:tc>
        <w:tc>
          <w:tcPr>
            <w:tcW w:w="6942" w:type="dxa"/>
            <w:gridSpan w:val="5"/>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037" w:type="dxa"/>
            <w:gridSpan w:val="2"/>
          </w:tcPr>
          <w:p>
            <w:pPr>
              <w:widowControl/>
              <w:jc w:val="left"/>
              <w:rPr>
                <w:rFonts w:ascii="宋体" w:hAnsi="宋体"/>
                <w:szCs w:val="21"/>
              </w:rPr>
            </w:pPr>
          </w:p>
        </w:tc>
        <w:tc>
          <w:tcPr>
            <w:tcW w:w="7984" w:type="dxa"/>
            <w:gridSpan w:val="6"/>
          </w:tcPr>
          <w:p>
            <w:pPr>
              <w:widowControl/>
              <w:jc w:val="left"/>
              <w:rPr>
                <w:rFonts w:ascii="宋体" w:hAnsi="宋体" w:cs="宋体"/>
                <w:kern w:val="0"/>
                <w:szCs w:val="21"/>
              </w:rPr>
            </w:pPr>
            <w:r>
              <w:rPr>
                <w:rFonts w:hint="eastAsia" w:ascii="宋体" w:hAnsi="宋体" w:cs="宋体"/>
                <w:kern w:val="0"/>
                <w:szCs w:val="21"/>
              </w:rPr>
              <w:t>报价单位全称（盖章）</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法定代表人或授权代表签字：                         联系电话：</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szCs w:val="21"/>
              </w:rPr>
              <w:t xml:space="preserve">日期：    </w:t>
            </w:r>
            <w:r>
              <w:rPr>
                <w:rFonts w:ascii="宋体" w:hAnsi="宋体" w:cs="宋体"/>
                <w:kern w:val="0"/>
                <w:szCs w:val="21"/>
              </w:rPr>
              <w:t>年</w:t>
            </w:r>
            <w:r>
              <w:rPr>
                <w:rFonts w:hint="eastAsia" w:ascii="宋体" w:hAnsi="宋体" w:cs="宋体"/>
                <w:kern w:val="0"/>
                <w:szCs w:val="21"/>
              </w:rPr>
              <w:t xml:space="preserve">  </w:t>
            </w:r>
            <w:r>
              <w:rPr>
                <w:rFonts w:ascii="宋体" w:hAnsi="宋体" w:cs="宋体"/>
                <w:kern w:val="0"/>
                <w:szCs w:val="21"/>
              </w:rPr>
              <w:t>月</w:t>
            </w:r>
            <w:r>
              <w:rPr>
                <w:rFonts w:hint="eastAsia" w:ascii="宋体" w:hAnsi="宋体" w:cs="宋体"/>
                <w:kern w:val="0"/>
                <w:szCs w:val="21"/>
              </w:rPr>
              <w:t xml:space="preserve">  </w:t>
            </w:r>
            <w:r>
              <w:rPr>
                <w:rFonts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037" w:type="dxa"/>
            <w:gridSpan w:val="2"/>
          </w:tcPr>
          <w:p>
            <w:pPr>
              <w:widowControl/>
              <w:jc w:val="left"/>
              <w:rPr>
                <w:rFonts w:ascii="宋体" w:hAnsi="宋体" w:cs="Arial"/>
                <w:szCs w:val="21"/>
              </w:rPr>
            </w:pPr>
          </w:p>
        </w:tc>
        <w:tc>
          <w:tcPr>
            <w:tcW w:w="7984" w:type="dxa"/>
            <w:gridSpan w:val="6"/>
          </w:tcPr>
          <w:p>
            <w:pPr>
              <w:spacing w:line="0" w:lineRule="atLeast"/>
              <w:rPr>
                <w:rFonts w:ascii="宋体" w:hAnsi="宋体" w:cs="Arial"/>
                <w:szCs w:val="21"/>
              </w:rPr>
            </w:pPr>
            <w:r>
              <w:rPr>
                <w:rFonts w:hint="eastAsia" w:ascii="宋体" w:hAnsi="宋体" w:cs="Arial"/>
                <w:szCs w:val="21"/>
              </w:rPr>
              <w:t>说明：</w:t>
            </w:r>
          </w:p>
          <w:p>
            <w:pPr>
              <w:spacing w:line="0" w:lineRule="atLeast"/>
              <w:rPr>
                <w:rFonts w:ascii="宋体" w:hAnsi="宋体" w:cs="Arial"/>
                <w:szCs w:val="21"/>
              </w:rPr>
            </w:pPr>
            <w:r>
              <w:rPr>
                <w:rFonts w:hint="eastAsia" w:ascii="宋体" w:hAnsi="宋体" w:cs="Arial"/>
                <w:szCs w:val="21"/>
              </w:rPr>
              <w:t xml:space="preserve">1. “报价货币”为人民币，报价包含增值税专用发票税率。 </w:t>
            </w:r>
          </w:p>
          <w:p>
            <w:pPr>
              <w:spacing w:line="0" w:lineRule="atLeast"/>
              <w:rPr>
                <w:rFonts w:ascii="宋体" w:hAnsi="宋体" w:cs="Arial"/>
                <w:szCs w:val="21"/>
              </w:rPr>
            </w:pPr>
            <w:r>
              <w:rPr>
                <w:rFonts w:hint="eastAsia" w:ascii="宋体" w:hAnsi="宋体" w:cs="Arial"/>
                <w:szCs w:val="21"/>
              </w:rPr>
              <w:t>2. 本表中报价为在采购人指定的任何地点（泰州市）交货的价格，包含运输、搬运、保险、安装、调试、督导</w:t>
            </w:r>
            <w:r>
              <w:rPr>
                <w:rFonts w:hint="eastAsia" w:ascii="宋体" w:hAnsi="宋体" w:cs="Arial"/>
                <w:szCs w:val="21"/>
                <w:lang w:val="en-US" w:eastAsia="zh-CN"/>
              </w:rPr>
              <w:t>以及其它相关的</w:t>
            </w:r>
            <w:r>
              <w:rPr>
                <w:rFonts w:hint="eastAsia" w:ascii="宋体" w:hAnsi="宋体" w:cs="Arial"/>
                <w:szCs w:val="21"/>
              </w:rPr>
              <w:t>一切相关费用。</w:t>
            </w:r>
          </w:p>
          <w:p>
            <w:pPr>
              <w:widowControl/>
              <w:jc w:val="left"/>
              <w:rPr>
                <w:rFonts w:ascii="宋体" w:hAnsi="宋体" w:cs="宋体"/>
                <w:kern w:val="0"/>
                <w:sz w:val="28"/>
                <w:szCs w:val="28"/>
              </w:rPr>
            </w:pPr>
            <w:r>
              <w:rPr>
                <w:rFonts w:hint="eastAsia" w:ascii="宋体" w:hAnsi="宋体" w:cs="Arial"/>
                <w:szCs w:val="21"/>
              </w:rPr>
              <w:t>3. 供应商可自行添加表格行数。</w:t>
            </w:r>
          </w:p>
        </w:tc>
      </w:tr>
    </w:tbl>
    <w:p>
      <w:pPr>
        <w:tabs>
          <w:tab w:val="left" w:pos="4680"/>
        </w:tabs>
        <w:jc w:val="left"/>
        <w:rPr>
          <w:rFonts w:ascii="宋体" w:hAnsi="宋体"/>
          <w:b/>
          <w:szCs w:val="21"/>
        </w:rPr>
      </w:pPr>
    </w:p>
    <w:p>
      <w:pPr>
        <w:tabs>
          <w:tab w:val="left" w:pos="4680"/>
        </w:tabs>
        <w:jc w:val="left"/>
        <w:rPr>
          <w:rFonts w:ascii="宋体" w:hAnsi="宋体"/>
          <w:b/>
          <w:szCs w:val="21"/>
        </w:rPr>
      </w:pPr>
      <w:r>
        <w:rPr>
          <w:rFonts w:ascii="宋体" w:hAnsi="宋体"/>
          <w:b/>
          <w:szCs w:val="21"/>
        </w:rPr>
        <w:br w:type="page"/>
      </w:r>
    </w:p>
    <w:p>
      <w:pPr>
        <w:autoSpaceDE w:val="0"/>
        <w:autoSpaceDN w:val="0"/>
        <w:adjustRightInd w:val="0"/>
        <w:spacing w:line="360" w:lineRule="auto"/>
        <w:rPr>
          <w:rFonts w:ascii="宋体" w:cs="宋体"/>
          <w:b/>
          <w:sz w:val="24"/>
          <w:lang w:val="zh-CN"/>
        </w:rPr>
      </w:pPr>
      <w:r>
        <w:rPr>
          <w:rFonts w:hint="eastAsia" w:ascii="宋体" w:cs="宋体"/>
          <w:b/>
          <w:sz w:val="24"/>
          <w:lang w:val="zh-CN"/>
        </w:rPr>
        <w:t>附件二：法定代表人授权书</w:t>
      </w:r>
    </w:p>
    <w:p>
      <w:pPr>
        <w:spacing w:line="360" w:lineRule="auto"/>
        <w:rPr>
          <w:rFonts w:ascii="宋体" w:hAnsi="宋体"/>
          <w:b/>
        </w:rPr>
      </w:pPr>
    </w:p>
    <w:p>
      <w:pPr>
        <w:spacing w:line="360" w:lineRule="auto"/>
        <w:jc w:val="center"/>
        <w:rPr>
          <w:rFonts w:ascii="宋体" w:hAnsi="宋体"/>
        </w:rPr>
      </w:pPr>
      <w:r>
        <w:rPr>
          <w:rStyle w:val="23"/>
          <w:rFonts w:hint="eastAsia" w:ascii="宋体" w:hAnsi="宋体" w:eastAsia="宋体"/>
          <w:sz w:val="36"/>
          <w:szCs w:val="36"/>
        </w:rPr>
        <w:t>法定代表人授权书</w:t>
      </w:r>
    </w:p>
    <w:p>
      <w:pPr>
        <w:spacing w:line="360" w:lineRule="auto"/>
        <w:rPr>
          <w:rFonts w:ascii="宋体" w:hAnsi="宋体"/>
          <w:szCs w:val="21"/>
        </w:rPr>
      </w:pPr>
      <w:r>
        <w:rPr>
          <w:rFonts w:hint="eastAsia" w:ascii="宋体" w:hAnsi="宋体"/>
        </w:rPr>
        <w:t xml:space="preserve">    本授权书声明：注册于[</w:t>
      </w:r>
      <w:r>
        <w:rPr>
          <w:rFonts w:hint="eastAsia" w:ascii="宋体" w:hAnsi="宋体"/>
          <w:u w:val="single"/>
        </w:rPr>
        <w:t>国家或地区的名称</w:t>
      </w:r>
      <w:r>
        <w:rPr>
          <w:rFonts w:hint="eastAsia" w:ascii="宋体" w:hAnsi="宋体"/>
        </w:rPr>
        <w:t>]的[</w:t>
      </w:r>
      <w:r>
        <w:rPr>
          <w:rFonts w:hint="eastAsia" w:ascii="宋体" w:hAnsi="宋体"/>
          <w:u w:val="single"/>
        </w:rPr>
        <w:t>公司名称</w:t>
      </w:r>
      <w:r>
        <w:rPr>
          <w:rFonts w:hint="eastAsia" w:ascii="宋体" w:hAnsi="宋体"/>
        </w:rPr>
        <w:t>]的在下面签字的[</w:t>
      </w:r>
      <w:r>
        <w:rPr>
          <w:rFonts w:hint="eastAsia" w:ascii="宋体" w:hAnsi="宋体"/>
          <w:u w:val="single"/>
        </w:rPr>
        <w:t>法定代表人姓名、职务</w:t>
      </w:r>
      <w:r>
        <w:rPr>
          <w:rFonts w:hint="eastAsia" w:ascii="宋体" w:hAnsi="宋体"/>
        </w:rPr>
        <w:t>]代表</w:t>
      </w:r>
      <w:r>
        <w:rPr>
          <w:rFonts w:hint="eastAsia" w:ascii="宋体" w:hAnsi="宋体"/>
          <w:szCs w:val="21"/>
        </w:rPr>
        <w:t>本公司授权[</w:t>
      </w:r>
      <w:r>
        <w:rPr>
          <w:rFonts w:hint="eastAsia" w:ascii="宋体" w:hAnsi="宋体"/>
          <w:szCs w:val="21"/>
          <w:u w:val="single"/>
        </w:rPr>
        <w:t>单位名称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]为本公司的合法代理人，就[</w:t>
      </w:r>
      <w:r>
        <w:rPr>
          <w:rFonts w:hint="eastAsia" w:ascii="宋体" w:hAnsi="宋体"/>
          <w:szCs w:val="21"/>
          <w:u w:val="single"/>
        </w:rPr>
        <w:t>项目名称、采购编号</w:t>
      </w:r>
      <w:r>
        <w:rPr>
          <w:rFonts w:hint="eastAsia" w:ascii="宋体" w:hAnsi="宋体"/>
          <w:szCs w:val="21"/>
        </w:rPr>
        <w:t>]参与谈判，以本公司名义处理一切与之有关的事务。</w:t>
      </w:r>
    </w:p>
    <w:p>
      <w:pPr>
        <w:spacing w:after="720" w:line="360" w:lineRule="auto"/>
        <w:rPr>
          <w:rFonts w:ascii="宋体" w:hAnsi="宋体"/>
          <w:szCs w:val="21"/>
        </w:rPr>
      </w:pPr>
      <w:r>
        <w:rPr>
          <w:rFonts w:hint="eastAsia" w:ascii="宋体" w:hAnsi="宋体"/>
          <w:szCs w:val="21"/>
        </w:rPr>
        <w:t xml:space="preserve">    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360" w:lineRule="auto"/>
        <w:rPr>
          <w:rFonts w:ascii="宋体" w:hAnsi="宋体"/>
          <w:u w:val="single"/>
        </w:rPr>
      </w:pPr>
      <w:r>
        <w:rPr>
          <w:rFonts w:hint="eastAsia" w:ascii="宋体" w:hAnsi="宋体"/>
        </w:rPr>
        <w:t>供应商名称（盖章）</w:t>
      </w:r>
      <w:r>
        <w:rPr>
          <w:rFonts w:hint="eastAsia" w:ascii="宋体" w:hAnsi="宋体"/>
          <w:u w:val="single"/>
        </w:rPr>
        <w:t xml:space="preserve">                            </w:t>
      </w:r>
    </w:p>
    <w:p>
      <w:pPr>
        <w:spacing w:line="360" w:lineRule="auto"/>
        <w:rPr>
          <w:rFonts w:ascii="宋体" w:hAnsi="宋体"/>
          <w:u w:val="single"/>
        </w:rPr>
      </w:pPr>
      <w:r>
        <w:rPr>
          <w:rFonts w:hint="eastAsia" w:ascii="宋体" w:hAnsi="宋体"/>
        </w:rPr>
        <w:t>法定代表人签字</w:t>
      </w:r>
      <w:r>
        <w:rPr>
          <w:rFonts w:hint="eastAsia" w:ascii="宋体" w:hAnsi="宋体"/>
          <w:u w:val="single"/>
        </w:rPr>
        <w:t xml:space="preserve">                                </w:t>
      </w:r>
    </w:p>
    <w:p>
      <w:pPr>
        <w:spacing w:line="360" w:lineRule="auto"/>
        <w:rPr>
          <w:rFonts w:ascii="宋体" w:hAnsi="宋体"/>
          <w:u w:val="single"/>
        </w:rPr>
      </w:pPr>
      <w:r>
        <w:rPr>
          <w:rFonts w:hint="eastAsia" w:ascii="宋体" w:hAnsi="宋体"/>
        </w:rPr>
        <w:t>被授权人签字</w:t>
      </w:r>
      <w:r>
        <w:rPr>
          <w:rFonts w:hint="eastAsia" w:ascii="宋体" w:hAnsi="宋体"/>
          <w:u w:val="single"/>
        </w:rPr>
        <w:t xml:space="preserve">                                  </w:t>
      </w:r>
    </w:p>
    <w:p>
      <w:pPr>
        <w:rPr>
          <w:rFonts w:hint="eastAsia" w:eastAsia="宋体"/>
          <w:b/>
          <w:bCs/>
          <w:sz w:val="44"/>
          <w:szCs w:val="44"/>
        </w:rPr>
      </w:pPr>
      <w:r>
        <w:rPr>
          <w:rFonts w:hint="eastAsia" w:eastAsia="宋体"/>
          <w:b/>
          <w:bCs/>
          <w:sz w:val="44"/>
          <w:szCs w:val="44"/>
        </w:rPr>
        <w:br w:type="page"/>
      </w:r>
    </w:p>
    <w:p>
      <w:pPr>
        <w:jc w:val="center"/>
        <w:rPr>
          <w:rFonts w:eastAsia="宋体"/>
          <w:b/>
          <w:bCs/>
          <w:sz w:val="44"/>
          <w:szCs w:val="44"/>
        </w:rPr>
      </w:pPr>
      <w:r>
        <w:rPr>
          <w:rFonts w:hint="eastAsia" w:eastAsia="宋体"/>
          <w:b/>
          <w:bCs/>
          <w:sz w:val="44"/>
          <w:szCs w:val="44"/>
        </w:rPr>
        <w:t>廉政条款</w:t>
      </w:r>
    </w:p>
    <w:p>
      <w:pPr>
        <w:spacing w:line="480" w:lineRule="exact"/>
        <w:ind w:firstLine="420" w:firstLineChars="200"/>
        <w:rPr>
          <w:rFonts w:ascii="宋体" w:hAnsi="宋体" w:eastAsia="宋体" w:cs="宋体"/>
          <w:szCs w:val="21"/>
        </w:rPr>
      </w:pPr>
      <w:r>
        <w:rPr>
          <w:rFonts w:hint="eastAsia" w:ascii="宋体" w:hAnsi="宋体" w:eastAsia="宋体" w:cs="宋体"/>
          <w:szCs w:val="21"/>
        </w:rPr>
        <w:t>1、招标人及其工作人员，不得以任何形式向投标人收受或索要回扣、好处费、礼金、有价证券和其他礼物；不得在投标人处报销应由个人支付的费用。</w:t>
      </w:r>
    </w:p>
    <w:p>
      <w:pPr>
        <w:spacing w:line="480" w:lineRule="exact"/>
        <w:ind w:firstLine="420" w:firstLineChars="200"/>
        <w:rPr>
          <w:rFonts w:ascii="宋体" w:hAnsi="宋体" w:eastAsia="宋体" w:cs="宋体"/>
          <w:szCs w:val="21"/>
        </w:rPr>
      </w:pPr>
      <w:r>
        <w:rPr>
          <w:rFonts w:hint="eastAsia" w:ascii="宋体" w:hAnsi="宋体" w:eastAsia="宋体" w:cs="宋体"/>
          <w:szCs w:val="21"/>
        </w:rPr>
        <w:t>2、投标人应当通过正常途径开展相对业务工作，不准为获取某些不正当利益而向招标人及其工作人员（含家属、子女，下同）赠送礼金、有价证券和贵重物品等。</w:t>
      </w:r>
    </w:p>
    <w:p>
      <w:pPr>
        <w:spacing w:line="480" w:lineRule="exact"/>
        <w:ind w:firstLine="420" w:firstLineChars="200"/>
        <w:rPr>
          <w:rFonts w:ascii="宋体" w:hAnsi="宋体" w:eastAsia="宋体" w:cs="宋体"/>
          <w:szCs w:val="21"/>
        </w:rPr>
      </w:pPr>
      <w:r>
        <w:rPr>
          <w:rFonts w:hint="eastAsia" w:ascii="宋体" w:hAnsi="宋体" w:eastAsia="宋体" w:cs="宋体"/>
          <w:szCs w:val="21"/>
        </w:rPr>
        <w:t>3、投标人工作人员不准为谋取私利擅自与招标人工作人员就项目进行私下商谈或者达成默契。</w:t>
      </w:r>
    </w:p>
    <w:p>
      <w:pPr>
        <w:spacing w:line="480" w:lineRule="exact"/>
        <w:ind w:firstLine="420" w:firstLineChars="200"/>
        <w:rPr>
          <w:rFonts w:ascii="宋体" w:hAnsi="宋体" w:eastAsia="宋体" w:cs="宋体"/>
          <w:szCs w:val="21"/>
        </w:rPr>
      </w:pPr>
      <w:r>
        <w:rPr>
          <w:rFonts w:hint="eastAsia" w:ascii="宋体" w:hAnsi="宋体" w:eastAsia="宋体" w:cs="宋体"/>
          <w:szCs w:val="21"/>
        </w:rPr>
        <w:t>4、投标人不准以洽谈业务、签订经济协议等为借口，邀请招标人工作人员外出旅游或进入营业性高档娱乐会所。</w:t>
      </w:r>
    </w:p>
    <w:p>
      <w:pPr>
        <w:spacing w:line="480" w:lineRule="exact"/>
        <w:ind w:firstLine="420" w:firstLineChars="200"/>
        <w:rPr>
          <w:rFonts w:ascii="宋体" w:hAnsi="宋体" w:eastAsia="宋体" w:cs="宋体"/>
          <w:szCs w:val="21"/>
        </w:rPr>
      </w:pPr>
      <w:r>
        <w:rPr>
          <w:rFonts w:hint="eastAsia" w:ascii="宋体" w:hAnsi="宋体" w:eastAsia="宋体" w:cs="宋体"/>
          <w:szCs w:val="21"/>
        </w:rPr>
        <w:t>5、投标人不准为招标人单位和个人购置或者提供通讯工具、交通工具、家电及高档办公用品等物品。</w:t>
      </w:r>
    </w:p>
    <w:p>
      <w:pPr>
        <w:spacing w:line="480" w:lineRule="exact"/>
        <w:ind w:firstLine="420" w:firstLineChars="200"/>
        <w:rPr>
          <w:rFonts w:ascii="宋体" w:hAnsi="宋体" w:eastAsia="宋体" w:cs="宋体"/>
          <w:szCs w:val="21"/>
        </w:rPr>
      </w:pPr>
      <w:r>
        <w:rPr>
          <w:rFonts w:hint="eastAsia" w:ascii="宋体" w:hAnsi="宋体" w:eastAsia="宋体" w:cs="宋体"/>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pPr>
        <w:spacing w:line="360" w:lineRule="auto"/>
        <w:rPr>
          <w:rFonts w:ascii="宋体" w:hAnsi="宋体" w:eastAsiaTheme="minorEastAsia"/>
          <w:szCs w:val="21"/>
        </w:rPr>
      </w:pPr>
    </w:p>
    <w:p>
      <w:pPr>
        <w:snapToGrid w:val="0"/>
        <w:spacing w:line="360" w:lineRule="auto"/>
        <w:rPr>
          <w:rFonts w:ascii="宋体" w:hAnsi="宋体"/>
          <w:szCs w:val="21"/>
        </w:rPr>
      </w:pPr>
    </w:p>
    <w:sectPr>
      <w:pgSz w:w="11906" w:h="16838"/>
      <w:pgMar w:top="1418" w:right="1134" w:bottom="1418"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6</w:t>
    </w:r>
    <w:r>
      <w:rPr>
        <w:kern w:val="0"/>
      </w:rPr>
      <w:fldChar w:fldCharType="end"/>
    </w:r>
    <w:r>
      <w:rPr>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B9107"/>
    <w:multiLevelType w:val="singleLevel"/>
    <w:tmpl w:val="E94B9107"/>
    <w:lvl w:ilvl="0" w:tentative="0">
      <w:start w:val="4"/>
      <w:numFmt w:val="decimal"/>
      <w:suff w:val="nothing"/>
      <w:lvlText w:val="%1、"/>
      <w:lvlJc w:val="left"/>
    </w:lvl>
  </w:abstractNum>
  <w:abstractNum w:abstractNumId="1">
    <w:nsid w:val="182B4DB5"/>
    <w:multiLevelType w:val="multilevel"/>
    <w:tmpl w:val="182B4DB5"/>
    <w:lvl w:ilvl="0" w:tentative="0">
      <w:start w:val="1"/>
      <w:numFmt w:val="decimal"/>
      <w:lvlText w:val="%1)"/>
      <w:lvlJc w:val="left"/>
      <w:pPr>
        <w:tabs>
          <w:tab w:val="left" w:pos="704"/>
        </w:tabs>
        <w:ind w:left="704" w:hanging="420"/>
      </w:pPr>
      <w:rPr>
        <w:rFonts w:hint="eastAsia"/>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514"/>
    <w:rsid w:val="000018B1"/>
    <w:rsid w:val="000109AA"/>
    <w:rsid w:val="00012DB5"/>
    <w:rsid w:val="0001354D"/>
    <w:rsid w:val="00014D30"/>
    <w:rsid w:val="00016811"/>
    <w:rsid w:val="000249E8"/>
    <w:rsid w:val="00027111"/>
    <w:rsid w:val="00027644"/>
    <w:rsid w:val="000279E4"/>
    <w:rsid w:val="00034916"/>
    <w:rsid w:val="00034A91"/>
    <w:rsid w:val="000363AA"/>
    <w:rsid w:val="00041E2E"/>
    <w:rsid w:val="00051406"/>
    <w:rsid w:val="0006036D"/>
    <w:rsid w:val="00061453"/>
    <w:rsid w:val="0006333F"/>
    <w:rsid w:val="00064383"/>
    <w:rsid w:val="00067891"/>
    <w:rsid w:val="00070163"/>
    <w:rsid w:val="000722CC"/>
    <w:rsid w:val="00076608"/>
    <w:rsid w:val="000801FE"/>
    <w:rsid w:val="0008097B"/>
    <w:rsid w:val="000847AC"/>
    <w:rsid w:val="00087637"/>
    <w:rsid w:val="00093D6E"/>
    <w:rsid w:val="000946A8"/>
    <w:rsid w:val="00096FCF"/>
    <w:rsid w:val="00097AEE"/>
    <w:rsid w:val="000A2632"/>
    <w:rsid w:val="000A4B41"/>
    <w:rsid w:val="000B1E3A"/>
    <w:rsid w:val="000B25EF"/>
    <w:rsid w:val="000B37DA"/>
    <w:rsid w:val="000B4514"/>
    <w:rsid w:val="000C0B42"/>
    <w:rsid w:val="000C18C0"/>
    <w:rsid w:val="000C2A1D"/>
    <w:rsid w:val="000C2C09"/>
    <w:rsid w:val="000C5345"/>
    <w:rsid w:val="000C5A05"/>
    <w:rsid w:val="000E443D"/>
    <w:rsid w:val="000E6898"/>
    <w:rsid w:val="000F337F"/>
    <w:rsid w:val="000F5FD0"/>
    <w:rsid w:val="000F6109"/>
    <w:rsid w:val="00100EE6"/>
    <w:rsid w:val="00100F5D"/>
    <w:rsid w:val="00101F03"/>
    <w:rsid w:val="0010285E"/>
    <w:rsid w:val="001031EB"/>
    <w:rsid w:val="0010440E"/>
    <w:rsid w:val="001062D6"/>
    <w:rsid w:val="0011741E"/>
    <w:rsid w:val="00120B20"/>
    <w:rsid w:val="00123BCB"/>
    <w:rsid w:val="00123C88"/>
    <w:rsid w:val="001247D9"/>
    <w:rsid w:val="00126800"/>
    <w:rsid w:val="00127856"/>
    <w:rsid w:val="00130369"/>
    <w:rsid w:val="00132C8D"/>
    <w:rsid w:val="00137BB5"/>
    <w:rsid w:val="0014040C"/>
    <w:rsid w:val="00143A40"/>
    <w:rsid w:val="0015200F"/>
    <w:rsid w:val="0015659B"/>
    <w:rsid w:val="00164A96"/>
    <w:rsid w:val="00165628"/>
    <w:rsid w:val="00165BF2"/>
    <w:rsid w:val="00167306"/>
    <w:rsid w:val="00170CE9"/>
    <w:rsid w:val="001723B2"/>
    <w:rsid w:val="001759F7"/>
    <w:rsid w:val="00180EB6"/>
    <w:rsid w:val="0019014E"/>
    <w:rsid w:val="00191531"/>
    <w:rsid w:val="00191C85"/>
    <w:rsid w:val="001944F6"/>
    <w:rsid w:val="00195509"/>
    <w:rsid w:val="001A013D"/>
    <w:rsid w:val="001A70AE"/>
    <w:rsid w:val="001A7610"/>
    <w:rsid w:val="001B06D8"/>
    <w:rsid w:val="001B5D78"/>
    <w:rsid w:val="001B60B2"/>
    <w:rsid w:val="001C00AC"/>
    <w:rsid w:val="001C04A3"/>
    <w:rsid w:val="001C457E"/>
    <w:rsid w:val="001D0942"/>
    <w:rsid w:val="001D5E0C"/>
    <w:rsid w:val="001D6A1C"/>
    <w:rsid w:val="001D72C1"/>
    <w:rsid w:val="001D7846"/>
    <w:rsid w:val="001D7DF3"/>
    <w:rsid w:val="001E2A6E"/>
    <w:rsid w:val="001E34AD"/>
    <w:rsid w:val="001E4A75"/>
    <w:rsid w:val="001F1493"/>
    <w:rsid w:val="001F5174"/>
    <w:rsid w:val="00203354"/>
    <w:rsid w:val="00205F1F"/>
    <w:rsid w:val="002063FF"/>
    <w:rsid w:val="00207B50"/>
    <w:rsid w:val="0021080A"/>
    <w:rsid w:val="00211C67"/>
    <w:rsid w:val="002139B7"/>
    <w:rsid w:val="00214CAA"/>
    <w:rsid w:val="00220042"/>
    <w:rsid w:val="002204C3"/>
    <w:rsid w:val="00220D5F"/>
    <w:rsid w:val="00226C97"/>
    <w:rsid w:val="00231090"/>
    <w:rsid w:val="00245157"/>
    <w:rsid w:val="00246E08"/>
    <w:rsid w:val="00246E19"/>
    <w:rsid w:val="00247BE1"/>
    <w:rsid w:val="002543E9"/>
    <w:rsid w:val="00254478"/>
    <w:rsid w:val="00254F11"/>
    <w:rsid w:val="00260BE8"/>
    <w:rsid w:val="00267EF8"/>
    <w:rsid w:val="002704CE"/>
    <w:rsid w:val="00270C3E"/>
    <w:rsid w:val="00271A5B"/>
    <w:rsid w:val="00271D81"/>
    <w:rsid w:val="00283E88"/>
    <w:rsid w:val="002932BE"/>
    <w:rsid w:val="002A0659"/>
    <w:rsid w:val="002A1BD0"/>
    <w:rsid w:val="002A68B9"/>
    <w:rsid w:val="002A7746"/>
    <w:rsid w:val="002B1BAA"/>
    <w:rsid w:val="002B3A2F"/>
    <w:rsid w:val="002B63B1"/>
    <w:rsid w:val="002B6987"/>
    <w:rsid w:val="002C09CC"/>
    <w:rsid w:val="002D403C"/>
    <w:rsid w:val="002D60E4"/>
    <w:rsid w:val="002D6B50"/>
    <w:rsid w:val="002E01EC"/>
    <w:rsid w:val="002E0BC6"/>
    <w:rsid w:val="002E4C7A"/>
    <w:rsid w:val="002F646B"/>
    <w:rsid w:val="002F6AC9"/>
    <w:rsid w:val="00304159"/>
    <w:rsid w:val="00304E57"/>
    <w:rsid w:val="003067D7"/>
    <w:rsid w:val="003072C8"/>
    <w:rsid w:val="003076B0"/>
    <w:rsid w:val="00310395"/>
    <w:rsid w:val="003132B9"/>
    <w:rsid w:val="003218B3"/>
    <w:rsid w:val="00324EC2"/>
    <w:rsid w:val="00325B6E"/>
    <w:rsid w:val="003271A8"/>
    <w:rsid w:val="003354CE"/>
    <w:rsid w:val="00340800"/>
    <w:rsid w:val="00341C87"/>
    <w:rsid w:val="00342317"/>
    <w:rsid w:val="003465E9"/>
    <w:rsid w:val="00347DEA"/>
    <w:rsid w:val="003531F9"/>
    <w:rsid w:val="00355D3F"/>
    <w:rsid w:val="00355E00"/>
    <w:rsid w:val="00356EE0"/>
    <w:rsid w:val="003571C4"/>
    <w:rsid w:val="00360E8A"/>
    <w:rsid w:val="00361BCC"/>
    <w:rsid w:val="00364166"/>
    <w:rsid w:val="00371B43"/>
    <w:rsid w:val="00373FDA"/>
    <w:rsid w:val="00375145"/>
    <w:rsid w:val="00375C3A"/>
    <w:rsid w:val="00383AF4"/>
    <w:rsid w:val="003910BD"/>
    <w:rsid w:val="003A2978"/>
    <w:rsid w:val="003A63D8"/>
    <w:rsid w:val="003B067A"/>
    <w:rsid w:val="003B30A5"/>
    <w:rsid w:val="003B691F"/>
    <w:rsid w:val="003B7A5B"/>
    <w:rsid w:val="003C5C9B"/>
    <w:rsid w:val="003C770B"/>
    <w:rsid w:val="003D08C7"/>
    <w:rsid w:val="003D6A2A"/>
    <w:rsid w:val="003D6B1F"/>
    <w:rsid w:val="003D7356"/>
    <w:rsid w:val="003E20F4"/>
    <w:rsid w:val="003E4018"/>
    <w:rsid w:val="003E529E"/>
    <w:rsid w:val="003E689D"/>
    <w:rsid w:val="003F47E7"/>
    <w:rsid w:val="003F493A"/>
    <w:rsid w:val="003F51F7"/>
    <w:rsid w:val="004016C3"/>
    <w:rsid w:val="00402657"/>
    <w:rsid w:val="0040395E"/>
    <w:rsid w:val="00406FEC"/>
    <w:rsid w:val="00407453"/>
    <w:rsid w:val="00412E23"/>
    <w:rsid w:val="0041501B"/>
    <w:rsid w:val="00416186"/>
    <w:rsid w:val="0042162D"/>
    <w:rsid w:val="00433A23"/>
    <w:rsid w:val="00435D46"/>
    <w:rsid w:val="00435EB6"/>
    <w:rsid w:val="0043656D"/>
    <w:rsid w:val="0043697D"/>
    <w:rsid w:val="004400AD"/>
    <w:rsid w:val="004400C2"/>
    <w:rsid w:val="0044070B"/>
    <w:rsid w:val="00441E97"/>
    <w:rsid w:val="00442070"/>
    <w:rsid w:val="00444711"/>
    <w:rsid w:val="00445204"/>
    <w:rsid w:val="004463F8"/>
    <w:rsid w:val="004463FA"/>
    <w:rsid w:val="0045035E"/>
    <w:rsid w:val="0045236D"/>
    <w:rsid w:val="0045238F"/>
    <w:rsid w:val="00452801"/>
    <w:rsid w:val="004542BC"/>
    <w:rsid w:val="004564DA"/>
    <w:rsid w:val="00462CB7"/>
    <w:rsid w:val="00464826"/>
    <w:rsid w:val="00467074"/>
    <w:rsid w:val="0047360E"/>
    <w:rsid w:val="00474F25"/>
    <w:rsid w:val="00476FFA"/>
    <w:rsid w:val="00480149"/>
    <w:rsid w:val="00481514"/>
    <w:rsid w:val="004815B6"/>
    <w:rsid w:val="00483BFB"/>
    <w:rsid w:val="004853A0"/>
    <w:rsid w:val="004918D9"/>
    <w:rsid w:val="00492C98"/>
    <w:rsid w:val="00493738"/>
    <w:rsid w:val="00494B18"/>
    <w:rsid w:val="00494EFF"/>
    <w:rsid w:val="004A14D1"/>
    <w:rsid w:val="004A16EC"/>
    <w:rsid w:val="004A2C3E"/>
    <w:rsid w:val="004A410C"/>
    <w:rsid w:val="004B3490"/>
    <w:rsid w:val="004B3B3C"/>
    <w:rsid w:val="004B6400"/>
    <w:rsid w:val="004C0FD8"/>
    <w:rsid w:val="004C2640"/>
    <w:rsid w:val="004C7C85"/>
    <w:rsid w:val="004D05A2"/>
    <w:rsid w:val="004D455A"/>
    <w:rsid w:val="004D45C6"/>
    <w:rsid w:val="004D7DD7"/>
    <w:rsid w:val="004E7CA2"/>
    <w:rsid w:val="004F0529"/>
    <w:rsid w:val="004F7FE5"/>
    <w:rsid w:val="00504F85"/>
    <w:rsid w:val="00511FF9"/>
    <w:rsid w:val="005236D9"/>
    <w:rsid w:val="00523939"/>
    <w:rsid w:val="005263FA"/>
    <w:rsid w:val="00526934"/>
    <w:rsid w:val="005321A4"/>
    <w:rsid w:val="005328FE"/>
    <w:rsid w:val="00532D6E"/>
    <w:rsid w:val="00533971"/>
    <w:rsid w:val="005361B3"/>
    <w:rsid w:val="00537331"/>
    <w:rsid w:val="00537ADA"/>
    <w:rsid w:val="0054264D"/>
    <w:rsid w:val="00545BB5"/>
    <w:rsid w:val="00546783"/>
    <w:rsid w:val="0055022B"/>
    <w:rsid w:val="00553148"/>
    <w:rsid w:val="00553F94"/>
    <w:rsid w:val="00554C34"/>
    <w:rsid w:val="005604E1"/>
    <w:rsid w:val="00562C68"/>
    <w:rsid w:val="005649D7"/>
    <w:rsid w:val="00565407"/>
    <w:rsid w:val="005655B0"/>
    <w:rsid w:val="005707F8"/>
    <w:rsid w:val="0057299F"/>
    <w:rsid w:val="00577EB0"/>
    <w:rsid w:val="0058261C"/>
    <w:rsid w:val="00583891"/>
    <w:rsid w:val="00583C55"/>
    <w:rsid w:val="00585001"/>
    <w:rsid w:val="00585BE0"/>
    <w:rsid w:val="00590324"/>
    <w:rsid w:val="005936D3"/>
    <w:rsid w:val="0059384F"/>
    <w:rsid w:val="00595D2B"/>
    <w:rsid w:val="00597619"/>
    <w:rsid w:val="00597BF4"/>
    <w:rsid w:val="005A3D64"/>
    <w:rsid w:val="005A4149"/>
    <w:rsid w:val="005A5D19"/>
    <w:rsid w:val="005A65EF"/>
    <w:rsid w:val="005A6959"/>
    <w:rsid w:val="005A6C4C"/>
    <w:rsid w:val="005A7036"/>
    <w:rsid w:val="005B0DE4"/>
    <w:rsid w:val="005B33E7"/>
    <w:rsid w:val="005B4D52"/>
    <w:rsid w:val="005C5A83"/>
    <w:rsid w:val="005C7EB6"/>
    <w:rsid w:val="005D6C67"/>
    <w:rsid w:val="005D7F18"/>
    <w:rsid w:val="005E0F04"/>
    <w:rsid w:val="005E2FD9"/>
    <w:rsid w:val="005E5131"/>
    <w:rsid w:val="005E5EB0"/>
    <w:rsid w:val="005F286A"/>
    <w:rsid w:val="005F2DF6"/>
    <w:rsid w:val="005F6410"/>
    <w:rsid w:val="00605F3F"/>
    <w:rsid w:val="006100E1"/>
    <w:rsid w:val="00611CCD"/>
    <w:rsid w:val="006126F1"/>
    <w:rsid w:val="00613E50"/>
    <w:rsid w:val="00615A55"/>
    <w:rsid w:val="0061780D"/>
    <w:rsid w:val="006266AA"/>
    <w:rsid w:val="00626844"/>
    <w:rsid w:val="00627355"/>
    <w:rsid w:val="0063160B"/>
    <w:rsid w:val="0063290D"/>
    <w:rsid w:val="00635963"/>
    <w:rsid w:val="006377BF"/>
    <w:rsid w:val="00640895"/>
    <w:rsid w:val="0064241C"/>
    <w:rsid w:val="0064393F"/>
    <w:rsid w:val="00651A44"/>
    <w:rsid w:val="00652985"/>
    <w:rsid w:val="00653582"/>
    <w:rsid w:val="00654D5E"/>
    <w:rsid w:val="0065630D"/>
    <w:rsid w:val="006565A8"/>
    <w:rsid w:val="00656F0B"/>
    <w:rsid w:val="00657B85"/>
    <w:rsid w:val="00670170"/>
    <w:rsid w:val="00675FCA"/>
    <w:rsid w:val="00676EDF"/>
    <w:rsid w:val="00680E9B"/>
    <w:rsid w:val="00684150"/>
    <w:rsid w:val="006871A2"/>
    <w:rsid w:val="006909EC"/>
    <w:rsid w:val="00692064"/>
    <w:rsid w:val="00693A0F"/>
    <w:rsid w:val="00694278"/>
    <w:rsid w:val="006942DF"/>
    <w:rsid w:val="006A0F6B"/>
    <w:rsid w:val="006A2392"/>
    <w:rsid w:val="006A61FA"/>
    <w:rsid w:val="006B0A78"/>
    <w:rsid w:val="006B68BB"/>
    <w:rsid w:val="006C1A97"/>
    <w:rsid w:val="006C2071"/>
    <w:rsid w:val="006C32B4"/>
    <w:rsid w:val="006C4147"/>
    <w:rsid w:val="006C4383"/>
    <w:rsid w:val="006C7C64"/>
    <w:rsid w:val="006D2B14"/>
    <w:rsid w:val="006D3FA1"/>
    <w:rsid w:val="006D47DA"/>
    <w:rsid w:val="006D6656"/>
    <w:rsid w:val="006E19C4"/>
    <w:rsid w:val="006E20C5"/>
    <w:rsid w:val="006F32A3"/>
    <w:rsid w:val="006F42D7"/>
    <w:rsid w:val="0070151A"/>
    <w:rsid w:val="00702DE5"/>
    <w:rsid w:val="00710BFF"/>
    <w:rsid w:val="00717798"/>
    <w:rsid w:val="007216A4"/>
    <w:rsid w:val="0073147C"/>
    <w:rsid w:val="0073252F"/>
    <w:rsid w:val="00732617"/>
    <w:rsid w:val="007343AA"/>
    <w:rsid w:val="00740651"/>
    <w:rsid w:val="00740B77"/>
    <w:rsid w:val="0074123B"/>
    <w:rsid w:val="007458B5"/>
    <w:rsid w:val="00746019"/>
    <w:rsid w:val="00751BBE"/>
    <w:rsid w:val="007547C5"/>
    <w:rsid w:val="00755097"/>
    <w:rsid w:val="00756DC2"/>
    <w:rsid w:val="00761024"/>
    <w:rsid w:val="00771574"/>
    <w:rsid w:val="00774223"/>
    <w:rsid w:val="007843EE"/>
    <w:rsid w:val="00790975"/>
    <w:rsid w:val="00793BA2"/>
    <w:rsid w:val="00796FD9"/>
    <w:rsid w:val="007B29D6"/>
    <w:rsid w:val="007B38A5"/>
    <w:rsid w:val="007B6DC9"/>
    <w:rsid w:val="007C080F"/>
    <w:rsid w:val="007C522E"/>
    <w:rsid w:val="007D1030"/>
    <w:rsid w:val="007D29B5"/>
    <w:rsid w:val="007D4A8B"/>
    <w:rsid w:val="007E2EB0"/>
    <w:rsid w:val="007E3FD7"/>
    <w:rsid w:val="007E6EE6"/>
    <w:rsid w:val="007E7181"/>
    <w:rsid w:val="007F052C"/>
    <w:rsid w:val="007F05CA"/>
    <w:rsid w:val="007F16A9"/>
    <w:rsid w:val="008016FB"/>
    <w:rsid w:val="00805B57"/>
    <w:rsid w:val="0081311E"/>
    <w:rsid w:val="00813EEC"/>
    <w:rsid w:val="008158C7"/>
    <w:rsid w:val="00816E14"/>
    <w:rsid w:val="008203A6"/>
    <w:rsid w:val="00822851"/>
    <w:rsid w:val="00823EEE"/>
    <w:rsid w:val="008342F4"/>
    <w:rsid w:val="008344F0"/>
    <w:rsid w:val="008352E1"/>
    <w:rsid w:val="00835580"/>
    <w:rsid w:val="00836E91"/>
    <w:rsid w:val="008373EF"/>
    <w:rsid w:val="0084249C"/>
    <w:rsid w:val="008436CC"/>
    <w:rsid w:val="00847889"/>
    <w:rsid w:val="00850940"/>
    <w:rsid w:val="00850E29"/>
    <w:rsid w:val="0085192F"/>
    <w:rsid w:val="008552FF"/>
    <w:rsid w:val="0086023B"/>
    <w:rsid w:val="00863716"/>
    <w:rsid w:val="00872988"/>
    <w:rsid w:val="00876FFD"/>
    <w:rsid w:val="00880502"/>
    <w:rsid w:val="00881E08"/>
    <w:rsid w:val="00885442"/>
    <w:rsid w:val="00886796"/>
    <w:rsid w:val="008A18E5"/>
    <w:rsid w:val="008A340A"/>
    <w:rsid w:val="008A363D"/>
    <w:rsid w:val="008A3ED8"/>
    <w:rsid w:val="008A658D"/>
    <w:rsid w:val="008B29F0"/>
    <w:rsid w:val="008C1CCB"/>
    <w:rsid w:val="008C3D19"/>
    <w:rsid w:val="008C546B"/>
    <w:rsid w:val="008C7B6E"/>
    <w:rsid w:val="008D5165"/>
    <w:rsid w:val="008D7E3A"/>
    <w:rsid w:val="008E0B8F"/>
    <w:rsid w:val="008E66C1"/>
    <w:rsid w:val="008F1E05"/>
    <w:rsid w:val="008F4C96"/>
    <w:rsid w:val="009026F8"/>
    <w:rsid w:val="00915CDB"/>
    <w:rsid w:val="009215C8"/>
    <w:rsid w:val="009259A6"/>
    <w:rsid w:val="00932CD8"/>
    <w:rsid w:val="00940B7F"/>
    <w:rsid w:val="00941437"/>
    <w:rsid w:val="00943FB8"/>
    <w:rsid w:val="009460E7"/>
    <w:rsid w:val="00952D09"/>
    <w:rsid w:val="009535D1"/>
    <w:rsid w:val="009540A4"/>
    <w:rsid w:val="009551BD"/>
    <w:rsid w:val="0095609E"/>
    <w:rsid w:val="0097333D"/>
    <w:rsid w:val="0097537E"/>
    <w:rsid w:val="009760CC"/>
    <w:rsid w:val="009765E5"/>
    <w:rsid w:val="00977A5A"/>
    <w:rsid w:val="00984811"/>
    <w:rsid w:val="00987009"/>
    <w:rsid w:val="009911BA"/>
    <w:rsid w:val="00991B18"/>
    <w:rsid w:val="00992B3C"/>
    <w:rsid w:val="0099601C"/>
    <w:rsid w:val="009A63E0"/>
    <w:rsid w:val="009A66E0"/>
    <w:rsid w:val="009B7DE8"/>
    <w:rsid w:val="009B7FD7"/>
    <w:rsid w:val="009E0555"/>
    <w:rsid w:val="009E745B"/>
    <w:rsid w:val="009F5929"/>
    <w:rsid w:val="009F7D1D"/>
    <w:rsid w:val="009F7E63"/>
    <w:rsid w:val="00A0040F"/>
    <w:rsid w:val="00A02A2E"/>
    <w:rsid w:val="00A178BD"/>
    <w:rsid w:val="00A212BF"/>
    <w:rsid w:val="00A26A95"/>
    <w:rsid w:val="00A33C34"/>
    <w:rsid w:val="00A35322"/>
    <w:rsid w:val="00A377E5"/>
    <w:rsid w:val="00A40DF3"/>
    <w:rsid w:val="00A41317"/>
    <w:rsid w:val="00A4299B"/>
    <w:rsid w:val="00A460A2"/>
    <w:rsid w:val="00A46F84"/>
    <w:rsid w:val="00A471A7"/>
    <w:rsid w:val="00A5533F"/>
    <w:rsid w:val="00A557A7"/>
    <w:rsid w:val="00A57D1E"/>
    <w:rsid w:val="00A62469"/>
    <w:rsid w:val="00A72A61"/>
    <w:rsid w:val="00A74DB7"/>
    <w:rsid w:val="00A76DB3"/>
    <w:rsid w:val="00A77E89"/>
    <w:rsid w:val="00A83000"/>
    <w:rsid w:val="00A83632"/>
    <w:rsid w:val="00A83F16"/>
    <w:rsid w:val="00A85EB3"/>
    <w:rsid w:val="00A90F7F"/>
    <w:rsid w:val="00A91470"/>
    <w:rsid w:val="00A91DC0"/>
    <w:rsid w:val="00A91E2F"/>
    <w:rsid w:val="00A95CCF"/>
    <w:rsid w:val="00A95D9C"/>
    <w:rsid w:val="00A97364"/>
    <w:rsid w:val="00A977EE"/>
    <w:rsid w:val="00AA1219"/>
    <w:rsid w:val="00AA2BA1"/>
    <w:rsid w:val="00AA5194"/>
    <w:rsid w:val="00AA6C36"/>
    <w:rsid w:val="00AA716A"/>
    <w:rsid w:val="00AC3740"/>
    <w:rsid w:val="00AC37EC"/>
    <w:rsid w:val="00AC50EE"/>
    <w:rsid w:val="00AD07D0"/>
    <w:rsid w:val="00AD5D39"/>
    <w:rsid w:val="00AD6175"/>
    <w:rsid w:val="00AD64A6"/>
    <w:rsid w:val="00AE078F"/>
    <w:rsid w:val="00AE1E56"/>
    <w:rsid w:val="00AF616E"/>
    <w:rsid w:val="00AF74E6"/>
    <w:rsid w:val="00B06992"/>
    <w:rsid w:val="00B06CAB"/>
    <w:rsid w:val="00B071D1"/>
    <w:rsid w:val="00B07D08"/>
    <w:rsid w:val="00B106D5"/>
    <w:rsid w:val="00B1433E"/>
    <w:rsid w:val="00B14C34"/>
    <w:rsid w:val="00B165A4"/>
    <w:rsid w:val="00B179E1"/>
    <w:rsid w:val="00B209D5"/>
    <w:rsid w:val="00B20B23"/>
    <w:rsid w:val="00B31C7B"/>
    <w:rsid w:val="00B31E61"/>
    <w:rsid w:val="00B31FAF"/>
    <w:rsid w:val="00B3230A"/>
    <w:rsid w:val="00B358CC"/>
    <w:rsid w:val="00B3627D"/>
    <w:rsid w:val="00B37B85"/>
    <w:rsid w:val="00B41391"/>
    <w:rsid w:val="00B42951"/>
    <w:rsid w:val="00B4337E"/>
    <w:rsid w:val="00B4578C"/>
    <w:rsid w:val="00B47556"/>
    <w:rsid w:val="00B47E43"/>
    <w:rsid w:val="00B5128B"/>
    <w:rsid w:val="00B556CA"/>
    <w:rsid w:val="00B55D96"/>
    <w:rsid w:val="00B657DB"/>
    <w:rsid w:val="00B66076"/>
    <w:rsid w:val="00B717A4"/>
    <w:rsid w:val="00B734D3"/>
    <w:rsid w:val="00B740EE"/>
    <w:rsid w:val="00B7486C"/>
    <w:rsid w:val="00B8101F"/>
    <w:rsid w:val="00B8174A"/>
    <w:rsid w:val="00B82B28"/>
    <w:rsid w:val="00B871FC"/>
    <w:rsid w:val="00B8790D"/>
    <w:rsid w:val="00B911C4"/>
    <w:rsid w:val="00B91FDA"/>
    <w:rsid w:val="00BA3146"/>
    <w:rsid w:val="00BA4264"/>
    <w:rsid w:val="00BA782C"/>
    <w:rsid w:val="00BA7995"/>
    <w:rsid w:val="00BB42CD"/>
    <w:rsid w:val="00BB6F52"/>
    <w:rsid w:val="00BB7C64"/>
    <w:rsid w:val="00BC0E5A"/>
    <w:rsid w:val="00BC63E8"/>
    <w:rsid w:val="00BD22C8"/>
    <w:rsid w:val="00BD4734"/>
    <w:rsid w:val="00BE0788"/>
    <w:rsid w:val="00BE0CAF"/>
    <w:rsid w:val="00BF334A"/>
    <w:rsid w:val="00BF4975"/>
    <w:rsid w:val="00BF517C"/>
    <w:rsid w:val="00BF5372"/>
    <w:rsid w:val="00BF720F"/>
    <w:rsid w:val="00C00AAD"/>
    <w:rsid w:val="00C00DD6"/>
    <w:rsid w:val="00C04C94"/>
    <w:rsid w:val="00C06849"/>
    <w:rsid w:val="00C0759B"/>
    <w:rsid w:val="00C1310E"/>
    <w:rsid w:val="00C13C0E"/>
    <w:rsid w:val="00C144D1"/>
    <w:rsid w:val="00C15860"/>
    <w:rsid w:val="00C17286"/>
    <w:rsid w:val="00C21702"/>
    <w:rsid w:val="00C23F52"/>
    <w:rsid w:val="00C24CD9"/>
    <w:rsid w:val="00C304AA"/>
    <w:rsid w:val="00C3261E"/>
    <w:rsid w:val="00C326E3"/>
    <w:rsid w:val="00C33963"/>
    <w:rsid w:val="00C34DDB"/>
    <w:rsid w:val="00C4416D"/>
    <w:rsid w:val="00C4539B"/>
    <w:rsid w:val="00C46C2B"/>
    <w:rsid w:val="00C50625"/>
    <w:rsid w:val="00C50680"/>
    <w:rsid w:val="00C50CF0"/>
    <w:rsid w:val="00C519FD"/>
    <w:rsid w:val="00C550E9"/>
    <w:rsid w:val="00C55494"/>
    <w:rsid w:val="00C57B40"/>
    <w:rsid w:val="00C60E29"/>
    <w:rsid w:val="00C62FC6"/>
    <w:rsid w:val="00C6355A"/>
    <w:rsid w:val="00C64B9C"/>
    <w:rsid w:val="00C6523B"/>
    <w:rsid w:val="00C65329"/>
    <w:rsid w:val="00C71126"/>
    <w:rsid w:val="00C73C05"/>
    <w:rsid w:val="00C75582"/>
    <w:rsid w:val="00C82B6A"/>
    <w:rsid w:val="00C8586E"/>
    <w:rsid w:val="00C910B6"/>
    <w:rsid w:val="00C9134A"/>
    <w:rsid w:val="00C948F3"/>
    <w:rsid w:val="00C970AE"/>
    <w:rsid w:val="00CA6684"/>
    <w:rsid w:val="00CA6E23"/>
    <w:rsid w:val="00CB4FB3"/>
    <w:rsid w:val="00CB50BD"/>
    <w:rsid w:val="00CB67ED"/>
    <w:rsid w:val="00CB6FCC"/>
    <w:rsid w:val="00CC12D0"/>
    <w:rsid w:val="00CC5FF9"/>
    <w:rsid w:val="00CC747E"/>
    <w:rsid w:val="00CC7FD5"/>
    <w:rsid w:val="00CD1EFC"/>
    <w:rsid w:val="00CD2A7A"/>
    <w:rsid w:val="00CD5D8D"/>
    <w:rsid w:val="00CD7E08"/>
    <w:rsid w:val="00CE0AC4"/>
    <w:rsid w:val="00CE0E88"/>
    <w:rsid w:val="00CE30A1"/>
    <w:rsid w:val="00CE5064"/>
    <w:rsid w:val="00CE7528"/>
    <w:rsid w:val="00CE78FA"/>
    <w:rsid w:val="00CE7EAD"/>
    <w:rsid w:val="00CF1F47"/>
    <w:rsid w:val="00CF4145"/>
    <w:rsid w:val="00CF5832"/>
    <w:rsid w:val="00CF58E0"/>
    <w:rsid w:val="00CF7435"/>
    <w:rsid w:val="00CF794C"/>
    <w:rsid w:val="00CF7D23"/>
    <w:rsid w:val="00D04B44"/>
    <w:rsid w:val="00D11639"/>
    <w:rsid w:val="00D139EA"/>
    <w:rsid w:val="00D14E78"/>
    <w:rsid w:val="00D14FF1"/>
    <w:rsid w:val="00D15E5C"/>
    <w:rsid w:val="00D17AE6"/>
    <w:rsid w:val="00D22A7C"/>
    <w:rsid w:val="00D23565"/>
    <w:rsid w:val="00D237DD"/>
    <w:rsid w:val="00D2461B"/>
    <w:rsid w:val="00D26D57"/>
    <w:rsid w:val="00D3271D"/>
    <w:rsid w:val="00D35E9F"/>
    <w:rsid w:val="00D437F3"/>
    <w:rsid w:val="00D43945"/>
    <w:rsid w:val="00D46216"/>
    <w:rsid w:val="00D51C99"/>
    <w:rsid w:val="00D538CC"/>
    <w:rsid w:val="00D53E8E"/>
    <w:rsid w:val="00D54712"/>
    <w:rsid w:val="00D54999"/>
    <w:rsid w:val="00D567E4"/>
    <w:rsid w:val="00D574B9"/>
    <w:rsid w:val="00D57F72"/>
    <w:rsid w:val="00D60AE0"/>
    <w:rsid w:val="00D61BCE"/>
    <w:rsid w:val="00D644D8"/>
    <w:rsid w:val="00D72E2B"/>
    <w:rsid w:val="00D8347E"/>
    <w:rsid w:val="00D9361C"/>
    <w:rsid w:val="00DA273D"/>
    <w:rsid w:val="00DA4C25"/>
    <w:rsid w:val="00DA4E43"/>
    <w:rsid w:val="00DA6D87"/>
    <w:rsid w:val="00DA7660"/>
    <w:rsid w:val="00DB245D"/>
    <w:rsid w:val="00DB2EE7"/>
    <w:rsid w:val="00DB4297"/>
    <w:rsid w:val="00DB7522"/>
    <w:rsid w:val="00DB75CF"/>
    <w:rsid w:val="00DC2097"/>
    <w:rsid w:val="00DD40CE"/>
    <w:rsid w:val="00DD4BB6"/>
    <w:rsid w:val="00DD7D56"/>
    <w:rsid w:val="00DE7B1C"/>
    <w:rsid w:val="00DF3FC5"/>
    <w:rsid w:val="00DF5827"/>
    <w:rsid w:val="00DF6B32"/>
    <w:rsid w:val="00DF79A2"/>
    <w:rsid w:val="00E00D1D"/>
    <w:rsid w:val="00E036DF"/>
    <w:rsid w:val="00E04E26"/>
    <w:rsid w:val="00E061BD"/>
    <w:rsid w:val="00E11CE0"/>
    <w:rsid w:val="00E11FEF"/>
    <w:rsid w:val="00E12963"/>
    <w:rsid w:val="00E12D09"/>
    <w:rsid w:val="00E160B3"/>
    <w:rsid w:val="00E32DDE"/>
    <w:rsid w:val="00E3345F"/>
    <w:rsid w:val="00E34434"/>
    <w:rsid w:val="00E34585"/>
    <w:rsid w:val="00E361AE"/>
    <w:rsid w:val="00E4004C"/>
    <w:rsid w:val="00E509E6"/>
    <w:rsid w:val="00E50D69"/>
    <w:rsid w:val="00E5712E"/>
    <w:rsid w:val="00E6074B"/>
    <w:rsid w:val="00E70075"/>
    <w:rsid w:val="00E71E70"/>
    <w:rsid w:val="00E731A4"/>
    <w:rsid w:val="00E74588"/>
    <w:rsid w:val="00E75416"/>
    <w:rsid w:val="00E826FE"/>
    <w:rsid w:val="00E86A3C"/>
    <w:rsid w:val="00E87558"/>
    <w:rsid w:val="00E92FD3"/>
    <w:rsid w:val="00E93B39"/>
    <w:rsid w:val="00E959E5"/>
    <w:rsid w:val="00E96582"/>
    <w:rsid w:val="00E97C41"/>
    <w:rsid w:val="00EA2668"/>
    <w:rsid w:val="00EA2995"/>
    <w:rsid w:val="00EA4761"/>
    <w:rsid w:val="00EA5FBF"/>
    <w:rsid w:val="00EA6859"/>
    <w:rsid w:val="00EA7D62"/>
    <w:rsid w:val="00EB4757"/>
    <w:rsid w:val="00EB57D2"/>
    <w:rsid w:val="00EB7174"/>
    <w:rsid w:val="00EC55C1"/>
    <w:rsid w:val="00ED7BAB"/>
    <w:rsid w:val="00EE208A"/>
    <w:rsid w:val="00EE46C2"/>
    <w:rsid w:val="00EE5E06"/>
    <w:rsid w:val="00EE7F8C"/>
    <w:rsid w:val="00EF0816"/>
    <w:rsid w:val="00EF5035"/>
    <w:rsid w:val="00F067CA"/>
    <w:rsid w:val="00F12D2C"/>
    <w:rsid w:val="00F16EE0"/>
    <w:rsid w:val="00F20454"/>
    <w:rsid w:val="00F20587"/>
    <w:rsid w:val="00F24CEB"/>
    <w:rsid w:val="00F2636F"/>
    <w:rsid w:val="00F3260B"/>
    <w:rsid w:val="00F334A7"/>
    <w:rsid w:val="00F35C72"/>
    <w:rsid w:val="00F36273"/>
    <w:rsid w:val="00F507DE"/>
    <w:rsid w:val="00F53B9B"/>
    <w:rsid w:val="00F543FB"/>
    <w:rsid w:val="00F565FA"/>
    <w:rsid w:val="00F62B97"/>
    <w:rsid w:val="00F6351D"/>
    <w:rsid w:val="00F64A1B"/>
    <w:rsid w:val="00F667F4"/>
    <w:rsid w:val="00F66CB0"/>
    <w:rsid w:val="00F67FF8"/>
    <w:rsid w:val="00F70E66"/>
    <w:rsid w:val="00F74769"/>
    <w:rsid w:val="00F77157"/>
    <w:rsid w:val="00F779FF"/>
    <w:rsid w:val="00F77AE3"/>
    <w:rsid w:val="00F807CC"/>
    <w:rsid w:val="00F8664F"/>
    <w:rsid w:val="00F91562"/>
    <w:rsid w:val="00F9527E"/>
    <w:rsid w:val="00F97398"/>
    <w:rsid w:val="00FA3996"/>
    <w:rsid w:val="00FA60F5"/>
    <w:rsid w:val="00FB0E3C"/>
    <w:rsid w:val="00FB111D"/>
    <w:rsid w:val="00FB1CC3"/>
    <w:rsid w:val="00FB2565"/>
    <w:rsid w:val="00FB4ED1"/>
    <w:rsid w:val="00FC2AC4"/>
    <w:rsid w:val="00FD2DCB"/>
    <w:rsid w:val="00FD37D1"/>
    <w:rsid w:val="00FD5560"/>
    <w:rsid w:val="00FD6234"/>
    <w:rsid w:val="00FE1867"/>
    <w:rsid w:val="00FE3A04"/>
    <w:rsid w:val="00FE59D9"/>
    <w:rsid w:val="00FF1557"/>
    <w:rsid w:val="00FF1EAA"/>
    <w:rsid w:val="00FF3BD2"/>
    <w:rsid w:val="00FF61EE"/>
    <w:rsid w:val="01476AED"/>
    <w:rsid w:val="01631549"/>
    <w:rsid w:val="01654456"/>
    <w:rsid w:val="019833FD"/>
    <w:rsid w:val="025435F0"/>
    <w:rsid w:val="02F92D08"/>
    <w:rsid w:val="03CF48D0"/>
    <w:rsid w:val="03FB07DC"/>
    <w:rsid w:val="04231362"/>
    <w:rsid w:val="04634FB8"/>
    <w:rsid w:val="04EC6587"/>
    <w:rsid w:val="054F6582"/>
    <w:rsid w:val="059E632B"/>
    <w:rsid w:val="05BD0878"/>
    <w:rsid w:val="073C09F4"/>
    <w:rsid w:val="08B92E8E"/>
    <w:rsid w:val="08E20120"/>
    <w:rsid w:val="0A054038"/>
    <w:rsid w:val="0A2D05F4"/>
    <w:rsid w:val="0A9660CA"/>
    <w:rsid w:val="0B392A21"/>
    <w:rsid w:val="0BA43BF8"/>
    <w:rsid w:val="0C1E5181"/>
    <w:rsid w:val="0FD77DCE"/>
    <w:rsid w:val="119A02EF"/>
    <w:rsid w:val="1209107B"/>
    <w:rsid w:val="12DB3200"/>
    <w:rsid w:val="13D92D9C"/>
    <w:rsid w:val="1494345E"/>
    <w:rsid w:val="166723D7"/>
    <w:rsid w:val="171536FA"/>
    <w:rsid w:val="18267A18"/>
    <w:rsid w:val="18B15476"/>
    <w:rsid w:val="19511D29"/>
    <w:rsid w:val="1BB44881"/>
    <w:rsid w:val="1CA86413"/>
    <w:rsid w:val="1DCE2F5D"/>
    <w:rsid w:val="1E2E3564"/>
    <w:rsid w:val="1EAA2E85"/>
    <w:rsid w:val="241E1D14"/>
    <w:rsid w:val="251C3EEF"/>
    <w:rsid w:val="26B7654B"/>
    <w:rsid w:val="27B76736"/>
    <w:rsid w:val="27C70F4E"/>
    <w:rsid w:val="287D0AD8"/>
    <w:rsid w:val="29CB724D"/>
    <w:rsid w:val="2B153EDB"/>
    <w:rsid w:val="2B9E5DA6"/>
    <w:rsid w:val="2BEE6E7D"/>
    <w:rsid w:val="2C0D1012"/>
    <w:rsid w:val="2C7D570A"/>
    <w:rsid w:val="2C824FBA"/>
    <w:rsid w:val="2C8532EA"/>
    <w:rsid w:val="2D3F2E59"/>
    <w:rsid w:val="2ED955F0"/>
    <w:rsid w:val="306401F1"/>
    <w:rsid w:val="313B3A24"/>
    <w:rsid w:val="32E05404"/>
    <w:rsid w:val="36D97A08"/>
    <w:rsid w:val="374148CF"/>
    <w:rsid w:val="39B82B3E"/>
    <w:rsid w:val="3A836D8F"/>
    <w:rsid w:val="3C501715"/>
    <w:rsid w:val="3C5161A9"/>
    <w:rsid w:val="3CD5085D"/>
    <w:rsid w:val="3DB72F48"/>
    <w:rsid w:val="3E797CB0"/>
    <w:rsid w:val="3E9939C1"/>
    <w:rsid w:val="3F232C4D"/>
    <w:rsid w:val="40325CE1"/>
    <w:rsid w:val="420150D4"/>
    <w:rsid w:val="434C64F7"/>
    <w:rsid w:val="43D34AF5"/>
    <w:rsid w:val="448736FC"/>
    <w:rsid w:val="44E51517"/>
    <w:rsid w:val="45F34696"/>
    <w:rsid w:val="463A218E"/>
    <w:rsid w:val="47A319D4"/>
    <w:rsid w:val="484D2A29"/>
    <w:rsid w:val="48716DD0"/>
    <w:rsid w:val="48B46505"/>
    <w:rsid w:val="4A9D79FC"/>
    <w:rsid w:val="4AD90886"/>
    <w:rsid w:val="4B01301B"/>
    <w:rsid w:val="4B130775"/>
    <w:rsid w:val="4B3A6678"/>
    <w:rsid w:val="4BA15123"/>
    <w:rsid w:val="4C9A5C24"/>
    <w:rsid w:val="4CD66C31"/>
    <w:rsid w:val="4D593C8B"/>
    <w:rsid w:val="50074FD7"/>
    <w:rsid w:val="50C4668F"/>
    <w:rsid w:val="515F3BCA"/>
    <w:rsid w:val="51D677A8"/>
    <w:rsid w:val="51F33F18"/>
    <w:rsid w:val="52BC29D7"/>
    <w:rsid w:val="53875343"/>
    <w:rsid w:val="542574D6"/>
    <w:rsid w:val="57FC1C94"/>
    <w:rsid w:val="582B332D"/>
    <w:rsid w:val="58C23592"/>
    <w:rsid w:val="59F66F17"/>
    <w:rsid w:val="5A612353"/>
    <w:rsid w:val="5B2249E1"/>
    <w:rsid w:val="5BA57168"/>
    <w:rsid w:val="5CC94B15"/>
    <w:rsid w:val="5E9F4FCD"/>
    <w:rsid w:val="5EDA0FDE"/>
    <w:rsid w:val="5F401ED1"/>
    <w:rsid w:val="5FDB5953"/>
    <w:rsid w:val="60584153"/>
    <w:rsid w:val="60A56756"/>
    <w:rsid w:val="62A739A9"/>
    <w:rsid w:val="636B6BC5"/>
    <w:rsid w:val="63C54F40"/>
    <w:rsid w:val="6BC934E9"/>
    <w:rsid w:val="6CA81354"/>
    <w:rsid w:val="6EC95C51"/>
    <w:rsid w:val="6F415506"/>
    <w:rsid w:val="6F706160"/>
    <w:rsid w:val="7077377A"/>
    <w:rsid w:val="708A6F3B"/>
    <w:rsid w:val="71AB5643"/>
    <w:rsid w:val="72BE6418"/>
    <w:rsid w:val="72EC1B99"/>
    <w:rsid w:val="73A3131E"/>
    <w:rsid w:val="747B003E"/>
    <w:rsid w:val="74DA4157"/>
    <w:rsid w:val="77A1504F"/>
    <w:rsid w:val="7A740613"/>
    <w:rsid w:val="7B4F7756"/>
    <w:rsid w:val="7B621A60"/>
    <w:rsid w:val="7C2D50C2"/>
    <w:rsid w:val="7CEB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outlineLvl w:val="0"/>
    </w:pPr>
    <w:rPr>
      <w:rFonts w:ascii="楷体_GB2312" w:hAnsi="宋体" w:eastAsia="楷体_GB2312"/>
      <w:sz w:val="2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link w:val="26"/>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480" w:lineRule="exact"/>
      <w:ind w:firstLine="525"/>
    </w:pPr>
    <w:rPr>
      <w:rFonts w:ascii="宋体"/>
      <w:sz w:val="24"/>
    </w:rPr>
  </w:style>
  <w:style w:type="paragraph" w:styleId="10">
    <w:name w:val="Date"/>
    <w:basedOn w:val="1"/>
    <w:next w:val="1"/>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9"/>
    <w:basedOn w:val="1"/>
    <w:next w:val="1"/>
    <w:qFormat/>
    <w:uiPriority w:val="0"/>
    <w:pPr>
      <w:ind w:left="1680"/>
      <w:jc w:val="left"/>
    </w:pPr>
    <w:rPr>
      <w:rFonts w:eastAsia="MS Gothic"/>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qFormat/>
    <w:uiPriority w:val="0"/>
    <w:rPr>
      <w:color w:val="800080"/>
      <w:u w:val="single"/>
    </w:rPr>
  </w:style>
  <w:style w:type="character" w:styleId="21">
    <w:name w:val="Hyperlink"/>
    <w:qFormat/>
    <w:uiPriority w:val="0"/>
    <w:rPr>
      <w:color w:val="0000FF"/>
      <w:u w:val="single"/>
    </w:rPr>
  </w:style>
  <w:style w:type="character" w:customStyle="1" w:styleId="22">
    <w:name w:val="标题 3 Char"/>
    <w:link w:val="4"/>
    <w:qFormat/>
    <w:uiPriority w:val="0"/>
    <w:rPr>
      <w:b/>
      <w:bCs/>
      <w:kern w:val="2"/>
      <w:sz w:val="32"/>
      <w:szCs w:val="32"/>
    </w:rPr>
  </w:style>
  <w:style w:type="character" w:customStyle="1" w:styleId="23">
    <w:name w:val="标题 2 Char Char Char"/>
    <w:qFormat/>
    <w:uiPriority w:val="0"/>
    <w:rPr>
      <w:rFonts w:ascii="Arial" w:hAnsi="Arial" w:eastAsia="黑体"/>
      <w:b/>
      <w:bCs/>
      <w:kern w:val="2"/>
      <w:sz w:val="32"/>
      <w:szCs w:val="32"/>
      <w:lang w:val="en-US" w:eastAsia="zh-CN" w:bidi="ar-SA"/>
    </w:rPr>
  </w:style>
  <w:style w:type="character" w:customStyle="1" w:styleId="24">
    <w:name w:val="标题 1 Char"/>
    <w:link w:val="2"/>
    <w:qFormat/>
    <w:uiPriority w:val="0"/>
    <w:rPr>
      <w:rFonts w:ascii="楷体_GB2312" w:hAnsi="宋体" w:eastAsia="楷体_GB2312" w:cs="宋体"/>
      <w:kern w:val="2"/>
      <w:sz w:val="28"/>
    </w:rPr>
  </w:style>
  <w:style w:type="character" w:customStyle="1" w:styleId="25">
    <w:name w:val="页眉 Char"/>
    <w:link w:val="13"/>
    <w:qFormat/>
    <w:uiPriority w:val="0"/>
    <w:rPr>
      <w:kern w:val="2"/>
      <w:sz w:val="18"/>
      <w:szCs w:val="18"/>
    </w:rPr>
  </w:style>
  <w:style w:type="character" w:customStyle="1" w:styleId="26">
    <w:name w:val="文档结构图 Char"/>
    <w:link w:val="6"/>
    <w:qFormat/>
    <w:uiPriority w:val="0"/>
    <w:rPr>
      <w:rFonts w:ascii="宋体"/>
      <w:kern w:val="2"/>
      <w:sz w:val="18"/>
      <w:szCs w:val="18"/>
    </w:rPr>
  </w:style>
  <w:style w:type="character" w:customStyle="1" w:styleId="27">
    <w:name w:val="页脚 Char"/>
    <w:link w:val="12"/>
    <w:qFormat/>
    <w:uiPriority w:val="99"/>
    <w:rPr>
      <w:kern w:val="2"/>
      <w:sz w:val="18"/>
      <w:szCs w:val="18"/>
    </w:rPr>
  </w:style>
  <w:style w:type="character" w:customStyle="1" w:styleId="28">
    <w:name w:val="批注框文本 Char"/>
    <w:link w:val="11"/>
    <w:qFormat/>
    <w:uiPriority w:val="0"/>
    <w:rPr>
      <w:kern w:val="2"/>
      <w:sz w:val="18"/>
      <w:szCs w:val="18"/>
    </w:rPr>
  </w:style>
  <w:style w:type="paragraph" w:customStyle="1" w:styleId="29">
    <w:name w:val="Char Char1 Char Char Char Char Char"/>
    <w:basedOn w:val="1"/>
    <w:qFormat/>
    <w:uiPriority w:val="0"/>
    <w:rPr>
      <w:rFonts w:ascii="Tahoma" w:hAnsi="Tahoma"/>
      <w:sz w:val="24"/>
      <w:szCs w:val="20"/>
    </w:rPr>
  </w:style>
  <w:style w:type="paragraph" w:customStyle="1" w:styleId="30">
    <w:name w:val="p0"/>
    <w:basedOn w:val="1"/>
    <w:qFormat/>
    <w:uiPriority w:val="0"/>
    <w:pPr>
      <w:widowControl/>
      <w:jc w:val="left"/>
    </w:pPr>
    <w:rPr>
      <w:rFonts w:ascii="宋体" w:hAnsi="宋体" w:cs="宋体"/>
      <w:kern w:val="0"/>
      <w:sz w:val="24"/>
    </w:rPr>
  </w:style>
  <w:style w:type="paragraph" w:customStyle="1" w:styleId="31">
    <w:name w:val="彩色列表1"/>
    <w:basedOn w:val="1"/>
    <w:qFormat/>
    <w:uiPriority w:val="34"/>
    <w:pPr>
      <w:ind w:firstLine="420" w:firstLineChars="200"/>
    </w:pPr>
    <w:rPr>
      <w:rFonts w:ascii="Calibri" w:hAnsi="Calibri"/>
      <w:szCs w:val="22"/>
    </w:r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3">
    <w:name w:val="Body Text(ch)"/>
    <w:basedOn w:val="1"/>
    <w:next w:val="8"/>
    <w:qFormat/>
    <w:uiPriority w:val="0"/>
    <w:rPr>
      <w:rFonts w:ascii="楷体_GB2312" w:hAnsi="Arial" w:eastAsia="楷体_GB2312"/>
      <w:sz w:val="28"/>
      <w:szCs w:val="20"/>
    </w:rPr>
  </w:style>
  <w:style w:type="paragraph" w:customStyle="1" w:styleId="34">
    <w:name w:val="Char Char1 Char Char Char Char Char1"/>
    <w:basedOn w:val="1"/>
    <w:qFormat/>
    <w:uiPriority w:val="0"/>
    <w:rPr>
      <w:rFonts w:ascii="Tahoma" w:hAnsi="Tahoma"/>
      <w:sz w:val="24"/>
      <w:szCs w:val="20"/>
    </w:rPr>
  </w:style>
  <w:style w:type="paragraph" w:customStyle="1" w:styleId="35">
    <w:name w:val="彩色列表 - 强调文字颜色 11"/>
    <w:basedOn w:val="1"/>
    <w:qFormat/>
    <w:uiPriority w:val="0"/>
    <w:pPr>
      <w:ind w:firstLine="420" w:firstLineChars="200"/>
    </w:pPr>
    <w:rPr>
      <w:rFonts w:ascii="Cambria" w:hAnsi="Cambri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njcatv</Company>
  <Pages>12</Pages>
  <Words>4159</Words>
  <Characters>4388</Characters>
  <Lines>30</Lines>
  <Paragraphs>8</Paragraphs>
  <TotalTime>4</TotalTime>
  <ScaleCrop>false</ScaleCrop>
  <LinksUpToDate>false</LinksUpToDate>
  <CharactersWithSpaces>4601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2019-06-13T07:51:00Z</dcterms:created>
  <dc:creator>hkn</dc:creator>
  <cp:lastModifiedBy>李晓峰</cp:lastModifiedBy>
  <cp:lastPrinted>2022-03-16T07:00:00Z</cp:lastPrinted>
  <dcterms:modified xsi:type="dcterms:W3CDTF">2022-04-06T02:56:59Z</dcterms:modified>
  <dc:title>UPS主要特性指标</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4A99917771994B26B9B45324E03DF6D5</vt:lpwstr>
  </property>
</Properties>
</file>