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1E" w:rsidRDefault="005C1E17">
      <w:pPr>
        <w:spacing w:line="288" w:lineRule="auto"/>
        <w:rPr>
          <w:rFonts w:ascii="宋体" w:hAnsi="宋体" w:cs="宋体"/>
          <w:b/>
          <w:bCs/>
          <w:sz w:val="36"/>
          <w:szCs w:val="36"/>
        </w:rPr>
      </w:pPr>
      <w:bookmarkStart w:id="0" w:name="_GoBack"/>
      <w:bookmarkEnd w:id="0"/>
      <w:r>
        <w:rPr>
          <w:rFonts w:ascii="宋体" w:hAnsi="宋体" w:cs="宋体" w:hint="eastAsia"/>
          <w:b/>
          <w:bCs/>
          <w:sz w:val="36"/>
          <w:szCs w:val="36"/>
        </w:rPr>
        <w:t>附件1：</w:t>
      </w:r>
    </w:p>
    <w:p w:rsidR="00C9171E" w:rsidRDefault="005C1E17">
      <w:pPr>
        <w:spacing w:line="288" w:lineRule="auto"/>
        <w:jc w:val="center"/>
        <w:rPr>
          <w:rFonts w:ascii="宋体" w:hAnsi="宋体" w:cs="宋体"/>
          <w:b/>
          <w:bCs/>
          <w:sz w:val="36"/>
          <w:szCs w:val="36"/>
        </w:rPr>
      </w:pPr>
      <w:r>
        <w:rPr>
          <w:rFonts w:ascii="宋体" w:hAnsi="宋体" w:cs="宋体" w:hint="eastAsia"/>
          <w:b/>
          <w:bCs/>
          <w:sz w:val="36"/>
          <w:szCs w:val="36"/>
        </w:rPr>
        <w:t>报 价 函</w:t>
      </w:r>
    </w:p>
    <w:p w:rsidR="00C9171E" w:rsidRDefault="00C9171E">
      <w:pPr>
        <w:spacing w:line="288" w:lineRule="auto"/>
        <w:rPr>
          <w:rFonts w:ascii="宋体" w:hAnsi="宋体" w:cs="宋体"/>
          <w:sz w:val="24"/>
        </w:rPr>
      </w:pPr>
    </w:p>
    <w:p w:rsidR="00C9171E" w:rsidRDefault="005C1E17">
      <w:pPr>
        <w:spacing w:line="288" w:lineRule="auto"/>
        <w:rPr>
          <w:rFonts w:ascii="宋体" w:hAnsi="宋体" w:cs="宋体"/>
          <w:sz w:val="24"/>
        </w:rPr>
      </w:pPr>
      <w:r>
        <w:rPr>
          <w:rFonts w:ascii="宋体" w:hAnsi="宋体" w:cs="宋体" w:hint="eastAsia"/>
          <w:sz w:val="24"/>
        </w:rPr>
        <w:t>江苏省广电有线信息网络股份有限公司盐城分公司：</w:t>
      </w:r>
    </w:p>
    <w:p w:rsidR="00C9171E" w:rsidRDefault="005C1E17">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sidRPr="00284731">
        <w:rPr>
          <w:rFonts w:ascii="宋体" w:hAnsi="宋体" w:cs="宋体" w:hint="eastAsia"/>
          <w:kern w:val="0"/>
          <w:sz w:val="24"/>
        </w:rPr>
        <w:t>YC-CGXQD-2022070</w:t>
      </w:r>
      <w:r>
        <w:rPr>
          <w:rFonts w:ascii="宋体" w:hAnsi="宋体" w:cs="宋体" w:hint="eastAsia"/>
          <w:kern w:val="0"/>
          <w:sz w:val="24"/>
        </w:rPr>
        <w:t>”</w:t>
      </w:r>
      <w:r>
        <w:rPr>
          <w:rFonts w:ascii="宋体" w:hAnsi="宋体" w:cs="宋体"/>
          <w:kern w:val="0"/>
          <w:sz w:val="24"/>
        </w:rPr>
        <w:t>江苏有线盐城分公</w:t>
      </w:r>
      <w:r>
        <w:rPr>
          <w:rFonts w:ascii="宋体" w:hAnsi="宋体" w:cs="宋体" w:hint="eastAsia"/>
          <w:sz w:val="24"/>
        </w:rPr>
        <w:t>司</w:t>
      </w:r>
      <w:r>
        <w:rPr>
          <w:rFonts w:ascii="宋体" w:hAnsi="宋体" w:cs="宋体" w:hint="eastAsia"/>
          <w:kern w:val="0"/>
          <w:sz w:val="24"/>
        </w:rPr>
        <w:t>市内MSTP扩容项目（一期）</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）的报价，在工期个日历日内，完成贵公司所采购的</w:t>
      </w:r>
      <w:r>
        <w:rPr>
          <w:rFonts w:ascii="宋体" w:hAnsi="宋体" w:cs="宋体"/>
          <w:kern w:val="0"/>
          <w:sz w:val="24"/>
        </w:rPr>
        <w:t>江苏有线盐城分公司购置</w:t>
      </w:r>
      <w:r>
        <w:rPr>
          <w:rFonts w:ascii="宋体" w:hAnsi="宋体" w:cs="宋体" w:hint="eastAsia"/>
          <w:kern w:val="0"/>
          <w:sz w:val="24"/>
        </w:rPr>
        <w:t>市内MSTP扩容（MSTP设备采购部分），并提供后续售后服务</w:t>
      </w:r>
      <w:r>
        <w:rPr>
          <w:rFonts w:ascii="宋体" w:hAnsi="宋体" w:cs="宋体" w:hint="eastAsia"/>
          <w:sz w:val="24"/>
        </w:rPr>
        <w:t>，详细配置及单价见下表：</w:t>
      </w:r>
    </w:p>
    <w:p w:rsidR="00C9171E" w:rsidRDefault="005C1E17">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710"/>
        <w:gridCol w:w="725"/>
        <w:gridCol w:w="2040"/>
        <w:gridCol w:w="932"/>
        <w:gridCol w:w="898"/>
        <w:gridCol w:w="1014"/>
        <w:gridCol w:w="870"/>
        <w:gridCol w:w="1190"/>
      </w:tblGrid>
      <w:tr w:rsidR="00C9171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C9171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r>
      <w:tr w:rsidR="00C9171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r>
      <w:tr w:rsidR="00C9171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r>
      <w:tr w:rsidR="00C9171E">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C9171E">
            <w:pPr>
              <w:widowControl/>
              <w:spacing w:line="288" w:lineRule="auto"/>
              <w:jc w:val="center"/>
              <w:rPr>
                <w:rFonts w:ascii="宋体" w:hAnsi="宋体" w:cs="宋体"/>
                <w:kern w:val="0"/>
                <w:szCs w:val="21"/>
              </w:rPr>
            </w:pPr>
          </w:p>
        </w:tc>
      </w:tr>
    </w:tbl>
    <w:p w:rsidR="00C9171E" w:rsidRDefault="00C9171E">
      <w:pPr>
        <w:wordWrap w:val="0"/>
        <w:spacing w:line="288" w:lineRule="auto"/>
        <w:jc w:val="right"/>
        <w:rPr>
          <w:rFonts w:ascii="宋体" w:hAnsi="宋体" w:cs="宋体"/>
          <w:sz w:val="24"/>
        </w:rPr>
      </w:pPr>
    </w:p>
    <w:p w:rsidR="00C9171E" w:rsidRDefault="005C1E17">
      <w:pPr>
        <w:wordWrap w:val="0"/>
        <w:spacing w:line="288" w:lineRule="auto"/>
        <w:jc w:val="right"/>
        <w:rPr>
          <w:rFonts w:ascii="宋体" w:hAnsi="宋体" w:cs="宋体"/>
          <w:sz w:val="24"/>
        </w:rPr>
      </w:pPr>
      <w:r>
        <w:rPr>
          <w:rFonts w:ascii="宋体" w:hAnsi="宋体" w:cs="宋体" w:hint="eastAsia"/>
          <w:sz w:val="24"/>
        </w:rPr>
        <w:t xml:space="preserve">报价人：（盖单位公章）                   </w:t>
      </w:r>
    </w:p>
    <w:p w:rsidR="00C9171E" w:rsidRDefault="005C1E17">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rsidR="00C9171E" w:rsidRDefault="005C1E17">
      <w:pPr>
        <w:wordWrap w:val="0"/>
        <w:spacing w:line="288" w:lineRule="auto"/>
        <w:jc w:val="right"/>
        <w:rPr>
          <w:rFonts w:ascii="宋体" w:hAnsi="宋体" w:cs="宋体"/>
          <w:sz w:val="24"/>
        </w:rPr>
      </w:pPr>
      <w:r>
        <w:rPr>
          <w:rFonts w:ascii="宋体" w:hAnsi="宋体" w:cs="宋体" w:hint="eastAsia"/>
          <w:sz w:val="24"/>
        </w:rPr>
        <w:t xml:space="preserve">地址：                                  </w:t>
      </w:r>
    </w:p>
    <w:p w:rsidR="00C9171E" w:rsidRDefault="005C1E17">
      <w:pPr>
        <w:wordWrap w:val="0"/>
        <w:spacing w:line="288" w:lineRule="auto"/>
        <w:jc w:val="right"/>
        <w:rPr>
          <w:rFonts w:ascii="宋体" w:hAnsi="宋体" w:cs="宋体"/>
          <w:sz w:val="24"/>
        </w:rPr>
      </w:pPr>
      <w:r>
        <w:rPr>
          <w:rFonts w:ascii="宋体" w:hAnsi="宋体" w:cs="宋体" w:hint="eastAsia"/>
          <w:sz w:val="24"/>
        </w:rPr>
        <w:t xml:space="preserve">电话：                                  </w:t>
      </w:r>
    </w:p>
    <w:p w:rsidR="00C9171E" w:rsidRDefault="00C9171E">
      <w:pPr>
        <w:spacing w:line="288" w:lineRule="auto"/>
        <w:rPr>
          <w:rFonts w:ascii="宋体" w:hAnsi="宋体" w:cs="宋体"/>
          <w:sz w:val="24"/>
        </w:rPr>
      </w:pPr>
    </w:p>
    <w:p w:rsidR="00C9171E" w:rsidRDefault="005C1E17">
      <w:pPr>
        <w:wordWrap w:val="0"/>
        <w:spacing w:line="288" w:lineRule="auto"/>
        <w:jc w:val="right"/>
        <w:rPr>
          <w:rFonts w:ascii="宋体" w:hAnsi="宋体" w:cs="宋体"/>
          <w:sz w:val="24"/>
        </w:rPr>
      </w:pPr>
      <w:r>
        <w:rPr>
          <w:rFonts w:ascii="宋体" w:hAnsi="宋体" w:cs="宋体" w:hint="eastAsia"/>
          <w:sz w:val="24"/>
        </w:rPr>
        <w:t xml:space="preserve">年    月    日    </w:t>
      </w: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jc w:val="right"/>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5C1E17">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rsidR="00C9171E" w:rsidRDefault="00C9171E">
      <w:pPr>
        <w:spacing w:line="520" w:lineRule="atLeast"/>
        <w:jc w:val="center"/>
        <w:rPr>
          <w:rFonts w:ascii="宋体" w:hAnsi="宋体"/>
          <w:sz w:val="44"/>
        </w:rPr>
      </w:pPr>
    </w:p>
    <w:p w:rsidR="00C9171E" w:rsidRDefault="005C1E17">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投标人名称）的法定代表人，现授权委托（单位名称）的                （姓名）为我单位的代理人，以本单位的名义参加（招标人名称）的服务项目的投标活动。代理人在开标、评标、合同谈判过程中所签署的一切文件和处理与之有关的一切事务，我均予以承认。代理人无转委托权。</w:t>
      </w:r>
    </w:p>
    <w:p w:rsidR="00C9171E" w:rsidRDefault="005C1E17">
      <w:pPr>
        <w:spacing w:line="288" w:lineRule="auto"/>
        <w:rPr>
          <w:rFonts w:ascii="宋体" w:hAnsi="宋体" w:cs="宋体"/>
          <w:sz w:val="24"/>
        </w:rPr>
      </w:pPr>
      <w:r>
        <w:rPr>
          <w:rFonts w:ascii="宋体" w:hAnsi="宋体" w:cs="宋体" w:hint="eastAsia"/>
          <w:sz w:val="24"/>
        </w:rPr>
        <w:t>特此委托。</w:t>
      </w:r>
    </w:p>
    <w:p w:rsidR="00C9171E" w:rsidRDefault="005C1E17">
      <w:pPr>
        <w:spacing w:line="288" w:lineRule="auto"/>
        <w:rPr>
          <w:rFonts w:ascii="宋体" w:hAnsi="宋体" w:cs="宋体"/>
          <w:sz w:val="24"/>
        </w:rPr>
      </w:pPr>
      <w:r>
        <w:rPr>
          <w:rFonts w:ascii="宋体" w:hAnsi="宋体" w:cs="宋体" w:hint="eastAsia"/>
          <w:sz w:val="24"/>
        </w:rPr>
        <w:t>代理人姓名：              性别：          身份证号码：</w:t>
      </w:r>
    </w:p>
    <w:p w:rsidR="00C9171E" w:rsidRDefault="005C1E17">
      <w:pPr>
        <w:spacing w:line="288" w:lineRule="auto"/>
        <w:rPr>
          <w:rFonts w:ascii="宋体" w:hAnsi="宋体" w:cs="宋体"/>
          <w:sz w:val="24"/>
        </w:rPr>
      </w:pPr>
      <w:r>
        <w:rPr>
          <w:rFonts w:ascii="宋体" w:hAnsi="宋体" w:cs="宋体" w:hint="eastAsia"/>
          <w:sz w:val="24"/>
        </w:rPr>
        <w:t>电话：                    传真：          手机：</w:t>
      </w:r>
    </w:p>
    <w:p w:rsidR="00C9171E" w:rsidRDefault="00C9171E">
      <w:pPr>
        <w:spacing w:line="288" w:lineRule="auto"/>
        <w:rPr>
          <w:rFonts w:ascii="宋体" w:hAnsi="宋体" w:cs="宋体"/>
          <w:sz w:val="24"/>
        </w:rPr>
      </w:pPr>
    </w:p>
    <w:p w:rsidR="00C9171E" w:rsidRDefault="005C1E17">
      <w:pPr>
        <w:spacing w:line="288" w:lineRule="auto"/>
        <w:rPr>
          <w:rFonts w:ascii="宋体" w:hAnsi="宋体" w:cs="宋体"/>
          <w:sz w:val="24"/>
        </w:rPr>
      </w:pPr>
      <w:r>
        <w:rPr>
          <w:rFonts w:ascii="宋体" w:hAnsi="宋体" w:cs="宋体" w:hint="eastAsia"/>
          <w:sz w:val="24"/>
        </w:rPr>
        <w:t xml:space="preserve">        投标人（盖章）： </w:t>
      </w:r>
    </w:p>
    <w:p w:rsidR="00C9171E" w:rsidRDefault="00C9171E">
      <w:pPr>
        <w:spacing w:line="288" w:lineRule="auto"/>
        <w:rPr>
          <w:rFonts w:ascii="宋体" w:hAnsi="宋体" w:cs="宋体"/>
          <w:sz w:val="24"/>
        </w:rPr>
      </w:pPr>
    </w:p>
    <w:p w:rsidR="00C9171E" w:rsidRDefault="005C1E17">
      <w:pPr>
        <w:spacing w:line="288" w:lineRule="auto"/>
        <w:rPr>
          <w:rFonts w:ascii="宋体" w:hAnsi="宋体" w:cs="宋体"/>
          <w:sz w:val="24"/>
        </w:rPr>
      </w:pPr>
      <w:r>
        <w:rPr>
          <w:rFonts w:ascii="宋体" w:hAnsi="宋体" w:cs="宋体" w:hint="eastAsia"/>
          <w:sz w:val="24"/>
        </w:rPr>
        <w:t xml:space="preserve">        法定代表人（签字或盖章）：</w:t>
      </w: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5C1E17">
      <w:pPr>
        <w:tabs>
          <w:tab w:val="left" w:pos="2730"/>
        </w:tabs>
        <w:rPr>
          <w:rFonts w:ascii="宋体" w:hAnsi="宋体"/>
          <w:b/>
          <w:sz w:val="28"/>
          <w:szCs w:val="28"/>
        </w:rPr>
      </w:pPr>
      <w:r>
        <w:rPr>
          <w:rFonts w:ascii="宋体" w:hAnsi="宋体" w:hint="eastAsia"/>
          <w:b/>
          <w:sz w:val="24"/>
        </w:rPr>
        <w:t>法定代表人及委托代理人身份证复印件粘贴处：</w:t>
      </w: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C9171E">
      <w:pPr>
        <w:tabs>
          <w:tab w:val="left" w:pos="2730"/>
        </w:tabs>
        <w:rPr>
          <w:rFonts w:ascii="宋体" w:hAnsi="宋体"/>
          <w:sz w:val="28"/>
          <w:szCs w:val="28"/>
        </w:rPr>
      </w:pPr>
    </w:p>
    <w:p w:rsidR="00C9171E" w:rsidRDefault="005C1E17" w:rsidP="00C477AB">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C9171E" w:rsidRDefault="005C1E17">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C9171E" w:rsidRDefault="005C1E17">
      <w:pPr>
        <w:spacing w:line="288" w:lineRule="auto"/>
        <w:rPr>
          <w:rFonts w:ascii="宋体" w:hAnsi="宋体" w:cs="宋体"/>
          <w:sz w:val="24"/>
        </w:rPr>
      </w:pPr>
      <w:r>
        <w:rPr>
          <w:rFonts w:ascii="宋体" w:hAnsi="宋体" w:cs="宋体" w:hint="eastAsia"/>
          <w:sz w:val="24"/>
        </w:rPr>
        <w:t>1、根据已收到的询价文件，我单位经研究贵方的询价文件后，决定无保留地接受谈判文件所有条款，愿以：人民币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hint="eastAsia"/>
          <w:sz w:val="24"/>
        </w:rPr>
        <w:t>（￥：   ），在工期个日历日内，承担本招标范围内的全部内容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C9171E" w:rsidRDefault="005C1E17">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rsidR="00C9171E" w:rsidRDefault="005C1E17">
      <w:pPr>
        <w:spacing w:line="288" w:lineRule="auto"/>
        <w:rPr>
          <w:rFonts w:ascii="宋体" w:hAnsi="宋体" w:cs="宋体"/>
          <w:sz w:val="24"/>
        </w:rPr>
      </w:pPr>
      <w:r>
        <w:rPr>
          <w:rFonts w:ascii="宋体" w:hAnsi="宋体" w:cs="宋体" w:hint="eastAsia"/>
          <w:sz w:val="24"/>
        </w:rPr>
        <w:t>3、我方保证设备质量达到询价文件约定的要求 。</w:t>
      </w:r>
    </w:p>
    <w:p w:rsidR="00C9171E" w:rsidRDefault="005C1E17">
      <w:pPr>
        <w:spacing w:line="288" w:lineRule="auto"/>
        <w:rPr>
          <w:rFonts w:ascii="宋体" w:hAnsi="宋体" w:cs="宋体"/>
          <w:sz w:val="24"/>
        </w:rPr>
      </w:pPr>
      <w:r>
        <w:rPr>
          <w:rFonts w:ascii="宋体" w:hAnsi="宋体" w:cs="宋体" w:hint="eastAsia"/>
          <w:sz w:val="24"/>
        </w:rPr>
        <w:t>4、本次投标，我方将派出（项目负责人姓名）作为本项目的项目负责人。</w:t>
      </w:r>
    </w:p>
    <w:p w:rsidR="00C9171E" w:rsidRDefault="005C1E17">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rsidR="00C9171E" w:rsidRDefault="005C1E17">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C9171E" w:rsidRDefault="005C1E17">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5C1E17">
      <w:pPr>
        <w:spacing w:line="288" w:lineRule="auto"/>
        <w:rPr>
          <w:rFonts w:ascii="宋体" w:hAnsi="宋体" w:cs="宋体"/>
          <w:sz w:val="24"/>
        </w:rPr>
      </w:pPr>
      <w:r>
        <w:rPr>
          <w:rFonts w:ascii="宋体" w:hAnsi="宋体" w:cs="宋体" w:hint="eastAsia"/>
          <w:sz w:val="24"/>
        </w:rPr>
        <w:t>投标人：                                     （盖章）</w:t>
      </w:r>
    </w:p>
    <w:p w:rsidR="00C9171E" w:rsidRDefault="005C1E17">
      <w:pPr>
        <w:spacing w:line="288" w:lineRule="auto"/>
        <w:rPr>
          <w:rFonts w:ascii="宋体" w:hAnsi="宋体" w:cs="宋体"/>
          <w:sz w:val="24"/>
        </w:rPr>
      </w:pPr>
      <w:r>
        <w:rPr>
          <w:rFonts w:ascii="宋体" w:hAnsi="宋体" w:cs="宋体" w:hint="eastAsia"/>
          <w:sz w:val="24"/>
        </w:rPr>
        <w:t xml:space="preserve">单位地址：                                           </w:t>
      </w:r>
    </w:p>
    <w:p w:rsidR="00C9171E" w:rsidRDefault="005C1E17">
      <w:pPr>
        <w:spacing w:line="288" w:lineRule="auto"/>
        <w:rPr>
          <w:rFonts w:ascii="宋体" w:hAnsi="宋体" w:cs="宋体"/>
          <w:sz w:val="24"/>
        </w:rPr>
      </w:pPr>
      <w:r>
        <w:rPr>
          <w:rFonts w:ascii="宋体" w:hAnsi="宋体" w:cs="宋体" w:hint="eastAsia"/>
          <w:sz w:val="24"/>
        </w:rPr>
        <w:t>法定代表人或其委托代理人：         （签字或盖章）</w:t>
      </w:r>
    </w:p>
    <w:p w:rsidR="00C9171E" w:rsidRDefault="005C1E17">
      <w:pPr>
        <w:spacing w:line="288" w:lineRule="auto"/>
        <w:rPr>
          <w:rFonts w:ascii="宋体" w:hAnsi="宋体" w:cs="宋体"/>
          <w:sz w:val="24"/>
        </w:rPr>
      </w:pPr>
      <w:r>
        <w:rPr>
          <w:rFonts w:ascii="宋体" w:hAnsi="宋体" w:cs="宋体" w:hint="eastAsia"/>
          <w:sz w:val="24"/>
        </w:rPr>
        <w:t>日期      年   月   日</w:t>
      </w: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C9171E">
      <w:pPr>
        <w:spacing w:line="288" w:lineRule="auto"/>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5C1E17" w:rsidP="00C477AB">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C9171E" w:rsidRDefault="00C9171E" w:rsidP="00C477AB">
      <w:pPr>
        <w:spacing w:beforeLines="50" w:before="156" w:afterLines="50" w:after="156" w:line="360" w:lineRule="auto"/>
        <w:jc w:val="center"/>
        <w:rPr>
          <w:rFonts w:eastAsia="新宋体"/>
        </w:rPr>
      </w:pPr>
    </w:p>
    <w:p w:rsidR="00C9171E" w:rsidRDefault="005C1E17">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C9171E" w:rsidRDefault="00C9171E">
      <w:pPr>
        <w:spacing w:line="288" w:lineRule="auto"/>
        <w:rPr>
          <w:rFonts w:ascii="宋体" w:hAnsi="宋体" w:cs="宋体"/>
          <w:sz w:val="24"/>
        </w:rPr>
      </w:pPr>
    </w:p>
    <w:p w:rsidR="00C9171E" w:rsidRDefault="005C1E17">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C9171E" w:rsidRDefault="005C1E17">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年；</w:t>
      </w:r>
    </w:p>
    <w:p w:rsidR="00C9171E" w:rsidRDefault="005C1E17">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C9171E" w:rsidRDefault="005C1E17">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C9171E" w:rsidRDefault="005C1E1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rsidR="00C9171E" w:rsidRDefault="005C1E1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w:t>
      </w:r>
      <w:r>
        <w:rPr>
          <w:rFonts w:hint="eastAsia"/>
          <w:sz w:val="24"/>
        </w:rPr>
        <w:t>7*24</w:t>
      </w:r>
      <w:r>
        <w:rPr>
          <w:rFonts w:hint="eastAsia"/>
          <w:sz w:val="24"/>
        </w:rPr>
        <w:t>小时远端技术支持能力和不超过</w:t>
      </w:r>
      <w:r>
        <w:rPr>
          <w:rFonts w:hint="eastAsia"/>
          <w:sz w:val="24"/>
        </w:rPr>
        <w:t>12</w:t>
      </w:r>
      <w:r>
        <w:rPr>
          <w:rFonts w:hint="eastAsia"/>
          <w:sz w:val="24"/>
        </w:rPr>
        <w:t>小时</w:t>
      </w:r>
      <w:r>
        <w:rPr>
          <w:rFonts w:ascii="宋体" w:hAnsi="宋体" w:cs="宋体" w:hint="eastAsia"/>
          <w:sz w:val="24"/>
        </w:rPr>
        <w:t>内解决问题；</w:t>
      </w:r>
    </w:p>
    <w:p w:rsidR="00C9171E" w:rsidRDefault="005C1E1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C9171E" w:rsidRDefault="005C1E17">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rsidR="00C9171E" w:rsidRDefault="005C1E17">
      <w:pPr>
        <w:spacing w:line="360" w:lineRule="auto"/>
        <w:rPr>
          <w:rFonts w:ascii="宋体" w:hAnsi="宋体" w:cs="宋体"/>
          <w:sz w:val="24"/>
        </w:rPr>
      </w:pPr>
      <w:r>
        <w:rPr>
          <w:rFonts w:ascii="宋体" w:hAnsi="宋体" w:cs="宋体" w:hint="eastAsia"/>
          <w:sz w:val="24"/>
        </w:rPr>
        <w:t>附加优惠政策：</w:t>
      </w:r>
    </w:p>
    <w:p w:rsidR="00C9171E" w:rsidRDefault="00C9171E">
      <w:pPr>
        <w:spacing w:line="360" w:lineRule="auto"/>
        <w:rPr>
          <w:rFonts w:ascii="宋体" w:hAnsi="宋体" w:cs="宋体"/>
          <w:sz w:val="24"/>
        </w:rPr>
      </w:pPr>
    </w:p>
    <w:p w:rsidR="00C9171E" w:rsidRDefault="00C9171E">
      <w:pPr>
        <w:spacing w:line="360" w:lineRule="auto"/>
        <w:rPr>
          <w:rFonts w:ascii="宋体" w:hAnsi="宋体" w:cs="宋体"/>
          <w:sz w:val="24"/>
        </w:rPr>
      </w:pPr>
    </w:p>
    <w:p w:rsidR="00C9171E" w:rsidRDefault="005C1E17">
      <w:pPr>
        <w:spacing w:line="360" w:lineRule="auto"/>
        <w:ind w:firstLineChars="1600" w:firstLine="3840"/>
        <w:rPr>
          <w:rFonts w:ascii="宋体" w:hAnsi="宋体" w:cs="宋体"/>
          <w:sz w:val="24"/>
        </w:rPr>
      </w:pPr>
      <w:r>
        <w:rPr>
          <w:rFonts w:ascii="宋体" w:hAnsi="宋体" w:cs="宋体" w:hint="eastAsia"/>
          <w:sz w:val="24"/>
        </w:rPr>
        <w:t>投标人（盖章）：</w:t>
      </w:r>
    </w:p>
    <w:p w:rsidR="00C9171E" w:rsidRDefault="005C1E17">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C9171E" w:rsidRDefault="005C1E17">
      <w:pPr>
        <w:spacing w:line="360" w:lineRule="auto"/>
        <w:rPr>
          <w:rFonts w:ascii="宋体" w:hAnsi="宋体" w:cs="宋体"/>
          <w:sz w:val="24"/>
        </w:rPr>
      </w:pPr>
      <w:r>
        <w:rPr>
          <w:rFonts w:ascii="宋体" w:hAnsi="宋体" w:cs="宋体" w:hint="eastAsia"/>
          <w:sz w:val="24"/>
        </w:rPr>
        <w:t xml:space="preserve">                                       日期：202</w:t>
      </w:r>
      <w:r>
        <w:rPr>
          <w:rFonts w:ascii="宋体" w:hAnsi="宋体" w:cs="宋体"/>
          <w:sz w:val="24"/>
        </w:rPr>
        <w:t>2</w:t>
      </w:r>
      <w:r>
        <w:rPr>
          <w:rFonts w:ascii="宋体" w:hAnsi="宋体" w:cs="宋体" w:hint="eastAsia"/>
          <w:sz w:val="24"/>
        </w:rPr>
        <w:t>年   月   日</w:t>
      </w: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C9171E">
      <w:pPr>
        <w:spacing w:line="288" w:lineRule="auto"/>
        <w:ind w:right="960"/>
        <w:rPr>
          <w:rFonts w:ascii="宋体" w:hAnsi="宋体" w:cs="宋体"/>
          <w:sz w:val="24"/>
        </w:rPr>
      </w:pPr>
    </w:p>
    <w:p w:rsidR="00C9171E" w:rsidRDefault="005C1E17" w:rsidP="00C477AB">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附件2：技术要求</w:t>
      </w:r>
    </w:p>
    <w:p w:rsidR="00C9171E" w:rsidRDefault="005C1E17">
      <w:pPr>
        <w:pStyle w:val="1"/>
        <w:jc w:val="center"/>
        <w:rPr>
          <w:rFonts w:ascii="小标宋" w:eastAsia="小标宋"/>
          <w:b w:val="0"/>
          <w:bCs w:val="0"/>
          <w:sz w:val="32"/>
          <w:szCs w:val="32"/>
        </w:rPr>
      </w:pPr>
      <w:bookmarkStart w:id="1" w:name="_Toc106280175"/>
      <w:r>
        <w:rPr>
          <w:rFonts w:ascii="小标宋" w:eastAsia="小标宋" w:hint="eastAsia"/>
          <w:b w:val="0"/>
          <w:sz w:val="32"/>
          <w:szCs w:val="32"/>
        </w:rPr>
        <w:t>技术需求书</w:t>
      </w:r>
      <w:bookmarkEnd w:id="1"/>
    </w:p>
    <w:p w:rsidR="00C9171E" w:rsidRDefault="005C1E17">
      <w:pPr>
        <w:pStyle w:val="2"/>
        <w:rPr>
          <w:rFonts w:ascii="小标宋" w:eastAsia="小标宋" w:hAnsi="Times New Roman"/>
          <w:sz w:val="28"/>
          <w:szCs w:val="28"/>
        </w:rPr>
      </w:pPr>
      <w:bookmarkStart w:id="2" w:name="_Toc106280176"/>
      <w:bookmarkStart w:id="3" w:name="_Toc516666017"/>
      <w:r>
        <w:rPr>
          <w:rFonts w:ascii="小标宋" w:eastAsia="小标宋" w:hAnsi="Times New Roman" w:hint="eastAsia"/>
          <w:sz w:val="28"/>
          <w:szCs w:val="28"/>
        </w:rPr>
        <w:t>一、项目概述</w:t>
      </w:r>
      <w:bookmarkEnd w:id="2"/>
      <w:bookmarkEnd w:id="3"/>
    </w:p>
    <w:p w:rsidR="00C9171E" w:rsidRDefault="005C1E17" w:rsidP="00284731">
      <w:pPr>
        <w:spacing w:line="360" w:lineRule="auto"/>
        <w:ind w:firstLineChars="202" w:firstLine="485"/>
        <w:rPr>
          <w:rFonts w:asciiTheme="minorEastAsia" w:eastAsiaTheme="minorEastAsia" w:hAnsiTheme="minorEastAsia"/>
          <w:sz w:val="24"/>
        </w:rPr>
      </w:pPr>
      <w:bookmarkStart w:id="4" w:name="_Toc516140109"/>
      <w:bookmarkStart w:id="5" w:name="_Toc516666018"/>
      <w:r>
        <w:rPr>
          <w:rFonts w:asciiTheme="minorEastAsia" w:eastAsiaTheme="minorEastAsia" w:hAnsiTheme="minorEastAsia" w:hint="eastAsia"/>
          <w:sz w:val="24"/>
        </w:rPr>
        <w:t>江苏有线盐城分公司现有MSTP环网容量已经饱和，为支撑后续集客业务发展，现计划按不低于10G的环网带宽标准进行改造扩容，一期（本次）购买2套传输设备扩容环网用于中心节点及西机房节点的扩容改造，后续将继续实施其他三个机房节点的扩容改造，一期及后续将完成的网络形态如下图所示：</w:t>
      </w:r>
    </w:p>
    <w:p w:rsidR="00C9171E" w:rsidRDefault="005C1E17" w:rsidP="00284731">
      <w:pPr>
        <w:spacing w:line="360" w:lineRule="auto"/>
        <w:ind w:firstLineChars="202" w:firstLine="566"/>
        <w:jc w:val="center"/>
        <w:rPr>
          <w:sz w:val="22"/>
          <w:szCs w:val="22"/>
        </w:rPr>
      </w:pPr>
      <w:r>
        <w:rPr>
          <w:noProof/>
          <w:sz w:val="28"/>
          <w:szCs w:val="28"/>
        </w:rPr>
        <w:drawing>
          <wp:inline distT="0" distB="0" distL="0" distR="0">
            <wp:extent cx="3736975" cy="2292985"/>
            <wp:effectExtent l="0" t="0" r="1587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srcRect/>
                    <a:stretch>
                      <a:fillRect/>
                    </a:stretch>
                  </pic:blipFill>
                  <pic:spPr>
                    <a:xfrm>
                      <a:off x="0" y="0"/>
                      <a:ext cx="3736975" cy="2292985"/>
                    </a:xfrm>
                    <a:prstGeom prst="rect">
                      <a:avLst/>
                    </a:prstGeom>
                    <a:noFill/>
                    <a:ln w="9525">
                      <a:noFill/>
                      <a:miter lim="800000"/>
                      <a:headEnd/>
                      <a:tailEnd/>
                    </a:ln>
                  </pic:spPr>
                </pic:pic>
              </a:graphicData>
            </a:graphic>
          </wp:inline>
        </w:drawing>
      </w:r>
      <w:r>
        <w:rPr>
          <w:sz w:val="28"/>
          <w:szCs w:val="28"/>
        </w:rPr>
        <w:br/>
      </w:r>
      <w:r>
        <w:rPr>
          <w:rFonts w:hint="eastAsia"/>
          <w:sz w:val="22"/>
          <w:szCs w:val="22"/>
        </w:rPr>
        <w:t>图</w:t>
      </w:r>
      <w:r>
        <w:rPr>
          <w:rFonts w:hint="eastAsia"/>
          <w:sz w:val="22"/>
          <w:szCs w:val="22"/>
        </w:rPr>
        <w:t>1</w:t>
      </w:r>
      <w:r>
        <w:rPr>
          <w:rFonts w:hint="eastAsia"/>
          <w:sz w:val="22"/>
          <w:szCs w:val="22"/>
        </w:rPr>
        <w:t>：一期网络拓扑图</w:t>
      </w:r>
    </w:p>
    <w:p w:rsidR="00C9171E" w:rsidRDefault="005C1E17">
      <w:pPr>
        <w:pStyle w:val="4"/>
        <w:jc w:val="center"/>
      </w:pPr>
      <w:r>
        <w:rPr>
          <w:rFonts w:hint="eastAsia"/>
          <w:noProof/>
        </w:rPr>
        <w:drawing>
          <wp:inline distT="0" distB="0" distL="0" distR="0">
            <wp:extent cx="3850005" cy="2472690"/>
            <wp:effectExtent l="0" t="0" r="17145" b="38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a:srcRect/>
                    <a:stretch>
                      <a:fillRect/>
                    </a:stretch>
                  </pic:blipFill>
                  <pic:spPr>
                    <a:xfrm>
                      <a:off x="0" y="0"/>
                      <a:ext cx="3850005" cy="2472690"/>
                    </a:xfrm>
                    <a:prstGeom prst="rect">
                      <a:avLst/>
                    </a:prstGeom>
                    <a:noFill/>
                    <a:ln w="9525">
                      <a:noFill/>
                      <a:miter lim="800000"/>
                      <a:headEnd/>
                      <a:tailEnd/>
                    </a:ln>
                  </pic:spPr>
                </pic:pic>
              </a:graphicData>
            </a:graphic>
          </wp:inline>
        </w:drawing>
      </w:r>
    </w:p>
    <w:p w:rsidR="00C9171E" w:rsidRDefault="00C9171E"/>
    <w:p w:rsidR="00C9171E" w:rsidRDefault="005C1E17">
      <w:pPr>
        <w:jc w:val="center"/>
        <w:rPr>
          <w:sz w:val="22"/>
          <w:szCs w:val="22"/>
        </w:rPr>
      </w:pPr>
      <w:r>
        <w:rPr>
          <w:rFonts w:hint="eastAsia"/>
          <w:sz w:val="22"/>
          <w:szCs w:val="22"/>
        </w:rPr>
        <w:lastRenderedPageBreak/>
        <w:t>图</w:t>
      </w:r>
      <w:r>
        <w:rPr>
          <w:rFonts w:hint="eastAsia"/>
          <w:sz w:val="22"/>
          <w:szCs w:val="22"/>
        </w:rPr>
        <w:t>2</w:t>
      </w:r>
      <w:r>
        <w:rPr>
          <w:rFonts w:hint="eastAsia"/>
          <w:sz w:val="22"/>
          <w:szCs w:val="22"/>
        </w:rPr>
        <w:t>：二期网络拓扑图</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w:t>
      </w:r>
      <w:r>
        <w:rPr>
          <w:rFonts w:asciiTheme="minorEastAsia" w:eastAsiaTheme="minorEastAsia" w:hAnsiTheme="minorEastAsia" w:hint="eastAsia"/>
          <w:sz w:val="24"/>
        </w:rPr>
        <w:t>本次项目所采购的传输设备须兼容原华为设备及网管，需满足MSTP及OTN两种接入方式。同时所采购的安装调试服务须满足江苏有线盐城分公司安播运维部提出的环网改造迁改、设备安装调试等要求。</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本次</w:t>
      </w:r>
      <w:r>
        <w:rPr>
          <w:rFonts w:asciiTheme="minorEastAsia" w:eastAsiaTheme="minorEastAsia" w:hAnsiTheme="minorEastAsia" w:hint="eastAsia"/>
          <w:sz w:val="24"/>
        </w:rPr>
        <w:t>建设需求为：新建2套传输设备，站点分别为中心机房和西机房。</w:t>
      </w:r>
    </w:p>
    <w:p w:rsidR="00C9171E" w:rsidRDefault="005C1E17">
      <w:pPr>
        <w:pStyle w:val="2"/>
        <w:rPr>
          <w:rFonts w:ascii="小标宋" w:eastAsia="小标宋" w:hAnsi="Times New Roman"/>
          <w:sz w:val="28"/>
          <w:szCs w:val="28"/>
        </w:rPr>
      </w:pPr>
      <w:bookmarkStart w:id="6" w:name="_Toc106280177"/>
      <w:r>
        <w:rPr>
          <w:rFonts w:ascii="小标宋" w:eastAsia="小标宋" w:hAnsi="Times New Roman"/>
          <w:sz w:val="28"/>
          <w:szCs w:val="28"/>
        </w:rPr>
        <w:t>二、项目需求总则</w:t>
      </w:r>
      <w:bookmarkEnd w:id="4"/>
      <w:bookmarkEnd w:id="5"/>
      <w:bookmarkEnd w:id="6"/>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2.1本文件为江苏省广电有线信息网络股份有限公司盐城分公司(以下简称为招标方)对</w:t>
      </w:r>
      <w:r>
        <w:rPr>
          <w:rFonts w:asciiTheme="minorEastAsia" w:eastAsiaTheme="minorEastAsia" w:hAnsiTheme="minorEastAsia" w:hint="eastAsia"/>
          <w:sz w:val="24"/>
        </w:rPr>
        <w:t>硬件设备采购及安装调试服务</w:t>
      </w:r>
      <w:r>
        <w:rPr>
          <w:rFonts w:asciiTheme="minorEastAsia" w:eastAsiaTheme="minorEastAsia" w:hAnsiTheme="minorEastAsia"/>
          <w:sz w:val="24"/>
        </w:rPr>
        <w:t>项目提出的技术规范书。本规范书将作为评标的基础，设备供应商（以下简称为投标人）编写技术建议书和报价之用。</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2.2 本技术规范书中的技术要求部分标注*内容为必须满足项，投标人所提供的产品必须满足此项的要求，不满足将会作废标处理；其余项如不支持，请附详细说明。</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2.3 *投标人作为本项目的系统集成方，提供整体环网改造解决方案、系统软硬件设备、集成等项目所需的所有服务，均应符合招标方颁布的相关技术规范。如有不符合之处，要求投标人在应答中逐项说明，并提出解决方案和办法。如果投标人未有声明，则视投标人提供或推荐的整体方案、所有系统软硬件设备、集成及服务等满足相关技术规范及规范书要求。</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2.4 招标方保留和拥有对本文件的解释权。招标方有权在签订合同前，根据需要修改和补充本规范书，修改补充后的最终技术规范书将作为合同的附件。</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2.5 本规范书应视为保证系统运行所需的最低要求，如有遗漏，投标人应予以补充，否则一旦中标将认为投标人认同遗漏部分并免费提供。</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2.6 投标人未经招标方同意，不得以任何形式向第三方公开本文件。</w:t>
      </w:r>
      <w:bookmarkStart w:id="7" w:name="_Toc516666019"/>
    </w:p>
    <w:p w:rsidR="00C9171E" w:rsidRDefault="005C1E17">
      <w:pPr>
        <w:pStyle w:val="2"/>
        <w:rPr>
          <w:rFonts w:ascii="小标宋" w:eastAsia="小标宋" w:hAnsi="Times New Roman"/>
          <w:sz w:val="28"/>
          <w:szCs w:val="28"/>
        </w:rPr>
      </w:pPr>
      <w:bookmarkStart w:id="8" w:name="_Toc106280178"/>
      <w:r>
        <w:rPr>
          <w:rFonts w:ascii="小标宋" w:eastAsia="小标宋" w:hAnsi="Times New Roman"/>
          <w:sz w:val="28"/>
          <w:szCs w:val="28"/>
        </w:rPr>
        <w:t>三、设备清单及技术指标要求</w:t>
      </w:r>
      <w:bookmarkEnd w:id="7"/>
      <w:bookmarkEnd w:id="8"/>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3</w:t>
      </w:r>
      <w:r>
        <w:rPr>
          <w:rFonts w:asciiTheme="minorEastAsia" w:eastAsiaTheme="minorEastAsia" w:hAnsiTheme="minorEastAsia"/>
          <w:sz w:val="24"/>
        </w:rPr>
        <w:t>.1</w:t>
      </w:r>
      <w:r>
        <w:rPr>
          <w:rFonts w:asciiTheme="minorEastAsia" w:eastAsiaTheme="minorEastAsia" w:hAnsiTheme="minorEastAsia" w:hint="eastAsia"/>
          <w:sz w:val="24"/>
        </w:rPr>
        <w:t xml:space="preserve"> MSTP设备</w:t>
      </w:r>
      <w:r>
        <w:rPr>
          <w:rFonts w:asciiTheme="minorEastAsia" w:eastAsiaTheme="minorEastAsia" w:hAnsiTheme="minorEastAsia"/>
          <w:sz w:val="24"/>
        </w:rPr>
        <w:t>需求描述</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*本项目为现网扩容改造项目，此次扩容须保证新增硬件和已有设备有较高兼容度，确保所有新增硬件不会因系统兼容性而产生系统故障，硬件各项指标参数均须达到买方要求。</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lastRenderedPageBreak/>
        <w:t>兼容性系统故障包括：现有网管无法管理，网管频繁脱管，业务频繁中断，出现大量误码以及其他故障。</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本项目实施过程中，所采购的所有机框、板件与现网华为公司的传输系统有着较好的兼容性（包括现网的网管能正常管理新购单板，单板的电压电流要求符合现网设备要求），确保不会因不同厂家的设备导致的匹配问题，影响整个项目的开展。</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本次项目所采购的服务包含设备安装调试、业务割接迁改、环网设备迁改、业务核查等。业务割接、迁改所需替换设备、线缆辅材均包含在本次采购的服务内，本次采购的设备必须兼容现有MSTP网管，同时所有工程实施及割接操作由采购方独立完成，招标方只提供操作授权。</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*环网割接,业务迁改将在非工作时间进行，计划操作时段为非节假日及非重保期的00:00至次日06:00，投标方需提供割接方案保证业务中断时间可控。</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hint="eastAsia"/>
          <w:sz w:val="24"/>
        </w:rPr>
        <w:t>*本项目所投设备必须为同一品牌，不支持分品牌报价。</w:t>
      </w: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3.2 配备清单</w:t>
      </w:r>
    </w:p>
    <w:tbl>
      <w:tblPr>
        <w:tblW w:w="4998" w:type="pct"/>
        <w:tblLook w:val="04A0" w:firstRow="1" w:lastRow="0" w:firstColumn="1" w:lastColumn="0" w:noHBand="0" w:noVBand="1"/>
      </w:tblPr>
      <w:tblGrid>
        <w:gridCol w:w="791"/>
        <w:gridCol w:w="2135"/>
        <w:gridCol w:w="1087"/>
        <w:gridCol w:w="4506"/>
      </w:tblGrid>
      <w:tr w:rsidR="00C9171E">
        <w:trPr>
          <w:trHeight w:val="27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序号</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采购设备名称</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2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传输平台</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（机柜）</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传输平台</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1台</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传输平台</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（设备子架2）</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1台</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通用交叉及主控时钟处理板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765"/>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12路交换式千兆以太网处理板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8路STM-4光接口板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4路STM-16光接口板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2路STM-64光接口板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（设备子架1）</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通用交叉及主控时钟处理板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（设备子架2）</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10</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4路STM-4光接口板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（设备子架2）</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1路STM-64光接口板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（设备子架2）</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765"/>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kern w:val="0"/>
                <w:szCs w:val="21"/>
              </w:rPr>
            </w:pPr>
            <w:r>
              <w:rPr>
                <w:rFonts w:ascii="宋体" w:hAnsi="宋体" w:cs="宋体" w:hint="eastAsia"/>
                <w:color w:val="000000"/>
                <w:kern w:val="0"/>
                <w:szCs w:val="21"/>
              </w:rPr>
              <w:t>12路带交换功能的快速以太网处理板</w:t>
            </w:r>
          </w:p>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（设备子架2）</w:t>
            </w:r>
          </w:p>
        </w:tc>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3块</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27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设备配套软件license授权</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1批</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27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项目配套耗材</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1批</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510"/>
        </w:trPr>
        <w:tc>
          <w:tcPr>
            <w:tcW w:w="5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1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设备服务费（含工程服务、专项服务、三年质保费）</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1批</w:t>
            </w:r>
          </w:p>
        </w:tc>
        <w:tc>
          <w:tcPr>
            <w:tcW w:w="24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C9171E" w:rsidRDefault="005C1E17">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用于《江苏有线盐城分公司MSTP扩容》项目</w:t>
            </w:r>
          </w:p>
        </w:tc>
      </w:tr>
      <w:tr w:rsidR="00C9171E">
        <w:trPr>
          <w:trHeight w:val="660"/>
        </w:trPr>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备注</w:t>
            </w:r>
          </w:p>
        </w:tc>
        <w:tc>
          <w:tcPr>
            <w:tcW w:w="445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1、根据本项目技术需求配置相应功能的设备。</w:t>
            </w:r>
          </w:p>
        </w:tc>
      </w:tr>
    </w:tbl>
    <w:p w:rsidR="00C9171E" w:rsidRDefault="00C9171E" w:rsidP="00284731">
      <w:pPr>
        <w:spacing w:line="360" w:lineRule="auto"/>
        <w:ind w:firstLineChars="202" w:firstLine="485"/>
        <w:rPr>
          <w:rFonts w:asciiTheme="minorEastAsia" w:eastAsiaTheme="minorEastAsia" w:hAnsiTheme="minorEastAsia"/>
          <w:sz w:val="24"/>
        </w:rPr>
      </w:pPr>
    </w:p>
    <w:p w:rsidR="00C9171E" w:rsidRDefault="005C1E17" w:rsidP="00284731">
      <w:pPr>
        <w:spacing w:line="360" w:lineRule="auto"/>
        <w:ind w:firstLineChars="202" w:firstLine="485"/>
        <w:rPr>
          <w:rFonts w:asciiTheme="minorEastAsia" w:eastAsiaTheme="minorEastAsia" w:hAnsiTheme="minorEastAsia"/>
          <w:sz w:val="24"/>
        </w:rPr>
      </w:pPr>
      <w:r>
        <w:rPr>
          <w:rFonts w:asciiTheme="minorEastAsia" w:eastAsiaTheme="minorEastAsia" w:hAnsiTheme="minorEastAsia"/>
          <w:sz w:val="24"/>
        </w:rPr>
        <w:t>3.3</w:t>
      </w:r>
      <w:r>
        <w:rPr>
          <w:rFonts w:asciiTheme="minorEastAsia" w:eastAsiaTheme="minorEastAsia" w:hAnsiTheme="minorEastAsia" w:hint="eastAsia"/>
          <w:sz w:val="24"/>
        </w:rPr>
        <w:t>设备技术性能要求</w:t>
      </w:r>
    </w:p>
    <w:tbl>
      <w:tblPr>
        <w:tblW w:w="4998" w:type="pct"/>
        <w:tblLayout w:type="fixed"/>
        <w:tblLook w:val="04A0" w:firstRow="1" w:lastRow="0" w:firstColumn="1" w:lastColumn="0" w:noHBand="0" w:noVBand="1"/>
      </w:tblPr>
      <w:tblGrid>
        <w:gridCol w:w="802"/>
        <w:gridCol w:w="2101"/>
        <w:gridCol w:w="5616"/>
      </w:tblGrid>
      <w:tr w:rsidR="00C9171E">
        <w:trPr>
          <w:trHeight w:val="270"/>
        </w:trPr>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设备类型</w:t>
            </w: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指标项</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指标要求</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传输平台</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（机柜）</w:t>
            </w: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1台</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*国内外知名品牌。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MSTP配套。</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left"/>
              <w:textAlignment w:val="top"/>
              <w:rPr>
                <w:rFonts w:ascii="宋体" w:hAnsi="宋体" w:cs="宋体"/>
                <w:color w:val="000000"/>
                <w:szCs w:val="21"/>
              </w:rPr>
            </w:pPr>
            <w:r>
              <w:rPr>
                <w:rFonts w:ascii="宋体" w:hAnsi="宋体" w:cs="宋体" w:hint="eastAsia"/>
                <w:color w:val="000000"/>
                <w:kern w:val="0"/>
                <w:szCs w:val="21"/>
              </w:rPr>
              <w:t>机柜正面为开合式的前门，后面有螺丝固定的后门板，左右两侧装有侧门。</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left"/>
              <w:textAlignment w:val="top"/>
              <w:rPr>
                <w:rFonts w:ascii="宋体" w:hAnsi="宋体" w:cs="宋体"/>
                <w:color w:val="000000"/>
                <w:szCs w:val="21"/>
              </w:rPr>
            </w:pPr>
            <w:r>
              <w:rPr>
                <w:rFonts w:ascii="宋体" w:hAnsi="宋体" w:cs="宋体" w:hint="eastAsia"/>
                <w:color w:val="000000"/>
                <w:kern w:val="0"/>
                <w:szCs w:val="21"/>
              </w:rPr>
              <w:t>外形尺寸应符合标准(600 mm（宽）</w:t>
            </w:r>
            <w:r>
              <w:rPr>
                <w:rStyle w:val="font21"/>
                <w:rFonts w:hint="default"/>
              </w:rPr>
              <w:t xml:space="preserve"> × 300 mm（深）×2200 mm（高）)。</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left"/>
              <w:textAlignment w:val="top"/>
              <w:rPr>
                <w:rFonts w:ascii="宋体" w:hAnsi="宋体" w:cs="宋体"/>
                <w:color w:val="000000"/>
                <w:szCs w:val="21"/>
              </w:rPr>
            </w:pPr>
            <w:r>
              <w:rPr>
                <w:rFonts w:ascii="宋体" w:hAnsi="宋体" w:cs="宋体" w:hint="eastAsia"/>
                <w:color w:val="000000"/>
                <w:kern w:val="0"/>
                <w:szCs w:val="21"/>
              </w:rPr>
              <w:t>标准工作电压为-48V DC/-60V DC。</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left"/>
              <w:textAlignment w:val="top"/>
              <w:rPr>
                <w:rFonts w:ascii="宋体" w:hAnsi="宋体" w:cs="宋体"/>
                <w:color w:val="000000"/>
                <w:szCs w:val="21"/>
              </w:rPr>
            </w:pPr>
            <w:r>
              <w:rPr>
                <w:rFonts w:ascii="宋体" w:hAnsi="宋体" w:cs="宋体" w:hint="eastAsia"/>
                <w:color w:val="000000"/>
                <w:kern w:val="0"/>
                <w:szCs w:val="21"/>
              </w:rPr>
              <w:t>工作电压范围为-40V DC ～-72V DC。</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left"/>
              <w:textAlignment w:val="top"/>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传输平台</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（设备子架1）</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1台(含2套交转直电源模块)</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w:t>
            </w:r>
            <w:r>
              <w:rPr>
                <w:rStyle w:val="font21"/>
                <w:rFonts w:hint="default"/>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MSTP系统子架。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性能要求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提供散热设备。</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设备业务槽位不少于20个。</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子架接口区提供管理串口、子架间通信、告警输出及级联端口、告警输入输出等各种功能接口。</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子架最大功耗能达到4800W。</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端口要求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具备网管接口，RJ45类型。</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具备告警输出至机柜顶部指示灯。</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具备防尘网以防止灰尘随空气流动进入子架。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具备19英寸、21英寸机柜两种安装方式。</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具备子架挂耳用于将子架固定在机柜中。</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提供管理串口、子架间通信、告警输出及级联端口、告警输入输出等各种功能接口。</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传输平台</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（设备子架2）</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1台(含2套交转直电源模块)</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w:t>
            </w:r>
            <w:r>
              <w:rPr>
                <w:rStyle w:val="font21"/>
                <w:rFonts w:hint="default"/>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MSTP系统子架。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性能要求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提供散热设备。</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设备业务槽位不少于14个。</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子架提供2路直流供电接入。</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子架最大功耗能达到2400W。</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具备风机盒，并采用抽风的方式，将机盒内部的热空气抽出子架，形成从左到右的风道，进行散热。</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具备盘纤盒用于缠绕光纤跳线的富余长度，子架底部有固定盘纤盒，机柜内一个子架的光纤跳线在子架底部可通过盘纤盒绕完多余部分后连接到另一个子架。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具备子架挂耳用于将子架固定在机柜中。</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提供包含四个独立风扇，为机盒提供散热功能。</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通用交叉及主控时钟处理板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（设备子架1）</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2块。</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可以实现子架内业务调度、配置管理、告警输出等功能。</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支持网元数据备份。当网元的数据发生变化时，数据库备份功能可以将变化的配置数据保存到存储介质上，保证在网元硬复位或掉电情况下配置数据不丢失，提高网元的可靠性。</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支持通过IP over DCC或ECC方式实现各个网元之间的互联通信。</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支持主备备份：系统内有2个单板，可以提供1+1热备份，主用单板发生故障时，自动倒换到备用单板。</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为系统通信提供时钟源。</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可支持子架级联。</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12路交换式千兆以太网处理板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（设备子架1）</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5块（满配GE电接口）。</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w:t>
            </w:r>
            <w:r>
              <w:rPr>
                <w:rStyle w:val="font41"/>
                <w:rFonts w:hint="default"/>
              </w:rPr>
              <w:t>数据类板件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提供12个以太网端口，支持接入以太网业务，封装映射为SDH信号 ，转发到SDH平面进行传输。</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支持绑定带宽为128xVC-4或384xVC-3或1008xVC-12</w:t>
            </w:r>
            <w:r>
              <w:rPr>
                <w:rStyle w:val="font41"/>
                <w:rFonts w:hint="default"/>
              </w:rPr>
              <w:t>。</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业务帧格式：IEEE 802.3、Ethernet II、IEEE 802.1Q、IEEE 802.1p，支持1518Byte～9600Byte报文长度设置，支持最大不超过9600Byte的Jumbo帧</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封装格式应支持HDLC、LAPS、GFP-F。映射方式应支持VC-12-Xv(X≤63)、VC-3-Xv(X≤24)、VC-4-Xv(X≤64)</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VCTRUNK数量不少于96个。</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8路STM-4光接口板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（设备子架1）</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1块（满配STM-4光模块，传输距离为15km）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单板性能</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最大发送光功率-8</w:t>
            </w:r>
            <w:r>
              <w:rPr>
                <w:rStyle w:val="font21"/>
                <w:rFonts w:hint="default"/>
              </w:rPr>
              <w:t>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最小发送光功率-15</w:t>
            </w:r>
            <w:r>
              <w:rPr>
                <w:rStyle w:val="font21"/>
                <w:rFonts w:hint="default"/>
              </w:rPr>
              <w:t>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光接收灵敏度-28dBm。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最小过载点-8dBm。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至少可同时</w:t>
            </w:r>
            <w:r>
              <w:rPr>
                <w:rStyle w:val="font41"/>
                <w:rFonts w:hint="default"/>
              </w:rPr>
              <w:t>接收和发送8路STM-4光信号。</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w:t>
            </w:r>
            <w:r>
              <w:rPr>
                <w:rStyle w:val="font41"/>
                <w:rFonts w:hint="default"/>
              </w:rPr>
              <w:t>支持VC-12/VC-3/VC-4业务以及VC4-4c级联业务。可支持STM-4信号的段开销的处理，可支持通道开销的处理（透明传输和终结），可支持对J0/J1/C2字节的设置和查询。可支持ECC通信。</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可支持环形复用段保护、线性复用段保护、SNCP（Sub-Network Connection Protection）保护。</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可支持光口级别的内环回、外环回功能，支持软复位和硬复位，软复位不影响业务，支持单板制造信息的查询功能，支持FPGA在线加载功能。支持热插拔。</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光接口要求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w:t>
            </w:r>
            <w:r>
              <w:rPr>
                <w:rStyle w:val="font41"/>
                <w:rFonts w:hint="default"/>
              </w:rPr>
              <w:t>支持S-4.1、L-4.1、L-4.2的光接口。</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光模块要求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能支持光模块信息检测和查询，光接口能提供激光器打开、关闭设置和激光器自动关断功能，可支持SFP可插拔光模块的使用和监测。</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4路STM-16光接口板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（设备子架1）</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2块（满配STM-16光模块，传输距离为15km）。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单板性能</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最大发送光功率0</w:t>
            </w:r>
            <w:r>
              <w:rPr>
                <w:rStyle w:val="font21"/>
                <w:rFonts w:hint="default"/>
              </w:rPr>
              <w:t>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最小发送光功率-5</w:t>
            </w:r>
            <w:r>
              <w:rPr>
                <w:rStyle w:val="font21"/>
                <w:rFonts w:hint="default"/>
              </w:rPr>
              <w:t>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光接收灵敏度-18dBm。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最小过载点0dBm。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至少可同时</w:t>
            </w:r>
            <w:r>
              <w:rPr>
                <w:rStyle w:val="font41"/>
                <w:rFonts w:hint="default"/>
              </w:rPr>
              <w:t>接收和发送4路STM-16光信号。</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支持VC-12/VC-3/VC-4业务以及VC4-4c、VC4-16c级联业务。</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可支持STM-16信号的段开销的处理，可支持通道开销的处理（透明传输和终结），可支持对J0/J1/C2字节的设置和查询。可支持ECC通信。</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w:t>
            </w:r>
            <w:r>
              <w:rPr>
                <w:rStyle w:val="font41"/>
                <w:rFonts w:hint="default"/>
              </w:rPr>
              <w:t>支持环形复用段保护，线性复用段保护，SNCP（Sub-Network Connection Protection）保护等多种保护方式。</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可支持光口级别的内环回、外环回功能，支持软复位和硬复位，软复位不影响业务，支持单板制造信息的查询功能，支持FPGA在线加载功能。</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光接口要求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可支持S-16.1，L-16.1，L-16.2的标准光接口。</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光模块要求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能支持光模块信息检测和查询，光接口能提供激光器打开、关闭设置和激光器自动关断功能，可支持SFP可插拔光模块的使用和监测。</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2路STM-64光接口板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（设备子架1）</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2块（满配STM-64光模块，传输距离为40km）。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单板性能</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最大发送光功率2dBm。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最小发送光功率-1dBm。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光接收灵敏度-14dBm。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最小过载点-1dBm。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至少可同时</w:t>
            </w:r>
            <w:r>
              <w:rPr>
                <w:rStyle w:val="font41"/>
                <w:rFonts w:hint="default"/>
              </w:rPr>
              <w:t>接收和发送2路STM-64光信号。</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支持VC-12/VC-3/VC-4业务以及VC4-4c、VC4-16c、VC4-16c级联业务。</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可支持STM-64信号的段开销的处理，可支持通道开销的处理（透明传输和终结），可支持对J0/J1/C2字节的设置和查询。可支持ECC通信。</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w:t>
            </w:r>
            <w:r>
              <w:rPr>
                <w:rStyle w:val="font41"/>
                <w:rFonts w:hint="default"/>
              </w:rPr>
              <w:t>支持环形复用段保护，线性复用段保护，SNCP（Sub-Network Connection Protection）保护等多种保护方式。</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可支持光口级别的内环回、外环回功能，支持软复位和硬复位，软复位不影响业务，支持单板制造信息的查询功能，支持FPGA在线加载功能。</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光接口要求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可支持S-64.2b的标准光接口。</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光模块要求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能支持光模块信息检测和查询，光接口能提供激光器打开、关闭设置和激光器自动关断功能，可支持SFP+/eSFP可插拔光模块的使用和监测。</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通用交叉及主控时钟处理板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（设备子架2）</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2块。</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高阶交叉能力不少于160Gbit/s。</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低阶交叉能力不少于20Gbit/s。</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可支持子架内业务调度、配置管理、告警输出等。</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支持网元数据备份。当网元的数据发生变化时，数据库实时备份功能可以立刻将变化的配置数据保存到存储介质上，保证在网元硬复位或掉电情况下配置数据不丢失，提高网元的可靠性。</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w:t>
            </w:r>
            <w:r>
              <w:rPr>
                <w:rStyle w:val="font41"/>
                <w:rFonts w:hint="default"/>
              </w:rPr>
              <w:t>支持单板1+1热备份，</w:t>
            </w:r>
            <w:r>
              <w:rPr>
                <w:rStyle w:val="font21"/>
                <w:rFonts w:hint="default"/>
              </w:rPr>
              <w:t>主用单板发生故障时，自动倒换到备用单板</w:t>
            </w:r>
            <w:r>
              <w:rPr>
                <w:rStyle w:val="font41"/>
                <w:rFonts w:hint="default"/>
              </w:rPr>
              <w:t>。</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可支持高精度时钟同步。</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支持风扇调速和故障检测，提供风扇告警管理功能。</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lastRenderedPageBreak/>
              <w:t>4路STM-4光接口板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（设备子架2）</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2块（满配STM-4光模块，传输距离为15km）。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单板性能</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最大发送光功率-0dBm。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最小发送光功率-5dBm。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光接收灵敏度-18dBm。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最小过载点0dBm。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至少可同时</w:t>
            </w:r>
            <w:r>
              <w:rPr>
                <w:rStyle w:val="font41"/>
                <w:rFonts w:hint="default"/>
              </w:rPr>
              <w:t>接收和发送4路STM-4光信号。</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w:t>
            </w:r>
            <w:r>
              <w:rPr>
                <w:rStyle w:val="font41"/>
                <w:rFonts w:hint="default"/>
              </w:rPr>
              <w:t>支持VC-12/VC-3/VC-4业务以及VC4-4c级联业务。可支持STM-4信号的段开销的处理，可支持对J0/J1/C2字节的设置和查询。</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可支持二纤双向环形复用段保护、线性复用段保护、SNCP（Sub-Network Connection Protection）保护。</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可支持光口级别的内环回、外环回功能，支持软复位和硬复位，软复位不影响业务，支持单板制造信息的查询功能，支持FPGA在线加载功能。</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光接口要求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w:t>
            </w:r>
            <w:r>
              <w:rPr>
                <w:rStyle w:val="font41"/>
                <w:rFonts w:hint="default"/>
              </w:rPr>
              <w:t>支持S-4.1、L-4.1、L-4.2的光接口。</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光模块要求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能支持光模块信息检测和查询，光接口能提供激光器打开、关闭设置和激光器自动关断功能，可支持SFP可插拔光模块的使用和监测。</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1路STM-64光接口板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（设备子架2）</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2块（满配STM-64光模块，传输距离为40km）。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MSTP板件。（可以配合BA板使用）</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单板性能</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最大发送光功率2dBm。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最小发送光功率-1dBm。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光接收灵敏度-15.8dBm。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最小过载点-1dBm。</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至少可</w:t>
            </w:r>
            <w:r>
              <w:rPr>
                <w:rStyle w:val="font41"/>
                <w:rFonts w:hint="default"/>
              </w:rPr>
              <w:t>接收和发送1路STM-64光信号。</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支持VC-12/VC-3/VC-4业务以及VC4-4c、VC4-16c、VC4-64c级联业务。</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可支持STM-64信号的段开销的处理，可支持高阶通道开销处理，可支持对J0/J1/C2字节的设置和查询。可支持公务字节通道。</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w:t>
            </w:r>
            <w:r>
              <w:rPr>
                <w:rStyle w:val="font41"/>
                <w:rFonts w:hint="default"/>
              </w:rPr>
              <w:t>支持二纤环形复用段保护、线性复用段保护、SNCP（Sub-Network Connection Protection）保护等多种保护方式。</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可支持光口级别的内环回、外环回功能，支持软复位和硬复位，软复位不影响业务，支持单板制造信息的查询功能，支持FPGA在线加载功能。支持单板软件的平滑升级。能支持TCM功能及PRBS功能。</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光接口要求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可支持I-64.1、S-64.2b、P1L1-2D2的灰光接口。</w:t>
            </w:r>
          </w:p>
        </w:tc>
      </w:tr>
      <w:tr w:rsidR="00C9171E">
        <w:trPr>
          <w:trHeight w:val="51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光模块要求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能支持光模块信息检测和查询，光接口能提供激光器打开、</w:t>
            </w:r>
            <w:r>
              <w:rPr>
                <w:rFonts w:ascii="宋体" w:hAnsi="宋体" w:cs="宋体" w:hint="eastAsia"/>
                <w:color w:val="000000"/>
                <w:kern w:val="0"/>
                <w:szCs w:val="21"/>
              </w:rPr>
              <w:lastRenderedPageBreak/>
              <w:t>关闭设置和激光器自动关断功能，可支持SFP可插拔光模块的使用和监测。</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r w:rsidR="00C9171E">
        <w:trPr>
          <w:trHeight w:val="270"/>
        </w:trPr>
        <w:tc>
          <w:tcPr>
            <w:tcW w:w="47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kern w:val="0"/>
                <w:szCs w:val="21"/>
              </w:rPr>
            </w:pPr>
            <w:r>
              <w:rPr>
                <w:rFonts w:ascii="宋体" w:hAnsi="宋体" w:cs="宋体" w:hint="eastAsia"/>
                <w:color w:val="000000"/>
                <w:kern w:val="0"/>
                <w:szCs w:val="21"/>
              </w:rPr>
              <w:t>8路带交换功能的快速以太网处理板</w:t>
            </w:r>
          </w:p>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（设备子架2）</w:t>
            </w: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数量</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3块。</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品牌要求</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*国内外知名品牌，与传输平台为同一品牌。</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jc w:val="center"/>
              <w:textAlignment w:val="top"/>
              <w:rPr>
                <w:rFonts w:ascii="宋体" w:hAnsi="宋体" w:cs="宋体"/>
                <w:color w:val="000000"/>
                <w:szCs w:val="21"/>
              </w:rPr>
            </w:pPr>
            <w:r>
              <w:rPr>
                <w:rFonts w:ascii="宋体" w:hAnsi="宋体" w:cs="宋体" w:hint="eastAsia"/>
                <w:color w:val="000000"/>
                <w:kern w:val="0"/>
                <w:szCs w:val="21"/>
              </w:rPr>
              <w:t>产品类型</w:t>
            </w:r>
          </w:p>
        </w:tc>
        <w:tc>
          <w:tcPr>
            <w:tcW w:w="3295" w:type="pct"/>
            <w:tcBorders>
              <w:top w:val="single" w:sz="4" w:space="0" w:color="000000"/>
              <w:left w:val="single" w:sz="4" w:space="0" w:color="000000"/>
              <w:bottom w:val="single" w:sz="4" w:space="0" w:color="000000"/>
              <w:right w:val="single" w:sz="4" w:space="0" w:color="000000"/>
            </w:tcBorders>
            <w:shd w:val="clear" w:color="auto" w:fill="auto"/>
          </w:tcPr>
          <w:p w:rsidR="00C9171E" w:rsidRDefault="005C1E17">
            <w:pPr>
              <w:widowControl/>
              <w:textAlignment w:val="top"/>
              <w:rPr>
                <w:rFonts w:ascii="宋体" w:hAnsi="宋体" w:cs="宋体"/>
                <w:color w:val="000000"/>
                <w:szCs w:val="21"/>
              </w:rPr>
            </w:pPr>
            <w:r>
              <w:rPr>
                <w:rFonts w:ascii="宋体" w:hAnsi="宋体" w:cs="宋体" w:hint="eastAsia"/>
                <w:color w:val="000000"/>
                <w:kern w:val="0"/>
                <w:szCs w:val="21"/>
              </w:rPr>
              <w:t>MSTP数据类板件</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功能特性</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可处理8路FE业务。</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业务帧格式：IEEE 802.3、Ethernet II、IEEE 802.1q、IEEE 802.1p，支持最大不超过9600Byte的Jumbo帧。</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支持共享PORT的EVPL业务，支持共享VCTRUNK的EVPL业务。</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能支持按VB+VLAN方式的数据隔离。</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支持基于PORT的透明传送。</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VCTRUNK数量不少于24个。</w:t>
            </w:r>
          </w:p>
        </w:tc>
      </w:tr>
      <w:tr w:rsidR="00C9171E">
        <w:trPr>
          <w:trHeight w:val="270"/>
        </w:trPr>
        <w:tc>
          <w:tcPr>
            <w:tcW w:w="47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C9171E">
            <w:pPr>
              <w:jc w:val="center"/>
              <w:rPr>
                <w:rFonts w:ascii="宋体" w:hAnsi="宋体" w:cs="宋体"/>
                <w:color w:val="000000"/>
                <w:szCs w:val="21"/>
              </w:rPr>
            </w:pPr>
          </w:p>
        </w:tc>
        <w:tc>
          <w:tcPr>
            <w:tcW w:w="1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center"/>
              <w:textAlignment w:val="center"/>
              <w:rPr>
                <w:rFonts w:ascii="宋体" w:hAnsi="宋体" w:cs="宋体"/>
                <w:color w:val="000000"/>
                <w:szCs w:val="21"/>
              </w:rPr>
            </w:pPr>
            <w:r>
              <w:rPr>
                <w:rFonts w:ascii="宋体" w:hAnsi="宋体" w:cs="宋体" w:hint="eastAsia"/>
                <w:color w:val="000000"/>
                <w:kern w:val="0"/>
                <w:szCs w:val="21"/>
              </w:rPr>
              <w:t>服务</w:t>
            </w:r>
          </w:p>
        </w:tc>
        <w:tc>
          <w:tcPr>
            <w:tcW w:w="32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C9171E" w:rsidRDefault="005C1E17">
            <w:pPr>
              <w:widowControl/>
              <w:jc w:val="left"/>
              <w:textAlignment w:val="center"/>
              <w:rPr>
                <w:rFonts w:ascii="宋体" w:hAnsi="宋体" w:cs="宋体"/>
                <w:color w:val="000000"/>
                <w:szCs w:val="21"/>
              </w:rPr>
            </w:pPr>
            <w:r>
              <w:rPr>
                <w:rFonts w:ascii="宋体" w:hAnsi="宋体" w:cs="宋体" w:hint="eastAsia"/>
                <w:color w:val="000000"/>
                <w:kern w:val="0"/>
                <w:szCs w:val="21"/>
              </w:rPr>
              <w:t>制造商工程师不少于3年免费质保服务。</w:t>
            </w:r>
          </w:p>
        </w:tc>
      </w:tr>
    </w:tbl>
    <w:p w:rsidR="00C9171E" w:rsidRDefault="00C9171E" w:rsidP="00284731">
      <w:pPr>
        <w:spacing w:line="360" w:lineRule="auto"/>
        <w:ind w:firstLineChars="202" w:firstLine="485"/>
        <w:rPr>
          <w:rFonts w:asciiTheme="minorEastAsia" w:eastAsiaTheme="minorEastAsia" w:hAnsiTheme="minorEastAsia"/>
          <w:sz w:val="24"/>
        </w:rPr>
      </w:pPr>
    </w:p>
    <w:p w:rsidR="00C9171E" w:rsidRDefault="005C1E17">
      <w:r>
        <w:br w:type="page"/>
      </w:r>
    </w:p>
    <w:p w:rsidR="00C9171E" w:rsidRDefault="005C1E17">
      <w:pPr>
        <w:spacing w:line="520" w:lineRule="exact"/>
        <w:jc w:val="left"/>
        <w:rPr>
          <w:b/>
          <w:sz w:val="36"/>
          <w:szCs w:val="36"/>
        </w:rPr>
      </w:pPr>
      <w:r>
        <w:rPr>
          <w:rFonts w:hint="eastAsia"/>
          <w:b/>
          <w:sz w:val="36"/>
          <w:szCs w:val="36"/>
        </w:rPr>
        <w:lastRenderedPageBreak/>
        <w:t>附件</w:t>
      </w:r>
      <w:r>
        <w:rPr>
          <w:rFonts w:hint="eastAsia"/>
          <w:b/>
          <w:sz w:val="36"/>
          <w:szCs w:val="36"/>
        </w:rPr>
        <w:t>3</w:t>
      </w:r>
      <w:r>
        <w:rPr>
          <w:rFonts w:hint="eastAsia"/>
          <w:b/>
          <w:sz w:val="36"/>
          <w:szCs w:val="36"/>
        </w:rPr>
        <w:t>：</w:t>
      </w:r>
    </w:p>
    <w:p w:rsidR="00C9171E" w:rsidRDefault="00C9171E">
      <w:pPr>
        <w:spacing w:line="520" w:lineRule="exact"/>
        <w:jc w:val="center"/>
        <w:rPr>
          <w:b/>
          <w:sz w:val="36"/>
          <w:szCs w:val="36"/>
        </w:rPr>
      </w:pPr>
    </w:p>
    <w:p w:rsidR="00C9171E" w:rsidRDefault="005C1E17">
      <w:pPr>
        <w:spacing w:line="520" w:lineRule="exact"/>
        <w:jc w:val="center"/>
        <w:rPr>
          <w:b/>
          <w:sz w:val="36"/>
          <w:szCs w:val="36"/>
        </w:rPr>
      </w:pPr>
      <w:r>
        <w:rPr>
          <w:rFonts w:hint="eastAsia"/>
          <w:b/>
          <w:sz w:val="36"/>
          <w:szCs w:val="36"/>
        </w:rPr>
        <w:t>关于投标保证金退回信息的声明</w:t>
      </w:r>
    </w:p>
    <w:p w:rsidR="00C9171E" w:rsidRDefault="00C9171E">
      <w:pPr>
        <w:spacing w:line="520" w:lineRule="exact"/>
        <w:rPr>
          <w:sz w:val="28"/>
          <w:szCs w:val="28"/>
        </w:rPr>
      </w:pPr>
    </w:p>
    <w:p w:rsidR="00C9171E" w:rsidRDefault="005C1E17">
      <w:pPr>
        <w:spacing w:line="520" w:lineRule="exact"/>
        <w:rPr>
          <w:b/>
          <w:sz w:val="28"/>
          <w:szCs w:val="28"/>
        </w:rPr>
      </w:pPr>
      <w:r>
        <w:rPr>
          <w:rFonts w:hint="eastAsia"/>
          <w:b/>
          <w:sz w:val="28"/>
          <w:szCs w:val="28"/>
        </w:rPr>
        <w:t>江苏省广电有线信息网络股份有限公司盐城分公司：</w:t>
      </w:r>
    </w:p>
    <w:p w:rsidR="00C9171E" w:rsidRDefault="005C1E17">
      <w:pPr>
        <w:pStyle w:val="reader-word-layerreader-word-s1-10"/>
        <w:shd w:val="clear" w:color="auto" w:fill="FFFFFF"/>
        <w:adjustRightInd w:val="0"/>
        <w:snapToGrid w:val="0"/>
        <w:spacing w:before="0" w:beforeAutospacing="0" w:after="0" w:afterAutospacing="0" w:line="520" w:lineRule="exact"/>
        <w:ind w:leftChars="50" w:left="105" w:firstLineChars="200" w:firstLine="560"/>
        <w:rPr>
          <w:sz w:val="28"/>
          <w:szCs w:val="28"/>
        </w:rPr>
      </w:pPr>
      <w:r>
        <w:rPr>
          <w:rFonts w:hint="eastAsia"/>
          <w:sz w:val="28"/>
          <w:szCs w:val="28"/>
        </w:rPr>
        <w:t>我公司现报名参加贵公司组织的</w:t>
      </w:r>
      <w:r>
        <w:rPr>
          <w:rFonts w:hint="eastAsia"/>
          <w:sz w:val="28"/>
          <w:szCs w:val="28"/>
          <w:u w:val="single"/>
        </w:rPr>
        <w:t>编号为</w:t>
      </w:r>
      <w:r w:rsidR="00284731" w:rsidRPr="00284731">
        <w:rPr>
          <w:rFonts w:hint="eastAsia"/>
          <w:sz w:val="28"/>
          <w:szCs w:val="28"/>
          <w:u w:val="single"/>
        </w:rPr>
        <w:t>YC-CGXQD-2022070</w:t>
      </w:r>
      <w:r>
        <w:rPr>
          <w:rFonts w:hint="eastAsia"/>
          <w:sz w:val="28"/>
          <w:szCs w:val="28"/>
          <w:u w:val="single"/>
        </w:rPr>
        <w:t>的江苏有线盐城分公司</w:t>
      </w:r>
      <w:r w:rsidR="00284731" w:rsidRPr="00284731">
        <w:rPr>
          <w:rFonts w:hint="eastAsia"/>
          <w:sz w:val="28"/>
          <w:szCs w:val="28"/>
          <w:u w:val="single"/>
        </w:rPr>
        <w:t>市内MSTP扩容项目（一期）</w:t>
      </w:r>
      <w:r w:rsidRPr="00284731">
        <w:rPr>
          <w:rFonts w:hint="eastAsia"/>
          <w:sz w:val="28"/>
          <w:szCs w:val="28"/>
          <w:u w:val="single"/>
        </w:rPr>
        <w:t>的</w:t>
      </w:r>
      <w:r>
        <w:rPr>
          <w:rFonts w:hint="eastAsia"/>
          <w:sz w:val="28"/>
          <w:szCs w:val="28"/>
        </w:rPr>
        <w:t>商务采购活动，并按采购文件规定提交了</w:t>
      </w:r>
      <w:r w:rsidR="00284731">
        <w:rPr>
          <w:rFonts w:hint="eastAsia"/>
          <w:sz w:val="28"/>
          <w:szCs w:val="28"/>
        </w:rPr>
        <w:t xml:space="preserve">      </w:t>
      </w:r>
      <w:r>
        <w:rPr>
          <w:rFonts w:hint="eastAsia"/>
          <w:sz w:val="28"/>
          <w:szCs w:val="28"/>
        </w:rPr>
        <w:t>元整（￥</w:t>
      </w:r>
      <w:r w:rsidR="00284731">
        <w:rPr>
          <w:rFonts w:hint="eastAsia"/>
          <w:sz w:val="28"/>
          <w:szCs w:val="28"/>
        </w:rPr>
        <w:t xml:space="preserve">     </w:t>
      </w:r>
      <w:r>
        <w:rPr>
          <w:rFonts w:hint="eastAsia"/>
          <w:sz w:val="28"/>
          <w:szCs w:val="28"/>
        </w:rPr>
        <w:t>）的投标保证金。</w:t>
      </w:r>
    </w:p>
    <w:p w:rsidR="00C9171E" w:rsidRDefault="005C1E17">
      <w:pPr>
        <w:pStyle w:val="reader-word-layerreader-word-s1-10"/>
        <w:shd w:val="clear" w:color="auto" w:fill="FFFFFF"/>
        <w:adjustRightInd w:val="0"/>
        <w:snapToGrid w:val="0"/>
        <w:spacing w:before="0" w:beforeAutospacing="0" w:after="0" w:afterAutospacing="0" w:line="520" w:lineRule="exact"/>
        <w:ind w:leftChars="50" w:left="105" w:firstLineChars="200" w:firstLine="560"/>
        <w:rPr>
          <w:sz w:val="28"/>
          <w:szCs w:val="28"/>
        </w:rPr>
      </w:pPr>
      <w:r>
        <w:rPr>
          <w:rFonts w:hint="eastAsia"/>
          <w:sz w:val="28"/>
          <w:szCs w:val="28"/>
        </w:rPr>
        <w:t>在按相关约定退回该投标保证金时，请按以下信息退回：</w:t>
      </w:r>
    </w:p>
    <w:p w:rsidR="00C9171E" w:rsidRDefault="005C1E17">
      <w:pPr>
        <w:pStyle w:val="reader-word-layerreader-word-s1-7"/>
        <w:shd w:val="clear" w:color="auto" w:fill="FFFFFF"/>
        <w:adjustRightInd w:val="0"/>
        <w:snapToGrid w:val="0"/>
        <w:spacing w:before="0" w:beforeAutospacing="0" w:after="0" w:afterAutospacing="0" w:line="520" w:lineRule="exact"/>
        <w:ind w:leftChars="50" w:left="105" w:firstLineChars="200" w:firstLine="560"/>
        <w:rPr>
          <w:color w:val="000000"/>
          <w:sz w:val="28"/>
          <w:szCs w:val="28"/>
        </w:rPr>
      </w:pPr>
      <w:r>
        <w:rPr>
          <w:rFonts w:hint="eastAsia"/>
          <w:sz w:val="28"/>
          <w:szCs w:val="28"/>
        </w:rPr>
        <w:t>户    名：</w:t>
      </w:r>
      <w:r>
        <w:rPr>
          <w:rFonts w:hint="eastAsia"/>
          <w:color w:val="000000"/>
          <w:sz w:val="28"/>
          <w:szCs w:val="28"/>
        </w:rPr>
        <w:t>（必须与投标人名称一致）</w:t>
      </w:r>
    </w:p>
    <w:p w:rsidR="00C9171E" w:rsidRDefault="005C1E17">
      <w:pPr>
        <w:pStyle w:val="reader-word-layerreader-word-s1-7"/>
        <w:shd w:val="clear" w:color="auto" w:fill="FFFFFF"/>
        <w:adjustRightInd w:val="0"/>
        <w:snapToGrid w:val="0"/>
        <w:spacing w:before="0" w:beforeAutospacing="0" w:after="0" w:afterAutospacing="0" w:line="520" w:lineRule="exact"/>
        <w:ind w:leftChars="50" w:left="105" w:firstLineChars="200" w:firstLine="560"/>
        <w:rPr>
          <w:color w:val="000000"/>
          <w:sz w:val="28"/>
          <w:szCs w:val="28"/>
        </w:rPr>
      </w:pPr>
      <w:r>
        <w:rPr>
          <w:rFonts w:hint="eastAsia"/>
          <w:color w:val="000000"/>
          <w:sz w:val="28"/>
          <w:szCs w:val="28"/>
        </w:rPr>
        <w:t>开户银行：</w:t>
      </w:r>
      <w:r>
        <w:rPr>
          <w:rFonts w:hint="eastAsia"/>
          <w:sz w:val="28"/>
          <w:szCs w:val="28"/>
        </w:rPr>
        <w:t>（必须是投标人基本账户）</w:t>
      </w:r>
    </w:p>
    <w:p w:rsidR="00C9171E" w:rsidRDefault="005C1E17">
      <w:pPr>
        <w:pStyle w:val="reader-word-layerreader-word-s1-7"/>
        <w:shd w:val="clear" w:color="auto" w:fill="FFFFFF"/>
        <w:adjustRightInd w:val="0"/>
        <w:snapToGrid w:val="0"/>
        <w:spacing w:before="0" w:beforeAutospacing="0" w:after="0" w:afterAutospacing="0" w:line="520" w:lineRule="exact"/>
        <w:ind w:leftChars="50" w:left="105" w:firstLineChars="200" w:firstLine="560"/>
        <w:rPr>
          <w:color w:val="000000"/>
          <w:sz w:val="28"/>
          <w:szCs w:val="28"/>
        </w:rPr>
      </w:pPr>
      <w:r>
        <w:rPr>
          <w:rFonts w:hint="eastAsia"/>
          <w:color w:val="000000"/>
          <w:sz w:val="28"/>
          <w:szCs w:val="28"/>
        </w:rPr>
        <w:t>银行账号：</w:t>
      </w:r>
      <w:r>
        <w:rPr>
          <w:rFonts w:hint="eastAsia"/>
          <w:sz w:val="28"/>
          <w:szCs w:val="28"/>
        </w:rPr>
        <w:t>（必须是投标人基本账户）</w:t>
      </w:r>
    </w:p>
    <w:p w:rsidR="00C9171E" w:rsidRDefault="00C9171E">
      <w:pPr>
        <w:pStyle w:val="reader-word-layerreader-word-s1-10"/>
        <w:shd w:val="clear" w:color="auto" w:fill="FFFFFF"/>
        <w:spacing w:before="0" w:beforeAutospacing="0" w:after="0" w:afterAutospacing="0" w:line="520" w:lineRule="exact"/>
        <w:ind w:leftChars="67" w:left="141" w:firstLineChars="200" w:firstLine="588"/>
        <w:rPr>
          <w:color w:val="000000"/>
          <w:spacing w:val="7"/>
          <w:sz w:val="28"/>
          <w:szCs w:val="28"/>
        </w:rPr>
      </w:pPr>
    </w:p>
    <w:p w:rsidR="00284731" w:rsidRPr="00284731" w:rsidRDefault="00284731">
      <w:pPr>
        <w:pStyle w:val="reader-word-layerreader-word-s1-10"/>
        <w:shd w:val="clear" w:color="auto" w:fill="FFFFFF"/>
        <w:spacing w:before="0" w:beforeAutospacing="0" w:after="0" w:afterAutospacing="0" w:line="520" w:lineRule="exact"/>
        <w:ind w:leftChars="67" w:left="141" w:firstLineChars="200" w:firstLine="588"/>
        <w:rPr>
          <w:color w:val="000000"/>
          <w:spacing w:val="7"/>
          <w:sz w:val="28"/>
          <w:szCs w:val="28"/>
        </w:rPr>
      </w:pPr>
    </w:p>
    <w:p w:rsidR="00C9171E" w:rsidRDefault="005C1E17">
      <w:pPr>
        <w:pStyle w:val="reader-word-layerreader-word-s1-10"/>
        <w:shd w:val="clear" w:color="auto" w:fill="FFFFFF"/>
        <w:spacing w:before="0" w:beforeAutospacing="0" w:after="0" w:afterAutospacing="0" w:line="520" w:lineRule="exact"/>
        <w:ind w:leftChars="67" w:left="141" w:firstLineChars="1115" w:firstLine="3278"/>
        <w:rPr>
          <w:color w:val="000000"/>
          <w:spacing w:val="7"/>
          <w:sz w:val="28"/>
          <w:szCs w:val="28"/>
        </w:rPr>
      </w:pPr>
      <w:r>
        <w:rPr>
          <w:rFonts w:hint="eastAsia"/>
          <w:color w:val="000000"/>
          <w:spacing w:val="7"/>
          <w:sz w:val="28"/>
          <w:szCs w:val="28"/>
        </w:rPr>
        <w:t>单位名称：（章）</w:t>
      </w:r>
    </w:p>
    <w:p w:rsidR="00C9171E" w:rsidRDefault="005C1E17">
      <w:pPr>
        <w:pStyle w:val="reader-word-layerreader-word-s1-10"/>
        <w:shd w:val="clear" w:color="auto" w:fill="FFFFFF"/>
        <w:spacing w:before="0" w:beforeAutospacing="0" w:after="0" w:afterAutospacing="0" w:line="520" w:lineRule="exact"/>
        <w:ind w:leftChars="67" w:left="141" w:firstLineChars="1115" w:firstLine="3278"/>
        <w:rPr>
          <w:color w:val="000000"/>
          <w:spacing w:val="7"/>
          <w:sz w:val="28"/>
          <w:szCs w:val="28"/>
          <w:u w:val="single"/>
        </w:rPr>
      </w:pPr>
      <w:r>
        <w:rPr>
          <w:rFonts w:hint="eastAsia"/>
          <w:color w:val="000000"/>
          <w:spacing w:val="7"/>
          <w:sz w:val="28"/>
          <w:szCs w:val="28"/>
        </w:rPr>
        <w:t>授权代表：</w:t>
      </w:r>
    </w:p>
    <w:p w:rsidR="00C9171E" w:rsidRDefault="005C1E17">
      <w:pPr>
        <w:pStyle w:val="reader-word-layerreader-word-s1-10"/>
        <w:shd w:val="clear" w:color="auto" w:fill="FFFFFF"/>
        <w:spacing w:before="0" w:beforeAutospacing="0" w:after="0" w:afterAutospacing="0" w:line="520" w:lineRule="exact"/>
        <w:ind w:leftChars="67" w:left="141" w:firstLineChars="1115" w:firstLine="3278"/>
        <w:rPr>
          <w:color w:val="000000"/>
          <w:spacing w:val="7"/>
          <w:sz w:val="28"/>
          <w:szCs w:val="28"/>
          <w:u w:val="single"/>
        </w:rPr>
      </w:pPr>
      <w:r>
        <w:rPr>
          <w:rFonts w:hint="eastAsia"/>
          <w:color w:val="000000"/>
          <w:spacing w:val="7"/>
          <w:sz w:val="28"/>
          <w:szCs w:val="28"/>
        </w:rPr>
        <w:t>日    期：</w:t>
      </w:r>
    </w:p>
    <w:p w:rsidR="00C9171E" w:rsidRDefault="00C9171E">
      <w:pPr>
        <w:pStyle w:val="reader-word-layerreader-word-s1-10"/>
        <w:shd w:val="clear" w:color="auto" w:fill="FFFFFF"/>
        <w:spacing w:before="0" w:beforeAutospacing="0" w:after="0" w:afterAutospacing="0" w:line="520" w:lineRule="exact"/>
        <w:ind w:leftChars="67" w:left="141" w:firstLineChars="200" w:firstLine="588"/>
        <w:rPr>
          <w:color w:val="000000"/>
          <w:spacing w:val="7"/>
          <w:sz w:val="28"/>
          <w:szCs w:val="28"/>
        </w:rPr>
      </w:pPr>
    </w:p>
    <w:p w:rsidR="00C9171E" w:rsidRDefault="005C1E17">
      <w:pPr>
        <w:spacing w:line="520" w:lineRule="exact"/>
        <w:ind w:firstLineChars="198" w:firstLine="557"/>
        <w:rPr>
          <w:b/>
          <w:sz w:val="28"/>
          <w:szCs w:val="28"/>
          <w:u w:val="single"/>
        </w:rPr>
      </w:pPr>
      <w:r>
        <w:rPr>
          <w:rFonts w:hint="eastAsia"/>
          <w:b/>
          <w:sz w:val="28"/>
          <w:szCs w:val="28"/>
          <w:u w:val="single"/>
        </w:rPr>
        <w:t>注：此件不得与报价文件一并密封，递交报价文件时请单独交由报价文件接收工作人员收存，作为退回保证金的重要信息。</w:t>
      </w:r>
    </w:p>
    <w:p w:rsidR="00C9171E" w:rsidRDefault="00C9171E">
      <w:pPr>
        <w:pStyle w:val="4"/>
      </w:pPr>
    </w:p>
    <w:sectPr w:rsidR="00C9171E" w:rsidSect="00C91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F12" w:rsidRDefault="00864F12" w:rsidP="00284731">
      <w:r>
        <w:separator/>
      </w:r>
    </w:p>
  </w:endnote>
  <w:endnote w:type="continuationSeparator" w:id="0">
    <w:p w:rsidR="00864F12" w:rsidRDefault="00864F12" w:rsidP="0028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小标宋">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F12" w:rsidRDefault="00864F12" w:rsidP="00284731">
      <w:r>
        <w:separator/>
      </w:r>
    </w:p>
  </w:footnote>
  <w:footnote w:type="continuationSeparator" w:id="0">
    <w:p w:rsidR="00864F12" w:rsidRDefault="00864F12" w:rsidP="00284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35111"/>
    <w:rsid w:val="00055166"/>
    <w:rsid w:val="00074752"/>
    <w:rsid w:val="000819F7"/>
    <w:rsid w:val="000858FF"/>
    <w:rsid w:val="000953CC"/>
    <w:rsid w:val="000A5B69"/>
    <w:rsid w:val="000D0111"/>
    <w:rsid w:val="000E7A09"/>
    <w:rsid w:val="000F2802"/>
    <w:rsid w:val="000F3C94"/>
    <w:rsid w:val="00113A80"/>
    <w:rsid w:val="00137A63"/>
    <w:rsid w:val="00227F5E"/>
    <w:rsid w:val="002645D6"/>
    <w:rsid w:val="00284731"/>
    <w:rsid w:val="00291500"/>
    <w:rsid w:val="002C54C3"/>
    <w:rsid w:val="002D6FD3"/>
    <w:rsid w:val="00317C8F"/>
    <w:rsid w:val="00356E56"/>
    <w:rsid w:val="0036229B"/>
    <w:rsid w:val="00382025"/>
    <w:rsid w:val="003871CD"/>
    <w:rsid w:val="003A1C04"/>
    <w:rsid w:val="003B3A96"/>
    <w:rsid w:val="003C4544"/>
    <w:rsid w:val="00451DA8"/>
    <w:rsid w:val="0046209C"/>
    <w:rsid w:val="0049464A"/>
    <w:rsid w:val="004B08D6"/>
    <w:rsid w:val="00512454"/>
    <w:rsid w:val="00542A9E"/>
    <w:rsid w:val="00546994"/>
    <w:rsid w:val="0055780C"/>
    <w:rsid w:val="00563546"/>
    <w:rsid w:val="005C1E17"/>
    <w:rsid w:val="005E549B"/>
    <w:rsid w:val="00602191"/>
    <w:rsid w:val="00612E71"/>
    <w:rsid w:val="00632D7D"/>
    <w:rsid w:val="0064452B"/>
    <w:rsid w:val="006A62D6"/>
    <w:rsid w:val="006E32A8"/>
    <w:rsid w:val="006E3B96"/>
    <w:rsid w:val="006F2D4F"/>
    <w:rsid w:val="00701D94"/>
    <w:rsid w:val="00702754"/>
    <w:rsid w:val="0071571F"/>
    <w:rsid w:val="0071579E"/>
    <w:rsid w:val="00793BFB"/>
    <w:rsid w:val="007D67B6"/>
    <w:rsid w:val="00832A22"/>
    <w:rsid w:val="00844BB9"/>
    <w:rsid w:val="00864F12"/>
    <w:rsid w:val="00872FBB"/>
    <w:rsid w:val="00873A83"/>
    <w:rsid w:val="008D654A"/>
    <w:rsid w:val="008E5EF1"/>
    <w:rsid w:val="00900230"/>
    <w:rsid w:val="009037B7"/>
    <w:rsid w:val="00935595"/>
    <w:rsid w:val="0094722A"/>
    <w:rsid w:val="00983A2D"/>
    <w:rsid w:val="00990ADF"/>
    <w:rsid w:val="009A125B"/>
    <w:rsid w:val="009C1B95"/>
    <w:rsid w:val="009F236C"/>
    <w:rsid w:val="009F5DBA"/>
    <w:rsid w:val="00A35D69"/>
    <w:rsid w:val="00A91E24"/>
    <w:rsid w:val="00A9588E"/>
    <w:rsid w:val="00AD7B24"/>
    <w:rsid w:val="00AE4B61"/>
    <w:rsid w:val="00AF14D5"/>
    <w:rsid w:val="00B71778"/>
    <w:rsid w:val="00BD2474"/>
    <w:rsid w:val="00BF0D8D"/>
    <w:rsid w:val="00BF0EDF"/>
    <w:rsid w:val="00C06F60"/>
    <w:rsid w:val="00C46A80"/>
    <w:rsid w:val="00C46BF0"/>
    <w:rsid w:val="00C477AB"/>
    <w:rsid w:val="00C521E5"/>
    <w:rsid w:val="00C9171E"/>
    <w:rsid w:val="00CB436D"/>
    <w:rsid w:val="00CD213F"/>
    <w:rsid w:val="00D035B5"/>
    <w:rsid w:val="00D25CDA"/>
    <w:rsid w:val="00D703CE"/>
    <w:rsid w:val="00D72E01"/>
    <w:rsid w:val="00D818EA"/>
    <w:rsid w:val="00DA00A6"/>
    <w:rsid w:val="00DD136E"/>
    <w:rsid w:val="00DE21ED"/>
    <w:rsid w:val="00DE58C8"/>
    <w:rsid w:val="00DF0456"/>
    <w:rsid w:val="00E07FE2"/>
    <w:rsid w:val="00E16263"/>
    <w:rsid w:val="00E65EC0"/>
    <w:rsid w:val="00E85E5C"/>
    <w:rsid w:val="00EB3B85"/>
    <w:rsid w:val="00F27902"/>
    <w:rsid w:val="00F77680"/>
    <w:rsid w:val="00FB03E8"/>
    <w:rsid w:val="00FB59D0"/>
    <w:rsid w:val="0AB76CAC"/>
    <w:rsid w:val="1A8C327B"/>
    <w:rsid w:val="217D1E40"/>
    <w:rsid w:val="260B17FB"/>
    <w:rsid w:val="2E703DA6"/>
    <w:rsid w:val="4D4C7B74"/>
    <w:rsid w:val="56CD45E6"/>
    <w:rsid w:val="5E106C4A"/>
    <w:rsid w:val="6F4F6521"/>
    <w:rsid w:val="79C701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A04657-DA26-4690-8C2A-911F61C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C9171E"/>
    <w:pPr>
      <w:widowControl w:val="0"/>
      <w:jc w:val="both"/>
    </w:pPr>
    <w:rPr>
      <w:kern w:val="2"/>
      <w:sz w:val="21"/>
      <w:szCs w:val="24"/>
    </w:rPr>
  </w:style>
  <w:style w:type="paragraph" w:styleId="1">
    <w:name w:val="heading 1"/>
    <w:basedOn w:val="a"/>
    <w:next w:val="a"/>
    <w:link w:val="1Char"/>
    <w:uiPriority w:val="9"/>
    <w:qFormat/>
    <w:rsid w:val="00C9171E"/>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C9171E"/>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rsid w:val="00C9171E"/>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uiPriority w:val="9"/>
    <w:qFormat/>
    <w:rsid w:val="00C9171E"/>
    <w:pPr>
      <w:keepNext/>
      <w:keepLines/>
      <w:spacing w:line="360" w:lineRule="auto"/>
      <w:outlineLvl w:val="3"/>
    </w:pPr>
    <w:rPr>
      <w:rFonts w:ascii="Arial"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C9171E"/>
    <w:pPr>
      <w:widowControl/>
      <w:spacing w:after="120"/>
      <w:jc w:val="left"/>
    </w:pPr>
    <w:rPr>
      <w:rFonts w:asciiTheme="minorHAnsi" w:eastAsiaTheme="minorEastAsia" w:hAnsiTheme="minorHAnsi" w:cstheme="minorBidi"/>
      <w:szCs w:val="22"/>
    </w:rPr>
  </w:style>
  <w:style w:type="paragraph" w:styleId="a4">
    <w:name w:val="Balloon Text"/>
    <w:basedOn w:val="a"/>
    <w:link w:val="Char0"/>
    <w:qFormat/>
    <w:rsid w:val="00C9171E"/>
    <w:rPr>
      <w:sz w:val="18"/>
      <w:szCs w:val="18"/>
    </w:rPr>
  </w:style>
  <w:style w:type="paragraph" w:styleId="a5">
    <w:name w:val="footer"/>
    <w:basedOn w:val="a"/>
    <w:link w:val="Char1"/>
    <w:qFormat/>
    <w:rsid w:val="00C9171E"/>
    <w:pPr>
      <w:tabs>
        <w:tab w:val="center" w:pos="4153"/>
        <w:tab w:val="right" w:pos="8306"/>
      </w:tabs>
      <w:snapToGrid w:val="0"/>
      <w:jc w:val="left"/>
    </w:pPr>
    <w:rPr>
      <w:sz w:val="18"/>
      <w:szCs w:val="18"/>
    </w:rPr>
  </w:style>
  <w:style w:type="paragraph" w:styleId="a6">
    <w:name w:val="header"/>
    <w:basedOn w:val="a"/>
    <w:link w:val="Char2"/>
    <w:qFormat/>
    <w:rsid w:val="00C9171E"/>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C9171E"/>
    <w:pPr>
      <w:widowControl/>
      <w:spacing w:before="100" w:beforeAutospacing="1" w:after="100" w:afterAutospacing="1"/>
      <w:jc w:val="left"/>
    </w:pPr>
    <w:rPr>
      <w:rFonts w:ascii="宋体" w:hAnsi="宋体" w:cs="宋体"/>
      <w:kern w:val="0"/>
      <w:sz w:val="24"/>
    </w:rPr>
  </w:style>
  <w:style w:type="table" w:styleId="a8">
    <w:name w:val="Table Grid"/>
    <w:basedOn w:val="a1"/>
    <w:qFormat/>
    <w:rsid w:val="00C917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qFormat/>
    <w:rsid w:val="00C9171E"/>
    <w:rPr>
      <w:color w:val="0000FF"/>
      <w:u w:val="single"/>
    </w:rPr>
  </w:style>
  <w:style w:type="character" w:customStyle="1" w:styleId="2Char">
    <w:name w:val="标题 2 Char"/>
    <w:basedOn w:val="a0"/>
    <w:link w:val="2"/>
    <w:uiPriority w:val="9"/>
    <w:qFormat/>
    <w:rsid w:val="00C9171E"/>
    <w:rPr>
      <w:rFonts w:ascii="DejaVu Sans" w:eastAsia="方正黑体_GBK" w:hAnsi="DejaVu Sans"/>
      <w:b/>
      <w:kern w:val="2"/>
      <w:sz w:val="32"/>
      <w:szCs w:val="22"/>
    </w:rPr>
  </w:style>
  <w:style w:type="character" w:customStyle="1" w:styleId="3Char">
    <w:name w:val="标题 3 Char"/>
    <w:basedOn w:val="a0"/>
    <w:link w:val="3"/>
    <w:uiPriority w:val="9"/>
    <w:qFormat/>
    <w:rsid w:val="00C9171E"/>
    <w:rPr>
      <w:b/>
      <w:bCs/>
      <w:kern w:val="2"/>
      <w:sz w:val="32"/>
      <w:szCs w:val="32"/>
    </w:rPr>
  </w:style>
  <w:style w:type="character" w:customStyle="1" w:styleId="Char">
    <w:name w:val="正文文本 Char"/>
    <w:basedOn w:val="a0"/>
    <w:link w:val="a3"/>
    <w:uiPriority w:val="99"/>
    <w:qFormat/>
    <w:rsid w:val="00C9171E"/>
    <w:rPr>
      <w:kern w:val="2"/>
      <w:sz w:val="21"/>
      <w:szCs w:val="22"/>
    </w:rPr>
  </w:style>
  <w:style w:type="paragraph" w:customStyle="1" w:styleId="10">
    <w:name w:val="列表段落1"/>
    <w:basedOn w:val="a"/>
    <w:uiPriority w:val="34"/>
    <w:qFormat/>
    <w:rsid w:val="00C9171E"/>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qFormat/>
    <w:rsid w:val="00C9171E"/>
    <w:rPr>
      <w:rFonts w:ascii="Times New Roman" w:eastAsia="宋体" w:hAnsi="Times New Roman" w:cs="Times New Roman"/>
      <w:kern w:val="2"/>
      <w:sz w:val="18"/>
      <w:szCs w:val="18"/>
    </w:rPr>
  </w:style>
  <w:style w:type="character" w:customStyle="1" w:styleId="Char1">
    <w:name w:val="页脚 Char"/>
    <w:basedOn w:val="a0"/>
    <w:link w:val="a5"/>
    <w:qFormat/>
    <w:rsid w:val="00C9171E"/>
    <w:rPr>
      <w:rFonts w:ascii="Times New Roman" w:eastAsia="宋体" w:hAnsi="Times New Roman" w:cs="Times New Roman"/>
      <w:kern w:val="2"/>
      <w:sz w:val="18"/>
      <w:szCs w:val="18"/>
    </w:rPr>
  </w:style>
  <w:style w:type="character" w:customStyle="1" w:styleId="1Char">
    <w:name w:val="标题 1 Char"/>
    <w:basedOn w:val="a0"/>
    <w:link w:val="1"/>
    <w:uiPriority w:val="9"/>
    <w:qFormat/>
    <w:rsid w:val="00C9171E"/>
    <w:rPr>
      <w:b/>
      <w:bCs/>
      <w:kern w:val="44"/>
      <w:sz w:val="44"/>
      <w:szCs w:val="44"/>
    </w:rPr>
  </w:style>
  <w:style w:type="character" w:customStyle="1" w:styleId="Char0">
    <w:name w:val="批注框文本 Char"/>
    <w:basedOn w:val="a0"/>
    <w:link w:val="a4"/>
    <w:qFormat/>
    <w:rsid w:val="00C9171E"/>
    <w:rPr>
      <w:kern w:val="2"/>
      <w:sz w:val="18"/>
      <w:szCs w:val="18"/>
    </w:rPr>
  </w:style>
  <w:style w:type="paragraph" w:customStyle="1" w:styleId="20">
    <w:name w:val="列表段落2"/>
    <w:basedOn w:val="a"/>
    <w:uiPriority w:val="34"/>
    <w:qFormat/>
    <w:rsid w:val="00C9171E"/>
    <w:pPr>
      <w:ind w:firstLineChars="200" w:firstLine="420"/>
    </w:pPr>
    <w:rPr>
      <w:rFonts w:asciiTheme="minorHAnsi" w:eastAsiaTheme="minorEastAsia" w:hAnsiTheme="minorHAnsi" w:cstheme="minorBidi"/>
      <w:szCs w:val="22"/>
    </w:rPr>
  </w:style>
  <w:style w:type="character" w:customStyle="1" w:styleId="font21">
    <w:name w:val="font21"/>
    <w:basedOn w:val="a0"/>
    <w:qFormat/>
    <w:rsid w:val="00C9171E"/>
    <w:rPr>
      <w:rFonts w:ascii="宋体" w:eastAsia="宋体" w:hAnsi="宋体" w:cs="宋体" w:hint="eastAsia"/>
      <w:color w:val="000000"/>
      <w:sz w:val="21"/>
      <w:szCs w:val="21"/>
      <w:u w:val="none"/>
    </w:rPr>
  </w:style>
  <w:style w:type="character" w:customStyle="1" w:styleId="font41">
    <w:name w:val="font41"/>
    <w:basedOn w:val="a0"/>
    <w:qFormat/>
    <w:rsid w:val="00C9171E"/>
    <w:rPr>
      <w:rFonts w:ascii="宋体" w:eastAsia="宋体" w:hAnsi="宋体" w:cs="宋体" w:hint="eastAsia"/>
      <w:color w:val="000000"/>
      <w:sz w:val="21"/>
      <w:szCs w:val="21"/>
      <w:u w:val="none"/>
    </w:rPr>
  </w:style>
  <w:style w:type="paragraph" w:customStyle="1" w:styleId="reader-word-layerreader-word-s1-10">
    <w:name w:val="reader-word-layer reader-word-s1-10"/>
    <w:basedOn w:val="a"/>
    <w:rsid w:val="00C9171E"/>
    <w:pPr>
      <w:widowControl/>
      <w:spacing w:before="100" w:beforeAutospacing="1" w:after="100" w:afterAutospacing="1"/>
      <w:jc w:val="left"/>
    </w:pPr>
    <w:rPr>
      <w:rFonts w:ascii="宋体" w:hAnsi="宋体" w:cs="宋体"/>
      <w:kern w:val="0"/>
      <w:sz w:val="24"/>
    </w:rPr>
  </w:style>
  <w:style w:type="paragraph" w:customStyle="1" w:styleId="reader-word-layerreader-word-s1-7">
    <w:name w:val="reader-word-layer reader-word-s1-7"/>
    <w:basedOn w:val="a"/>
    <w:qFormat/>
    <w:rsid w:val="00C9171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8034</Characters>
  <Application>Microsoft Office Word</Application>
  <DocSecurity>0</DocSecurity>
  <Lines>66</Lines>
  <Paragraphs>18</Paragraphs>
  <ScaleCrop>false</ScaleCrop>
  <Company>Organization</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3</cp:revision>
  <dcterms:created xsi:type="dcterms:W3CDTF">2022-11-03T02:00:00Z</dcterms:created>
  <dcterms:modified xsi:type="dcterms:W3CDTF">2022-11-03T02:00:00Z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1D8723CC30644C09A52D1C59D762A773</vt:lpwstr>
  </property>
  <property fmtid="{D5CDD505-2E9C-101B-9397-08002B2CF9AE}" pid="4" name="KSOSaveFontToCloudKey">
    <vt:lpwstr>228717641_cloud</vt:lpwstr>
  </property>
</Properties>
</file>