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p>
    <w:p>
      <w:pPr>
        <w:spacing w:line="360" w:lineRule="auto"/>
        <w:ind w:firstLine="560"/>
        <w:rPr>
          <w:rFonts w:eastAsia="仿宋_GB2312"/>
          <w:sz w:val="28"/>
          <w:szCs w:val="28"/>
        </w:rPr>
      </w:pPr>
    </w:p>
    <w:p>
      <w:pPr>
        <w:spacing w:line="360" w:lineRule="auto"/>
        <w:ind w:firstLine="560"/>
        <w:jc w:val="center"/>
        <w:rPr>
          <w:rFonts w:ascii="宋体" w:hAnsi="宋体"/>
          <w:sz w:val="44"/>
          <w:szCs w:val="44"/>
        </w:rPr>
      </w:pPr>
      <w:r>
        <w:rPr>
          <w:rFonts w:hint="eastAsia" w:ascii="宋体" w:hAnsi="宋体"/>
          <w:sz w:val="44"/>
          <w:szCs w:val="44"/>
        </w:rPr>
        <w:t>江苏省广电有线信息网络股份有限公司</w:t>
      </w:r>
    </w:p>
    <w:p>
      <w:pPr>
        <w:spacing w:after="120" w:line="360" w:lineRule="auto"/>
        <w:jc w:val="center"/>
        <w:rPr>
          <w:rFonts w:ascii="黑体" w:hAnsi="宋体" w:eastAsia="黑体"/>
          <w:sz w:val="44"/>
          <w:szCs w:val="44"/>
        </w:rPr>
      </w:pPr>
      <w:bookmarkStart w:id="1" w:name="_Toc227057880"/>
      <w:r>
        <w:rPr>
          <w:rFonts w:hint="eastAsia" w:ascii="黑体" w:hAnsi="宋体" w:eastAsia="黑体"/>
          <w:sz w:val="44"/>
          <w:szCs w:val="44"/>
        </w:rPr>
        <w:t>2021年省市县前端设备更新-光放设备及辅材集成采购</w:t>
      </w:r>
    </w:p>
    <w:p>
      <w:pPr>
        <w:spacing w:after="120" w:line="360" w:lineRule="auto"/>
        <w:jc w:val="center"/>
        <w:rPr>
          <w:rFonts w:ascii="黑体" w:hAnsi="宋体" w:eastAsia="黑体"/>
          <w:sz w:val="44"/>
          <w:szCs w:val="44"/>
        </w:rPr>
      </w:pPr>
      <w:r>
        <w:rPr>
          <w:rFonts w:hint="eastAsia" w:ascii="黑体" w:hAnsi="宋体" w:eastAsia="黑体"/>
          <w:sz w:val="44"/>
          <w:szCs w:val="44"/>
        </w:rPr>
        <w:t>竞争性磋商文件</w:t>
      </w:r>
      <w:bookmarkStart w:id="111" w:name="_GoBack"/>
      <w:bookmarkEnd w:id="111"/>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spacing w:after="120" w:line="360" w:lineRule="auto"/>
        <w:ind w:firstLine="1405" w:firstLineChars="500"/>
        <w:jc w:val="center"/>
        <w:rPr>
          <w:b/>
          <w:sz w:val="28"/>
          <w:szCs w:val="28"/>
        </w:rPr>
      </w:pPr>
      <w:r>
        <w:rPr>
          <w:rFonts w:hint="eastAsia"/>
          <w:b/>
          <w:sz w:val="28"/>
          <w:szCs w:val="28"/>
        </w:rPr>
        <w:t>安播运维部</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二〇二二年三月</w:t>
      </w: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第二章竞争性磋商须知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rPr>
          <w:rFonts w:hint="eastAsia"/>
        </w:rPr>
        <w:t>7</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30</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第六章竞争性磋商响应文件格式</w:t>
      </w:r>
      <w:r>
        <w:tab/>
      </w:r>
      <w:r>
        <w:rPr>
          <w:rFonts w:hint="eastAsia"/>
        </w:rPr>
        <w:t>3</w:t>
      </w:r>
      <w:r>
        <w:rPr>
          <w:rFonts w:hint="eastAsia"/>
        </w:rPr>
        <w:fldChar w:fldCharType="end"/>
      </w:r>
      <w:r>
        <w:rPr>
          <w:rFonts w:hint="eastAsia"/>
        </w:rPr>
        <w:t>8</w:t>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2" w:name="_Toc69378615"/>
      <w:r>
        <w:rPr>
          <w:rFonts w:hint="eastAsia"/>
          <w:b/>
          <w:sz w:val="36"/>
          <w:szCs w:val="36"/>
        </w:rPr>
        <w:t>第一章竞争性磋商公告</w:t>
      </w:r>
      <w:bookmarkEnd w:id="2"/>
    </w:p>
    <w:bookmarkEnd w:id="1"/>
    <w:p>
      <w:pPr>
        <w:spacing w:line="360" w:lineRule="auto"/>
        <w:rPr>
          <w:rFonts w:ascii="宋体" w:hAnsi="宋体"/>
          <w:b/>
          <w:sz w:val="24"/>
        </w:rPr>
      </w:pPr>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r>
        <w:rPr>
          <w:rFonts w:hint="eastAsia" w:ascii="宋体" w:hAnsi="宋体"/>
          <w:sz w:val="24"/>
        </w:rPr>
        <w:t>江苏省广电有线信息网络股份有限公司2021年省市县前端设备更新-光放设备及辅材集成采购</w:t>
      </w:r>
      <w:r>
        <w:rPr>
          <w:rFonts w:hint="eastAsia" w:ascii="宋体" w:hAnsi="宋体" w:cs="宋体"/>
          <w:kern w:val="0"/>
          <w:sz w:val="24"/>
          <w:szCs w:val="22"/>
        </w:rPr>
        <w:t>。</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7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32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color w:val="000000"/>
                <w:szCs w:val="21"/>
              </w:rPr>
            </w:pPr>
            <w:r>
              <w:rPr>
                <w:rFonts w:hint="eastAsia" w:ascii="Calibri" w:hAnsi="Calibri"/>
                <w:b/>
                <w:color w:val="262626"/>
                <w:szCs w:val="21"/>
              </w:rPr>
              <w:t>序号</w:t>
            </w:r>
          </w:p>
        </w:tc>
        <w:tc>
          <w:tcPr>
            <w:tcW w:w="4321" w:type="dxa"/>
            <w:vAlign w:val="center"/>
          </w:tcPr>
          <w:p>
            <w:pPr>
              <w:spacing w:line="400" w:lineRule="exact"/>
              <w:jc w:val="center"/>
              <w:rPr>
                <w:rFonts w:ascii="Calibri" w:hAnsi="Calibri"/>
                <w:b/>
                <w:color w:val="000000"/>
                <w:szCs w:val="21"/>
              </w:rPr>
            </w:pPr>
            <w:r>
              <w:rPr>
                <w:rFonts w:hint="eastAsia" w:ascii="Calibri" w:hAnsi="Calibri"/>
                <w:b/>
                <w:color w:val="000000"/>
                <w:szCs w:val="21"/>
              </w:rPr>
              <w:t>采购设备名称</w:t>
            </w:r>
          </w:p>
        </w:tc>
        <w:tc>
          <w:tcPr>
            <w:tcW w:w="2248" w:type="dxa"/>
            <w:vAlign w:val="center"/>
          </w:tcPr>
          <w:p>
            <w:pPr>
              <w:spacing w:line="400" w:lineRule="exact"/>
              <w:jc w:val="center"/>
              <w:rPr>
                <w:rFonts w:ascii="Calibri" w:hAnsi="Calibri"/>
                <w:b/>
                <w:color w:val="000000"/>
                <w:szCs w:val="21"/>
              </w:rPr>
            </w:pPr>
            <w:r>
              <w:rPr>
                <w:rFonts w:hint="eastAsia" w:ascii="Calibri" w:hAnsi="Calibri"/>
                <w:b/>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9" w:type="dxa"/>
            <w:vAlign w:val="center"/>
          </w:tcPr>
          <w:p>
            <w:pPr>
              <w:spacing w:line="400" w:lineRule="exact"/>
              <w:jc w:val="center"/>
              <w:rPr>
                <w:color w:val="000000"/>
                <w:szCs w:val="21"/>
              </w:rPr>
            </w:pPr>
            <w:r>
              <w:rPr>
                <w:color w:val="000000"/>
                <w:szCs w:val="21"/>
              </w:rPr>
              <w:t>1</w:t>
            </w:r>
          </w:p>
        </w:tc>
        <w:tc>
          <w:tcPr>
            <w:tcW w:w="4321" w:type="dxa"/>
            <w:vAlign w:val="center"/>
          </w:tcPr>
          <w:p>
            <w:pPr>
              <w:spacing w:line="400" w:lineRule="exact"/>
              <w:jc w:val="center"/>
              <w:rPr>
                <w:color w:val="000000"/>
                <w:szCs w:val="21"/>
              </w:rPr>
            </w:pPr>
            <w:r>
              <w:rPr>
                <w:rFonts w:hint="eastAsia" w:ascii="宋体" w:hAnsi="宋体"/>
                <w:sz w:val="24"/>
              </w:rPr>
              <w:t>光放大器EDFA</w:t>
            </w:r>
          </w:p>
        </w:tc>
        <w:tc>
          <w:tcPr>
            <w:tcW w:w="2248" w:type="dxa"/>
            <w:vAlign w:val="center"/>
          </w:tcPr>
          <w:p>
            <w:pPr>
              <w:spacing w:line="400" w:lineRule="exact"/>
              <w:jc w:val="center"/>
              <w:rPr>
                <w:color w:val="000000"/>
                <w:szCs w:val="21"/>
              </w:rPr>
            </w:pPr>
            <w:r>
              <w:rPr>
                <w:rFonts w:hint="eastAsia"/>
                <w:color w:val="000000"/>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9" w:type="dxa"/>
            <w:vAlign w:val="center"/>
          </w:tcPr>
          <w:p>
            <w:pPr>
              <w:spacing w:line="400" w:lineRule="exact"/>
              <w:jc w:val="center"/>
              <w:rPr>
                <w:color w:val="000000"/>
                <w:szCs w:val="21"/>
              </w:rPr>
            </w:pPr>
            <w:r>
              <w:rPr>
                <w:rFonts w:hint="eastAsia"/>
                <w:color w:val="000000"/>
                <w:szCs w:val="21"/>
              </w:rPr>
              <w:t>2</w:t>
            </w:r>
          </w:p>
        </w:tc>
        <w:tc>
          <w:tcPr>
            <w:tcW w:w="4321" w:type="dxa"/>
            <w:vAlign w:val="center"/>
          </w:tcPr>
          <w:p>
            <w:pPr>
              <w:spacing w:line="400" w:lineRule="exact"/>
              <w:jc w:val="center"/>
              <w:rPr>
                <w:rFonts w:ascii="宋体" w:hAnsi="宋体"/>
                <w:sz w:val="24"/>
              </w:rPr>
            </w:pPr>
            <w:r>
              <w:rPr>
                <w:rFonts w:hint="eastAsia" w:ascii="宋体" w:hAnsi="宋体"/>
                <w:sz w:val="24"/>
              </w:rPr>
              <w:t>辅材集成</w:t>
            </w:r>
          </w:p>
        </w:tc>
        <w:tc>
          <w:tcPr>
            <w:tcW w:w="2248" w:type="dxa"/>
            <w:vAlign w:val="center"/>
          </w:tcPr>
          <w:p>
            <w:pPr>
              <w:spacing w:line="400" w:lineRule="exact"/>
              <w:jc w:val="center"/>
              <w:rPr>
                <w:color w:val="000000"/>
                <w:szCs w:val="21"/>
              </w:rPr>
            </w:pPr>
            <w:r>
              <w:rPr>
                <w:rFonts w:hint="eastAsia"/>
                <w:color w:val="000000"/>
                <w:szCs w:val="21"/>
              </w:rPr>
              <w:t>1套</w:t>
            </w:r>
          </w:p>
        </w:tc>
      </w:tr>
    </w:tbl>
    <w:p>
      <w:pPr>
        <w:spacing w:line="360" w:lineRule="auto"/>
        <w:rPr>
          <w:rFonts w:ascii="宋体" w:hAnsi="宋体" w:cs="宋体"/>
          <w:kern w:val="0"/>
          <w:sz w:val="24"/>
        </w:rPr>
      </w:pPr>
    </w:p>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234" w:firstLineChars="97"/>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3"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3"/>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2.供应商须具有良好的业绩和经验，自2018年1月1日至响应截止日前在国内相关行业实施过类似项目。（提供合同复印件，原件备查）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3.供应商须是投标货物（</w:t>
      </w:r>
      <w:r>
        <w:rPr>
          <w:rFonts w:hint="eastAsia" w:ascii="宋体" w:hAnsi="宋体"/>
          <w:sz w:val="24"/>
        </w:rPr>
        <w:t>光放大器EDFA</w:t>
      </w:r>
      <w:r>
        <w:rPr>
          <w:rFonts w:hint="eastAsia" w:ascii="宋体" w:hAnsi="宋体" w:cs="宋体"/>
          <w:kern w:val="0"/>
          <w:sz w:val="24"/>
          <w:szCs w:val="22"/>
        </w:rPr>
        <w:t>的制造商或获得所投货物制造商针对本项目的授权代理商，制造商和授权代理商不得同时参与本项目。（代理商提供授权书原件并加盖公章）</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4.供应商须提供对本项目直接保修和服务的承诺。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7.供应商单位负责人为同一人或者存在直接控股、管理关系的不同供应商，不得参加同一标段磋商或者未划分标段的同一采购项目磋商。</w:t>
      </w:r>
    </w:p>
    <w:p>
      <w:pPr>
        <w:spacing w:line="360" w:lineRule="auto"/>
        <w:ind w:firstLine="480" w:firstLineChars="200"/>
        <w:jc w:val="left"/>
      </w:pPr>
      <w:r>
        <w:rPr>
          <w:rFonts w:hint="eastAsia" w:ascii="宋体" w:hAnsi="宋体" w:cs="宋体"/>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rPr>
        <w:t>9.本项目不接受联合体响应。</w:t>
      </w:r>
    </w:p>
    <w:p>
      <w:pPr>
        <w:widowControl/>
        <w:spacing w:line="360" w:lineRule="auto"/>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年3</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4日至202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年3</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9日止，每日上午9：00-12：00，下午14：00-17：00（北京时间）。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发放方式：竞争性磋商文件在报名后自行下载，请响应人联系采购人项目联系人进行报名登记，具体报名方式为将确认磋商函加盖公司公章同时发至</w:t>
      </w:r>
      <w:r>
        <w:rPr>
          <w:rFonts w:hint="eastAsia" w:ascii="宋体" w:hAnsi="宋体" w:cs="宋体"/>
          <w:color w:val="191919"/>
          <w:kern w:val="0"/>
          <w:sz w:val="24"/>
        </w:rPr>
        <w:t>邮箱</w:t>
      </w:r>
      <w:r>
        <w:rPr>
          <w:rFonts w:ascii="宋体" w:hAnsi="宋体" w:cs="宋体"/>
          <w:color w:val="191919"/>
          <w:kern w:val="0"/>
          <w:sz w:val="24"/>
        </w:rPr>
        <w:t>lijing@jscnnet.com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登记方式：请响应人将该项目负责人姓名、联系电话（手机）、联系信箱发至采购人该项目联系人，超过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年3</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9日下午17:00再登记的视为无效。</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项目联系人：</w:t>
      </w:r>
      <w:r>
        <w:rPr>
          <w:rFonts w:hint="eastAsia" w:ascii="宋体" w:hAnsi="宋体" w:cs="宋体"/>
          <w:color w:val="191919"/>
          <w:kern w:val="0"/>
          <w:sz w:val="24"/>
        </w:rPr>
        <w:t>李晶（</w:t>
      </w:r>
      <w:r>
        <w:rPr>
          <w:rFonts w:ascii="宋体" w:hAnsi="宋体" w:cs="宋体"/>
          <w:color w:val="191919"/>
          <w:kern w:val="0"/>
          <w:sz w:val="24"/>
        </w:rPr>
        <w:t>025-86731692）</w:t>
      </w:r>
    </w:p>
    <w:p>
      <w:pPr>
        <w:widowControl/>
        <w:spacing w:line="360" w:lineRule="auto"/>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eastAsia="微软雅黑"/>
          <w:color w:val="191919"/>
          <w:kern w:val="0"/>
          <w:sz w:val="24"/>
          <w:shd w:val="clear" w:color="auto" w:fill="FFFFFF"/>
        </w:rPr>
        <w:t>202</w:t>
      </w:r>
      <w:r>
        <w:rPr>
          <w:rFonts w:hint="eastAsia" w:eastAsia="微软雅黑"/>
          <w:color w:val="191919"/>
          <w:kern w:val="0"/>
          <w:sz w:val="24"/>
          <w:shd w:val="clear" w:color="auto" w:fill="FFFFFF"/>
        </w:rPr>
        <w:t>2</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3</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16</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李晶，电话：</w:t>
      </w:r>
      <w:r>
        <w:rPr>
          <w:rFonts w:ascii="宋体" w:hAnsi="宋体" w:cs="宋体"/>
          <w:color w:val="191919"/>
          <w:kern w:val="0"/>
          <w:sz w:val="24"/>
        </w:rPr>
        <w:t>025-86731692。</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eastAsia="微软雅黑"/>
          <w:color w:val="191919"/>
          <w:kern w:val="0"/>
          <w:sz w:val="24"/>
          <w:shd w:val="clear" w:color="auto" w:fill="FFFFFF"/>
        </w:rPr>
        <w:t>202</w:t>
      </w:r>
      <w:r>
        <w:rPr>
          <w:rFonts w:hint="eastAsia" w:eastAsia="微软雅黑"/>
          <w:color w:val="191919"/>
          <w:kern w:val="0"/>
          <w:sz w:val="24"/>
          <w:shd w:val="clear" w:color="auto" w:fill="FFFFFF"/>
        </w:rPr>
        <w:t>2</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3</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16</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w:t>
      </w:r>
      <w:r>
        <w:rPr>
          <w:rFonts w:hint="eastAsia" w:ascii="宋体" w:hAnsi="宋体" w:cs="宋体"/>
          <w:color w:val="191919"/>
          <w:kern w:val="0"/>
          <w:sz w:val="24"/>
          <w:shd w:val="clear" w:color="auto" w:fill="FFFFFF"/>
        </w:rPr>
        <w:t>点</w:t>
      </w:r>
      <w:r>
        <w:rPr>
          <w:rFonts w:eastAsia="微软雅黑"/>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楼会议室。</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jc w:val="left"/>
        <w:rPr>
          <w:rFonts w:ascii="宋体" w:hAnsi="宋体"/>
          <w:sz w:val="24"/>
        </w:rPr>
      </w:pPr>
      <w:r>
        <w:rPr>
          <w:rFonts w:hint="eastAsia" w:ascii="宋体" w:cs="宋体"/>
          <w:bCs/>
          <w:sz w:val="24"/>
        </w:rPr>
        <w:t>有关本次磋商的事项若存在变动或修改，敬请及时关注网上发布的信息更正公告</w:t>
      </w:r>
      <w:bookmarkStart w:id="4" w:name="bookmark1"/>
      <w:bookmarkEnd w:id="4"/>
      <w:r>
        <w:rPr>
          <w:rFonts w:hint="eastAsia" w:ascii="宋体" w:cs="宋体"/>
          <w:bCs/>
          <w:sz w:val="24"/>
        </w:rPr>
        <w:t>。</w:t>
      </w:r>
      <w:bookmarkEnd w:id="0"/>
      <w:r>
        <w:rPr>
          <w:rFonts w:ascii="宋体" w:hAnsi="宋体"/>
          <w:sz w:val="24"/>
        </w:rPr>
        <w:br w:type="page"/>
      </w:r>
    </w:p>
    <w:p>
      <w:pPr>
        <w:pStyle w:val="3"/>
        <w:numPr>
          <w:ilvl w:val="0"/>
          <w:numId w:val="0"/>
        </w:numPr>
        <w:spacing w:before="0" w:after="0" w:line="360" w:lineRule="auto"/>
        <w:rPr>
          <w:b/>
          <w:sz w:val="36"/>
          <w:szCs w:val="36"/>
        </w:rPr>
      </w:pPr>
      <w:bookmarkStart w:id="5" w:name="_Toc227057883"/>
      <w:bookmarkStart w:id="6" w:name="_Toc69378616"/>
      <w:bookmarkStart w:id="7" w:name="_Toc226969276"/>
      <w:bookmarkStart w:id="8" w:name="_Toc107822483"/>
      <w:r>
        <w:rPr>
          <w:rFonts w:hint="eastAsia"/>
          <w:b/>
          <w:sz w:val="36"/>
          <w:szCs w:val="36"/>
        </w:rPr>
        <w:t>第二章竞争性磋商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tcBorders>
              <w:top w:val="single" w:color="auto" w:sz="6" w:space="0"/>
            </w:tcBorders>
            <w:vAlign w:val="center"/>
          </w:tcPr>
          <w:p>
            <w:pPr>
              <w:jc w:val="center"/>
              <w:rPr>
                <w:b/>
                <w:sz w:val="24"/>
              </w:rPr>
            </w:pPr>
            <w:r>
              <w:rPr>
                <w:rFonts w:hint="eastAsia"/>
                <w:b/>
                <w:sz w:val="24"/>
              </w:rPr>
              <w:t>序号</w:t>
            </w:r>
          </w:p>
        </w:tc>
        <w:tc>
          <w:tcPr>
            <w:tcW w:w="241" w:type="pct"/>
            <w:tcBorders>
              <w:top w:val="single" w:color="auto" w:sz="6" w:space="0"/>
            </w:tcBorders>
            <w:vAlign w:val="center"/>
          </w:tcPr>
          <w:p>
            <w:pPr>
              <w:jc w:val="center"/>
              <w:rPr>
                <w:b/>
                <w:sz w:val="24"/>
              </w:rPr>
            </w:pPr>
            <w:r>
              <w:rPr>
                <w:rFonts w:hint="eastAsia"/>
                <w:b/>
                <w:sz w:val="24"/>
              </w:rPr>
              <w:t>条款号</w:t>
            </w:r>
          </w:p>
        </w:tc>
        <w:tc>
          <w:tcPr>
            <w:tcW w:w="772" w:type="pct"/>
            <w:tcBorders>
              <w:top w:val="single" w:color="auto" w:sz="6" w:space="0"/>
            </w:tcBorders>
            <w:vAlign w:val="center"/>
          </w:tcPr>
          <w:p>
            <w:pPr>
              <w:jc w:val="center"/>
              <w:rPr>
                <w:b/>
                <w:sz w:val="24"/>
              </w:rPr>
            </w:pPr>
            <w:r>
              <w:rPr>
                <w:rFonts w:hint="eastAsia"/>
                <w:b/>
                <w:sz w:val="24"/>
              </w:rPr>
              <w:t>内容</w:t>
            </w:r>
          </w:p>
        </w:tc>
        <w:tc>
          <w:tcPr>
            <w:tcW w:w="3410"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w:t>
            </w:r>
          </w:p>
        </w:tc>
        <w:tc>
          <w:tcPr>
            <w:tcW w:w="241" w:type="pct"/>
            <w:vAlign w:val="center"/>
          </w:tcPr>
          <w:p>
            <w:pPr>
              <w:jc w:val="center"/>
              <w:rPr>
                <w:sz w:val="24"/>
              </w:rPr>
            </w:pPr>
            <w:r>
              <w:rPr>
                <w:sz w:val="24"/>
              </w:rPr>
              <w:t>1.1</w:t>
            </w:r>
          </w:p>
        </w:tc>
        <w:tc>
          <w:tcPr>
            <w:tcW w:w="772" w:type="pct"/>
            <w:vAlign w:val="center"/>
          </w:tcPr>
          <w:p>
            <w:pPr>
              <w:jc w:val="center"/>
              <w:rPr>
                <w:sz w:val="24"/>
              </w:rPr>
            </w:pPr>
            <w:r>
              <w:rPr>
                <w:rFonts w:hint="eastAsia"/>
                <w:sz w:val="24"/>
              </w:rPr>
              <w:t>采购人</w:t>
            </w:r>
          </w:p>
        </w:tc>
        <w:tc>
          <w:tcPr>
            <w:tcW w:w="3410"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2</w:t>
            </w:r>
          </w:p>
        </w:tc>
        <w:tc>
          <w:tcPr>
            <w:tcW w:w="241" w:type="pct"/>
            <w:vAlign w:val="center"/>
          </w:tcPr>
          <w:p>
            <w:pPr>
              <w:jc w:val="center"/>
              <w:rPr>
                <w:sz w:val="24"/>
              </w:rPr>
            </w:pPr>
            <w:r>
              <w:rPr>
                <w:sz w:val="24"/>
              </w:rPr>
              <w:t>1.2</w:t>
            </w:r>
          </w:p>
        </w:tc>
        <w:tc>
          <w:tcPr>
            <w:tcW w:w="772" w:type="pct"/>
            <w:vAlign w:val="center"/>
          </w:tcPr>
          <w:p>
            <w:pPr>
              <w:jc w:val="center"/>
              <w:rPr>
                <w:sz w:val="24"/>
              </w:rPr>
            </w:pPr>
            <w:r>
              <w:rPr>
                <w:rFonts w:hint="eastAsia"/>
                <w:sz w:val="24"/>
              </w:rPr>
              <w:t>代理机构</w:t>
            </w:r>
          </w:p>
        </w:tc>
        <w:tc>
          <w:tcPr>
            <w:tcW w:w="3410"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76" w:type="pct"/>
            <w:vAlign w:val="center"/>
          </w:tcPr>
          <w:p>
            <w:pPr>
              <w:jc w:val="center"/>
              <w:rPr>
                <w:sz w:val="24"/>
              </w:rPr>
            </w:pPr>
            <w:r>
              <w:rPr>
                <w:sz w:val="24"/>
              </w:rPr>
              <w:t>3</w:t>
            </w:r>
          </w:p>
        </w:tc>
        <w:tc>
          <w:tcPr>
            <w:tcW w:w="241" w:type="pct"/>
            <w:vAlign w:val="center"/>
          </w:tcPr>
          <w:p>
            <w:pPr>
              <w:jc w:val="center"/>
              <w:rPr>
                <w:sz w:val="24"/>
              </w:rPr>
            </w:pPr>
            <w:r>
              <w:rPr>
                <w:sz w:val="24"/>
              </w:rPr>
              <w:t>1.3</w:t>
            </w:r>
          </w:p>
        </w:tc>
        <w:tc>
          <w:tcPr>
            <w:tcW w:w="772" w:type="pct"/>
            <w:vAlign w:val="center"/>
          </w:tcPr>
          <w:p>
            <w:pPr>
              <w:jc w:val="center"/>
              <w:rPr>
                <w:sz w:val="24"/>
              </w:rPr>
            </w:pPr>
            <w:r>
              <w:rPr>
                <w:rFonts w:hint="eastAsia"/>
                <w:sz w:val="24"/>
              </w:rPr>
              <w:t>合格的供应商</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4</w:t>
            </w:r>
          </w:p>
        </w:tc>
        <w:tc>
          <w:tcPr>
            <w:tcW w:w="241" w:type="pct"/>
            <w:vAlign w:val="center"/>
          </w:tcPr>
          <w:p>
            <w:pPr>
              <w:jc w:val="center"/>
              <w:rPr>
                <w:sz w:val="24"/>
              </w:rPr>
            </w:pPr>
            <w:r>
              <w:rPr>
                <w:sz w:val="24"/>
              </w:rPr>
              <w:t>20.1</w:t>
            </w:r>
          </w:p>
        </w:tc>
        <w:tc>
          <w:tcPr>
            <w:tcW w:w="772" w:type="pct"/>
            <w:vAlign w:val="center"/>
          </w:tcPr>
          <w:p>
            <w:pPr>
              <w:jc w:val="center"/>
              <w:rPr>
                <w:sz w:val="24"/>
              </w:rPr>
            </w:pPr>
            <w:r>
              <w:rPr>
                <w:rFonts w:hint="eastAsia"/>
                <w:sz w:val="24"/>
              </w:rPr>
              <w:t>保密</w:t>
            </w:r>
          </w:p>
        </w:tc>
        <w:tc>
          <w:tcPr>
            <w:tcW w:w="3410"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5</w:t>
            </w:r>
          </w:p>
        </w:tc>
        <w:tc>
          <w:tcPr>
            <w:tcW w:w="241" w:type="pct"/>
            <w:vAlign w:val="center"/>
          </w:tcPr>
          <w:p>
            <w:pPr>
              <w:jc w:val="center"/>
              <w:rPr>
                <w:sz w:val="24"/>
              </w:rPr>
            </w:pPr>
            <w:r>
              <w:rPr>
                <w:sz w:val="24"/>
              </w:rPr>
              <w:t>7.1</w:t>
            </w:r>
          </w:p>
          <w:p>
            <w:pPr>
              <w:jc w:val="center"/>
              <w:rPr>
                <w:sz w:val="24"/>
              </w:rPr>
            </w:pPr>
            <w:r>
              <w:rPr>
                <w:rFonts w:hint="eastAsia"/>
                <w:sz w:val="24"/>
              </w:rPr>
              <w:t>2）</w:t>
            </w:r>
          </w:p>
        </w:tc>
        <w:tc>
          <w:tcPr>
            <w:tcW w:w="772" w:type="pct"/>
            <w:vAlign w:val="center"/>
          </w:tcPr>
          <w:p>
            <w:pPr>
              <w:jc w:val="center"/>
              <w:rPr>
                <w:sz w:val="24"/>
              </w:rPr>
            </w:pPr>
            <w:r>
              <w:rPr>
                <w:rFonts w:hint="eastAsia"/>
                <w:sz w:val="24"/>
              </w:rPr>
              <w:t>经第三方审计的财务报表</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6</w:t>
            </w:r>
          </w:p>
        </w:tc>
        <w:tc>
          <w:tcPr>
            <w:tcW w:w="241" w:type="pct"/>
            <w:vAlign w:val="center"/>
          </w:tcPr>
          <w:p>
            <w:pPr>
              <w:jc w:val="center"/>
              <w:rPr>
                <w:sz w:val="24"/>
              </w:rPr>
            </w:pPr>
            <w:r>
              <w:rPr>
                <w:sz w:val="24"/>
              </w:rPr>
              <w:t>7.1</w:t>
            </w:r>
          </w:p>
          <w:p>
            <w:pPr>
              <w:jc w:val="center"/>
              <w:rPr>
                <w:sz w:val="24"/>
              </w:rPr>
            </w:pPr>
            <w:r>
              <w:rPr>
                <w:rFonts w:hint="eastAsia"/>
                <w:sz w:val="24"/>
              </w:rPr>
              <w:t>3）</w:t>
            </w:r>
          </w:p>
        </w:tc>
        <w:tc>
          <w:tcPr>
            <w:tcW w:w="772" w:type="pct"/>
            <w:vAlign w:val="center"/>
          </w:tcPr>
          <w:p>
            <w:pPr>
              <w:jc w:val="center"/>
              <w:rPr>
                <w:sz w:val="24"/>
              </w:rPr>
            </w:pPr>
            <w:r>
              <w:rPr>
                <w:rFonts w:hint="eastAsia"/>
                <w:sz w:val="24"/>
              </w:rPr>
              <w:t>响应文件的技术部分中必须包括的内容</w:t>
            </w:r>
          </w:p>
        </w:tc>
        <w:tc>
          <w:tcPr>
            <w:tcW w:w="3410" w:type="pct"/>
          </w:tcPr>
          <w:p>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7</w:t>
            </w:r>
          </w:p>
        </w:tc>
        <w:tc>
          <w:tcPr>
            <w:tcW w:w="241" w:type="pct"/>
            <w:vAlign w:val="center"/>
          </w:tcPr>
          <w:p>
            <w:pPr>
              <w:jc w:val="center"/>
              <w:rPr>
                <w:sz w:val="24"/>
              </w:rPr>
            </w:pPr>
            <w:r>
              <w:rPr>
                <w:sz w:val="24"/>
              </w:rPr>
              <w:t>7.1</w:t>
            </w:r>
          </w:p>
          <w:p>
            <w:pPr>
              <w:jc w:val="center"/>
              <w:rPr>
                <w:sz w:val="24"/>
              </w:rPr>
            </w:pPr>
            <w:r>
              <w:rPr>
                <w:rFonts w:hint="eastAsia"/>
                <w:sz w:val="24"/>
              </w:rPr>
              <w:t>6）</w:t>
            </w:r>
          </w:p>
        </w:tc>
        <w:tc>
          <w:tcPr>
            <w:tcW w:w="772" w:type="pct"/>
            <w:vAlign w:val="center"/>
          </w:tcPr>
          <w:p>
            <w:pPr>
              <w:jc w:val="center"/>
              <w:rPr>
                <w:sz w:val="24"/>
              </w:rPr>
            </w:pPr>
            <w:r>
              <w:rPr>
                <w:rFonts w:hint="eastAsia"/>
                <w:sz w:val="24"/>
              </w:rPr>
              <w:t>合同文本的提供</w:t>
            </w:r>
          </w:p>
        </w:tc>
        <w:tc>
          <w:tcPr>
            <w:tcW w:w="3410" w:type="pct"/>
            <w:vAlign w:val="center"/>
          </w:tcPr>
          <w:p>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8</w:t>
            </w:r>
          </w:p>
        </w:tc>
        <w:tc>
          <w:tcPr>
            <w:tcW w:w="241" w:type="pct"/>
            <w:vAlign w:val="center"/>
          </w:tcPr>
          <w:p>
            <w:pPr>
              <w:jc w:val="center"/>
              <w:rPr>
                <w:sz w:val="24"/>
              </w:rPr>
            </w:pPr>
            <w:r>
              <w:rPr>
                <w:sz w:val="24"/>
              </w:rPr>
              <w:t>8.1</w:t>
            </w:r>
          </w:p>
        </w:tc>
        <w:tc>
          <w:tcPr>
            <w:tcW w:w="772" w:type="pct"/>
            <w:vAlign w:val="center"/>
          </w:tcPr>
          <w:p>
            <w:pPr>
              <w:jc w:val="center"/>
              <w:rPr>
                <w:sz w:val="24"/>
              </w:rPr>
            </w:pPr>
            <w:r>
              <w:rPr>
                <w:rFonts w:hint="eastAsia"/>
                <w:sz w:val="24"/>
              </w:rPr>
              <w:t>响应文件的式样和签署</w:t>
            </w:r>
          </w:p>
        </w:tc>
        <w:tc>
          <w:tcPr>
            <w:tcW w:w="3410" w:type="pct"/>
            <w:vAlign w:val="center"/>
          </w:tcPr>
          <w:p>
            <w:pPr>
              <w:rPr>
                <w:sz w:val="24"/>
              </w:rPr>
            </w:pPr>
            <w:r>
              <w:rPr>
                <w:rFonts w:hint="eastAsia"/>
                <w:sz w:val="24"/>
              </w:rPr>
              <w:t>响应文件一式</w:t>
            </w:r>
            <w:r>
              <w:rPr>
                <w:sz w:val="24"/>
              </w:rPr>
              <w:t>6</w:t>
            </w:r>
            <w:r>
              <w:rPr>
                <w:rFonts w:hint="eastAsia"/>
                <w:sz w:val="24"/>
              </w:rPr>
              <w:t>份（</w:t>
            </w:r>
            <w:r>
              <w:rPr>
                <w:sz w:val="24"/>
              </w:rPr>
              <w:t>1</w:t>
            </w:r>
            <w:r>
              <w:rPr>
                <w:rFonts w:hint="eastAsia"/>
                <w:sz w:val="24"/>
              </w:rPr>
              <w:t>份正本、</w:t>
            </w:r>
            <w:r>
              <w:rPr>
                <w:sz w:val="24"/>
              </w:rPr>
              <w:t>5</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9</w:t>
            </w:r>
          </w:p>
        </w:tc>
        <w:tc>
          <w:tcPr>
            <w:tcW w:w="241" w:type="pct"/>
            <w:vAlign w:val="center"/>
          </w:tcPr>
          <w:p>
            <w:pPr>
              <w:jc w:val="center"/>
              <w:rPr>
                <w:sz w:val="24"/>
              </w:rPr>
            </w:pPr>
            <w:r>
              <w:rPr>
                <w:sz w:val="24"/>
              </w:rPr>
              <w:t>9.1</w:t>
            </w:r>
          </w:p>
        </w:tc>
        <w:tc>
          <w:tcPr>
            <w:tcW w:w="772" w:type="pct"/>
            <w:vAlign w:val="center"/>
          </w:tcPr>
          <w:p>
            <w:pPr>
              <w:jc w:val="center"/>
              <w:rPr>
                <w:sz w:val="24"/>
              </w:rPr>
            </w:pPr>
            <w:r>
              <w:rPr>
                <w:rFonts w:hint="eastAsia"/>
                <w:sz w:val="24"/>
              </w:rPr>
              <w:t>报价</w:t>
            </w:r>
          </w:p>
        </w:tc>
        <w:tc>
          <w:tcPr>
            <w:tcW w:w="3410"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10</w:t>
            </w:r>
          </w:p>
        </w:tc>
        <w:tc>
          <w:tcPr>
            <w:tcW w:w="241" w:type="pct"/>
            <w:vAlign w:val="center"/>
          </w:tcPr>
          <w:p>
            <w:pPr>
              <w:jc w:val="center"/>
              <w:rPr>
                <w:sz w:val="24"/>
              </w:rPr>
            </w:pPr>
          </w:p>
        </w:tc>
        <w:tc>
          <w:tcPr>
            <w:tcW w:w="772" w:type="pct"/>
            <w:vAlign w:val="center"/>
          </w:tcPr>
          <w:p>
            <w:pPr>
              <w:jc w:val="center"/>
              <w:rPr>
                <w:sz w:val="24"/>
              </w:rPr>
            </w:pPr>
            <w:r>
              <w:rPr>
                <w:rFonts w:hint="eastAsia"/>
                <w:sz w:val="24"/>
              </w:rPr>
              <w:t>响应文件的盖章或签字</w:t>
            </w:r>
          </w:p>
        </w:tc>
        <w:tc>
          <w:tcPr>
            <w:tcW w:w="3410" w:type="pct"/>
            <w:vAlign w:val="center"/>
          </w:tcPr>
          <w:p>
            <w:pPr>
              <w:rPr>
                <w:sz w:val="24"/>
              </w:rPr>
            </w:pPr>
            <w:r>
              <w:rPr>
                <w:rFonts w:hint="eastAsia"/>
                <w:sz w:val="24"/>
              </w:rPr>
              <w:t>本条款增加规定：</w:t>
            </w:r>
          </w:p>
          <w:p>
            <w:pPr>
              <w:rPr>
                <w:sz w:val="24"/>
              </w:rPr>
            </w:pPr>
            <w:r>
              <w:rPr>
                <w:rFonts w:hint="eastAsia"/>
                <w:sz w:val="24"/>
              </w:rPr>
              <w:t>（1）竞争性磋商文件第六章“响应文件格式”中有单位名称和法定代表人或其委托代理人签字落款的响应文件必须加盖单位公章。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11</w:t>
            </w:r>
          </w:p>
        </w:tc>
        <w:tc>
          <w:tcPr>
            <w:tcW w:w="241" w:type="pct"/>
            <w:vAlign w:val="center"/>
          </w:tcPr>
          <w:p>
            <w:pPr>
              <w:jc w:val="center"/>
              <w:rPr>
                <w:sz w:val="24"/>
              </w:rPr>
            </w:pPr>
            <w:r>
              <w:rPr>
                <w:sz w:val="24"/>
              </w:rPr>
              <w:t>10.1</w:t>
            </w:r>
          </w:p>
        </w:tc>
        <w:tc>
          <w:tcPr>
            <w:tcW w:w="772" w:type="pct"/>
            <w:vAlign w:val="center"/>
          </w:tcPr>
          <w:p>
            <w:pPr>
              <w:jc w:val="center"/>
              <w:rPr>
                <w:sz w:val="24"/>
              </w:rPr>
            </w:pPr>
            <w:r>
              <w:rPr>
                <w:rFonts w:hint="eastAsia"/>
                <w:sz w:val="24"/>
              </w:rPr>
              <w:t>响应有效期</w:t>
            </w:r>
          </w:p>
        </w:tc>
        <w:tc>
          <w:tcPr>
            <w:tcW w:w="3410"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jc w:val="center"/>
              <w:rPr>
                <w:sz w:val="24"/>
              </w:rPr>
            </w:pPr>
            <w:r>
              <w:rPr>
                <w:sz w:val="24"/>
              </w:rPr>
              <w:t>12</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递交响应文件截止时间</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76" w:type="pct"/>
            <w:vAlign w:val="center"/>
          </w:tcPr>
          <w:p>
            <w:pPr>
              <w:jc w:val="center"/>
              <w:rPr>
                <w:sz w:val="24"/>
              </w:rPr>
            </w:pPr>
            <w:r>
              <w:rPr>
                <w:sz w:val="24"/>
              </w:rPr>
              <w:t>13</w:t>
            </w:r>
          </w:p>
        </w:tc>
        <w:tc>
          <w:tcPr>
            <w:tcW w:w="241" w:type="pct"/>
            <w:vAlign w:val="center"/>
          </w:tcPr>
          <w:p>
            <w:pPr>
              <w:jc w:val="center"/>
              <w:rPr>
                <w:sz w:val="24"/>
              </w:rPr>
            </w:pPr>
            <w:r>
              <w:rPr>
                <w:sz w:val="24"/>
              </w:rPr>
              <w:t>12.1</w:t>
            </w:r>
          </w:p>
        </w:tc>
        <w:tc>
          <w:tcPr>
            <w:tcW w:w="772" w:type="pct"/>
            <w:vAlign w:val="center"/>
          </w:tcPr>
          <w:p>
            <w:pPr>
              <w:jc w:val="center"/>
              <w:rPr>
                <w:sz w:val="24"/>
              </w:rPr>
            </w:pPr>
            <w:r>
              <w:rPr>
                <w:rFonts w:hint="eastAsia"/>
                <w:sz w:val="24"/>
              </w:rPr>
              <w:t>递交响应文件地点</w:t>
            </w:r>
          </w:p>
        </w:tc>
        <w:tc>
          <w:tcPr>
            <w:tcW w:w="3410"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14</w:t>
            </w:r>
          </w:p>
        </w:tc>
        <w:tc>
          <w:tcPr>
            <w:tcW w:w="241" w:type="pct"/>
            <w:vAlign w:val="center"/>
          </w:tcPr>
          <w:p>
            <w:pPr>
              <w:jc w:val="center"/>
              <w:rPr>
                <w:sz w:val="24"/>
              </w:rPr>
            </w:pPr>
            <w:r>
              <w:rPr>
                <w:sz w:val="24"/>
              </w:rPr>
              <w:t>17.5</w:t>
            </w:r>
          </w:p>
        </w:tc>
        <w:tc>
          <w:tcPr>
            <w:tcW w:w="772" w:type="pct"/>
            <w:vAlign w:val="center"/>
          </w:tcPr>
          <w:p>
            <w:pPr>
              <w:jc w:val="center"/>
              <w:rPr>
                <w:sz w:val="24"/>
              </w:rPr>
            </w:pPr>
            <w:r>
              <w:rPr>
                <w:rFonts w:hint="eastAsia"/>
                <w:sz w:val="24"/>
              </w:rPr>
              <w:t>如发现下列情况之一的，其响应文件将可能被拒绝</w:t>
            </w:r>
          </w:p>
        </w:tc>
        <w:tc>
          <w:tcPr>
            <w:tcW w:w="3410" w:type="pct"/>
            <w:vAlign w:val="center"/>
          </w:tcPr>
          <w:p>
            <w:pPr>
              <w:rPr>
                <w:sz w:val="24"/>
              </w:rPr>
            </w:pPr>
            <w:r>
              <w:rPr>
                <w:sz w:val="24"/>
              </w:rPr>
              <w:t>1</w:t>
            </w:r>
            <w:r>
              <w:rPr>
                <w:rFonts w:hint="eastAsia"/>
                <w:sz w:val="24"/>
              </w:rPr>
              <w:t>）不满足竞争性磋商文件对合格供应商的基本资质要求的；</w:t>
            </w:r>
          </w:p>
          <w:p>
            <w:pPr>
              <w:rPr>
                <w:sz w:val="24"/>
              </w:rPr>
            </w:pPr>
            <w:r>
              <w:rPr>
                <w:rFonts w:hint="eastAsia"/>
                <w:sz w:val="24"/>
              </w:rPr>
              <w:t>2）供应商在响应文件中提供的服务内容及质量不能实质性满足竞争性磋商文件要求或不能提供实质性满足证明的；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5）资格证明文件不全、失效或不符合竞争性磋商文件要求的；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9）未按照竞争性磋商文件规定的方式领取竞争性磋商文件并按要求递交响应文件的；</w:t>
            </w:r>
          </w:p>
          <w:p>
            <w:pPr>
              <w:rPr>
                <w:sz w:val="24"/>
              </w:rPr>
            </w:pPr>
            <w:r>
              <w:rPr>
                <w:sz w:val="24"/>
              </w:rPr>
              <w:t>1</w:t>
            </w:r>
            <w:r>
              <w:rPr>
                <w:rFonts w:hint="eastAsia"/>
                <w:sz w:val="24"/>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jc w:val="center"/>
              <w:rPr>
                <w:sz w:val="24"/>
              </w:rPr>
            </w:pPr>
            <w:r>
              <w:rPr>
                <w:sz w:val="24"/>
              </w:rPr>
              <w:t>15</w:t>
            </w:r>
          </w:p>
        </w:tc>
        <w:tc>
          <w:tcPr>
            <w:tcW w:w="241" w:type="pct"/>
            <w:vAlign w:val="center"/>
          </w:tcPr>
          <w:p>
            <w:pPr>
              <w:jc w:val="center"/>
              <w:rPr>
                <w:sz w:val="24"/>
              </w:rPr>
            </w:pPr>
            <w:r>
              <w:rPr>
                <w:sz w:val="24"/>
              </w:rPr>
              <w:t>19</w:t>
            </w:r>
          </w:p>
        </w:tc>
        <w:tc>
          <w:tcPr>
            <w:tcW w:w="772" w:type="pct"/>
            <w:vAlign w:val="center"/>
          </w:tcPr>
          <w:p>
            <w:pPr>
              <w:jc w:val="center"/>
              <w:rPr>
                <w:sz w:val="24"/>
              </w:rPr>
            </w:pPr>
            <w:r>
              <w:rPr>
                <w:rFonts w:hint="eastAsia"/>
                <w:sz w:val="24"/>
              </w:rPr>
              <w:t>评审</w:t>
            </w:r>
          </w:p>
        </w:tc>
        <w:tc>
          <w:tcPr>
            <w:tcW w:w="3410" w:type="pct"/>
            <w:vAlign w:val="center"/>
          </w:tcPr>
          <w:p>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76" w:type="pct"/>
            <w:vAlign w:val="center"/>
          </w:tcPr>
          <w:p>
            <w:pPr>
              <w:jc w:val="center"/>
              <w:rPr>
                <w:sz w:val="24"/>
              </w:rPr>
            </w:pPr>
            <w:r>
              <w:rPr>
                <w:sz w:val="24"/>
              </w:rPr>
              <w:t>16</w:t>
            </w:r>
          </w:p>
        </w:tc>
        <w:tc>
          <w:tcPr>
            <w:tcW w:w="241" w:type="pct"/>
            <w:vAlign w:val="center"/>
          </w:tcPr>
          <w:p>
            <w:pPr>
              <w:jc w:val="center"/>
              <w:rPr>
                <w:sz w:val="24"/>
              </w:rPr>
            </w:pPr>
            <w:r>
              <w:rPr>
                <w:sz w:val="24"/>
              </w:rPr>
              <w:t>22.1</w:t>
            </w:r>
          </w:p>
        </w:tc>
        <w:tc>
          <w:tcPr>
            <w:tcW w:w="77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10" w:type="pct"/>
            <w:vAlign w:val="center"/>
          </w:tcPr>
          <w:p>
            <w:pPr>
              <w:rPr>
                <w:sz w:val="24"/>
              </w:rPr>
            </w:pPr>
            <w:r>
              <w:rPr>
                <w:rFonts w:hint="eastAsia"/>
                <w:sz w:val="24"/>
              </w:rPr>
              <w:t>1名成交供应商。推荐3名成交候选人。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76" w:type="pct"/>
            <w:vAlign w:val="center"/>
          </w:tcPr>
          <w:p>
            <w:pPr>
              <w:jc w:val="center"/>
              <w:rPr>
                <w:sz w:val="24"/>
              </w:rPr>
            </w:pPr>
            <w:r>
              <w:rPr>
                <w:sz w:val="24"/>
              </w:rPr>
              <w:t>17</w:t>
            </w:r>
          </w:p>
        </w:tc>
        <w:tc>
          <w:tcPr>
            <w:tcW w:w="241" w:type="pct"/>
            <w:vAlign w:val="center"/>
          </w:tcPr>
          <w:p>
            <w:pPr>
              <w:jc w:val="center"/>
              <w:rPr>
                <w:sz w:val="24"/>
              </w:rPr>
            </w:pPr>
            <w:r>
              <w:rPr>
                <w:sz w:val="24"/>
              </w:rPr>
              <w:t>24</w:t>
            </w:r>
          </w:p>
        </w:tc>
        <w:tc>
          <w:tcPr>
            <w:tcW w:w="772" w:type="pct"/>
            <w:vAlign w:val="center"/>
          </w:tcPr>
          <w:p>
            <w:pPr>
              <w:jc w:val="center"/>
              <w:rPr>
                <w:sz w:val="24"/>
              </w:rPr>
            </w:pPr>
            <w:r>
              <w:rPr>
                <w:rFonts w:hint="eastAsia"/>
                <w:sz w:val="24"/>
              </w:rPr>
              <w:t>签约</w:t>
            </w:r>
          </w:p>
        </w:tc>
        <w:tc>
          <w:tcPr>
            <w:tcW w:w="3410" w:type="pct"/>
            <w:vAlign w:val="center"/>
          </w:tcPr>
          <w:p>
            <w:pPr>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6</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5</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color w:val="C00000"/>
          <w:sz w:val="24"/>
        </w:rPr>
        <w:t>人</w:t>
      </w:r>
      <w:r>
        <w:rPr>
          <w:rFonts w:hint="eastAsia" w:ascii="宋体" w:hAnsi="宋体"/>
          <w:sz w:val="24"/>
        </w:rPr>
        <w:t>。</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5"/>
      <w:bookmarkEnd w:id="6"/>
      <w:bookmarkEnd w:id="7"/>
      <w:bookmarkEnd w:id="8"/>
      <w:bookmarkStart w:id="9" w:name="_Toc227057922"/>
      <w:bookmarkStart w:id="10" w:name="_Toc107822520"/>
      <w:bookmarkStart w:id="11" w:name="_Toc226969316"/>
      <w:r>
        <w:br w:type="page"/>
      </w:r>
    </w:p>
    <w:bookmarkEnd w:id="9"/>
    <w:bookmarkEnd w:id="10"/>
    <w:bookmarkEnd w:id="11"/>
    <w:p>
      <w:pPr>
        <w:pStyle w:val="3"/>
        <w:numPr>
          <w:ilvl w:val="0"/>
          <w:numId w:val="0"/>
        </w:numPr>
        <w:spacing w:before="0" w:after="0" w:line="360" w:lineRule="auto"/>
        <w:rPr>
          <w:b/>
          <w:sz w:val="36"/>
          <w:szCs w:val="36"/>
        </w:rPr>
      </w:pPr>
      <w:bookmarkStart w:id="12" w:name="_Toc69378617"/>
      <w:bookmarkStart w:id="13" w:name="_Toc107822556"/>
      <w:bookmarkStart w:id="14" w:name="_Toc226969352"/>
      <w:bookmarkStart w:id="15" w:name="_Toc227057958"/>
      <w:r>
        <w:rPr>
          <w:rFonts w:hint="eastAsia"/>
          <w:b/>
          <w:sz w:val="36"/>
          <w:szCs w:val="36"/>
        </w:rPr>
        <w:t>第三章评审办法</w:t>
      </w:r>
      <w:bookmarkEnd w:id="12"/>
    </w:p>
    <w:p>
      <w:pPr>
        <w:spacing w:line="360" w:lineRule="auto"/>
        <w:ind w:firstLine="480" w:firstLineChars="200"/>
        <w:jc w:val="left"/>
        <w:rPr>
          <w:rFonts w:ascii="宋体" w:hAnsi="宋体"/>
          <w:sz w:val="24"/>
        </w:rPr>
      </w:pPr>
      <w:r>
        <w:rPr>
          <w:rFonts w:ascii="宋体" w:hAnsi="宋体"/>
          <w:sz w:val="24"/>
        </w:rPr>
        <w:t>投标人须对第三章《评标办法》中的评分要求逐项说明在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b/>
                <w:kern w:val="0"/>
                <w:szCs w:val="21"/>
              </w:rPr>
            </w:pPr>
            <w:r>
              <w:rPr>
                <w:b/>
                <w:kern w:val="0"/>
                <w:szCs w:val="21"/>
              </w:rPr>
              <w:t>评标项目</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50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A、评审价的计算：</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1、投标人的最终报价如有缺漏项均视为不实质性响应；</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2、不接受选择性报价或者具有附加条件的报价；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3、投标文件中如果申报了非招标文件所要求的服务和产品，评审时不予以折价降低评审价；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4、投标人的报价经勘误后的值作为该投标人的评审价。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B、价格分的计算（保留小数点后2位）</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1、投标人评审价=经评审的该投标人不含税总价。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2、评标基准价：若有效投标人大于等于5家，则去掉一个最低价和一个最高价，以剩余有效投标人评审价的算术平均值为评标基准价；若有效投标人小于5家，则以所有有效投标人评审价的算术平均值为作为评标基准价。</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3、计算价格得分：投标人的评审价等于评标基准价，价格得分为满分；投标人的评审价每高于评标基准价的</w:t>
            </w:r>
            <w:r>
              <w:rPr>
                <w:rFonts w:ascii="宋体" w:hAnsi="宋体"/>
                <w:szCs w:val="21"/>
              </w:rPr>
              <w:t>1</w:t>
            </w:r>
            <w:r>
              <w:rPr>
                <w:rFonts w:hint="eastAsia" w:ascii="宋体" w:hAnsi="宋体"/>
                <w:szCs w:val="21"/>
              </w:rPr>
              <w:t>%扣1分；投标人的评审价低于评标基准价的不扣分。不足1</w:t>
            </w:r>
            <w:r>
              <w:rPr>
                <w:rFonts w:ascii="宋体" w:hAnsi="宋体"/>
                <w:szCs w:val="21"/>
              </w:rPr>
              <w:t>%</w:t>
            </w:r>
            <w:r>
              <w:rPr>
                <w:rFonts w:hint="eastAsia" w:ascii="宋体" w:hAnsi="宋体"/>
                <w:szCs w:val="21"/>
              </w:rPr>
              <w:t>的按直线插入法计算，扣完为止。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根据投标人的企业规模、企业获奖情况、荣誉证书、财务状况（总资产、负债率、利润等）打分。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szCs w:val="21"/>
              </w:rPr>
              <w:t>根据投标人提供的自201</w:t>
            </w:r>
            <w:r>
              <w:rPr>
                <w:rFonts w:ascii="宋体" w:hAnsi="宋体"/>
                <w:szCs w:val="21"/>
              </w:rPr>
              <w:t>9</w:t>
            </w:r>
            <w:r>
              <w:rPr>
                <w:rFonts w:hint="eastAsia" w:ascii="宋体" w:hAnsi="宋体"/>
                <w:szCs w:val="21"/>
              </w:rPr>
              <w:t>年1月1日以来，作为本项目投标产品光放大器EDFA的应用案例打分，案例以合同为准。每有一个案例得1分，本项满分10分。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优良(6，10]分；较好[3，6]分；一般[1，3)分。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15</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根据投标人对招标文件第五章《技术需求书》的偏离情况打分，基本分12分。</w:t>
            </w:r>
          </w:p>
          <w:p>
            <w:r>
              <w:rPr>
                <w:rFonts w:hint="eastAsia" w:ascii="宋体" w:hAnsi="宋体"/>
                <w:szCs w:val="21"/>
              </w:rPr>
              <w:t>关键条款（“</w:t>
            </w:r>
            <w:r>
              <w:rPr>
                <w:rFonts w:ascii="Segoe UI Symbol" w:hAnsi="Segoe UI Symbol" w:cs="Segoe UI Symbol"/>
                <w:szCs w:val="21"/>
              </w:rPr>
              <w:t>★</w:t>
            </w:r>
            <w:r>
              <w:rPr>
                <w:rFonts w:hint="eastAsia" w:ascii="宋体" w:hAnsi="宋体"/>
                <w:szCs w:val="21"/>
              </w:rPr>
              <w:t>”号条款）不满足的否决投标；非关键条款（非“</w:t>
            </w:r>
            <w:r>
              <w:rPr>
                <w:rFonts w:ascii="Segoe UI Symbol" w:hAnsi="Segoe UI Symbol" w:cs="Segoe UI Symbol"/>
                <w:szCs w:val="21"/>
              </w:rPr>
              <w:t>★</w:t>
            </w:r>
            <w:r>
              <w:rPr>
                <w:rFonts w:hint="eastAsia" w:ascii="宋体" w:hAnsi="宋体"/>
                <w:szCs w:val="21"/>
              </w:rPr>
              <w:t>”号条款</w:t>
            </w:r>
            <w:r>
              <w:rPr>
                <w:rFonts w:ascii="宋体" w:hAnsi="宋体"/>
                <w:szCs w:val="21"/>
              </w:rPr>
              <w:t xml:space="preserve"> </w:t>
            </w:r>
            <w:r>
              <w:rPr>
                <w:rFonts w:hint="eastAsia" w:ascii="宋体" w:hAnsi="宋体"/>
                <w:szCs w:val="21"/>
              </w:rPr>
              <w:t>）</w:t>
            </w:r>
            <w:r>
              <w:rPr>
                <w:rFonts w:ascii="宋体" w:hAnsi="宋体"/>
                <w:szCs w:val="21"/>
              </w:rPr>
              <w:t>3</w:t>
            </w:r>
            <w:r>
              <w:rPr>
                <w:rFonts w:hint="eastAsia" w:ascii="宋体" w:hAnsi="宋体"/>
                <w:szCs w:val="21"/>
              </w:rPr>
              <w:t>条及以上不满足的否决投标，有1条非关键条款不满足扣2分，有2条非关键条款不满足扣4分，扣完为止。</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“技术要求”项目中的输入光功率范围、输出光功率、输出功率稳定度等优于招标文件要求，经评委认定有效的，每一项加1分，最高加3分。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rPr>
                <w:rFonts w:ascii="宋体" w:hAnsi="宋体"/>
                <w:szCs w:val="21"/>
              </w:rPr>
            </w:pPr>
            <w:r>
              <w:rPr>
                <w:rFonts w:hint="eastAsia" w:ascii="宋体" w:hAnsi="宋体"/>
                <w:szCs w:val="21"/>
              </w:rPr>
              <w:t>技术方案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6分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根据投标人提供的技术方案合理性、能力实现等情况进行评分：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技术方案优良(2，3]分；较好[1，2]分；一般[0，1)分。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能力实现优良(2，3]分；较好[1，2]分；一般[0，1)分。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6</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根据投标人提供的实施方案、施工进度及质量管理、应急管理方案及人员配备进行评分：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实施方案(施工进度、质量管理及应急管理方案等) 优良(2，3]分；较好[1，2]分；一般[0，1)分。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ascii="宋体" w:hAnsi="宋体"/>
                <w:szCs w:val="21"/>
              </w:rPr>
              <w:t>人员配备(专职项目经理及项目实施团队) 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41"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hint="eastAsia" w:ascii="宋体" w:hAnsi="宋体"/>
                <w:szCs w:val="21"/>
              </w:rPr>
              <w:t>服务能力</w:t>
            </w:r>
          </w:p>
        </w:tc>
        <w:tc>
          <w:tcPr>
            <w:tcW w:w="912" w:type="dxa"/>
            <w:vMerge w:val="restart"/>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10</w:t>
            </w:r>
            <w:r>
              <w:rPr>
                <w:rFonts w:hint="eastAsia" w:ascii="宋体" w:hAnsi="宋体"/>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1、根据投标人的售后服务机构的实力打分：</w:t>
            </w:r>
            <w:r>
              <w:rPr>
                <w:rFonts w:hint="eastAsia" w:ascii="宋体" w:hAnsi="宋体"/>
                <w:szCs w:val="21"/>
              </w:rPr>
              <w:t>优良(</w:t>
            </w:r>
            <w:r>
              <w:rPr>
                <w:rFonts w:ascii="宋体" w:hAnsi="宋体"/>
                <w:szCs w:val="21"/>
              </w:rPr>
              <w:t>1</w:t>
            </w:r>
            <w:r>
              <w:rPr>
                <w:rFonts w:hint="eastAsia" w:ascii="宋体" w:hAnsi="宋体"/>
                <w:szCs w:val="21"/>
              </w:rPr>
              <w:t>，</w:t>
            </w:r>
            <w:r>
              <w:rPr>
                <w:rFonts w:ascii="宋体" w:hAnsi="宋体"/>
                <w:szCs w:val="21"/>
              </w:rPr>
              <w:t>2</w:t>
            </w:r>
            <w:r>
              <w:rPr>
                <w:rFonts w:hint="eastAsia" w:ascii="宋体" w:hAnsi="宋体"/>
                <w:szCs w:val="21"/>
              </w:rPr>
              <w:t>]分；一般[0，1]；</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kern w:val="0"/>
                <w:szCs w:val="21"/>
              </w:rPr>
              <w:t>2、根据投标人服务响应时间横向比较打分，满分3分。</w:t>
            </w:r>
          </w:p>
          <w:p>
            <w:pPr>
              <w:keepLines/>
              <w:widowControl/>
              <w:tabs>
                <w:tab w:val="left" w:pos="794"/>
                <w:tab w:val="left" w:pos="1191"/>
                <w:tab w:val="left" w:pos="1588"/>
                <w:tab w:val="left" w:pos="1985"/>
              </w:tabs>
              <w:autoSpaceDE w:val="0"/>
              <w:autoSpaceDN w:val="0"/>
              <w:adjustRightInd w:val="0"/>
              <w:jc w:val="left"/>
              <w:rPr>
                <w:szCs w:val="21"/>
              </w:rPr>
            </w:pPr>
            <w:r>
              <w:rPr>
                <w:rFonts w:hint="eastAsia"/>
                <w:kern w:val="0"/>
                <w:szCs w:val="21"/>
              </w:rPr>
              <w:t>优良(1，2]分；一般[0，1]；服务响应时间小于2小时，加1分。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912" w:type="dxa"/>
            <w:vMerge w:val="continue"/>
            <w:tcBorders>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center"/>
              <w:rPr>
                <w:rFonts w:ascii="宋体" w:hAnsi="宋体"/>
                <w:szCs w:val="21"/>
              </w:rPr>
            </w:pPr>
          </w:p>
        </w:tc>
        <w:tc>
          <w:tcPr>
            <w:tcW w:w="6993"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kern w:val="0"/>
                <w:szCs w:val="21"/>
              </w:rPr>
            </w:pPr>
            <w:r>
              <w:rPr>
                <w:kern w:val="0"/>
                <w:szCs w:val="21"/>
              </w:rPr>
              <w:t>根据</w:t>
            </w:r>
            <w:r>
              <w:rPr>
                <w:rFonts w:hint="eastAsia"/>
                <w:kern w:val="0"/>
                <w:szCs w:val="21"/>
              </w:rPr>
              <w:t>投标人交货期、</w:t>
            </w:r>
            <w:r>
              <w:rPr>
                <w:rFonts w:hint="eastAsia"/>
                <w:color w:val="000000"/>
                <w:kern w:val="0"/>
                <w:szCs w:val="21"/>
              </w:rPr>
              <w:t>备品备件支持、</w:t>
            </w:r>
            <w:r>
              <w:rPr>
                <w:rFonts w:hint="eastAsia"/>
                <w:kern w:val="0"/>
                <w:szCs w:val="21"/>
              </w:rPr>
              <w:t>免费包修期</w:t>
            </w:r>
            <w:r>
              <w:rPr>
                <w:rFonts w:hint="eastAsia"/>
                <w:color w:val="000000"/>
                <w:kern w:val="0"/>
                <w:szCs w:val="21"/>
              </w:rPr>
              <w:t>、免费包修期外服务方案</w:t>
            </w:r>
            <w:r>
              <w:rPr>
                <w:rFonts w:hint="eastAsia"/>
                <w:kern w:val="0"/>
                <w:szCs w:val="21"/>
              </w:rPr>
              <w:t>限进行</w:t>
            </w:r>
            <w:r>
              <w:rPr>
                <w:kern w:val="0"/>
                <w:szCs w:val="21"/>
              </w:rPr>
              <w:t>比较打分</w:t>
            </w:r>
            <w:r>
              <w:rPr>
                <w:rFonts w:hint="eastAsia"/>
                <w:kern w:val="0"/>
                <w:szCs w:val="21"/>
              </w:rPr>
              <w:t>，满分5分</w:t>
            </w:r>
            <w:r>
              <w:rPr>
                <w:kern w:val="0"/>
                <w:szCs w:val="21"/>
              </w:rPr>
              <w:t>。</w:t>
            </w:r>
          </w:p>
          <w:p>
            <w:pPr>
              <w:keepLines/>
              <w:widowControl/>
              <w:tabs>
                <w:tab w:val="left" w:pos="794"/>
                <w:tab w:val="left" w:pos="1191"/>
                <w:tab w:val="left" w:pos="1588"/>
                <w:tab w:val="left" w:pos="1985"/>
              </w:tabs>
              <w:autoSpaceDE w:val="0"/>
              <w:autoSpaceDN w:val="0"/>
              <w:adjustRightInd w:val="0"/>
              <w:jc w:val="left"/>
              <w:rPr>
                <w:kern w:val="0"/>
                <w:szCs w:val="21"/>
              </w:rPr>
            </w:pPr>
            <w:r>
              <w:rPr>
                <w:rFonts w:hint="eastAsia" w:ascii="宋体" w:hAnsi="宋体"/>
                <w:szCs w:val="21"/>
              </w:rPr>
              <w:t>优良(2，3]分；较好[1，2]分；一般[0，1)分。</w:t>
            </w:r>
          </w:p>
          <w:p>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免费包修期等于3年不得分，每增加一年得1分，满分</w:t>
            </w:r>
            <w:r>
              <w:rPr>
                <w:kern w:val="0"/>
                <w:szCs w:val="21"/>
              </w:rPr>
              <w:t>2</w:t>
            </w:r>
            <w:r>
              <w:rPr>
                <w:rFonts w:hint="eastAsia"/>
                <w:kern w:val="0"/>
                <w:szCs w:val="21"/>
              </w:rPr>
              <w:t>分。</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color w:val="000000"/>
          <w:sz w:val="36"/>
          <w:szCs w:val="36"/>
        </w:rPr>
      </w:pPr>
      <w:r>
        <w:br w:type="page"/>
      </w:r>
      <w:bookmarkStart w:id="16" w:name="_Toc69378618"/>
      <w:r>
        <w:rPr>
          <w:rFonts w:hint="eastAsia"/>
          <w:b/>
          <w:sz w:val="36"/>
          <w:szCs w:val="36"/>
        </w:rPr>
        <w:t>第四章</w:t>
      </w:r>
      <w:r>
        <w:rPr>
          <w:b/>
          <w:sz w:val="36"/>
          <w:szCs w:val="36"/>
        </w:rPr>
        <w:t>合同格式</w:t>
      </w:r>
      <w:bookmarkEnd w:id="16"/>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22" w:firstLineChars="200"/>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Pr>
          <w:rFonts w:hint="eastAsia" w:ascii="宋体" w:hAnsi="宋体"/>
          <w:b/>
          <w:color w:val="000000"/>
          <w:szCs w:val="21"/>
          <w:u w:val="single"/>
        </w:rPr>
        <w:t>2021年省市县前端设备更新-光放设备及辅材集成采购</w:t>
      </w:r>
      <w:r>
        <w:rPr>
          <w:rFonts w:ascii="宋体" w:hAnsi="宋体"/>
          <w:color w:val="000000"/>
          <w:szCs w:val="21"/>
        </w:rPr>
        <w:t>的采购及相关服务组织了</w:t>
      </w:r>
      <w:r>
        <w:rPr>
          <w:rFonts w:hint="eastAsia" w:ascii="宋体" w:hAnsi="宋体"/>
          <w:color w:val="000000"/>
          <w:szCs w:val="21"/>
        </w:rPr>
        <w:t>竞争性磋商</w:t>
      </w:r>
      <w:r>
        <w:rPr>
          <w:rFonts w:ascii="宋体" w:hAnsi="宋体"/>
          <w:color w:val="000000"/>
          <w:szCs w:val="21"/>
        </w:rPr>
        <w:t>，经评委会严格评审，本项目由</w:t>
      </w:r>
      <w:r>
        <w:rPr>
          <w:rFonts w:ascii="宋体" w:hAnsi="宋体"/>
          <w:b/>
          <w:color w:val="000000"/>
          <w:szCs w:val="21"/>
          <w:u w:val="single"/>
        </w:rPr>
        <w:t>公司</w:t>
      </w:r>
      <w:r>
        <w:rPr>
          <w:rFonts w:ascii="宋体" w:hAnsi="宋体"/>
          <w:b/>
          <w:color w:val="000000"/>
          <w:szCs w:val="21"/>
        </w:rPr>
        <w:t>（以下简称“乙方”）</w:t>
      </w:r>
      <w:r>
        <w:rPr>
          <w:rFonts w:ascii="宋体" w:hAnsi="宋体"/>
          <w:color w:val="000000"/>
          <w:szCs w:val="21"/>
        </w:rPr>
        <w:t>中标。</w:t>
      </w:r>
    </w:p>
    <w:p>
      <w:pPr>
        <w:spacing w:line="360" w:lineRule="auto"/>
        <w:ind w:firstLine="420" w:firstLineChars="200"/>
        <w:rPr>
          <w:rFonts w:ascii="宋体" w:hAnsi="宋体"/>
          <w:color w:val="000000"/>
          <w:szCs w:val="21"/>
        </w:rPr>
      </w:pPr>
      <w:r>
        <w:rPr>
          <w:rFonts w:hint="eastAsia" w:ascii="宋体" w:hAnsi="宋体"/>
          <w:bCs/>
          <w:color w:val="000000"/>
          <w:szCs w:val="21"/>
        </w:rPr>
        <w:t>甲</w:t>
      </w:r>
      <w:r>
        <w:rPr>
          <w:rFonts w:ascii="宋体" w:hAnsi="宋体"/>
          <w:bCs/>
          <w:color w:val="000000"/>
          <w:szCs w:val="21"/>
        </w:rPr>
        <w:t>、</w:t>
      </w:r>
      <w:r>
        <w:rPr>
          <w:rFonts w:hint="eastAsia" w:ascii="宋体" w:hAnsi="宋体"/>
          <w:bCs/>
          <w:color w:val="000000"/>
          <w:szCs w:val="21"/>
        </w:rPr>
        <w:t>乙</w:t>
      </w:r>
      <w:r>
        <w:rPr>
          <w:rFonts w:ascii="宋体" w:hAnsi="宋体"/>
          <w:bCs/>
          <w:color w:val="000000"/>
          <w:szCs w:val="21"/>
        </w:rPr>
        <w:t>双方根据</w:t>
      </w:r>
      <w:r>
        <w:rPr>
          <w:rFonts w:hint="eastAsia" w:ascii="宋体" w:hAnsi="宋体"/>
          <w:color w:val="000000"/>
          <w:szCs w:val="21"/>
        </w:rPr>
        <w:t>竞争性磋商</w:t>
      </w:r>
      <w:r>
        <w:rPr>
          <w:rFonts w:ascii="宋体" w:hAnsi="宋体"/>
          <w:color w:val="000000"/>
          <w:szCs w:val="21"/>
        </w:rPr>
        <w:t>文件的规定、乙方</w:t>
      </w:r>
      <w:r>
        <w:rPr>
          <w:rFonts w:hint="eastAsia" w:ascii="宋体" w:hAnsi="宋体"/>
          <w:color w:val="000000"/>
          <w:szCs w:val="21"/>
        </w:rPr>
        <w:t>响应</w:t>
      </w:r>
      <w:r>
        <w:rPr>
          <w:rFonts w:ascii="宋体" w:hAnsi="宋体"/>
          <w:color w:val="000000"/>
          <w:szCs w:val="21"/>
        </w:rPr>
        <w:t>文件及</w:t>
      </w:r>
      <w:r>
        <w:rPr>
          <w:rFonts w:hint="eastAsia" w:ascii="宋体" w:hAnsi="宋体"/>
          <w:color w:val="000000"/>
          <w:szCs w:val="21"/>
        </w:rPr>
        <w:t>磋商</w:t>
      </w:r>
      <w:r>
        <w:rPr>
          <w:rFonts w:ascii="宋体" w:hAnsi="宋体"/>
          <w:color w:val="000000"/>
          <w:szCs w:val="21"/>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17" w:name="_Toc69378619"/>
      <w:r>
        <w:rPr>
          <w:rFonts w:ascii="宋体" w:hAnsi="宋体" w:eastAsia="宋体" w:cs="宋体"/>
          <w:b/>
          <w:bCs w:val="0"/>
          <w:sz w:val="21"/>
          <w:szCs w:val="21"/>
        </w:rPr>
        <w:t>一、项目标的和内容</w:t>
      </w:r>
      <w:bookmarkEnd w:id="17"/>
    </w:p>
    <w:p>
      <w:pPr>
        <w:spacing w:line="360" w:lineRule="auto"/>
        <w:ind w:firstLine="420" w:firstLineChars="200"/>
        <w:rPr>
          <w:color w:val="000000"/>
          <w:szCs w:val="21"/>
        </w:rPr>
      </w:pPr>
      <w:bookmarkStart w:id="18" w:name="_Toc69378620"/>
      <w:r>
        <w:rPr>
          <w:color w:val="262626"/>
          <w:szCs w:val="21"/>
        </w:rPr>
        <w:t>项目标的内容包括乙方按照甲方具体要求供应</w:t>
      </w:r>
      <w:r>
        <w:rPr>
          <w:rFonts w:hint="eastAsia" w:ascii="Tahoma" w:hAnsi="Tahoma"/>
          <w:color w:val="262626"/>
          <w:sz w:val="24"/>
          <w:u w:val="single"/>
        </w:rPr>
        <w:t>“”</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18"/>
    </w:p>
    <w:p>
      <w:pPr>
        <w:numPr>
          <w:ilvl w:val="1"/>
          <w:numId w:val="6"/>
        </w:numPr>
        <w:tabs>
          <w:tab w:val="left" w:pos="0"/>
          <w:tab w:val="clear" w:pos="1155"/>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ascii="宋体" w:hAnsi="宋体"/>
          <w:color w:val="000000"/>
          <w:szCs w:val="21"/>
        </w:rPr>
        <w:t>。</w:t>
      </w:r>
    </w:p>
    <w:p>
      <w:pPr>
        <w:spacing w:line="360" w:lineRule="auto"/>
        <w:ind w:firstLine="1265" w:firstLineChars="600"/>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hint="eastAsia" w:ascii="宋体" w:hAnsi="宋体"/>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pPr>
        <w:numPr>
          <w:ilvl w:val="1"/>
          <w:numId w:val="6"/>
        </w:numPr>
        <w:tabs>
          <w:tab w:val="left" w:pos="0"/>
          <w:tab w:val="clear" w:pos="1155"/>
        </w:tabs>
        <w:spacing w:line="360" w:lineRule="auto"/>
        <w:ind w:left="0" w:firstLine="0"/>
        <w:rPr>
          <w:szCs w:val="21"/>
        </w:rPr>
      </w:pPr>
      <w:bookmarkStart w:id="19"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pPr>
        <w:numPr>
          <w:ilvl w:val="1"/>
          <w:numId w:val="6"/>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19"/>
      <w:r>
        <w:rPr>
          <w:rFonts w:hint="eastAsia"/>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tabs>
          <w:tab w:val="left" w:pos="0"/>
        </w:tabs>
        <w:spacing w:line="360" w:lineRule="auto"/>
        <w:rPr>
          <w:color w:val="000000"/>
          <w:szCs w:val="21"/>
        </w:rPr>
      </w:pPr>
      <w:bookmarkStart w:id="20" w:name="_Toc69378621"/>
      <w:r>
        <w:rPr>
          <w:rFonts w:hint="eastAsia"/>
          <w:szCs w:val="21"/>
        </w:rPr>
        <w:t>1、</w:t>
      </w:r>
      <w:r>
        <w:rPr>
          <w:szCs w:val="21"/>
        </w:rPr>
        <w:t>付款方式：</w:t>
      </w:r>
      <w:r>
        <w:rPr>
          <w:rFonts w:hint="eastAsia" w:ascii="宋体" w:hAnsi="宋体"/>
          <w:szCs w:val="21"/>
        </w:rPr>
        <w:t>合同总价的50%，以半年期银行承兑汇票支付；剩余部分以转账的方式支付卖.</w:t>
      </w:r>
      <w:r>
        <w:rPr>
          <w:szCs w:val="21"/>
        </w:rPr>
        <w:t>禁止将货款划入其他账号或支付现金。如收款方的账号和开户行变更，须及时以书面形式通知付款方，通知上必须同时盖有收款方的</w:t>
      </w:r>
      <w:r>
        <w:rPr>
          <w:rFonts w:hint="eastAsia"/>
          <w:szCs w:val="21"/>
        </w:rPr>
        <w:t>公</w:t>
      </w:r>
      <w:r>
        <w:rPr>
          <w:szCs w:val="21"/>
        </w:rPr>
        <w:t>章</w:t>
      </w:r>
      <w:r>
        <w:rPr>
          <w:rFonts w:hint="eastAsia"/>
          <w:szCs w:val="21"/>
        </w:rPr>
        <w:t>或</w:t>
      </w:r>
      <w:r>
        <w:rPr>
          <w:szCs w:val="21"/>
        </w:rPr>
        <w:t>财务</w:t>
      </w:r>
      <w:r>
        <w:rPr>
          <w:rFonts w:hint="eastAsia"/>
          <w:szCs w:val="21"/>
        </w:rPr>
        <w:t>专用</w:t>
      </w:r>
      <w:r>
        <w:rPr>
          <w:szCs w:val="21"/>
        </w:rPr>
        <w:t>章</w:t>
      </w:r>
      <w:r>
        <w:rPr>
          <w:rFonts w:hint="eastAsia"/>
          <w:szCs w:val="21"/>
        </w:rPr>
        <w:t>。</w:t>
      </w:r>
    </w:p>
    <w:p>
      <w:pPr>
        <w:tabs>
          <w:tab w:val="left" w:pos="0"/>
        </w:tabs>
        <w:spacing w:line="360" w:lineRule="auto"/>
        <w:rPr>
          <w:color w:val="000000"/>
          <w:szCs w:val="21"/>
        </w:rPr>
      </w:pPr>
      <w:r>
        <w:rPr>
          <w:rFonts w:hint="eastAsia"/>
          <w:color w:val="000000"/>
          <w:szCs w:val="21"/>
        </w:rPr>
        <w:t>2、</w:t>
      </w:r>
      <w:r>
        <w:rPr>
          <w:color w:val="000000"/>
          <w:szCs w:val="21"/>
        </w:rPr>
        <w:t>付款期限：</w:t>
      </w:r>
      <w:r>
        <w:rPr>
          <w:rFonts w:hint="eastAsia"/>
          <w:color w:val="000000"/>
          <w:szCs w:val="21"/>
        </w:rPr>
        <w:t>设备到货且初验合格后15天内转账支付合同总额的30%，即人民币</w:t>
      </w:r>
      <w:r>
        <w:rPr>
          <w:color w:val="000000"/>
          <w:szCs w:val="21"/>
          <w:u w:val="single"/>
        </w:rPr>
        <w:t xml:space="preserve">       </w:t>
      </w:r>
      <w:r>
        <w:rPr>
          <w:rFonts w:hint="eastAsia"/>
          <w:color w:val="000000"/>
          <w:szCs w:val="21"/>
        </w:rPr>
        <w:t>；系统通过终验后支付合同额的60%（以半年期银行承兑汇票支付50%，以转账的方式支付10%），即人民币</w:t>
      </w:r>
      <w:r>
        <w:rPr>
          <w:color w:val="000000"/>
          <w:szCs w:val="21"/>
          <w:u w:val="single"/>
        </w:rPr>
        <w:t xml:space="preserve">       </w:t>
      </w:r>
      <w:r>
        <w:rPr>
          <w:rFonts w:hint="eastAsia"/>
          <w:color w:val="000000"/>
          <w:szCs w:val="21"/>
        </w:rPr>
        <w:t>；10%余款即人民币，作为质量保证金，在终验合格一年后的10个工作日之内支付7%，如乙方此时向甲方开据合同总额3%的银行保函（此保函须在免费包修期结束后到期），甲方在收到银行保函3</w:t>
      </w:r>
      <w:r>
        <w:rPr>
          <w:color w:val="000000"/>
          <w:szCs w:val="21"/>
        </w:rPr>
        <w:t>0</w:t>
      </w:r>
      <w:r>
        <w:rPr>
          <w:rFonts w:hint="eastAsia"/>
          <w:color w:val="000000"/>
          <w:szCs w:val="21"/>
        </w:rPr>
        <w:t>日内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p>
    <w:p>
      <w:pPr>
        <w:spacing w:line="360" w:lineRule="auto"/>
        <w:rPr>
          <w:color w:val="000000"/>
          <w:szCs w:val="21"/>
        </w:rPr>
      </w:pPr>
      <w:r>
        <w:rPr>
          <w:rFonts w:hint="eastAsia"/>
          <w:color w:val="000000"/>
        </w:rPr>
        <w:t>3、</w:t>
      </w:r>
      <w:r>
        <w:rPr>
          <w:color w:val="000000"/>
        </w:rPr>
        <w:t>质量保证金：质量保证金包含对履约的保证、对质量的保证和廉政的保证。在合同履行过程中，如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pPr>
        <w:tabs>
          <w:tab w:val="left" w:pos="0"/>
        </w:tabs>
        <w:spacing w:line="360" w:lineRule="auto"/>
        <w:rPr>
          <w:color w:val="000000"/>
          <w:szCs w:val="21"/>
        </w:rPr>
      </w:pPr>
      <w:r>
        <w:rPr>
          <w:rFonts w:hint="eastAsia"/>
          <w:color w:val="000000"/>
          <w:szCs w:val="21"/>
        </w:rPr>
        <w:t>5、扣款细则</w:t>
      </w:r>
    </w:p>
    <w:p>
      <w:pPr>
        <w:spacing w:line="360" w:lineRule="auto"/>
        <w:rPr>
          <w:color w:val="000000"/>
          <w:szCs w:val="21"/>
        </w:rPr>
      </w:pPr>
      <w:r>
        <w:rPr>
          <w:rFonts w:hint="eastAsia"/>
          <w:color w:val="000000"/>
          <w:szCs w:val="21"/>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674" w:type="dxa"/>
            <w:vAlign w:val="center"/>
          </w:tcPr>
          <w:p>
            <w:pPr>
              <w:jc w:val="center"/>
              <w:rPr>
                <w:rFonts w:ascii="宋体" w:hAnsi="宋体"/>
                <w:b/>
                <w:szCs w:val="21"/>
              </w:rPr>
            </w:pPr>
            <w:r>
              <w:rPr>
                <w:rFonts w:hint="eastAsia" w:ascii="宋体" w:hAnsi="宋体"/>
                <w:b/>
                <w:szCs w:val="21"/>
              </w:rPr>
              <w:t>序号</w:t>
            </w:r>
          </w:p>
        </w:tc>
        <w:tc>
          <w:tcPr>
            <w:tcW w:w="1135" w:type="dxa"/>
            <w:vAlign w:val="center"/>
          </w:tcPr>
          <w:p>
            <w:pPr>
              <w:jc w:val="center"/>
              <w:rPr>
                <w:rFonts w:ascii="宋体" w:hAnsi="宋体"/>
                <w:b/>
                <w:szCs w:val="21"/>
              </w:rPr>
            </w:pPr>
            <w:r>
              <w:rPr>
                <w:rFonts w:hint="eastAsia" w:ascii="宋体" w:hAnsi="宋体"/>
                <w:b/>
                <w:szCs w:val="21"/>
              </w:rPr>
              <w:t>费用类别</w:t>
            </w:r>
          </w:p>
        </w:tc>
        <w:tc>
          <w:tcPr>
            <w:tcW w:w="2552" w:type="dxa"/>
            <w:vAlign w:val="center"/>
          </w:tcPr>
          <w:p>
            <w:pPr>
              <w:jc w:val="center"/>
              <w:rPr>
                <w:rFonts w:ascii="宋体" w:hAnsi="宋体"/>
                <w:b/>
                <w:szCs w:val="21"/>
              </w:rPr>
            </w:pPr>
            <w:r>
              <w:rPr>
                <w:rFonts w:hint="eastAsia" w:ascii="宋体" w:hAnsi="宋体"/>
                <w:b/>
                <w:szCs w:val="21"/>
              </w:rPr>
              <w:t>适用状况</w:t>
            </w:r>
          </w:p>
        </w:tc>
        <w:tc>
          <w:tcPr>
            <w:tcW w:w="1938" w:type="dxa"/>
            <w:vAlign w:val="center"/>
          </w:tcPr>
          <w:p>
            <w:pPr>
              <w:jc w:val="center"/>
              <w:rPr>
                <w:rFonts w:ascii="宋体" w:hAnsi="宋体"/>
                <w:b/>
                <w:szCs w:val="21"/>
              </w:rPr>
            </w:pPr>
            <w:r>
              <w:rPr>
                <w:rFonts w:hint="eastAsia" w:ascii="宋体" w:hAnsi="宋体"/>
                <w:b/>
                <w:szCs w:val="21"/>
              </w:rPr>
              <w:t>执行方法</w:t>
            </w:r>
          </w:p>
        </w:tc>
        <w:tc>
          <w:tcPr>
            <w:tcW w:w="1476" w:type="dxa"/>
            <w:vAlign w:val="center"/>
          </w:tcPr>
          <w:p>
            <w:pPr>
              <w:jc w:val="center"/>
              <w:rPr>
                <w:rFonts w:ascii="宋体" w:hAnsi="宋体"/>
                <w:b/>
                <w:szCs w:val="21"/>
              </w:rPr>
            </w:pPr>
            <w:r>
              <w:rPr>
                <w:rFonts w:hint="eastAsia" w:ascii="宋体" w:hAnsi="宋体"/>
                <w:b/>
                <w:szCs w:val="21"/>
              </w:rPr>
              <w:t>罚款金额</w:t>
            </w:r>
          </w:p>
        </w:tc>
        <w:tc>
          <w:tcPr>
            <w:tcW w:w="1810" w:type="dxa"/>
            <w:vAlign w:val="center"/>
          </w:tcPr>
          <w:p>
            <w:pPr>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1</w:t>
            </w:r>
          </w:p>
        </w:tc>
        <w:tc>
          <w:tcPr>
            <w:tcW w:w="1135" w:type="dxa"/>
            <w:vAlign w:val="center"/>
          </w:tcPr>
          <w:p>
            <w:pPr>
              <w:rPr>
                <w:rFonts w:ascii="宋体" w:hAnsi="宋体"/>
                <w:szCs w:val="21"/>
              </w:rPr>
            </w:pPr>
            <w:r>
              <w:rPr>
                <w:rFonts w:hint="eastAsia" w:ascii="宋体" w:hAnsi="宋体"/>
                <w:szCs w:val="21"/>
              </w:rPr>
              <w:t>项目人员缺勤费用</w:t>
            </w:r>
          </w:p>
        </w:tc>
        <w:tc>
          <w:tcPr>
            <w:tcW w:w="2552" w:type="dxa"/>
            <w:vAlign w:val="center"/>
          </w:tcPr>
          <w:p>
            <w:pPr>
              <w:rPr>
                <w:rFonts w:ascii="宋体" w:hAnsi="宋体"/>
                <w:szCs w:val="21"/>
              </w:rPr>
            </w:pPr>
            <w:r>
              <w:rPr>
                <w:rFonts w:hint="eastAsia" w:ascii="宋体" w:hAnsi="宋体"/>
                <w:szCs w:val="21"/>
              </w:rPr>
              <w:t>乙方未按照甲方的考勤要求开展工作或未经甲方同意擅自更换项目人员。</w:t>
            </w:r>
          </w:p>
        </w:tc>
        <w:tc>
          <w:tcPr>
            <w:tcW w:w="1938" w:type="dxa"/>
            <w:vAlign w:val="center"/>
          </w:tcPr>
          <w:p>
            <w:pPr>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2</w:t>
            </w:r>
          </w:p>
        </w:tc>
        <w:tc>
          <w:tcPr>
            <w:tcW w:w="1135" w:type="dxa"/>
            <w:vAlign w:val="center"/>
          </w:tcPr>
          <w:p>
            <w:pPr>
              <w:rPr>
                <w:rFonts w:ascii="宋体" w:hAnsi="宋体"/>
                <w:szCs w:val="21"/>
              </w:rPr>
            </w:pPr>
            <w:r>
              <w:rPr>
                <w:rFonts w:hint="eastAsia" w:ascii="宋体" w:hAnsi="宋体"/>
                <w:szCs w:val="21"/>
              </w:rPr>
              <w:t>项目进度滞后费用</w:t>
            </w:r>
          </w:p>
        </w:tc>
        <w:tc>
          <w:tcPr>
            <w:tcW w:w="2552" w:type="dxa"/>
            <w:vAlign w:val="center"/>
          </w:tcPr>
          <w:p>
            <w:pPr>
              <w:rPr>
                <w:rFonts w:ascii="宋体" w:hAnsi="宋体"/>
                <w:szCs w:val="21"/>
              </w:rPr>
            </w:pPr>
            <w:r>
              <w:rPr>
                <w:rFonts w:hint="eastAsia" w:ascii="宋体" w:hAnsi="宋体"/>
                <w:szCs w:val="21"/>
              </w:rPr>
              <w:t>乙方未按照提交的项目进度按时完成阶段性工作。</w:t>
            </w:r>
          </w:p>
        </w:tc>
        <w:tc>
          <w:tcPr>
            <w:tcW w:w="1938" w:type="dxa"/>
            <w:vAlign w:val="center"/>
          </w:tcPr>
          <w:p>
            <w:pPr>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rPr>
                <w:szCs w:val="21"/>
              </w:rPr>
            </w:pPr>
            <w:r>
              <w:rPr>
                <w:szCs w:val="21"/>
              </w:rPr>
              <w:t>5000</w:t>
            </w:r>
            <w:r>
              <w:rPr>
                <w:rFonts w:hAnsi="宋体"/>
                <w:szCs w:val="21"/>
              </w:rPr>
              <w:t>元</w:t>
            </w:r>
            <w:r>
              <w:rPr>
                <w:szCs w:val="21"/>
              </w:rPr>
              <w:t>/</w:t>
            </w:r>
            <w:r>
              <w:rPr>
                <w:rFonts w:hAnsi="宋体"/>
                <w:szCs w:val="21"/>
              </w:rPr>
              <w:t>天</w:t>
            </w:r>
          </w:p>
        </w:tc>
        <w:tc>
          <w:tcPr>
            <w:tcW w:w="1810" w:type="dxa"/>
            <w:vAlign w:val="center"/>
          </w:tcPr>
          <w:p>
            <w:pPr>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3</w:t>
            </w:r>
          </w:p>
        </w:tc>
        <w:tc>
          <w:tcPr>
            <w:tcW w:w="1135" w:type="dxa"/>
            <w:vAlign w:val="center"/>
          </w:tcPr>
          <w:p>
            <w:pPr>
              <w:rPr>
                <w:rFonts w:ascii="宋体" w:hAnsi="宋体"/>
                <w:szCs w:val="21"/>
              </w:rPr>
            </w:pPr>
            <w:r>
              <w:rPr>
                <w:rFonts w:hint="eastAsia" w:ascii="宋体" w:hAnsi="宋体"/>
                <w:szCs w:val="21"/>
              </w:rPr>
              <w:t>服务质量不合格</w:t>
            </w:r>
          </w:p>
        </w:tc>
        <w:tc>
          <w:tcPr>
            <w:tcW w:w="2552" w:type="dxa"/>
            <w:vAlign w:val="center"/>
          </w:tcPr>
          <w:p>
            <w:pPr>
              <w:rPr>
                <w:rFonts w:ascii="宋体" w:hAnsi="宋体"/>
                <w:szCs w:val="21"/>
              </w:rPr>
            </w:pPr>
            <w:r>
              <w:rPr>
                <w:rFonts w:hint="eastAsia" w:ascii="宋体" w:hAnsi="宋体"/>
                <w:szCs w:val="21"/>
              </w:rPr>
              <w:t>乙方提供的服务不满足事先约定的质量要求。</w:t>
            </w:r>
          </w:p>
        </w:tc>
        <w:tc>
          <w:tcPr>
            <w:tcW w:w="1938" w:type="dxa"/>
            <w:vAlign w:val="center"/>
          </w:tcPr>
          <w:p>
            <w:pPr>
              <w:rPr>
                <w:rFonts w:ascii="宋体" w:hAnsi="宋体"/>
                <w:szCs w:val="21"/>
              </w:rPr>
            </w:pPr>
            <w:r>
              <w:rPr>
                <w:rFonts w:hint="eastAsia" w:ascii="宋体" w:hAnsi="宋体"/>
                <w:szCs w:val="21"/>
              </w:rPr>
              <w:t>由甲方项目经理完成产品质量缺陷说明，提交财务部扣款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ascii="宋体" w:hAnsi="宋体"/>
                <w:szCs w:val="21"/>
              </w:rPr>
              <w:t>4</w:t>
            </w:r>
          </w:p>
        </w:tc>
        <w:tc>
          <w:tcPr>
            <w:tcW w:w="1135" w:type="dxa"/>
            <w:vAlign w:val="center"/>
          </w:tcPr>
          <w:p>
            <w:pPr>
              <w:rPr>
                <w:rFonts w:ascii="宋体" w:hAnsi="宋体"/>
                <w:szCs w:val="21"/>
              </w:rPr>
            </w:pPr>
            <w:r>
              <w:rPr>
                <w:rFonts w:hint="eastAsia" w:ascii="宋体" w:hAnsi="宋体"/>
                <w:szCs w:val="21"/>
              </w:rPr>
              <w:t>技术支持延迟或售后不合格</w:t>
            </w:r>
          </w:p>
        </w:tc>
        <w:tc>
          <w:tcPr>
            <w:tcW w:w="2552" w:type="dxa"/>
            <w:vAlign w:val="center"/>
          </w:tcPr>
          <w:p>
            <w:pPr>
              <w:rPr>
                <w:rFonts w:ascii="宋体" w:hAnsi="宋体"/>
                <w:szCs w:val="21"/>
              </w:rPr>
            </w:pPr>
            <w:r>
              <w:rPr>
                <w:rFonts w:hint="eastAsia" w:ascii="宋体" w:hAnsi="宋体"/>
                <w:szCs w:val="21"/>
              </w:rPr>
              <w:t>乙方未在要求的时间内解决甲方提出的符合包修或技术支持范围的问题</w:t>
            </w:r>
          </w:p>
        </w:tc>
        <w:tc>
          <w:tcPr>
            <w:tcW w:w="1938" w:type="dxa"/>
            <w:vAlign w:val="center"/>
          </w:tcPr>
          <w:p>
            <w:pPr>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rPr>
                <w:rFonts w:ascii="宋体" w:hAnsi="宋体"/>
                <w:szCs w:val="21"/>
              </w:rPr>
            </w:pPr>
            <w:r>
              <w:rPr>
                <w:rFonts w:hint="eastAsia" w:ascii="宋体" w:hAnsi="宋体"/>
                <w:szCs w:val="21"/>
              </w:rPr>
              <w:t>5</w:t>
            </w:r>
          </w:p>
        </w:tc>
        <w:tc>
          <w:tcPr>
            <w:tcW w:w="1135" w:type="dxa"/>
            <w:vAlign w:val="center"/>
          </w:tcPr>
          <w:p>
            <w:pPr>
              <w:rPr>
                <w:rFonts w:ascii="宋体" w:hAnsi="宋体"/>
                <w:szCs w:val="21"/>
              </w:rPr>
            </w:pPr>
            <w:r>
              <w:rPr>
                <w:rFonts w:hint="eastAsia" w:ascii="宋体" w:hAnsi="宋体"/>
                <w:szCs w:val="21"/>
              </w:rPr>
              <w:t>文档缺失或质量不合格</w:t>
            </w:r>
          </w:p>
        </w:tc>
        <w:tc>
          <w:tcPr>
            <w:tcW w:w="2552" w:type="dxa"/>
            <w:vAlign w:val="center"/>
          </w:tcPr>
          <w:p>
            <w:pPr>
              <w:rPr>
                <w:rFonts w:ascii="宋体" w:hAnsi="宋体"/>
                <w:szCs w:val="21"/>
              </w:rPr>
            </w:pPr>
            <w:r>
              <w:rPr>
                <w:rFonts w:hint="eastAsia" w:ascii="宋体" w:hAnsi="宋体"/>
                <w:szCs w:val="21"/>
              </w:rPr>
              <w:t>乙方未提供或提供的技术规范、培训材料等文档</w:t>
            </w:r>
          </w:p>
        </w:tc>
        <w:tc>
          <w:tcPr>
            <w:tcW w:w="1938" w:type="dxa"/>
            <w:vAlign w:val="center"/>
          </w:tcPr>
          <w:p>
            <w:pPr>
              <w:rPr>
                <w:rFonts w:ascii="宋体" w:hAnsi="宋体"/>
                <w:szCs w:val="21"/>
              </w:rPr>
            </w:pPr>
            <w:r>
              <w:rPr>
                <w:rFonts w:hint="eastAsia" w:ascii="宋体" w:hAnsi="宋体"/>
                <w:szCs w:val="21"/>
              </w:rPr>
              <w:t>由甲方项目经理确认文档条目，提交财务部扣款</w:t>
            </w:r>
          </w:p>
        </w:tc>
        <w:tc>
          <w:tcPr>
            <w:tcW w:w="1476" w:type="dxa"/>
            <w:vAlign w:val="center"/>
          </w:tcPr>
          <w:p>
            <w:pPr>
              <w:rPr>
                <w:szCs w:val="21"/>
              </w:rPr>
            </w:pPr>
            <w:r>
              <w:rPr>
                <w:rFonts w:hAnsi="宋体"/>
                <w:szCs w:val="21"/>
              </w:rPr>
              <w:t>合同款</w:t>
            </w:r>
            <w:r>
              <w:rPr>
                <w:szCs w:val="21"/>
              </w:rPr>
              <w:t>*5%~10%</w:t>
            </w:r>
          </w:p>
        </w:tc>
        <w:tc>
          <w:tcPr>
            <w:tcW w:w="1810" w:type="dxa"/>
            <w:vAlign w:val="center"/>
          </w:tcPr>
          <w:p>
            <w:pPr>
              <w:rPr>
                <w:rFonts w:ascii="宋体" w:hAnsi="宋体"/>
                <w:szCs w:val="21"/>
              </w:rPr>
            </w:pPr>
            <w:r>
              <w:rPr>
                <w:rFonts w:hint="eastAsia" w:ascii="宋体" w:hAnsi="宋体"/>
                <w:szCs w:val="21"/>
              </w:rPr>
              <w:t>视文档重要性</w:t>
            </w:r>
          </w:p>
        </w:tc>
      </w:tr>
    </w:tbl>
    <w:p/>
    <w:p>
      <w:pPr>
        <w:rPr>
          <w:color w:val="000000"/>
        </w:rPr>
      </w:pP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p>
      <w:pPr>
        <w:spacing w:line="360" w:lineRule="auto"/>
        <w:ind w:firstLine="420" w:firstLineChars="200"/>
        <w:rPr>
          <w:rFonts w:ascii="宋体" w:hAnsi="宋体" w:cs="宋体"/>
          <w:szCs w:val="21"/>
        </w:rPr>
      </w:pPr>
      <w:r>
        <w:rPr>
          <w:rFonts w:hint="eastAsia" w:ascii="宋体" w:hAnsi="宋体" w:cs="宋体"/>
          <w:szCs w:val="21"/>
        </w:rPr>
        <w:t>乙方所提供产品的技术指标和生产工艺必须完全满足甲方在“2021年省市县前端设备更新-光放设备及辅材集成采购”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0"/>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五</w:t>
      </w:r>
      <w:r>
        <w:rPr>
          <w:rFonts w:ascii="宋体" w:hAnsi="宋体" w:eastAsia="宋体" w:cs="宋体"/>
          <w:b/>
          <w:bCs w:val="0"/>
          <w:sz w:val="21"/>
          <w:szCs w:val="21"/>
        </w:rPr>
        <w:t>、</w:t>
      </w:r>
      <w:r>
        <w:rPr>
          <w:rFonts w:hint="eastAsia" w:ascii="宋体" w:hAnsi="宋体" w:eastAsia="宋体" w:cs="宋体"/>
          <w:b/>
          <w:bCs w:val="0"/>
          <w:sz w:val="21"/>
          <w:szCs w:val="21"/>
        </w:rPr>
        <w:t>产品的包装</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所有产品由乙方负责妥善包装，附件、清单完整齐全，注明储运标志，并适合于长途运输。由此不当而引起的所有损失和责任由乙方承担。</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每件包装外面应清楚地打上记号，这些记号或标志应在运单上说明。</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备品备件及专用工具应在箱内运送并与产品分别包装，所有备件应加上标签，以示区别。</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乙方应提前3天通知甲方负责收货的联系人，告知产品运送到项目现场的具体日期。</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1" w:name="_Toc69378622"/>
      <w:r>
        <w:rPr>
          <w:rFonts w:hint="eastAsia" w:ascii="宋体" w:hAnsi="宋体" w:eastAsia="宋体" w:cs="宋体"/>
          <w:b/>
          <w:bCs w:val="0"/>
          <w:sz w:val="21"/>
          <w:szCs w:val="21"/>
        </w:rPr>
        <w:t>六、产品交付</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产品的交货地点为甲方指定地点、指定楼层。</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乙方交货时应提供下列技术资料：</w:t>
      </w:r>
    </w:p>
    <w:p>
      <w:pPr>
        <w:spacing w:line="360" w:lineRule="auto"/>
        <w:rPr>
          <w:rFonts w:ascii="宋体" w:hAnsi="宋体" w:cs="宋体"/>
          <w:szCs w:val="21"/>
        </w:rPr>
      </w:pPr>
      <w:r>
        <w:rPr>
          <w:rFonts w:hint="eastAsia" w:ascii="宋体" w:hAnsi="宋体" w:cs="宋体"/>
          <w:szCs w:val="21"/>
        </w:rPr>
        <w:t>（1）产品原厂或原产地证明；</w:t>
      </w:r>
    </w:p>
    <w:p>
      <w:pPr>
        <w:spacing w:line="360" w:lineRule="auto"/>
        <w:rPr>
          <w:rFonts w:ascii="宋体" w:hAnsi="宋体" w:cs="宋体"/>
          <w:szCs w:val="21"/>
        </w:rPr>
      </w:pPr>
      <w:r>
        <w:rPr>
          <w:rFonts w:hint="eastAsia" w:ascii="宋体" w:hAnsi="宋体" w:cs="宋体"/>
          <w:szCs w:val="21"/>
        </w:rPr>
        <w:t>（2）产品出厂检验报告和产品合格证；</w:t>
      </w:r>
    </w:p>
    <w:p>
      <w:pPr>
        <w:spacing w:line="360" w:lineRule="auto"/>
        <w:rPr>
          <w:rFonts w:ascii="宋体" w:hAnsi="宋体" w:cs="宋体"/>
          <w:szCs w:val="21"/>
        </w:rPr>
      </w:pPr>
      <w:r>
        <w:rPr>
          <w:rFonts w:hint="eastAsia" w:ascii="宋体" w:hAnsi="宋体" w:cs="宋体"/>
          <w:szCs w:val="21"/>
        </w:rPr>
        <w:t>（3）竞争性磋商文件中所要求提交的资料。</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设备到货后，甲方负责清点货物包装箱件数。在设备安装调试前，甲乙双方代表在施工现场共同开箱清点验收货物。若一方因故无法抵达施工现场，则无条件接受另一方开箱清点验收结果。</w:t>
      </w:r>
    </w:p>
    <w:p>
      <w:pPr>
        <w:numPr>
          <w:ilvl w:val="255"/>
          <w:numId w:val="0"/>
        </w:numPr>
        <w:tabs>
          <w:tab w:val="left" w:pos="0"/>
        </w:tabs>
        <w:spacing w:line="360" w:lineRule="auto"/>
        <w:ind w:firstLine="420" w:firstLineChars="200"/>
        <w:rPr>
          <w:color w:val="000000"/>
          <w:szCs w:val="21"/>
        </w:rPr>
      </w:pPr>
      <w:r>
        <w:rPr>
          <w:rFonts w:hint="eastAsia" w:ascii="宋体" w:hAnsi="宋体" w:cs="宋体"/>
          <w:szCs w:val="21"/>
        </w:rPr>
        <w:t>甲方有权拒收运抵现场的被损坏或有缺陷的或不符合竞争性磋商文件、乙方响应文件和磋商时乙方做出的书面承诺的任何产品。</w:t>
      </w:r>
    </w:p>
    <w:bookmarkEnd w:id="21"/>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2" w:name="_Toc69378629"/>
      <w:r>
        <w:rPr>
          <w:rFonts w:hint="eastAsia" w:ascii="宋体" w:hAnsi="宋体" w:eastAsia="宋体" w:cs="宋体"/>
          <w:b/>
          <w:bCs w:val="0"/>
          <w:sz w:val="21"/>
          <w:szCs w:val="21"/>
        </w:rPr>
        <w:t>七、</w:t>
      </w:r>
      <w:bookmarkEnd w:id="22"/>
      <w:bookmarkStart w:id="23" w:name="_Toc69378632"/>
      <w:r>
        <w:rPr>
          <w:rFonts w:hint="eastAsia" w:ascii="宋体" w:hAnsi="宋体" w:eastAsia="宋体" w:cs="宋体"/>
          <w:b/>
          <w:bCs w:val="0"/>
          <w:sz w:val="21"/>
          <w:szCs w:val="21"/>
        </w:rPr>
        <w:t>运输费用</w:t>
      </w:r>
    </w:p>
    <w:p>
      <w:pPr>
        <w:spacing w:line="360" w:lineRule="auto"/>
        <w:ind w:firstLine="420" w:firstLineChars="200"/>
        <w:rPr>
          <w:rFonts w:ascii="宋体" w:hAnsi="宋体" w:cs="宋体"/>
          <w:szCs w:val="21"/>
        </w:rPr>
      </w:pPr>
      <w:r>
        <w:rPr>
          <w:rFonts w:hint="eastAsia" w:ascii="宋体" w:hAnsi="宋体" w:cs="宋体"/>
          <w:szCs w:val="21"/>
        </w:rPr>
        <w:t>乙方承担所有产品的运输、装卸和保险等费用。</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八、供货周期</w:t>
      </w:r>
    </w:p>
    <w:p>
      <w:pPr>
        <w:numPr>
          <w:ilvl w:val="255"/>
          <w:numId w:val="0"/>
        </w:numPr>
        <w:spacing w:line="360" w:lineRule="auto"/>
        <w:ind w:firstLine="420" w:firstLineChars="200"/>
        <w:rPr>
          <w:rFonts w:ascii="宋体" w:hAnsi="宋体" w:cs="宋体"/>
          <w:szCs w:val="21"/>
        </w:rPr>
      </w:pPr>
      <w:r>
        <w:rPr>
          <w:rFonts w:hint="eastAsia" w:ascii="宋体" w:hAnsi="宋体" w:cs="宋体"/>
          <w:szCs w:val="21"/>
        </w:rPr>
        <w:t>所有货物在合同生效后</w:t>
      </w:r>
      <w:r>
        <w:rPr>
          <w:rFonts w:ascii="宋体" w:hAnsi="宋体" w:cs="宋体"/>
          <w:szCs w:val="21"/>
          <w:u w:val="single"/>
        </w:rPr>
        <w:t xml:space="preserve">   </w:t>
      </w:r>
      <w:r>
        <w:rPr>
          <w:rFonts w:hint="eastAsia" w:ascii="宋体" w:hAnsi="宋体" w:cs="宋体"/>
          <w:szCs w:val="21"/>
        </w:rPr>
        <w:t>天内（不超过3</w:t>
      </w:r>
      <w:r>
        <w:rPr>
          <w:rFonts w:ascii="宋体" w:hAnsi="宋体" w:cs="宋体"/>
          <w:szCs w:val="21"/>
        </w:rPr>
        <w:t>0</w:t>
      </w:r>
      <w:r>
        <w:rPr>
          <w:rFonts w:hint="eastAsia" w:ascii="宋体" w:hAnsi="宋体" w:cs="宋体"/>
          <w:szCs w:val="21"/>
        </w:rPr>
        <w:t>天）运抵甲方工地现场并安装、调试结束，验收合格。现场集成对接时间不得超过四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color w:val="000000"/>
          <w:szCs w:val="21"/>
        </w:rPr>
      </w:pPr>
      <w:r>
        <w:rPr>
          <w:rFonts w:hint="eastAsia" w:ascii="宋体" w:hAnsi="宋体" w:cs="宋体"/>
          <w:szCs w:val="21"/>
        </w:rPr>
        <w:t>乙方逾期交货，甲方接受的，不影响甲方追究乙方逾期交货的违约责任。</w:t>
      </w:r>
      <w:bookmarkEnd w:id="23"/>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4" w:name="_Toc69378633"/>
      <w:r>
        <w:rPr>
          <w:rFonts w:hint="eastAsia" w:ascii="宋体" w:hAnsi="宋体" w:eastAsia="宋体" w:cs="宋体"/>
          <w:b/>
          <w:bCs w:val="0"/>
          <w:sz w:val="21"/>
          <w:szCs w:val="21"/>
        </w:rPr>
        <w:t>九、验收标准</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9"/>
        </w:numPr>
        <w:adjustRightInd w:val="0"/>
        <w:snapToGrid w:val="0"/>
        <w:spacing w:line="360" w:lineRule="auto"/>
        <w:rPr>
          <w:rFonts w:ascii="宋体"/>
          <w:szCs w:val="21"/>
        </w:rPr>
      </w:pPr>
      <w:r>
        <w:rPr>
          <w:rFonts w:hint="eastAsia" w:ascii="宋体" w:hAnsi="宋体"/>
          <w:szCs w:val="21"/>
        </w:rPr>
        <w:t>因甲方原因未能及时组织初验或终验，甲方应在乙方的协助下尽快解决问题。</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甲乙双方约定合同产品检验期自交货日起至初验通过之日止。甲乙双方约定合同产品免费包修期为</w:t>
      </w:r>
      <w:r>
        <w:rPr>
          <w:rFonts w:ascii="宋体" w:hAnsi="宋体"/>
          <w:szCs w:val="21"/>
          <w:u w:val="single"/>
        </w:rPr>
        <w:t xml:space="preserve">    </w:t>
      </w:r>
      <w:r>
        <w:rPr>
          <w:rFonts w:hint="eastAsia" w:ascii="宋体" w:hAnsi="宋体"/>
          <w:szCs w:val="21"/>
        </w:rPr>
        <w:t>年（不少于3年），自初验通过之日起计算。</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25" w:name="_Toc72326302"/>
      <w:r>
        <w:rPr>
          <w:rFonts w:hint="eastAsia" w:ascii="宋体" w:hAnsi="宋体" w:eastAsia="宋体"/>
          <w:b/>
          <w:kern w:val="2"/>
          <w:sz w:val="21"/>
          <w:szCs w:val="21"/>
        </w:rPr>
        <w:t>十、售后服务</w:t>
      </w:r>
      <w:bookmarkEnd w:id="25"/>
    </w:p>
    <w:p>
      <w:pPr>
        <w:numPr>
          <w:ilvl w:val="0"/>
          <w:numId w:val="10"/>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小时的技术支持和服务。如果出现技术问题或故障，乙方应按响应文件和磋商时做出的书面承诺提供相应的服务和技术支持。</w:t>
      </w:r>
      <w:r>
        <w:rPr>
          <w:rFonts w:ascii="宋体" w:hAnsi="宋体"/>
          <w:szCs w:val="21"/>
        </w:rPr>
        <w:t>在接到通知后1小时内应答，6小时内派出代表到达现场进行处理。在得到</w:t>
      </w:r>
      <w:r>
        <w:rPr>
          <w:rFonts w:hint="eastAsia" w:ascii="宋体" w:hAnsi="宋体"/>
          <w:szCs w:val="21"/>
        </w:rPr>
        <w:t>乙方</w:t>
      </w:r>
      <w:r>
        <w:rPr>
          <w:rFonts w:ascii="宋体" w:hAnsi="宋体"/>
          <w:szCs w:val="21"/>
        </w:rPr>
        <w:t>同意后，或在规定期限内，</w:t>
      </w:r>
      <w:r>
        <w:rPr>
          <w:rFonts w:hint="eastAsia" w:ascii="宋体" w:hAnsi="宋体"/>
          <w:szCs w:val="21"/>
        </w:rPr>
        <w:t>乙方</w:t>
      </w:r>
      <w:r>
        <w:rPr>
          <w:rFonts w:ascii="宋体" w:hAnsi="宋体"/>
          <w:szCs w:val="21"/>
        </w:rPr>
        <w:t>代表仍未到达现场，</w:t>
      </w:r>
      <w:r>
        <w:rPr>
          <w:rFonts w:hint="eastAsia" w:ascii="宋体" w:hAnsi="宋体"/>
          <w:szCs w:val="21"/>
        </w:rPr>
        <w:t>甲方</w:t>
      </w:r>
      <w:r>
        <w:rPr>
          <w:rFonts w:ascii="宋体" w:hAnsi="宋体"/>
          <w:szCs w:val="21"/>
        </w:rPr>
        <w:t>可以自己进行故障处理，并要求</w:t>
      </w:r>
      <w:r>
        <w:rPr>
          <w:rFonts w:hint="eastAsia" w:ascii="宋体" w:hAnsi="宋体"/>
          <w:szCs w:val="21"/>
        </w:rPr>
        <w:t>乙方</w:t>
      </w:r>
      <w:r>
        <w:rPr>
          <w:rFonts w:ascii="宋体" w:hAnsi="宋体"/>
          <w:szCs w:val="21"/>
        </w:rPr>
        <w:t>承担相应费用。重大技术故障</w:t>
      </w:r>
      <w:r>
        <w:rPr>
          <w:rFonts w:hint="eastAsia" w:ascii="宋体" w:hAnsi="宋体"/>
          <w:szCs w:val="21"/>
        </w:rPr>
        <w:t>乙方</w:t>
      </w:r>
      <w:r>
        <w:rPr>
          <w:rFonts w:ascii="宋体" w:hAnsi="宋体"/>
          <w:szCs w:val="21"/>
        </w:rPr>
        <w:t>需要明确处理的时间。</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w:t>
      </w:r>
      <w:r>
        <w:rPr>
          <w:rFonts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，自初验通过之日起计算。免费包修期</w:t>
      </w:r>
      <w:r>
        <w:rPr>
          <w:rFonts w:ascii="宋体" w:hAnsi="宋体"/>
          <w:szCs w:val="21"/>
        </w:rPr>
        <w:t>，故障设备</w:t>
      </w:r>
      <w:r>
        <w:rPr>
          <w:rFonts w:hint="eastAsia" w:ascii="宋体" w:hAnsi="宋体"/>
          <w:szCs w:val="21"/>
        </w:rPr>
        <w:t>乙方</w:t>
      </w:r>
      <w:r>
        <w:rPr>
          <w:rFonts w:ascii="宋体" w:hAnsi="宋体"/>
          <w:szCs w:val="21"/>
        </w:rPr>
        <w:t>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超过免费质保期后，乙方对其提供的产品在设备寿命期内提供有偿保修服务。每年</w:t>
      </w:r>
      <w:r>
        <w:rPr>
          <w:rFonts w:hint="eastAsia"/>
          <w:color w:val="000000"/>
          <w:szCs w:val="21"/>
        </w:rPr>
        <w:t>价格不得高于需要保修设备成交价的</w:t>
      </w:r>
      <w:r>
        <w:rPr>
          <w:color w:val="000000"/>
          <w:szCs w:val="21"/>
          <w:u w:val="single"/>
        </w:rPr>
        <w:t xml:space="preserve">   </w:t>
      </w:r>
      <w:r>
        <w:rPr>
          <w:rFonts w:hint="eastAsia"/>
          <w:color w:val="000000"/>
          <w:szCs w:val="21"/>
        </w:rPr>
        <w:t>%（不高于5%）。</w:t>
      </w:r>
    </w:p>
    <w:p>
      <w:pPr>
        <w:pStyle w:val="370"/>
        <w:numPr>
          <w:ilvl w:val="0"/>
          <w:numId w:val="10"/>
        </w:numPr>
        <w:tabs>
          <w:tab w:val="clear" w:pos="360"/>
        </w:tabs>
        <w:ind w:left="0" w:firstLine="0"/>
        <w:rPr>
          <w:rFonts w:ascii="宋体" w:hAnsi="宋体"/>
          <w:szCs w:val="21"/>
        </w:rPr>
      </w:pPr>
      <w:r>
        <w:rPr>
          <w:rFonts w:hint="eastAsia" w:ascii="宋体" w:hAnsi="宋体"/>
          <w:szCs w:val="21"/>
        </w:rPr>
        <w:t>培训：</w:t>
      </w:r>
      <w:r>
        <w:rPr>
          <w:rFonts w:hint="eastAsia" w:ascii="宋体" w:hAnsi="宋体"/>
          <w:sz w:val="21"/>
          <w:szCs w:val="21"/>
        </w:rPr>
        <w:t>包括响应文件和磋商时做出的书面承诺的培训。乙方另行提供的其它培训，往返路程费用、住宿及餐饮等费用由乙方承担。</w:t>
      </w:r>
    </w:p>
    <w:p>
      <w:pPr>
        <w:pStyle w:val="370"/>
        <w:numPr>
          <w:ilvl w:val="0"/>
          <w:numId w:val="10"/>
        </w:numPr>
        <w:tabs>
          <w:tab w:val="clear" w:pos="360"/>
        </w:tabs>
        <w:ind w:left="0" w:firstLine="0"/>
        <w:rPr>
          <w:rFonts w:ascii="宋体" w:hAnsi="宋体"/>
          <w:szCs w:val="21"/>
        </w:rPr>
      </w:pPr>
      <w:r>
        <w:rPr>
          <w:rFonts w:hint="eastAsia" w:ascii="宋体" w:hAnsi="宋体"/>
          <w:szCs w:val="21"/>
        </w:rPr>
        <w:t>原厂服务：</w:t>
      </w:r>
      <w:r>
        <w:rPr>
          <w:rFonts w:hint="eastAsia" w:ascii="宋体" w:hAnsi="宋体"/>
          <w:sz w:val="21"/>
          <w:szCs w:val="21"/>
        </w:rPr>
        <w:t>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如果在系统发生故障后，乙方未能按照要求时间排除系统故障，甲方有权请第三方解决问题，由此产生的费用由乙方承担。造成甲方业务损失的，由乙方承担相应责任。</w:t>
      </w:r>
    </w:p>
    <w:p>
      <w:pPr>
        <w:numPr>
          <w:ilvl w:val="0"/>
          <w:numId w:val="10"/>
        </w:numPr>
        <w:adjustRightInd w:val="0"/>
        <w:snapToGrid w:val="0"/>
        <w:spacing w:line="360" w:lineRule="auto"/>
        <w:ind w:left="360" w:hanging="360"/>
        <w:rPr>
          <w:rFonts w:ascii="宋体" w:hAnsi="宋体"/>
          <w:szCs w:val="21"/>
        </w:rPr>
      </w:pPr>
      <w:r>
        <w:rPr>
          <w:rFonts w:hint="eastAsia" w:ascii="宋体" w:hAnsi="宋体"/>
          <w:szCs w:val="21"/>
        </w:rPr>
        <w:t>乙方保证立即响应并至少通过电话做远程诊断，尝试排除故障或进行紧急处理。</w:t>
      </w:r>
    </w:p>
    <w:p>
      <w:pPr>
        <w:numPr>
          <w:ilvl w:val="0"/>
          <w:numId w:val="10"/>
        </w:numPr>
        <w:tabs>
          <w:tab w:val="left" w:pos="210"/>
        </w:tabs>
        <w:adjustRightInd w:val="0"/>
        <w:snapToGrid w:val="0"/>
        <w:spacing w:line="360" w:lineRule="auto"/>
        <w:ind w:left="0" w:firstLine="0"/>
        <w:rPr>
          <w:rFonts w:ascii="宋体" w:hAnsi="宋体"/>
          <w:szCs w:val="21"/>
        </w:rPr>
      </w:pPr>
      <w:r>
        <w:rPr>
          <w:rFonts w:hint="eastAsia" w:ascii="宋体" w:hAnsi="宋体"/>
          <w:szCs w:val="21"/>
        </w:rPr>
        <w:t>乙方保证提供完善的备件支持服务，用以保障甲方应急替换。若某部件发生故障，乙方承诺在6小时内为甲方替换部件。</w:t>
      </w:r>
    </w:p>
    <w:p>
      <w:pPr>
        <w:numPr>
          <w:ilvl w:val="0"/>
          <w:numId w:val="10"/>
        </w:numPr>
        <w:adjustRightInd w:val="0"/>
        <w:snapToGrid w:val="0"/>
        <w:spacing w:line="360" w:lineRule="auto"/>
        <w:ind w:left="360" w:hanging="360"/>
        <w:rPr>
          <w:rFonts w:ascii="宋体" w:hAnsi="宋体"/>
          <w:szCs w:val="21"/>
        </w:rPr>
      </w:pPr>
      <w:r>
        <w:rPr>
          <w:rFonts w:hint="eastAsia" w:ascii="宋体" w:hAnsi="宋体"/>
          <w:szCs w:val="21"/>
        </w:rPr>
        <w:t>乙方在招标人工地安装、调试期间，一切费用由乙方自理。</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乙方所供货物要求实行终身维保；乙方应提供货物最低使用年限，在此期间内，不应发生非人为操作原因的重大故障，否则甲方有权追溯乙方的责任。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6" w:name="_Toc72326303"/>
      <w:r>
        <w:rPr>
          <w:rFonts w:hint="eastAsia" w:ascii="宋体" w:hAnsi="宋体" w:eastAsia="宋体"/>
          <w:b/>
          <w:kern w:val="2"/>
          <w:sz w:val="21"/>
          <w:szCs w:val="21"/>
        </w:rPr>
        <w:t>十一、技术升级和优惠条件</w:t>
      </w:r>
      <w:bookmarkEnd w:id="26"/>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乙方对所开发软件在包修期内提供免费的不增加新功能的软件升级服务，并在该等升级后为甲方提供免费的培训。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rPr>
        <w:t>“</w:t>
      </w:r>
      <w:r>
        <w:rPr>
          <w:rFonts w:ascii="宋体" w:hAnsi="宋体"/>
          <w:szCs w:val="21"/>
          <w:u w:val="single"/>
        </w:rPr>
        <w:t xml:space="preserve">      </w:t>
      </w:r>
      <w:r>
        <w:rPr>
          <w:rFonts w:hint="eastAsia" w:ascii="宋体" w:hAnsi="宋体"/>
          <w:szCs w:val="21"/>
        </w:rPr>
        <w:t>”</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11"/>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提供的同类设备、配件、软件及相关服务等报价应不高于本项目的中标价格、折扣，且不高于当时市场价格。</w:t>
      </w:r>
    </w:p>
    <w:p>
      <w:pPr>
        <w:numPr>
          <w:ilvl w:val="255"/>
          <w:numId w:val="0"/>
        </w:numPr>
        <w:adjustRightInd w:val="0"/>
        <w:snapToGrid w:val="0"/>
        <w:spacing w:line="360" w:lineRule="auto"/>
        <w:rPr>
          <w:rFonts w:ascii="宋体" w:hAnsi="宋体"/>
          <w:b/>
          <w:szCs w:val="21"/>
        </w:rPr>
      </w:pPr>
      <w:bookmarkStart w:id="27" w:name="_Toc72326304"/>
      <w:r>
        <w:rPr>
          <w:rFonts w:hint="eastAsia" w:ascii="宋体" w:hAnsi="宋体"/>
          <w:b/>
          <w:bCs/>
          <w:szCs w:val="21"/>
        </w:rPr>
        <w:t>十二</w:t>
      </w:r>
      <w:r>
        <w:rPr>
          <w:rFonts w:hint="eastAsia" w:ascii="宋体" w:hAnsi="宋体"/>
          <w:szCs w:val="21"/>
        </w:rPr>
        <w:t>、</w:t>
      </w:r>
      <w:bookmarkEnd w:id="27"/>
      <w:bookmarkStart w:id="28" w:name="_Toc72326305"/>
      <w:r>
        <w:rPr>
          <w:rFonts w:hint="eastAsia" w:ascii="宋体" w:hAnsi="宋体"/>
          <w:b/>
          <w:bCs/>
          <w:szCs w:val="21"/>
        </w:rPr>
        <w:t>双方责任</w:t>
      </w:r>
      <w:bookmarkEnd w:id="28"/>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2"/>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12"/>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2"/>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乙方承诺：除响应文件及后续书面承诺标明的偏离外，乙方提供的产品和服务均满足竞争性磋商文件要求。</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乙方应按照竞争性磋商文件、响应文件、乙方后续书面承诺的技术要求以及甲乙双方协定补充文件，提供合格的产品，并保证通过甲方的验收。</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在系统安装、调试、开发过程中，乙方须保证不影响甲方现有系统的正常运行和现有业务的正常发展。</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乙方保证在系统安装、调试、开发过程中不非法使用第三方软件，否则由此产生的纠纷由乙方自行负责。</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3"/>
        </w:numPr>
        <w:adjustRightInd w:val="0"/>
        <w:snapToGrid w:val="0"/>
        <w:spacing w:line="360" w:lineRule="auto"/>
        <w:rPr>
          <w:rFonts w:ascii="宋体"/>
          <w:szCs w:val="21"/>
        </w:rPr>
      </w:pPr>
      <w:r>
        <w:rPr>
          <w:rFonts w:hint="eastAsia" w:ascii="宋体" w:hAnsi="宋体"/>
          <w:szCs w:val="21"/>
        </w:rPr>
        <w:t>乙方按照要求提供产品合格证书、产品检测记录、调试记录等技术资料。</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乙方负责与硬件设备相配套的软件厂家、其它设备的制造商、第三方软件厂家和售后服务部门等联系沟通，完成安装、调试，配置相关的产品。</w:t>
      </w:r>
    </w:p>
    <w:p>
      <w:pPr>
        <w:numPr>
          <w:ilvl w:val="0"/>
          <w:numId w:val="13"/>
        </w:numPr>
        <w:adjustRightInd w:val="0"/>
        <w:snapToGrid w:val="0"/>
        <w:spacing w:line="360" w:lineRule="auto"/>
        <w:rPr>
          <w:rFonts w:ascii="宋体"/>
          <w:szCs w:val="21"/>
        </w:rPr>
      </w:pPr>
      <w:r>
        <w:rPr>
          <w:rFonts w:hint="eastAsia" w:ascii="宋体" w:hAnsi="宋体"/>
          <w:szCs w:val="21"/>
        </w:rPr>
        <w:t>乙方负责配合相关厂家，定期检查产品、及时排查硬件故障。</w:t>
      </w:r>
    </w:p>
    <w:p>
      <w:pPr>
        <w:numPr>
          <w:ilvl w:val="0"/>
          <w:numId w:val="13"/>
        </w:numPr>
        <w:adjustRightInd w:val="0"/>
        <w:snapToGrid w:val="0"/>
        <w:spacing w:line="360" w:lineRule="auto"/>
        <w:rPr>
          <w:rFonts w:ascii="宋体"/>
          <w:szCs w:val="21"/>
        </w:rPr>
      </w:pPr>
      <w:r>
        <w:rPr>
          <w:rFonts w:hint="eastAsia" w:ascii="宋体" w:hAnsi="宋体"/>
          <w:szCs w:val="21"/>
        </w:rPr>
        <w:t>乙方未按合同规定的质量要求交货产品，甲方拒收时，乙方应承担合同的违约责任。</w:t>
      </w:r>
    </w:p>
    <w:p>
      <w:pPr>
        <w:numPr>
          <w:ilvl w:val="0"/>
          <w:numId w:val="13"/>
        </w:numPr>
        <w:adjustRightInd w:val="0"/>
        <w:snapToGrid w:val="0"/>
        <w:spacing w:line="360" w:lineRule="auto"/>
        <w:rPr>
          <w:rFonts w:ascii="宋体"/>
          <w:szCs w:val="21"/>
        </w:rPr>
      </w:pPr>
      <w:r>
        <w:rPr>
          <w:rFonts w:hint="eastAsia" w:ascii="宋体" w:hAnsi="宋体"/>
          <w:szCs w:val="21"/>
        </w:rPr>
        <w:t>迟延履行，甲方书面确定一个合理的期限，如乙方仍不能履行，按乙方不履行合同处理。</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本合同所有产品的制造，都必须由响应文件和磋商时做出的书面承诺中明确的制造商承担，否则将按乙方不履行合同处理。</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乙方保证不在软件中对功能、性能、容量进行人为限制，不得含有陷阱、逻辑炸弹、后门等非法程序代码。</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rPr>
        <w:t>/</w:t>
      </w:r>
      <w:r>
        <w:rPr>
          <w:rFonts w:hint="eastAsia" w:ascii="宋体" w:hAnsi="宋体"/>
          <w:szCs w:val="21"/>
        </w:rPr>
        <w:t>或服务而提起的侵权指控，乙方须依法承担全部责任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9" w:name="_Toc72326306"/>
      <w:r>
        <w:rPr>
          <w:rFonts w:hint="eastAsia" w:ascii="宋体" w:hAnsi="宋体" w:eastAsia="宋体"/>
          <w:b/>
          <w:kern w:val="2"/>
          <w:sz w:val="21"/>
          <w:szCs w:val="21"/>
        </w:rPr>
        <w:t>十三、违约责任</w:t>
      </w:r>
      <w:bookmarkEnd w:id="29"/>
    </w:p>
    <w:p>
      <w:pPr>
        <w:numPr>
          <w:ilvl w:val="0"/>
          <w:numId w:val="14"/>
        </w:numPr>
        <w:adjustRightInd w:val="0"/>
        <w:snapToGrid w:val="0"/>
        <w:spacing w:line="360" w:lineRule="auto"/>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0" w:name="_Toc72326307"/>
      <w:r>
        <w:rPr>
          <w:rFonts w:hint="eastAsia" w:ascii="宋体" w:hAnsi="宋体" w:eastAsia="宋体"/>
          <w:b/>
          <w:kern w:val="2"/>
          <w:sz w:val="21"/>
          <w:szCs w:val="21"/>
        </w:rPr>
        <w:t>十四、廉洁条款</w:t>
      </w:r>
      <w:bookmarkEnd w:id="30"/>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1" w:name="_Toc72326308"/>
      <w:r>
        <w:rPr>
          <w:rFonts w:hint="eastAsia" w:ascii="宋体" w:hAnsi="宋体" w:eastAsia="宋体"/>
          <w:b/>
          <w:kern w:val="2"/>
          <w:sz w:val="21"/>
          <w:szCs w:val="21"/>
        </w:rPr>
        <w:t>十五、不可抗力</w:t>
      </w:r>
      <w:bookmarkEnd w:id="31"/>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当不可抗力事故终止后，受影响一方应以书面的形式通知对方，双方商定合同是否继续履行。</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2" w:name="_Toc72326309"/>
      <w:r>
        <w:rPr>
          <w:rFonts w:hint="eastAsia" w:ascii="宋体" w:hAnsi="宋体" w:eastAsia="宋体"/>
          <w:b/>
          <w:kern w:val="2"/>
          <w:sz w:val="21"/>
          <w:szCs w:val="21"/>
        </w:rPr>
        <w:t>十六、解决纠纷的方式</w:t>
      </w:r>
      <w:bookmarkEnd w:id="32"/>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7"/>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7"/>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3" w:name="_Toc72326310"/>
      <w:r>
        <w:rPr>
          <w:rFonts w:hint="eastAsia" w:ascii="宋体" w:hAnsi="宋体" w:eastAsia="宋体"/>
          <w:b/>
          <w:kern w:val="2"/>
          <w:sz w:val="21"/>
          <w:szCs w:val="21"/>
        </w:rPr>
        <w:t>十七、合同生效及其他</w:t>
      </w:r>
      <w:bookmarkEnd w:id="33"/>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合同的生效期：本合同一式四份（甲乙双方各二份），每份均具有同等法律效力，自甲乙双方盖章时生效。</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18"/>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34" w:name="_Toc72326311"/>
      <w:r>
        <w:rPr>
          <w:rFonts w:hint="eastAsia" w:ascii="宋体" w:hAnsi="宋体" w:eastAsia="宋体"/>
          <w:b/>
          <w:kern w:val="2"/>
          <w:sz w:val="21"/>
          <w:szCs w:val="21"/>
        </w:rPr>
        <w:t>十九、附件列表</w:t>
      </w:r>
      <w:bookmarkEnd w:id="34"/>
    </w:p>
    <w:p>
      <w:pPr>
        <w:adjustRightInd w:val="0"/>
        <w:snapToGrid w:val="0"/>
        <w:spacing w:line="360" w:lineRule="auto"/>
        <w:rPr>
          <w:rFonts w:ascii="宋体" w:hAnsi="宋体"/>
          <w:szCs w:val="21"/>
        </w:rPr>
      </w:pPr>
      <w:r>
        <w:rPr>
          <w:rFonts w:hint="eastAsia" w:ascii="宋体" w:hAnsi="宋体"/>
          <w:szCs w:val="21"/>
        </w:rPr>
        <w:t>相关文件的优先支配地位的次序如下：</w:t>
      </w:r>
    </w:p>
    <w:p>
      <w:pPr>
        <w:adjustRightInd w:val="0"/>
        <w:snapToGrid w:val="0"/>
        <w:spacing w:line="360" w:lineRule="auto"/>
        <w:rPr>
          <w:rFonts w:ascii="宋体"/>
          <w:szCs w:val="21"/>
        </w:rPr>
      </w:pPr>
      <w:r>
        <w:rPr>
          <w:rFonts w:hint="eastAsia" w:ascii="宋体" w:hAnsi="宋体"/>
          <w:szCs w:val="21"/>
        </w:rPr>
        <w:t>附件一供货清单（包含产品名称、规格型号和配置、数量和总价）</w:t>
      </w:r>
    </w:p>
    <w:p>
      <w:pPr>
        <w:adjustRightInd w:val="0"/>
        <w:snapToGrid w:val="0"/>
        <w:spacing w:line="360" w:lineRule="auto"/>
        <w:rPr>
          <w:rFonts w:ascii="宋体"/>
          <w:szCs w:val="21"/>
        </w:rPr>
      </w:pPr>
      <w:r>
        <w:rPr>
          <w:rFonts w:hint="eastAsia" w:ascii="宋体" w:hAnsi="宋体"/>
          <w:szCs w:val="21"/>
        </w:rPr>
        <w:t>附件二中标通知书</w:t>
      </w:r>
    </w:p>
    <w:p>
      <w:pPr>
        <w:adjustRightInd w:val="0"/>
        <w:snapToGrid w:val="0"/>
        <w:spacing w:line="360" w:lineRule="auto"/>
        <w:rPr>
          <w:rFonts w:ascii="宋体"/>
          <w:szCs w:val="21"/>
        </w:rPr>
      </w:pPr>
      <w:r>
        <w:rPr>
          <w:rFonts w:hint="eastAsia" w:ascii="宋体" w:hAnsi="宋体"/>
          <w:szCs w:val="21"/>
        </w:rPr>
        <w:t>附件三响应文件</w:t>
      </w:r>
      <w:r>
        <w:rPr>
          <w:rFonts w:ascii="宋体" w:hAnsi="宋体"/>
          <w:szCs w:val="21"/>
        </w:rPr>
        <w:t>(</w:t>
      </w:r>
      <w:r>
        <w:rPr>
          <w:rFonts w:hint="eastAsia" w:ascii="宋体" w:hAnsi="宋体"/>
          <w:szCs w:val="21"/>
        </w:rPr>
        <w:t>包括澄清文件</w:t>
      </w:r>
      <w:r>
        <w:rPr>
          <w:rFonts w:ascii="宋体" w:hAnsi="宋体"/>
          <w:szCs w:val="21"/>
        </w:rPr>
        <w:t>)</w:t>
      </w:r>
    </w:p>
    <w:p>
      <w:pPr>
        <w:adjustRightInd w:val="0"/>
        <w:snapToGrid w:val="0"/>
        <w:spacing w:line="360" w:lineRule="auto"/>
        <w:rPr>
          <w:rFonts w:ascii="宋体"/>
          <w:szCs w:val="21"/>
        </w:rPr>
      </w:pPr>
      <w:r>
        <w:rPr>
          <w:rFonts w:hint="eastAsia" w:ascii="宋体" w:hAnsi="宋体"/>
          <w:szCs w:val="21"/>
        </w:rPr>
        <w:t>附件四竞争性磋商文件</w:t>
      </w:r>
      <w:r>
        <w:rPr>
          <w:rFonts w:ascii="宋体" w:hAnsi="宋体"/>
          <w:szCs w:val="21"/>
        </w:rPr>
        <w:t>(</w:t>
      </w:r>
      <w:r>
        <w:rPr>
          <w:rFonts w:hint="eastAsia" w:ascii="宋体" w:hAnsi="宋体"/>
          <w:szCs w:val="21"/>
        </w:rPr>
        <w:t>含竞争性磋商文件补充通知</w:t>
      </w:r>
      <w:r>
        <w:rPr>
          <w:rFonts w:ascii="宋体" w:hAnsi="宋体"/>
          <w:szCs w:val="21"/>
        </w:rPr>
        <w:t>)</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spacing w:line="300" w:lineRule="auto"/>
        <w:ind w:firstLine="5040" w:firstLineChars="2400"/>
        <w:rPr>
          <w:rFonts w:ascii="宋体" w:hAnsi="宋体" w:cs="宋体"/>
          <w:color w:val="000000"/>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4"/>
      <w:r>
        <w:rPr>
          <w:rFonts w:ascii="宋体" w:hAnsi="宋体" w:cs="宋体"/>
          <w:color w:val="000000"/>
        </w:rPr>
        <w:br w:type="page"/>
      </w:r>
    </w:p>
    <w:p>
      <w:pPr>
        <w:pStyle w:val="3"/>
        <w:numPr>
          <w:ilvl w:val="0"/>
          <w:numId w:val="0"/>
        </w:numPr>
        <w:spacing w:before="0" w:after="0" w:line="360" w:lineRule="auto"/>
        <w:rPr>
          <w:b/>
          <w:color w:val="000000"/>
          <w:sz w:val="36"/>
          <w:szCs w:val="36"/>
        </w:rPr>
      </w:pPr>
      <w:bookmarkStart w:id="35" w:name="_Toc69378637"/>
      <w:r>
        <w:rPr>
          <w:rFonts w:hint="eastAsia"/>
          <w:b/>
          <w:sz w:val="36"/>
          <w:szCs w:val="36"/>
        </w:rPr>
        <w:t>第五章技术需求书</w:t>
      </w:r>
      <w:bookmarkEnd w:id="35"/>
    </w:p>
    <w:p>
      <w:pPr>
        <w:pStyle w:val="89"/>
        <w:numPr>
          <w:ilvl w:val="0"/>
          <w:numId w:val="19"/>
        </w:numPr>
        <w:spacing w:line="300" w:lineRule="auto"/>
        <w:ind w:left="0" w:firstLine="426" w:firstLineChars="0"/>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19"/>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竞争性磋商文件技术要求中所</w:t>
      </w:r>
      <w:r>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19"/>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ascii="宋体" w:hAnsi="宋体"/>
          <w:color w:val="000000"/>
          <w:sz w:val="21"/>
          <w:szCs w:val="21"/>
        </w:rPr>
        <w:t>带“</w:t>
      </w:r>
      <w:r>
        <w:rPr>
          <w:rFonts w:ascii="宋体" w:hAnsi="宋体" w:cs="宋体"/>
          <w:color w:val="000000" w:themeColor="text1"/>
          <w:szCs w:val="21"/>
          <w14:textFill>
            <w14:solidFill>
              <w14:schemeClr w14:val="tx1"/>
            </w14:solidFill>
          </w14:textFill>
        </w:rPr>
        <w:t>★</w:t>
      </w:r>
      <w:r>
        <w:rPr>
          <w:rFonts w:hint="eastAsia" w:ascii="宋体" w:hAnsi="宋体"/>
          <w:color w:val="000000"/>
          <w:sz w:val="21"/>
          <w:szCs w:val="21"/>
        </w:rPr>
        <w:t>”</w:t>
      </w:r>
      <w:r>
        <w:rPr>
          <w:rFonts w:ascii="宋体" w:hAnsi="宋体"/>
          <w:color w:val="000000"/>
          <w:sz w:val="21"/>
          <w:szCs w:val="21"/>
        </w:rPr>
        <w:t>部分为必须保证满足要求的条款。</w:t>
      </w:r>
    </w:p>
    <w:p>
      <w:pPr>
        <w:pStyle w:val="89"/>
        <w:numPr>
          <w:ilvl w:val="0"/>
          <w:numId w:val="19"/>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36" w:name="_Toc30212"/>
      <w:bookmarkStart w:id="37" w:name="_Toc31826"/>
      <w:bookmarkStart w:id="38" w:name="_Toc76856250"/>
      <w:bookmarkStart w:id="39" w:name="_Toc76996580"/>
      <w:bookmarkStart w:id="40" w:name="_Toc51053569"/>
    </w:p>
    <w:bookmarkEnd w:id="36"/>
    <w:bookmarkEnd w:id="37"/>
    <w:bookmarkEnd w:id="38"/>
    <w:bookmarkEnd w:id="39"/>
    <w:bookmarkEnd w:id="40"/>
    <w:p>
      <w:pPr>
        <w:pStyle w:val="89"/>
        <w:numPr>
          <w:ilvl w:val="0"/>
          <w:numId w:val="20"/>
        </w:numPr>
        <w:spacing w:line="360" w:lineRule="auto"/>
        <w:ind w:firstLineChars="0"/>
        <w:outlineLvl w:val="1"/>
        <w:rPr>
          <w:rFonts w:ascii="宋体" w:hAnsi="宋体"/>
          <w:b/>
        </w:rPr>
      </w:pPr>
      <w:bookmarkStart w:id="41" w:name="_Toc76856251"/>
      <w:bookmarkStart w:id="42" w:name="_Toc76996581"/>
      <w:bookmarkStart w:id="43" w:name="_Toc19779"/>
      <w:bookmarkStart w:id="44" w:name="_Toc51053570"/>
      <w:r>
        <w:rPr>
          <w:rStyle w:val="365"/>
          <w:rFonts w:hint="eastAsia" w:ascii="宋体" w:hAnsi="宋体"/>
        </w:rPr>
        <w:t>项目总体设计简要介绍</w:t>
      </w:r>
      <w:bookmarkEnd w:id="41"/>
      <w:bookmarkEnd w:id="42"/>
      <w:bookmarkEnd w:id="43"/>
      <w:bookmarkEnd w:id="44"/>
    </w:p>
    <w:p>
      <w:pPr>
        <w:spacing w:line="360" w:lineRule="auto"/>
        <w:ind w:firstLine="420" w:firstLineChars="200"/>
        <w:rPr>
          <w:rFonts w:ascii="宋体" w:hAnsi="宋体"/>
        </w:rPr>
      </w:pPr>
      <w:r>
        <w:rPr>
          <w:rFonts w:hint="eastAsia" w:ascii="宋体" w:hAnsi="宋体"/>
        </w:rPr>
        <w:t>投标人必须认真阅读本部分内容，以加深对本项目技术要求的理解。</w:t>
      </w:r>
    </w:p>
    <w:p>
      <w:pPr>
        <w:pStyle w:val="367"/>
        <w:ind w:firstLine="36"/>
        <w:rPr>
          <w:rFonts w:ascii="宋体" w:hAnsi="宋体"/>
        </w:rPr>
      </w:pPr>
      <w:bookmarkStart w:id="45" w:name="_Toc51053571"/>
      <w:bookmarkStart w:id="46" w:name="_Toc472"/>
      <w:bookmarkStart w:id="47" w:name="_Toc76996582"/>
      <w:bookmarkStart w:id="48" w:name="_Toc76856252"/>
      <w:r>
        <w:rPr>
          <w:rFonts w:hint="eastAsia" w:ascii="宋体" w:hAnsi="宋体"/>
        </w:rPr>
        <w:t>建设目标与总体方案</w:t>
      </w:r>
      <w:bookmarkEnd w:id="45"/>
      <w:bookmarkEnd w:id="46"/>
      <w:bookmarkEnd w:id="47"/>
      <w:bookmarkEnd w:id="48"/>
    </w:p>
    <w:p>
      <w:pPr>
        <w:widowControl/>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新的1550光传输系统原理图如下图所示。本次项目采购3台EDFA，EDFA光放大器输出光信号至南京大网。</w:t>
      </w:r>
    </w:p>
    <w:p>
      <w:pPr>
        <w:pStyle w:val="2"/>
      </w:pPr>
      <w:r>
        <w:object>
          <v:shape id="_x0000_i1025" o:spt="75" type="#_x0000_t75" style="height:433.5pt;width:414.75pt;" o:ole="t" filled="f" o:preferrelative="t" stroked="f" coordsize="21600,21600">
            <v:path/>
            <v:fill on="f" focussize="0,0"/>
            <v:stroke on="f" joinstyle="miter"/>
            <v:imagedata r:id="rId15" o:title=""/>
            <o:lock v:ext="edit" aspectratio="t"/>
            <w10:wrap type="none"/>
            <w10:anchorlock/>
          </v:shape>
          <o:OLEObject Type="Embed" ProgID="Visio.Drawing.15" ShapeID="_x0000_i1025" DrawAspect="Content" ObjectID="_1468075725" r:id="rId14">
            <o:LockedField>false</o:LockedField>
          </o:OLEObject>
        </w:object>
      </w:r>
    </w:p>
    <w:p/>
    <w:p>
      <w:pPr>
        <w:pStyle w:val="2"/>
      </w:pPr>
    </w:p>
    <w:p>
      <w:pPr>
        <w:pStyle w:val="367"/>
        <w:ind w:left="0" w:firstLine="420" w:firstLineChars="200"/>
        <w:rPr>
          <w:rFonts w:ascii="宋体" w:hAnsi="宋体"/>
        </w:rPr>
      </w:pPr>
      <w:bookmarkStart w:id="49" w:name="_Toc76856253"/>
      <w:bookmarkStart w:id="50" w:name="_Toc51053572"/>
      <w:bookmarkStart w:id="51" w:name="_Toc4881"/>
      <w:bookmarkStart w:id="52" w:name="_Toc76996583"/>
      <w:r>
        <w:rPr>
          <w:rFonts w:hint="eastAsia" w:ascii="宋体" w:hAnsi="宋体"/>
        </w:rPr>
        <w:t>建设原则</w:t>
      </w:r>
      <w:bookmarkEnd w:id="49"/>
      <w:bookmarkEnd w:id="50"/>
      <w:bookmarkEnd w:id="51"/>
      <w:bookmarkEnd w:id="52"/>
    </w:p>
    <w:p>
      <w:pPr>
        <w:spacing w:line="360" w:lineRule="auto"/>
        <w:ind w:firstLine="420" w:firstLineChars="200"/>
        <w:rPr>
          <w:rFonts w:ascii="宋体" w:hAnsi="宋体"/>
          <w:color w:val="FF0000"/>
        </w:rPr>
      </w:pPr>
      <w:r>
        <w:rPr>
          <w:rFonts w:hint="eastAsia" w:ascii="宋体" w:hAnsi="宋体"/>
        </w:rPr>
        <w:t>1.2.1可用性原则</w:t>
      </w:r>
    </w:p>
    <w:p>
      <w:pPr>
        <w:spacing w:line="360" w:lineRule="auto"/>
        <w:ind w:firstLine="420" w:firstLineChars="200"/>
        <w:rPr>
          <w:rFonts w:ascii="宋体" w:hAnsi="宋体"/>
        </w:rPr>
      </w:pPr>
      <w:r>
        <w:rPr>
          <w:rFonts w:hint="eastAsia"/>
        </w:rPr>
        <w:t>项目需采用经过市场认可的，成熟的设备及系统架构。</w:t>
      </w:r>
    </w:p>
    <w:p>
      <w:pPr>
        <w:spacing w:line="360" w:lineRule="auto"/>
        <w:ind w:firstLine="420" w:firstLineChars="200"/>
        <w:rPr>
          <w:rFonts w:ascii="宋体" w:hAnsi="宋体"/>
        </w:rPr>
      </w:pPr>
      <w:r>
        <w:rPr>
          <w:rFonts w:hint="eastAsia" w:ascii="宋体" w:hAnsi="宋体"/>
        </w:rPr>
        <w:t>1.2.2安全性原则</w:t>
      </w:r>
    </w:p>
    <w:p>
      <w:pPr>
        <w:spacing w:line="360" w:lineRule="auto"/>
        <w:ind w:firstLine="420" w:firstLineChars="200"/>
        <w:rPr>
          <w:rFonts w:ascii="宋体" w:hAnsi="宋体"/>
        </w:rPr>
      </w:pPr>
      <w:r>
        <w:rPr>
          <w:rFonts w:hint="eastAsia" w:ascii="宋体" w:hAnsi="宋体"/>
        </w:rPr>
        <w:t>系统所用技术成熟稳定，能满足安全播出之需求，保证</w:t>
      </w:r>
      <w:r>
        <w:rPr>
          <w:rFonts w:hint="eastAsia"/>
        </w:rPr>
        <w:t>项目实施的安全防护能力．确保各类业务系统的使用安全。</w:t>
      </w:r>
    </w:p>
    <w:p>
      <w:pPr>
        <w:spacing w:line="360" w:lineRule="auto"/>
        <w:ind w:firstLine="420" w:firstLineChars="200"/>
        <w:rPr>
          <w:rFonts w:ascii="宋体" w:hAnsi="宋体"/>
        </w:rPr>
      </w:pPr>
      <w:r>
        <w:rPr>
          <w:rFonts w:hint="eastAsia" w:ascii="宋体" w:hAnsi="宋体"/>
        </w:rPr>
        <w:t>1.2.</w:t>
      </w:r>
      <w:r>
        <w:rPr>
          <w:rFonts w:ascii="宋体" w:hAnsi="宋体"/>
        </w:rPr>
        <w:t>3</w:t>
      </w:r>
      <w:r>
        <w:rPr>
          <w:rFonts w:hint="eastAsia" w:ascii="宋体" w:hAnsi="宋体"/>
        </w:rPr>
        <w:t>易维护原则</w:t>
      </w:r>
    </w:p>
    <w:p>
      <w:pPr>
        <w:spacing w:line="360" w:lineRule="auto"/>
        <w:ind w:firstLine="420" w:firstLineChars="200"/>
        <w:rPr>
          <w:rFonts w:ascii="宋体" w:hAnsi="宋体"/>
        </w:rPr>
      </w:pPr>
      <w:r>
        <w:rPr>
          <w:rFonts w:hint="eastAsia" w:ascii="宋体" w:hAnsi="宋体"/>
        </w:rPr>
        <w:t>日常维护及后期维保成本合理可控，保证设备的长期适用性，充分考虑运维管理流程的需要。</w:t>
      </w:r>
    </w:p>
    <w:p>
      <w:pPr>
        <w:pStyle w:val="89"/>
        <w:numPr>
          <w:ilvl w:val="0"/>
          <w:numId w:val="20"/>
        </w:numPr>
        <w:spacing w:line="360" w:lineRule="auto"/>
        <w:ind w:firstLineChars="0"/>
        <w:outlineLvl w:val="1"/>
        <w:rPr>
          <w:color w:val="000000" w:themeColor="text1"/>
          <w14:textFill>
            <w14:solidFill>
              <w14:schemeClr w14:val="tx1"/>
            </w14:solidFill>
          </w14:textFill>
        </w:rPr>
      </w:pPr>
      <w:r>
        <w:rPr>
          <w:rStyle w:val="365"/>
          <w:rFonts w:hint="eastAsia" w:eastAsia="宋体" w:cs="宋体"/>
        </w:rPr>
        <w:t>总体需求</w:t>
      </w:r>
    </w:p>
    <w:p>
      <w:pPr>
        <w:tabs>
          <w:tab w:val="left" w:pos="0"/>
        </w:tabs>
        <w:snapToGrid w:val="0"/>
        <w:spacing w:line="360" w:lineRule="auto"/>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★2.1技术应答中</w:t>
      </w:r>
      <w:r>
        <w:rPr>
          <w:rFonts w:hint="eastAsia" w:ascii="宋体" w:hAnsi="宋体" w:cs="宋体"/>
          <w:color w:val="000000" w:themeColor="text1"/>
          <w:szCs w:val="21"/>
          <w14:textFill>
            <w14:solidFill>
              <w14:schemeClr w14:val="tx1"/>
            </w14:solidFill>
          </w14:textFill>
        </w:rPr>
        <w:t>明确“具备”的功能必须</w:t>
      </w:r>
      <w:r>
        <w:rPr>
          <w:rFonts w:ascii="宋体" w:hAnsi="宋体" w:cs="宋体"/>
          <w:color w:val="000000" w:themeColor="text1"/>
          <w:szCs w:val="21"/>
          <w14:textFill>
            <w14:solidFill>
              <w14:schemeClr w14:val="tx1"/>
            </w14:solidFill>
          </w14:textFill>
        </w:rPr>
        <w:t>是实际交付产品确实具备的功能</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明确</w:t>
      </w:r>
      <w:r>
        <w:rPr>
          <w:rFonts w:hint="eastAsia" w:ascii="宋体" w:hAnsi="宋体" w:cs="宋体"/>
          <w:color w:val="000000" w:themeColor="text1"/>
          <w:szCs w:val="21"/>
          <w14:textFill>
            <w14:solidFill>
              <w14:schemeClr w14:val="tx1"/>
            </w14:solidFill>
          </w14:textFill>
        </w:rPr>
        <w:t>“可支持”的功能是</w:t>
      </w:r>
      <w:r>
        <w:rPr>
          <w:rFonts w:hint="eastAsia" w:ascii="宋体" w:hAnsi="宋体"/>
          <w:color w:val="000000" w:themeColor="text1"/>
          <w:szCs w:val="21"/>
          <w14:textFill>
            <w14:solidFill>
              <w14:schemeClr w14:val="tx1"/>
            </w14:solidFill>
          </w14:textFill>
        </w:rPr>
        <w:t>通过额外板卡、授权、升级等可实现的拓展功能。</w:t>
      </w:r>
    </w:p>
    <w:p>
      <w:pPr>
        <w:tabs>
          <w:tab w:val="left" w:pos="0"/>
        </w:tabs>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2外观要求</w:t>
      </w:r>
    </w:p>
    <w:p>
      <w:pPr>
        <w:tabs>
          <w:tab w:val="left" w:pos="2282"/>
        </w:tabs>
        <w:spacing w:line="360" w:lineRule="auto"/>
        <w:ind w:firstLine="455" w:firstLineChars="21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外观应整洁，表面不应有明显凹痕、划伤、裂纹、毛刺、变形、霉斑等现象；表面镀涂层不应起泡、龟裂和脱落；金属件不应有锈蚀和机械损伤；灌注物不应外溢出。</w:t>
      </w:r>
    </w:p>
    <w:p>
      <w:pPr>
        <w:tabs>
          <w:tab w:val="left" w:pos="2282"/>
        </w:tabs>
        <w:spacing w:line="360" w:lineRule="auto"/>
        <w:ind w:firstLine="455" w:firstLineChars="21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具有明显的电源指示；开关、按键、旋钮的操作应灵活可靠，整机结构及零部件应紧固无松动。说明功能的文字符号和图形符号标志应完整、正确、清晰、牢固，图形符号应符合GB 5465.2-1985的规定。</w:t>
      </w:r>
    </w:p>
    <w:p>
      <w:pPr>
        <w:tabs>
          <w:tab w:val="left" w:pos="2282"/>
        </w:tabs>
        <w:spacing w:line="360" w:lineRule="auto"/>
        <w:ind w:firstLine="455" w:firstLineChars="21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设备上应有接地引脚。</w:t>
      </w:r>
    </w:p>
    <w:p>
      <w:pPr>
        <w:tabs>
          <w:tab w:val="left" w:pos="2282"/>
        </w:tabs>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3可靠性</w:t>
      </w:r>
    </w:p>
    <w:p>
      <w:pPr>
        <w:tabs>
          <w:tab w:val="left" w:pos="2282"/>
        </w:tabs>
        <w:spacing w:line="360" w:lineRule="auto"/>
        <w:ind w:firstLine="455" w:firstLineChars="21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可靠性指标要求：平均无故障工作时间（MTBF）的下限值θ1应不低于40000小时。</w:t>
      </w:r>
    </w:p>
    <w:p>
      <w:pPr>
        <w:tabs>
          <w:tab w:val="left" w:pos="2282"/>
        </w:tabs>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4安全性</w:t>
      </w:r>
    </w:p>
    <w:p>
      <w:pPr>
        <w:tabs>
          <w:tab w:val="left" w:pos="2282"/>
        </w:tabs>
        <w:spacing w:line="360" w:lineRule="auto"/>
        <w:ind w:firstLine="455" w:firstLineChars="21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安全要求应符合GB/T 11318.1-1996中4.5的有关规定。</w:t>
      </w:r>
    </w:p>
    <w:p>
      <w:pPr>
        <w:tabs>
          <w:tab w:val="left" w:pos="2282"/>
        </w:tabs>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5电磁兼容性</w:t>
      </w:r>
    </w:p>
    <w:p>
      <w:pPr>
        <w:tabs>
          <w:tab w:val="left" w:pos="2282"/>
        </w:tabs>
        <w:spacing w:line="360" w:lineRule="auto"/>
        <w:ind w:firstLine="455" w:firstLineChars="21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电磁兼容性要求应符合GB/T 11318.1-1996中4.6的有关规定。</w:t>
      </w:r>
    </w:p>
    <w:p>
      <w:pPr>
        <w:tabs>
          <w:tab w:val="left" w:pos="2282"/>
        </w:tabs>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6网管系统要求</w:t>
      </w:r>
    </w:p>
    <w:p>
      <w:pPr>
        <w:tabs>
          <w:tab w:val="left" w:pos="2282"/>
        </w:tabs>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6.1设备应具备网络状态监控功能。网管通讯协议应遵循国标“GB/T20030-2005 HFC网络设备管理系统规范”并兼容ANSI/</w:t>
      </w:r>
      <w:r>
        <w:rPr>
          <w:rFonts w:ascii="宋体" w:hAnsi="宋体"/>
          <w:color w:val="000000" w:themeColor="text1"/>
          <w:szCs w:val="21"/>
          <w14:textFill>
            <w14:solidFill>
              <w14:schemeClr w14:val="tx1"/>
            </w14:solidFill>
          </w14:textFill>
        </w:rPr>
        <w:t>SCTE  HMS</w:t>
      </w:r>
      <w:r>
        <w:rPr>
          <w:rFonts w:hint="eastAsia" w:ascii="宋体" w:hAnsi="宋体"/>
          <w:color w:val="000000" w:themeColor="text1"/>
          <w:szCs w:val="21"/>
          <w14:textFill>
            <w14:solidFill>
              <w14:schemeClr w14:val="tx1"/>
            </w14:solidFill>
          </w14:textFill>
        </w:rPr>
        <w:t>系列规范以及IEC60728－7-1、IEC60728－7-2国际标准。设备网管接口应支持RJ－45，支持RS-485或RS232接口，管理信息库（MIB）应采用SCTE规范定义的相应管理信息库。网管系统建议支持WEB浏览器，便于网管操作。</w:t>
      </w:r>
    </w:p>
    <w:p>
      <w:pPr>
        <w:tabs>
          <w:tab w:val="left" w:pos="360"/>
        </w:tabs>
        <w:spacing w:line="360" w:lineRule="auto"/>
        <w:jc w:val="left"/>
        <w:rPr>
          <w:rFonts w:ascii="宋体" w:hAnsi="宋体"/>
          <w:b/>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6.2设备应能够直接纳入江苏省广电有线信息网络股份有限公司现有网络管理平台的管理。如果设备不能满足以上网管性能要求，中标人必须承诺无条件提供相应技术支持、提供必要代码数据、向江苏有线播控中心无条件开放管理信息库（MIB）所有功能，以保证江苏有线广电网络可以通过第三方进行网管系统集成，顺利对该设备实施统一的网络管理。</w:t>
      </w:r>
    </w:p>
    <w:p>
      <w:pPr>
        <w:tabs>
          <w:tab w:val="left" w:pos="2282"/>
        </w:tabs>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6.3网管应包括以下功能：</w:t>
      </w:r>
    </w:p>
    <w:p>
      <w:pPr>
        <w:pStyle w:val="6"/>
        <w:numPr>
          <w:ilvl w:val="0"/>
          <w:numId w:val="21"/>
        </w:numPr>
        <w:tabs>
          <w:tab w:val="left" w:pos="0"/>
        </w:tabs>
        <w:autoSpaceDE/>
        <w:autoSpaceDN/>
        <w:adjustRightInd/>
        <w:spacing w:line="360" w:lineRule="auto"/>
        <w:ind w:firstLine="420" w:firstLineChars="20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网管系统应具有配置用户识别符、口令、访问控制级别和范围的功能。</w:t>
      </w:r>
    </w:p>
    <w:p>
      <w:pPr>
        <w:pStyle w:val="6"/>
        <w:numPr>
          <w:ilvl w:val="0"/>
          <w:numId w:val="21"/>
        </w:numPr>
        <w:tabs>
          <w:tab w:val="left" w:pos="0"/>
        </w:tabs>
        <w:autoSpaceDE/>
        <w:autoSpaceDN/>
        <w:adjustRightInd/>
        <w:spacing w:line="360" w:lineRule="auto"/>
        <w:ind w:firstLine="420" w:firstLineChars="20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对用户权限进行鉴定，防止非法访问。</w:t>
      </w:r>
    </w:p>
    <w:p>
      <w:pPr>
        <w:pStyle w:val="6"/>
        <w:numPr>
          <w:ilvl w:val="0"/>
          <w:numId w:val="21"/>
        </w:numPr>
        <w:tabs>
          <w:tab w:val="left" w:pos="0"/>
        </w:tabs>
        <w:autoSpaceDE/>
        <w:autoSpaceDN/>
        <w:adjustRightInd/>
        <w:spacing w:line="360" w:lineRule="auto"/>
        <w:ind w:firstLine="420" w:firstLineChars="200"/>
        <w:jc w:val="both"/>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提供安全日志，提供超时管理，安全注销等安全管理功能。</w:t>
      </w:r>
    </w:p>
    <w:p>
      <w:pPr>
        <w:pStyle w:val="6"/>
        <w:tabs>
          <w:tab w:val="left" w:pos="2282"/>
        </w:tabs>
        <w:ind w:firstLine="0"/>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★2.7</w:t>
      </w:r>
      <w:r>
        <w:rPr>
          <w:rFonts w:hint="eastAsia" w:ascii="宋体" w:hAnsi="宋体" w:eastAsia="宋体"/>
          <w:color w:val="000000" w:themeColor="text1"/>
          <w:sz w:val="21"/>
          <w:szCs w:val="21"/>
          <w14:textFill>
            <w14:solidFill>
              <w14:schemeClr w14:val="tx1"/>
            </w14:solidFill>
          </w14:textFill>
        </w:rPr>
        <w:t>数量要求</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此次参与投标设备数量必须与招标文件中列出的需求数量一致，不接受低于招标数量的投标。</w:t>
      </w:r>
    </w:p>
    <w:p>
      <w:pPr>
        <w:spacing w:line="42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8类型要求</w:t>
      </w:r>
    </w:p>
    <w:p>
      <w:pPr>
        <w:tabs>
          <w:tab w:val="left" w:pos="0"/>
        </w:tabs>
        <w:spacing w:line="360" w:lineRule="auto"/>
        <w:ind w:firstLine="522" w:firstLineChars="249"/>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19</w:t>
      </w:r>
      <w:r>
        <w:rPr>
          <w:rFonts w:ascii="宋体" w:hAnsi="宋体"/>
          <w:color w:val="000000" w:themeColor="text1"/>
          <w:szCs w:val="21"/>
          <w14:textFill>
            <w14:solidFill>
              <w14:schemeClr w14:val="tx1"/>
            </w14:solidFill>
          </w14:textFill>
        </w:rPr>
        <w:sym w:font="Symbol" w:char="F0B2"/>
      </w:r>
      <w:r>
        <w:rPr>
          <w:rFonts w:ascii="宋体" w:hAnsi="宋体"/>
          <w:color w:val="000000" w:themeColor="text1"/>
          <w:szCs w:val="21"/>
          <w14:textFill>
            <w14:solidFill>
              <w14:schemeClr w14:val="tx1"/>
            </w14:solidFill>
          </w14:textFill>
        </w:rPr>
        <w:t xml:space="preserve"> EIA </w:t>
      </w:r>
      <w:r>
        <w:rPr>
          <w:rFonts w:hint="eastAsia" w:ascii="宋体" w:hAnsi="宋体"/>
          <w:color w:val="000000" w:themeColor="text1"/>
          <w:szCs w:val="21"/>
          <w14:textFill>
            <w14:solidFill>
              <w14:schemeClr w14:val="tx1"/>
            </w14:solidFill>
          </w14:textFill>
        </w:rPr>
        <w:t>标准机架。</w:t>
      </w:r>
    </w:p>
    <w:p>
      <w:pPr>
        <w:widowControl/>
        <w:spacing w:line="420" w:lineRule="exact"/>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9环境适应性</w:t>
      </w:r>
    </w:p>
    <w:p>
      <w:pPr>
        <w:tabs>
          <w:tab w:val="left" w:pos="0"/>
        </w:tabs>
        <w:spacing w:line="360" w:lineRule="auto"/>
        <w:ind w:firstLine="105" w:firstLineChars="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9.1工作温度范围要求为+5ºC~+40ºC。</w:t>
      </w:r>
    </w:p>
    <w:p>
      <w:pPr>
        <w:tabs>
          <w:tab w:val="left" w:pos="0"/>
        </w:tabs>
        <w:spacing w:line="360" w:lineRule="auto"/>
        <w:ind w:firstLine="105" w:firstLineChars="5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9.2工作湿度范围要求为0%~</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5%。</w:t>
      </w:r>
    </w:p>
    <w:p>
      <w:pPr>
        <w:tabs>
          <w:tab w:val="left" w:pos="0"/>
        </w:tabs>
        <w:snapToGrid w:val="0"/>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9.3工作电压要求为100-240V。</w:t>
      </w:r>
    </w:p>
    <w:p>
      <w:pPr>
        <w:snapToGrid w:val="0"/>
        <w:spacing w:line="360" w:lineRule="auto"/>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9.4</w:t>
      </w:r>
      <w:r>
        <w:rPr>
          <w:rFonts w:ascii="宋体" w:hAnsi="宋体"/>
          <w:color w:val="000000" w:themeColor="text1"/>
          <w:szCs w:val="21"/>
          <w14:textFill>
            <w14:solidFill>
              <w14:schemeClr w14:val="tx1"/>
            </w14:solidFill>
          </w14:textFill>
        </w:rPr>
        <w:t>支持双电源冗余备份；电源采用AC90-250V，50-60Hz</w:t>
      </w:r>
      <w:r>
        <w:rPr>
          <w:rFonts w:hint="eastAsia" w:ascii="宋体" w:hAnsi="宋体"/>
          <w:color w:val="000000" w:themeColor="text1"/>
          <w:szCs w:val="21"/>
          <w14:textFill>
            <w14:solidFill>
              <w14:schemeClr w14:val="tx1"/>
            </w14:solidFill>
          </w14:textFill>
        </w:rPr>
        <w:t>。请说明设备的最大功耗。</w:t>
      </w:r>
    </w:p>
    <w:p>
      <w:pPr>
        <w:pStyle w:val="366"/>
        <w:numPr>
          <w:ilvl w:val="0"/>
          <w:numId w:val="20"/>
        </w:numPr>
        <w:rPr>
          <w:rFonts w:ascii="宋体" w:hAnsi="宋体"/>
        </w:rPr>
      </w:pPr>
      <w:bookmarkStart w:id="53" w:name="_Toc76996584"/>
      <w:bookmarkStart w:id="54" w:name="_Toc76856254"/>
      <w:bookmarkStart w:id="55" w:name="_Toc51053573"/>
      <w:bookmarkStart w:id="56" w:name="_Toc8937"/>
      <w:r>
        <w:rPr>
          <w:rFonts w:hint="eastAsia" w:ascii="宋体" w:hAnsi="宋体"/>
        </w:rPr>
        <w:t>*光放技术要求</w:t>
      </w:r>
      <w:bookmarkEnd w:id="53"/>
    </w:p>
    <w:tbl>
      <w:tblPr>
        <w:tblStyle w:val="53"/>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75"/>
        <w:gridCol w:w="2597"/>
        <w:gridCol w:w="1084"/>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Align w:val="center"/>
          </w:tcPr>
          <w:p>
            <w:pPr>
              <w:tabs>
                <w:tab w:val="left" w:pos="2282"/>
              </w:tabs>
              <w:ind w:firstLine="371" w:firstLineChars="177"/>
              <w:jc w:val="center"/>
              <w:rPr>
                <w:rFonts w:ascii="宋体" w:hAnsi="宋体"/>
                <w:szCs w:val="21"/>
              </w:rPr>
            </w:pPr>
          </w:p>
        </w:tc>
        <w:tc>
          <w:tcPr>
            <w:tcW w:w="4072" w:type="dxa"/>
            <w:gridSpan w:val="2"/>
            <w:vAlign w:val="center"/>
          </w:tcPr>
          <w:p>
            <w:pPr>
              <w:tabs>
                <w:tab w:val="left" w:pos="2282"/>
              </w:tabs>
              <w:ind w:firstLine="371" w:firstLineChars="177"/>
              <w:jc w:val="center"/>
              <w:rPr>
                <w:rFonts w:ascii="宋体" w:hAnsi="宋体"/>
                <w:szCs w:val="21"/>
              </w:rPr>
            </w:pPr>
            <w:r>
              <w:rPr>
                <w:rFonts w:hint="eastAsia" w:ascii="宋体" w:hAnsi="宋体"/>
                <w:szCs w:val="21"/>
              </w:rPr>
              <w:t>项目</w:t>
            </w:r>
          </w:p>
        </w:tc>
        <w:tc>
          <w:tcPr>
            <w:tcW w:w="1084" w:type="dxa"/>
            <w:vAlign w:val="center"/>
          </w:tcPr>
          <w:p>
            <w:pPr>
              <w:tabs>
                <w:tab w:val="left" w:pos="2282"/>
              </w:tabs>
              <w:jc w:val="center"/>
              <w:rPr>
                <w:rFonts w:ascii="宋体" w:hAnsi="宋体"/>
                <w:szCs w:val="21"/>
              </w:rPr>
            </w:pPr>
            <w:r>
              <w:rPr>
                <w:rFonts w:hint="eastAsia" w:ascii="宋体" w:hAnsi="宋体"/>
                <w:szCs w:val="21"/>
              </w:rPr>
              <w:t>单位</w:t>
            </w: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restart"/>
            <w:vAlign w:val="center"/>
          </w:tcPr>
          <w:p>
            <w:pPr>
              <w:tabs>
                <w:tab w:val="left" w:pos="2282"/>
              </w:tabs>
              <w:rPr>
                <w:rFonts w:ascii="宋体" w:hAnsi="宋体"/>
                <w:szCs w:val="21"/>
              </w:rPr>
            </w:pPr>
            <w:r>
              <w:rPr>
                <w:rFonts w:hint="eastAsia" w:ascii="宋体" w:hAnsi="宋体"/>
                <w:szCs w:val="21"/>
              </w:rPr>
              <w:t>光波长特性</w:t>
            </w:r>
          </w:p>
        </w:tc>
        <w:tc>
          <w:tcPr>
            <w:tcW w:w="4072" w:type="dxa"/>
            <w:gridSpan w:val="2"/>
            <w:vAlign w:val="center"/>
          </w:tcPr>
          <w:p>
            <w:pPr>
              <w:tabs>
                <w:tab w:val="left" w:pos="2282"/>
              </w:tabs>
              <w:ind w:firstLine="371" w:firstLineChars="177"/>
              <w:jc w:val="center"/>
              <w:rPr>
                <w:rFonts w:ascii="宋体" w:hAnsi="宋体"/>
                <w:szCs w:val="21"/>
              </w:rPr>
            </w:pPr>
            <w:r>
              <w:rPr>
                <w:rFonts w:hint="eastAsia" w:ascii="宋体" w:hAnsi="宋体"/>
                <w:szCs w:val="21"/>
              </w:rPr>
              <w:t>工作带宽</w:t>
            </w:r>
          </w:p>
        </w:tc>
        <w:tc>
          <w:tcPr>
            <w:tcW w:w="1084" w:type="dxa"/>
            <w:vAlign w:val="center"/>
          </w:tcPr>
          <w:p>
            <w:pPr>
              <w:tabs>
                <w:tab w:val="left" w:pos="2282"/>
              </w:tabs>
              <w:ind w:firstLine="371" w:firstLineChars="177"/>
              <w:jc w:val="center"/>
              <w:rPr>
                <w:rFonts w:ascii="宋体" w:hAnsi="宋体"/>
                <w:szCs w:val="21"/>
              </w:rPr>
            </w:pPr>
            <w:r>
              <w:rPr>
                <w:rFonts w:hint="eastAsia" w:ascii="宋体" w:hAnsi="宋体"/>
                <w:szCs w:val="21"/>
              </w:rPr>
              <w:t>nm</w:t>
            </w: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1530~1565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vAlign w:val="center"/>
          </w:tcPr>
          <w:p>
            <w:pPr>
              <w:tabs>
                <w:tab w:val="left" w:pos="2282"/>
              </w:tabs>
              <w:ind w:firstLine="371" w:firstLineChars="177"/>
              <w:jc w:val="center"/>
              <w:rPr>
                <w:rFonts w:ascii="宋体" w:hAnsi="宋体"/>
                <w:szCs w:val="21"/>
              </w:rPr>
            </w:pPr>
          </w:p>
        </w:tc>
        <w:tc>
          <w:tcPr>
            <w:tcW w:w="4072" w:type="dxa"/>
            <w:gridSpan w:val="2"/>
            <w:vAlign w:val="center"/>
          </w:tcPr>
          <w:p>
            <w:pPr>
              <w:tabs>
                <w:tab w:val="left" w:pos="2282"/>
              </w:tabs>
              <w:ind w:firstLine="371" w:firstLineChars="177"/>
              <w:jc w:val="center"/>
              <w:rPr>
                <w:rFonts w:ascii="宋体" w:hAnsi="宋体"/>
                <w:szCs w:val="21"/>
              </w:rPr>
            </w:pPr>
            <w:r>
              <w:rPr>
                <w:rFonts w:hint="eastAsia" w:ascii="宋体" w:hAnsi="宋体"/>
                <w:szCs w:val="21"/>
              </w:rPr>
              <w:t>泵浦激光器波长</w:t>
            </w:r>
          </w:p>
        </w:tc>
        <w:tc>
          <w:tcPr>
            <w:tcW w:w="1084" w:type="dxa"/>
            <w:vAlign w:val="center"/>
          </w:tcPr>
          <w:p>
            <w:pPr>
              <w:tabs>
                <w:tab w:val="left" w:pos="2282"/>
              </w:tabs>
              <w:ind w:firstLine="371" w:firstLineChars="177"/>
              <w:jc w:val="center"/>
              <w:rPr>
                <w:rFonts w:ascii="宋体" w:hAnsi="宋体"/>
                <w:szCs w:val="21"/>
              </w:rPr>
            </w:pPr>
            <w:r>
              <w:rPr>
                <w:rFonts w:hint="eastAsia" w:ascii="宋体" w:hAnsi="宋体"/>
                <w:szCs w:val="21"/>
              </w:rPr>
              <w:t>nm</w:t>
            </w: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980/1480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vAlign w:val="center"/>
          </w:tcPr>
          <w:p>
            <w:pPr>
              <w:tabs>
                <w:tab w:val="left" w:pos="2282"/>
              </w:tabs>
              <w:ind w:firstLine="371" w:firstLineChars="177"/>
              <w:jc w:val="center"/>
              <w:rPr>
                <w:rFonts w:ascii="宋体" w:hAnsi="宋体"/>
                <w:szCs w:val="21"/>
              </w:rPr>
            </w:pPr>
          </w:p>
        </w:tc>
        <w:tc>
          <w:tcPr>
            <w:tcW w:w="4072" w:type="dxa"/>
            <w:gridSpan w:val="2"/>
            <w:vAlign w:val="center"/>
          </w:tcPr>
          <w:p>
            <w:pPr>
              <w:tabs>
                <w:tab w:val="left" w:pos="2282"/>
              </w:tabs>
              <w:ind w:firstLine="371" w:firstLineChars="177"/>
              <w:jc w:val="center"/>
              <w:rPr>
                <w:rFonts w:ascii="宋体" w:hAnsi="宋体"/>
                <w:szCs w:val="21"/>
              </w:rPr>
            </w:pPr>
            <w:r>
              <w:rPr>
                <w:rFonts w:hint="eastAsia" w:ascii="宋体" w:hAnsi="宋体"/>
                <w:szCs w:val="21"/>
              </w:rPr>
              <w:t>输入光功率范围</w:t>
            </w:r>
          </w:p>
        </w:tc>
        <w:tc>
          <w:tcPr>
            <w:tcW w:w="1084" w:type="dxa"/>
            <w:vAlign w:val="center"/>
          </w:tcPr>
          <w:p>
            <w:pPr>
              <w:tabs>
                <w:tab w:val="left" w:pos="2282"/>
              </w:tabs>
              <w:ind w:firstLine="371" w:firstLineChars="177"/>
              <w:jc w:val="center"/>
              <w:rPr>
                <w:rFonts w:ascii="宋体" w:hAnsi="宋体"/>
                <w:szCs w:val="21"/>
              </w:rPr>
            </w:pPr>
            <w:r>
              <w:rPr>
                <w:rFonts w:hint="eastAsia" w:ascii="宋体" w:hAnsi="宋体"/>
                <w:szCs w:val="21"/>
              </w:rPr>
              <w:t>dBm</w:t>
            </w: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1260" w:type="dxa"/>
            <w:vMerge w:val="continue"/>
            <w:vAlign w:val="center"/>
          </w:tcPr>
          <w:p>
            <w:pPr>
              <w:tabs>
                <w:tab w:val="left" w:pos="2282"/>
              </w:tabs>
              <w:ind w:firstLine="371" w:firstLineChars="177"/>
              <w:jc w:val="center"/>
              <w:rPr>
                <w:rFonts w:ascii="宋体" w:hAnsi="宋体"/>
                <w:szCs w:val="21"/>
              </w:rPr>
            </w:pPr>
          </w:p>
        </w:tc>
        <w:tc>
          <w:tcPr>
            <w:tcW w:w="4072" w:type="dxa"/>
            <w:gridSpan w:val="2"/>
            <w:vAlign w:val="center"/>
          </w:tcPr>
          <w:p>
            <w:pPr>
              <w:tabs>
                <w:tab w:val="left" w:pos="2282"/>
              </w:tabs>
              <w:ind w:firstLine="371" w:firstLineChars="177"/>
              <w:jc w:val="center"/>
              <w:rPr>
                <w:rFonts w:ascii="宋体" w:hAnsi="宋体"/>
                <w:szCs w:val="21"/>
              </w:rPr>
            </w:pPr>
            <w:r>
              <w:rPr>
                <w:rFonts w:hint="eastAsia" w:ascii="宋体" w:hAnsi="宋体"/>
                <w:szCs w:val="21"/>
              </w:rPr>
              <w:t>输出光功率</w:t>
            </w:r>
          </w:p>
        </w:tc>
        <w:tc>
          <w:tcPr>
            <w:tcW w:w="1084" w:type="dxa"/>
            <w:vAlign w:val="center"/>
          </w:tcPr>
          <w:p>
            <w:pPr>
              <w:tabs>
                <w:tab w:val="left" w:pos="2282"/>
              </w:tabs>
              <w:ind w:firstLine="371" w:firstLineChars="177"/>
              <w:jc w:val="center"/>
              <w:rPr>
                <w:rFonts w:ascii="宋体" w:hAnsi="宋体"/>
                <w:szCs w:val="21"/>
              </w:rPr>
            </w:pPr>
            <w:r>
              <w:rPr>
                <w:rFonts w:hint="eastAsia" w:ascii="宋体" w:hAnsi="宋体"/>
                <w:szCs w:val="21"/>
              </w:rPr>
              <w:t>dBm</w:t>
            </w:r>
          </w:p>
        </w:tc>
        <w:tc>
          <w:tcPr>
            <w:tcW w:w="2088" w:type="dxa"/>
            <w:vAlign w:val="center"/>
          </w:tcPr>
          <w:p>
            <w:pPr>
              <w:tabs>
                <w:tab w:val="left" w:pos="2282"/>
              </w:tabs>
              <w:ind w:firstLine="371" w:firstLineChars="177"/>
              <w:jc w:val="center"/>
              <w:rPr>
                <w:rFonts w:ascii="宋体" w:hAnsi="宋体"/>
                <w:szCs w:val="21"/>
              </w:rPr>
            </w:pPr>
            <w:r>
              <w:rPr>
                <w:rFonts w:ascii="宋体" w:hAnsi="宋体"/>
                <w:szCs w:val="21"/>
              </w:rPr>
              <w:t>&gt;</w:t>
            </w:r>
            <w:r>
              <w:rPr>
                <w:rFonts w:hint="eastAsia" w:ascii="宋体" w:hAnsi="宋体"/>
                <w:szCs w:val="21"/>
              </w:rPr>
              <w:t>2</w:t>
            </w: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vAlign w:val="center"/>
          </w:tcPr>
          <w:p>
            <w:pPr>
              <w:tabs>
                <w:tab w:val="left" w:pos="2282"/>
              </w:tabs>
              <w:ind w:firstLine="371" w:firstLineChars="177"/>
              <w:jc w:val="center"/>
              <w:rPr>
                <w:rFonts w:ascii="宋体" w:hAnsi="宋体"/>
                <w:szCs w:val="21"/>
              </w:rPr>
            </w:pPr>
          </w:p>
        </w:tc>
        <w:tc>
          <w:tcPr>
            <w:tcW w:w="4072" w:type="dxa"/>
            <w:gridSpan w:val="2"/>
            <w:vAlign w:val="center"/>
          </w:tcPr>
          <w:p>
            <w:pPr>
              <w:tabs>
                <w:tab w:val="left" w:pos="2282"/>
              </w:tabs>
              <w:ind w:firstLine="371" w:firstLineChars="177"/>
              <w:jc w:val="center"/>
              <w:rPr>
                <w:rFonts w:ascii="宋体" w:hAnsi="宋体"/>
                <w:szCs w:val="21"/>
              </w:rPr>
            </w:pPr>
            <w:r>
              <w:rPr>
                <w:rFonts w:hint="eastAsia" w:ascii="宋体" w:hAnsi="宋体"/>
                <w:szCs w:val="21"/>
              </w:rPr>
              <w:t>输出功率稳定度</w:t>
            </w:r>
          </w:p>
        </w:tc>
        <w:tc>
          <w:tcPr>
            <w:tcW w:w="1084" w:type="dxa"/>
            <w:vAlign w:val="center"/>
          </w:tcPr>
          <w:p>
            <w:pPr>
              <w:tabs>
                <w:tab w:val="left" w:pos="2282"/>
              </w:tabs>
              <w:ind w:firstLine="371" w:firstLineChars="177"/>
              <w:jc w:val="center"/>
              <w:rPr>
                <w:rFonts w:ascii="宋体" w:hAnsi="宋体"/>
                <w:szCs w:val="21"/>
              </w:rPr>
            </w:pPr>
            <w:r>
              <w:rPr>
                <w:rFonts w:hint="eastAsia" w:ascii="宋体" w:hAnsi="宋体"/>
                <w:szCs w:val="21"/>
              </w:rPr>
              <w:t>dB</w:t>
            </w: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260" w:type="dxa"/>
            <w:vMerge w:val="continue"/>
            <w:tcBorders>
              <w:bottom w:val="single" w:color="auto" w:sz="4" w:space="0"/>
            </w:tcBorders>
            <w:vAlign w:val="center"/>
          </w:tcPr>
          <w:p>
            <w:pPr>
              <w:tabs>
                <w:tab w:val="left" w:pos="2282"/>
              </w:tabs>
              <w:ind w:firstLine="371" w:firstLineChars="177"/>
              <w:jc w:val="center"/>
              <w:rPr>
                <w:rFonts w:ascii="宋体" w:hAnsi="宋体"/>
                <w:szCs w:val="21"/>
              </w:rPr>
            </w:pPr>
          </w:p>
        </w:tc>
        <w:tc>
          <w:tcPr>
            <w:tcW w:w="4072" w:type="dxa"/>
            <w:gridSpan w:val="2"/>
            <w:tcBorders>
              <w:bottom w:val="single" w:color="auto" w:sz="4" w:space="0"/>
            </w:tcBorders>
            <w:vAlign w:val="center"/>
          </w:tcPr>
          <w:p>
            <w:pPr>
              <w:tabs>
                <w:tab w:val="left" w:pos="2282"/>
              </w:tabs>
              <w:ind w:firstLine="371" w:firstLineChars="177"/>
              <w:jc w:val="center"/>
              <w:rPr>
                <w:rFonts w:ascii="宋体" w:hAnsi="宋体"/>
                <w:szCs w:val="21"/>
              </w:rPr>
            </w:pPr>
            <w:r>
              <w:rPr>
                <w:rFonts w:hint="eastAsia" w:ascii="宋体" w:hAnsi="宋体"/>
                <w:szCs w:val="21"/>
              </w:rPr>
              <w:t>噪声系数（注1）</w:t>
            </w:r>
          </w:p>
        </w:tc>
        <w:tc>
          <w:tcPr>
            <w:tcW w:w="1084" w:type="dxa"/>
            <w:tcBorders>
              <w:bottom w:val="single" w:color="auto" w:sz="4" w:space="0"/>
            </w:tcBorders>
            <w:vAlign w:val="center"/>
          </w:tcPr>
          <w:p>
            <w:pPr>
              <w:tabs>
                <w:tab w:val="left" w:pos="2282"/>
              </w:tabs>
              <w:ind w:firstLine="371" w:firstLineChars="177"/>
              <w:jc w:val="center"/>
              <w:rPr>
                <w:rFonts w:ascii="宋体" w:hAnsi="宋体"/>
                <w:szCs w:val="21"/>
              </w:rPr>
            </w:pPr>
            <w:r>
              <w:rPr>
                <w:rFonts w:hint="eastAsia" w:ascii="宋体" w:hAnsi="宋体"/>
                <w:szCs w:val="21"/>
              </w:rPr>
              <w:t>dB</w:t>
            </w:r>
          </w:p>
        </w:tc>
        <w:tc>
          <w:tcPr>
            <w:tcW w:w="2088" w:type="dxa"/>
            <w:tcBorders>
              <w:bottom w:val="single" w:color="auto" w:sz="4" w:space="0"/>
            </w:tcBorders>
            <w:vAlign w:val="center"/>
          </w:tcPr>
          <w:p>
            <w:pPr>
              <w:tabs>
                <w:tab w:val="left" w:pos="2282"/>
              </w:tabs>
              <w:ind w:firstLine="371" w:firstLineChars="177"/>
              <w:jc w:val="center"/>
              <w:rPr>
                <w:rFonts w:ascii="宋体" w:hAnsi="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vAlign w:val="center"/>
          </w:tcPr>
          <w:p>
            <w:pPr>
              <w:tabs>
                <w:tab w:val="left" w:pos="2282"/>
              </w:tabs>
              <w:ind w:firstLine="371" w:firstLineChars="177"/>
              <w:jc w:val="center"/>
              <w:rPr>
                <w:rFonts w:ascii="宋体" w:hAnsi="宋体"/>
                <w:szCs w:val="21"/>
              </w:rPr>
            </w:pPr>
          </w:p>
        </w:tc>
        <w:tc>
          <w:tcPr>
            <w:tcW w:w="1475" w:type="dxa"/>
            <w:vMerge w:val="restart"/>
            <w:vAlign w:val="center"/>
          </w:tcPr>
          <w:p>
            <w:pPr>
              <w:tabs>
                <w:tab w:val="left" w:pos="2282"/>
              </w:tabs>
              <w:ind w:firstLine="371" w:firstLineChars="177"/>
              <w:jc w:val="center"/>
              <w:rPr>
                <w:rFonts w:ascii="宋体" w:hAnsi="宋体"/>
                <w:szCs w:val="21"/>
              </w:rPr>
            </w:pPr>
            <w:r>
              <w:rPr>
                <w:rFonts w:hint="eastAsia" w:ascii="宋体" w:hAnsi="宋体"/>
                <w:szCs w:val="21"/>
              </w:rPr>
              <w:t>反射损耗</w:t>
            </w:r>
          </w:p>
        </w:tc>
        <w:tc>
          <w:tcPr>
            <w:tcW w:w="2597" w:type="dxa"/>
            <w:vAlign w:val="center"/>
          </w:tcPr>
          <w:p>
            <w:pPr>
              <w:tabs>
                <w:tab w:val="left" w:pos="2282"/>
              </w:tabs>
              <w:ind w:firstLine="371" w:firstLineChars="177"/>
              <w:jc w:val="center"/>
              <w:rPr>
                <w:rFonts w:ascii="宋体" w:hAnsi="宋体"/>
                <w:szCs w:val="21"/>
              </w:rPr>
            </w:pPr>
            <w:r>
              <w:rPr>
                <w:rFonts w:hint="eastAsia" w:ascii="宋体" w:hAnsi="宋体"/>
                <w:szCs w:val="21"/>
              </w:rPr>
              <w:t>输入反射损耗</w:t>
            </w:r>
          </w:p>
        </w:tc>
        <w:tc>
          <w:tcPr>
            <w:tcW w:w="1084" w:type="dxa"/>
            <w:vAlign w:val="center"/>
          </w:tcPr>
          <w:p>
            <w:pPr>
              <w:tabs>
                <w:tab w:val="left" w:pos="2282"/>
              </w:tabs>
              <w:ind w:firstLine="371" w:firstLineChars="177"/>
              <w:jc w:val="center"/>
              <w:rPr>
                <w:rFonts w:ascii="宋体" w:hAnsi="宋体"/>
                <w:szCs w:val="21"/>
              </w:rPr>
            </w:pPr>
            <w:r>
              <w:rPr>
                <w:rFonts w:hint="eastAsia" w:ascii="宋体" w:hAnsi="宋体"/>
                <w:szCs w:val="21"/>
              </w:rPr>
              <w:t>dB</w:t>
            </w: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vAlign w:val="center"/>
          </w:tcPr>
          <w:p>
            <w:pPr>
              <w:tabs>
                <w:tab w:val="left" w:pos="2282"/>
              </w:tabs>
              <w:ind w:firstLine="371" w:firstLineChars="177"/>
              <w:jc w:val="center"/>
              <w:rPr>
                <w:rFonts w:ascii="宋体" w:hAnsi="宋体"/>
                <w:szCs w:val="21"/>
              </w:rPr>
            </w:pPr>
          </w:p>
        </w:tc>
        <w:tc>
          <w:tcPr>
            <w:tcW w:w="1475" w:type="dxa"/>
            <w:vMerge w:val="continue"/>
            <w:vAlign w:val="center"/>
          </w:tcPr>
          <w:p>
            <w:pPr>
              <w:tabs>
                <w:tab w:val="left" w:pos="2282"/>
              </w:tabs>
              <w:ind w:firstLine="371" w:firstLineChars="177"/>
              <w:jc w:val="center"/>
              <w:rPr>
                <w:rFonts w:ascii="宋体" w:hAnsi="宋体"/>
                <w:szCs w:val="21"/>
              </w:rPr>
            </w:pPr>
          </w:p>
        </w:tc>
        <w:tc>
          <w:tcPr>
            <w:tcW w:w="2597" w:type="dxa"/>
            <w:vAlign w:val="center"/>
          </w:tcPr>
          <w:p>
            <w:pPr>
              <w:tabs>
                <w:tab w:val="left" w:pos="2282"/>
              </w:tabs>
              <w:ind w:firstLine="371" w:firstLineChars="177"/>
              <w:jc w:val="center"/>
              <w:rPr>
                <w:rFonts w:ascii="宋体" w:hAnsi="宋体"/>
                <w:szCs w:val="21"/>
              </w:rPr>
            </w:pPr>
            <w:r>
              <w:rPr>
                <w:rFonts w:hint="eastAsia" w:ascii="宋体" w:hAnsi="宋体"/>
                <w:szCs w:val="21"/>
              </w:rPr>
              <w:t>输出反射损耗</w:t>
            </w:r>
          </w:p>
        </w:tc>
        <w:tc>
          <w:tcPr>
            <w:tcW w:w="1084" w:type="dxa"/>
            <w:vAlign w:val="center"/>
          </w:tcPr>
          <w:p>
            <w:pPr>
              <w:tabs>
                <w:tab w:val="left" w:pos="2282"/>
              </w:tabs>
              <w:ind w:firstLine="371" w:firstLineChars="177"/>
              <w:jc w:val="center"/>
              <w:rPr>
                <w:rFonts w:ascii="宋体" w:hAnsi="宋体"/>
                <w:szCs w:val="21"/>
              </w:rPr>
            </w:pPr>
            <w:r>
              <w:rPr>
                <w:rFonts w:hint="eastAsia" w:ascii="宋体" w:hAnsi="宋体"/>
                <w:szCs w:val="21"/>
              </w:rPr>
              <w:t>dB</w:t>
            </w: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restart"/>
            <w:vAlign w:val="center"/>
          </w:tcPr>
          <w:p>
            <w:pPr>
              <w:tabs>
                <w:tab w:val="left" w:pos="2282"/>
              </w:tabs>
              <w:rPr>
                <w:rFonts w:ascii="宋体" w:hAnsi="宋体"/>
                <w:szCs w:val="21"/>
              </w:rPr>
            </w:pPr>
            <w:r>
              <w:rPr>
                <w:rFonts w:hint="eastAsia" w:ascii="宋体" w:hAnsi="宋体"/>
                <w:szCs w:val="21"/>
              </w:rPr>
              <w:t>泵源情况</w:t>
            </w:r>
          </w:p>
        </w:tc>
        <w:tc>
          <w:tcPr>
            <w:tcW w:w="1475" w:type="dxa"/>
            <w:vMerge w:val="restart"/>
            <w:vAlign w:val="center"/>
          </w:tcPr>
          <w:p>
            <w:pPr>
              <w:tabs>
                <w:tab w:val="left" w:pos="2282"/>
              </w:tabs>
              <w:ind w:firstLine="371" w:firstLineChars="177"/>
              <w:jc w:val="center"/>
              <w:rPr>
                <w:rFonts w:ascii="宋体" w:hAnsi="宋体"/>
                <w:szCs w:val="21"/>
              </w:rPr>
            </w:pPr>
            <w:r>
              <w:rPr>
                <w:rFonts w:hint="eastAsia" w:ascii="宋体" w:hAnsi="宋体"/>
                <w:szCs w:val="21"/>
              </w:rPr>
              <w:t>泵浦泄露功率</w:t>
            </w:r>
          </w:p>
        </w:tc>
        <w:tc>
          <w:tcPr>
            <w:tcW w:w="2597" w:type="dxa"/>
            <w:vAlign w:val="center"/>
          </w:tcPr>
          <w:p>
            <w:pPr>
              <w:tabs>
                <w:tab w:val="left" w:pos="2282"/>
              </w:tabs>
              <w:ind w:firstLine="371" w:firstLineChars="177"/>
              <w:jc w:val="center"/>
              <w:rPr>
                <w:rFonts w:ascii="宋体" w:hAnsi="宋体"/>
                <w:szCs w:val="21"/>
              </w:rPr>
            </w:pPr>
            <w:r>
              <w:rPr>
                <w:rFonts w:hint="eastAsia" w:ascii="宋体" w:hAnsi="宋体"/>
                <w:szCs w:val="21"/>
              </w:rPr>
              <w:t>输入端泵浦泄露功率</w:t>
            </w:r>
          </w:p>
        </w:tc>
        <w:tc>
          <w:tcPr>
            <w:tcW w:w="1084" w:type="dxa"/>
            <w:vAlign w:val="center"/>
          </w:tcPr>
          <w:p>
            <w:pPr>
              <w:tabs>
                <w:tab w:val="left" w:pos="2282"/>
              </w:tabs>
              <w:ind w:firstLine="371" w:firstLineChars="177"/>
              <w:jc w:val="center"/>
              <w:rPr>
                <w:rFonts w:ascii="宋体" w:hAnsi="宋体"/>
                <w:szCs w:val="21"/>
              </w:rPr>
            </w:pPr>
            <w:r>
              <w:rPr>
                <w:rFonts w:hint="eastAsia" w:ascii="宋体" w:hAnsi="宋体"/>
                <w:szCs w:val="21"/>
              </w:rPr>
              <w:t>dBm</w:t>
            </w: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260" w:type="dxa"/>
            <w:vMerge w:val="continue"/>
            <w:tcBorders>
              <w:bottom w:val="single" w:color="auto" w:sz="4" w:space="0"/>
            </w:tcBorders>
            <w:vAlign w:val="center"/>
          </w:tcPr>
          <w:p>
            <w:pPr>
              <w:tabs>
                <w:tab w:val="left" w:pos="2282"/>
              </w:tabs>
              <w:ind w:firstLine="371" w:firstLineChars="177"/>
              <w:jc w:val="center"/>
              <w:rPr>
                <w:rFonts w:ascii="宋体" w:hAnsi="宋体"/>
                <w:szCs w:val="21"/>
              </w:rPr>
            </w:pPr>
          </w:p>
        </w:tc>
        <w:tc>
          <w:tcPr>
            <w:tcW w:w="1475" w:type="dxa"/>
            <w:vMerge w:val="continue"/>
            <w:tcBorders>
              <w:bottom w:val="single" w:color="auto" w:sz="4" w:space="0"/>
            </w:tcBorders>
            <w:vAlign w:val="center"/>
          </w:tcPr>
          <w:p>
            <w:pPr>
              <w:tabs>
                <w:tab w:val="left" w:pos="2282"/>
              </w:tabs>
              <w:ind w:firstLine="371" w:firstLineChars="177"/>
              <w:jc w:val="center"/>
              <w:rPr>
                <w:rFonts w:ascii="宋体" w:hAnsi="宋体"/>
                <w:szCs w:val="21"/>
              </w:rPr>
            </w:pPr>
          </w:p>
        </w:tc>
        <w:tc>
          <w:tcPr>
            <w:tcW w:w="2597" w:type="dxa"/>
            <w:tcBorders>
              <w:bottom w:val="single" w:color="auto" w:sz="4" w:space="0"/>
            </w:tcBorders>
            <w:vAlign w:val="center"/>
          </w:tcPr>
          <w:p>
            <w:pPr>
              <w:tabs>
                <w:tab w:val="left" w:pos="2282"/>
              </w:tabs>
              <w:ind w:firstLine="371" w:firstLineChars="177"/>
              <w:jc w:val="center"/>
              <w:rPr>
                <w:rFonts w:ascii="宋体" w:hAnsi="宋体"/>
                <w:szCs w:val="21"/>
              </w:rPr>
            </w:pPr>
            <w:r>
              <w:rPr>
                <w:rFonts w:hint="eastAsia" w:ascii="宋体" w:hAnsi="宋体"/>
                <w:szCs w:val="21"/>
              </w:rPr>
              <w:t>输出端泵浦泄露功率</w:t>
            </w:r>
          </w:p>
        </w:tc>
        <w:tc>
          <w:tcPr>
            <w:tcW w:w="1084" w:type="dxa"/>
            <w:tcBorders>
              <w:bottom w:val="single" w:color="auto" w:sz="4" w:space="0"/>
            </w:tcBorders>
            <w:vAlign w:val="center"/>
          </w:tcPr>
          <w:p>
            <w:pPr>
              <w:tabs>
                <w:tab w:val="left" w:pos="2282"/>
              </w:tabs>
              <w:ind w:firstLine="371" w:firstLineChars="177"/>
              <w:jc w:val="center"/>
              <w:rPr>
                <w:rFonts w:ascii="宋体" w:hAnsi="宋体"/>
                <w:szCs w:val="21"/>
              </w:rPr>
            </w:pPr>
            <w:r>
              <w:rPr>
                <w:rFonts w:hint="eastAsia" w:ascii="宋体" w:hAnsi="宋体"/>
                <w:szCs w:val="21"/>
              </w:rPr>
              <w:t>dBm</w:t>
            </w:r>
          </w:p>
        </w:tc>
        <w:tc>
          <w:tcPr>
            <w:tcW w:w="2088" w:type="dxa"/>
            <w:tcBorders>
              <w:bottom w:val="single" w:color="auto" w:sz="4" w:space="0"/>
            </w:tcBorders>
            <w:vAlign w:val="center"/>
          </w:tcPr>
          <w:p>
            <w:pPr>
              <w:tabs>
                <w:tab w:val="left" w:pos="2282"/>
              </w:tabs>
              <w:ind w:firstLine="371" w:firstLineChars="177"/>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restart"/>
            <w:vAlign w:val="center"/>
          </w:tcPr>
          <w:p>
            <w:pPr>
              <w:tabs>
                <w:tab w:val="left" w:pos="2282"/>
              </w:tabs>
              <w:rPr>
                <w:rFonts w:ascii="宋体" w:hAnsi="宋体"/>
                <w:szCs w:val="21"/>
              </w:rPr>
            </w:pPr>
            <w:r>
              <w:rPr>
                <w:rFonts w:hint="eastAsia" w:ascii="宋体" w:hAnsi="宋体"/>
                <w:szCs w:val="21"/>
              </w:rPr>
              <w:t>光放大器性能</w:t>
            </w:r>
          </w:p>
        </w:tc>
        <w:tc>
          <w:tcPr>
            <w:tcW w:w="4072" w:type="dxa"/>
            <w:gridSpan w:val="2"/>
            <w:vAlign w:val="center"/>
          </w:tcPr>
          <w:p>
            <w:pPr>
              <w:tabs>
                <w:tab w:val="left" w:pos="2282"/>
              </w:tabs>
              <w:ind w:firstLine="371" w:firstLineChars="177"/>
              <w:jc w:val="center"/>
              <w:rPr>
                <w:rFonts w:ascii="宋体" w:hAnsi="宋体"/>
                <w:szCs w:val="21"/>
              </w:rPr>
            </w:pPr>
            <w:r>
              <w:rPr>
                <w:rFonts w:hint="eastAsia" w:ascii="宋体" w:hAnsi="宋体"/>
                <w:szCs w:val="21"/>
              </w:rPr>
              <w:t>载噪比（C/N）（注2）</w:t>
            </w:r>
          </w:p>
        </w:tc>
        <w:tc>
          <w:tcPr>
            <w:tcW w:w="1084" w:type="dxa"/>
            <w:vAlign w:val="center"/>
          </w:tcPr>
          <w:p>
            <w:pPr>
              <w:tabs>
                <w:tab w:val="left" w:pos="2282"/>
              </w:tabs>
              <w:ind w:firstLine="371" w:firstLineChars="177"/>
              <w:jc w:val="center"/>
              <w:rPr>
                <w:rFonts w:ascii="宋体" w:hAnsi="宋体"/>
                <w:szCs w:val="21"/>
              </w:rPr>
            </w:pPr>
            <w:r>
              <w:rPr>
                <w:rFonts w:hint="eastAsia" w:ascii="宋体" w:hAnsi="宋体"/>
                <w:szCs w:val="21"/>
              </w:rPr>
              <w:t>dB</w:t>
            </w: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vAlign w:val="center"/>
          </w:tcPr>
          <w:p>
            <w:pPr>
              <w:tabs>
                <w:tab w:val="left" w:pos="2282"/>
              </w:tabs>
              <w:ind w:firstLine="371" w:firstLineChars="177"/>
              <w:jc w:val="center"/>
              <w:rPr>
                <w:rFonts w:ascii="宋体" w:hAnsi="宋体"/>
                <w:szCs w:val="21"/>
              </w:rPr>
            </w:pPr>
          </w:p>
        </w:tc>
        <w:tc>
          <w:tcPr>
            <w:tcW w:w="4072" w:type="dxa"/>
            <w:gridSpan w:val="2"/>
            <w:vAlign w:val="center"/>
          </w:tcPr>
          <w:p>
            <w:pPr>
              <w:tabs>
                <w:tab w:val="left" w:pos="2282"/>
              </w:tabs>
              <w:ind w:firstLine="371" w:firstLineChars="177"/>
              <w:jc w:val="center"/>
              <w:rPr>
                <w:rFonts w:ascii="宋体" w:hAnsi="宋体"/>
                <w:szCs w:val="21"/>
              </w:rPr>
            </w:pPr>
            <w:r>
              <w:rPr>
                <w:rFonts w:hint="eastAsia" w:ascii="宋体" w:hAnsi="宋体"/>
                <w:szCs w:val="21"/>
              </w:rPr>
              <w:t>载波复合三次差拍比（C/CTB）（注2）</w:t>
            </w:r>
          </w:p>
        </w:tc>
        <w:tc>
          <w:tcPr>
            <w:tcW w:w="1084" w:type="dxa"/>
            <w:vAlign w:val="center"/>
          </w:tcPr>
          <w:p>
            <w:pPr>
              <w:tabs>
                <w:tab w:val="left" w:pos="2282"/>
              </w:tabs>
              <w:ind w:firstLine="371" w:firstLineChars="177"/>
              <w:jc w:val="center"/>
              <w:rPr>
                <w:rFonts w:ascii="宋体" w:hAnsi="宋体"/>
                <w:szCs w:val="21"/>
              </w:rPr>
            </w:pPr>
            <w:r>
              <w:rPr>
                <w:rFonts w:hint="eastAsia" w:ascii="宋体" w:hAnsi="宋体"/>
                <w:szCs w:val="21"/>
              </w:rPr>
              <w:t>dB</w:t>
            </w: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Merge w:val="continue"/>
            <w:vAlign w:val="center"/>
          </w:tcPr>
          <w:p>
            <w:pPr>
              <w:tabs>
                <w:tab w:val="left" w:pos="2282"/>
              </w:tabs>
              <w:ind w:firstLine="371" w:firstLineChars="177"/>
              <w:jc w:val="center"/>
              <w:rPr>
                <w:rFonts w:ascii="宋体" w:hAnsi="宋体"/>
                <w:szCs w:val="21"/>
              </w:rPr>
            </w:pPr>
          </w:p>
        </w:tc>
        <w:tc>
          <w:tcPr>
            <w:tcW w:w="4072" w:type="dxa"/>
            <w:gridSpan w:val="2"/>
            <w:vAlign w:val="center"/>
          </w:tcPr>
          <w:p>
            <w:pPr>
              <w:tabs>
                <w:tab w:val="left" w:pos="2282"/>
              </w:tabs>
              <w:ind w:firstLine="371" w:firstLineChars="177"/>
              <w:jc w:val="center"/>
              <w:rPr>
                <w:rFonts w:ascii="宋体" w:hAnsi="宋体"/>
                <w:szCs w:val="21"/>
              </w:rPr>
            </w:pPr>
            <w:r>
              <w:rPr>
                <w:rFonts w:hint="eastAsia" w:ascii="宋体" w:hAnsi="宋体"/>
                <w:szCs w:val="21"/>
              </w:rPr>
              <w:t>载波复合二次差拍比（C/CSO）（注2）</w:t>
            </w:r>
          </w:p>
        </w:tc>
        <w:tc>
          <w:tcPr>
            <w:tcW w:w="1084" w:type="dxa"/>
            <w:vAlign w:val="center"/>
          </w:tcPr>
          <w:p>
            <w:pPr>
              <w:tabs>
                <w:tab w:val="left" w:pos="2282"/>
              </w:tabs>
              <w:ind w:firstLine="371" w:firstLineChars="177"/>
              <w:jc w:val="center"/>
              <w:rPr>
                <w:rFonts w:ascii="宋体" w:hAnsi="宋体"/>
                <w:szCs w:val="21"/>
              </w:rPr>
            </w:pPr>
            <w:r>
              <w:rPr>
                <w:rFonts w:hint="eastAsia" w:ascii="宋体" w:hAnsi="宋体"/>
                <w:szCs w:val="21"/>
              </w:rPr>
              <w:t>dB</w:t>
            </w: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0" w:type="dxa"/>
            <w:vAlign w:val="center"/>
          </w:tcPr>
          <w:p>
            <w:pPr>
              <w:tabs>
                <w:tab w:val="left" w:pos="2282"/>
              </w:tabs>
              <w:rPr>
                <w:rFonts w:ascii="宋体" w:hAnsi="宋体"/>
                <w:szCs w:val="21"/>
              </w:rPr>
            </w:pPr>
            <w:r>
              <w:rPr>
                <w:rFonts w:hint="eastAsia" w:ascii="宋体" w:hAnsi="宋体"/>
                <w:szCs w:val="21"/>
              </w:rPr>
              <w:t>其他方面</w:t>
            </w:r>
          </w:p>
        </w:tc>
        <w:tc>
          <w:tcPr>
            <w:tcW w:w="4072" w:type="dxa"/>
            <w:gridSpan w:val="2"/>
            <w:vAlign w:val="center"/>
          </w:tcPr>
          <w:p>
            <w:pPr>
              <w:tabs>
                <w:tab w:val="left" w:pos="2282"/>
              </w:tabs>
              <w:ind w:firstLine="371" w:firstLineChars="177"/>
              <w:jc w:val="center"/>
              <w:rPr>
                <w:rFonts w:ascii="宋体" w:hAnsi="宋体"/>
                <w:szCs w:val="21"/>
              </w:rPr>
            </w:pPr>
            <w:r>
              <w:rPr>
                <w:rFonts w:hint="eastAsia" w:ascii="宋体" w:hAnsi="宋体"/>
                <w:szCs w:val="21"/>
              </w:rPr>
              <w:t>光连接器形式</w:t>
            </w:r>
          </w:p>
        </w:tc>
        <w:tc>
          <w:tcPr>
            <w:tcW w:w="1084" w:type="dxa"/>
            <w:vAlign w:val="center"/>
          </w:tcPr>
          <w:p>
            <w:pPr>
              <w:tabs>
                <w:tab w:val="left" w:pos="2282"/>
              </w:tabs>
              <w:ind w:firstLine="371" w:firstLineChars="177"/>
              <w:jc w:val="center"/>
              <w:rPr>
                <w:rFonts w:ascii="宋体" w:hAnsi="宋体"/>
                <w:szCs w:val="21"/>
              </w:rPr>
            </w:pPr>
          </w:p>
        </w:tc>
        <w:tc>
          <w:tcPr>
            <w:tcW w:w="2088" w:type="dxa"/>
            <w:vAlign w:val="center"/>
          </w:tcPr>
          <w:p>
            <w:pPr>
              <w:tabs>
                <w:tab w:val="left" w:pos="2282"/>
              </w:tabs>
              <w:ind w:firstLine="371" w:firstLineChars="177"/>
              <w:jc w:val="center"/>
              <w:rPr>
                <w:rFonts w:ascii="宋体" w:hAnsi="宋体"/>
                <w:szCs w:val="21"/>
              </w:rPr>
            </w:pPr>
            <w:r>
              <w:rPr>
                <w:rFonts w:hint="eastAsia" w:ascii="宋体" w:hAnsi="宋体"/>
                <w:szCs w:val="21"/>
              </w:rPr>
              <w:t>FC/APC或SC/APC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504" w:type="dxa"/>
            <w:gridSpan w:val="5"/>
            <w:vAlign w:val="center"/>
          </w:tcPr>
          <w:p>
            <w:pPr>
              <w:tabs>
                <w:tab w:val="left" w:pos="2282"/>
              </w:tabs>
              <w:ind w:firstLine="371" w:firstLineChars="177"/>
              <w:rPr>
                <w:rFonts w:ascii="宋体" w:hAnsi="宋体"/>
                <w:szCs w:val="21"/>
              </w:rPr>
            </w:pPr>
            <w:r>
              <w:rPr>
                <w:rFonts w:hint="eastAsia" w:ascii="宋体" w:hAnsi="宋体"/>
                <w:szCs w:val="21"/>
              </w:rPr>
              <w:t>注：1.在输入光功率为0dBm时。</w:t>
            </w:r>
          </w:p>
          <w:p>
            <w:pPr>
              <w:tabs>
                <w:tab w:val="left" w:pos="2282"/>
              </w:tabs>
              <w:ind w:firstLine="791" w:firstLineChars="377"/>
              <w:rPr>
                <w:rFonts w:ascii="宋体" w:hAnsi="宋体"/>
                <w:szCs w:val="21"/>
              </w:rPr>
            </w:pPr>
            <w:r>
              <w:rPr>
                <w:rFonts w:hint="eastAsia" w:ascii="宋体" w:hAnsi="宋体"/>
                <w:szCs w:val="21"/>
              </w:rPr>
              <w:t>2.用测量用光发射机和接收机组成的光链路联测，给出的指标为链路指标值。</w:t>
            </w:r>
          </w:p>
        </w:tc>
      </w:tr>
    </w:tbl>
    <w:p>
      <w:pPr>
        <w:pStyle w:val="366"/>
        <w:rPr>
          <w:rFonts w:ascii="宋体" w:hAnsi="宋体"/>
        </w:rPr>
      </w:pPr>
    </w:p>
    <w:p>
      <w:pPr>
        <w:pStyle w:val="366"/>
        <w:numPr>
          <w:ilvl w:val="0"/>
          <w:numId w:val="20"/>
        </w:numPr>
        <w:rPr>
          <w:b w:val="0"/>
          <w:bCs/>
          <w:sz w:val="28"/>
          <w:szCs w:val="28"/>
        </w:rPr>
      </w:pPr>
      <w:r>
        <w:rPr>
          <w:rFonts w:hint="eastAsia"/>
          <w:sz w:val="28"/>
          <w:szCs w:val="28"/>
        </w:rPr>
        <w:t>辅材与系统集成</w:t>
      </w:r>
    </w:p>
    <w:p>
      <w:pPr>
        <w:pStyle w:val="49"/>
        <w:rPr>
          <w:color w:val="000000" w:themeColor="text1"/>
          <w:sz w:val="21"/>
          <w:szCs w:val="20"/>
          <w14:textFill>
            <w14:solidFill>
              <w14:schemeClr w14:val="tx1"/>
            </w14:solidFill>
          </w14:textFill>
        </w:rPr>
      </w:pPr>
      <w:r>
        <w:rPr>
          <w:color w:val="000000" w:themeColor="text1"/>
          <w:sz w:val="21"/>
          <w:szCs w:val="20"/>
          <w14:textFill>
            <w14:solidFill>
              <w14:schemeClr w14:val="tx1"/>
            </w14:solidFill>
          </w14:textFill>
        </w:rPr>
        <w:t>4.</w:t>
      </w:r>
      <w:r>
        <w:rPr>
          <w:rFonts w:hint="eastAsia"/>
          <w:color w:val="000000" w:themeColor="text1"/>
          <w:sz w:val="21"/>
          <w:szCs w:val="20"/>
          <w14:textFill>
            <w14:solidFill>
              <w14:schemeClr w14:val="tx1"/>
            </w14:solidFill>
          </w14:textFill>
        </w:rPr>
        <w:t>1</w:t>
      </w:r>
      <w:r>
        <w:rPr>
          <w:color w:val="000000" w:themeColor="text1"/>
          <w:sz w:val="21"/>
          <w:szCs w:val="20"/>
          <w14:textFill>
            <w14:solidFill>
              <w14:schemeClr w14:val="tx1"/>
            </w14:solidFill>
          </w14:textFill>
        </w:rPr>
        <w:t xml:space="preserve"> </w:t>
      </w:r>
      <w:r>
        <w:rPr>
          <w:rFonts w:hint="eastAsia"/>
          <w:color w:val="000000" w:themeColor="text1"/>
          <w:sz w:val="21"/>
          <w:szCs w:val="20"/>
          <w14:textFill>
            <w14:solidFill>
              <w14:schemeClr w14:val="tx1"/>
            </w14:solidFill>
          </w14:textFill>
        </w:rPr>
        <w:t>包含一套辅材与系统集成，具体辅材数量以项目实施现场需求为准。</w:t>
      </w:r>
    </w:p>
    <w:p>
      <w:pPr>
        <w:spacing w:line="360" w:lineRule="auto"/>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（1）★投标人应根据本技术需求书的要求，基于自己的</w:t>
      </w:r>
      <w:r>
        <w:rPr>
          <w:rFonts w:hint="eastAsia" w:ascii="宋体" w:hAnsi="宋体"/>
          <w:color w:val="000000" w:themeColor="text1"/>
          <w14:textFill>
            <w14:solidFill>
              <w14:schemeClr w14:val="tx1"/>
            </w14:solidFill>
          </w14:textFill>
        </w:rPr>
        <w:t>货物及/或服务</w:t>
      </w:r>
      <w:r>
        <w:rPr>
          <w:rFonts w:hint="eastAsia" w:ascii="宋体" w:hAnsi="宋体"/>
          <w:color w:val="000000" w:themeColor="text1"/>
          <w:szCs w:val="21"/>
          <w14:textFill>
            <w14:solidFill>
              <w14:schemeClr w14:val="tx1"/>
            </w14:solidFill>
          </w14:textFill>
        </w:rPr>
        <w:t>提供具体、完整的配置方案，投标人在投标文件中给出的集成服务，必须保证投标文件中各项性能和功能承诺指标的实现，在各种承诺业务功能同时启用时，不应影响性能和稳定性；</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应根据招标人的业务需求及相关的技术规范要求，在中标后合同签署前提出完整的项目管理、系统设计、工程培训、项目施工、项目验收、技术支持方案以及投标人人力资源供给方案并经招标人确认；</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（3）设备安装由投标人负责，系统内所有电缆及接头均由投标人提供并施工；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（4）投标人负责对施工地点进行现场勘察，提供工程施工和相关安装资料，并负责指导招标人人员掌握和使用这些技术资料。投标人应提供下列各种详细资料：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A）各种设备机架（柜）外型尺寸、重量、面板布置、进出线方式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B）所需电源种类、功耗、电压、地线要求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C）机房荷重、环境要求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D）设备安装方式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E）设备、线缆、端口等的实施维护标识办法</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（5）安装调测时使用的工具、设备由投标人提供。双方应协商制定工程进度表，投标人负责按工程进度表进行施工。</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设备调试由投标人负责，投标人调试前应提出完整的调试计划并经招标人确认，包括设备调试的内容、项目、指标、方法和进度，并提供相应的仪器和工具。投标人有责任对招标人的技术人员提出的问题做出解答。调试应进行详细记录，系统调试结束后，由投标人技术人员签字后交给招标人验收。</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（7）系统测试的条款应与技术规范一致。基于以上要求，投标人应提供测试条件，方法和过程的草案，最终测试文件由双方共同拟定。各种测试指标必须在测试报告中反映。测试内容应至少包括：</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a）功能测试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b）性能测试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c）稳定性测试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d）压力测试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e）容错测试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f）故障测试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g）安全性测试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h）互通测试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i）其它测试等</w:t>
      </w:r>
    </w:p>
    <w:p>
      <w:pPr>
        <w:rPr>
          <w:color w:val="000000" w:themeColor="text1"/>
          <w14:textFill>
            <w14:solidFill>
              <w14:schemeClr w14:val="tx1"/>
            </w14:solidFill>
          </w14:textFill>
        </w:rPr>
      </w:pPr>
    </w:p>
    <w:p>
      <w:pPr>
        <w:spacing w:line="336" w:lineRule="auto"/>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4.</w:t>
      </w:r>
      <w:r>
        <w:rPr>
          <w:rFonts w:hint="eastAsia" w:cs="Arial"/>
          <w:color w:val="000000" w:themeColor="text1"/>
          <w:szCs w:val="21"/>
          <w14:textFill>
            <w14:solidFill>
              <w14:schemeClr w14:val="tx1"/>
            </w14:solidFill>
          </w14:textFill>
        </w:rPr>
        <w:t>2投标人须提供设备辅材有：英制</w:t>
      </w:r>
      <w:r>
        <w:rPr>
          <w:rFonts w:cs="Arial"/>
          <w:color w:val="000000" w:themeColor="text1"/>
          <w:szCs w:val="21"/>
          <w14:textFill>
            <w14:solidFill>
              <w14:schemeClr w14:val="tx1"/>
            </w14:solidFill>
          </w14:textFill>
        </w:rPr>
        <w:t>F</w:t>
      </w:r>
      <w:r>
        <w:rPr>
          <w:rFonts w:hint="eastAsia" w:cs="Arial"/>
          <w:color w:val="000000" w:themeColor="text1"/>
          <w:szCs w:val="21"/>
          <w14:textFill>
            <w14:solidFill>
              <w14:schemeClr w14:val="tx1"/>
            </w14:solidFill>
          </w14:textFill>
        </w:rPr>
        <w:t>头、射频电缆、网线、水晶头、线扎、尾纤、光模块等。设备自带mini</w:t>
      </w:r>
      <w:r>
        <w:rPr>
          <w:rFonts w:cs="Arial"/>
          <w:color w:val="000000" w:themeColor="text1"/>
          <w:szCs w:val="21"/>
          <w14:textFill>
            <w14:solidFill>
              <w14:schemeClr w14:val="tx1"/>
            </w14:solidFill>
          </w14:textFill>
        </w:rPr>
        <w:t>BNC</w:t>
      </w:r>
      <w:r>
        <w:rPr>
          <w:rFonts w:hint="eastAsia" w:cs="Arial"/>
          <w:color w:val="000000" w:themeColor="text1"/>
          <w:szCs w:val="21"/>
          <w14:textFill>
            <w14:solidFill>
              <w14:schemeClr w14:val="tx1"/>
            </w14:solidFill>
          </w14:textFill>
        </w:rPr>
        <w:t>接口的，应提供mini</w:t>
      </w:r>
      <w:r>
        <w:rPr>
          <w:rFonts w:cs="Arial"/>
          <w:color w:val="000000" w:themeColor="text1"/>
          <w:szCs w:val="21"/>
          <w14:textFill>
            <w14:solidFill>
              <w14:schemeClr w14:val="tx1"/>
            </w14:solidFill>
          </w14:textFill>
        </w:rPr>
        <w:t>BNC</w:t>
      </w:r>
      <w:r>
        <w:rPr>
          <w:rFonts w:hint="eastAsia" w:cs="Arial"/>
          <w:color w:val="000000" w:themeColor="text1"/>
          <w:szCs w:val="21"/>
          <w14:textFill>
            <w14:solidFill>
              <w14:schemeClr w14:val="tx1"/>
            </w14:solidFill>
          </w14:textFill>
        </w:rPr>
        <w:t>转B</w:t>
      </w:r>
      <w:r>
        <w:rPr>
          <w:rFonts w:cs="Arial"/>
          <w:color w:val="000000" w:themeColor="text1"/>
          <w:szCs w:val="21"/>
          <w14:textFill>
            <w14:solidFill>
              <w14:schemeClr w14:val="tx1"/>
            </w14:solidFill>
          </w14:textFill>
        </w:rPr>
        <w:t>NC</w:t>
      </w:r>
      <w:r>
        <w:rPr>
          <w:rFonts w:hint="eastAsia" w:cs="Arial"/>
          <w:color w:val="000000" w:themeColor="text1"/>
          <w:szCs w:val="21"/>
          <w14:textFill>
            <w14:solidFill>
              <w14:schemeClr w14:val="tx1"/>
            </w14:solidFill>
          </w14:textFill>
        </w:rPr>
        <w:t>转接头。性能参数如下：</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2.1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英制</w:t>
      </w:r>
      <w:r>
        <w:rPr>
          <w:color w:val="000000" w:themeColor="text1"/>
          <w14:textFill>
            <w14:solidFill>
              <w14:schemeClr w14:val="tx1"/>
            </w14:solidFill>
          </w14:textFill>
        </w:rPr>
        <w:t>F</w:t>
      </w:r>
      <w:r>
        <w:rPr>
          <w:rFonts w:hint="eastAsia"/>
          <w:color w:val="000000" w:themeColor="text1"/>
          <w14:textFill>
            <w14:solidFill>
              <w14:schemeClr w14:val="tx1"/>
            </w14:solidFill>
          </w14:textFill>
        </w:rPr>
        <w:t>头</w:t>
      </w:r>
    </w:p>
    <w:p>
      <w:pPr>
        <w:pStyle w:val="89"/>
        <w:numPr>
          <w:ilvl w:val="0"/>
          <w:numId w:val="22"/>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带宽：0MHz~</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GHz；</w:t>
      </w:r>
    </w:p>
    <w:p>
      <w:pPr>
        <w:pStyle w:val="89"/>
        <w:numPr>
          <w:ilvl w:val="0"/>
          <w:numId w:val="22"/>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特性阻抗：7</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Ω；</w:t>
      </w:r>
    </w:p>
    <w:p>
      <w:pPr>
        <w:pStyle w:val="89"/>
        <w:numPr>
          <w:ilvl w:val="0"/>
          <w:numId w:val="22"/>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插入损耗：≤0</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dB（0~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GHz）；</w:t>
      </w:r>
    </w:p>
    <w:p>
      <w:pPr>
        <w:pStyle w:val="89"/>
        <w:numPr>
          <w:ilvl w:val="0"/>
          <w:numId w:val="22"/>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回波损耗：≥-</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dB（0~</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GHz）；</w:t>
      </w:r>
    </w:p>
    <w:p>
      <w:pPr>
        <w:pStyle w:val="89"/>
        <w:numPr>
          <w:ilvl w:val="0"/>
          <w:numId w:val="22"/>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材质：铜；</w:t>
      </w:r>
    </w:p>
    <w:p>
      <w:pPr>
        <w:pStyle w:val="89"/>
        <w:numPr>
          <w:ilvl w:val="0"/>
          <w:numId w:val="22"/>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规格型号满足招标人要求；</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射频电缆</w:t>
      </w:r>
    </w:p>
    <w:p>
      <w:pPr>
        <w:pStyle w:val="89"/>
        <w:numPr>
          <w:ilvl w:val="0"/>
          <w:numId w:val="23"/>
        </w:numPr>
        <w:spacing w:line="336" w:lineRule="auto"/>
        <w:ind w:firstLineChars="0"/>
        <w:rPr>
          <w:color w:val="000000" w:themeColor="text1"/>
          <w14:textFill>
            <w14:solidFill>
              <w14:schemeClr w14:val="tx1"/>
            </w14:solidFill>
          </w14:textFill>
        </w:rPr>
      </w:pPr>
      <w:r>
        <w:rPr>
          <w:rFonts w:hint="eastAsia"/>
          <w:bCs/>
          <w:color w:val="000000" w:themeColor="text1"/>
          <w:szCs w:val="32"/>
          <w14:textFill>
            <w14:solidFill>
              <w14:schemeClr w14:val="tx1"/>
            </w14:solidFill>
          </w14:textFill>
        </w:rPr>
        <w:t>中心导体材料：裸铜或铜包钢；</w:t>
      </w:r>
    </w:p>
    <w:p>
      <w:pPr>
        <w:pStyle w:val="89"/>
        <w:numPr>
          <w:ilvl w:val="0"/>
          <w:numId w:val="23"/>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绝缘体材料：充气发泡聚乙烯；</w:t>
      </w:r>
    </w:p>
    <w:p>
      <w:pPr>
        <w:pStyle w:val="89"/>
        <w:numPr>
          <w:ilvl w:val="0"/>
          <w:numId w:val="23"/>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特性阻抗：7</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欧姆，高屏蔽性能（不少于四屏蔽）；</w:t>
      </w:r>
    </w:p>
    <w:p>
      <w:pPr>
        <w:pStyle w:val="89"/>
        <w:numPr>
          <w:ilvl w:val="0"/>
          <w:numId w:val="23"/>
        </w:numPr>
        <w:spacing w:line="336" w:lineRule="auto"/>
        <w:ind w:firstLineChars="0"/>
        <w:rPr>
          <w:color w:val="000000" w:themeColor="text1"/>
          <w14:textFill>
            <w14:solidFill>
              <w14:schemeClr w14:val="tx1"/>
            </w14:solidFill>
          </w14:textFill>
        </w:rPr>
      </w:pPr>
      <w:r>
        <w:rPr>
          <w:rFonts w:hint="eastAsia"/>
          <w:bCs/>
          <w:color w:val="000000" w:themeColor="text1"/>
          <w:szCs w:val="32"/>
          <w14:textFill>
            <w14:solidFill>
              <w14:schemeClr w14:val="tx1"/>
            </w14:solidFill>
          </w14:textFill>
        </w:rPr>
        <w:t>内屏蔽：粘合铝箔100%覆盖率；</w:t>
      </w:r>
    </w:p>
    <w:p>
      <w:pPr>
        <w:pStyle w:val="89"/>
        <w:numPr>
          <w:ilvl w:val="0"/>
          <w:numId w:val="23"/>
        </w:numPr>
        <w:spacing w:line="336" w:lineRule="auto"/>
        <w:ind w:firstLineChars="0"/>
        <w:rPr>
          <w:color w:val="000000" w:themeColor="text1"/>
          <w14:textFill>
            <w14:solidFill>
              <w14:schemeClr w14:val="tx1"/>
            </w14:solidFill>
          </w14:textFill>
        </w:rPr>
      </w:pPr>
      <w:r>
        <w:rPr>
          <w:rFonts w:hint="eastAsia"/>
          <w:bCs/>
          <w:color w:val="000000" w:themeColor="text1"/>
          <w:szCs w:val="32"/>
          <w14:textFill>
            <w14:solidFill>
              <w14:schemeClr w14:val="tx1"/>
            </w14:solidFill>
          </w14:textFill>
        </w:rPr>
        <w:t>内编制网材料：铝镁合金丝，内编制网不少于6</w:t>
      </w:r>
      <w:r>
        <w:rPr>
          <w:bCs/>
          <w:color w:val="000000" w:themeColor="text1"/>
          <w:szCs w:val="32"/>
          <w14:textFill>
            <w14:solidFill>
              <w14:schemeClr w14:val="tx1"/>
            </w14:solidFill>
          </w14:textFill>
        </w:rPr>
        <w:t>0</w:t>
      </w:r>
      <w:r>
        <w:rPr>
          <w:rFonts w:hint="eastAsia"/>
          <w:bCs/>
          <w:color w:val="000000" w:themeColor="text1"/>
          <w:szCs w:val="32"/>
          <w14:textFill>
            <w14:solidFill>
              <w14:schemeClr w14:val="tx1"/>
            </w14:solidFill>
          </w14:textFill>
        </w:rPr>
        <w:t>%编制密度；</w:t>
      </w:r>
    </w:p>
    <w:p>
      <w:pPr>
        <w:pStyle w:val="89"/>
        <w:numPr>
          <w:ilvl w:val="0"/>
          <w:numId w:val="23"/>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外屏蔽：</w:t>
      </w:r>
      <w:r>
        <w:rPr>
          <w:rFonts w:hint="eastAsia"/>
          <w:bCs/>
          <w:color w:val="000000" w:themeColor="text1"/>
          <w:szCs w:val="32"/>
          <w14:textFill>
            <w14:solidFill>
              <w14:schemeClr w14:val="tx1"/>
            </w14:solidFill>
          </w14:textFill>
        </w:rPr>
        <w:t>粘合铝箔100%覆盖率；</w:t>
      </w:r>
    </w:p>
    <w:p>
      <w:pPr>
        <w:pStyle w:val="89"/>
        <w:numPr>
          <w:ilvl w:val="0"/>
          <w:numId w:val="23"/>
        </w:numPr>
        <w:spacing w:line="336" w:lineRule="auto"/>
        <w:ind w:firstLineChars="0"/>
        <w:rPr>
          <w:color w:val="000000" w:themeColor="text1"/>
          <w14:textFill>
            <w14:solidFill>
              <w14:schemeClr w14:val="tx1"/>
            </w14:solidFill>
          </w14:textFill>
        </w:rPr>
      </w:pPr>
      <w:r>
        <w:rPr>
          <w:rFonts w:hint="eastAsia"/>
          <w:bCs/>
          <w:color w:val="000000" w:themeColor="text1"/>
          <w:szCs w:val="32"/>
          <w14:textFill>
            <w14:solidFill>
              <w14:schemeClr w14:val="tx1"/>
            </w14:solidFill>
          </w14:textFill>
        </w:rPr>
        <w:t>外编制网材料：铝镁合金丝，外编制网不少于</w:t>
      </w:r>
      <w:r>
        <w:rPr>
          <w:bCs/>
          <w:color w:val="000000" w:themeColor="text1"/>
          <w:szCs w:val="32"/>
          <w14:textFill>
            <w14:solidFill>
              <w14:schemeClr w14:val="tx1"/>
            </w14:solidFill>
          </w14:textFill>
        </w:rPr>
        <w:t>40</w:t>
      </w:r>
      <w:r>
        <w:rPr>
          <w:rFonts w:hint="eastAsia"/>
          <w:bCs/>
          <w:color w:val="000000" w:themeColor="text1"/>
          <w:szCs w:val="32"/>
          <w14:textFill>
            <w14:solidFill>
              <w14:schemeClr w14:val="tx1"/>
            </w14:solidFill>
          </w14:textFill>
        </w:rPr>
        <w:t>%编制密度；</w:t>
      </w:r>
    </w:p>
    <w:p>
      <w:pPr>
        <w:pStyle w:val="89"/>
        <w:numPr>
          <w:ilvl w:val="0"/>
          <w:numId w:val="23"/>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护套：P</w:t>
      </w:r>
      <w:r>
        <w:rPr>
          <w:color w:val="000000" w:themeColor="text1"/>
          <w14:textFill>
            <w14:solidFill>
              <w14:schemeClr w14:val="tx1"/>
            </w14:solidFill>
          </w14:textFill>
        </w:rPr>
        <w:t>VC;</w:t>
      </w:r>
    </w:p>
    <w:p>
      <w:pPr>
        <w:pStyle w:val="89"/>
        <w:numPr>
          <w:ilvl w:val="0"/>
          <w:numId w:val="23"/>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插入损耗：&lt;</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dB</w:t>
      </w:r>
      <w:r>
        <w:rPr>
          <w:color w:val="000000" w:themeColor="text1"/>
          <w14:textFill>
            <w14:solidFill>
              <w14:schemeClr w14:val="tx1"/>
            </w14:solidFill>
          </w14:textFill>
        </w:rPr>
        <w:t>/100m</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GHz），&lt;</w:t>
      </w:r>
      <w:r>
        <w:rPr>
          <w:color w:val="000000" w:themeColor="text1"/>
          <w14:textFill>
            <w14:solidFill>
              <w14:schemeClr w14:val="tx1"/>
            </w14:solidFill>
          </w14:textFill>
        </w:rPr>
        <w:t>38</w:t>
      </w:r>
      <w:r>
        <w:rPr>
          <w:rFonts w:hint="eastAsia"/>
          <w:color w:val="000000" w:themeColor="text1"/>
          <w14:textFill>
            <w14:solidFill>
              <w14:schemeClr w14:val="tx1"/>
            </w14:solidFill>
          </w14:textFill>
        </w:rPr>
        <w:t>dB</w:t>
      </w:r>
      <w:r>
        <w:rPr>
          <w:color w:val="000000" w:themeColor="text1"/>
          <w14:textFill>
            <w14:solidFill>
              <w14:schemeClr w14:val="tx1"/>
            </w14:solidFill>
          </w14:textFill>
        </w:rPr>
        <w:t>/100m</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GHz）</w:t>
      </w:r>
    </w:p>
    <w:p>
      <w:pPr>
        <w:pStyle w:val="89"/>
        <w:numPr>
          <w:ilvl w:val="0"/>
          <w:numId w:val="23"/>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提供至少</w:t>
      </w:r>
      <w:r>
        <w:rPr>
          <w:color w:val="000000" w:themeColor="text1"/>
          <w14:textFill>
            <w14:solidFill>
              <w14:schemeClr w14:val="tx1"/>
            </w14:solidFill>
          </w14:textFill>
        </w:rPr>
        <w:t>三种可选颜色；</w:t>
      </w:r>
    </w:p>
    <w:p>
      <w:pPr>
        <w:pStyle w:val="89"/>
        <w:numPr>
          <w:ilvl w:val="0"/>
          <w:numId w:val="23"/>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规格型号满足招标人要求；</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网线</w:t>
      </w:r>
    </w:p>
    <w:p>
      <w:pPr>
        <w:pStyle w:val="89"/>
        <w:numPr>
          <w:ilvl w:val="0"/>
          <w:numId w:val="24"/>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支持</w:t>
      </w:r>
      <w:r>
        <w:rPr>
          <w:color w:val="000000" w:themeColor="text1"/>
          <w14:textFill>
            <w14:solidFill>
              <w14:schemeClr w14:val="tx1"/>
            </w14:solidFill>
          </w14:textFill>
        </w:rPr>
        <w:t>1000Base-TX</w:t>
      </w:r>
      <w:r>
        <w:rPr>
          <w:rFonts w:hint="eastAsia"/>
          <w:color w:val="000000" w:themeColor="text1"/>
          <w14:textFill>
            <w14:solidFill>
              <w14:schemeClr w14:val="tx1"/>
            </w14:solidFill>
          </w14:textFill>
        </w:rPr>
        <w:t>标准，性能超过</w:t>
      </w:r>
      <w:r>
        <w:rPr>
          <w:color w:val="000000" w:themeColor="text1"/>
          <w14:textFill>
            <w14:solidFill>
              <w14:schemeClr w14:val="tx1"/>
            </w14:solidFill>
          </w14:textFill>
        </w:rPr>
        <w:t>TIA/EIA 568B</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ISO</w:t>
      </w:r>
      <w:r>
        <w:rPr>
          <w:rFonts w:hint="eastAsia"/>
          <w:color w:val="000000" w:themeColor="text1"/>
          <w14:textFill>
            <w14:solidFill>
              <w14:schemeClr w14:val="tx1"/>
            </w14:solidFill>
          </w14:textFill>
        </w:rPr>
        <w:t>超五类</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级标准；</w:t>
      </w:r>
    </w:p>
    <w:p>
      <w:pPr>
        <w:pStyle w:val="89"/>
        <w:numPr>
          <w:ilvl w:val="0"/>
          <w:numId w:val="24"/>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阻抗：100ohms±15﹪，</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- 600MHz；</w:t>
      </w:r>
    </w:p>
    <w:p>
      <w:pPr>
        <w:pStyle w:val="89"/>
        <w:numPr>
          <w:ilvl w:val="0"/>
          <w:numId w:val="24"/>
        </w:numPr>
        <w:spacing w:line="336" w:lineRule="auto"/>
        <w:ind w:firstLineChars="0"/>
        <w:rPr>
          <w:color w:val="000000" w:themeColor="text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传输延迟：</w:t>
      </w:r>
      <w:r>
        <w:rPr>
          <w:rFonts w:hint="eastAsia" w:ascii="Arial" w:hAnsi="Arial" w:cs="Arial"/>
          <w:color w:val="000000" w:themeColor="text1"/>
          <w:szCs w:val="21"/>
          <w:shd w:val="clear" w:color="auto" w:fill="FFFFFF"/>
          <w14:textFill>
            <w14:solidFill>
              <w14:schemeClr w14:val="tx1"/>
            </w14:solidFill>
          </w14:textFill>
        </w:rPr>
        <w:t>&lt;</w:t>
      </w:r>
      <w:r>
        <w:rPr>
          <w:rFonts w:ascii="Arial" w:hAnsi="Arial" w:cs="Arial"/>
          <w:color w:val="000000" w:themeColor="text1"/>
          <w:szCs w:val="21"/>
          <w:shd w:val="clear" w:color="auto" w:fill="FFFFFF"/>
          <w14:textFill>
            <w14:solidFill>
              <w14:schemeClr w14:val="tx1"/>
            </w14:solidFill>
          </w14:textFill>
        </w:rPr>
        <w:t>536ns/100m@250MHz</w:t>
      </w:r>
      <w:r>
        <w:rPr>
          <w:rFonts w:hint="eastAsia" w:ascii="Arial" w:hAnsi="Arial" w:cs="Arial"/>
          <w:color w:val="000000" w:themeColor="text1"/>
          <w:szCs w:val="21"/>
          <w:shd w:val="clear" w:color="auto" w:fill="FFFFFF"/>
          <w14:textFill>
            <w14:solidFill>
              <w14:schemeClr w14:val="tx1"/>
            </w14:solidFill>
          </w14:textFill>
        </w:rPr>
        <w:t>；</w:t>
      </w:r>
    </w:p>
    <w:p>
      <w:pPr>
        <w:pStyle w:val="89"/>
        <w:numPr>
          <w:ilvl w:val="0"/>
          <w:numId w:val="24"/>
        </w:numPr>
        <w:spacing w:line="336" w:lineRule="auto"/>
        <w:ind w:firstLineChars="0"/>
        <w:rPr>
          <w:color w:val="000000" w:themeColor="text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延迟偏移：</w:t>
      </w:r>
      <w:r>
        <w:rPr>
          <w:rFonts w:hint="eastAsia" w:ascii="Arial" w:hAnsi="Arial" w:cs="Arial"/>
          <w:color w:val="000000" w:themeColor="text1"/>
          <w:szCs w:val="21"/>
          <w:shd w:val="clear" w:color="auto" w:fill="FFFFFF"/>
          <w14:textFill>
            <w14:solidFill>
              <w14:schemeClr w14:val="tx1"/>
            </w14:solidFill>
          </w14:textFill>
        </w:rPr>
        <w:t>&lt;</w:t>
      </w:r>
      <w:r>
        <w:rPr>
          <w:rFonts w:ascii="Arial" w:hAnsi="Arial" w:cs="Arial"/>
          <w:color w:val="000000" w:themeColor="text1"/>
          <w:szCs w:val="21"/>
          <w:shd w:val="clear" w:color="auto" w:fill="FFFFFF"/>
          <w14:textFill>
            <w14:solidFill>
              <w14:schemeClr w14:val="tx1"/>
            </w14:solidFill>
          </w14:textFill>
        </w:rPr>
        <w:t>45ns</w:t>
      </w:r>
      <w:r>
        <w:rPr>
          <w:rFonts w:hint="eastAsia" w:ascii="Arial" w:hAnsi="Arial" w:cs="Arial"/>
          <w:color w:val="000000" w:themeColor="text1"/>
          <w:szCs w:val="21"/>
          <w:shd w:val="clear" w:color="auto" w:fill="FFFFFF"/>
          <w14:textFill>
            <w14:solidFill>
              <w14:schemeClr w14:val="tx1"/>
            </w14:solidFill>
          </w14:textFill>
        </w:rPr>
        <w:t>；</w:t>
      </w:r>
    </w:p>
    <w:p>
      <w:pPr>
        <w:pStyle w:val="89"/>
        <w:numPr>
          <w:ilvl w:val="0"/>
          <w:numId w:val="24"/>
        </w:numPr>
        <w:spacing w:line="336" w:lineRule="auto"/>
        <w:ind w:firstLineChars="0"/>
        <w:rPr>
          <w:color w:val="000000" w:themeColor="text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导体电阻：66.58 ohms max/km</w:t>
      </w:r>
      <w:r>
        <w:rPr>
          <w:rFonts w:hint="eastAsia" w:ascii="Arial" w:hAnsi="Arial" w:cs="Arial"/>
          <w:color w:val="000000" w:themeColor="text1"/>
          <w:szCs w:val="21"/>
          <w:shd w:val="clear" w:color="auto" w:fill="FFFFFF"/>
          <w14:textFill>
            <w14:solidFill>
              <w14:schemeClr w14:val="tx1"/>
            </w14:solidFill>
          </w14:textFill>
        </w:rPr>
        <w:t>；</w:t>
      </w:r>
    </w:p>
    <w:p>
      <w:pPr>
        <w:pStyle w:val="89"/>
        <w:numPr>
          <w:ilvl w:val="0"/>
          <w:numId w:val="24"/>
        </w:numPr>
        <w:spacing w:line="336" w:lineRule="auto"/>
        <w:ind w:firstLineChars="0"/>
        <w:rPr>
          <w:color w:val="000000" w:themeColor="text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直流电阻：≤7.55Ω</w:t>
      </w:r>
      <w:r>
        <w:rPr>
          <w:rFonts w:hint="eastAsia" w:ascii="Arial" w:hAnsi="Arial" w:cs="Arial"/>
          <w:color w:val="000000" w:themeColor="text1"/>
          <w:szCs w:val="21"/>
          <w:shd w:val="clear" w:color="auto" w:fill="FFFFFF"/>
          <w14:textFill>
            <w14:solidFill>
              <w14:schemeClr w14:val="tx1"/>
            </w14:solidFill>
          </w14:textFill>
        </w:rPr>
        <w:t>；</w:t>
      </w:r>
    </w:p>
    <w:p>
      <w:pPr>
        <w:pStyle w:val="89"/>
        <w:numPr>
          <w:ilvl w:val="0"/>
          <w:numId w:val="24"/>
        </w:numPr>
        <w:spacing w:line="336" w:lineRule="auto"/>
        <w:ind w:firstLineChars="0"/>
        <w:rPr>
          <w:color w:val="000000" w:themeColor="text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导线：</w:t>
      </w:r>
      <w:r>
        <w:rPr>
          <w:rFonts w:hint="eastAsia"/>
          <w:bCs/>
          <w:color w:val="000000" w:themeColor="text1"/>
          <w:szCs w:val="32"/>
          <w14:textFill>
            <w14:solidFill>
              <w14:schemeClr w14:val="tx1"/>
            </w14:solidFill>
          </w14:textFill>
        </w:rPr>
        <w:t>实心裸铜导体；</w:t>
      </w:r>
    </w:p>
    <w:p>
      <w:pPr>
        <w:pStyle w:val="89"/>
        <w:numPr>
          <w:ilvl w:val="0"/>
          <w:numId w:val="24"/>
        </w:numPr>
        <w:spacing w:line="336" w:lineRule="auto"/>
        <w:ind w:firstLineChars="0"/>
        <w:rPr>
          <w:color w:val="000000" w:themeColor="text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外皮：FR PVC</w:t>
      </w:r>
      <w:r>
        <w:rPr>
          <w:rFonts w:hint="eastAsia" w:ascii="Arial" w:hAnsi="Arial" w:cs="Arial"/>
          <w:color w:val="000000" w:themeColor="text1"/>
          <w:szCs w:val="21"/>
          <w:shd w:val="clear" w:color="auto" w:fill="FFFFFF"/>
          <w14:textFill>
            <w14:solidFill>
              <w14:schemeClr w14:val="tx1"/>
            </w14:solidFill>
          </w14:textFill>
        </w:rPr>
        <w:t>；</w:t>
      </w:r>
    </w:p>
    <w:p>
      <w:pPr>
        <w:pStyle w:val="89"/>
        <w:numPr>
          <w:ilvl w:val="0"/>
          <w:numId w:val="24"/>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支持</w:t>
      </w:r>
      <w:r>
        <w:rPr>
          <w:color w:val="000000" w:themeColor="text1"/>
          <w14:textFill>
            <w14:solidFill>
              <w14:schemeClr w14:val="tx1"/>
            </w14:solidFill>
          </w14:textFill>
        </w:rPr>
        <w:t>1G</w:t>
      </w:r>
      <w:r>
        <w:rPr>
          <w:rFonts w:hint="eastAsia"/>
          <w:color w:val="000000" w:themeColor="text1"/>
          <w14:textFill>
            <w14:solidFill>
              <w14:schemeClr w14:val="tx1"/>
            </w14:solidFill>
          </w14:textFill>
        </w:rPr>
        <w:t>的传输速率；</w:t>
      </w:r>
    </w:p>
    <w:p>
      <w:pPr>
        <w:pStyle w:val="89"/>
        <w:numPr>
          <w:ilvl w:val="0"/>
          <w:numId w:val="24"/>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提供至少</w:t>
      </w:r>
      <w:r>
        <w:rPr>
          <w:color w:val="000000" w:themeColor="text1"/>
          <w14:textFill>
            <w14:solidFill>
              <w14:schemeClr w14:val="tx1"/>
            </w14:solidFill>
          </w14:textFill>
        </w:rPr>
        <w:t>三种可选颜色</w:t>
      </w:r>
      <w:r>
        <w:rPr>
          <w:rFonts w:hint="eastAsia"/>
          <w:color w:val="000000" w:themeColor="text1"/>
          <w14:textFill>
            <w14:solidFill>
              <w14:schemeClr w14:val="tx1"/>
            </w14:solidFill>
          </w14:textFill>
        </w:rPr>
        <w:t>；</w:t>
      </w:r>
    </w:p>
    <w:p>
      <w:pPr>
        <w:pStyle w:val="89"/>
        <w:numPr>
          <w:ilvl w:val="0"/>
          <w:numId w:val="24"/>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规格型号满足招标人要求；</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水晶头</w:t>
      </w:r>
    </w:p>
    <w:p>
      <w:pPr>
        <w:pStyle w:val="89"/>
        <w:numPr>
          <w:ilvl w:val="0"/>
          <w:numId w:val="25"/>
        </w:numPr>
        <w:spacing w:line="336" w:lineRule="auto"/>
        <w:ind w:firstLineChars="0"/>
        <w:rPr>
          <w:color w:val="000000" w:themeColor="text1"/>
          <w14:textFill>
            <w14:solidFill>
              <w14:schemeClr w14:val="tx1"/>
            </w14:solidFill>
          </w14:textFill>
        </w:rPr>
      </w:pPr>
      <w:r>
        <w:rPr>
          <w:rFonts w:ascii="Verdana" w:hAnsi="Verdana"/>
          <w:color w:val="000000" w:themeColor="text1"/>
          <w:szCs w:val="21"/>
          <w:shd w:val="clear" w:color="auto" w:fill="FFFFFF"/>
          <w14:textFill>
            <w14:solidFill>
              <w14:schemeClr w14:val="tx1"/>
            </w14:solidFill>
          </w14:textFill>
        </w:rPr>
        <w:t>导体类型</w:t>
      </w:r>
      <w:r>
        <w:rPr>
          <w:rFonts w:hint="eastAsia" w:ascii="Verdana" w:hAnsi="Verdana"/>
          <w:color w:val="000000" w:themeColor="text1"/>
          <w:szCs w:val="21"/>
          <w:shd w:val="clear" w:color="auto" w:fill="FFFFFF"/>
          <w14:textFill>
            <w14:solidFill>
              <w14:schemeClr w14:val="tx1"/>
            </w14:solidFill>
          </w14:textFill>
        </w:rPr>
        <w:t>：</w:t>
      </w:r>
      <w:r>
        <w:rPr>
          <w:rFonts w:ascii="Verdana" w:hAnsi="Verdana"/>
          <w:color w:val="000000" w:themeColor="text1"/>
          <w:szCs w:val="21"/>
          <w:shd w:val="clear" w:color="auto" w:fill="FFFFFF"/>
          <w14:textFill>
            <w14:solidFill>
              <w14:schemeClr w14:val="tx1"/>
            </w14:solidFill>
          </w14:textFill>
        </w:rPr>
        <w:t>实芯/绞式</w:t>
      </w:r>
      <w:r>
        <w:rPr>
          <w:rFonts w:hint="eastAsia" w:ascii="Verdana" w:hAnsi="Verdana"/>
          <w:color w:val="000000" w:themeColor="text1"/>
          <w:szCs w:val="21"/>
          <w:shd w:val="clear" w:color="auto" w:fill="FFFFFF"/>
          <w14:textFill>
            <w14:solidFill>
              <w14:schemeClr w14:val="tx1"/>
            </w14:solidFill>
          </w14:textFill>
        </w:rPr>
        <w:t>；</w:t>
      </w:r>
    </w:p>
    <w:p>
      <w:pPr>
        <w:pStyle w:val="89"/>
        <w:numPr>
          <w:ilvl w:val="0"/>
          <w:numId w:val="25"/>
        </w:numPr>
        <w:spacing w:line="336" w:lineRule="auto"/>
        <w:ind w:firstLineChars="0"/>
        <w:rPr>
          <w:color w:val="000000" w:themeColor="text1"/>
          <w14:textFill>
            <w14:solidFill>
              <w14:schemeClr w14:val="tx1"/>
            </w14:solidFill>
          </w14:textFill>
        </w:rPr>
      </w:pPr>
      <w:r>
        <w:rPr>
          <w:rFonts w:ascii="Verdana" w:hAnsi="Verdana"/>
          <w:color w:val="000000" w:themeColor="text1"/>
          <w:szCs w:val="21"/>
          <w:shd w:val="clear" w:color="auto" w:fill="FFFFFF"/>
          <w14:textFill>
            <w14:solidFill>
              <w14:schemeClr w14:val="tx1"/>
            </w14:solidFill>
          </w14:textFill>
        </w:rPr>
        <w:t>针数</w:t>
      </w:r>
      <w:r>
        <w:rPr>
          <w:rFonts w:hint="eastAsia" w:ascii="Verdana" w:hAnsi="Verdana"/>
          <w:color w:val="000000" w:themeColor="text1"/>
          <w:szCs w:val="21"/>
          <w:shd w:val="clear" w:color="auto" w:fill="FFFFFF"/>
          <w14:textFill>
            <w14:solidFill>
              <w14:schemeClr w14:val="tx1"/>
            </w14:solidFill>
          </w14:textFill>
        </w:rPr>
        <w:t>：8；</w:t>
      </w:r>
    </w:p>
    <w:p>
      <w:pPr>
        <w:pStyle w:val="89"/>
        <w:numPr>
          <w:ilvl w:val="0"/>
          <w:numId w:val="25"/>
        </w:numPr>
        <w:spacing w:line="336" w:lineRule="auto"/>
        <w:ind w:firstLineChars="0"/>
        <w:rPr>
          <w:color w:val="000000" w:themeColor="text1"/>
          <w14:textFill>
            <w14:solidFill>
              <w14:schemeClr w14:val="tx1"/>
            </w14:solidFill>
          </w14:textFill>
        </w:rPr>
      </w:pPr>
      <w:r>
        <w:rPr>
          <w:rFonts w:ascii="Verdana" w:hAnsi="Verdana"/>
          <w:color w:val="000000" w:themeColor="text1"/>
          <w:szCs w:val="21"/>
          <w:shd w:val="clear" w:color="auto" w:fill="FFFFFF"/>
          <w14:textFill>
            <w14:solidFill>
              <w14:schemeClr w14:val="tx1"/>
            </w14:solidFill>
          </w14:textFill>
        </w:rPr>
        <w:t>触点基础材质</w:t>
      </w:r>
      <w:r>
        <w:rPr>
          <w:rFonts w:hint="eastAsia" w:ascii="Verdana" w:hAnsi="Verdana"/>
          <w:color w:val="000000" w:themeColor="text1"/>
          <w:szCs w:val="21"/>
          <w:shd w:val="clear" w:color="auto" w:fill="FFFFFF"/>
          <w14:textFill>
            <w14:solidFill>
              <w14:schemeClr w14:val="tx1"/>
            </w14:solidFill>
          </w14:textFill>
        </w:rPr>
        <w:t>：</w:t>
      </w:r>
      <w:r>
        <w:rPr>
          <w:rFonts w:ascii="Verdana" w:hAnsi="Verdana"/>
          <w:color w:val="000000" w:themeColor="text1"/>
          <w:szCs w:val="21"/>
          <w:shd w:val="clear" w:color="auto" w:fill="FFFFFF"/>
          <w14:textFill>
            <w14:solidFill>
              <w14:schemeClr w14:val="tx1"/>
            </w14:solidFill>
          </w14:textFill>
        </w:rPr>
        <w:t>磷青铜</w:t>
      </w:r>
      <w:r>
        <w:rPr>
          <w:rFonts w:hint="eastAsia" w:ascii="Verdana" w:hAnsi="Verdana"/>
          <w:color w:val="000000" w:themeColor="text1"/>
          <w:szCs w:val="21"/>
          <w:shd w:val="clear" w:color="auto" w:fill="FFFFFF"/>
          <w14:textFill>
            <w14:solidFill>
              <w14:schemeClr w14:val="tx1"/>
            </w14:solidFill>
          </w14:textFill>
        </w:rPr>
        <w:t>；</w:t>
      </w:r>
    </w:p>
    <w:p>
      <w:pPr>
        <w:pStyle w:val="89"/>
        <w:numPr>
          <w:ilvl w:val="0"/>
          <w:numId w:val="25"/>
        </w:numPr>
        <w:spacing w:line="336" w:lineRule="auto"/>
        <w:ind w:firstLineChars="0"/>
        <w:rPr>
          <w:rStyle w:val="350"/>
          <w:color w:val="000000" w:themeColor="text1"/>
          <w14:textFill>
            <w14:solidFill>
              <w14:schemeClr w14:val="tx1"/>
            </w14:solidFill>
          </w14:textFill>
        </w:rPr>
      </w:pPr>
      <w:r>
        <w:rPr>
          <w:rFonts w:ascii="Verdana" w:hAnsi="Verdana"/>
          <w:color w:val="000000" w:themeColor="text1"/>
          <w:szCs w:val="21"/>
          <w:shd w:val="clear" w:color="auto" w:fill="FFFFFF"/>
          <w14:textFill>
            <w14:solidFill>
              <w14:schemeClr w14:val="tx1"/>
            </w14:solidFill>
          </w14:textFill>
        </w:rPr>
        <w:t>触点啮合区域镀层材质</w:t>
      </w:r>
      <w:r>
        <w:rPr>
          <w:rStyle w:val="350"/>
          <w:rFonts w:hint="eastAsia"/>
          <w:color w:val="000000" w:themeColor="text1"/>
          <w14:textFill>
            <w14:solidFill>
              <w14:schemeClr w14:val="tx1"/>
            </w14:solidFill>
          </w14:textFill>
        </w:rPr>
        <w:t>：金；</w:t>
      </w:r>
    </w:p>
    <w:p>
      <w:pPr>
        <w:pStyle w:val="89"/>
        <w:numPr>
          <w:ilvl w:val="0"/>
          <w:numId w:val="25"/>
        </w:numPr>
        <w:spacing w:line="336" w:lineRule="auto"/>
        <w:ind w:firstLineChars="0"/>
        <w:rPr>
          <w:color w:val="000000" w:themeColor="text1"/>
          <w14:textFill>
            <w14:solidFill>
              <w14:schemeClr w14:val="tx1"/>
            </w14:solidFill>
          </w14:textFill>
        </w:rPr>
      </w:pPr>
      <w:r>
        <w:rPr>
          <w:rFonts w:ascii="Verdana" w:hAnsi="Verdana"/>
          <w:color w:val="000000" w:themeColor="text1"/>
          <w:szCs w:val="21"/>
          <w:shd w:val="clear" w:color="auto" w:fill="FFFFFF"/>
          <w14:textFill>
            <w14:solidFill>
              <w14:schemeClr w14:val="tx1"/>
            </w14:solidFill>
          </w14:textFill>
        </w:rPr>
        <w:t>触点啮合区域镀层厚度</w:t>
      </w:r>
      <w:r>
        <w:rPr>
          <w:rStyle w:val="350"/>
          <w:rFonts w:hint="eastAsia" w:ascii="Verdana" w:hAnsi="Verdana"/>
          <w:color w:val="000000" w:themeColor="text1"/>
          <w:szCs w:val="21"/>
          <w:shd w:val="clear" w:color="auto" w:fill="FFFFFF"/>
          <w14:textFill>
            <w14:solidFill>
              <w14:schemeClr w14:val="tx1"/>
            </w14:solidFill>
          </w14:textFill>
        </w:rPr>
        <w:t>：</w:t>
      </w:r>
      <w:r>
        <w:rPr>
          <w:rFonts w:ascii="Verdana" w:hAnsi="Verdana"/>
          <w:color w:val="000000" w:themeColor="text1"/>
          <w:szCs w:val="21"/>
          <w:shd w:val="clear" w:color="auto" w:fill="FFFFFF"/>
          <w14:textFill>
            <w14:solidFill>
              <w14:schemeClr w14:val="tx1"/>
            </w14:solidFill>
          </w14:textFill>
        </w:rPr>
        <w:t>50.00 µin|1.27 µm</w:t>
      </w:r>
      <w:r>
        <w:rPr>
          <w:rFonts w:hint="eastAsia" w:ascii="Verdana" w:hAnsi="Verdana"/>
          <w:color w:val="000000" w:themeColor="text1"/>
          <w:szCs w:val="21"/>
          <w:shd w:val="clear" w:color="auto" w:fill="FFFFFF"/>
          <w14:textFill>
            <w14:solidFill>
              <w14:schemeClr w14:val="tx1"/>
            </w14:solidFill>
          </w14:textFill>
        </w:rPr>
        <w:t>；</w:t>
      </w:r>
    </w:p>
    <w:p>
      <w:pPr>
        <w:pStyle w:val="89"/>
        <w:numPr>
          <w:ilvl w:val="0"/>
          <w:numId w:val="25"/>
        </w:numPr>
        <w:spacing w:line="336" w:lineRule="auto"/>
        <w:ind w:firstLineChars="0"/>
        <w:rPr>
          <w:color w:val="000000" w:themeColor="text1"/>
          <w14:textFill>
            <w14:solidFill>
              <w14:schemeClr w14:val="tx1"/>
            </w14:solidFill>
          </w14:textFill>
        </w:rPr>
      </w:pPr>
      <w:r>
        <w:rPr>
          <w:rFonts w:ascii="Verdana" w:hAnsi="Verdana"/>
          <w:color w:val="000000" w:themeColor="text1"/>
          <w:szCs w:val="21"/>
          <w:shd w:val="clear" w:color="auto" w:fill="FFFFFF"/>
          <w14:textFill>
            <w14:solidFill>
              <w14:schemeClr w14:val="tx1"/>
            </w14:solidFill>
          </w14:textFill>
        </w:rPr>
        <w:t>加载触点数</w:t>
      </w:r>
      <w:r>
        <w:rPr>
          <w:rFonts w:hint="eastAsia" w:ascii="Verdana" w:hAnsi="Verdana"/>
          <w:color w:val="000000" w:themeColor="text1"/>
          <w:szCs w:val="21"/>
          <w:shd w:val="clear" w:color="auto" w:fill="FFFFFF"/>
          <w14:textFill>
            <w14:solidFill>
              <w14:schemeClr w14:val="tx1"/>
            </w14:solidFill>
          </w14:textFill>
        </w:rPr>
        <w:t>：</w:t>
      </w:r>
      <w:r>
        <w:rPr>
          <w:rFonts w:ascii="Verdana" w:hAnsi="Verdana"/>
          <w:color w:val="000000" w:themeColor="text1"/>
          <w:szCs w:val="21"/>
          <w:shd w:val="clear" w:color="auto" w:fill="FFFFFF"/>
          <w14:textFill>
            <w14:solidFill>
              <w14:schemeClr w14:val="tx1"/>
            </w14:solidFill>
          </w14:textFill>
        </w:rPr>
        <w:t>8</w:t>
      </w:r>
      <w:r>
        <w:rPr>
          <w:rFonts w:hint="eastAsia" w:ascii="Verdana" w:hAnsi="Verdana"/>
          <w:color w:val="000000" w:themeColor="text1"/>
          <w:szCs w:val="21"/>
          <w:shd w:val="clear" w:color="auto" w:fill="FFFFFF"/>
          <w14:textFill>
            <w14:solidFill>
              <w14:schemeClr w14:val="tx1"/>
            </w14:solidFill>
          </w14:textFill>
        </w:rPr>
        <w:t>；</w:t>
      </w:r>
    </w:p>
    <w:p>
      <w:pPr>
        <w:pStyle w:val="89"/>
        <w:numPr>
          <w:ilvl w:val="0"/>
          <w:numId w:val="25"/>
        </w:numPr>
        <w:spacing w:line="336" w:lineRule="auto"/>
        <w:ind w:firstLineChars="0"/>
        <w:rPr>
          <w:color w:val="000000" w:themeColor="text1"/>
          <w14:textFill>
            <w14:solidFill>
              <w14:schemeClr w14:val="tx1"/>
            </w14:solidFill>
          </w14:textFill>
        </w:rPr>
      </w:pPr>
      <w:r>
        <w:rPr>
          <w:rFonts w:ascii="Verdana" w:hAnsi="Verdana"/>
          <w:color w:val="000000" w:themeColor="text1"/>
          <w:szCs w:val="21"/>
          <w:shd w:val="clear" w:color="auto" w:fill="FFFFFF"/>
          <w14:textFill>
            <w14:solidFill>
              <w14:schemeClr w14:val="tx1"/>
            </w14:solidFill>
          </w14:textFill>
        </w:rPr>
        <w:t>外壳材质</w:t>
      </w:r>
      <w:r>
        <w:rPr>
          <w:rFonts w:hint="eastAsia" w:ascii="Verdana" w:hAnsi="Verdana"/>
          <w:color w:val="000000" w:themeColor="text1"/>
          <w:szCs w:val="21"/>
          <w:shd w:val="clear" w:color="auto" w:fill="FFFFFF"/>
          <w14:textFill>
            <w14:solidFill>
              <w14:schemeClr w14:val="tx1"/>
            </w14:solidFill>
          </w14:textFill>
        </w:rPr>
        <w:t>：</w:t>
      </w:r>
      <w:r>
        <w:rPr>
          <w:rFonts w:ascii="Verdana" w:hAnsi="Verdana"/>
          <w:color w:val="000000" w:themeColor="text1"/>
          <w:szCs w:val="21"/>
          <w:shd w:val="clear" w:color="auto" w:fill="FFFFFF"/>
          <w14:textFill>
            <w14:solidFill>
              <w14:schemeClr w14:val="tx1"/>
            </w14:solidFill>
          </w14:textFill>
        </w:rPr>
        <w:t>玻璃填充聚碳酸酯</w:t>
      </w:r>
      <w:r>
        <w:rPr>
          <w:rFonts w:hint="eastAsia" w:ascii="Verdana" w:hAnsi="Verdana"/>
          <w:color w:val="000000" w:themeColor="text1"/>
          <w:szCs w:val="21"/>
          <w:shd w:val="clear" w:color="auto" w:fill="FFFFFF"/>
          <w14:textFill>
            <w14:solidFill>
              <w14:schemeClr w14:val="tx1"/>
            </w14:solidFill>
          </w14:textFill>
        </w:rPr>
        <w:t>；</w:t>
      </w:r>
    </w:p>
    <w:p>
      <w:pPr>
        <w:pStyle w:val="89"/>
        <w:numPr>
          <w:ilvl w:val="0"/>
          <w:numId w:val="25"/>
        </w:numPr>
        <w:spacing w:line="336" w:lineRule="auto"/>
        <w:ind w:firstLineChars="0"/>
        <w:rPr>
          <w:color w:val="000000" w:themeColor="text1"/>
          <w14:textFill>
            <w14:solidFill>
              <w14:schemeClr w14:val="tx1"/>
            </w14:solidFill>
          </w14:textFill>
        </w:rPr>
      </w:pPr>
      <w:r>
        <w:rPr>
          <w:rFonts w:ascii="Verdana" w:hAnsi="Verdana"/>
          <w:color w:val="000000" w:themeColor="text1"/>
          <w:szCs w:val="21"/>
          <w:shd w:val="clear" w:color="auto" w:fill="FFFFFF"/>
          <w14:textFill>
            <w14:solidFill>
              <w14:schemeClr w14:val="tx1"/>
            </w14:solidFill>
          </w14:textFill>
        </w:rPr>
        <w:t>线缆/电缆端接方式</w:t>
      </w:r>
      <w:r>
        <w:rPr>
          <w:rFonts w:hint="eastAsia" w:ascii="Verdana" w:hAnsi="Verdana"/>
          <w:color w:val="000000" w:themeColor="text1"/>
          <w:szCs w:val="21"/>
          <w:shd w:val="clear" w:color="auto" w:fill="FFFFFF"/>
          <w14:textFill>
            <w14:solidFill>
              <w14:schemeClr w14:val="tx1"/>
            </w14:solidFill>
          </w14:textFill>
        </w:rPr>
        <w:t>：</w:t>
      </w:r>
      <w:r>
        <w:rPr>
          <w:rFonts w:ascii="Verdana" w:hAnsi="Verdana"/>
          <w:color w:val="000000" w:themeColor="text1"/>
          <w:szCs w:val="21"/>
          <w:shd w:val="clear" w:color="auto" w:fill="FFFFFF"/>
          <w14:textFill>
            <w14:solidFill>
              <w14:schemeClr w14:val="tx1"/>
            </w14:solidFill>
          </w14:textFill>
        </w:rPr>
        <w:t>绝缘置换压接（IDC）</w:t>
      </w:r>
      <w:r>
        <w:rPr>
          <w:rFonts w:hint="eastAsia" w:ascii="Verdana" w:hAnsi="Verdana"/>
          <w:color w:val="000000" w:themeColor="text1"/>
          <w:szCs w:val="21"/>
          <w:shd w:val="clear" w:color="auto" w:fill="FFFFFF"/>
          <w14:textFill>
            <w14:solidFill>
              <w14:schemeClr w14:val="tx1"/>
            </w14:solidFill>
          </w14:textFill>
        </w:rPr>
        <w:t>；</w:t>
      </w:r>
    </w:p>
    <w:p>
      <w:pPr>
        <w:pStyle w:val="89"/>
        <w:numPr>
          <w:ilvl w:val="0"/>
          <w:numId w:val="25"/>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规格型号满足招标人要求；</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尾纤</w:t>
      </w:r>
    </w:p>
    <w:p>
      <w:pPr>
        <w:pStyle w:val="89"/>
        <w:numPr>
          <w:ilvl w:val="0"/>
          <w:numId w:val="26"/>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外观：平滑、洁净、无油污、无伤痕和裂纹，零件组合平正，插头与转接器的接合平顺，易于插拨；</w:t>
      </w:r>
    </w:p>
    <w:p>
      <w:pPr>
        <w:pStyle w:val="89"/>
        <w:numPr>
          <w:ilvl w:val="0"/>
          <w:numId w:val="26"/>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插入损耗≤</w:t>
      </w:r>
      <w:r>
        <w:rPr>
          <w:color w:val="000000" w:themeColor="text1"/>
          <w14:textFill>
            <w14:solidFill>
              <w14:schemeClr w14:val="tx1"/>
            </w14:solidFill>
          </w14:textFill>
        </w:rPr>
        <w:t>0.3dB</w:t>
      </w:r>
      <w:r>
        <w:rPr>
          <w:rFonts w:hint="eastAsia"/>
          <w:color w:val="000000" w:themeColor="text1"/>
          <w14:textFill>
            <w14:solidFill>
              <w14:schemeClr w14:val="tx1"/>
            </w14:solidFill>
          </w14:textFill>
        </w:rPr>
        <w:t>，回波损耗≥</w:t>
      </w:r>
      <w:r>
        <w:rPr>
          <w:color w:val="000000" w:themeColor="text1"/>
          <w14:textFill>
            <w14:solidFill>
              <w14:schemeClr w14:val="tx1"/>
            </w14:solidFill>
          </w14:textFill>
        </w:rPr>
        <w:t>50dB</w:t>
      </w:r>
      <w:r>
        <w:rPr>
          <w:rFonts w:hint="eastAsia"/>
          <w:color w:val="000000" w:themeColor="text1"/>
          <w14:textFill>
            <w14:solidFill>
              <w14:schemeClr w14:val="tx1"/>
            </w14:solidFill>
          </w14:textFill>
        </w:rPr>
        <w:t>；</w:t>
      </w:r>
    </w:p>
    <w:p>
      <w:pPr>
        <w:pStyle w:val="89"/>
        <w:numPr>
          <w:ilvl w:val="0"/>
          <w:numId w:val="26"/>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插拔次数＞</w:t>
      </w:r>
      <w:r>
        <w:rPr>
          <w:color w:val="000000" w:themeColor="text1"/>
          <w14:textFill>
            <w14:solidFill>
              <w14:schemeClr w14:val="tx1"/>
            </w14:solidFill>
          </w14:textFill>
        </w:rPr>
        <w:t>1000</w:t>
      </w:r>
      <w:r>
        <w:rPr>
          <w:rFonts w:hint="eastAsia"/>
          <w:color w:val="000000" w:themeColor="text1"/>
          <w14:textFill>
            <w14:solidFill>
              <w14:schemeClr w14:val="tx1"/>
            </w14:solidFill>
          </w14:textFill>
        </w:rPr>
        <w:t>次；</w:t>
      </w:r>
    </w:p>
    <w:p>
      <w:pPr>
        <w:pStyle w:val="89"/>
        <w:numPr>
          <w:ilvl w:val="0"/>
          <w:numId w:val="26"/>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抗拉力强，重复性好，稳定性高；</w:t>
      </w:r>
    </w:p>
    <w:p>
      <w:pPr>
        <w:pStyle w:val="89"/>
        <w:numPr>
          <w:ilvl w:val="0"/>
          <w:numId w:val="26"/>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支持</w:t>
      </w:r>
      <w:r>
        <w:rPr>
          <w:color w:val="000000" w:themeColor="text1"/>
          <w14:textFill>
            <w14:solidFill>
              <w14:schemeClr w14:val="tx1"/>
            </w14:solidFill>
          </w14:textFill>
        </w:rPr>
        <w:t>SC/PC-SC/PC</w:t>
      </w:r>
      <w:r>
        <w:rPr>
          <w:rFonts w:hint="eastAsia"/>
          <w:color w:val="000000" w:themeColor="text1"/>
          <w14:textFill>
            <w14:solidFill>
              <w14:schemeClr w14:val="tx1"/>
            </w14:solidFill>
          </w14:textFill>
        </w:rPr>
        <w:t>、SC/PC-LC/PC、LC/PC-LC/PC等各类型接头；</w:t>
      </w:r>
    </w:p>
    <w:p>
      <w:pPr>
        <w:pStyle w:val="89"/>
        <w:numPr>
          <w:ilvl w:val="0"/>
          <w:numId w:val="26"/>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无损伤的机械互换性，保证插头和适配器之间精确互接；</w:t>
      </w:r>
    </w:p>
    <w:p>
      <w:pPr>
        <w:pStyle w:val="89"/>
        <w:numPr>
          <w:ilvl w:val="0"/>
          <w:numId w:val="26"/>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光跳线满足</w:t>
      </w:r>
      <w:r>
        <w:rPr>
          <w:color w:val="000000" w:themeColor="text1"/>
          <w14:textFill>
            <w14:solidFill>
              <w14:schemeClr w14:val="tx1"/>
            </w14:solidFill>
          </w14:textFill>
        </w:rPr>
        <w:t xml:space="preserve"> ITU-T G.657A2</w:t>
      </w:r>
      <w:r>
        <w:rPr>
          <w:rFonts w:hint="eastAsia"/>
          <w:color w:val="000000" w:themeColor="text1"/>
          <w14:textFill>
            <w14:solidFill>
              <w14:schemeClr w14:val="tx1"/>
            </w14:solidFill>
          </w14:textFill>
        </w:rPr>
        <w:t>弯曲不敏感单模光纤和光缆特性的标准建议；</w:t>
      </w:r>
    </w:p>
    <w:p>
      <w:pPr>
        <w:pStyle w:val="89"/>
        <w:numPr>
          <w:ilvl w:val="0"/>
          <w:numId w:val="26"/>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光纤参考型号：</w:t>
      </w:r>
    </w:p>
    <w:p>
      <w:pPr>
        <w:pStyle w:val="89"/>
        <w:shd w:val="clear" w:color="auto" w:fill="FFFFFF"/>
        <w:spacing w:line="400" w:lineRule="exact"/>
        <w:ind w:left="839" w:firstLine="0" w:firstLineChars="0"/>
        <w:rPr>
          <w:rFonts w:ascii="Calibri" w:hAnsi="Calibri" w:cs="Calibri"/>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光跳线</w:t>
      </w:r>
      <w:r>
        <w:rPr>
          <w:rFonts w:ascii="Calibri" w:hAnsi="Calibri" w:cs="Calibri"/>
          <w:color w:val="000000" w:themeColor="text1"/>
          <w14:textFill>
            <w14:solidFill>
              <w14:schemeClr w14:val="tx1"/>
            </w14:solidFill>
          </w14:textFill>
        </w:rPr>
        <w:t>-LC/UPC-LC/UPC-</w:t>
      </w:r>
      <w:r>
        <w:rPr>
          <w:rFonts w:hint="eastAsia" w:ascii="宋体" w:hAnsi="宋体" w:cs="Calibri"/>
          <w:color w:val="000000" w:themeColor="text1"/>
          <w14:textFill>
            <w14:solidFill>
              <w14:schemeClr w14:val="tx1"/>
            </w14:solidFill>
          </w14:textFill>
        </w:rPr>
        <w:t>单模</w:t>
      </w:r>
      <w:r>
        <w:rPr>
          <w:rFonts w:ascii="Calibri" w:hAnsi="Calibri" w:cs="Calibri"/>
          <w:color w:val="000000" w:themeColor="text1"/>
          <w14:textFill>
            <w14:solidFill>
              <w14:schemeClr w14:val="tx1"/>
            </w14:solidFill>
          </w14:textFill>
        </w:rPr>
        <w:t>-10m-G.657A2-2mm-42mm LC</w:t>
      </w:r>
    </w:p>
    <w:p>
      <w:pPr>
        <w:pStyle w:val="89"/>
        <w:shd w:val="clear" w:color="auto" w:fill="FFFFFF"/>
        <w:spacing w:line="400" w:lineRule="exact"/>
        <w:ind w:left="839" w:firstLine="0" w:firstLineChars="0"/>
        <w:rPr>
          <w:rFonts w:ascii="Calibri" w:hAnsi="Calibri" w:cs="Calibri"/>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光跳线</w:t>
      </w:r>
      <w:r>
        <w:rPr>
          <w:rFonts w:ascii="Calibri" w:hAnsi="Calibri" w:cs="Calibri"/>
          <w:color w:val="000000" w:themeColor="text1"/>
          <w14:textFill>
            <w14:solidFill>
              <w14:schemeClr w14:val="tx1"/>
            </w14:solidFill>
          </w14:textFill>
        </w:rPr>
        <w:t>-LC/UPC-LC/UPC-</w:t>
      </w:r>
      <w:r>
        <w:rPr>
          <w:rFonts w:hint="eastAsia" w:ascii="宋体" w:hAnsi="宋体" w:cs="Calibri"/>
          <w:color w:val="000000" w:themeColor="text1"/>
          <w14:textFill>
            <w14:solidFill>
              <w14:schemeClr w14:val="tx1"/>
            </w14:solidFill>
          </w14:textFill>
        </w:rPr>
        <w:t>单模</w:t>
      </w:r>
      <w:r>
        <w:rPr>
          <w:rFonts w:ascii="Calibri" w:hAnsi="Calibri" w:cs="Calibri"/>
          <w:color w:val="000000" w:themeColor="text1"/>
          <w14:textFill>
            <w14:solidFill>
              <w14:schemeClr w14:val="tx1"/>
            </w14:solidFill>
          </w14:textFill>
        </w:rPr>
        <w:t>-1.5m-G.657A2-2mm-42mm LC</w:t>
      </w:r>
    </w:p>
    <w:p>
      <w:pPr>
        <w:pStyle w:val="89"/>
        <w:shd w:val="clear" w:color="auto" w:fill="FFFFFF"/>
        <w:spacing w:line="400" w:lineRule="exact"/>
        <w:ind w:left="839" w:firstLine="0" w:firstLineChars="0"/>
        <w:rPr>
          <w:rFonts w:ascii="Calibri" w:hAnsi="Calibri" w:cs="Calibri"/>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光跳线</w:t>
      </w:r>
      <w:r>
        <w:rPr>
          <w:rFonts w:ascii="Calibri" w:hAnsi="Calibri" w:cs="Calibri"/>
          <w:color w:val="000000" w:themeColor="text1"/>
          <w14:textFill>
            <w14:solidFill>
              <w14:schemeClr w14:val="tx1"/>
            </w14:solidFill>
          </w14:textFill>
        </w:rPr>
        <w:t>-LC/UPC-LC/UPC-</w:t>
      </w:r>
      <w:r>
        <w:rPr>
          <w:rFonts w:hint="eastAsia" w:ascii="宋体" w:hAnsi="宋体" w:cs="Calibri"/>
          <w:color w:val="000000" w:themeColor="text1"/>
          <w14:textFill>
            <w14:solidFill>
              <w14:schemeClr w14:val="tx1"/>
            </w14:solidFill>
          </w14:textFill>
        </w:rPr>
        <w:t>单模</w:t>
      </w:r>
      <w:r>
        <w:rPr>
          <w:rFonts w:ascii="Calibri" w:hAnsi="Calibri" w:cs="Calibri"/>
          <w:color w:val="000000" w:themeColor="text1"/>
          <w14:textFill>
            <w14:solidFill>
              <w14:schemeClr w14:val="tx1"/>
            </w14:solidFill>
          </w14:textFill>
        </w:rPr>
        <w:t>-3m-G.657A2-2mm-42mm LC</w:t>
      </w:r>
    </w:p>
    <w:p>
      <w:pPr>
        <w:pStyle w:val="89"/>
        <w:shd w:val="clear" w:color="auto" w:fill="FFFFFF"/>
        <w:spacing w:line="400" w:lineRule="exact"/>
        <w:ind w:left="839" w:firstLine="0" w:firstLineChars="0"/>
        <w:rPr>
          <w:rFonts w:ascii="Calibri" w:hAnsi="Calibri" w:cs="Calibri"/>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光跳线</w:t>
      </w:r>
      <w:r>
        <w:rPr>
          <w:rFonts w:ascii="Calibri" w:hAnsi="Calibri" w:cs="Calibri"/>
          <w:color w:val="000000" w:themeColor="text1"/>
          <w14:textFill>
            <w14:solidFill>
              <w14:schemeClr w14:val="tx1"/>
            </w14:solidFill>
          </w14:textFill>
        </w:rPr>
        <w:t>-LC/UPC-LC/UPC-</w:t>
      </w:r>
      <w:r>
        <w:rPr>
          <w:rFonts w:hint="eastAsia" w:ascii="宋体" w:hAnsi="宋体" w:cs="Calibri"/>
          <w:color w:val="000000" w:themeColor="text1"/>
          <w14:textFill>
            <w14:solidFill>
              <w14:schemeClr w14:val="tx1"/>
            </w14:solidFill>
          </w14:textFill>
        </w:rPr>
        <w:t>单模</w:t>
      </w:r>
      <w:r>
        <w:rPr>
          <w:rFonts w:ascii="Calibri" w:hAnsi="Calibri" w:cs="Calibri"/>
          <w:color w:val="000000" w:themeColor="text1"/>
          <w14:textFill>
            <w14:solidFill>
              <w14:schemeClr w14:val="tx1"/>
            </w14:solidFill>
          </w14:textFill>
        </w:rPr>
        <w:t>-10m-G.657A2-2mm-42mm LC</w:t>
      </w:r>
    </w:p>
    <w:p>
      <w:pPr>
        <w:pStyle w:val="89"/>
        <w:shd w:val="clear" w:color="auto" w:fill="FFFFFF"/>
        <w:spacing w:line="400" w:lineRule="exact"/>
        <w:ind w:left="839" w:firstLine="0" w:firstLineChars="0"/>
        <w:rPr>
          <w:rFonts w:ascii="Calibri" w:hAnsi="Calibri" w:cs="Calibri"/>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光跳线</w:t>
      </w:r>
      <w:r>
        <w:rPr>
          <w:rFonts w:ascii="Calibri" w:hAnsi="Calibri" w:cs="Calibri"/>
          <w:color w:val="000000" w:themeColor="text1"/>
          <w14:textFill>
            <w14:solidFill>
              <w14:schemeClr w14:val="tx1"/>
            </w14:solidFill>
          </w14:textFill>
        </w:rPr>
        <w:t>-LC/UPC-LC/UPC-</w:t>
      </w:r>
      <w:r>
        <w:rPr>
          <w:rFonts w:hint="eastAsia" w:ascii="宋体" w:hAnsi="宋体" w:cs="Calibri"/>
          <w:color w:val="000000" w:themeColor="text1"/>
          <w14:textFill>
            <w14:solidFill>
              <w14:schemeClr w14:val="tx1"/>
            </w14:solidFill>
          </w14:textFill>
        </w:rPr>
        <w:t>单模</w:t>
      </w:r>
      <w:r>
        <w:rPr>
          <w:rFonts w:ascii="Calibri" w:hAnsi="Calibri" w:cs="Calibri"/>
          <w:color w:val="000000" w:themeColor="text1"/>
          <w14:textFill>
            <w14:solidFill>
              <w14:schemeClr w14:val="tx1"/>
            </w14:solidFill>
          </w14:textFill>
        </w:rPr>
        <w:t>-15m-G.657A2-2mm-42mm LC</w:t>
      </w:r>
    </w:p>
    <w:p>
      <w:pPr>
        <w:pStyle w:val="89"/>
        <w:shd w:val="clear" w:color="auto" w:fill="FFFFFF"/>
        <w:spacing w:line="400" w:lineRule="exact"/>
        <w:ind w:left="839" w:firstLine="0" w:firstLineChars="0"/>
        <w:rPr>
          <w:rFonts w:ascii="Calibri" w:hAnsi="Calibri" w:cs="Calibri"/>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光跳线</w:t>
      </w:r>
      <w:r>
        <w:rPr>
          <w:rFonts w:ascii="Calibri" w:hAnsi="Calibri" w:cs="Calibri"/>
          <w:color w:val="000000" w:themeColor="text1"/>
          <w14:textFill>
            <w14:solidFill>
              <w14:schemeClr w14:val="tx1"/>
            </w14:solidFill>
          </w14:textFill>
        </w:rPr>
        <w:t>-LC/UPC-FC/UPC-</w:t>
      </w:r>
      <w:r>
        <w:rPr>
          <w:rFonts w:hint="eastAsia" w:ascii="宋体" w:hAnsi="宋体" w:cs="Calibri"/>
          <w:color w:val="000000" w:themeColor="text1"/>
          <w14:textFill>
            <w14:solidFill>
              <w14:schemeClr w14:val="tx1"/>
            </w14:solidFill>
          </w14:textFill>
        </w:rPr>
        <w:t>单模</w:t>
      </w:r>
      <w:r>
        <w:rPr>
          <w:rFonts w:ascii="Calibri" w:hAnsi="Calibri" w:cs="Calibri"/>
          <w:color w:val="000000" w:themeColor="text1"/>
          <w14:textFill>
            <w14:solidFill>
              <w14:schemeClr w14:val="tx1"/>
            </w14:solidFill>
          </w14:textFill>
        </w:rPr>
        <w:t>-30m-G.657A2-2mm-42mm LC</w:t>
      </w:r>
    </w:p>
    <w:p>
      <w:pPr>
        <w:pStyle w:val="89"/>
        <w:shd w:val="clear" w:color="auto" w:fill="FFFFFF"/>
        <w:spacing w:line="400" w:lineRule="exact"/>
        <w:ind w:left="839" w:firstLine="0" w:firstLineChars="0"/>
        <w:rPr>
          <w:rFonts w:ascii="Calibri" w:hAnsi="Calibri" w:cs="Calibri"/>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光跳线</w:t>
      </w:r>
      <w:r>
        <w:rPr>
          <w:rFonts w:ascii="Calibri" w:hAnsi="Calibri" w:cs="Calibri"/>
          <w:color w:val="000000" w:themeColor="text1"/>
          <w14:textFill>
            <w14:solidFill>
              <w14:schemeClr w14:val="tx1"/>
            </w14:solidFill>
          </w14:textFill>
        </w:rPr>
        <w:t>-LC/UPC-SC/UPC-</w:t>
      </w:r>
      <w:r>
        <w:rPr>
          <w:rFonts w:hint="eastAsia" w:ascii="宋体" w:hAnsi="宋体" w:cs="Calibri"/>
          <w:color w:val="000000" w:themeColor="text1"/>
          <w14:textFill>
            <w14:solidFill>
              <w14:schemeClr w14:val="tx1"/>
            </w14:solidFill>
          </w14:textFill>
        </w:rPr>
        <w:t>单模</w:t>
      </w:r>
      <w:r>
        <w:rPr>
          <w:rFonts w:ascii="Calibri" w:hAnsi="Calibri" w:cs="Calibri"/>
          <w:color w:val="000000" w:themeColor="text1"/>
          <w14:textFill>
            <w14:solidFill>
              <w14:schemeClr w14:val="tx1"/>
            </w14:solidFill>
          </w14:textFill>
        </w:rPr>
        <w:t>-20m-G.657A2-2mm-42mm LC</w:t>
      </w:r>
    </w:p>
    <w:p>
      <w:pPr>
        <w:pStyle w:val="89"/>
        <w:numPr>
          <w:ilvl w:val="0"/>
          <w:numId w:val="26"/>
        </w:numPr>
        <w:spacing w:line="336"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规格型号满足招标人要求；</w:t>
      </w:r>
    </w:p>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550</w:t>
      </w:r>
      <w:r>
        <w:rPr>
          <w:rFonts w:hint="eastAsia"/>
          <w:color w:val="000000" w:themeColor="text1"/>
          <w14:textFill>
            <w14:solidFill>
              <w14:schemeClr w14:val="tx1"/>
            </w14:solidFill>
          </w14:textFill>
        </w:rPr>
        <w:t>光传输系统专用服务器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台</w:t>
      </w:r>
    </w:p>
    <w:p>
      <w:pPr>
        <w:pStyle w:val="89"/>
        <w:numPr>
          <w:ilvl w:val="0"/>
          <w:numId w:val="27"/>
        </w:numPr>
        <w:spacing w:line="336" w:lineRule="auto"/>
        <w:ind w:firstLineChars="0"/>
        <w:rPr>
          <w:color w:val="000000" w:themeColor="text1"/>
          <w:highlight w:val="yellow"/>
          <w14:textFill>
            <w14:solidFill>
              <w14:schemeClr w14:val="tx1"/>
            </w14:solidFill>
          </w14:textFill>
        </w:rPr>
      </w:pPr>
      <w:r>
        <w:rPr>
          <w:rFonts w:asciiTheme="minorEastAsia" w:hAnsiTheme="minorEastAsia" w:eastAsiaTheme="minorEastAsia"/>
          <w:color w:val="000000" w:themeColor="text1"/>
          <w:highlight w:val="yellow"/>
          <w14:textFill>
            <w14:solidFill>
              <w14:schemeClr w14:val="tx1"/>
            </w14:solidFill>
          </w14:textFill>
        </w:rPr>
        <w:t>CPU</w:t>
      </w:r>
      <w:r>
        <w:rPr>
          <w:rFonts w:hint="eastAsia" w:asciiTheme="minorEastAsia" w:hAnsiTheme="minorEastAsia" w:eastAsiaTheme="minorEastAsia"/>
          <w:color w:val="000000" w:themeColor="text1"/>
          <w:highlight w:val="yellow"/>
          <w14:textFill>
            <w14:solidFill>
              <w14:schemeClr w14:val="tx1"/>
            </w14:solidFill>
          </w14:textFill>
        </w:rPr>
        <w:t xml:space="preserve"> ：</w:t>
      </w:r>
      <w:r>
        <w:rPr>
          <w:rFonts w:ascii="宋体" w:hAnsi="宋体"/>
          <w:sz w:val="24"/>
          <w:szCs w:val="24"/>
          <w:highlight w:val="yellow"/>
        </w:rPr>
        <w:t>≥</w:t>
      </w:r>
      <w:r>
        <w:rPr>
          <w:rFonts w:hint="eastAsia" w:ascii="宋体" w:hAnsi="宋体"/>
          <w:sz w:val="24"/>
          <w:szCs w:val="24"/>
          <w:highlight w:val="yellow"/>
        </w:rPr>
        <w:t>I7 7700</w:t>
      </w:r>
      <w:r>
        <w:rPr>
          <w:rFonts w:ascii="宋体" w:hAnsi="宋体"/>
          <w:sz w:val="24"/>
          <w:szCs w:val="24"/>
          <w:highlight w:val="yellow"/>
        </w:rPr>
        <w:t>,</w:t>
      </w:r>
      <w:r>
        <w:rPr>
          <w:rFonts w:ascii="宋体" w:hAnsi="宋体" w:cs="Helvetica"/>
          <w:sz w:val="24"/>
          <w:szCs w:val="24"/>
          <w:highlight w:val="yellow"/>
        </w:rPr>
        <w:t>LGA1151</w:t>
      </w:r>
    </w:p>
    <w:p>
      <w:pPr>
        <w:pStyle w:val="89"/>
        <w:numPr>
          <w:ilvl w:val="0"/>
          <w:numId w:val="27"/>
        </w:numPr>
        <w:spacing w:line="336" w:lineRule="auto"/>
        <w:ind w:firstLineChars="0"/>
        <w:rPr>
          <w:color w:val="000000" w:themeColor="text1"/>
          <w:highlight w:val="yellow"/>
          <w14:textFill>
            <w14:solidFill>
              <w14:schemeClr w14:val="tx1"/>
            </w14:solidFill>
          </w14:textFill>
        </w:rPr>
      </w:pPr>
      <w:r>
        <w:rPr>
          <w:rFonts w:hint="eastAsia" w:asciiTheme="minorEastAsia" w:hAnsiTheme="minorEastAsia" w:eastAsiaTheme="minorEastAsia"/>
          <w:color w:val="000000" w:themeColor="text1"/>
          <w:highlight w:val="yellow"/>
          <w14:textFill>
            <w14:solidFill>
              <w14:schemeClr w14:val="tx1"/>
            </w14:solidFill>
          </w14:textFill>
        </w:rPr>
        <w:t>内存：</w:t>
      </w:r>
      <w:r>
        <w:rPr>
          <w:rFonts w:eastAsia="宋体"/>
          <w:color w:val="000000" w:themeColor="text1"/>
          <w:kern w:val="2"/>
          <w:sz w:val="21"/>
          <w:szCs w:val="24"/>
          <w:highlight w:val="yellow"/>
          <w14:textFill>
            <w14:solidFill>
              <w14:schemeClr w14:val="tx1"/>
            </w14:solidFill>
          </w14:textFill>
        </w:rPr>
        <w:t>≥8G</w:t>
      </w:r>
      <w:r>
        <w:rPr>
          <w:rFonts w:hint="eastAsia" w:eastAsia="宋体"/>
          <w:color w:val="000000" w:themeColor="text1"/>
          <w:kern w:val="2"/>
          <w:sz w:val="21"/>
          <w:szCs w:val="24"/>
          <w:highlight w:val="yellow"/>
          <w14:textFill>
            <w14:solidFill>
              <w14:schemeClr w14:val="tx1"/>
            </w14:solidFill>
          </w14:textFill>
        </w:rPr>
        <w:t xml:space="preserve">B </w:t>
      </w:r>
      <w:r>
        <w:rPr>
          <w:rFonts w:eastAsia="宋体"/>
          <w:color w:val="000000" w:themeColor="text1"/>
          <w:kern w:val="2"/>
          <w:sz w:val="21"/>
          <w:szCs w:val="24"/>
          <w:highlight w:val="yellow"/>
          <w14:textFill>
            <w14:solidFill>
              <w14:schemeClr w14:val="tx1"/>
            </w14:solidFill>
          </w14:textFill>
        </w:rPr>
        <w:t>DDR</w:t>
      </w:r>
      <w:r>
        <w:rPr>
          <w:rFonts w:hint="eastAsia" w:eastAsia="宋体"/>
          <w:color w:val="000000" w:themeColor="text1"/>
          <w:kern w:val="2"/>
          <w:sz w:val="21"/>
          <w:szCs w:val="24"/>
          <w:highlight w:val="yellow"/>
          <w14:textFill>
            <w14:solidFill>
              <w14:schemeClr w14:val="tx1"/>
            </w14:solidFill>
          </w14:textFill>
        </w:rPr>
        <w:t>4 2466，</w:t>
      </w:r>
      <w:r>
        <w:rPr>
          <w:rFonts w:eastAsia="宋体"/>
          <w:color w:val="000000" w:themeColor="text1"/>
          <w:kern w:val="2"/>
          <w:sz w:val="21"/>
          <w:szCs w:val="24"/>
          <w:highlight w:val="yellow"/>
          <w14:textFill>
            <w14:solidFill>
              <w14:schemeClr w14:val="tx1"/>
            </w14:solidFill>
          </w14:textFill>
        </w:rPr>
        <w:t>内存插槽要求≥2，</w:t>
      </w:r>
      <w:r>
        <w:rPr>
          <w:rFonts w:hint="eastAsia" w:asciiTheme="minorEastAsia" w:hAnsiTheme="minorEastAsia" w:eastAsiaTheme="minorEastAsia"/>
          <w:color w:val="000000" w:themeColor="text1"/>
          <w:highlight w:val="yellow"/>
          <w14:textFill>
            <w14:solidFill>
              <w14:schemeClr w14:val="tx1"/>
            </w14:solidFill>
          </w14:textFill>
        </w:rPr>
        <w:t>最大可支持32GB，</w:t>
      </w:r>
    </w:p>
    <w:p>
      <w:pPr>
        <w:pStyle w:val="89"/>
        <w:numPr>
          <w:ilvl w:val="0"/>
          <w:numId w:val="27"/>
        </w:numPr>
        <w:spacing w:line="336" w:lineRule="auto"/>
        <w:ind w:firstLineChars="0"/>
        <w:rPr>
          <w:color w:val="000000" w:themeColor="text1"/>
          <w:highlight w:val="yellow"/>
          <w14:textFill>
            <w14:solidFill>
              <w14:schemeClr w14:val="tx1"/>
            </w14:solidFill>
          </w14:textFill>
        </w:rPr>
      </w:pPr>
      <w:r>
        <w:rPr>
          <w:rFonts w:hint="eastAsia" w:asciiTheme="minorEastAsia" w:hAnsiTheme="minorEastAsia" w:eastAsiaTheme="minorEastAsia"/>
          <w:color w:val="000000" w:themeColor="text1"/>
          <w:highlight w:val="yellow"/>
          <w14:textFill>
            <w14:solidFill>
              <w14:schemeClr w14:val="tx1"/>
            </w14:solidFill>
          </w14:textFill>
        </w:rPr>
        <w:t>硬盘</w:t>
      </w:r>
      <w:r>
        <w:rPr>
          <w:rFonts w:ascii="宋体" w:hAnsi="宋体"/>
          <w:sz w:val="24"/>
          <w:szCs w:val="24"/>
          <w:highlight w:val="yellow"/>
        </w:rPr>
        <w:t>≥</w:t>
      </w:r>
      <w:r>
        <w:rPr>
          <w:rFonts w:asciiTheme="minorEastAsia" w:hAnsiTheme="minorEastAsia" w:eastAsiaTheme="minorEastAsia"/>
          <w:color w:val="000000" w:themeColor="text1"/>
          <w:highlight w:val="yellow"/>
          <w14:textFill>
            <w14:solidFill>
              <w14:schemeClr w14:val="tx1"/>
            </w14:solidFill>
          </w14:textFill>
        </w:rPr>
        <w:t>120GSSD</w:t>
      </w:r>
      <w:r>
        <w:rPr>
          <w:rFonts w:hint="eastAsia" w:asciiTheme="minorEastAsia" w:hAnsiTheme="minorEastAsia" w:eastAsiaTheme="minorEastAsia"/>
          <w:color w:val="000000" w:themeColor="text1"/>
          <w:highlight w:val="yellow"/>
          <w14:textFill>
            <w14:solidFill>
              <w14:schemeClr w14:val="tx1"/>
            </w14:solidFill>
          </w14:textFill>
        </w:rPr>
        <w:t>；</w:t>
      </w:r>
    </w:p>
    <w:p>
      <w:pPr>
        <w:pStyle w:val="89"/>
        <w:numPr>
          <w:ilvl w:val="0"/>
          <w:numId w:val="27"/>
        </w:numPr>
        <w:spacing w:line="336" w:lineRule="auto"/>
        <w:ind w:firstLineChars="0"/>
        <w:rPr>
          <w:rFonts w:asciiTheme="minorEastAsia" w:hAnsiTheme="minorEastAsia" w:eastAsiaTheme="minorEastAsia"/>
          <w:color w:val="000000" w:themeColor="text1"/>
          <w:highlight w:val="yellow"/>
          <w14:textFill>
            <w14:solidFill>
              <w14:schemeClr w14:val="tx1"/>
            </w14:solidFill>
          </w14:textFill>
        </w:rPr>
      </w:pPr>
      <w:r>
        <w:rPr>
          <w:rFonts w:asciiTheme="minorEastAsia" w:hAnsiTheme="minorEastAsia" w:eastAsiaTheme="minorEastAsia"/>
          <w:color w:val="000000" w:themeColor="text1"/>
          <w:highlight w:val="yellow"/>
          <w14:textFill>
            <w14:solidFill>
              <w14:schemeClr w14:val="tx1"/>
            </w14:solidFill>
          </w14:textFill>
        </w:rPr>
        <w:t>机架式</w:t>
      </w:r>
      <w:r>
        <w:rPr>
          <w:rFonts w:hint="eastAsia" w:asciiTheme="minorEastAsia" w:hAnsiTheme="minorEastAsia" w:eastAsiaTheme="minorEastAsia"/>
          <w:color w:val="000000" w:themeColor="text1"/>
          <w:highlight w:val="yellow"/>
          <w14:textFill>
            <w14:solidFill>
              <w14:schemeClr w14:val="tx1"/>
            </w14:solidFill>
          </w14:textFill>
        </w:rPr>
        <w:t>1U</w:t>
      </w:r>
      <w:r>
        <w:rPr>
          <w:rFonts w:asciiTheme="minorEastAsia" w:hAnsiTheme="minorEastAsia" w:eastAsiaTheme="minorEastAsia"/>
          <w:color w:val="000000" w:themeColor="text1"/>
          <w:highlight w:val="yellow"/>
          <w14:textFill>
            <w14:solidFill>
              <w14:schemeClr w14:val="tx1"/>
            </w14:solidFill>
          </w14:textFill>
        </w:rPr>
        <w:t>机箱</w:t>
      </w:r>
      <w:r>
        <w:rPr>
          <w:rFonts w:hint="eastAsia" w:asciiTheme="minorEastAsia" w:hAnsiTheme="minorEastAsia" w:eastAsiaTheme="minorEastAsia"/>
          <w:color w:val="000000" w:themeColor="text1"/>
          <w:highlight w:val="yellow"/>
          <w14:textFill>
            <w14:solidFill>
              <w14:schemeClr w14:val="tx1"/>
            </w14:solidFill>
          </w14:textFill>
        </w:rPr>
        <w:t>，200W电源，</w:t>
      </w:r>
      <w:r>
        <w:rPr>
          <w:rFonts w:asciiTheme="minorEastAsia" w:hAnsiTheme="minorEastAsia" w:eastAsiaTheme="minorEastAsia"/>
          <w:color w:val="000000" w:themeColor="text1"/>
          <w:highlight w:val="yellow"/>
          <w14:textFill>
            <w14:solidFill>
              <w14:schemeClr w14:val="tx1"/>
            </w14:solidFill>
          </w14:textFill>
        </w:rPr>
        <w:t>2个LAN口,支持HDMI,1VGA</w:t>
      </w:r>
      <w:r>
        <w:rPr>
          <w:rFonts w:hint="eastAsia" w:asciiTheme="minorEastAsia" w:hAnsiTheme="minorEastAsia" w:eastAsiaTheme="minorEastAsia"/>
          <w:color w:val="000000" w:themeColor="text1"/>
          <w:highlight w:val="yellow"/>
          <w14:textFill>
            <w14:solidFill>
              <w14:schemeClr w14:val="tx1"/>
            </w14:solidFill>
          </w14:textFill>
        </w:rPr>
        <w:t>；</w:t>
      </w:r>
    </w:p>
    <w:p>
      <w:pPr>
        <w:pStyle w:val="89"/>
        <w:numPr>
          <w:ilvl w:val="0"/>
          <w:numId w:val="27"/>
        </w:numPr>
        <w:spacing w:line="336" w:lineRule="auto"/>
        <w:ind w:firstLineChars="0"/>
        <w:rPr>
          <w:color w:val="000000" w:themeColor="text1"/>
          <w:highlight w:val="yellow"/>
          <w14:textFill>
            <w14:solidFill>
              <w14:schemeClr w14:val="tx1"/>
            </w14:solidFill>
          </w14:textFill>
        </w:rPr>
      </w:pPr>
      <w:r>
        <w:rPr>
          <w:rFonts w:hint="eastAsia" w:ascii="宋体" w:hAnsi="宋体" w:eastAsia="宋体" w:cs="宋体"/>
          <w:color w:val="000000" w:themeColor="text1"/>
          <w:highlight w:val="yellow"/>
          <w14:textFill>
            <w14:solidFill>
              <w14:schemeClr w14:val="tx1"/>
            </w14:solidFill>
          </w14:textFill>
        </w:rPr>
        <w:t>规</w:t>
      </w:r>
      <w:r>
        <w:rPr>
          <w:rFonts w:hint="eastAsia"/>
          <w:color w:val="000000" w:themeColor="text1"/>
          <w:highlight w:val="yellow"/>
          <w14:textFill>
            <w14:solidFill>
              <w14:schemeClr w14:val="tx1"/>
            </w14:solidFill>
          </w14:textFill>
        </w:rPr>
        <w:t>格型号满足招标人要求；</w:t>
      </w:r>
    </w:p>
    <w:bookmarkEnd w:id="54"/>
    <w:bookmarkEnd w:id="55"/>
    <w:bookmarkEnd w:id="56"/>
    <w:p>
      <w:pPr>
        <w:spacing w:line="336" w:lineRule="auto"/>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7 </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550</w:t>
      </w:r>
      <w:r>
        <w:rPr>
          <w:rFonts w:hint="eastAsia"/>
          <w:color w:val="000000" w:themeColor="text1"/>
          <w14:textFill>
            <w14:solidFill>
              <w14:schemeClr w14:val="tx1"/>
            </w14:solidFill>
          </w14:textFill>
        </w:rPr>
        <w:t>光传输系统专用网管</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台</w:t>
      </w:r>
    </w:p>
    <w:p>
      <w:pPr>
        <w:pStyle w:val="89"/>
        <w:numPr>
          <w:ilvl w:val="0"/>
          <w:numId w:val="28"/>
        </w:numPr>
        <w:spacing w:line="336" w:lineRule="auto"/>
        <w:ind w:firstLineChars="0"/>
        <w:rPr>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CPU:</w:t>
      </w:r>
      <w:bookmarkStart w:id="57" w:name="_Hlk524940236"/>
      <w:r>
        <w:rPr>
          <w:rFonts w:hint="eastAsia" w:ascii="微软雅黑" w:hAnsi="微软雅黑" w:eastAsia="微软雅黑" w:cs="宋体"/>
          <w:sz w:val="22"/>
          <w:szCs w:val="22"/>
        </w:rPr>
        <w:t xml:space="preserve"> </w:t>
      </w:r>
      <w:r>
        <w:rPr>
          <w:rFonts w:hint="eastAsia" w:asciiTheme="minorEastAsia" w:hAnsiTheme="minorEastAsia" w:eastAsiaTheme="minorEastAsia"/>
          <w:color w:val="000000" w:themeColor="text1"/>
          <w14:textFill>
            <w14:solidFill>
              <w14:schemeClr w14:val="tx1"/>
            </w14:solidFill>
          </w14:textFill>
        </w:rPr>
        <w:t xml:space="preserve">Intel </w:t>
      </w:r>
      <w:bookmarkEnd w:id="57"/>
      <w:r>
        <w:rPr>
          <w:rFonts w:hint="eastAsia" w:asciiTheme="minorEastAsia" w:hAnsiTheme="minorEastAsia" w:eastAsiaTheme="minorEastAsia"/>
          <w:color w:val="000000" w:themeColor="text1"/>
          <w14:textFill>
            <w14:solidFill>
              <w14:schemeClr w14:val="tx1"/>
            </w14:solidFill>
          </w14:textFill>
        </w:rPr>
        <w:t>第1</w:t>
      </w:r>
      <w:r>
        <w:rPr>
          <w:rFonts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14:textFill>
            <w14:solidFill>
              <w14:schemeClr w14:val="tx1"/>
            </w14:solidFill>
          </w14:textFill>
        </w:rPr>
        <w:t>代T</w:t>
      </w:r>
      <w:r>
        <w:rPr>
          <w:rFonts w:asciiTheme="minorEastAsia" w:hAnsiTheme="minorEastAsia" w:eastAsiaTheme="minorEastAsia"/>
          <w:color w:val="000000" w:themeColor="text1"/>
          <w14:textFill>
            <w14:solidFill>
              <w14:schemeClr w14:val="tx1"/>
            </w14:solidFill>
          </w14:textFill>
        </w:rPr>
        <w:t>GL</w:t>
      </w:r>
      <w:r>
        <w:rPr>
          <w:rFonts w:hint="eastAsia" w:asciiTheme="minorEastAsia" w:hAnsiTheme="minorEastAsia" w:eastAsiaTheme="minorEastAsia"/>
          <w:color w:val="000000" w:themeColor="text1"/>
          <w14:textFill>
            <w14:solidFill>
              <w14:schemeClr w14:val="tx1"/>
            </w14:solidFill>
          </w14:textFill>
        </w:rPr>
        <w:t>处理器，i</w:t>
      </w:r>
      <w:r>
        <w:rPr>
          <w:rFonts w:asciiTheme="minorEastAsia" w:hAnsiTheme="minorEastAsia" w:eastAsiaTheme="minorEastAsia"/>
          <w:color w:val="000000" w:themeColor="text1"/>
          <w14:textFill>
            <w14:solidFill>
              <w14:schemeClr w14:val="tx1"/>
            </w14:solidFill>
          </w14:textFill>
        </w:rPr>
        <w:t>3-1115G4</w:t>
      </w:r>
      <w:r>
        <w:rPr>
          <w:rFonts w:hint="eastAsia" w:asciiTheme="minorEastAsia" w:hAnsiTheme="minorEastAsia" w:eastAsiaTheme="minorEastAsia"/>
          <w:color w:val="000000" w:themeColor="text1"/>
          <w14:textFill>
            <w14:solidFill>
              <w14:schemeClr w14:val="tx1"/>
            </w14:solidFill>
          </w14:textFill>
        </w:rPr>
        <w:t>或以上处理器；</w:t>
      </w:r>
    </w:p>
    <w:p>
      <w:pPr>
        <w:pStyle w:val="89"/>
        <w:numPr>
          <w:ilvl w:val="0"/>
          <w:numId w:val="28"/>
        </w:numPr>
        <w:spacing w:line="336"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内存：</w:t>
      </w:r>
      <w:r>
        <w:rPr>
          <w:rFonts w:asciiTheme="minorEastAsia" w:hAnsiTheme="minorEastAsia" w:eastAsiaTheme="minorEastAsia"/>
          <w:color w:val="000000" w:themeColor="text1"/>
          <w14:textFill>
            <w14:solidFill>
              <w14:schemeClr w14:val="tx1"/>
            </w14:solidFill>
          </w14:textFill>
        </w:rPr>
        <w:t>8</w:t>
      </w:r>
      <w:r>
        <w:rPr>
          <w:rFonts w:hint="eastAsia" w:asciiTheme="minorEastAsia" w:hAnsiTheme="minorEastAsia" w:eastAsiaTheme="minorEastAsia"/>
          <w:color w:val="000000" w:themeColor="text1"/>
          <w14:textFill>
            <w14:solidFill>
              <w14:schemeClr w14:val="tx1"/>
            </w14:solidFill>
          </w14:textFill>
        </w:rPr>
        <w:t xml:space="preserve">GB DDR4 </w:t>
      </w:r>
      <w:r>
        <w:rPr>
          <w:rFonts w:asciiTheme="minorEastAsia" w:hAnsiTheme="minorEastAsia" w:eastAsiaTheme="minorEastAsia"/>
          <w:color w:val="000000" w:themeColor="text1"/>
          <w14:textFill>
            <w14:solidFill>
              <w14:schemeClr w14:val="tx1"/>
            </w14:solidFill>
          </w14:textFill>
        </w:rPr>
        <w:t>3200</w:t>
      </w:r>
      <w:r>
        <w:rPr>
          <w:rFonts w:hint="eastAsia" w:asciiTheme="minorEastAsia" w:hAnsiTheme="minorEastAsia" w:eastAsiaTheme="minorEastAsia"/>
          <w:color w:val="000000" w:themeColor="text1"/>
          <w14:textFill>
            <w14:solidFill>
              <w14:schemeClr w14:val="tx1"/>
            </w14:solidFill>
          </w14:textFill>
        </w:rPr>
        <w:t>MHz，2个内存插槽，最高支持32GB；</w:t>
      </w:r>
    </w:p>
    <w:p>
      <w:pPr>
        <w:pStyle w:val="89"/>
        <w:numPr>
          <w:ilvl w:val="0"/>
          <w:numId w:val="28"/>
        </w:numPr>
        <w:spacing w:line="336"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硬盘：支持</w:t>
      </w:r>
      <w:r>
        <w:rPr>
          <w:rFonts w:asciiTheme="minorEastAsia" w:hAnsiTheme="minorEastAsia" w:eastAsiaTheme="minorEastAsia"/>
          <w:color w:val="000000" w:themeColor="text1"/>
          <w14:textFill>
            <w14:solidFill>
              <w14:schemeClr w14:val="tx1"/>
            </w14:solidFill>
          </w14:textFill>
        </w:rPr>
        <w:t>1T</w:t>
      </w:r>
      <w:r>
        <w:rPr>
          <w:rFonts w:hint="eastAsia" w:asciiTheme="minorEastAsia" w:hAnsiTheme="minorEastAsia" w:eastAsiaTheme="minorEastAsia"/>
          <w:color w:val="000000" w:themeColor="text1"/>
          <w14:textFill>
            <w14:solidFill>
              <w14:schemeClr w14:val="tx1"/>
            </w14:solidFill>
          </w14:textFill>
        </w:rPr>
        <w:t>B PCIe 固态硬盘；</w:t>
      </w:r>
    </w:p>
    <w:p>
      <w:pPr>
        <w:pStyle w:val="89"/>
        <w:numPr>
          <w:ilvl w:val="0"/>
          <w:numId w:val="28"/>
        </w:numPr>
        <w:spacing w:line="336"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显卡：Intel Iris Xe集显；</w:t>
      </w:r>
    </w:p>
    <w:p>
      <w:pPr>
        <w:pStyle w:val="89"/>
        <w:numPr>
          <w:ilvl w:val="0"/>
          <w:numId w:val="28"/>
        </w:numPr>
        <w:spacing w:line="336"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显示器：14英寸16:</w:t>
      </w:r>
      <w:r>
        <w:rPr>
          <w:rFonts w:asciiTheme="minorEastAsia" w:hAnsiTheme="minorEastAsia" w:eastAsiaTheme="minorEastAsia"/>
          <w:color w:val="000000" w:themeColor="text1"/>
          <w14:textFill>
            <w14:solidFill>
              <w14:schemeClr w14:val="tx1"/>
            </w14:solidFill>
          </w14:textFill>
        </w:rPr>
        <w:t>9</w:t>
      </w:r>
      <w:r>
        <w:rPr>
          <w:rFonts w:hint="eastAsia" w:asciiTheme="minorEastAsia" w:hAnsiTheme="minorEastAsia" w:eastAsiaTheme="minorEastAsia"/>
          <w:color w:val="000000" w:themeColor="text1"/>
          <w14:textFill>
            <w14:solidFill>
              <w14:schemeClr w14:val="tx1"/>
            </w14:solidFill>
          </w14:textFill>
        </w:rPr>
        <w:t>；</w:t>
      </w:r>
    </w:p>
    <w:p>
      <w:pPr>
        <w:pStyle w:val="89"/>
        <w:numPr>
          <w:ilvl w:val="0"/>
          <w:numId w:val="28"/>
        </w:numPr>
        <w:spacing w:line="336"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电源：</w:t>
      </w:r>
      <w:r>
        <w:rPr>
          <w:rFonts w:asciiTheme="minorEastAsia" w:hAnsiTheme="minorEastAsia" w:eastAsiaTheme="minorEastAsia"/>
          <w:color w:val="000000" w:themeColor="text1"/>
          <w14:textFill>
            <w14:solidFill>
              <w14:schemeClr w14:val="tx1"/>
            </w14:solidFill>
          </w14:textFill>
        </w:rPr>
        <w:t>65W</w:t>
      </w:r>
      <w:r>
        <w:rPr>
          <w:rFonts w:hint="eastAsia" w:asciiTheme="minorEastAsia" w:hAnsiTheme="minorEastAsia" w:eastAsiaTheme="minorEastAsia"/>
          <w:color w:val="000000" w:themeColor="text1"/>
          <w14:textFill>
            <w14:solidFill>
              <w14:schemeClr w14:val="tx1"/>
            </w14:solidFill>
          </w14:textFill>
        </w:rPr>
        <w:t>电源适配器；</w:t>
      </w:r>
    </w:p>
    <w:p>
      <w:pPr>
        <w:pStyle w:val="89"/>
        <w:numPr>
          <w:ilvl w:val="0"/>
          <w:numId w:val="28"/>
        </w:numPr>
        <w:spacing w:line="336" w:lineRule="auto"/>
        <w:ind w:firstLineChars="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规格型号满足招标人要求；</w:t>
      </w:r>
    </w:p>
    <w:p>
      <w:pPr>
        <w:spacing w:line="360" w:lineRule="auto"/>
        <w:ind w:firstLine="420" w:firstLineChars="200"/>
        <w:rPr>
          <w:rFonts w:ascii="宋体" w:hAnsi="宋体"/>
          <w:szCs w:val="21"/>
        </w:rPr>
      </w:pPr>
    </w:p>
    <w:p>
      <w:pPr>
        <w:spacing w:line="360" w:lineRule="auto"/>
        <w:ind w:firstLine="420" w:firstLineChars="200"/>
      </w:pPr>
    </w:p>
    <w:bookmarkEnd w:id="13"/>
    <w:bookmarkEnd w:id="14"/>
    <w:bookmarkEnd w:id="15"/>
    <w:p>
      <w:pPr>
        <w:spacing w:line="360" w:lineRule="auto"/>
        <w:ind w:firstLine="420" w:firstLineChars="200"/>
      </w:pPr>
      <w:bookmarkStart w:id="58" w:name="_Toc69378657"/>
      <w:bookmarkStart w:id="59" w:name="_Toc502914229"/>
    </w:p>
    <w:p>
      <w:pPr>
        <w:spacing w:line="360" w:lineRule="auto"/>
        <w:ind w:firstLine="420" w:firstLineChars="200"/>
        <w:rPr>
          <w:rFonts w:eastAsia="黑体"/>
          <w:b/>
          <w:bCs/>
          <w:kern w:val="44"/>
          <w:sz w:val="36"/>
          <w:szCs w:val="36"/>
        </w:rPr>
      </w:pPr>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第六章竞争性磋商响应文件格式</w:t>
      </w:r>
      <w:bookmarkEnd w:id="58"/>
    </w:p>
    <w:p/>
    <w:p/>
    <w:p/>
    <w:p/>
    <w:p/>
    <w:p/>
    <w:p/>
    <w:p>
      <w:pPr>
        <w:jc w:val="center"/>
        <w:rPr>
          <w:rFonts w:ascii="宋体" w:hAnsi="宋体"/>
          <w:sz w:val="44"/>
          <w:szCs w:val="44"/>
        </w:rPr>
      </w:pPr>
      <w:bookmarkStart w:id="60" w:name="_Toc26259736"/>
      <w:r>
        <w:rPr>
          <w:rFonts w:hint="eastAsia" w:ascii="宋体" w:hAnsi="宋体"/>
          <w:sz w:val="44"/>
          <w:szCs w:val="44"/>
        </w:rPr>
        <w:t>江苏省广电有线信息网络股份有限公司</w:t>
      </w:r>
    </w:p>
    <w:bookmarkEnd w:id="60"/>
    <w:p>
      <w:pPr>
        <w:jc w:val="center"/>
        <w:rPr>
          <w:sz w:val="48"/>
          <w:szCs w:val="48"/>
        </w:rPr>
      </w:pPr>
      <w:r>
        <w:rPr>
          <w:rFonts w:hint="eastAsia"/>
          <w:sz w:val="48"/>
          <w:szCs w:val="48"/>
        </w:rPr>
        <w:t>2021年省市县前端设备更新-光放设备及辅材集成采购</w:t>
      </w: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61" w:name="_Toc472689687"/>
      <w:bookmarkStart w:id="62" w:name="_Toc26260030"/>
      <w:bookmarkStart w:id="63" w:name="_Toc26259737"/>
      <w:bookmarkStart w:id="64" w:name="_Toc529538374"/>
      <w:bookmarkStart w:id="65" w:name="_Toc69378658"/>
      <w:bookmarkStart w:id="66" w:name="_Toc438052118"/>
      <w:bookmarkStart w:id="67" w:name="_Toc447265603"/>
      <w:bookmarkStart w:id="68" w:name="_Toc447265317"/>
      <w:r>
        <w:rPr>
          <w:rFonts w:hint="eastAsia"/>
        </w:rPr>
        <w:t>评审索引表</w:t>
      </w:r>
      <w:bookmarkEnd w:id="61"/>
      <w:bookmarkEnd w:id="62"/>
      <w:bookmarkEnd w:id="63"/>
      <w:bookmarkEnd w:id="64"/>
      <w:bookmarkEnd w:id="65"/>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69" w:name="_Toc427071030"/>
      <w:bookmarkStart w:id="70" w:name="_Toc401133270"/>
      <w:bookmarkStart w:id="71" w:name="_Toc26260031"/>
      <w:bookmarkStart w:id="72" w:name="_Toc485737092"/>
      <w:bookmarkStart w:id="73" w:name="_Toc26259738"/>
      <w:bookmarkStart w:id="74" w:name="_Toc401151285"/>
      <w:bookmarkStart w:id="75" w:name="_Toc429954241"/>
      <w:bookmarkStart w:id="76" w:name="_Toc401216443"/>
      <w:bookmarkStart w:id="77" w:name="_Toc529538375"/>
    </w:p>
    <w:p>
      <w:pPr>
        <w:pStyle w:val="5"/>
        <w:spacing w:before="260" w:after="260" w:line="416" w:lineRule="auto"/>
        <w:jc w:val="center"/>
        <w:rPr>
          <w:rFonts w:ascii="宋体" w:hAnsi="宋体" w:eastAsia="宋体"/>
          <w:b/>
          <w:bCs/>
          <w:sz w:val="22"/>
          <w:szCs w:val="28"/>
        </w:rPr>
      </w:pPr>
      <w:bookmarkStart w:id="78" w:name="_Toc69378659"/>
      <w:r>
        <w:rPr>
          <w:rFonts w:hint="eastAsia" w:ascii="宋体" w:hAnsi="宋体" w:eastAsia="宋体"/>
          <w:b/>
          <w:bCs/>
          <w:sz w:val="22"/>
          <w:szCs w:val="28"/>
        </w:rPr>
        <w:t>初步</w:t>
      </w:r>
      <w:r>
        <w:rPr>
          <w:rFonts w:ascii="宋体" w:hAnsi="宋体" w:eastAsia="宋体"/>
          <w:b/>
          <w:bCs/>
          <w:sz w:val="22"/>
          <w:szCs w:val="28"/>
        </w:rPr>
        <w:t>评审索引表</w:t>
      </w:r>
      <w:bookmarkEnd w:id="69"/>
      <w:bookmarkEnd w:id="70"/>
      <w:bookmarkEnd w:id="71"/>
      <w:bookmarkEnd w:id="72"/>
      <w:bookmarkEnd w:id="73"/>
      <w:bookmarkEnd w:id="74"/>
      <w:bookmarkEnd w:id="75"/>
      <w:bookmarkEnd w:id="76"/>
      <w:bookmarkEnd w:id="77"/>
      <w:bookmarkEnd w:id="78"/>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79" w:name="_Toc69378660"/>
      <w:bookmarkStart w:id="80" w:name="_Toc26260032"/>
      <w:bookmarkStart w:id="81" w:name="_Toc26259739"/>
      <w:r>
        <w:rPr>
          <w:rFonts w:hint="eastAsia" w:ascii="宋体" w:hAnsi="宋体" w:eastAsia="宋体"/>
          <w:b/>
          <w:bCs/>
          <w:sz w:val="22"/>
          <w:szCs w:val="28"/>
        </w:rPr>
        <w:t>详细</w:t>
      </w:r>
      <w:r>
        <w:rPr>
          <w:rFonts w:ascii="宋体" w:hAnsi="宋体" w:eastAsia="宋体"/>
          <w:b/>
          <w:bCs/>
          <w:sz w:val="22"/>
          <w:szCs w:val="28"/>
        </w:rPr>
        <w:t>评审索引表</w:t>
      </w:r>
      <w:bookmarkEnd w:id="79"/>
      <w:bookmarkEnd w:id="80"/>
      <w:bookmarkEnd w:id="81"/>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gridSpan w:val="2"/>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gridSpan w:val="2"/>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gridSpan w:val="2"/>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gridSpan w:val="2"/>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gridSpan w:val="2"/>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gridSpan w:val="2"/>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gridSpan w:val="2"/>
            <w:vAlign w:val="center"/>
          </w:tcPr>
          <w:p/>
        </w:tc>
        <w:tc>
          <w:tcPr>
            <w:tcW w:w="1141" w:type="dxa"/>
          </w:tcPr>
          <w:p/>
        </w:tc>
      </w:tr>
    </w:tbl>
    <w:p>
      <w:pPr>
        <w:pStyle w:val="6"/>
      </w:pPr>
    </w:p>
    <w:bookmarkEnd w:id="66"/>
    <w:bookmarkEnd w:id="67"/>
    <w:bookmarkEnd w:id="68"/>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82" w:name="_Toc135999006"/>
      <w:bookmarkStart w:id="83" w:name="_Toc161767428"/>
      <w:bookmarkStart w:id="84" w:name="_Toc26260033"/>
      <w:bookmarkStart w:id="85" w:name="_Toc69378663"/>
      <w:bookmarkStart w:id="86" w:name="_Toc529538377"/>
      <w:bookmarkStart w:id="87" w:name="_Toc438052120"/>
      <w:bookmarkStart w:id="88"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82"/>
      <w:bookmarkEnd w:id="83"/>
      <w:r>
        <w:rPr>
          <w:rStyle w:val="106"/>
          <w:rFonts w:hint="eastAsia" w:hAnsi="宋体"/>
          <w:b w:val="0"/>
          <w:bCs w:val="0"/>
          <w:sz w:val="24"/>
          <w:szCs w:val="24"/>
        </w:rPr>
        <w:t>响应函</w:t>
      </w:r>
      <w:bookmarkEnd w:id="84"/>
      <w:bookmarkEnd w:id="85"/>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89" w:name="_Toc26260034"/>
      <w:bookmarkStart w:id="90" w:name="_Toc69378664"/>
      <w:bookmarkStart w:id="91" w:name="_Toc26259740"/>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89"/>
      <w:bookmarkEnd w:id="90"/>
      <w:bookmarkEnd w:id="91"/>
    </w:p>
    <w:p>
      <w:pPr>
        <w:spacing w:line="360" w:lineRule="auto"/>
      </w:pPr>
      <w:r>
        <w:t>项目名称：</w:t>
      </w:r>
      <w:r>
        <w:rPr>
          <w:rFonts w:hint="eastAsia" w:ascii="宋体" w:hAnsi="宋体"/>
          <w:sz w:val="24"/>
        </w:rPr>
        <w:t>2021年省市县前端设备更新-光放设备及辅材集成采购</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光放大器EDFA</w:t>
            </w:r>
          </w:p>
        </w:tc>
        <w:tc>
          <w:tcPr>
            <w:tcW w:w="2410" w:type="dxa"/>
            <w:vAlign w:val="center"/>
          </w:tcPr>
          <w:p>
            <w:pPr>
              <w:jc w:val="center"/>
              <w:rPr>
                <w:sz w:val="18"/>
                <w:szCs w:val="18"/>
              </w:rPr>
            </w:pPr>
          </w:p>
        </w:tc>
        <w:tc>
          <w:tcPr>
            <w:tcW w:w="850" w:type="dxa"/>
            <w:vAlign w:val="center"/>
          </w:tcPr>
          <w:p>
            <w:pPr>
              <w:jc w:val="center"/>
              <w:rPr>
                <w:szCs w:val="21"/>
              </w:rPr>
            </w:pPr>
            <w:r>
              <w:rPr>
                <w:rFonts w:hint="eastAsia"/>
                <w:szCs w:val="21"/>
              </w:rPr>
              <w:t>3台</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辅材集成</w:t>
            </w:r>
          </w:p>
        </w:tc>
        <w:tc>
          <w:tcPr>
            <w:tcW w:w="2410" w:type="dxa"/>
            <w:vAlign w:val="center"/>
          </w:tcPr>
          <w:p>
            <w:pPr>
              <w:jc w:val="center"/>
              <w:rPr>
                <w:sz w:val="18"/>
                <w:szCs w:val="18"/>
              </w:rPr>
            </w:pP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交货期</w:t>
            </w:r>
          </w:p>
        </w:tc>
        <w:tc>
          <w:tcPr>
            <w:tcW w:w="8505" w:type="dxa"/>
            <w:gridSpan w:val="4"/>
            <w:vAlign w:val="center"/>
          </w:tcPr>
          <w:p>
            <w:pPr>
              <w:spacing w:line="360" w:lineRule="auto"/>
              <w:rPr>
                <w:rFonts w:ascii="宋体" w:hAnsi="宋体"/>
                <w:szCs w:val="21"/>
              </w:rPr>
            </w:pPr>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color w:val="FF0000"/>
                <w:szCs w:val="21"/>
              </w:rPr>
              <w:t>3</w:t>
            </w:r>
            <w:r>
              <w:rPr>
                <w:rFonts w:ascii="宋体" w:hAnsi="宋体"/>
                <w:color w:val="FF0000"/>
                <w:szCs w:val="21"/>
              </w:rPr>
              <w:t>0</w:t>
            </w:r>
            <w:r>
              <w:rPr>
                <w:rFonts w:hint="eastAsia" w:ascii="宋体" w:hAnsi="宋体"/>
                <w:color w:val="FF0000"/>
                <w:szCs w:val="21"/>
              </w:rPr>
              <w:t>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交货地点</w:t>
            </w:r>
          </w:p>
        </w:tc>
        <w:tc>
          <w:tcPr>
            <w:tcW w:w="8505" w:type="dxa"/>
            <w:gridSpan w:val="4"/>
            <w:vAlign w:val="center"/>
          </w:tcPr>
          <w:p>
            <w:pPr>
              <w:spacing w:line="360" w:lineRule="auto"/>
              <w:rPr>
                <w:rFonts w:ascii="宋体" w:hAnsi="宋体"/>
                <w:szCs w:val="21"/>
              </w:rPr>
            </w:pPr>
            <w:r>
              <w:rPr>
                <w:rFonts w:hint="eastAsia" w:ascii="宋体" w:hAnsi="宋体" w:cs="宋体"/>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4"/>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4"/>
            <w:vAlign w:val="center"/>
          </w:tcPr>
          <w:p>
            <w:pPr>
              <w:spacing w:line="360" w:lineRule="auto"/>
              <w:rPr>
                <w:rFonts w:ascii="宋体" w:hAnsi="宋体" w:cs="宋体"/>
              </w:rPr>
            </w:pPr>
            <w:r>
              <w:rPr>
                <w:rFonts w:hint="eastAsia"/>
                <w:color w:val="000000"/>
              </w:rPr>
              <w:t>竞争性磋商文件</w:t>
            </w:r>
            <w:r>
              <w:rPr>
                <w:color w:val="000000"/>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rPr>
                <w:color w:val="000000"/>
              </w:rPr>
              <w:t>包修期满后的服务价格</w:t>
            </w:r>
          </w:p>
        </w:tc>
        <w:tc>
          <w:tcPr>
            <w:tcW w:w="8505" w:type="dxa"/>
            <w:gridSpan w:val="4"/>
            <w:vAlign w:val="center"/>
          </w:tcPr>
          <w:p>
            <w:pPr>
              <w:spacing w:line="400" w:lineRule="exact"/>
              <w:rPr>
                <w:color w:val="000000"/>
              </w:rPr>
            </w:pPr>
            <w:r>
              <w:rPr>
                <w:color w:val="000000"/>
              </w:rPr>
              <w:t>维保价格：</w:t>
            </w:r>
            <w:r>
              <w:rPr>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400" w:lineRule="exact"/>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rPr>
                <w:rFonts w:ascii="宋体" w:hAnsi="宋体" w:cs="宋体"/>
              </w:rPr>
            </w:pPr>
          </w:p>
        </w:tc>
      </w:tr>
    </w:tbl>
    <w:p/>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92" w:name="_Toc161767431"/>
      <w:bookmarkStart w:id="93" w:name="_Toc26259742"/>
      <w:bookmarkStart w:id="94" w:name="_Toc26260036"/>
      <w:bookmarkStart w:id="95" w:name="_Toc69378666"/>
      <w:bookmarkStart w:id="96" w:name="_Toc135999010"/>
      <w:bookmarkStart w:id="97" w:name="_Toc26259741"/>
      <w:bookmarkStart w:id="98" w:name="_Toc69378665"/>
      <w:bookmarkStart w:id="99" w:name="_Toc26260035"/>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92"/>
      <w:bookmarkEnd w:id="93"/>
      <w:bookmarkEnd w:id="94"/>
      <w:bookmarkEnd w:id="95"/>
      <w:bookmarkEnd w:id="96"/>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97"/>
      <w:bookmarkEnd w:id="98"/>
      <w:bookmarkEnd w:id="99"/>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17145" b="1968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17145" b="1968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17145" b="1968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17145" b="1968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00" w:name="_Toc26259743"/>
      <w:bookmarkStart w:id="101" w:name="_Toc26260037"/>
      <w:bookmarkStart w:id="102" w:name="_Toc6937866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100"/>
      <w:bookmarkEnd w:id="101"/>
      <w:bookmarkEnd w:id="102"/>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103" w:name="_Toc26259744"/>
      <w:bookmarkStart w:id="104" w:name="_Toc161767433"/>
      <w:bookmarkStart w:id="105" w:name="_Toc26260038"/>
      <w:bookmarkStart w:id="106" w:name="_Toc135999012"/>
      <w:bookmarkStart w:id="107" w:name="_Toc69378668"/>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103"/>
      <w:bookmarkEnd w:id="104"/>
      <w:bookmarkEnd w:id="105"/>
      <w:bookmarkEnd w:id="106"/>
      <w:bookmarkEnd w:id="107"/>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9"/>
        </w:numPr>
        <w:spacing w:line="360" w:lineRule="auto"/>
        <w:rPr>
          <w:rFonts w:ascii="宋体"/>
          <w:szCs w:val="21"/>
        </w:rPr>
      </w:pPr>
      <w:r>
        <w:rPr>
          <w:rFonts w:hint="eastAsia" w:ascii="宋体"/>
          <w:szCs w:val="21"/>
        </w:rPr>
        <w:t>供应商应填写和提交下述规定的全部格式以及其它有关资料。</w:t>
      </w:r>
    </w:p>
    <w:p>
      <w:pPr>
        <w:numPr>
          <w:ilvl w:val="0"/>
          <w:numId w:val="29"/>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9"/>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9"/>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9"/>
        </w:numPr>
        <w:spacing w:line="360" w:lineRule="auto"/>
        <w:rPr>
          <w:rFonts w:ascii="宋体"/>
          <w:szCs w:val="21"/>
        </w:rPr>
      </w:pPr>
      <w:r>
        <w:rPr>
          <w:rFonts w:hint="eastAsia" w:ascii="宋体"/>
          <w:szCs w:val="21"/>
        </w:rPr>
        <w:t>供应商提交的材料将被保密，但不退还。</w:t>
      </w:r>
    </w:p>
    <w:p>
      <w:pPr>
        <w:numPr>
          <w:ilvl w:val="0"/>
          <w:numId w:val="29"/>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30"/>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30"/>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30"/>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31"/>
        </w:numPr>
        <w:spacing w:line="360" w:lineRule="auto"/>
        <w:rPr>
          <w:rFonts w:ascii="宋体" w:hAnsi="宋体"/>
          <w:szCs w:val="21"/>
          <w:u w:val="single"/>
        </w:rPr>
      </w:pPr>
      <w:r>
        <w:rPr>
          <w:rFonts w:hint="eastAsia" w:ascii="宋体" w:hAnsi="宋体"/>
          <w:szCs w:val="21"/>
        </w:rPr>
        <w:t>供应商名称：</w:t>
      </w:r>
    </w:p>
    <w:p>
      <w:pPr>
        <w:numPr>
          <w:ilvl w:val="0"/>
          <w:numId w:val="31"/>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31"/>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31"/>
        </w:numPr>
        <w:spacing w:line="360" w:lineRule="auto"/>
        <w:rPr>
          <w:rFonts w:ascii="宋体" w:hAnsi="宋体"/>
          <w:szCs w:val="21"/>
        </w:rPr>
      </w:pPr>
      <w:r>
        <w:rPr>
          <w:rFonts w:hint="eastAsia" w:ascii="宋体" w:hAnsi="宋体"/>
          <w:szCs w:val="21"/>
        </w:rPr>
        <w:t>实收资本：</w:t>
      </w:r>
    </w:p>
    <w:p>
      <w:pPr>
        <w:numPr>
          <w:ilvl w:val="0"/>
          <w:numId w:val="31"/>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31"/>
        </w:numPr>
        <w:spacing w:line="360" w:lineRule="auto"/>
        <w:rPr>
          <w:rFonts w:ascii="宋体" w:hAnsi="宋体"/>
          <w:szCs w:val="21"/>
          <w:u w:val="single"/>
        </w:rPr>
      </w:pPr>
      <w:r>
        <w:rPr>
          <w:rFonts w:hint="eastAsia" w:ascii="宋体" w:hAnsi="宋体"/>
          <w:szCs w:val="21"/>
        </w:rPr>
        <w:t>主要负责人名称：（可选填）</w:t>
      </w:r>
    </w:p>
    <w:p>
      <w:pPr>
        <w:numPr>
          <w:ilvl w:val="0"/>
          <w:numId w:val="31"/>
        </w:numPr>
        <w:spacing w:line="360" w:lineRule="auto"/>
        <w:rPr>
          <w:rFonts w:ascii="宋体" w:hAnsi="宋体"/>
          <w:szCs w:val="21"/>
        </w:rPr>
      </w:pPr>
      <w:r>
        <w:rPr>
          <w:rFonts w:hint="eastAsia" w:ascii="宋体" w:hAnsi="宋体"/>
          <w:szCs w:val="21"/>
        </w:rPr>
        <w:t>供应商在中国的代表的姓名和地址：（可选填）</w:t>
      </w:r>
    </w:p>
    <w:p>
      <w:pPr>
        <w:numPr>
          <w:ilvl w:val="0"/>
          <w:numId w:val="31"/>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31"/>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31"/>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08" w:name="_Toc26259745"/>
      <w:bookmarkStart w:id="109" w:name="_Toc69378669"/>
      <w:bookmarkStart w:id="110" w:name="_Toc2626003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108"/>
      <w:bookmarkEnd w:id="109"/>
      <w:bookmarkEnd w:id="110"/>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59"/>
      <w:bookmarkEnd w:id="86"/>
      <w:bookmarkEnd w:id="87"/>
      <w:bookmarkEnd w:id="88"/>
    </w:p>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35</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40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6">
    <w:nsid w:val="13D50CA1"/>
    <w:multiLevelType w:val="multilevel"/>
    <w:tmpl w:val="13D50CA1"/>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7">
    <w:nsid w:val="1A9A4372"/>
    <w:multiLevelType w:val="multilevel"/>
    <w:tmpl w:val="1A9A4372"/>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9">
    <w:nsid w:val="1FAA61F4"/>
    <w:multiLevelType w:val="multilevel"/>
    <w:tmpl w:val="1FAA61F4"/>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3547187E"/>
    <w:multiLevelType w:val="multilevel"/>
    <w:tmpl w:val="3547187E"/>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3">
    <w:nsid w:val="42F20B0C"/>
    <w:multiLevelType w:val="multilevel"/>
    <w:tmpl w:val="42F20B0C"/>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6">
    <w:nsid w:val="54D7165B"/>
    <w:multiLevelType w:val="multilevel"/>
    <w:tmpl w:val="54D7165B"/>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5EF10589"/>
    <w:multiLevelType w:val="multilevel"/>
    <w:tmpl w:val="5EF10589"/>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6A866325"/>
    <w:multiLevelType w:val="multilevel"/>
    <w:tmpl w:val="6A8663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75A21A73"/>
    <w:multiLevelType w:val="multilevel"/>
    <w:tmpl w:val="75A21A73"/>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5"/>
  </w:num>
  <w:num w:numId="2">
    <w:abstractNumId w:val="22"/>
  </w:num>
  <w:num w:numId="3">
    <w:abstractNumId w:val="7"/>
  </w:num>
  <w:num w:numId="4">
    <w:abstractNumId w:val="4"/>
  </w:num>
  <w:num w:numId="5">
    <w:abstractNumId w:val="20"/>
  </w:num>
  <w:num w:numId="6">
    <w:abstractNumId w:val="3"/>
  </w:num>
  <w:num w:numId="7">
    <w:abstractNumId w:val="1"/>
  </w:num>
  <w:num w:numId="8">
    <w:abstractNumId w:val="0"/>
  </w:num>
  <w:num w:numId="9">
    <w:abstractNumId w:val="6"/>
  </w:num>
  <w:num w:numId="10">
    <w:abstractNumId w:val="2"/>
  </w:num>
  <w:num w:numId="11">
    <w:abstractNumId w:val="5"/>
  </w:num>
  <w:num w:numId="12">
    <w:abstractNumId w:val="24"/>
  </w:num>
  <w:num w:numId="13">
    <w:abstractNumId w:val="8"/>
  </w:num>
  <w:num w:numId="14">
    <w:abstractNumId w:val="12"/>
  </w:num>
  <w:num w:numId="15">
    <w:abstractNumId w:val="10"/>
  </w:num>
  <w:num w:numId="16">
    <w:abstractNumId w:val="11"/>
  </w:num>
  <w:num w:numId="17">
    <w:abstractNumId w:val="9"/>
  </w:num>
  <w:num w:numId="18">
    <w:abstractNumId w:val="13"/>
  </w:num>
  <w:num w:numId="19">
    <w:abstractNumId w:val="14"/>
  </w:num>
  <w:num w:numId="20">
    <w:abstractNumId w:val="29"/>
  </w:num>
  <w:num w:numId="21">
    <w:abstractNumId w:val="16"/>
  </w:num>
  <w:num w:numId="22">
    <w:abstractNumId w:val="26"/>
  </w:num>
  <w:num w:numId="23">
    <w:abstractNumId w:val="28"/>
  </w:num>
  <w:num w:numId="24">
    <w:abstractNumId w:val="17"/>
  </w:num>
  <w:num w:numId="25">
    <w:abstractNumId w:val="19"/>
  </w:num>
  <w:num w:numId="26">
    <w:abstractNumId w:val="21"/>
  </w:num>
  <w:num w:numId="27">
    <w:abstractNumId w:val="30"/>
  </w:num>
  <w:num w:numId="28">
    <w:abstractNumId w:val="23"/>
  </w:num>
  <w:num w:numId="29">
    <w:abstractNumId w:val="15"/>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A9D"/>
    <w:rsid w:val="00031B2F"/>
    <w:rsid w:val="00031DEF"/>
    <w:rsid w:val="00033EFE"/>
    <w:rsid w:val="00034705"/>
    <w:rsid w:val="0003496A"/>
    <w:rsid w:val="00035296"/>
    <w:rsid w:val="000352DD"/>
    <w:rsid w:val="000365EA"/>
    <w:rsid w:val="00037097"/>
    <w:rsid w:val="00037954"/>
    <w:rsid w:val="00040F17"/>
    <w:rsid w:val="00041779"/>
    <w:rsid w:val="00042584"/>
    <w:rsid w:val="00045A14"/>
    <w:rsid w:val="0005189A"/>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0461"/>
    <w:rsid w:val="0011219E"/>
    <w:rsid w:val="00112D23"/>
    <w:rsid w:val="00113255"/>
    <w:rsid w:val="00113435"/>
    <w:rsid w:val="001135CE"/>
    <w:rsid w:val="0011471E"/>
    <w:rsid w:val="00117CA9"/>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59CD"/>
    <w:rsid w:val="00167A90"/>
    <w:rsid w:val="001708C4"/>
    <w:rsid w:val="00171FDA"/>
    <w:rsid w:val="00172446"/>
    <w:rsid w:val="001730DF"/>
    <w:rsid w:val="001738F1"/>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3EF5"/>
    <w:rsid w:val="00296281"/>
    <w:rsid w:val="00296FB0"/>
    <w:rsid w:val="002977C3"/>
    <w:rsid w:val="002A09B2"/>
    <w:rsid w:val="002A18B6"/>
    <w:rsid w:val="002A20BE"/>
    <w:rsid w:val="002A31A6"/>
    <w:rsid w:val="002A398F"/>
    <w:rsid w:val="002A57B4"/>
    <w:rsid w:val="002A63D6"/>
    <w:rsid w:val="002A77CF"/>
    <w:rsid w:val="002B07CB"/>
    <w:rsid w:val="002B271D"/>
    <w:rsid w:val="002B274E"/>
    <w:rsid w:val="002C0317"/>
    <w:rsid w:val="002C1A9F"/>
    <w:rsid w:val="002C1F7C"/>
    <w:rsid w:val="002C4DE8"/>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F22"/>
    <w:rsid w:val="003E794B"/>
    <w:rsid w:val="003E7A69"/>
    <w:rsid w:val="003F0D93"/>
    <w:rsid w:val="003F216D"/>
    <w:rsid w:val="003F360C"/>
    <w:rsid w:val="003F60F1"/>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3168"/>
    <w:rsid w:val="0049373E"/>
    <w:rsid w:val="00494435"/>
    <w:rsid w:val="00494AEA"/>
    <w:rsid w:val="00495459"/>
    <w:rsid w:val="0049606A"/>
    <w:rsid w:val="0049659C"/>
    <w:rsid w:val="004A0AA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6542"/>
    <w:rsid w:val="004D0B16"/>
    <w:rsid w:val="004D0C03"/>
    <w:rsid w:val="004D0FD1"/>
    <w:rsid w:val="004D1790"/>
    <w:rsid w:val="004D1F26"/>
    <w:rsid w:val="004D2528"/>
    <w:rsid w:val="004D28EA"/>
    <w:rsid w:val="004D39FE"/>
    <w:rsid w:val="004D3A64"/>
    <w:rsid w:val="004D46CB"/>
    <w:rsid w:val="004D4E05"/>
    <w:rsid w:val="004D5644"/>
    <w:rsid w:val="004D7389"/>
    <w:rsid w:val="004D7421"/>
    <w:rsid w:val="004E486F"/>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5F0B"/>
    <w:rsid w:val="00586787"/>
    <w:rsid w:val="00587B7E"/>
    <w:rsid w:val="00590759"/>
    <w:rsid w:val="00591493"/>
    <w:rsid w:val="00592E90"/>
    <w:rsid w:val="0059326F"/>
    <w:rsid w:val="005943C3"/>
    <w:rsid w:val="00596569"/>
    <w:rsid w:val="0059660B"/>
    <w:rsid w:val="00596A81"/>
    <w:rsid w:val="005A0EB9"/>
    <w:rsid w:val="005A3404"/>
    <w:rsid w:val="005A53F6"/>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606C"/>
    <w:rsid w:val="00656628"/>
    <w:rsid w:val="006609AE"/>
    <w:rsid w:val="006617C2"/>
    <w:rsid w:val="006620D5"/>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6F4"/>
    <w:rsid w:val="006D7210"/>
    <w:rsid w:val="006E06C0"/>
    <w:rsid w:val="006E230F"/>
    <w:rsid w:val="006E32DB"/>
    <w:rsid w:val="006E43A2"/>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AFA"/>
    <w:rsid w:val="007238D5"/>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7804"/>
    <w:rsid w:val="007522AE"/>
    <w:rsid w:val="007537A3"/>
    <w:rsid w:val="00753B98"/>
    <w:rsid w:val="007554FA"/>
    <w:rsid w:val="00755A5D"/>
    <w:rsid w:val="007571D2"/>
    <w:rsid w:val="00762DA6"/>
    <w:rsid w:val="007632BA"/>
    <w:rsid w:val="00764923"/>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6CF4"/>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45F6"/>
    <w:rsid w:val="0088504D"/>
    <w:rsid w:val="0088577C"/>
    <w:rsid w:val="008862AB"/>
    <w:rsid w:val="00892B6D"/>
    <w:rsid w:val="0089322E"/>
    <w:rsid w:val="00893D17"/>
    <w:rsid w:val="00893DF8"/>
    <w:rsid w:val="008947A2"/>
    <w:rsid w:val="008968CC"/>
    <w:rsid w:val="00896CDF"/>
    <w:rsid w:val="008974DB"/>
    <w:rsid w:val="008A3020"/>
    <w:rsid w:val="008A315D"/>
    <w:rsid w:val="008A4346"/>
    <w:rsid w:val="008A4A45"/>
    <w:rsid w:val="008A5CCB"/>
    <w:rsid w:val="008A63DF"/>
    <w:rsid w:val="008A64FB"/>
    <w:rsid w:val="008A6678"/>
    <w:rsid w:val="008A687B"/>
    <w:rsid w:val="008A78FF"/>
    <w:rsid w:val="008B016E"/>
    <w:rsid w:val="008B081C"/>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0285"/>
    <w:rsid w:val="008E18CA"/>
    <w:rsid w:val="008E22E5"/>
    <w:rsid w:val="008E40DA"/>
    <w:rsid w:val="008E4215"/>
    <w:rsid w:val="008E5067"/>
    <w:rsid w:val="008E65A4"/>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4670"/>
    <w:rsid w:val="00A1588D"/>
    <w:rsid w:val="00A17446"/>
    <w:rsid w:val="00A2162A"/>
    <w:rsid w:val="00A221CB"/>
    <w:rsid w:val="00A222DA"/>
    <w:rsid w:val="00A223D3"/>
    <w:rsid w:val="00A2305E"/>
    <w:rsid w:val="00A24522"/>
    <w:rsid w:val="00A24F8D"/>
    <w:rsid w:val="00A305E5"/>
    <w:rsid w:val="00A320B6"/>
    <w:rsid w:val="00A32ABB"/>
    <w:rsid w:val="00A33D1D"/>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2E42"/>
    <w:rsid w:val="00AA4DD6"/>
    <w:rsid w:val="00AA5311"/>
    <w:rsid w:val="00AA64DA"/>
    <w:rsid w:val="00AA7BA6"/>
    <w:rsid w:val="00AA7FF7"/>
    <w:rsid w:val="00AB3874"/>
    <w:rsid w:val="00AB3E9A"/>
    <w:rsid w:val="00AB4640"/>
    <w:rsid w:val="00AB4EBB"/>
    <w:rsid w:val="00AB6417"/>
    <w:rsid w:val="00AB7849"/>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443F"/>
    <w:rsid w:val="00B3059B"/>
    <w:rsid w:val="00B32C50"/>
    <w:rsid w:val="00B3314B"/>
    <w:rsid w:val="00B36610"/>
    <w:rsid w:val="00B36A21"/>
    <w:rsid w:val="00B37CF6"/>
    <w:rsid w:val="00B412A6"/>
    <w:rsid w:val="00B4510D"/>
    <w:rsid w:val="00B47E12"/>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668"/>
    <w:rsid w:val="00B71A2D"/>
    <w:rsid w:val="00B73931"/>
    <w:rsid w:val="00B764D5"/>
    <w:rsid w:val="00B76C86"/>
    <w:rsid w:val="00B77704"/>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5E52"/>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5465"/>
    <w:rsid w:val="00C16A75"/>
    <w:rsid w:val="00C17333"/>
    <w:rsid w:val="00C17624"/>
    <w:rsid w:val="00C17849"/>
    <w:rsid w:val="00C22026"/>
    <w:rsid w:val="00C24064"/>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3915"/>
    <w:rsid w:val="00C55F2D"/>
    <w:rsid w:val="00C577AE"/>
    <w:rsid w:val="00C61B66"/>
    <w:rsid w:val="00C61CF0"/>
    <w:rsid w:val="00C625CB"/>
    <w:rsid w:val="00C654BF"/>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A0308"/>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36602"/>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4372"/>
    <w:rsid w:val="00F9473C"/>
    <w:rsid w:val="00F9509E"/>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E62"/>
    <w:rsid w:val="00FD1D90"/>
    <w:rsid w:val="00FD3D5C"/>
    <w:rsid w:val="00FD50A0"/>
    <w:rsid w:val="00FD68C2"/>
    <w:rsid w:val="00FD7AE2"/>
    <w:rsid w:val="00FE1761"/>
    <w:rsid w:val="00FE2225"/>
    <w:rsid w:val="00FE2E59"/>
    <w:rsid w:val="00FE3332"/>
    <w:rsid w:val="00FE455A"/>
    <w:rsid w:val="00FE4EB5"/>
    <w:rsid w:val="00FF6C26"/>
    <w:rsid w:val="00FF6E9B"/>
    <w:rsid w:val="00FF7AC6"/>
    <w:rsid w:val="033F683B"/>
    <w:rsid w:val="043013E0"/>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9107E5B"/>
    <w:rsid w:val="1A09059C"/>
    <w:rsid w:val="1A595A62"/>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1014D28"/>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C31F2"/>
    <w:rsid w:val="5FD6799D"/>
    <w:rsid w:val="60915A2A"/>
    <w:rsid w:val="60F8252D"/>
    <w:rsid w:val="621E6BB3"/>
    <w:rsid w:val="629F59D2"/>
    <w:rsid w:val="63C64EB3"/>
    <w:rsid w:val="648D0D03"/>
    <w:rsid w:val="66C24EF1"/>
    <w:rsid w:val="66CC0AAD"/>
    <w:rsid w:val="689A3E47"/>
    <w:rsid w:val="68AE5B14"/>
    <w:rsid w:val="697A70E8"/>
    <w:rsid w:val="6A4B47BB"/>
    <w:rsid w:val="6AB96073"/>
    <w:rsid w:val="6B912F3A"/>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package" Target="embeddings/Microsoft_Visio___1.vsdx"/><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0755F5-E656-4CEA-AFB4-AD59E826F9FC}">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53</Pages>
  <Words>4197</Words>
  <Characters>23928</Characters>
  <Lines>199</Lines>
  <Paragraphs>56</Paragraphs>
  <TotalTime>34</TotalTime>
  <ScaleCrop>false</ScaleCrop>
  <LinksUpToDate>false</LinksUpToDate>
  <CharactersWithSpaces>28069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2022-02-18T03:07:00Z</dcterms:created>
  <dc:creator>Administrator</dc:creator>
  <cp:lastModifiedBy>浦文-赵玮清</cp:lastModifiedBy>
  <cp:lastPrinted>2017-04-10T13:36:00Z</cp:lastPrinted>
  <dcterms:modified xsi:type="dcterms:W3CDTF">2022-03-04T06:30:42Z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50AF624DD6294827AF0C367763F60EEA</vt:lpwstr>
  </property>
</Properties>
</file>