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2668"/>
      <w:bookmarkStart w:id="2" w:name="_Hlk100843490"/>
      <w:bookmarkStart w:id="3" w:name="_Toc227057880"/>
      <w:r>
        <w:rPr>
          <w:rFonts w:hint="eastAsia" w:ascii="黑体" w:hAnsi="宋体" w:eastAsia="黑体"/>
          <w:sz w:val="44"/>
          <w:szCs w:val="44"/>
        </w:rPr>
        <w:t>IPv6/IPv4协议转换设备</w:t>
      </w:r>
      <w:bookmarkEnd w:id="1"/>
      <w:r>
        <w:rPr>
          <w:rFonts w:hint="eastAsia" w:ascii="黑体" w:hAnsi="宋体" w:eastAsia="黑体"/>
          <w:sz w:val="44"/>
          <w:szCs w:val="44"/>
        </w:rPr>
        <w:t>采购</w:t>
      </w:r>
    </w:p>
    <w:bookmarkEnd w:id="2"/>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1"/>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二〇二二年四月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竞争性磋商公告</w:t>
      </w:r>
      <w:r>
        <w:tab/>
      </w:r>
      <w:r>
        <w:fldChar w:fldCharType="begin"/>
      </w:r>
      <w:r>
        <w:instrText xml:space="preserve"> PAGEREF _Toc69378615 \h </w:instrText>
      </w:r>
      <w:r>
        <w:fldChar w:fldCharType="separate"/>
      </w:r>
      <w:r>
        <w:t>3</w:t>
      </w:r>
      <w:r>
        <w:fldChar w:fldCharType="end"/>
      </w:r>
      <w:r>
        <w:fldChar w:fldCharType="end"/>
      </w:r>
    </w:p>
    <w:p>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竞争性磋商须知</w:t>
      </w:r>
      <w:r>
        <w:tab/>
      </w:r>
      <w:r>
        <w:fldChar w:fldCharType="end"/>
      </w:r>
      <w:r>
        <w:rPr>
          <w:rFonts w:hint="eastAsia"/>
        </w:rPr>
        <w:t>6</w:t>
      </w:r>
    </w:p>
    <w:p>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30</w:t>
      </w:r>
    </w:p>
    <w:p>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竞争性磋商响应文件格式</w:t>
      </w:r>
      <w:r>
        <w:tab/>
      </w:r>
      <w:r>
        <w:rPr>
          <w:rFonts w:hint="eastAsia"/>
        </w:rPr>
        <w:t>3</w:t>
      </w:r>
      <w:r>
        <w:rPr>
          <w:rFonts w:hint="eastAsia"/>
        </w:rPr>
        <w:fldChar w:fldCharType="end"/>
      </w:r>
      <w:r>
        <w:rPr>
          <w:rFonts w:hint="eastAsia"/>
        </w:rPr>
        <w:t>8</w:t>
      </w:r>
    </w:p>
    <w:p>
      <w:pPr>
        <w:pStyle w:val="38"/>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4" w:name="_Toc69378615"/>
      <w:r>
        <w:rPr>
          <w:rFonts w:hint="eastAsia"/>
          <w:b/>
          <w:sz w:val="36"/>
          <w:szCs w:val="36"/>
        </w:rPr>
        <w:t>第一章 竞争性磋商公告</w:t>
      </w:r>
      <w:bookmarkEnd w:id="4"/>
    </w:p>
    <w:bookmarkEnd w:id="3"/>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江苏省广电有线信息网络股份有限公司就IPv6/IPv4协议转换设备采购项目组织竞争性磋商采购，现欢迎符合资格条件的供应商参加报价和磋商。</w:t>
      </w:r>
    </w:p>
    <w:p>
      <w:pPr>
        <w:spacing w:line="360" w:lineRule="auto"/>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bookmarkStart w:id="118" w:name="_GoBack"/>
      <w:r>
        <w:rPr>
          <w:rFonts w:hint="eastAsia" w:ascii="宋体" w:hAnsi="宋体"/>
          <w:sz w:val="24"/>
        </w:rPr>
        <w:t>江苏省广电有线信息网络股份有限公司IPv6/IPv4协议转换设备采购</w:t>
      </w:r>
      <w:bookmarkEnd w:id="118"/>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4321" w:type="dxa"/>
            <w:vAlign w:val="center"/>
          </w:tcPr>
          <w:p>
            <w:pPr>
              <w:spacing w:line="400" w:lineRule="exact"/>
              <w:jc w:val="center"/>
              <w:rPr>
                <w:rFonts w:ascii="Calibri" w:hAnsi="Calibri"/>
                <w:b/>
                <w:color w:val="000000"/>
                <w:szCs w:val="21"/>
              </w:rPr>
            </w:pPr>
            <w:r>
              <w:rPr>
                <w:rFonts w:hint="eastAsia" w:ascii="Calibri" w:hAnsi="Calibri"/>
                <w:b/>
                <w:color w:val="000000"/>
                <w:szCs w:val="21"/>
              </w:rPr>
              <w:t>采购设备名称</w:t>
            </w:r>
          </w:p>
        </w:tc>
        <w:tc>
          <w:tcPr>
            <w:tcW w:w="2248"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rPr>
            </w:pPr>
            <w:r>
              <w:rPr>
                <w:color w:val="000000"/>
                <w:szCs w:val="21"/>
              </w:rPr>
              <w:t>1</w:t>
            </w:r>
          </w:p>
        </w:tc>
        <w:tc>
          <w:tcPr>
            <w:tcW w:w="4321" w:type="dxa"/>
            <w:vAlign w:val="center"/>
          </w:tcPr>
          <w:p>
            <w:pPr>
              <w:spacing w:line="400" w:lineRule="exact"/>
              <w:jc w:val="center"/>
              <w:rPr>
                <w:color w:val="000000"/>
                <w:szCs w:val="21"/>
              </w:rPr>
            </w:pPr>
            <w:r>
              <w:rPr>
                <w:rFonts w:hint="eastAsia" w:ascii="宋体" w:hAnsi="宋体"/>
                <w:sz w:val="24"/>
              </w:rPr>
              <w:t>I</w:t>
            </w:r>
            <w:r>
              <w:rPr>
                <w:rFonts w:ascii="宋体" w:hAnsi="宋体"/>
                <w:sz w:val="24"/>
              </w:rPr>
              <w:t>Pv6/IPv4</w:t>
            </w:r>
            <w:r>
              <w:rPr>
                <w:rFonts w:hint="eastAsia" w:ascii="宋体" w:hAnsi="宋体"/>
                <w:sz w:val="24"/>
              </w:rPr>
              <w:t>协议转换设备</w:t>
            </w:r>
          </w:p>
        </w:tc>
        <w:tc>
          <w:tcPr>
            <w:tcW w:w="2248" w:type="dxa"/>
            <w:vAlign w:val="center"/>
          </w:tcPr>
          <w:p>
            <w:pPr>
              <w:spacing w:line="400" w:lineRule="exact"/>
              <w:jc w:val="center"/>
              <w:rPr>
                <w:color w:val="000000"/>
                <w:szCs w:val="21"/>
              </w:rPr>
            </w:pPr>
            <w:r>
              <w:rPr>
                <w:color w:val="000000"/>
                <w:szCs w:val="21"/>
              </w:rPr>
              <w:t>2</w:t>
            </w:r>
            <w:r>
              <w:rPr>
                <w:rFonts w:hint="eastAsia"/>
                <w:color w:val="00000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79" w:type="dxa"/>
            <w:vAlign w:val="center"/>
          </w:tcPr>
          <w:p>
            <w:pPr>
              <w:spacing w:line="400" w:lineRule="exact"/>
              <w:jc w:val="center"/>
              <w:rPr>
                <w:color w:val="000000"/>
                <w:szCs w:val="21"/>
              </w:rPr>
            </w:pPr>
            <w:r>
              <w:rPr>
                <w:rFonts w:hint="eastAsia"/>
                <w:color w:val="000000"/>
                <w:szCs w:val="21"/>
              </w:rPr>
              <w:t>2</w:t>
            </w:r>
          </w:p>
        </w:tc>
        <w:tc>
          <w:tcPr>
            <w:tcW w:w="4321" w:type="dxa"/>
            <w:vAlign w:val="center"/>
          </w:tcPr>
          <w:p>
            <w:pPr>
              <w:spacing w:line="400" w:lineRule="exact"/>
              <w:jc w:val="center"/>
              <w:rPr>
                <w:rFonts w:ascii="宋体" w:hAnsi="宋体"/>
                <w:sz w:val="24"/>
              </w:rPr>
            </w:pPr>
            <w:r>
              <w:rPr>
                <w:rFonts w:hint="eastAsia" w:ascii="宋体" w:hAnsi="宋体"/>
                <w:sz w:val="24"/>
              </w:rPr>
              <w:t>I</w:t>
            </w:r>
            <w:r>
              <w:rPr>
                <w:rFonts w:ascii="宋体" w:hAnsi="宋体"/>
                <w:sz w:val="24"/>
              </w:rPr>
              <w:t>Pv6</w:t>
            </w:r>
            <w:r>
              <w:rPr>
                <w:rFonts w:hint="eastAsia" w:ascii="宋体" w:hAnsi="宋体"/>
                <w:sz w:val="24"/>
              </w:rPr>
              <w:t>支持度监测服务</w:t>
            </w:r>
          </w:p>
        </w:tc>
        <w:tc>
          <w:tcPr>
            <w:tcW w:w="2248" w:type="dxa"/>
            <w:vAlign w:val="center"/>
          </w:tcPr>
          <w:p>
            <w:pPr>
              <w:spacing w:line="400" w:lineRule="exact"/>
              <w:jc w:val="center"/>
              <w:rPr>
                <w:color w:val="000000"/>
                <w:szCs w:val="21"/>
              </w:rPr>
            </w:pPr>
            <w:r>
              <w:rPr>
                <w:color w:val="000000"/>
                <w:szCs w:val="21"/>
              </w:rPr>
              <w:t>1</w:t>
            </w:r>
            <w:r>
              <w:rPr>
                <w:rFonts w:hint="eastAsia"/>
                <w:color w:val="000000"/>
                <w:szCs w:val="21"/>
              </w:rPr>
              <w:t>项</w:t>
            </w:r>
          </w:p>
        </w:tc>
      </w:tr>
    </w:tbl>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234" w:firstLineChars="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2.供应商所投产品须具有良好的业绩和经验，自201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3.供应商须是所投货物（</w:t>
      </w:r>
      <w:r>
        <w:rPr>
          <w:rFonts w:hint="eastAsia" w:ascii="宋体" w:hAnsi="宋体"/>
          <w:sz w:val="24"/>
        </w:rPr>
        <w:t>I</w:t>
      </w:r>
      <w:r>
        <w:rPr>
          <w:rFonts w:ascii="宋体" w:hAnsi="宋体"/>
          <w:sz w:val="24"/>
        </w:rPr>
        <w:t>Pv6/IPv4</w:t>
      </w:r>
      <w:r>
        <w:rPr>
          <w:rFonts w:hint="eastAsia" w:ascii="宋体" w:hAnsi="宋体"/>
          <w:sz w:val="24"/>
        </w:rPr>
        <w:t>协议转换设备）</w:t>
      </w:r>
      <w:r>
        <w:rPr>
          <w:rFonts w:hint="eastAsia" w:ascii="宋体" w:hAnsi="宋体" w:cs="宋体"/>
          <w:kern w:val="0"/>
          <w:sz w:val="24"/>
          <w:szCs w:val="22"/>
        </w:rPr>
        <w:t>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4.供应商须提供所投货物制造商对本项目直接保修和服务的承诺。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9</w:t>
      </w:r>
      <w:r>
        <w:rPr>
          <w:rFonts w:ascii="宋体" w:hAnsi="宋体" w:cs="宋体"/>
          <w:kern w:val="0"/>
          <w:sz w:val="24"/>
          <w:szCs w:val="22"/>
        </w:rPr>
        <w:t>.</w:t>
      </w:r>
      <w:r>
        <w:rPr>
          <w:rFonts w:hint="eastAsia" w:ascii="宋体" w:hAnsi="宋体" w:cs="宋体"/>
          <w:kern w:val="0"/>
          <w:sz w:val="24"/>
          <w:szCs w:val="22"/>
        </w:rPr>
        <w:t>供应商须在法律和财务上独立、合法运作并独立于采购人，不得直接或间接地与采购人或其附属机构有任何关联。</w:t>
      </w:r>
    </w:p>
    <w:p>
      <w:pPr>
        <w:spacing w:line="360" w:lineRule="auto"/>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5日至202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10日止，每日上午9：00-12：00，下午14：00-17：00（北京时间）。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发放方式：竞争性磋商文件在报名后自行下载，请响应人联系采购人进行报名登记，具体报名方式为将确认磋商函加盖公司公章同时发至邮箱</w:t>
      </w:r>
      <w:r>
        <w:rPr>
          <w:rFonts w:ascii="宋体" w:hAnsi="宋体" w:cs="宋体"/>
          <w:color w:val="191919"/>
          <w:kern w:val="0"/>
          <w:sz w:val="24"/>
          <w:shd w:val="clear" w:color="auto" w:fill="FFFFFF"/>
        </w:rPr>
        <w:t>jscn_zbzy@163.com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10日下午17:00再登记的视为无效。</w:t>
      </w:r>
    </w:p>
    <w:p>
      <w:pPr>
        <w:widowControl/>
        <w:spacing w:line="360" w:lineRule="auto"/>
        <w:ind w:firstLine="420"/>
        <w:jc w:val="left"/>
        <w:rPr>
          <w:rFonts w:hint="eastAsia"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项目联系人：采购部门-秦晋（025-8673152</w:t>
      </w:r>
      <w:r>
        <w:rPr>
          <w:rFonts w:ascii="宋体" w:hAnsi="宋体" w:cs="宋体"/>
          <w:color w:val="191919"/>
          <w:kern w:val="0"/>
          <w:sz w:val="24"/>
          <w:shd w:val="clear" w:color="auto" w:fill="FFFFFF"/>
        </w:rPr>
        <w:t>4</w:t>
      </w:r>
      <w:r>
        <w:rPr>
          <w:rFonts w:hint="eastAsia" w:ascii="宋体" w:hAnsi="宋体" w:cs="宋体"/>
          <w:color w:val="191919"/>
          <w:kern w:val="0"/>
          <w:sz w:val="24"/>
          <w:shd w:val="clear" w:color="auto" w:fill="FFFFFF"/>
        </w:rPr>
        <w:t>），需求部门-花泉（025-8673</w:t>
      </w:r>
      <w:r>
        <w:rPr>
          <w:rFonts w:ascii="宋体" w:hAnsi="宋体" w:cs="宋体"/>
          <w:color w:val="191919"/>
          <w:kern w:val="0"/>
          <w:sz w:val="24"/>
          <w:shd w:val="clear" w:color="auto" w:fill="FFFFFF"/>
        </w:rPr>
        <w:t>1606</w:t>
      </w:r>
      <w:r>
        <w:rPr>
          <w:rFonts w:hint="eastAsia" w:ascii="宋体" w:hAnsi="宋体" w:cs="宋体"/>
          <w:color w:val="191919"/>
          <w:kern w:val="0"/>
          <w:sz w:val="24"/>
          <w:shd w:val="clear" w:color="auto" w:fill="FFFFFF"/>
        </w:rPr>
        <w:t>）</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17</w:t>
      </w:r>
      <w:r>
        <w:rPr>
          <w:rFonts w:hint="eastAsia" w:ascii="宋体" w:hAnsi="宋体" w:cs="宋体"/>
          <w:color w:val="191919"/>
          <w:kern w:val="0"/>
          <w:sz w:val="24"/>
          <w:shd w:val="clear" w:color="auto" w:fill="FFFFFF"/>
        </w:rPr>
        <w:t>日上午</w:t>
      </w:r>
      <w:r>
        <w:rPr>
          <w:rFonts w:ascii="宋体" w:hAnsi="宋体" w:cs="宋体"/>
          <w:color w:val="191919"/>
          <w:kern w:val="0"/>
          <w:sz w:val="24"/>
          <w:shd w:val="clear" w:color="auto" w:fill="FFFFFF"/>
        </w:rPr>
        <w:t>9:30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楼采购供应部。</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秦晋，电话：025-8673152</w:t>
      </w:r>
      <w:r>
        <w:rPr>
          <w:rFonts w:ascii="宋体" w:hAnsi="宋体" w:cs="宋体"/>
          <w:color w:val="191919"/>
          <w:kern w:val="0"/>
          <w:sz w:val="24"/>
        </w:rPr>
        <w:t>4。</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5</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17</w:t>
      </w:r>
      <w:r>
        <w:rPr>
          <w:rFonts w:hint="eastAsia" w:ascii="宋体" w:hAnsi="宋体" w:cs="宋体"/>
          <w:color w:val="191919"/>
          <w:kern w:val="0"/>
          <w:sz w:val="24"/>
          <w:shd w:val="clear" w:color="auto" w:fill="FFFFFF"/>
        </w:rPr>
        <w:t>日上午</w:t>
      </w:r>
      <w:r>
        <w:rPr>
          <w:rFonts w:ascii="宋体" w:hAnsi="宋体" w:cs="宋体"/>
          <w:color w:val="191919"/>
          <w:kern w:val="0"/>
          <w:sz w:val="24"/>
          <w:shd w:val="clear" w:color="auto" w:fill="FFFFFF"/>
        </w:rPr>
        <w:t>9</w:t>
      </w:r>
      <w:r>
        <w:rPr>
          <w:rFonts w:hint="eastAsia" w:ascii="宋体" w:hAnsi="宋体" w:cs="宋体"/>
          <w:color w:val="191919"/>
          <w:kern w:val="0"/>
          <w:sz w:val="24"/>
          <w:shd w:val="clear" w:color="auto" w:fill="FFFFFF"/>
        </w:rPr>
        <w:t>:</w:t>
      </w:r>
      <w:r>
        <w:rPr>
          <w:rFonts w:ascii="宋体" w:hAnsi="宋体" w:cs="宋体"/>
          <w:color w:val="191919"/>
          <w:kern w:val="0"/>
          <w:sz w:val="24"/>
          <w:shd w:val="clear" w:color="auto" w:fill="FFFFFF"/>
        </w:rPr>
        <w:t>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6" w:name="bookmark1"/>
      <w:bookmarkEnd w:id="6"/>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7" w:name="_Toc107822483"/>
      <w:bookmarkStart w:id="8" w:name="_Toc69378616"/>
      <w:bookmarkStart w:id="9" w:name="_Toc227057883"/>
      <w:bookmarkStart w:id="10" w:name="_Toc226969276"/>
      <w:r>
        <w:rPr>
          <w:rFonts w:hint="eastAsia"/>
          <w:b/>
          <w:sz w:val="36"/>
          <w:szCs w:val="36"/>
        </w:rPr>
        <w:t>第二章 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份副本），电子版本一份（电子版文件内容必须可搜索，U盘形式）。</w:t>
            </w:r>
          </w:p>
          <w:p>
            <w:pPr>
              <w:pStyle w:val="2"/>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8</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（1）竞争性磋商文件第六章“响应文件格式”中有单位名称和法定代表人或其委托代理人签字落款的响应文件必须加盖单位公章。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）不满足竞争性磋商文件对合格供应商的基本资质要求的；</w:t>
            </w:r>
          </w:p>
          <w:p>
            <w:pPr>
              <w:spacing w:line="320" w:lineRule="exact"/>
              <w:rPr>
                <w:sz w:val="24"/>
              </w:rPr>
            </w:pPr>
            <w:r>
              <w:rPr>
                <w:rFonts w:hint="eastAsia"/>
                <w:sz w:val="24"/>
              </w:rPr>
              <w:t>2）供应商在响应文件中提供的服务内容及质量不能实质性满足竞争性磋商文件要求或不能提供实质性满足证明的；</w:t>
            </w:r>
          </w:p>
          <w:p>
            <w:pPr>
              <w:spacing w:line="320" w:lineRule="exact"/>
              <w:rPr>
                <w:sz w:val="24"/>
              </w:rPr>
            </w:pPr>
            <w:r>
              <w:rPr>
                <w:rFonts w:hint="eastAsia"/>
                <w:sz w:val="24"/>
              </w:rPr>
              <w:t>3）供应商在响应文件中对于第四章《合同格式》有任何负偏离的；</w:t>
            </w:r>
          </w:p>
          <w:p>
            <w:pPr>
              <w:spacing w:line="320" w:lineRule="exact"/>
              <w:rPr>
                <w:sz w:val="24"/>
              </w:rPr>
            </w:pPr>
            <w:r>
              <w:rPr>
                <w:rFonts w:hint="eastAsia"/>
                <w:sz w:val="24"/>
              </w:rPr>
              <w:t>4）响应函、法人代表授权书不按照第六章《附件》的格式提供的；</w:t>
            </w:r>
          </w:p>
          <w:p>
            <w:pPr>
              <w:spacing w:line="320" w:lineRule="exact"/>
              <w:rPr>
                <w:sz w:val="24"/>
              </w:rPr>
            </w:pPr>
            <w:r>
              <w:rPr>
                <w:rFonts w:hint="eastAsia"/>
                <w:sz w:val="24"/>
              </w:rPr>
              <w:t>5）资格证明文件不全、失效或不符合竞争性磋商文件要求的；</w:t>
            </w:r>
          </w:p>
          <w:p>
            <w:pPr>
              <w:spacing w:line="320" w:lineRule="exact"/>
              <w:rPr>
                <w:sz w:val="24"/>
              </w:rPr>
            </w:pPr>
            <w:r>
              <w:rPr>
                <w:rFonts w:hint="eastAsia"/>
                <w:sz w:val="24"/>
              </w:rPr>
              <w:t>6）响应文件无法定代表人签字，或签字人无法定代表人有效授权的；</w:t>
            </w:r>
          </w:p>
          <w:p>
            <w:pPr>
              <w:spacing w:line="320" w:lineRule="exact"/>
              <w:rPr>
                <w:sz w:val="24"/>
              </w:rPr>
            </w:pPr>
            <w:r>
              <w:rPr>
                <w:rFonts w:hint="eastAsia"/>
                <w:sz w:val="24"/>
              </w:rPr>
              <w:t>8）响应文件或响应有效期不足的；</w:t>
            </w:r>
          </w:p>
          <w:p>
            <w:pPr>
              <w:spacing w:line="320" w:lineRule="exact"/>
              <w:rPr>
                <w:sz w:val="24"/>
              </w:rPr>
            </w:pPr>
            <w:r>
              <w:rPr>
                <w:rFonts w:hint="eastAsia"/>
                <w:sz w:val="24"/>
              </w:rPr>
              <w:t>8）响应文件中提供虚假或失实资料的；</w:t>
            </w:r>
          </w:p>
          <w:p>
            <w:pPr>
              <w:spacing w:line="320" w:lineRule="exact"/>
              <w:rPr>
                <w:sz w:val="24"/>
              </w:rPr>
            </w:pPr>
            <w:r>
              <w:rPr>
                <w:rFonts w:hint="eastAsia"/>
                <w:sz w:val="24"/>
              </w:rPr>
              <w:t>9）未按照竞争性磋商文件规定的方式领取竞争性磋商文件并按要求递交响应文件的；</w:t>
            </w:r>
          </w:p>
          <w:p>
            <w:pPr>
              <w:spacing w:line="320" w:lineRule="exact"/>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spacing w:line="320" w:lineRule="exact"/>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spacing w:line="320" w:lineRule="exact"/>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spacing w:line="320" w:lineRule="exact"/>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6</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5</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7"/>
      <w:bookmarkEnd w:id="8"/>
      <w:bookmarkEnd w:id="9"/>
      <w:bookmarkEnd w:id="10"/>
      <w:bookmarkStart w:id="11" w:name="_Toc227057922"/>
      <w:bookmarkStart w:id="12" w:name="_Toc107822520"/>
      <w:bookmarkStart w:id="13" w:name="_Toc226969316"/>
      <w:r>
        <w:br w:type="page"/>
      </w:r>
    </w:p>
    <w:bookmarkEnd w:id="11"/>
    <w:bookmarkEnd w:id="12"/>
    <w:bookmarkEnd w:id="13"/>
    <w:p>
      <w:pPr>
        <w:pStyle w:val="3"/>
        <w:numPr>
          <w:ilvl w:val="0"/>
          <w:numId w:val="0"/>
        </w:numPr>
        <w:spacing w:before="0" w:after="0" w:line="360" w:lineRule="auto"/>
        <w:rPr>
          <w:b/>
          <w:sz w:val="36"/>
          <w:szCs w:val="36"/>
        </w:rPr>
      </w:pPr>
      <w:bookmarkStart w:id="14" w:name="_Toc69378617"/>
      <w:bookmarkStart w:id="15" w:name="_Toc226969352"/>
      <w:bookmarkStart w:id="16" w:name="_Toc107822556"/>
      <w:bookmarkStart w:id="17" w:name="_Toc227057958"/>
      <w:r>
        <w:rPr>
          <w:rFonts w:hint="eastAsia"/>
          <w:b/>
          <w:sz w:val="36"/>
          <w:szCs w:val="36"/>
        </w:rPr>
        <w:t>第三章 评审办法</w:t>
      </w:r>
      <w:bookmarkEnd w:id="14"/>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分值</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cs="宋体"/>
                <w:b/>
                <w:color w:val="000000"/>
                <w:kern w:val="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35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1、供应商的响应价如有缺漏项，视为不实质性响应；</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2、评标基准价：若有效供应商≥5家，则去掉一个最低价和一个最高价，以剩余有效供应商评审价的算术平均值为评标基准价；若有效供应商＜5家，则以所有有效供应商评审价的算术平均值作为评标基准价。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3、价格分：供应商的评审价等于评标基准价，价格得分为满分；供应商的评审价每高于评标基准价1%（不满</w:t>
            </w:r>
            <w:r>
              <w:rPr>
                <w:rFonts w:ascii="宋体" w:hAnsi="宋体"/>
                <w:sz w:val="24"/>
              </w:rPr>
              <w:t>1%的部分按</w:t>
            </w:r>
            <w:r>
              <w:rPr>
                <w:rFonts w:hint="eastAsia" w:ascii="宋体" w:hAnsi="宋体"/>
                <w:sz w:val="24"/>
              </w:rPr>
              <w:t>1</w:t>
            </w:r>
            <w:r>
              <w:rPr>
                <w:rFonts w:ascii="宋体" w:hAnsi="宋体"/>
                <w:sz w:val="24"/>
              </w:rPr>
              <w:t>%</w:t>
            </w:r>
            <w:r>
              <w:rPr>
                <w:rFonts w:hint="eastAsia" w:ascii="宋体" w:hAnsi="宋体"/>
                <w:sz w:val="24"/>
              </w:rPr>
              <w:t>计算），扣</w:t>
            </w:r>
            <w:r>
              <w:rPr>
                <w:rFonts w:ascii="宋体" w:hAnsi="宋体"/>
                <w:sz w:val="24"/>
              </w:rPr>
              <w:t>0.4</w:t>
            </w:r>
            <w:r>
              <w:rPr>
                <w:rFonts w:hint="eastAsia" w:ascii="宋体" w:hAnsi="宋体"/>
                <w:sz w:val="24"/>
              </w:rPr>
              <w:t>分；供应商的评审价每低于评标基准价</w:t>
            </w:r>
            <w:r>
              <w:rPr>
                <w:rFonts w:ascii="宋体" w:hAnsi="宋体"/>
                <w:sz w:val="24"/>
              </w:rPr>
              <w:t>1</w:t>
            </w:r>
            <w:r>
              <w:rPr>
                <w:rFonts w:hint="eastAsia" w:ascii="宋体" w:hAnsi="宋体"/>
                <w:sz w:val="24"/>
              </w:rPr>
              <w:t>%（不满</w:t>
            </w:r>
            <w:r>
              <w:rPr>
                <w:rFonts w:ascii="宋体" w:hAnsi="宋体"/>
                <w:sz w:val="24"/>
              </w:rPr>
              <w:t>1%的部分</w:t>
            </w:r>
            <w:r>
              <w:rPr>
                <w:rFonts w:hint="eastAsia" w:ascii="宋体" w:hAnsi="宋体"/>
                <w:sz w:val="24"/>
              </w:rPr>
              <w:t>按1</w:t>
            </w:r>
            <w:r>
              <w:rPr>
                <w:rFonts w:ascii="宋体" w:hAnsi="宋体"/>
                <w:sz w:val="24"/>
              </w:rPr>
              <w:t>%</w:t>
            </w:r>
            <w:r>
              <w:rPr>
                <w:rFonts w:hint="eastAsia" w:ascii="宋体" w:hAnsi="宋体"/>
                <w:sz w:val="24"/>
              </w:rPr>
              <w:t>计算），扣0</w:t>
            </w:r>
            <w:r>
              <w:rPr>
                <w:rFonts w:ascii="宋体" w:hAnsi="宋体"/>
                <w:sz w:val="24"/>
              </w:rPr>
              <w:t>.2</w:t>
            </w:r>
            <w:r>
              <w:rPr>
                <w:rFonts w:hint="eastAsia" w:ascii="宋体" w:hAnsi="宋体"/>
                <w:sz w:val="24"/>
              </w:rPr>
              <w:t>分，直至扣完本项得分。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w:t>
            </w:r>
            <w:r>
              <w:rPr>
                <w:rFonts w:ascii="宋体" w:hAnsi="宋体"/>
                <w:sz w:val="24"/>
              </w:rPr>
              <w:t>4</w:t>
            </w:r>
            <w:r>
              <w:rPr>
                <w:rFonts w:hint="eastAsia" w:ascii="宋体" w:hAnsi="宋体"/>
                <w:sz w:val="24"/>
              </w:rPr>
              <w:t>，</w:t>
            </w:r>
            <w:r>
              <w:rPr>
                <w:rFonts w:ascii="宋体" w:hAnsi="宋体"/>
                <w:sz w:val="24"/>
              </w:rPr>
              <w:t>5</w:t>
            </w:r>
            <w:r>
              <w:rPr>
                <w:rFonts w:hint="eastAsia" w:ascii="宋体" w:hAnsi="宋体"/>
                <w:sz w:val="24"/>
              </w:rPr>
              <w:t>]分；较好[</w:t>
            </w:r>
            <w:r>
              <w:rPr>
                <w:rFonts w:ascii="宋体" w:hAnsi="宋体"/>
                <w:sz w:val="24"/>
              </w:rPr>
              <w:t>2</w:t>
            </w:r>
            <w:r>
              <w:rPr>
                <w:rFonts w:hint="eastAsia" w:ascii="宋体" w:hAnsi="宋体"/>
                <w:sz w:val="24"/>
              </w:rPr>
              <w:t>，</w:t>
            </w:r>
            <w:r>
              <w:rPr>
                <w:rFonts w:ascii="宋体" w:hAnsi="宋体"/>
                <w:sz w:val="24"/>
              </w:rPr>
              <w:t>4</w:t>
            </w:r>
            <w:r>
              <w:rPr>
                <w:rFonts w:hint="eastAsia" w:ascii="宋体" w:hAnsi="宋体"/>
                <w:sz w:val="24"/>
              </w:rPr>
              <w:t>]分；一般[0，</w:t>
            </w:r>
            <w:r>
              <w:rPr>
                <w:rFonts w:ascii="宋体" w:hAnsi="宋体"/>
                <w:sz w:val="24"/>
              </w:rPr>
              <w:t>2</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产品业绩经验</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15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rPr>
            </w:pPr>
            <w:r>
              <w:rPr>
                <w:rFonts w:hint="eastAsia" w:ascii="宋体" w:hAnsi="宋体"/>
                <w:sz w:val="24"/>
              </w:rPr>
              <w:t>根据所投产品和制造商业绩打分：</w:t>
            </w:r>
          </w:p>
          <w:p>
            <w:pPr>
              <w:spacing w:line="320" w:lineRule="exact"/>
              <w:rPr>
                <w:rFonts w:ascii="宋体" w:hAnsi="宋体"/>
                <w:sz w:val="24"/>
              </w:rPr>
            </w:pPr>
            <w:r>
              <w:rPr>
                <w:rFonts w:hint="eastAsia" w:ascii="宋体" w:hAnsi="宋体"/>
                <w:sz w:val="24"/>
              </w:rPr>
              <w:t>1、根据所投产品（I</w:t>
            </w:r>
            <w:r>
              <w:rPr>
                <w:rFonts w:ascii="宋体" w:hAnsi="宋体"/>
                <w:sz w:val="24"/>
              </w:rPr>
              <w:t>Pv6/IPv4</w:t>
            </w:r>
            <w:r>
              <w:rPr>
                <w:rFonts w:hint="eastAsia" w:ascii="宋体" w:hAnsi="宋体"/>
                <w:sz w:val="24"/>
              </w:rPr>
              <w:t>协议转换设备）自201</w:t>
            </w:r>
            <w:r>
              <w:rPr>
                <w:rFonts w:ascii="宋体" w:hAnsi="宋体"/>
                <w:sz w:val="24"/>
              </w:rPr>
              <w:t>9</w:t>
            </w:r>
            <w:r>
              <w:rPr>
                <w:rFonts w:hint="eastAsia" w:ascii="宋体" w:hAnsi="宋体"/>
                <w:sz w:val="24"/>
              </w:rPr>
              <w:t>年1月1日以来在</w:t>
            </w:r>
            <w:r>
              <w:rPr>
                <w:rFonts w:hint="eastAsia"/>
                <w:kern w:val="0"/>
                <w:sz w:val="24"/>
              </w:rPr>
              <w:t>国内相关行业的</w:t>
            </w:r>
            <w:r>
              <w:rPr>
                <w:rFonts w:hint="eastAsia"/>
                <w:sz w:val="24"/>
              </w:rPr>
              <w:t>销售业绩</w:t>
            </w:r>
            <w:r>
              <w:rPr>
                <w:kern w:val="0"/>
                <w:sz w:val="24"/>
              </w:rPr>
              <w:t>打分</w:t>
            </w:r>
            <w:r>
              <w:rPr>
                <w:rFonts w:hint="eastAsia"/>
                <w:kern w:val="0"/>
                <w:sz w:val="24"/>
              </w:rPr>
              <w:t>（须提供案例合同复印件，加盖制造商公章）</w:t>
            </w:r>
            <w:r>
              <w:rPr>
                <w:rFonts w:hint="eastAsia" w:ascii="宋体" w:hAnsi="宋体"/>
                <w:sz w:val="24"/>
              </w:rPr>
              <w:t>。每提供一个案例得1分，本项满分10分。</w:t>
            </w:r>
          </w:p>
          <w:p>
            <w:pPr>
              <w:pStyle w:val="2"/>
              <w:spacing w:line="320" w:lineRule="exact"/>
              <w:rPr>
                <w:sz w:val="24"/>
                <w:szCs w:val="24"/>
              </w:rPr>
            </w:pPr>
            <w:r>
              <w:rPr>
                <w:rFonts w:hint="eastAsia"/>
                <w:sz w:val="24"/>
                <w:szCs w:val="24"/>
              </w:rPr>
              <w:t>2、制造商具备I</w:t>
            </w:r>
            <w:r>
              <w:rPr>
                <w:sz w:val="24"/>
                <w:szCs w:val="24"/>
              </w:rPr>
              <w:t>Pv6</w:t>
            </w:r>
            <w:r>
              <w:rPr>
                <w:rFonts w:hint="eastAsia"/>
                <w:sz w:val="24"/>
                <w:szCs w:val="24"/>
              </w:rPr>
              <w:t>监测平台产品及服务能力（须提供I</w:t>
            </w:r>
            <w:r>
              <w:rPr>
                <w:sz w:val="24"/>
                <w:szCs w:val="24"/>
              </w:rPr>
              <w:t>Pv6</w:t>
            </w:r>
            <w:r>
              <w:rPr>
                <w:rFonts w:hint="eastAsia"/>
                <w:sz w:val="24"/>
                <w:szCs w:val="24"/>
              </w:rPr>
              <w:t>监测业绩合同复印件，加盖制造商公章），提供省级I</w:t>
            </w:r>
            <w:r>
              <w:rPr>
                <w:sz w:val="24"/>
                <w:szCs w:val="24"/>
              </w:rPr>
              <w:t>Pv6</w:t>
            </w:r>
            <w:r>
              <w:rPr>
                <w:rFonts w:hint="eastAsia"/>
                <w:sz w:val="24"/>
                <w:szCs w:val="24"/>
              </w:rPr>
              <w:t>监测平台合同得5分，提供市级I</w:t>
            </w:r>
            <w:r>
              <w:rPr>
                <w:sz w:val="24"/>
                <w:szCs w:val="24"/>
              </w:rPr>
              <w:t>Pv6</w:t>
            </w:r>
            <w:r>
              <w:rPr>
                <w:rFonts w:hint="eastAsia"/>
                <w:sz w:val="24"/>
                <w:szCs w:val="24"/>
              </w:rPr>
              <w:t>监测平台合同得2分，不提供不得分，本项满分5分。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产品资质</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8</w:t>
            </w:r>
          </w:p>
        </w:tc>
        <w:tc>
          <w:tcPr>
            <w:tcW w:w="800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 w:val="24"/>
              </w:rPr>
            </w:pPr>
            <w:r>
              <w:rPr>
                <w:rFonts w:hint="eastAsia" w:ascii="宋体" w:hAnsi="宋体"/>
                <w:sz w:val="24"/>
              </w:rPr>
              <w:t>根据所投产品和制造商的资质证书打分：</w:t>
            </w:r>
          </w:p>
          <w:p>
            <w:pPr>
              <w:pStyle w:val="2"/>
              <w:spacing w:line="320" w:lineRule="exact"/>
              <w:rPr>
                <w:sz w:val="24"/>
                <w:szCs w:val="24"/>
              </w:rPr>
            </w:pPr>
            <w:r>
              <w:rPr>
                <w:rFonts w:hint="eastAsia"/>
                <w:sz w:val="24"/>
                <w:szCs w:val="24"/>
              </w:rPr>
              <w:t>1、所投产品具有中国信息通信研究院或泰尔实验室出具的测试报告</w:t>
            </w:r>
            <w:r>
              <w:rPr>
                <w:rFonts w:hint="eastAsia" w:ascii="宋体" w:hAnsi="宋体"/>
                <w:sz w:val="24"/>
                <w:szCs w:val="24"/>
              </w:rPr>
              <w:t>（提供检测报告复印件并加盖制造商公章）</w:t>
            </w:r>
            <w:r>
              <w:rPr>
                <w:rFonts w:hint="eastAsia"/>
                <w:sz w:val="24"/>
                <w:szCs w:val="24"/>
              </w:rPr>
              <w:t>，得1分；</w:t>
            </w:r>
          </w:p>
          <w:p>
            <w:pPr>
              <w:spacing w:line="320" w:lineRule="exact"/>
              <w:rPr>
                <w:rFonts w:ascii="宋体" w:hAnsi="宋体"/>
                <w:sz w:val="24"/>
              </w:rPr>
            </w:pPr>
            <w:r>
              <w:rPr>
                <w:sz w:val="24"/>
              </w:rPr>
              <w:t>2</w:t>
            </w:r>
            <w:r>
              <w:rPr>
                <w:rFonts w:hint="eastAsia"/>
                <w:sz w:val="24"/>
              </w:rPr>
              <w:t>、所投产品</w:t>
            </w:r>
            <w:r>
              <w:rPr>
                <w:rFonts w:hint="eastAsia" w:ascii="宋体" w:hAnsi="宋体"/>
                <w:sz w:val="24"/>
              </w:rPr>
              <w:t>具有公安部计算机信息系统安全产品质量监督检验中心出具的</w:t>
            </w:r>
            <w:r>
              <w:rPr>
                <w:rFonts w:hint="eastAsia" w:ascii="Arial" w:hAnsi="Arial" w:cs="Arial"/>
                <w:sz w:val="24"/>
              </w:rPr>
              <w:t>《信息安全技术信息过滤产品技术要求G</w:t>
            </w:r>
            <w:r>
              <w:rPr>
                <w:rFonts w:ascii="Arial" w:hAnsi="Arial" w:cs="Arial"/>
                <w:sz w:val="24"/>
              </w:rPr>
              <w:t>A/T698-2014</w:t>
            </w:r>
            <w:r>
              <w:rPr>
                <w:rFonts w:hint="eastAsia" w:ascii="Arial" w:hAnsi="Arial" w:cs="Arial"/>
                <w:sz w:val="24"/>
              </w:rPr>
              <w:t>》（基本级）、</w:t>
            </w:r>
            <w:r>
              <w:rPr>
                <w:rFonts w:hint="eastAsia" w:ascii="宋体" w:hAnsi="宋体"/>
                <w:sz w:val="24"/>
              </w:rPr>
              <w:t>《信息安全技术通用渗透测试JCTJ 005-2016》的检测报告（提供检测报告复印件并加盖制造商公章），得</w:t>
            </w:r>
            <w:r>
              <w:rPr>
                <w:rFonts w:ascii="宋体" w:hAnsi="宋体"/>
                <w:sz w:val="24"/>
              </w:rPr>
              <w:t>1</w:t>
            </w:r>
            <w:r>
              <w:rPr>
                <w:rFonts w:hint="eastAsia" w:ascii="宋体" w:hAnsi="宋体"/>
                <w:sz w:val="24"/>
              </w:rPr>
              <w:t>分；</w:t>
            </w:r>
          </w:p>
          <w:p>
            <w:pPr>
              <w:pStyle w:val="2"/>
              <w:spacing w:line="320" w:lineRule="exact"/>
              <w:rPr>
                <w:sz w:val="24"/>
                <w:szCs w:val="24"/>
              </w:rPr>
            </w:pPr>
            <w:r>
              <w:rPr>
                <w:rFonts w:hint="eastAsia"/>
                <w:sz w:val="24"/>
                <w:szCs w:val="24"/>
              </w:rPr>
              <w:t>3、制造商具有国家版权局颁发的包含关键字“I</w:t>
            </w:r>
            <w:r>
              <w:rPr>
                <w:sz w:val="24"/>
                <w:szCs w:val="24"/>
              </w:rPr>
              <w:t>Pv6</w:t>
            </w:r>
            <w:r>
              <w:rPr>
                <w:rFonts w:hint="eastAsia"/>
                <w:sz w:val="24"/>
                <w:szCs w:val="24"/>
              </w:rPr>
              <w:t>”名称的软件著作权证书（不包含I</w:t>
            </w:r>
            <w:r>
              <w:rPr>
                <w:sz w:val="24"/>
                <w:szCs w:val="24"/>
              </w:rPr>
              <w:t>Pv6</w:t>
            </w:r>
            <w:r>
              <w:rPr>
                <w:rFonts w:hint="eastAsia"/>
                <w:sz w:val="24"/>
                <w:szCs w:val="24"/>
              </w:rPr>
              <w:t>监测产品著作权，提供复印件并加盖制造商公章），提供个数满5个（含）得</w:t>
            </w:r>
            <w:r>
              <w:rPr>
                <w:sz w:val="24"/>
                <w:szCs w:val="24"/>
              </w:rPr>
              <w:t>2</w:t>
            </w:r>
            <w:r>
              <w:rPr>
                <w:rFonts w:hint="eastAsia"/>
                <w:sz w:val="24"/>
                <w:szCs w:val="24"/>
              </w:rPr>
              <w:t>分，不足</w:t>
            </w:r>
            <w:r>
              <w:rPr>
                <w:sz w:val="24"/>
                <w:szCs w:val="24"/>
              </w:rPr>
              <w:t>5</w:t>
            </w:r>
            <w:r>
              <w:rPr>
                <w:rFonts w:hint="eastAsia"/>
                <w:sz w:val="24"/>
                <w:szCs w:val="24"/>
              </w:rPr>
              <w:t>个不得分；具有I</w:t>
            </w:r>
            <w:r>
              <w:rPr>
                <w:sz w:val="24"/>
                <w:szCs w:val="24"/>
              </w:rPr>
              <w:t>Pv6</w:t>
            </w:r>
            <w:r>
              <w:rPr>
                <w:rFonts w:hint="eastAsia"/>
                <w:sz w:val="24"/>
                <w:szCs w:val="24"/>
              </w:rPr>
              <w:t>监测平台软件著作权证书（提供复印件并加盖</w:t>
            </w:r>
            <w:r>
              <w:rPr>
                <w:rFonts w:hint="eastAsia" w:ascii="宋体" w:hAnsi="宋体"/>
                <w:sz w:val="24"/>
                <w:szCs w:val="24"/>
              </w:rPr>
              <w:t>制造商</w:t>
            </w:r>
            <w:r>
              <w:rPr>
                <w:rFonts w:hint="eastAsia"/>
                <w:sz w:val="24"/>
                <w:szCs w:val="24"/>
              </w:rPr>
              <w:t>公章）得2分，不提供不得分。本项满分4分。</w:t>
            </w:r>
          </w:p>
          <w:p>
            <w:pPr>
              <w:spacing w:line="320" w:lineRule="exact"/>
              <w:rPr>
                <w:sz w:val="24"/>
              </w:rPr>
            </w:pPr>
            <w:r>
              <w:rPr>
                <w:rFonts w:hint="eastAsia"/>
                <w:sz w:val="24"/>
              </w:rPr>
              <w:t>4、制造商具有有效的C</w:t>
            </w:r>
            <w:r>
              <w:rPr>
                <w:sz w:val="24"/>
              </w:rPr>
              <w:t>MMI</w:t>
            </w:r>
            <w:r>
              <w:rPr>
                <w:rFonts w:hint="eastAsia"/>
                <w:sz w:val="24"/>
              </w:rPr>
              <w:t>认证证书和软件企业证书（须同时提供两个证书复印件并加盖</w:t>
            </w:r>
            <w:r>
              <w:rPr>
                <w:rFonts w:hint="eastAsia" w:ascii="宋体" w:hAnsi="宋体"/>
                <w:sz w:val="24"/>
              </w:rPr>
              <w:t>制造商</w:t>
            </w:r>
            <w:r>
              <w:rPr>
                <w:rFonts w:hint="eastAsia"/>
                <w:sz w:val="24"/>
              </w:rPr>
              <w:t>公章），得</w:t>
            </w:r>
            <w:r>
              <w:rPr>
                <w:sz w:val="24"/>
              </w:rPr>
              <w:t>2</w:t>
            </w:r>
            <w:r>
              <w:rPr>
                <w:rFonts w:hint="eastAsia"/>
                <w:sz w:val="24"/>
              </w:rPr>
              <w:t>分；只提供一项或不提供，不得分。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1</w:t>
            </w:r>
            <w:r>
              <w:rPr>
                <w:rFonts w:ascii="宋体" w:hAnsi="宋体"/>
                <w:b/>
                <w:bCs/>
                <w:sz w:val="24"/>
              </w:rPr>
              <w:t>6</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根据供应商对采购文件第五章《技术需求书》的偏离情况打分，满分</w:t>
            </w:r>
            <w:r>
              <w:rPr>
                <w:rFonts w:ascii="宋体" w:hAnsi="宋体"/>
                <w:sz w:val="24"/>
              </w:rPr>
              <w:t>16</w:t>
            </w:r>
            <w:r>
              <w:rPr>
                <w:rFonts w:hint="eastAsia" w:ascii="宋体" w:hAnsi="宋体"/>
                <w:sz w:val="24"/>
              </w:rPr>
              <w:t>分。</w:t>
            </w:r>
          </w:p>
          <w:p>
            <w:pPr>
              <w:spacing w:line="320" w:lineRule="exact"/>
              <w:rPr>
                <w:sz w:val="24"/>
              </w:rPr>
            </w:pPr>
            <w:r>
              <w:rPr>
                <w:rFonts w:hint="eastAsia" w:ascii="宋体" w:hAnsi="宋体"/>
                <w:sz w:val="24"/>
              </w:rPr>
              <w:t>关键条款（“</w:t>
            </w:r>
            <w:r>
              <w:rPr>
                <w:rFonts w:ascii="Segoe UI Symbol" w:hAnsi="Segoe UI Symbol" w:cs="Segoe UI Symbol"/>
                <w:sz w:val="24"/>
              </w:rPr>
              <w:t>★</w:t>
            </w:r>
            <w:r>
              <w:rPr>
                <w:rFonts w:hint="eastAsia" w:ascii="宋体" w:hAnsi="宋体"/>
                <w:sz w:val="24"/>
              </w:rPr>
              <w:t>”号条款）不满足的视为不实质性响应；每有1条非关键条款不满足扣</w:t>
            </w:r>
            <w:r>
              <w:rPr>
                <w:rFonts w:ascii="宋体" w:hAnsi="宋体"/>
                <w:sz w:val="24"/>
              </w:rPr>
              <w:t>2</w:t>
            </w:r>
            <w:r>
              <w:rPr>
                <w:rFonts w:hint="eastAsia" w:ascii="宋体" w:hAnsi="宋体"/>
                <w:sz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技术方案</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8分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根据供应商提供的技术方案合理性、能力实现等情况进行评分：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1、技术方案优良(</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]分；较好（1，</w:t>
            </w:r>
            <w:r>
              <w:rPr>
                <w:rFonts w:ascii="宋体" w:hAnsi="宋体"/>
                <w:sz w:val="24"/>
              </w:rPr>
              <w:t>3</w:t>
            </w:r>
            <w:r>
              <w:rPr>
                <w:rFonts w:hint="eastAsia" w:ascii="宋体" w:hAnsi="宋体"/>
                <w:sz w:val="24"/>
              </w:rPr>
              <w:t>]分；一般[0，1]分。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2</w:t>
            </w:r>
            <w:r>
              <w:rPr>
                <w:rFonts w:hint="eastAsia" w:ascii="宋体" w:hAnsi="宋体"/>
                <w:sz w:val="24"/>
              </w:rPr>
              <w:t>、能力实现优良(</w:t>
            </w:r>
            <w:r>
              <w:rPr>
                <w:rFonts w:ascii="宋体" w:hAnsi="宋体"/>
                <w:sz w:val="24"/>
              </w:rPr>
              <w:t>3</w:t>
            </w:r>
            <w:r>
              <w:rPr>
                <w:rFonts w:hint="eastAsia" w:ascii="宋体" w:hAnsi="宋体"/>
                <w:sz w:val="24"/>
              </w:rPr>
              <w:t>，</w:t>
            </w:r>
            <w:r>
              <w:rPr>
                <w:rFonts w:ascii="宋体" w:hAnsi="宋体"/>
                <w:sz w:val="24"/>
              </w:rPr>
              <w:t>4</w:t>
            </w:r>
            <w:r>
              <w:rPr>
                <w:rFonts w:hint="eastAsia" w:ascii="宋体" w:hAnsi="宋体"/>
                <w:sz w:val="24"/>
              </w:rPr>
              <w:t>]分；较好（1，</w:t>
            </w:r>
            <w:r>
              <w:rPr>
                <w:rFonts w:ascii="宋体" w:hAnsi="宋体"/>
                <w:sz w:val="24"/>
              </w:rPr>
              <w:t>3</w:t>
            </w:r>
            <w:r>
              <w:rPr>
                <w:rFonts w:hint="eastAsia" w:ascii="宋体" w:hAnsi="宋体"/>
                <w:sz w:val="24"/>
              </w:rPr>
              <w:t>]分；一般[0，1]分。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项目实施方案</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根据供应商提供的实施方案、施工进度及质量管理、应急管理方案及人员配备进行评分：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1、实施方案(施工进度、质量管理及应急管理方案等) 优良(2，3]分；较好[1，2]分；一般[0，1)分。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2</w:t>
            </w:r>
            <w:r>
              <w:rPr>
                <w:rFonts w:hint="eastAsia" w:ascii="宋体" w:hAnsi="宋体"/>
                <w:sz w:val="24"/>
              </w:rPr>
              <w:t>、人员配备(专职项目经理及项目实施团队) 优良(</w:t>
            </w:r>
            <w:r>
              <w:rPr>
                <w:rFonts w:ascii="宋体" w:hAnsi="宋体"/>
                <w:sz w:val="24"/>
              </w:rPr>
              <w:t>1</w:t>
            </w:r>
            <w:r>
              <w:rPr>
                <w:rFonts w:hint="eastAsia" w:ascii="宋体" w:hAnsi="宋体"/>
                <w:sz w:val="24"/>
              </w:rPr>
              <w:t>，</w:t>
            </w:r>
            <w:r>
              <w:rPr>
                <w:rFonts w:ascii="宋体" w:hAnsi="宋体"/>
                <w:sz w:val="24"/>
              </w:rPr>
              <w:t>2</w:t>
            </w:r>
            <w:r>
              <w:rPr>
                <w:rFonts w:hint="eastAsia" w:ascii="宋体" w:hAnsi="宋体"/>
                <w:sz w:val="24"/>
              </w:rPr>
              <w:t>]分；一般[0，1]分。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服务能力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6分</w:t>
            </w:r>
          </w:p>
        </w:tc>
        <w:tc>
          <w:tcPr>
            <w:tcW w:w="8007" w:type="dxa"/>
            <w:tcBorders>
              <w:top w:val="single" w:color="auto" w:sz="4" w:space="0"/>
              <w:left w:val="single" w:color="auto" w:sz="4" w:space="0"/>
              <w:bottom w:val="single" w:color="auto" w:sz="4" w:space="0"/>
              <w:right w:val="single" w:color="auto" w:sz="4" w:space="0"/>
            </w:tcBorders>
            <w:vAlign w:val="center"/>
          </w:tcPr>
          <w:p>
            <w:pPr>
              <w:pStyle w:val="89"/>
              <w:keepLines/>
              <w:widowControl/>
              <w:numPr>
                <w:ilvl w:val="0"/>
                <w:numId w:val="6"/>
              </w:numPr>
              <w:tabs>
                <w:tab w:val="left" w:pos="794"/>
                <w:tab w:val="left" w:pos="1191"/>
                <w:tab w:val="left" w:pos="1588"/>
                <w:tab w:val="left" w:pos="1985"/>
              </w:tabs>
              <w:autoSpaceDE w:val="0"/>
              <w:autoSpaceDN w:val="0"/>
              <w:adjustRightInd w:val="0"/>
              <w:spacing w:line="320" w:lineRule="exact"/>
              <w:ind w:firstLineChars="0"/>
              <w:jc w:val="left"/>
              <w:rPr>
                <w:sz w:val="24"/>
              </w:rPr>
            </w:pPr>
            <w:r>
              <w:rPr>
                <w:rFonts w:hint="eastAsia" w:ascii="宋体" w:hAnsi="宋体" w:eastAsia="宋体" w:cs="宋体"/>
                <w:sz w:val="24"/>
              </w:rPr>
              <w:t>根据供应商的售后服务机构的实力打分，满分</w:t>
            </w:r>
            <w:r>
              <w:rPr>
                <w:sz w:val="24"/>
              </w:rPr>
              <w:t>3</w:t>
            </w:r>
            <w:r>
              <w:rPr>
                <w:rFonts w:hint="eastAsia" w:ascii="宋体" w:hAnsi="宋体" w:eastAsia="宋体" w:cs="宋体"/>
                <w:sz w:val="24"/>
              </w:rPr>
              <w:t>分。</w:t>
            </w:r>
            <w:r>
              <w:rPr>
                <w:rFonts w:hint="eastAsia" w:ascii="宋体" w:hAnsi="宋体"/>
                <w:sz w:val="24"/>
              </w:rPr>
              <w:t>优良(2，3]分；较好[1，2]分；一般[0，1)分</w:t>
            </w:r>
          </w:p>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r>
              <w:rPr>
                <w:rFonts w:hint="eastAsia"/>
                <w:kern w:val="0"/>
                <w:sz w:val="24"/>
              </w:rPr>
              <w:t>2、根据供应商售后服务方案以及服务响应时间横向比较打分，满分</w:t>
            </w:r>
            <w:r>
              <w:rPr>
                <w:kern w:val="0"/>
                <w:sz w:val="24"/>
              </w:rPr>
              <w:t>3</w:t>
            </w:r>
            <w:r>
              <w:rPr>
                <w:rFonts w:hint="eastAsia"/>
                <w:kern w:val="0"/>
                <w:sz w:val="24"/>
              </w:rPr>
              <w:t>分。</w:t>
            </w:r>
          </w:p>
          <w:p>
            <w:pPr>
              <w:keepLines/>
              <w:widowControl/>
              <w:tabs>
                <w:tab w:val="left" w:pos="794"/>
                <w:tab w:val="left" w:pos="1191"/>
                <w:tab w:val="left" w:pos="1588"/>
                <w:tab w:val="left" w:pos="1985"/>
              </w:tabs>
              <w:autoSpaceDE w:val="0"/>
              <w:autoSpaceDN w:val="0"/>
              <w:adjustRightInd w:val="0"/>
              <w:spacing w:line="320" w:lineRule="exact"/>
              <w:ind w:firstLine="360" w:firstLineChars="150"/>
              <w:jc w:val="left"/>
              <w:rPr>
                <w:sz w:val="24"/>
              </w:rPr>
            </w:pPr>
            <w:r>
              <w:rPr>
                <w:rFonts w:hint="eastAsia" w:ascii="宋体" w:hAnsi="宋体"/>
                <w:sz w:val="24"/>
              </w:rPr>
              <w:t>优良(2，3]分；较好[1，2]分；一般[0，1)分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bookmarkStart w:id="18" w:name="_Hlk102052288"/>
            <w:r>
              <w:rPr>
                <w:rFonts w:hint="eastAsia" w:ascii="宋体" w:hAnsi="宋体"/>
                <w:b/>
                <w:bCs/>
                <w:sz w:val="24"/>
              </w:rPr>
              <w:t>免费包修期</w:t>
            </w:r>
            <w:bookmarkEnd w:id="18"/>
          </w:p>
        </w:tc>
        <w:tc>
          <w:tcPr>
            <w:tcW w:w="78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2</w:t>
            </w:r>
            <w:r>
              <w:rPr>
                <w:rFonts w:hint="eastAsia" w:ascii="宋体" w:hAnsi="宋体"/>
                <w:b/>
                <w:bCs/>
                <w:sz w:val="24"/>
              </w:rPr>
              <w:t>分</w:t>
            </w:r>
          </w:p>
        </w:tc>
        <w:tc>
          <w:tcPr>
            <w:tcW w:w="8007"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r>
              <w:rPr>
                <w:rFonts w:hint="eastAsia"/>
                <w:kern w:val="0"/>
                <w:sz w:val="24"/>
              </w:rPr>
              <w:t>在三年免费包修期基础上，供应商提供的免费包修期每增加0</w:t>
            </w:r>
            <w:r>
              <w:rPr>
                <w:kern w:val="0"/>
                <w:sz w:val="24"/>
              </w:rPr>
              <w:t>.5</w:t>
            </w:r>
            <w:r>
              <w:rPr>
                <w:rFonts w:hint="eastAsia"/>
                <w:kern w:val="0"/>
                <w:sz w:val="24"/>
              </w:rPr>
              <w:t>年，得</w:t>
            </w:r>
            <w:r>
              <w:rPr>
                <w:kern w:val="0"/>
                <w:sz w:val="24"/>
              </w:rPr>
              <w:t>0</w:t>
            </w:r>
            <w:r>
              <w:rPr>
                <w:rFonts w:hint="eastAsia"/>
                <w:kern w:val="0"/>
                <w:sz w:val="24"/>
              </w:rPr>
              <w:t>.</w:t>
            </w:r>
            <w:r>
              <w:rPr>
                <w:kern w:val="0"/>
                <w:sz w:val="24"/>
              </w:rPr>
              <w:t>5</w:t>
            </w:r>
            <w:r>
              <w:rPr>
                <w:rFonts w:hint="eastAsia"/>
                <w:kern w:val="0"/>
                <w:sz w:val="24"/>
              </w:rPr>
              <w:t>分，满分</w:t>
            </w:r>
            <w:r>
              <w:rPr>
                <w:kern w:val="0"/>
                <w:sz w:val="24"/>
              </w:rPr>
              <w:t>2</w:t>
            </w:r>
            <w:r>
              <w:rPr>
                <w:rFonts w:hint="eastAsia"/>
                <w:kern w:val="0"/>
                <w:sz w:val="24"/>
              </w:rPr>
              <w:t>分。</w:t>
            </w:r>
          </w:p>
        </w:tc>
      </w:tr>
    </w:tbl>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19" w:name="_Toc69378618"/>
      <w:r>
        <w:rPr>
          <w:rFonts w:hint="eastAsia"/>
          <w:b/>
          <w:sz w:val="36"/>
          <w:szCs w:val="36"/>
        </w:rPr>
        <w:t xml:space="preserve">第四章 </w:t>
      </w:r>
      <w:r>
        <w:rPr>
          <w:b/>
          <w:sz w:val="36"/>
          <w:szCs w:val="36"/>
        </w:rPr>
        <w:t>合同格式</w:t>
      </w:r>
      <w:bookmarkEnd w:id="19"/>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bCs/>
          <w:color w:val="000000"/>
          <w:szCs w:val="21"/>
          <w:u w:val="single"/>
        </w:rPr>
        <w:t>IPv6/IPv4协议转换设备</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
          <w:color w:val="000000"/>
          <w:szCs w:val="21"/>
          <w:u w:val="single"/>
        </w:rPr>
        <w:t xml:space="preserve">  公司（以下简称“乙方”）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0" w:name="_Toc69378619"/>
      <w:r>
        <w:rPr>
          <w:rFonts w:ascii="宋体" w:hAnsi="宋体" w:eastAsia="宋体" w:cs="宋体"/>
          <w:b/>
          <w:bCs w:val="0"/>
          <w:sz w:val="21"/>
          <w:szCs w:val="21"/>
        </w:rPr>
        <w:t>一、项目标的和内容</w:t>
      </w:r>
      <w:bookmarkEnd w:id="20"/>
    </w:p>
    <w:p>
      <w:pPr>
        <w:spacing w:line="360" w:lineRule="auto"/>
        <w:ind w:firstLine="420" w:firstLineChars="200"/>
        <w:rPr>
          <w:color w:val="000000"/>
          <w:szCs w:val="21"/>
        </w:rPr>
      </w:pPr>
      <w:bookmarkStart w:id="21" w:name="_Toc69378620"/>
      <w:r>
        <w:rPr>
          <w:color w:val="262626"/>
          <w:szCs w:val="21"/>
        </w:rPr>
        <w:t>项目标的内容包括乙方按照甲方具体要求供应</w:t>
      </w:r>
      <w:r>
        <w:rPr>
          <w:rFonts w:hint="eastAsia" w:ascii="宋体" w:hAnsi="宋体"/>
          <w:color w:val="000000"/>
          <w:szCs w:val="21"/>
          <w:u w:val="single"/>
        </w:rPr>
        <w:t>IPv6/IPv4协议转换设备</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1"/>
    </w:p>
    <w:p>
      <w:pPr>
        <w:numPr>
          <w:ilvl w:val="1"/>
          <w:numId w:val="7"/>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7"/>
        </w:numPr>
        <w:tabs>
          <w:tab w:val="left" w:pos="0"/>
          <w:tab w:val="clear" w:pos="1155"/>
        </w:tabs>
        <w:spacing w:line="360" w:lineRule="auto"/>
        <w:ind w:left="0" w:firstLine="0"/>
        <w:rPr>
          <w:szCs w:val="21"/>
        </w:rPr>
      </w:pPr>
      <w:bookmarkStart w:id="22"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7"/>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2"/>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3" w:name="_Toc69378621"/>
      <w:r>
        <w:rPr>
          <w:rFonts w:hint="eastAsia"/>
          <w:szCs w:val="21"/>
        </w:rPr>
        <w:t>1．</w:t>
      </w:r>
      <w:r>
        <w:rPr>
          <w:szCs w:val="21"/>
        </w:rPr>
        <w:t>付款方式：</w:t>
      </w:r>
      <w:r>
        <w:rPr>
          <w:rFonts w:ascii="宋体" w:hAnsi="宋体"/>
          <w:szCs w:val="21"/>
        </w:rPr>
        <w:t>全部货款</w:t>
      </w:r>
      <w:r>
        <w:rPr>
          <w:rFonts w:hint="eastAsia" w:ascii="宋体" w:hAnsi="宋体"/>
          <w:szCs w:val="21"/>
        </w:rPr>
        <w:t>的</w:t>
      </w:r>
      <w:r>
        <w:rPr>
          <w:rFonts w:ascii="宋体" w:hAnsi="宋体"/>
          <w:szCs w:val="21"/>
        </w:rPr>
        <w:t>50%以电汇方式汇入乙方账号，50%以半年期银行承兑汇票支付。禁止将货款划入其他账号或支付现金</w:t>
      </w:r>
      <w:r>
        <w:rPr>
          <w:szCs w:val="21"/>
        </w:rPr>
        <w:t>。如收款方的账号和开户行变更，须及时以书面形式通知付款方，通知上必须同时盖有收款方的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pPr>
        <w:tabs>
          <w:tab w:val="left" w:pos="0"/>
        </w:tabs>
        <w:spacing w:line="360" w:lineRule="auto"/>
        <w:rPr>
          <w:color w:val="000000"/>
          <w:szCs w:val="21"/>
        </w:rPr>
      </w:pPr>
      <w:r>
        <w:rPr>
          <w:rFonts w:hint="eastAsia"/>
          <w:color w:val="000000"/>
          <w:szCs w:val="21"/>
        </w:rPr>
        <w:t>2．</w:t>
      </w:r>
      <w:r>
        <w:rPr>
          <w:color w:val="000000"/>
          <w:szCs w:val="21"/>
        </w:rPr>
        <w:t>付款期限：设备到货安装完成且</w:t>
      </w:r>
      <w:r>
        <w:rPr>
          <w:rFonts w:hint="eastAsia"/>
          <w:color w:val="000000"/>
          <w:szCs w:val="21"/>
        </w:rPr>
        <w:t>初验</w:t>
      </w:r>
      <w:r>
        <w:rPr>
          <w:color w:val="000000"/>
          <w:szCs w:val="21"/>
        </w:rPr>
        <w:t>合格后1个月内</w:t>
      </w:r>
      <w:r>
        <w:rPr>
          <w:rFonts w:hint="eastAsia"/>
          <w:color w:val="000000"/>
          <w:szCs w:val="21"/>
        </w:rPr>
        <w:t>电汇支</w:t>
      </w:r>
      <w:r>
        <w:rPr>
          <w:color w:val="000000"/>
          <w:szCs w:val="21"/>
        </w:rPr>
        <w:t>付合同总额的30%</w:t>
      </w:r>
      <w:r>
        <w:rPr>
          <w:rFonts w:hint="eastAsia"/>
          <w:color w:val="000000"/>
          <w:szCs w:val="21"/>
        </w:rPr>
        <w:t>，即人民币</w:t>
      </w:r>
      <w:r>
        <w:rPr>
          <w:rFonts w:hint="eastAsia"/>
          <w:color w:val="000000"/>
          <w:szCs w:val="21"/>
          <w:u w:val="single"/>
        </w:rPr>
        <w:t xml:space="preserve">       ；</w:t>
      </w:r>
      <w:r>
        <w:rPr>
          <w:rFonts w:hint="eastAsia"/>
          <w:color w:val="000000"/>
          <w:szCs w:val="21"/>
        </w:rPr>
        <w:t>项目通过终验后1个月内，甲方</w:t>
      </w:r>
      <w:r>
        <w:rPr>
          <w:color w:val="000000"/>
          <w:szCs w:val="21"/>
        </w:rPr>
        <w:t>以半年期银行承兑汇票</w:t>
      </w:r>
      <w:r>
        <w:rPr>
          <w:rFonts w:hint="eastAsia"/>
          <w:color w:val="000000"/>
          <w:szCs w:val="21"/>
        </w:rPr>
        <w:t>支付乙方合同总额的</w:t>
      </w:r>
      <w:r>
        <w:rPr>
          <w:color w:val="000000"/>
          <w:szCs w:val="21"/>
        </w:rPr>
        <w:t>50%</w:t>
      </w:r>
      <w:r>
        <w:rPr>
          <w:rFonts w:hint="eastAsia"/>
          <w:color w:val="000000"/>
          <w:szCs w:val="21"/>
        </w:rPr>
        <w:t>，即人民币</w:t>
      </w:r>
      <w:r>
        <w:rPr>
          <w:rFonts w:hint="eastAsia"/>
          <w:color w:val="000000"/>
          <w:szCs w:val="21"/>
          <w:u w:val="single"/>
        </w:rPr>
        <w:t xml:space="preserve">       ，</w:t>
      </w:r>
      <w:r>
        <w:rPr>
          <w:rFonts w:hint="eastAsia"/>
          <w:color w:val="000000"/>
          <w:szCs w:val="21"/>
        </w:rPr>
        <w:t>电汇支付乙方合同总额的</w:t>
      </w:r>
      <w:r>
        <w:rPr>
          <w:color w:val="000000"/>
          <w:szCs w:val="21"/>
        </w:rPr>
        <w:t>10</w:t>
      </w:r>
      <w:r>
        <w:rPr>
          <w:rFonts w:hint="eastAsia"/>
          <w:color w:val="000000"/>
          <w:szCs w:val="21"/>
        </w:rPr>
        <w:t>%，即人民币</w:t>
      </w:r>
      <w:r>
        <w:rPr>
          <w:rFonts w:hint="eastAsia"/>
          <w:color w:val="000000"/>
          <w:szCs w:val="21"/>
          <w:u w:val="single"/>
        </w:rPr>
        <w:t xml:space="preserve">       ；</w:t>
      </w:r>
      <w:r>
        <w:rPr>
          <w:rFonts w:hint="eastAsia"/>
          <w:color w:val="000000"/>
          <w:szCs w:val="21"/>
        </w:rPr>
        <w:t>10%余款即人民币</w:t>
      </w:r>
      <w:r>
        <w:rPr>
          <w:rFonts w:hint="eastAsia"/>
          <w:color w:val="000000"/>
          <w:szCs w:val="21"/>
          <w:u w:val="single"/>
        </w:rPr>
        <w:t xml:space="preserve">      ，</w:t>
      </w:r>
      <w:r>
        <w:rPr>
          <w:rFonts w:hint="eastAsia"/>
          <w:color w:val="000000"/>
          <w:szCs w:val="21"/>
        </w:rPr>
        <w:t>作为质量保证金，在终验合格一年后的10个工作日之内支付。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3．质量保证金：</w:t>
      </w:r>
      <w:r>
        <w:rPr>
          <w:color w:val="000000"/>
        </w:rPr>
        <w:t>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6"/>
        <w:gridCol w:w="2126"/>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pPr>
              <w:jc w:val="center"/>
              <w:rPr>
                <w:rFonts w:ascii="宋体" w:hAnsi="宋体"/>
                <w:b/>
                <w:color w:val="000000"/>
                <w:szCs w:val="21"/>
              </w:rPr>
            </w:pPr>
            <w:r>
              <w:rPr>
                <w:rFonts w:hint="eastAsia" w:ascii="宋体" w:hAnsi="宋体"/>
                <w:b/>
                <w:color w:val="000000"/>
                <w:szCs w:val="21"/>
              </w:rPr>
              <w:t>序号</w:t>
            </w:r>
          </w:p>
        </w:tc>
        <w:tc>
          <w:tcPr>
            <w:tcW w:w="1276" w:type="dxa"/>
            <w:vAlign w:val="center"/>
          </w:tcPr>
          <w:p>
            <w:pPr>
              <w:jc w:val="center"/>
              <w:rPr>
                <w:rFonts w:ascii="宋体" w:hAnsi="宋体"/>
                <w:b/>
                <w:color w:val="000000"/>
                <w:szCs w:val="21"/>
              </w:rPr>
            </w:pPr>
            <w:r>
              <w:rPr>
                <w:rFonts w:hint="eastAsia" w:ascii="宋体" w:hAnsi="宋体"/>
                <w:b/>
                <w:color w:val="000000"/>
                <w:szCs w:val="21"/>
              </w:rPr>
              <w:t>费用类别</w:t>
            </w:r>
          </w:p>
        </w:tc>
        <w:tc>
          <w:tcPr>
            <w:tcW w:w="2126" w:type="dxa"/>
            <w:vAlign w:val="center"/>
          </w:tcPr>
          <w:p>
            <w:pPr>
              <w:jc w:val="center"/>
              <w:rPr>
                <w:rFonts w:ascii="宋体" w:hAnsi="宋体"/>
                <w:b/>
                <w:color w:val="000000"/>
                <w:szCs w:val="21"/>
              </w:rPr>
            </w:pPr>
            <w:r>
              <w:rPr>
                <w:rFonts w:hint="eastAsia" w:ascii="宋体" w:hAnsi="宋体"/>
                <w:b/>
                <w:color w:val="000000"/>
                <w:szCs w:val="21"/>
              </w:rPr>
              <w:t>适用状况</w:t>
            </w:r>
          </w:p>
        </w:tc>
        <w:tc>
          <w:tcPr>
            <w:tcW w:w="2126" w:type="dxa"/>
            <w:vAlign w:val="center"/>
          </w:tcPr>
          <w:p>
            <w:pPr>
              <w:jc w:val="center"/>
              <w:rPr>
                <w:rFonts w:ascii="宋体" w:hAnsi="宋体"/>
                <w:b/>
                <w:color w:val="000000"/>
                <w:szCs w:val="21"/>
              </w:rPr>
            </w:pPr>
            <w:r>
              <w:rPr>
                <w:rFonts w:hint="eastAsia" w:ascii="宋体" w:hAnsi="宋体"/>
                <w:b/>
                <w:color w:val="000000"/>
                <w:szCs w:val="21"/>
              </w:rPr>
              <w:t>执行方法</w:t>
            </w:r>
          </w:p>
        </w:tc>
        <w:tc>
          <w:tcPr>
            <w:tcW w:w="1418" w:type="dxa"/>
            <w:vAlign w:val="center"/>
          </w:tcPr>
          <w:p>
            <w:pPr>
              <w:jc w:val="center"/>
              <w:rPr>
                <w:rFonts w:ascii="宋体" w:hAnsi="宋体"/>
                <w:b/>
                <w:color w:val="000000"/>
                <w:szCs w:val="21"/>
              </w:rPr>
            </w:pPr>
            <w:r>
              <w:rPr>
                <w:rFonts w:hint="eastAsia" w:ascii="宋体" w:hAnsi="宋体"/>
                <w:b/>
                <w:color w:val="000000"/>
                <w:szCs w:val="21"/>
              </w:rPr>
              <w:t>罚款金额</w:t>
            </w:r>
          </w:p>
        </w:tc>
        <w:tc>
          <w:tcPr>
            <w:tcW w:w="1417" w:type="dxa"/>
            <w:vAlign w:val="center"/>
          </w:tcPr>
          <w:p>
            <w:pPr>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1</w:t>
            </w:r>
          </w:p>
        </w:tc>
        <w:tc>
          <w:tcPr>
            <w:tcW w:w="1276" w:type="dxa"/>
            <w:vAlign w:val="center"/>
          </w:tcPr>
          <w:p>
            <w:pPr>
              <w:rPr>
                <w:rFonts w:ascii="宋体" w:hAnsi="宋体"/>
                <w:color w:val="000000"/>
                <w:szCs w:val="21"/>
              </w:rPr>
            </w:pPr>
            <w:r>
              <w:rPr>
                <w:rFonts w:hint="eastAsia" w:ascii="宋体" w:hAnsi="宋体"/>
                <w:color w:val="000000"/>
                <w:szCs w:val="21"/>
              </w:rPr>
              <w:t>产品质量不合格</w:t>
            </w:r>
          </w:p>
        </w:tc>
        <w:tc>
          <w:tcPr>
            <w:tcW w:w="2126" w:type="dxa"/>
            <w:vAlign w:val="center"/>
          </w:tcPr>
          <w:p>
            <w:pPr>
              <w:rPr>
                <w:rFonts w:ascii="宋体" w:hAnsi="宋体"/>
                <w:color w:val="000000"/>
                <w:szCs w:val="21"/>
              </w:rPr>
            </w:pPr>
            <w:r>
              <w:rPr>
                <w:rFonts w:hint="eastAsia" w:ascii="宋体" w:hAnsi="宋体"/>
                <w:color w:val="000000"/>
                <w:szCs w:val="21"/>
              </w:rPr>
              <w:t>乙方提交的货物产品不满足事先约定的质量要求。</w:t>
            </w:r>
          </w:p>
        </w:tc>
        <w:tc>
          <w:tcPr>
            <w:tcW w:w="2126" w:type="dxa"/>
            <w:vAlign w:val="center"/>
          </w:tcPr>
          <w:p>
            <w:pPr>
              <w:rPr>
                <w:rFonts w:ascii="宋体" w:hAnsi="宋体"/>
                <w:color w:val="000000"/>
                <w:szCs w:val="21"/>
              </w:rPr>
            </w:pPr>
            <w:r>
              <w:rPr>
                <w:rFonts w:hint="eastAsia" w:ascii="宋体" w:hAnsi="宋体"/>
                <w:color w:val="000000"/>
                <w:szCs w:val="21"/>
              </w:rPr>
              <w:t>由甲方项目经理完成产品质量缺陷说明，提交财务部扣款</w:t>
            </w:r>
          </w:p>
        </w:tc>
        <w:tc>
          <w:tcPr>
            <w:tcW w:w="1418" w:type="dxa"/>
            <w:vAlign w:val="center"/>
          </w:tcPr>
          <w:p>
            <w:pPr>
              <w:rPr>
                <w:color w:val="000000"/>
                <w:szCs w:val="21"/>
              </w:rPr>
            </w:pPr>
            <w:r>
              <w:rPr>
                <w:rFonts w:hint="eastAsia" w:ascii="宋体" w:hAnsi="宋体"/>
                <w:color w:val="000000"/>
                <w:szCs w:val="21"/>
              </w:rPr>
              <w:t>合同款</w:t>
            </w:r>
            <w:r>
              <w:rPr>
                <w:rFonts w:hint="eastAsia"/>
                <w:color w:val="000000"/>
                <w:szCs w:val="21"/>
              </w:rPr>
              <w:t>*5%~10%</w:t>
            </w:r>
          </w:p>
        </w:tc>
        <w:tc>
          <w:tcPr>
            <w:tcW w:w="1417" w:type="dxa"/>
            <w:vAlign w:val="center"/>
          </w:tcPr>
          <w:p>
            <w:pPr>
              <w:rPr>
                <w:rFonts w:ascii="宋体" w:hAnsi="宋体"/>
                <w:color w:val="000000"/>
                <w:szCs w:val="21"/>
              </w:rPr>
            </w:pPr>
            <w:r>
              <w:rPr>
                <w:rFonts w:hint="eastAsia" w:ascii="宋体" w:hAnsi="宋体"/>
                <w:color w:val="000000"/>
                <w:szCs w:val="21"/>
              </w:rPr>
              <w:t>视问题严重程度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2</w:t>
            </w:r>
          </w:p>
        </w:tc>
        <w:tc>
          <w:tcPr>
            <w:tcW w:w="1276" w:type="dxa"/>
            <w:vAlign w:val="center"/>
          </w:tcPr>
          <w:p>
            <w:pPr>
              <w:rPr>
                <w:rFonts w:ascii="宋体" w:hAnsi="宋体"/>
                <w:color w:val="000000"/>
                <w:szCs w:val="21"/>
              </w:rPr>
            </w:pPr>
            <w:r>
              <w:rPr>
                <w:rFonts w:hint="eastAsia" w:ascii="宋体" w:hAnsi="宋体"/>
                <w:color w:val="000000"/>
                <w:szCs w:val="21"/>
              </w:rPr>
              <w:t>技术支持延迟或售后不合格</w:t>
            </w:r>
          </w:p>
        </w:tc>
        <w:tc>
          <w:tcPr>
            <w:tcW w:w="2126" w:type="dxa"/>
            <w:vAlign w:val="center"/>
          </w:tcPr>
          <w:p>
            <w:pPr>
              <w:rPr>
                <w:rFonts w:ascii="宋体" w:hAnsi="宋体"/>
                <w:color w:val="000000"/>
                <w:szCs w:val="21"/>
              </w:rPr>
            </w:pPr>
            <w:r>
              <w:rPr>
                <w:rFonts w:hint="eastAsia" w:ascii="宋体" w:hAnsi="宋体"/>
                <w:color w:val="000000"/>
                <w:szCs w:val="21"/>
              </w:rPr>
              <w:t>乙方未在要求的时间内解决甲方提出的符合包修或技术支持范围的问题</w:t>
            </w:r>
          </w:p>
        </w:tc>
        <w:tc>
          <w:tcPr>
            <w:tcW w:w="2126" w:type="dxa"/>
            <w:vAlign w:val="center"/>
          </w:tcPr>
          <w:p>
            <w:pPr>
              <w:rPr>
                <w:rFonts w:ascii="宋体" w:hAnsi="宋体"/>
                <w:color w:val="000000"/>
                <w:szCs w:val="21"/>
              </w:rPr>
            </w:pPr>
            <w:r>
              <w:rPr>
                <w:rFonts w:hint="eastAsia" w:ascii="宋体" w:hAnsi="宋体"/>
                <w:color w:val="000000"/>
                <w:szCs w:val="21"/>
              </w:rPr>
              <w:t>由甲方项目经理完成售后反馈表，提交财务部扣款</w:t>
            </w:r>
          </w:p>
        </w:tc>
        <w:tc>
          <w:tcPr>
            <w:tcW w:w="1418" w:type="dxa"/>
            <w:vAlign w:val="center"/>
          </w:tcPr>
          <w:p>
            <w:pPr>
              <w:rPr>
                <w:color w:val="000000"/>
                <w:szCs w:val="21"/>
              </w:rPr>
            </w:pPr>
            <w:r>
              <w:rPr>
                <w:color w:val="000000"/>
                <w:szCs w:val="21"/>
              </w:rPr>
              <w:t>5,000~50,000</w:t>
            </w:r>
            <w:r>
              <w:rPr>
                <w:rFonts w:hAnsi="宋体"/>
                <w:color w:val="000000"/>
                <w:szCs w:val="21"/>
              </w:rPr>
              <w:t>元</w:t>
            </w:r>
          </w:p>
        </w:tc>
        <w:tc>
          <w:tcPr>
            <w:tcW w:w="1417" w:type="dxa"/>
            <w:vAlign w:val="center"/>
          </w:tcPr>
          <w:p>
            <w:pPr>
              <w:rPr>
                <w:rFonts w:ascii="宋体" w:hAnsi="宋体"/>
                <w:color w:val="000000"/>
                <w:szCs w:val="21"/>
              </w:rPr>
            </w:pPr>
            <w:r>
              <w:rPr>
                <w:rFonts w:hint="eastAsia" w:ascii="宋体" w:hAnsi="宋体"/>
                <w:color w:val="000000"/>
                <w:szCs w:val="21"/>
              </w:rPr>
              <w:t>视问题严重程度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3</w:t>
            </w:r>
          </w:p>
        </w:tc>
        <w:tc>
          <w:tcPr>
            <w:tcW w:w="1276" w:type="dxa"/>
            <w:vAlign w:val="center"/>
          </w:tcPr>
          <w:p>
            <w:pPr>
              <w:rPr>
                <w:rFonts w:ascii="宋体" w:hAnsi="宋体"/>
                <w:color w:val="000000"/>
                <w:szCs w:val="21"/>
              </w:rPr>
            </w:pPr>
            <w:r>
              <w:rPr>
                <w:rFonts w:hint="eastAsia" w:ascii="宋体" w:hAnsi="宋体"/>
                <w:color w:val="000000"/>
                <w:szCs w:val="21"/>
              </w:rPr>
              <w:t>文档缺失或质量不合格</w:t>
            </w:r>
          </w:p>
        </w:tc>
        <w:tc>
          <w:tcPr>
            <w:tcW w:w="2126" w:type="dxa"/>
            <w:vAlign w:val="center"/>
          </w:tcPr>
          <w:p>
            <w:pPr>
              <w:rPr>
                <w:rFonts w:ascii="宋体" w:hAnsi="宋体"/>
                <w:color w:val="000000"/>
                <w:szCs w:val="21"/>
              </w:rPr>
            </w:pPr>
            <w:r>
              <w:rPr>
                <w:rFonts w:hint="eastAsia" w:ascii="宋体" w:hAnsi="宋体"/>
                <w:color w:val="000000"/>
                <w:szCs w:val="21"/>
              </w:rPr>
              <w:t>乙方未提供或提供的技术规范、培训材料等文档</w:t>
            </w:r>
          </w:p>
        </w:tc>
        <w:tc>
          <w:tcPr>
            <w:tcW w:w="2126" w:type="dxa"/>
            <w:vAlign w:val="center"/>
          </w:tcPr>
          <w:p>
            <w:pPr>
              <w:rPr>
                <w:rFonts w:ascii="宋体" w:hAnsi="宋体"/>
                <w:color w:val="000000"/>
                <w:szCs w:val="21"/>
              </w:rPr>
            </w:pPr>
            <w:r>
              <w:rPr>
                <w:rFonts w:hint="eastAsia" w:ascii="宋体" w:hAnsi="宋体"/>
                <w:color w:val="000000"/>
                <w:szCs w:val="21"/>
              </w:rPr>
              <w:t>由甲方项目经理确认文档条目，提交财务部扣款</w:t>
            </w:r>
          </w:p>
        </w:tc>
        <w:tc>
          <w:tcPr>
            <w:tcW w:w="1418" w:type="dxa"/>
            <w:vAlign w:val="center"/>
          </w:tcPr>
          <w:p>
            <w:pPr>
              <w:rPr>
                <w:color w:val="000000"/>
                <w:szCs w:val="21"/>
              </w:rPr>
            </w:pPr>
            <w:r>
              <w:rPr>
                <w:color w:val="000000"/>
                <w:szCs w:val="21"/>
              </w:rPr>
              <w:t>1,000~5,0000</w:t>
            </w:r>
            <w:r>
              <w:rPr>
                <w:rFonts w:hAnsi="宋体"/>
                <w:color w:val="000000"/>
                <w:szCs w:val="21"/>
              </w:rPr>
              <w:t>元</w:t>
            </w:r>
          </w:p>
        </w:tc>
        <w:tc>
          <w:tcPr>
            <w:tcW w:w="1417" w:type="dxa"/>
            <w:vAlign w:val="center"/>
          </w:tcPr>
          <w:p>
            <w:pPr>
              <w:rPr>
                <w:rFonts w:ascii="宋体" w:hAnsi="宋体"/>
                <w:color w:val="000000"/>
                <w:szCs w:val="21"/>
              </w:rPr>
            </w:pPr>
            <w:r>
              <w:rPr>
                <w:rFonts w:hint="eastAsia" w:ascii="宋体" w:hAnsi="宋体"/>
                <w:color w:val="000000"/>
                <w:szCs w:val="21"/>
              </w:rPr>
              <w:t>视文档重要性</w:t>
            </w:r>
          </w:p>
        </w:tc>
      </w:tr>
    </w:tbl>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ascii="宋体" w:hAnsi="宋体"/>
          <w:color w:val="000000"/>
          <w:szCs w:val="21"/>
          <w:u w:val="single"/>
        </w:rPr>
        <w:t>IPv6/IPv4协议转换设备采购</w:t>
      </w:r>
      <w:r>
        <w:rPr>
          <w:rFonts w:hint="eastAsia" w:ascii="宋体" w:hAnsi="宋体" w:cs="宋体"/>
          <w:szCs w:val="21"/>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3"/>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产品的包装</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4" w:name="_Toc69378622"/>
      <w:r>
        <w:rPr>
          <w:rFonts w:hint="eastAsia" w:ascii="宋体" w:hAnsi="宋体" w:eastAsia="宋体" w:cs="宋体"/>
          <w:b/>
          <w:bCs w:val="0"/>
          <w:sz w:val="21"/>
          <w:szCs w:val="21"/>
        </w:rPr>
        <w:t>六、产品交付</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（3）竞争性磋商文件中所要求提交的资料。</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numPr>
          <w:ilvl w:val="0"/>
          <w:numId w:val="9"/>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甲方有权拒收运抵现场的被损坏或有缺陷的或不符合竞争性磋商文件、乙方响应文件和磋商时乙方做出的书面承诺的任何产品。</w:t>
      </w:r>
    </w:p>
    <w:bookmarkEnd w:id="24"/>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5" w:name="_Toc69378629"/>
      <w:r>
        <w:rPr>
          <w:rFonts w:hint="eastAsia" w:ascii="宋体" w:hAnsi="宋体" w:eastAsia="宋体" w:cs="宋体"/>
          <w:b/>
          <w:bCs w:val="0"/>
          <w:sz w:val="21"/>
          <w:szCs w:val="21"/>
        </w:rPr>
        <w:t>七、</w:t>
      </w:r>
      <w:bookmarkEnd w:id="25"/>
      <w:bookmarkStart w:id="26"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八、供货周期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所有货物在合同生效后</w:t>
      </w:r>
      <w:r>
        <w:rPr>
          <w:rFonts w:ascii="宋体" w:hAnsi="宋体" w:cs="宋体"/>
          <w:szCs w:val="21"/>
          <w:u w:val="single"/>
        </w:rPr>
        <w:t xml:space="preserve">   </w:t>
      </w:r>
      <w:r>
        <w:rPr>
          <w:rFonts w:hint="eastAsia" w:ascii="宋体" w:hAnsi="宋体" w:cs="宋体"/>
          <w:szCs w:val="21"/>
        </w:rPr>
        <w:t>天内（不超过1</w:t>
      </w:r>
      <w:r>
        <w:rPr>
          <w:rFonts w:ascii="宋体" w:hAnsi="宋体" w:cs="宋体"/>
          <w:szCs w:val="21"/>
        </w:rPr>
        <w:t>5</w:t>
      </w:r>
      <w:r>
        <w:rPr>
          <w:rFonts w:hint="eastAsia" w:ascii="宋体" w:hAnsi="宋体" w:cs="宋体"/>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26"/>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7" w:name="_Toc69378633"/>
      <w:r>
        <w:rPr>
          <w:rFonts w:hint="eastAsia" w:ascii="宋体" w:hAnsi="宋体" w:eastAsia="宋体" w:cs="宋体"/>
          <w:b/>
          <w:bCs w:val="0"/>
          <w:sz w:val="21"/>
          <w:szCs w:val="21"/>
        </w:rPr>
        <w:t>九、验收标准</w:t>
      </w:r>
    </w:p>
    <w:p>
      <w:pPr>
        <w:numPr>
          <w:ilvl w:val="0"/>
          <w:numId w:val="10"/>
        </w:numPr>
        <w:tabs>
          <w:tab w:val="left" w:pos="0"/>
        </w:tabs>
        <w:spacing w:line="360" w:lineRule="auto"/>
        <w:ind w:left="0" w:firstLine="0"/>
        <w:rPr>
          <w:color w:val="000000"/>
          <w:szCs w:val="21"/>
        </w:rPr>
      </w:pPr>
      <w:r>
        <w:rPr>
          <w:color w:val="000000"/>
          <w:szCs w:val="21"/>
        </w:rPr>
        <w:t>设备到货后，甲方对设备数量进行核对，并进行设备上架安装、开机试运行及配置验证，确定设备与合同内容无误后视为货到验收合格。</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10"/>
        </w:numPr>
        <w:adjustRightInd w:val="0"/>
        <w:snapToGrid w:val="0"/>
        <w:spacing w:line="360" w:lineRule="auto"/>
        <w:rPr>
          <w:rFonts w:ascii="宋体"/>
          <w:szCs w:val="21"/>
        </w:rPr>
      </w:pPr>
      <w:r>
        <w:rPr>
          <w:rFonts w:hint="eastAsia" w:ascii="宋体" w:hAnsi="宋体"/>
          <w:szCs w:val="21"/>
        </w:rPr>
        <w:t>乙方满足验收条件、提交甲方验收的，甲方应及时组织验收。</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28" w:name="_Toc72326302"/>
      <w:r>
        <w:rPr>
          <w:rFonts w:hint="eastAsia" w:ascii="宋体" w:hAnsi="宋体" w:eastAsia="宋体"/>
          <w:b/>
          <w:kern w:val="2"/>
          <w:sz w:val="21"/>
          <w:szCs w:val="21"/>
        </w:rPr>
        <w:t>十、售后服务</w:t>
      </w:r>
      <w:bookmarkEnd w:id="28"/>
    </w:p>
    <w:p>
      <w:pPr>
        <w:numPr>
          <w:ilvl w:val="0"/>
          <w:numId w:val="11"/>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乙方需在南京设立产品备件库，保证硬件设备的及时维修和更换。</w:t>
      </w:r>
    </w:p>
    <w:p>
      <w:pPr>
        <w:numPr>
          <w:ilvl w:val="0"/>
          <w:numId w:val="11"/>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，自初验通过之日起计算。免费包修期内</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%（不高于5%）。有偿保修服务的内容应包含免费包修期内的所有服务内容。</w:t>
      </w:r>
    </w:p>
    <w:p>
      <w:pPr>
        <w:numPr>
          <w:ilvl w:val="0"/>
          <w:numId w:val="11"/>
        </w:numPr>
        <w:adjustRightInd w:val="0"/>
        <w:snapToGrid w:val="0"/>
        <w:spacing w:line="360" w:lineRule="auto"/>
        <w:ind w:left="0" w:firstLine="0"/>
        <w:rPr>
          <w:rFonts w:ascii="宋体" w:hAnsi="宋体"/>
          <w:szCs w:val="21"/>
        </w:rPr>
      </w:pPr>
      <w:r>
        <w:rPr>
          <w:rFonts w:hint="eastAsia" w:ascii="宋体" w:hAnsi="宋体"/>
          <w:szCs w:val="21"/>
        </w:rPr>
        <w:t>培训：包括响应文件和磋商时做出的书面承诺的培训。乙方</w:t>
      </w:r>
      <w:r>
        <w:rPr>
          <w:rFonts w:ascii="宋体" w:hAnsi="宋体"/>
          <w:szCs w:val="21"/>
        </w:rPr>
        <w:t>应对</w:t>
      </w:r>
      <w:r>
        <w:rPr>
          <w:rFonts w:hint="eastAsia" w:ascii="宋体" w:hAnsi="宋体"/>
          <w:szCs w:val="21"/>
        </w:rPr>
        <w:t>甲方</w:t>
      </w:r>
      <w:r>
        <w:rPr>
          <w:rFonts w:ascii="宋体" w:hAnsi="宋体"/>
          <w:szCs w:val="21"/>
        </w:rPr>
        <w:t>人员进行技术培训，使</w:t>
      </w:r>
      <w:r>
        <w:rPr>
          <w:rFonts w:hint="eastAsia" w:ascii="宋体" w:hAnsi="宋体"/>
          <w:szCs w:val="21"/>
        </w:rPr>
        <w:t>甲方</w:t>
      </w:r>
      <w:r>
        <w:rPr>
          <w:rFonts w:ascii="宋体" w:hAnsi="宋体"/>
          <w:szCs w:val="21"/>
        </w:rPr>
        <w:t>人员具备独立管理、维护测试和故障处理等工作的能力，培训内容包含但不限于</w:t>
      </w:r>
      <w:r>
        <w:rPr>
          <w:rFonts w:hint="eastAsia" w:ascii="宋体" w:hAnsi="宋体"/>
          <w:szCs w:val="21"/>
        </w:rPr>
        <w:t>系统的</w:t>
      </w:r>
      <w:r>
        <w:rPr>
          <w:rFonts w:ascii="宋体" w:hAnsi="宋体"/>
          <w:szCs w:val="21"/>
        </w:rPr>
        <w:t>相关技术原理、性能、操作使用方法、维护管理的技术、实际的操作练习等。</w:t>
      </w:r>
      <w:r>
        <w:rPr>
          <w:rFonts w:hint="eastAsia" w:ascii="宋体" w:hAnsi="宋体"/>
          <w:szCs w:val="21"/>
        </w:rPr>
        <w:t>乙方另行提供的其它培训，往返路程费用、住宿及餐饮等费用由乙方承担。</w:t>
      </w:r>
    </w:p>
    <w:p>
      <w:pPr>
        <w:numPr>
          <w:ilvl w:val="0"/>
          <w:numId w:val="11"/>
        </w:numPr>
        <w:adjustRightInd w:val="0"/>
        <w:snapToGrid w:val="0"/>
        <w:spacing w:line="360" w:lineRule="auto"/>
        <w:ind w:left="0" w:firstLine="0"/>
        <w:rPr>
          <w:rFonts w:ascii="宋体" w:hAnsi="宋体"/>
          <w:szCs w:val="21"/>
        </w:rPr>
      </w:pPr>
      <w:r>
        <w:rPr>
          <w:rFonts w:hint="eastAsia" w:ascii="宋体" w:hAnsi="宋体"/>
          <w:szCs w:val="21"/>
        </w:rPr>
        <w:t>原厂服务：乙方所提供的技术服务都由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1"/>
        </w:numPr>
        <w:adjustRightInd w:val="0"/>
        <w:snapToGrid w:val="0"/>
        <w:spacing w:line="360" w:lineRule="auto"/>
        <w:ind w:left="0" w:firstLine="0"/>
        <w:rPr>
          <w:rFonts w:ascii="宋体" w:hAnsi="宋体"/>
          <w:szCs w:val="21"/>
        </w:rPr>
      </w:pPr>
      <w:r>
        <w:rPr>
          <w:rFonts w:ascii="宋体" w:hAnsi="宋体"/>
          <w:szCs w:val="21"/>
        </w:rP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ascii="宋体" w:hAnsi="宋体"/>
          <w:szCs w:val="21"/>
        </w:rPr>
        <w:t>。</w:t>
      </w:r>
    </w:p>
    <w:p>
      <w:pPr>
        <w:numPr>
          <w:ilvl w:val="0"/>
          <w:numId w:val="11"/>
        </w:numPr>
        <w:tabs>
          <w:tab w:val="left" w:pos="0"/>
        </w:tabs>
        <w:spacing w:line="360" w:lineRule="auto"/>
        <w:ind w:left="0" w:firstLine="0"/>
        <w:rPr>
          <w:color w:val="000000"/>
          <w:szCs w:val="21"/>
        </w:rPr>
      </w:pPr>
      <w:r>
        <w:t>技术交流：乙方及原厂商应当针对本项目系统（软硬件）与甲方进行现场技术交流，以提高甲方操作和维护水平。</w:t>
      </w:r>
    </w:p>
    <w:p>
      <w:pPr>
        <w:numPr>
          <w:ilvl w:val="0"/>
          <w:numId w:val="11"/>
        </w:numPr>
        <w:tabs>
          <w:tab w:val="left" w:pos="0"/>
        </w:tabs>
        <w:spacing w:line="360" w:lineRule="auto"/>
        <w:ind w:left="0" w:firstLine="0"/>
      </w:pPr>
      <w:r>
        <w:t>软件支持：包修期内，原厂商免费为甲方提供软件维护和软件兼容性问题的技术支持服务，确保设备软件系统正常运行。乙方必须终身提供免费的软件维护和升级，对于不在此范围内的情况需列表说明。</w:t>
      </w:r>
    </w:p>
    <w:p>
      <w:pPr>
        <w:numPr>
          <w:ilvl w:val="0"/>
          <w:numId w:val="11"/>
        </w:numPr>
        <w:tabs>
          <w:tab w:val="left" w:pos="0"/>
        </w:tabs>
        <w:spacing w:line="360" w:lineRule="auto"/>
        <w:ind w:left="0" w:firstLine="0"/>
      </w:pPr>
      <w:r>
        <w:t>在甲方使用主流品牌的硬件、软件产品出现兼容性问题时，原厂商须积极配合，与有关硬件、软件厂商和甲方接洽，及时定位问题原因、寻求解决方案。</w:t>
      </w:r>
    </w:p>
    <w:p>
      <w:pPr>
        <w:numPr>
          <w:ilvl w:val="0"/>
          <w:numId w:val="11"/>
        </w:numPr>
        <w:tabs>
          <w:tab w:val="left" w:pos="0"/>
        </w:tabs>
        <w:spacing w:line="360" w:lineRule="auto"/>
        <w:ind w:left="0" w:firstLine="0"/>
      </w:pPr>
      <w:r>
        <w:t>在包修期内及包修期后，甲方在使用乙方设备中不论何种原因造成的故障，乙方在接到甲方要求修复的通知后：</w:t>
      </w:r>
    </w:p>
    <w:p>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pPr>
        <w:spacing w:line="360" w:lineRule="auto"/>
      </w:pPr>
      <w:r>
        <w:rPr>
          <w:szCs w:val="21"/>
        </w:rPr>
        <w:t>乙方</w:t>
      </w:r>
      <w:r>
        <w:t>24小时故障报修电话：</w:t>
      </w:r>
      <w:r>
        <w:rPr>
          <w:u w:val="single"/>
        </w:rPr>
        <w:t xml:space="preserve">       </w:t>
      </w:r>
    </w:p>
    <w:p>
      <w:pPr>
        <w:spacing w:line="360" w:lineRule="auto"/>
      </w:pPr>
      <w:r>
        <w:t>原厂商24小时故障报修电话：</w:t>
      </w:r>
      <w:r>
        <w:rPr>
          <w:u w:val="single"/>
        </w:rPr>
        <w:t xml:space="preserve">      </w:t>
      </w:r>
    </w:p>
    <w:p>
      <w:pPr>
        <w:pStyle w:val="22"/>
        <w:tabs>
          <w:tab w:val="left" w:pos="417"/>
        </w:tabs>
        <w:spacing w:after="0" w:line="360" w:lineRule="auto"/>
        <w:ind w:left="0"/>
        <w:rPr>
          <w:rFonts w:ascii="Times New Roman" w:eastAsia="宋体"/>
          <w:kern w:val="2"/>
          <w:sz w:val="21"/>
          <w:szCs w:val="24"/>
        </w:rPr>
      </w:pPr>
      <w:r>
        <w:rPr>
          <w:rFonts w:ascii="Times New Roman" w:eastAsia="宋体"/>
          <w:kern w:val="2"/>
          <w:sz w:val="21"/>
          <w:szCs w:val="24"/>
        </w:rPr>
        <w:t>技术支持电话：</w:t>
      </w:r>
      <w:r>
        <w:rPr>
          <w:u w:val="single"/>
        </w:rPr>
        <w:t xml:space="preserve">      </w:t>
      </w:r>
    </w:p>
    <w:p>
      <w:pPr>
        <w:tabs>
          <w:tab w:val="left" w:pos="0"/>
        </w:tabs>
        <w:spacing w:line="360" w:lineRule="auto"/>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3年</w:t>
      </w:r>
      <w:r>
        <w:rPr>
          <w:bCs/>
          <w:szCs w:val="21"/>
        </w:rPr>
        <w:t>正常使用的所有设备易损件和备件，</w:t>
      </w:r>
      <w:r>
        <w:rPr>
          <w:szCs w:val="21"/>
        </w:rPr>
        <w:t>用以保障甲方应急替换。</w:t>
      </w:r>
    </w:p>
    <w:tbl>
      <w:tblPr>
        <w:tblStyle w:val="5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23"/>
        <w:gridCol w:w="1726"/>
        <w:gridCol w:w="1251"/>
        <w:gridCol w:w="159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Align w:val="center"/>
          </w:tcPr>
          <w:p>
            <w:pPr>
              <w:pStyle w:val="351"/>
              <w:spacing w:before="0" w:line="240" w:lineRule="auto"/>
              <w:ind w:firstLine="0"/>
              <w:jc w:val="center"/>
              <w:rPr>
                <w:b/>
                <w:sz w:val="21"/>
                <w:szCs w:val="21"/>
              </w:rPr>
            </w:pPr>
            <w:r>
              <w:rPr>
                <w:b/>
                <w:sz w:val="21"/>
                <w:szCs w:val="21"/>
              </w:rPr>
              <w:t>故障级别</w:t>
            </w:r>
          </w:p>
        </w:tc>
        <w:tc>
          <w:tcPr>
            <w:tcW w:w="1323" w:type="dxa"/>
            <w:vAlign w:val="center"/>
          </w:tcPr>
          <w:p>
            <w:pPr>
              <w:pStyle w:val="351"/>
              <w:spacing w:before="0" w:line="240" w:lineRule="auto"/>
              <w:ind w:firstLine="0"/>
              <w:jc w:val="center"/>
              <w:rPr>
                <w:b/>
                <w:sz w:val="21"/>
                <w:szCs w:val="21"/>
              </w:rPr>
            </w:pPr>
            <w:r>
              <w:rPr>
                <w:b/>
                <w:sz w:val="21"/>
                <w:szCs w:val="21"/>
              </w:rPr>
              <w:t>故障描述</w:t>
            </w:r>
          </w:p>
        </w:tc>
        <w:tc>
          <w:tcPr>
            <w:tcW w:w="1726" w:type="dxa"/>
            <w:vAlign w:val="center"/>
          </w:tcPr>
          <w:p>
            <w:pPr>
              <w:pStyle w:val="351"/>
              <w:spacing w:before="0" w:line="240" w:lineRule="auto"/>
              <w:ind w:firstLine="0"/>
              <w:jc w:val="center"/>
              <w:rPr>
                <w:b/>
                <w:sz w:val="21"/>
                <w:szCs w:val="21"/>
              </w:rPr>
            </w:pPr>
            <w:r>
              <w:rPr>
                <w:b/>
                <w:sz w:val="21"/>
                <w:szCs w:val="21"/>
              </w:rPr>
              <w:t>发生时段</w:t>
            </w:r>
          </w:p>
        </w:tc>
        <w:tc>
          <w:tcPr>
            <w:tcW w:w="1251" w:type="dxa"/>
            <w:vAlign w:val="center"/>
          </w:tcPr>
          <w:p>
            <w:pPr>
              <w:pStyle w:val="351"/>
              <w:spacing w:before="0" w:line="240" w:lineRule="auto"/>
              <w:ind w:firstLine="0"/>
              <w:jc w:val="center"/>
              <w:rPr>
                <w:b/>
                <w:sz w:val="21"/>
                <w:szCs w:val="21"/>
              </w:rPr>
            </w:pPr>
            <w:r>
              <w:rPr>
                <w:b/>
                <w:sz w:val="21"/>
                <w:szCs w:val="21"/>
              </w:rPr>
              <w:t>电话</w:t>
            </w:r>
            <w:r>
              <w:rPr>
                <w:rFonts w:hint="eastAsia"/>
                <w:b/>
                <w:sz w:val="21"/>
                <w:szCs w:val="21"/>
              </w:rPr>
              <w:t>响应</w:t>
            </w:r>
          </w:p>
        </w:tc>
        <w:tc>
          <w:tcPr>
            <w:tcW w:w="1598" w:type="dxa"/>
            <w:vAlign w:val="center"/>
          </w:tcPr>
          <w:p>
            <w:pPr>
              <w:pStyle w:val="351"/>
              <w:spacing w:before="0" w:line="240" w:lineRule="auto"/>
              <w:ind w:firstLine="0"/>
              <w:jc w:val="center"/>
              <w:rPr>
                <w:b/>
                <w:sz w:val="21"/>
                <w:szCs w:val="21"/>
              </w:rPr>
            </w:pPr>
            <w:r>
              <w:rPr>
                <w:b/>
                <w:sz w:val="21"/>
                <w:szCs w:val="21"/>
              </w:rPr>
              <w:t>现场响应</w:t>
            </w:r>
          </w:p>
        </w:tc>
        <w:tc>
          <w:tcPr>
            <w:tcW w:w="1357" w:type="dxa"/>
            <w:vAlign w:val="center"/>
          </w:tcPr>
          <w:p>
            <w:pPr>
              <w:pStyle w:val="351"/>
              <w:spacing w:before="0" w:line="240" w:lineRule="auto"/>
              <w:ind w:firstLine="0"/>
              <w:jc w:val="center"/>
              <w:rPr>
                <w:b/>
                <w:sz w:val="21"/>
                <w:szCs w:val="21"/>
              </w:rPr>
            </w:pPr>
            <w:r>
              <w:rPr>
                <w:b/>
                <w:sz w:val="21"/>
                <w:szCs w:val="21"/>
              </w:rPr>
              <w:t>解决</w:t>
            </w:r>
            <w:r>
              <w:rPr>
                <w:rFonts w:hint="eastAsia"/>
                <w:b/>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紧急故障</w:t>
            </w:r>
          </w:p>
        </w:tc>
        <w:tc>
          <w:tcPr>
            <w:tcW w:w="1323" w:type="dxa"/>
            <w:vMerge w:val="restart"/>
            <w:vAlign w:val="center"/>
          </w:tcPr>
          <w:p>
            <w:pPr>
              <w:tabs>
                <w:tab w:val="left" w:pos="2412"/>
              </w:tabs>
              <w:jc w:val="center"/>
              <w:rPr>
                <w:szCs w:val="21"/>
              </w:rPr>
            </w:pPr>
            <w:r>
              <w:rPr>
                <w:szCs w:val="21"/>
              </w:rPr>
              <w:t>服务中断</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现场解决</w:t>
            </w:r>
          </w:p>
        </w:tc>
        <w:tc>
          <w:tcPr>
            <w:tcW w:w="1357" w:type="dxa"/>
            <w:vAlign w:val="center"/>
          </w:tcPr>
          <w:p>
            <w:pPr>
              <w:jc w:val="center"/>
              <w:rPr>
                <w:szCs w:val="21"/>
              </w:rPr>
            </w:pPr>
            <w:r>
              <w:rPr>
                <w:szCs w:val="21"/>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tabs>
                <w:tab w:val="left" w:pos="2412"/>
              </w:tabs>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30分钟内</w:t>
            </w:r>
          </w:p>
        </w:tc>
        <w:tc>
          <w:tcPr>
            <w:tcW w:w="1357" w:type="dxa"/>
            <w:vAlign w:val="center"/>
          </w:tcPr>
          <w:p>
            <w:pPr>
              <w:jc w:val="center"/>
              <w:rPr>
                <w:szCs w:val="21"/>
              </w:rPr>
            </w:pPr>
            <w:r>
              <w:rPr>
                <w:szCs w:val="21"/>
              </w:rPr>
              <w:t>30分钟内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严重故障</w:t>
            </w:r>
          </w:p>
        </w:tc>
        <w:tc>
          <w:tcPr>
            <w:tcW w:w="1323" w:type="dxa"/>
            <w:vMerge w:val="restart"/>
            <w:vAlign w:val="center"/>
          </w:tcPr>
          <w:p>
            <w:pPr>
              <w:jc w:val="center"/>
              <w:rPr>
                <w:szCs w:val="21"/>
              </w:rPr>
            </w:pPr>
            <w:r>
              <w:rPr>
                <w:szCs w:val="21"/>
              </w:rPr>
              <w:t>系统缓慢</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p>
        </w:tc>
        <w:tc>
          <w:tcPr>
            <w:tcW w:w="1598" w:type="dxa"/>
            <w:vAlign w:val="center"/>
          </w:tcPr>
          <w:p>
            <w:pPr>
              <w:jc w:val="center"/>
              <w:rPr>
                <w:szCs w:val="21"/>
              </w:rPr>
            </w:pPr>
            <w:r>
              <w:rPr>
                <w:szCs w:val="21"/>
              </w:rPr>
              <w:t>现场解决</w:t>
            </w:r>
          </w:p>
        </w:tc>
        <w:tc>
          <w:tcPr>
            <w:tcW w:w="1357" w:type="dxa"/>
            <w:vAlign w:val="center"/>
          </w:tcPr>
          <w:p>
            <w:pPr>
              <w:jc w:val="center"/>
              <w:rPr>
                <w:szCs w:val="21"/>
              </w:rPr>
            </w:pPr>
            <w:r>
              <w:rPr>
                <w:szCs w:val="21"/>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30分钟内</w:t>
            </w:r>
          </w:p>
        </w:tc>
        <w:tc>
          <w:tcPr>
            <w:tcW w:w="1357" w:type="dxa"/>
            <w:vAlign w:val="center"/>
          </w:tcPr>
          <w:p>
            <w:pPr>
              <w:jc w:val="center"/>
              <w:rPr>
                <w:szCs w:val="21"/>
              </w:rPr>
            </w:pPr>
            <w:r>
              <w:rPr>
                <w:szCs w:val="21"/>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中级故障</w:t>
            </w:r>
          </w:p>
        </w:tc>
        <w:tc>
          <w:tcPr>
            <w:tcW w:w="1323" w:type="dxa"/>
            <w:vMerge w:val="restart"/>
            <w:vAlign w:val="center"/>
          </w:tcPr>
          <w:p>
            <w:pPr>
              <w:jc w:val="center"/>
              <w:rPr>
                <w:szCs w:val="21"/>
              </w:rPr>
            </w:pPr>
            <w:r>
              <w:rPr>
                <w:szCs w:val="21"/>
              </w:rPr>
              <w:t>关键性bug</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现场响应</w:t>
            </w:r>
          </w:p>
        </w:tc>
        <w:tc>
          <w:tcPr>
            <w:tcW w:w="1357" w:type="dxa"/>
            <w:vMerge w:val="restart"/>
            <w:vAlign w:val="center"/>
          </w:tcPr>
          <w:p>
            <w:pPr>
              <w:pStyle w:val="351"/>
              <w:spacing w:before="0" w:line="240" w:lineRule="auto"/>
              <w:ind w:firstLine="0"/>
              <w:rPr>
                <w:kern w:val="2"/>
                <w:sz w:val="21"/>
                <w:szCs w:val="21"/>
              </w:rPr>
            </w:pPr>
            <w:r>
              <w:rPr>
                <w:kern w:val="2"/>
                <w:sz w:val="21"/>
                <w:szCs w:val="21"/>
              </w:rPr>
              <w:t>不超过1周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一个工作日内</w:t>
            </w:r>
          </w:p>
        </w:tc>
        <w:tc>
          <w:tcPr>
            <w:tcW w:w="1357" w:type="dxa"/>
            <w:vMerge w:val="continue"/>
            <w:vAlign w:val="center"/>
          </w:tcPr>
          <w:p>
            <w:pPr>
              <w:pStyle w:val="351"/>
              <w:spacing w:before="0" w:line="240" w:lineRule="auto"/>
              <w:jc w:val="center"/>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jc w:val="center"/>
              <w:rPr>
                <w:szCs w:val="21"/>
              </w:rPr>
            </w:pPr>
            <w:r>
              <w:rPr>
                <w:szCs w:val="21"/>
              </w:rPr>
              <w:t>低级故障</w:t>
            </w:r>
          </w:p>
        </w:tc>
        <w:tc>
          <w:tcPr>
            <w:tcW w:w="1323" w:type="dxa"/>
            <w:vMerge w:val="restart"/>
            <w:vAlign w:val="center"/>
          </w:tcPr>
          <w:p>
            <w:pPr>
              <w:jc w:val="center"/>
              <w:rPr>
                <w:szCs w:val="21"/>
              </w:rPr>
            </w:pPr>
            <w:r>
              <w:rPr>
                <w:szCs w:val="21"/>
              </w:rPr>
              <w:t>非关键性bug</w:t>
            </w:r>
          </w:p>
        </w:tc>
        <w:tc>
          <w:tcPr>
            <w:tcW w:w="1726" w:type="dxa"/>
            <w:vAlign w:val="center"/>
          </w:tcPr>
          <w:p>
            <w:pPr>
              <w:jc w:val="center"/>
              <w:rPr>
                <w:szCs w:val="21"/>
              </w:rPr>
            </w:pPr>
            <w:r>
              <w:rPr>
                <w:szCs w:val="21"/>
              </w:rPr>
              <w:t>正常工作时</w:t>
            </w:r>
            <w:r>
              <w:rPr>
                <w:rFonts w:hint="eastAsia"/>
                <w:szCs w:val="21"/>
              </w:rPr>
              <w:t>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现场解决</w:t>
            </w:r>
          </w:p>
        </w:tc>
        <w:tc>
          <w:tcPr>
            <w:tcW w:w="1357" w:type="dxa"/>
            <w:vMerge w:val="restart"/>
            <w:vAlign w:val="center"/>
          </w:tcPr>
          <w:p>
            <w:pPr>
              <w:pStyle w:val="351"/>
              <w:spacing w:before="0" w:line="240" w:lineRule="auto"/>
              <w:ind w:firstLine="0"/>
              <w:rPr>
                <w:kern w:val="2"/>
                <w:sz w:val="21"/>
                <w:szCs w:val="21"/>
              </w:rPr>
            </w:pPr>
            <w:r>
              <w:rPr>
                <w:kern w:val="2"/>
                <w:sz w:val="21"/>
                <w:szCs w:val="21"/>
              </w:rPr>
              <w:t>不超过2周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jc w:val="center"/>
              <w:rPr>
                <w:szCs w:val="21"/>
              </w:rPr>
            </w:pPr>
          </w:p>
        </w:tc>
        <w:tc>
          <w:tcPr>
            <w:tcW w:w="1323" w:type="dxa"/>
            <w:vMerge w:val="continue"/>
            <w:vAlign w:val="center"/>
          </w:tcPr>
          <w:p>
            <w:pPr>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一个工作日内</w:t>
            </w:r>
          </w:p>
        </w:tc>
        <w:tc>
          <w:tcPr>
            <w:tcW w:w="1357" w:type="dxa"/>
            <w:vMerge w:val="continue"/>
            <w:vAlign w:val="center"/>
          </w:tcPr>
          <w:p>
            <w:pPr>
              <w:pStyle w:val="351"/>
              <w:spacing w:before="0" w:line="240" w:lineRule="auto"/>
              <w:jc w:val="center"/>
              <w:rPr>
                <w:kern w:val="2"/>
                <w:sz w:val="21"/>
                <w:szCs w:val="21"/>
              </w:rPr>
            </w:pPr>
          </w:p>
        </w:tc>
      </w:tr>
    </w:tbl>
    <w:p>
      <w:pPr>
        <w:spacing w:line="360" w:lineRule="auto"/>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pPr>
        <w:pStyle w:val="22"/>
        <w:tabs>
          <w:tab w:val="left" w:pos="417"/>
        </w:tabs>
        <w:spacing w:after="0" w:line="360" w:lineRule="auto"/>
        <w:ind w:left="10" w:leftChars="5" w:firstLine="735" w:firstLineChars="350"/>
        <w:rPr>
          <w:rFonts w:ascii="Times New Roman" w:eastAsia="宋体"/>
          <w:kern w:val="2"/>
          <w:sz w:val="21"/>
          <w:szCs w:val="21"/>
        </w:rPr>
      </w:pPr>
      <w:r>
        <w:rPr>
          <w:rFonts w:hint="eastAsia" w:ascii="Times New Roman" w:eastAsia="宋体"/>
          <w:kern w:val="2"/>
          <w:sz w:val="21"/>
          <w:szCs w:val="21"/>
        </w:rPr>
        <w:t>（2）</w:t>
      </w:r>
      <w:r>
        <w:rPr>
          <w:rFonts w:ascii="Times New Roman" w:eastAsia="宋体"/>
          <w:kern w:val="2"/>
          <w:sz w:val="21"/>
          <w:szCs w:val="21"/>
        </w:rPr>
        <w:t>中级故障和低级故障发生，甲方出具书面的故障情况通知单，双方技术人员签字确认</w:t>
      </w:r>
      <w:r>
        <w:rPr>
          <w:rFonts w:hint="eastAsia" w:ascii="Times New Roman" w:eastAsia="宋体"/>
          <w:kern w:val="2"/>
          <w:sz w:val="21"/>
          <w:szCs w:val="21"/>
        </w:rPr>
        <w:t>；</w:t>
      </w:r>
      <w:r>
        <w:rPr>
          <w:rFonts w:ascii="Times New Roman" w:eastAsia="宋体"/>
          <w:kern w:val="2"/>
          <w:sz w:val="21"/>
          <w:szCs w:val="21"/>
        </w:rPr>
        <w:t>对于紧急故障和严重故障，甲方以信函的形式通知乙方，乙方在接收到信函后3日内给予甲方书面确认，并详述故障原因和解决办法。</w:t>
      </w:r>
    </w:p>
    <w:p>
      <w:pPr>
        <w:numPr>
          <w:ilvl w:val="0"/>
          <w:numId w:val="11"/>
        </w:numPr>
        <w:tabs>
          <w:tab w:val="left" w:pos="0"/>
        </w:tabs>
        <w:spacing w:line="360" w:lineRule="auto"/>
        <w:ind w:left="0" w:firstLine="0"/>
      </w:pPr>
      <w:r>
        <w:t>定期巡访：乙方每月到甲方现场对机器进行检查，并在检测后两周内向甲方提供检测报告，乙方必须承诺升级后的软件没有版权及使用的其它问题，并且到下次升级时可保证正常使用。</w:t>
      </w:r>
    </w:p>
    <w:p>
      <w:pPr>
        <w:numPr>
          <w:ilvl w:val="0"/>
          <w:numId w:val="11"/>
        </w:numPr>
        <w:tabs>
          <w:tab w:val="left" w:pos="0"/>
        </w:tabs>
        <w:spacing w:line="360" w:lineRule="auto"/>
        <w:ind w:left="0" w:firstLine="0"/>
      </w:pPr>
      <w:r>
        <w:t>特殊时段现场支持服务：乙方及原厂商提供特殊时段</w:t>
      </w:r>
      <w:r>
        <w:rPr>
          <w:rFonts w:hint="eastAsia"/>
        </w:rPr>
        <w:t>（</w:t>
      </w:r>
      <w:r>
        <w:t>两会期间、法定节假日、系统停机服务等甲方认为必须的重要时段</w:t>
      </w:r>
      <w:r>
        <w:rPr>
          <w:rFonts w:hint="eastAsia"/>
        </w:rP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p>
    <w:p>
      <w:pPr>
        <w:numPr>
          <w:ilvl w:val="0"/>
          <w:numId w:val="11"/>
        </w:numPr>
        <w:tabs>
          <w:tab w:val="left" w:pos="0"/>
        </w:tabs>
        <w:spacing w:line="360" w:lineRule="auto"/>
        <w:ind w:left="0" w:firstLine="0"/>
      </w:pPr>
      <w:r>
        <w:t>如果在系统发生故障后，乙方未能按合同要求时间到达用户现场排除故障，甲方有权请第三方解决问题，由此产生的费用由乙方承担。造成甲方业务损失的，由乙方承担相应责任。</w:t>
      </w:r>
    </w:p>
    <w:p>
      <w:pPr>
        <w:numPr>
          <w:ilvl w:val="0"/>
          <w:numId w:val="11"/>
        </w:numPr>
        <w:tabs>
          <w:tab w:val="left" w:pos="0"/>
        </w:tabs>
        <w:spacing w:line="360" w:lineRule="auto"/>
        <w:ind w:left="0" w:firstLine="0"/>
      </w:pPr>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p>
      <w:pPr>
        <w:numPr>
          <w:ilvl w:val="0"/>
          <w:numId w:val="11"/>
        </w:numPr>
        <w:tabs>
          <w:tab w:val="left" w:pos="0"/>
          <w:tab w:val="left" w:pos="42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pPr>
        <w:numPr>
          <w:ilvl w:val="0"/>
          <w:numId w:val="11"/>
        </w:numPr>
        <w:tabs>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pPr>
        <w:numPr>
          <w:ilvl w:val="0"/>
          <w:numId w:val="11"/>
        </w:numPr>
        <w:tabs>
          <w:tab w:val="left" w:pos="0"/>
        </w:tabs>
        <w:spacing w:line="360" w:lineRule="auto"/>
        <w:ind w:left="0" w:firstLine="0"/>
      </w:pPr>
      <w:r>
        <w:t>服务改进：乙方提供的项目服务人员态度与能力不符合项目要求，甲方提出改进要求，3个工作日内没有明显改进，乙方项目经理5</w:t>
      </w:r>
      <w:r>
        <w:rPr>
          <w:rFonts w:hint="eastAsia"/>
        </w:rPr>
        <w:t>*</w:t>
      </w:r>
      <w:r>
        <w:t>8（每周5天，每天8小时，下同）在现场监督改进，3个工作日仍然没有明显改进，乙方项目经理的上级领导5</w:t>
      </w:r>
      <w:r>
        <w:rPr>
          <w:rFonts w:hint="eastAsia"/>
        </w:rPr>
        <w:t>*</w:t>
      </w:r>
      <w:r>
        <w:t>8在现场监督改进，依次类推，直到大中华服务总经理（或同级别经理）5</w:t>
      </w:r>
      <w:r>
        <w:rPr>
          <w:rFonts w:hint="eastAsia"/>
        </w:rPr>
        <w:t>*</w:t>
      </w:r>
      <w:r>
        <w:t>8在现场监督，直到完全改进。</w:t>
      </w:r>
    </w:p>
    <w:p>
      <w:pPr>
        <w:numPr>
          <w:ilvl w:val="0"/>
          <w:numId w:val="11"/>
        </w:numPr>
        <w:adjustRightInd w:val="0"/>
        <w:snapToGrid w:val="0"/>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29" w:name="_Toc72326303"/>
      <w:r>
        <w:rPr>
          <w:rFonts w:hint="eastAsia" w:ascii="宋体" w:hAnsi="宋体" w:eastAsia="宋体"/>
          <w:b/>
          <w:kern w:val="2"/>
          <w:sz w:val="21"/>
          <w:szCs w:val="21"/>
        </w:rPr>
        <w:t>十一、技术升级和优惠条件</w:t>
      </w:r>
      <w:bookmarkEnd w:id="29"/>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color w:val="000000"/>
          <w:szCs w:val="21"/>
          <w:u w:val="single"/>
        </w:rPr>
        <w:t>IPv6/IPv4协议转换设备采购</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2"/>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w:t>
      </w:r>
      <w:r>
        <w:rPr>
          <w:rFonts w:hint="eastAsia" w:ascii="宋体" w:hAnsi="宋体"/>
          <w:color w:val="000000"/>
          <w:szCs w:val="21"/>
          <w:u w:val="single"/>
        </w:rPr>
        <w:t>IPv6/IPv4协议转换设备采购</w:t>
      </w:r>
      <w:r>
        <w:rPr>
          <w:rFonts w:ascii="宋体" w:hAnsi="宋体"/>
          <w:szCs w:val="21"/>
        </w:rPr>
        <w:t>项目的中标价格、折扣，且不高于当时市场价格。</w:t>
      </w:r>
    </w:p>
    <w:p>
      <w:pPr>
        <w:spacing w:line="360" w:lineRule="auto"/>
        <w:outlineLvl w:val="1"/>
        <w:rPr>
          <w:b/>
          <w:color w:val="262626"/>
          <w:szCs w:val="21"/>
        </w:rPr>
      </w:pPr>
      <w:bookmarkStart w:id="30" w:name="_Toc47617116"/>
      <w:r>
        <w:rPr>
          <w:b/>
          <w:color w:val="262626"/>
          <w:szCs w:val="21"/>
        </w:rPr>
        <w:t>十</w:t>
      </w:r>
      <w:r>
        <w:rPr>
          <w:rFonts w:hint="eastAsia"/>
          <w:b/>
          <w:color w:val="262626"/>
          <w:szCs w:val="21"/>
        </w:rPr>
        <w:t>二</w:t>
      </w:r>
      <w:r>
        <w:rPr>
          <w:b/>
          <w:color w:val="262626"/>
          <w:szCs w:val="21"/>
        </w:rPr>
        <w:t>、技术和资料的保密事项</w:t>
      </w:r>
      <w:bookmarkEnd w:id="30"/>
    </w:p>
    <w:p>
      <w:pPr>
        <w:numPr>
          <w:ilvl w:val="0"/>
          <w:numId w:val="13"/>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pPr>
        <w:numPr>
          <w:ilvl w:val="0"/>
          <w:numId w:val="13"/>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pPr>
        <w:numPr>
          <w:ilvl w:val="0"/>
          <w:numId w:val="13"/>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numPr>
          <w:ilvl w:val="255"/>
          <w:numId w:val="0"/>
        </w:numPr>
        <w:adjustRightInd w:val="0"/>
        <w:snapToGrid w:val="0"/>
        <w:spacing w:line="360" w:lineRule="auto"/>
        <w:rPr>
          <w:rFonts w:ascii="宋体" w:hAnsi="宋体"/>
          <w:b/>
          <w:szCs w:val="21"/>
        </w:rPr>
      </w:pPr>
      <w:bookmarkStart w:id="31" w:name="_Toc72326304"/>
      <w:r>
        <w:rPr>
          <w:rFonts w:hint="eastAsia" w:ascii="宋体" w:hAnsi="宋体"/>
          <w:b/>
          <w:bCs/>
          <w:szCs w:val="21"/>
        </w:rPr>
        <w:t>十三</w:t>
      </w:r>
      <w:r>
        <w:rPr>
          <w:rFonts w:hint="eastAsia" w:ascii="宋体" w:hAnsi="宋体"/>
          <w:szCs w:val="21"/>
        </w:rPr>
        <w:t>、</w:t>
      </w:r>
      <w:bookmarkEnd w:id="31"/>
      <w:bookmarkStart w:id="32" w:name="_Toc72326305"/>
      <w:r>
        <w:rPr>
          <w:rFonts w:hint="eastAsia" w:ascii="宋体" w:hAnsi="宋体"/>
          <w:b/>
          <w:bCs/>
          <w:szCs w:val="21"/>
        </w:rPr>
        <w:t>双方责任</w:t>
      </w:r>
      <w:bookmarkEnd w:id="32"/>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4"/>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4"/>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4"/>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5"/>
        </w:numPr>
        <w:tabs>
          <w:tab w:val="left" w:pos="0"/>
          <w:tab w:val="clear" w:pos="420"/>
        </w:tabs>
        <w:spacing w:line="360" w:lineRule="auto"/>
        <w:ind w:left="0" w:firstLine="0"/>
        <w:rPr>
          <w:color w:val="000000"/>
          <w:szCs w:val="21"/>
        </w:rPr>
      </w:pPr>
      <w:bookmarkStart w:id="33" w:name="_Toc72326306"/>
      <w:r>
        <w:rPr>
          <w:color w:val="000000"/>
          <w:szCs w:val="21"/>
        </w:rPr>
        <w:t>乙方承诺：除</w:t>
      </w:r>
      <w:r>
        <w:rPr>
          <w:rFonts w:hint="eastAsia"/>
          <w:color w:val="000000"/>
          <w:szCs w:val="21"/>
        </w:rPr>
        <w:t>响应</w:t>
      </w:r>
      <w:r>
        <w:rPr>
          <w:color w:val="000000"/>
          <w:szCs w:val="21"/>
        </w:rPr>
        <w:t>文件及后续书面承诺标明的偏离外，乙方提供的产品和服务均满足</w:t>
      </w:r>
      <w:r>
        <w:rPr>
          <w:rFonts w:hint="eastAsia"/>
          <w:color w:val="000000"/>
          <w:szCs w:val="21"/>
        </w:rPr>
        <w:t>采购</w:t>
      </w:r>
      <w:r>
        <w:rPr>
          <w:color w:val="000000"/>
          <w:szCs w:val="21"/>
        </w:rPr>
        <w:t>文件要求。</w:t>
      </w:r>
    </w:p>
    <w:p>
      <w:pPr>
        <w:numPr>
          <w:ilvl w:val="0"/>
          <w:numId w:val="15"/>
        </w:numPr>
        <w:tabs>
          <w:tab w:val="left" w:pos="0"/>
          <w:tab w:val="clear" w:pos="420"/>
        </w:tabs>
        <w:spacing w:line="360" w:lineRule="auto"/>
        <w:ind w:left="0" w:firstLine="0"/>
        <w:rPr>
          <w:color w:val="000000"/>
          <w:szCs w:val="21"/>
        </w:rPr>
      </w:pPr>
      <w:r>
        <w:rPr>
          <w:color w:val="000000"/>
          <w:szCs w:val="21"/>
        </w:rPr>
        <w:t>乙方应按照</w:t>
      </w:r>
      <w:r>
        <w:rPr>
          <w:rFonts w:hint="eastAsia"/>
          <w:color w:val="000000"/>
          <w:szCs w:val="21"/>
        </w:rPr>
        <w:t>采购</w:t>
      </w:r>
      <w:r>
        <w:rPr>
          <w:color w:val="000000"/>
          <w:szCs w:val="21"/>
        </w:rPr>
        <w:t>文件、</w:t>
      </w:r>
      <w:r>
        <w:rPr>
          <w:rFonts w:hint="eastAsia"/>
          <w:color w:val="000000"/>
          <w:szCs w:val="21"/>
        </w:rPr>
        <w:t>响应</w:t>
      </w:r>
      <w:r>
        <w:rPr>
          <w:color w:val="000000"/>
          <w:szCs w:val="21"/>
        </w:rPr>
        <w:t>文件、乙方后续书面承诺的技术要求以及甲、乙双方协定补充文件，提供合格的产品，并保证通过甲方的验收。</w:t>
      </w:r>
    </w:p>
    <w:p>
      <w:pPr>
        <w:numPr>
          <w:ilvl w:val="0"/>
          <w:numId w:val="15"/>
        </w:numPr>
        <w:tabs>
          <w:tab w:val="left" w:pos="0"/>
          <w:tab w:val="clear" w:pos="420"/>
        </w:tabs>
        <w:spacing w:line="360" w:lineRule="auto"/>
        <w:ind w:left="0" w:firstLine="0"/>
        <w:rPr>
          <w:color w:val="000000"/>
          <w:szCs w:val="21"/>
        </w:rPr>
      </w:pPr>
      <w:r>
        <w:rPr>
          <w:color w:val="000000"/>
          <w:szCs w:val="21"/>
        </w:rPr>
        <w:t>在系统安装、调试、开发过程中，乙方须保证不影响甲方现有系统的正常运行和现有业务的正常发展。</w:t>
      </w:r>
    </w:p>
    <w:p>
      <w:pPr>
        <w:numPr>
          <w:ilvl w:val="0"/>
          <w:numId w:val="15"/>
        </w:numPr>
        <w:tabs>
          <w:tab w:val="left" w:pos="0"/>
          <w:tab w:val="clear" w:pos="420"/>
        </w:tabs>
        <w:spacing w:line="360" w:lineRule="auto"/>
        <w:ind w:left="0" w:firstLine="0"/>
        <w:rPr>
          <w:color w:val="000000"/>
          <w:szCs w:val="21"/>
        </w:rPr>
      </w:pPr>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p>
      <w:pPr>
        <w:numPr>
          <w:ilvl w:val="0"/>
          <w:numId w:val="15"/>
        </w:numPr>
        <w:tabs>
          <w:tab w:val="left" w:pos="0"/>
          <w:tab w:val="clear" w:pos="420"/>
        </w:tabs>
        <w:spacing w:line="360" w:lineRule="auto"/>
        <w:ind w:left="0" w:firstLine="0"/>
        <w:rPr>
          <w:color w:val="000000"/>
          <w:szCs w:val="21"/>
        </w:rPr>
      </w:pPr>
      <w:r>
        <w:rPr>
          <w:color w:val="000000"/>
          <w:szCs w:val="21"/>
        </w:rPr>
        <w:t>乙方在产品安装、调试、开发过程中须派驻足够的有经验的工程技术人员到施工现场进行安装指导，在甲方的组织安排下负责完成系统调试、现场性能试验和验收，服从甲方的现场安排。</w:t>
      </w:r>
    </w:p>
    <w:p>
      <w:pPr>
        <w:numPr>
          <w:ilvl w:val="0"/>
          <w:numId w:val="15"/>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pPr>
        <w:numPr>
          <w:ilvl w:val="0"/>
          <w:numId w:val="15"/>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pPr>
        <w:numPr>
          <w:ilvl w:val="0"/>
          <w:numId w:val="15"/>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pPr>
        <w:numPr>
          <w:ilvl w:val="0"/>
          <w:numId w:val="15"/>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pPr>
        <w:numPr>
          <w:ilvl w:val="0"/>
          <w:numId w:val="15"/>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pPr>
        <w:numPr>
          <w:ilvl w:val="0"/>
          <w:numId w:val="15"/>
        </w:numPr>
        <w:tabs>
          <w:tab w:val="left" w:pos="0"/>
          <w:tab w:val="clear" w:pos="420"/>
        </w:tabs>
        <w:spacing w:line="360" w:lineRule="auto"/>
        <w:ind w:left="0" w:firstLine="0"/>
        <w:rPr>
          <w:color w:val="000000"/>
          <w:szCs w:val="21"/>
        </w:rPr>
      </w:pPr>
      <w:r>
        <w:rPr>
          <w:color w:val="000000"/>
          <w:szCs w:val="21"/>
        </w:rPr>
        <w:t>本合同所有产品的制造，都必须由</w:t>
      </w:r>
      <w:r>
        <w:rPr>
          <w:rFonts w:hint="eastAsia"/>
          <w:color w:val="000000"/>
          <w:szCs w:val="21"/>
        </w:rPr>
        <w:t>采购</w:t>
      </w:r>
      <w:r>
        <w:rPr>
          <w:color w:val="000000"/>
          <w:szCs w:val="21"/>
        </w:rPr>
        <w:t>文件</w:t>
      </w:r>
      <w:r>
        <w:rPr>
          <w:rFonts w:hint="eastAsia"/>
          <w:color w:val="000000"/>
          <w:szCs w:val="21"/>
        </w:rPr>
        <w:t>、响应文件</w:t>
      </w:r>
      <w:r>
        <w:rPr>
          <w:color w:val="000000"/>
          <w:szCs w:val="21"/>
        </w:rPr>
        <w:t>和</w:t>
      </w:r>
      <w:r>
        <w:rPr>
          <w:rFonts w:hint="eastAsia"/>
          <w:color w:val="000000"/>
          <w:szCs w:val="21"/>
        </w:rPr>
        <w:t>磋商</w:t>
      </w:r>
      <w:r>
        <w:rPr>
          <w:color w:val="000000"/>
          <w:szCs w:val="21"/>
        </w:rPr>
        <w:t>时做出的书面承诺中明确的制造商承担，否则将按乙方不履行合同处理。</w:t>
      </w:r>
    </w:p>
    <w:p>
      <w:pPr>
        <w:numPr>
          <w:ilvl w:val="0"/>
          <w:numId w:val="15"/>
        </w:numPr>
        <w:tabs>
          <w:tab w:val="left" w:pos="0"/>
          <w:tab w:val="clear" w:pos="420"/>
        </w:tabs>
        <w:spacing w:line="360" w:lineRule="auto"/>
        <w:ind w:left="0" w:firstLine="0"/>
        <w:rPr>
          <w:color w:val="000000"/>
          <w:szCs w:val="21"/>
        </w:rPr>
      </w:pPr>
      <w:r>
        <w:rPr>
          <w:color w:val="000000"/>
          <w:szCs w:val="21"/>
        </w:rPr>
        <w:t>乙方保证不在软件中对功能、性能、容量进行人为限制，不得含有陷阱、逻辑炸弹、后门等非法程序代码。</w:t>
      </w:r>
    </w:p>
    <w:p>
      <w:pPr>
        <w:numPr>
          <w:ilvl w:val="0"/>
          <w:numId w:val="15"/>
        </w:numPr>
        <w:tabs>
          <w:tab w:val="left" w:pos="0"/>
          <w:tab w:val="clear" w:pos="420"/>
        </w:tabs>
        <w:spacing w:line="360" w:lineRule="auto"/>
        <w:ind w:left="0" w:right="44" w:rightChars="21" w:firstLine="0"/>
        <w:rPr>
          <w:rFonts w:ascii="宋体" w:hAnsi="宋体"/>
          <w:color w:val="000000"/>
          <w:szCs w:val="21"/>
        </w:rPr>
      </w:pPr>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5"/>
        </w:numPr>
        <w:tabs>
          <w:tab w:val="left" w:pos="0"/>
          <w:tab w:val="clear" w:pos="420"/>
        </w:tabs>
        <w:spacing w:line="36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pPr>
        <w:numPr>
          <w:ilvl w:val="0"/>
          <w:numId w:val="15"/>
        </w:numPr>
        <w:tabs>
          <w:tab w:val="left" w:pos="0"/>
          <w:tab w:val="clear" w:pos="42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r>
        <w:rPr>
          <w:rFonts w:hint="eastAsia" w:ascii="宋体" w:hAnsi="宋体" w:eastAsia="宋体"/>
          <w:b/>
          <w:kern w:val="2"/>
          <w:sz w:val="21"/>
          <w:szCs w:val="21"/>
        </w:rPr>
        <w:t>十四、违约责任</w:t>
      </w:r>
      <w:bookmarkEnd w:id="33"/>
    </w:p>
    <w:p>
      <w:pPr>
        <w:numPr>
          <w:ilvl w:val="0"/>
          <w:numId w:val="16"/>
        </w:numPr>
        <w:adjustRightInd w:val="0"/>
        <w:snapToGrid w:val="0"/>
        <w:spacing w:line="360" w:lineRule="auto"/>
        <w:ind w:left="0" w:firstLine="0"/>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6"/>
        </w:numPr>
        <w:tabs>
          <w:tab w:val="left" w:pos="0"/>
          <w:tab w:val="clear" w:pos="420"/>
        </w:tabs>
        <w:adjustRightInd w:val="0"/>
        <w:snapToGrid w:val="0"/>
        <w:spacing w:line="360" w:lineRule="auto"/>
        <w:ind w:left="0" w:firstLine="0"/>
        <w:rPr>
          <w:rFonts w:ascii="宋体" w:hAnsi="宋体"/>
          <w:szCs w:val="21"/>
        </w:rPr>
      </w:pPr>
      <w:bookmarkStart w:id="34" w:name="_Hlk74819798"/>
      <w:r>
        <w:rPr>
          <w:rFonts w:hint="eastAsia" w:ascii="宋体" w:hAnsi="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34"/>
      <w:r>
        <w:rPr>
          <w:rFonts w:hint="eastAsia" w:ascii="宋体" w:hAnsi="宋体"/>
          <w:szCs w:val="21"/>
        </w:rPr>
        <w:t>。</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35" w:name="_Hlk100846870"/>
      <w:r>
        <w:rPr>
          <w:rFonts w:hint="eastAsia" w:ascii="宋体" w:hAnsi="宋体"/>
          <w:szCs w:val="21"/>
        </w:rPr>
        <w:t>；且乙方对甲方赔偿金的支付已被认为足额补偿采购人的全部损失</w:t>
      </w:r>
      <w:bookmarkEnd w:id="35"/>
      <w:r>
        <w:rPr>
          <w:rFonts w:hint="eastAsia" w:ascii="宋体" w:hAnsi="宋体"/>
          <w:szCs w:val="21"/>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6" w:name="_Toc72326307"/>
      <w:r>
        <w:rPr>
          <w:rFonts w:hint="eastAsia" w:ascii="宋体" w:hAnsi="宋体" w:eastAsia="宋体"/>
          <w:b/>
          <w:kern w:val="2"/>
          <w:sz w:val="21"/>
          <w:szCs w:val="21"/>
        </w:rPr>
        <w:t>十五、廉洁条款</w:t>
      </w:r>
      <w:bookmarkEnd w:id="36"/>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7" w:name="_Toc72326308"/>
      <w:r>
        <w:rPr>
          <w:rFonts w:hint="eastAsia" w:ascii="宋体" w:hAnsi="宋体" w:eastAsia="宋体"/>
          <w:b/>
          <w:kern w:val="2"/>
          <w:sz w:val="21"/>
          <w:szCs w:val="21"/>
        </w:rPr>
        <w:t>十六、不可抗力</w:t>
      </w:r>
      <w:bookmarkEnd w:id="37"/>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当不可抗力事故终止后，受影响一方应以书面形式通知对方，双方商定合同是否继续履行。</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8" w:name="_Toc72326309"/>
      <w:r>
        <w:rPr>
          <w:rFonts w:hint="eastAsia" w:ascii="宋体" w:hAnsi="宋体" w:eastAsia="宋体"/>
          <w:b/>
          <w:kern w:val="2"/>
          <w:sz w:val="21"/>
          <w:szCs w:val="21"/>
        </w:rPr>
        <w:t>十七、解决纠纷的方式</w:t>
      </w:r>
      <w:bookmarkEnd w:id="38"/>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9"/>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9"/>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9" w:name="_Toc72326310"/>
      <w:r>
        <w:rPr>
          <w:rFonts w:hint="eastAsia" w:ascii="宋体" w:hAnsi="宋体" w:eastAsia="宋体"/>
          <w:b/>
          <w:kern w:val="2"/>
          <w:sz w:val="21"/>
          <w:szCs w:val="21"/>
        </w:rPr>
        <w:t>十八、合同生效及其他</w:t>
      </w:r>
      <w:bookmarkEnd w:id="39"/>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2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20"/>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40" w:name="_Toc72326311"/>
      <w:r>
        <w:rPr>
          <w:rFonts w:hint="eastAsia" w:ascii="宋体" w:hAnsi="宋体" w:eastAsia="宋体"/>
          <w:b/>
          <w:kern w:val="2"/>
          <w:sz w:val="21"/>
          <w:szCs w:val="21"/>
        </w:rPr>
        <w:t>十九、附件列表</w:t>
      </w:r>
      <w:bookmarkEnd w:id="40"/>
    </w:p>
    <w:p>
      <w:pPr>
        <w:adjustRightInd w:val="0"/>
        <w:snapToGrid w:val="0"/>
        <w:spacing w:line="360" w:lineRule="auto"/>
        <w:rPr>
          <w:rFonts w:ascii="宋体"/>
          <w:szCs w:val="21"/>
        </w:rPr>
      </w:pPr>
      <w:r>
        <w:rPr>
          <w:rFonts w:hint="eastAsia" w:ascii="宋体" w:hAnsi="宋体"/>
          <w:szCs w:val="21"/>
        </w:rPr>
        <w:t>附件一：价格表</w:t>
      </w:r>
    </w:p>
    <w:p>
      <w:pPr>
        <w:adjustRightInd w:val="0"/>
        <w:snapToGrid w:val="0"/>
        <w:spacing w:line="360" w:lineRule="auto"/>
        <w:rPr>
          <w:rFonts w:ascii="宋体"/>
          <w:szCs w:val="21"/>
        </w:rPr>
      </w:pPr>
      <w:r>
        <w:rPr>
          <w:rFonts w:hint="eastAsia" w:ascii="宋体" w:hAnsi="宋体"/>
          <w:szCs w:val="21"/>
        </w:rPr>
        <w:t>附件二：分项报价表</w:t>
      </w:r>
    </w:p>
    <w:p>
      <w:pPr>
        <w:adjustRightInd w:val="0"/>
        <w:snapToGrid w:val="0"/>
        <w:spacing w:line="360" w:lineRule="auto"/>
        <w:ind w:left="210" w:hanging="210" w:hangingChars="100"/>
        <w:jc w:val="left"/>
        <w:rPr>
          <w:szCs w:val="21"/>
        </w:rPr>
      </w:pPr>
      <w:r>
        <w:rPr>
          <w:rFonts w:hint="eastAsia"/>
          <w:szCs w:val="21"/>
        </w:rPr>
        <w:t>（本页为合同签订页，本页无正文）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7"/>
    </w:p>
    <w:p>
      <w:pPr>
        <w:spacing w:line="300" w:lineRule="auto"/>
        <w:ind w:firstLine="5040" w:firstLineChars="2400"/>
        <w:rPr>
          <w:szCs w:val="21"/>
        </w:rPr>
      </w:pPr>
      <w:r>
        <w:rPr>
          <w:szCs w:val="21"/>
        </w:rPr>
        <w:br w:type="page"/>
      </w:r>
    </w:p>
    <w:p>
      <w:pPr>
        <w:spacing w:line="300" w:lineRule="auto"/>
        <w:jc w:val="left"/>
        <w:rPr>
          <w:rFonts w:ascii="宋体" w:hAnsi="宋体" w:cs="宋体"/>
          <w:b/>
          <w:bCs/>
          <w:color w:val="000000"/>
        </w:rPr>
      </w:pPr>
      <w:r>
        <w:rPr>
          <w:rFonts w:hint="eastAsia" w:ascii="宋体" w:hAnsi="宋体" w:cs="宋体"/>
          <w:b/>
          <w:bCs/>
          <w:color w:val="000000"/>
        </w:rPr>
        <w:t>附件一：价格表</w:t>
      </w: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r>
        <w:rPr>
          <w:rFonts w:hint="eastAsia" w:ascii="宋体" w:hAnsi="宋体" w:cs="宋体"/>
          <w:b/>
          <w:bCs/>
          <w:color w:val="000000"/>
        </w:rPr>
        <w:t>附件二：分项报价表</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41" w:name="_Toc69378637"/>
      <w:r>
        <w:rPr>
          <w:rFonts w:hint="eastAsia"/>
          <w:b/>
          <w:sz w:val="36"/>
          <w:szCs w:val="36"/>
        </w:rPr>
        <w:t>第五章 技术需求书</w:t>
      </w:r>
      <w:bookmarkEnd w:id="41"/>
    </w:p>
    <w:p>
      <w:pPr>
        <w:pStyle w:val="89"/>
        <w:numPr>
          <w:ilvl w:val="0"/>
          <w:numId w:val="21"/>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21"/>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21"/>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21"/>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42" w:name="_Toc76996580"/>
      <w:bookmarkStart w:id="43" w:name="_Toc76856250"/>
      <w:bookmarkStart w:id="44" w:name="_Toc51053569"/>
      <w:bookmarkStart w:id="45" w:name="_Toc30212"/>
      <w:bookmarkStart w:id="46" w:name="_Toc31826"/>
    </w:p>
    <w:bookmarkEnd w:id="42"/>
    <w:bookmarkEnd w:id="43"/>
    <w:bookmarkEnd w:id="44"/>
    <w:bookmarkEnd w:id="45"/>
    <w:bookmarkEnd w:id="46"/>
    <w:p>
      <w:pPr>
        <w:pStyle w:val="89"/>
        <w:numPr>
          <w:ilvl w:val="0"/>
          <w:numId w:val="22"/>
        </w:numPr>
        <w:spacing w:line="360" w:lineRule="auto"/>
        <w:ind w:left="0" w:firstLine="402"/>
        <w:outlineLvl w:val="1"/>
        <w:rPr>
          <w:rFonts w:ascii="宋体" w:hAnsi="宋体"/>
          <w:b/>
        </w:rPr>
      </w:pPr>
      <w:bookmarkStart w:id="47" w:name="_Toc76856251"/>
      <w:bookmarkStart w:id="48" w:name="_Toc76996581"/>
      <w:bookmarkStart w:id="49" w:name="_Toc51053570"/>
      <w:bookmarkStart w:id="50" w:name="_Toc19779"/>
      <w:r>
        <w:rPr>
          <w:rStyle w:val="365"/>
          <w:rFonts w:hint="eastAsia" w:ascii="宋体" w:hAnsi="宋体"/>
        </w:rPr>
        <w:t>项目总体设计简要介绍</w:t>
      </w:r>
      <w:bookmarkEnd w:id="47"/>
      <w:bookmarkEnd w:id="48"/>
      <w:bookmarkEnd w:id="49"/>
      <w:bookmarkEnd w:id="50"/>
    </w:p>
    <w:p>
      <w:pPr>
        <w:spacing w:line="360" w:lineRule="auto"/>
        <w:ind w:firstLine="420" w:firstLineChars="200"/>
        <w:rPr>
          <w:rFonts w:ascii="宋体" w:hAnsi="宋体"/>
        </w:rPr>
      </w:pPr>
      <w:r>
        <w:rPr>
          <w:rFonts w:hint="eastAsia" w:ascii="宋体" w:hAnsi="宋体"/>
        </w:rPr>
        <w:t>供应商必须认真阅读本部分内容，以加深对本项目技术要求的理解。</w:t>
      </w:r>
    </w:p>
    <w:p>
      <w:pPr>
        <w:pStyle w:val="367"/>
        <w:ind w:left="0" w:firstLine="420" w:firstLineChars="200"/>
        <w:rPr>
          <w:rFonts w:ascii="宋体" w:hAnsi="宋体"/>
        </w:rPr>
      </w:pPr>
      <w:bookmarkStart w:id="51" w:name="_Toc51053571"/>
      <w:bookmarkStart w:id="52" w:name="_Toc472"/>
      <w:bookmarkStart w:id="53" w:name="_Toc76996582"/>
      <w:bookmarkStart w:id="54" w:name="_Toc76856252"/>
      <w:r>
        <w:rPr>
          <w:rFonts w:hint="eastAsia" w:ascii="宋体" w:hAnsi="宋体"/>
        </w:rPr>
        <w:t>建设目标与总体方案</w:t>
      </w:r>
      <w:bookmarkEnd w:id="51"/>
      <w:bookmarkEnd w:id="52"/>
      <w:bookmarkEnd w:id="53"/>
      <w:bookmarkEnd w:id="54"/>
    </w:p>
    <w:p>
      <w:pPr>
        <w:pStyle w:val="367"/>
        <w:numPr>
          <w:ilvl w:val="0"/>
          <w:numId w:val="0"/>
        </w:numPr>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根据江苏有线的实际情况，本次IPv6升级改造计划建设一套IPv6双栈转换平台。实现江苏有线运营支撑相关应用系统的的I</w:t>
      </w:r>
      <w:r>
        <w:rPr>
          <w:rFonts w:asciiTheme="minorEastAsia" w:hAnsiTheme="minorEastAsia" w:eastAsiaTheme="minorEastAsia"/>
          <w:bCs/>
          <w:szCs w:val="21"/>
        </w:rPr>
        <w:t>Pv4</w:t>
      </w:r>
      <w:r>
        <w:rPr>
          <w:rFonts w:hint="eastAsia" w:asciiTheme="minorEastAsia" w:hAnsiTheme="minorEastAsia" w:eastAsiaTheme="minorEastAsia"/>
          <w:bCs/>
          <w:szCs w:val="21"/>
        </w:rPr>
        <w:t>-IPv6双栈化升级改造。</w:t>
      </w:r>
    </w:p>
    <w:p>
      <w:pPr>
        <w:widowControl/>
        <w:autoSpaceDE w:val="0"/>
        <w:autoSpaceDN w:val="0"/>
        <w:adjustRightInd w:val="0"/>
        <w:snapToGrid w:val="0"/>
        <w:ind w:firstLine="420" w:firstLineChars="200"/>
        <w:rPr>
          <w:rFonts w:ascii="Arial" w:hAnsi="Arial" w:cs="Arial" w:eastAsiaTheme="majorEastAsia"/>
          <w:kern w:val="0"/>
        </w:rPr>
      </w:pPr>
      <w:r>
        <w:rPr>
          <w:rFonts w:ascii="Arial" w:hAnsi="Arial" w:cs="Arial" w:eastAsiaTheme="majorEastAsia"/>
          <w:kern w:val="0"/>
        </w:rPr>
        <w:t>实现以下几个目标：</w:t>
      </w:r>
    </w:p>
    <w:p>
      <w:pPr>
        <w:tabs>
          <w:tab w:val="left" w:pos="420"/>
        </w:tabs>
        <w:spacing w:line="360" w:lineRule="auto"/>
        <w:ind w:firstLine="420" w:firstLineChars="200"/>
        <w:rPr>
          <w:rFonts w:ascii="Arial" w:hAnsi="Arial" w:cs="Arial" w:eastAsiaTheme="majorEastAsia"/>
        </w:rPr>
      </w:pPr>
      <w:r>
        <w:rPr>
          <w:rFonts w:hint="eastAsia" w:ascii="Arial" w:hAnsi="Arial" w:cs="Arial" w:eastAsiaTheme="majorEastAsia"/>
        </w:rPr>
        <w:t>（1）对应用系统进行I</w:t>
      </w:r>
      <w:r>
        <w:rPr>
          <w:rFonts w:ascii="Arial" w:hAnsi="Arial" w:cs="Arial" w:eastAsiaTheme="majorEastAsia"/>
        </w:rPr>
        <w:t>Pv4-</w:t>
      </w:r>
      <w:r>
        <w:rPr>
          <w:rFonts w:hint="eastAsia" w:ascii="Arial" w:hAnsi="Arial" w:cs="Arial" w:eastAsiaTheme="majorEastAsia"/>
        </w:rPr>
        <w:t>I</w:t>
      </w:r>
      <w:r>
        <w:rPr>
          <w:rFonts w:ascii="Arial" w:hAnsi="Arial" w:cs="Arial" w:eastAsiaTheme="majorEastAsia"/>
        </w:rPr>
        <w:t>P</w:t>
      </w:r>
      <w:r>
        <w:rPr>
          <w:rFonts w:hint="eastAsia" w:ascii="Arial" w:hAnsi="Arial" w:cs="Arial" w:eastAsiaTheme="majorEastAsia"/>
        </w:rPr>
        <w:t>v</w:t>
      </w:r>
      <w:r>
        <w:rPr>
          <w:rFonts w:ascii="Arial" w:hAnsi="Arial" w:cs="Arial" w:eastAsiaTheme="majorEastAsia"/>
        </w:rPr>
        <w:t>6</w:t>
      </w:r>
      <w:r>
        <w:rPr>
          <w:rFonts w:hint="eastAsia" w:ascii="Arial" w:hAnsi="Arial" w:cs="Arial" w:eastAsiaTheme="majorEastAsia"/>
        </w:rPr>
        <w:t>双向转换</w:t>
      </w:r>
      <w:r>
        <w:rPr>
          <w:rFonts w:ascii="Arial" w:hAnsi="Arial" w:cs="Arial" w:eastAsiaTheme="majorEastAsia"/>
        </w:rPr>
        <w:t>，向用户提供</w:t>
      </w:r>
      <w:r>
        <w:rPr>
          <w:rFonts w:hint="eastAsia" w:ascii="Arial" w:hAnsi="Arial" w:cs="Arial" w:eastAsiaTheme="majorEastAsia"/>
        </w:rPr>
        <w:t>I</w:t>
      </w:r>
      <w:r>
        <w:rPr>
          <w:rFonts w:ascii="Arial" w:hAnsi="Arial" w:cs="Arial" w:eastAsiaTheme="majorEastAsia"/>
        </w:rPr>
        <w:t>Pv4</w:t>
      </w:r>
      <w:r>
        <w:rPr>
          <w:rFonts w:hint="eastAsia" w:ascii="Arial" w:hAnsi="Arial" w:cs="Arial" w:eastAsiaTheme="majorEastAsia"/>
        </w:rPr>
        <w:t>-</w:t>
      </w:r>
      <w:r>
        <w:rPr>
          <w:rFonts w:ascii="Arial" w:hAnsi="Arial" w:cs="Arial" w:eastAsiaTheme="majorEastAsia"/>
        </w:rPr>
        <w:t>IPv6的</w:t>
      </w:r>
      <w:r>
        <w:rPr>
          <w:rFonts w:hint="eastAsia" w:ascii="Arial" w:hAnsi="Arial" w:cs="Arial" w:eastAsiaTheme="majorEastAsia"/>
        </w:rPr>
        <w:t>双栈</w:t>
      </w:r>
      <w:r>
        <w:rPr>
          <w:rFonts w:ascii="Arial" w:hAnsi="Arial" w:cs="Arial" w:eastAsiaTheme="majorEastAsia"/>
        </w:rPr>
        <w:t>访问服务；</w:t>
      </w:r>
    </w:p>
    <w:p>
      <w:pPr>
        <w:tabs>
          <w:tab w:val="left" w:pos="420"/>
        </w:tabs>
        <w:spacing w:line="360" w:lineRule="auto"/>
        <w:ind w:firstLine="420" w:firstLineChars="200"/>
        <w:rPr>
          <w:rFonts w:ascii="Arial" w:hAnsi="Arial" w:cs="Arial" w:eastAsiaTheme="majorEastAsia"/>
        </w:rPr>
      </w:pPr>
      <w:r>
        <w:rPr>
          <w:rFonts w:hint="eastAsia" w:ascii="Arial" w:hAnsi="Arial" w:cs="Arial" w:eastAsiaTheme="majorEastAsia"/>
        </w:rPr>
        <w:t>（2）提供I</w:t>
      </w:r>
      <w:r>
        <w:rPr>
          <w:rFonts w:ascii="Arial" w:hAnsi="Arial" w:cs="Arial" w:eastAsiaTheme="majorEastAsia"/>
        </w:rPr>
        <w:t>P</w:t>
      </w:r>
      <w:r>
        <w:rPr>
          <w:rFonts w:hint="eastAsia" w:ascii="Arial" w:hAnsi="Arial" w:cs="Arial" w:eastAsiaTheme="majorEastAsia"/>
        </w:rPr>
        <w:t>v</w:t>
      </w:r>
      <w:r>
        <w:rPr>
          <w:rFonts w:ascii="Arial" w:hAnsi="Arial" w:cs="Arial" w:eastAsiaTheme="majorEastAsia"/>
        </w:rPr>
        <w:t>6</w:t>
      </w:r>
      <w:r>
        <w:rPr>
          <w:rFonts w:hint="eastAsia" w:ascii="Arial" w:hAnsi="Arial" w:cs="Arial" w:eastAsiaTheme="majorEastAsia"/>
        </w:rPr>
        <w:t>层面的安全过滤功能，实现I</w:t>
      </w:r>
      <w:r>
        <w:rPr>
          <w:rFonts w:ascii="Arial" w:hAnsi="Arial" w:cs="Arial" w:eastAsiaTheme="majorEastAsia"/>
        </w:rPr>
        <w:t>P</w:t>
      </w:r>
      <w:r>
        <w:rPr>
          <w:rFonts w:hint="eastAsia" w:ascii="Arial" w:hAnsi="Arial" w:cs="Arial" w:eastAsiaTheme="majorEastAsia"/>
        </w:rPr>
        <w:t>v</w:t>
      </w:r>
      <w:r>
        <w:rPr>
          <w:rFonts w:ascii="Arial" w:hAnsi="Arial" w:cs="Arial" w:eastAsiaTheme="majorEastAsia"/>
        </w:rPr>
        <w:t>6</w:t>
      </w:r>
      <w:r>
        <w:rPr>
          <w:rFonts w:hint="eastAsia" w:ascii="Arial" w:hAnsi="Arial" w:cs="Arial" w:eastAsiaTheme="majorEastAsia"/>
        </w:rPr>
        <w:t>层面的安全防护；</w:t>
      </w:r>
    </w:p>
    <w:p>
      <w:pPr>
        <w:tabs>
          <w:tab w:val="left" w:pos="420"/>
        </w:tabs>
        <w:spacing w:line="360" w:lineRule="auto"/>
        <w:ind w:firstLine="420" w:firstLineChars="200"/>
        <w:rPr>
          <w:rFonts w:ascii="Arial" w:hAnsi="Arial" w:cs="Arial" w:eastAsiaTheme="majorEastAsia"/>
        </w:rPr>
      </w:pPr>
      <w:r>
        <w:rPr>
          <w:rFonts w:hint="eastAsia" w:ascii="Arial" w:hAnsi="Arial" w:cs="Arial" w:eastAsiaTheme="majorEastAsia"/>
        </w:rPr>
        <w:t>（3）</w:t>
      </w:r>
      <w:r>
        <w:rPr>
          <w:rFonts w:ascii="Arial" w:hAnsi="Arial" w:cs="Arial" w:eastAsiaTheme="majorEastAsia"/>
        </w:rPr>
        <w:t>提供IPv6转换平台实时日志分析功能</w:t>
      </w:r>
      <w:r>
        <w:rPr>
          <w:rFonts w:hint="eastAsia" w:ascii="Arial" w:hAnsi="Arial" w:cs="Arial" w:eastAsiaTheme="majorEastAsia"/>
        </w:rPr>
        <w:t>。</w:t>
      </w:r>
    </w:p>
    <w:p>
      <w:pPr>
        <w:tabs>
          <w:tab w:val="left" w:pos="420"/>
        </w:tabs>
        <w:spacing w:line="360" w:lineRule="auto"/>
        <w:ind w:firstLine="420" w:firstLineChars="200"/>
        <w:rPr>
          <w:rFonts w:ascii="Arial" w:hAnsi="Arial" w:cs="Arial" w:eastAsiaTheme="majorEastAsia"/>
        </w:rPr>
      </w:pPr>
      <w:r>
        <w:rPr>
          <w:rFonts w:hint="eastAsia" w:ascii="Arial" w:hAnsi="Arial" w:cs="Arial" w:eastAsiaTheme="majorEastAsia"/>
        </w:rPr>
        <w:t>（4）</w:t>
      </w:r>
      <w:r>
        <w:rPr>
          <w:rFonts w:ascii="Arial" w:hAnsi="Arial" w:cs="Arial" w:eastAsiaTheme="majorEastAsia"/>
        </w:rPr>
        <w:t>提供IPv6</w:t>
      </w:r>
      <w:r>
        <w:rPr>
          <w:rFonts w:hint="eastAsia" w:ascii="Arial" w:hAnsi="Arial" w:cs="Arial" w:eastAsiaTheme="majorEastAsia"/>
        </w:rPr>
        <w:t>支持度监测报告。</w:t>
      </w:r>
    </w:p>
    <w:p>
      <w:pPr>
        <w:pStyle w:val="367"/>
        <w:ind w:left="0" w:firstLine="420" w:firstLineChars="200"/>
        <w:rPr>
          <w:rFonts w:ascii="宋体" w:hAnsi="宋体"/>
        </w:rPr>
      </w:pPr>
      <w:bookmarkStart w:id="55" w:name="_Toc76856253"/>
      <w:bookmarkStart w:id="56" w:name="_Toc4881"/>
      <w:bookmarkStart w:id="57" w:name="_Toc51053572"/>
      <w:bookmarkStart w:id="58" w:name="_Toc76996583"/>
      <w:r>
        <w:rPr>
          <w:rFonts w:hint="eastAsia" w:ascii="宋体" w:hAnsi="宋体"/>
        </w:rPr>
        <w:t>建设原则</w:t>
      </w:r>
      <w:bookmarkEnd w:id="55"/>
      <w:bookmarkEnd w:id="56"/>
      <w:bookmarkEnd w:id="57"/>
      <w:bookmarkEnd w:id="58"/>
    </w:p>
    <w:p>
      <w:pPr>
        <w:spacing w:line="360" w:lineRule="auto"/>
        <w:ind w:firstLine="420" w:firstLineChars="200"/>
        <w:rPr>
          <w:rFonts w:ascii="宋体" w:hAnsi="宋体"/>
          <w:color w:val="FF0000"/>
        </w:rPr>
      </w:pPr>
      <w:r>
        <w:rPr>
          <w:rFonts w:hint="eastAsia" w:ascii="宋体" w:hAnsi="宋体"/>
        </w:rPr>
        <w:t>1.2.1可用性原则</w:t>
      </w:r>
    </w:p>
    <w:p>
      <w:pPr>
        <w:spacing w:line="360" w:lineRule="auto"/>
        <w:ind w:firstLine="420" w:firstLineChars="200"/>
        <w:rPr>
          <w:rFonts w:ascii="宋体" w:hAnsi="宋体"/>
        </w:rPr>
      </w:pPr>
      <w:r>
        <w:rPr>
          <w:rFonts w:hint="eastAsia"/>
        </w:rPr>
        <w:t>项目需采用经过市场认可的，成熟的设备及系统架构。</w:t>
      </w:r>
    </w:p>
    <w:p>
      <w:pPr>
        <w:spacing w:line="360" w:lineRule="auto"/>
        <w:ind w:firstLine="420" w:firstLineChars="200"/>
        <w:rPr>
          <w:rFonts w:ascii="宋体" w:hAnsi="宋体"/>
        </w:rPr>
      </w:pPr>
      <w:r>
        <w:rPr>
          <w:rFonts w:hint="eastAsia" w:ascii="宋体" w:hAnsi="宋体"/>
        </w:rPr>
        <w:t>1.2.2安全性原则</w:t>
      </w:r>
    </w:p>
    <w:p>
      <w:pPr>
        <w:spacing w:line="360" w:lineRule="auto"/>
        <w:ind w:firstLine="420" w:firstLineChars="200"/>
        <w:rPr>
          <w:rFonts w:ascii="宋体" w:hAnsi="宋体"/>
        </w:rPr>
      </w:pPr>
      <w:r>
        <w:rPr>
          <w:rFonts w:hint="eastAsia" w:ascii="宋体" w:hAnsi="宋体"/>
        </w:rPr>
        <w:t>系统所用技术成熟稳定，能满足安全转换之需求，保证</w:t>
      </w:r>
      <w:r>
        <w:rPr>
          <w:rFonts w:hint="eastAsia"/>
        </w:rPr>
        <w:t>项目实施的安全防护能力．确保各类业务系统的使用安全。</w:t>
      </w:r>
    </w:p>
    <w:p>
      <w:pPr>
        <w:spacing w:line="360" w:lineRule="auto"/>
        <w:ind w:firstLine="420" w:firstLineChars="200"/>
        <w:rPr>
          <w:rFonts w:ascii="宋体" w:hAnsi="宋体"/>
        </w:rPr>
      </w:pPr>
      <w:r>
        <w:rPr>
          <w:rFonts w:hint="eastAsia" w:ascii="宋体" w:hAnsi="宋体"/>
        </w:rPr>
        <w:t>1.2.</w:t>
      </w:r>
      <w:r>
        <w:rPr>
          <w:rFonts w:ascii="宋体" w:hAnsi="宋体"/>
        </w:rPr>
        <w:t>3</w:t>
      </w:r>
      <w:r>
        <w:rPr>
          <w:rFonts w:hint="eastAsia" w:ascii="宋体" w:hAnsi="宋体"/>
        </w:rPr>
        <w:t>易维护原则</w:t>
      </w:r>
    </w:p>
    <w:p>
      <w:pPr>
        <w:spacing w:line="360" w:lineRule="auto"/>
        <w:ind w:firstLine="420" w:firstLineChars="200"/>
        <w:rPr>
          <w:rFonts w:ascii="宋体" w:hAnsi="宋体"/>
        </w:rPr>
      </w:pPr>
      <w:r>
        <w:rPr>
          <w:rFonts w:hint="eastAsia" w:ascii="宋体" w:hAnsi="宋体"/>
        </w:rPr>
        <w:t>日常维护及后期维保成本合理可控，保证设备的长期适用性，充分考虑运维管理流程的需要。</w:t>
      </w:r>
    </w:p>
    <w:p>
      <w:pPr>
        <w:pStyle w:val="89"/>
        <w:numPr>
          <w:ilvl w:val="0"/>
          <w:numId w:val="22"/>
        </w:numPr>
        <w:spacing w:line="360" w:lineRule="auto"/>
        <w:ind w:firstLineChars="0"/>
        <w:outlineLvl w:val="1"/>
        <w:rPr>
          <w:color w:val="000000" w:themeColor="text1"/>
          <w14:textFill>
            <w14:solidFill>
              <w14:schemeClr w14:val="tx1"/>
            </w14:solidFill>
          </w14:textFill>
        </w:rPr>
      </w:pPr>
      <w:r>
        <w:rPr>
          <w:rStyle w:val="365"/>
          <w:rFonts w:hint="eastAsia" w:eastAsia="宋体" w:cs="宋体"/>
        </w:rPr>
        <w:t>总体需求</w:t>
      </w:r>
    </w:p>
    <w:p>
      <w:pPr>
        <w:tabs>
          <w:tab w:val="left" w:pos="0"/>
        </w:tabs>
        <w:snapToGrid w:val="0"/>
        <w:spacing w:line="360" w:lineRule="auto"/>
        <w:rPr>
          <w:rFonts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★2.1技术应答中</w:t>
      </w:r>
      <w:r>
        <w:rPr>
          <w:rFonts w:hint="eastAsia" w:ascii="宋体" w:hAnsi="宋体" w:cs="宋体"/>
          <w:color w:val="000000" w:themeColor="text1"/>
          <w:szCs w:val="21"/>
          <w14:textFill>
            <w14:solidFill>
              <w14:schemeClr w14:val="tx1"/>
            </w14:solidFill>
          </w14:textFill>
        </w:rPr>
        <w:t>明确“具备”“提供”的功能必须</w:t>
      </w:r>
      <w:r>
        <w:rPr>
          <w:rFonts w:ascii="宋体" w:hAnsi="宋体" w:cs="宋体"/>
          <w:color w:val="000000" w:themeColor="text1"/>
          <w:szCs w:val="21"/>
          <w14:textFill>
            <w14:solidFill>
              <w14:schemeClr w14:val="tx1"/>
            </w14:solidFill>
          </w14:textFill>
        </w:rPr>
        <w:t>是实际交付产品确实具备的功能</w:t>
      </w:r>
      <w:r>
        <w:rPr>
          <w:rFonts w:hint="eastAsia" w:ascii="宋体" w:hAnsi="宋体"/>
          <w:color w:val="000000" w:themeColor="text1"/>
          <w:szCs w:val="21"/>
          <w14:textFill>
            <w14:solidFill>
              <w14:schemeClr w14:val="tx1"/>
            </w14:solidFill>
          </w14:textFill>
        </w:rPr>
        <w:t>。</w:t>
      </w:r>
    </w:p>
    <w:p>
      <w:pPr>
        <w:tabs>
          <w:tab w:val="left" w:pos="0"/>
        </w:tabs>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2主要需求：</w:t>
      </w:r>
    </w:p>
    <w:p>
      <w:pPr>
        <w:spacing w:line="360" w:lineRule="auto"/>
        <w:ind w:firstLine="420" w:firstLineChars="200"/>
        <w:rPr>
          <w:rFonts w:ascii="Arial" w:hAnsi="Arial" w:cs="Arial" w:eastAsiaTheme="majorEastAsia"/>
        </w:rPr>
      </w:pPr>
      <w:r>
        <w:rPr>
          <w:rFonts w:hint="eastAsia" w:ascii="Arial" w:hAnsi="Arial" w:cs="Arial" w:eastAsiaTheme="majorEastAsia"/>
        </w:rPr>
        <w:t>IPv</w:t>
      </w:r>
      <w:r>
        <w:rPr>
          <w:rFonts w:ascii="Arial" w:hAnsi="Arial" w:cs="Arial" w:eastAsiaTheme="majorEastAsia"/>
        </w:rPr>
        <w:t>4/</w:t>
      </w:r>
      <w:r>
        <w:rPr>
          <w:rFonts w:hint="eastAsia" w:ascii="Arial" w:hAnsi="Arial" w:cs="Arial" w:eastAsiaTheme="majorEastAsia"/>
        </w:rPr>
        <w:t>IPv6协议转换平台定位为应用的集中IPv6升级和发布平台，具备应用交付、应用管理、IPv6转换、IPv6改造度分析、负载均衡、SSL加速、应用可用性监测、应用性能分析、抗DDOS、访问控制、应用安全、日志审计分析、安全过滤等功能。</w:t>
      </w:r>
    </w:p>
    <w:p>
      <w:pPr>
        <w:spacing w:line="360" w:lineRule="auto"/>
        <w:ind w:firstLine="420" w:firstLineChars="200"/>
        <w:rPr>
          <w:rFonts w:ascii="Arial" w:hAnsi="Arial" w:cs="Arial" w:eastAsiaTheme="majorEastAsia"/>
        </w:rPr>
      </w:pPr>
      <w:r>
        <w:rPr>
          <w:rFonts w:hint="eastAsia" w:ascii="Arial" w:hAnsi="Arial" w:cs="Arial" w:eastAsiaTheme="majorEastAsia"/>
        </w:rPr>
        <w:t>通过部署上述平台，实现对应用的IP</w:t>
      </w:r>
      <w:r>
        <w:rPr>
          <w:rFonts w:ascii="Arial" w:hAnsi="Arial" w:cs="Arial" w:eastAsiaTheme="majorEastAsia"/>
        </w:rPr>
        <w:t>v6</w:t>
      </w:r>
      <w:r>
        <w:rPr>
          <w:rFonts w:hint="eastAsia" w:ascii="Arial" w:hAnsi="Arial" w:cs="Arial" w:eastAsiaTheme="majorEastAsia"/>
        </w:rPr>
        <w:t>改造，在不改变网站原码及网络结构情况下，在不改变原应用系统基础上，快速把IPv4网站、应用升级为IPv6，并有效解决外链与天窗问题，实现IPv6和IPv4互访，满足主管部门的考核。</w:t>
      </w:r>
    </w:p>
    <w:p>
      <w:pPr>
        <w:tabs>
          <w:tab w:val="left" w:pos="2282"/>
        </w:tabs>
        <w:spacing w:line="360" w:lineRule="auto"/>
        <w:ind w:firstLine="455" w:firstLineChars="21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同时，配套I</w:t>
      </w:r>
      <w:r>
        <w:rPr>
          <w:rFonts w:ascii="宋体" w:hAnsi="宋体"/>
          <w:color w:val="000000" w:themeColor="text1"/>
          <w:szCs w:val="21"/>
          <w14:textFill>
            <w14:solidFill>
              <w14:schemeClr w14:val="tx1"/>
            </w14:solidFill>
          </w14:textFill>
        </w:rPr>
        <w:t>Pv6</w:t>
      </w:r>
      <w:r>
        <w:rPr>
          <w:rFonts w:hint="eastAsia" w:ascii="宋体" w:hAnsi="宋体"/>
          <w:color w:val="000000" w:themeColor="text1"/>
          <w:szCs w:val="21"/>
          <w14:textFill>
            <w14:solidFill>
              <w14:schemeClr w14:val="tx1"/>
            </w14:solidFill>
          </w14:textFill>
        </w:rPr>
        <w:t>支持度监测服务，通过对网站应用等进行IPv6连通性监测，访问成功率、可达性、域名IPv6支持度、域名授权体系、二三级界面链接支持度，页面完整度、服务质量等多个维度进行监测，并汇总测试结果与统计分析，确保本次I</w:t>
      </w:r>
      <w:r>
        <w:rPr>
          <w:rFonts w:ascii="宋体" w:hAnsi="宋体"/>
          <w:color w:val="000000" w:themeColor="text1"/>
          <w:szCs w:val="21"/>
          <w14:textFill>
            <w14:solidFill>
              <w14:schemeClr w14:val="tx1"/>
            </w14:solidFill>
          </w14:textFill>
        </w:rPr>
        <w:t>Pv6</w:t>
      </w:r>
      <w:r>
        <w:rPr>
          <w:rFonts w:hint="eastAsia" w:ascii="宋体" w:hAnsi="宋体"/>
          <w:color w:val="000000" w:themeColor="text1"/>
          <w:szCs w:val="21"/>
          <w14:textFill>
            <w14:solidFill>
              <w14:schemeClr w14:val="tx1"/>
            </w14:solidFill>
          </w14:textFill>
        </w:rPr>
        <w:t>改造能通过主管部门的考核。</w:t>
      </w:r>
    </w:p>
    <w:p>
      <w:pPr>
        <w:tabs>
          <w:tab w:val="left" w:pos="2282"/>
        </w:tabs>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3建设内容：</w:t>
      </w:r>
    </w:p>
    <w:p>
      <w:pPr>
        <w:spacing w:line="360" w:lineRule="auto"/>
        <w:ind w:firstLine="420" w:firstLineChars="200"/>
      </w:pPr>
      <w:r>
        <w:rPr>
          <w:rFonts w:hint="eastAsia"/>
        </w:rPr>
        <w:t>本次建设计划采用设备本地部署</w:t>
      </w:r>
      <w:r>
        <w:rPr>
          <w:rFonts w:hint="eastAsia" w:ascii="Arial" w:hAnsi="Arial" w:cs="Arial" w:eastAsiaTheme="majorEastAsia"/>
        </w:rPr>
        <w:t>IPv</w:t>
      </w:r>
      <w:r>
        <w:rPr>
          <w:rFonts w:ascii="Arial" w:hAnsi="Arial" w:cs="Arial" w:eastAsiaTheme="majorEastAsia"/>
        </w:rPr>
        <w:t>4/</w:t>
      </w:r>
      <w:r>
        <w:rPr>
          <w:rFonts w:hint="eastAsia" w:ascii="Arial" w:hAnsi="Arial" w:cs="Arial" w:eastAsiaTheme="majorEastAsia"/>
        </w:rPr>
        <w:t>IPv6协议转换设备</w:t>
      </w:r>
      <w:r>
        <w:rPr>
          <w:rFonts w:hint="eastAsia"/>
        </w:rPr>
        <w:t>的方式对应用系统进行I</w:t>
      </w:r>
      <w:r>
        <w:t>Pv</w:t>
      </w:r>
      <w:r>
        <w:rPr>
          <w:rFonts w:hint="eastAsia"/>
        </w:rPr>
        <w:t>6转换。本地部署拥有更强大的日志分析功能，方便更直观了解网站、应用的</w:t>
      </w:r>
      <w:r>
        <w:t>IPv6</w:t>
      </w:r>
      <w:r>
        <w:rPr>
          <w:rFonts w:hint="eastAsia"/>
        </w:rPr>
        <w:t>访问量，且性能更加强大，拥有更优质的转换效率。采用在出口部署两台I</w:t>
      </w:r>
      <w:r>
        <w:t>P</w:t>
      </w:r>
      <w:r>
        <w:rPr>
          <w:rFonts w:hint="eastAsia"/>
        </w:rPr>
        <w:t>v</w:t>
      </w:r>
      <w:r>
        <w:t>6</w:t>
      </w:r>
      <w:r>
        <w:rPr>
          <w:rFonts w:hint="eastAsia"/>
        </w:rPr>
        <w:t>网络转换翻译设备组成主备模式，对内外网应用进行I</w:t>
      </w:r>
      <w:r>
        <w:t>P</w:t>
      </w:r>
      <w:r>
        <w:rPr>
          <w:rFonts w:hint="eastAsia"/>
        </w:rPr>
        <w:t>v</w:t>
      </w:r>
      <w:r>
        <w:t>6</w:t>
      </w:r>
      <w:r>
        <w:rPr>
          <w:rFonts w:hint="eastAsia"/>
        </w:rPr>
        <w:t>改造转化。通过主管部门的IPv6升级考核。</w:t>
      </w:r>
    </w:p>
    <w:p>
      <w:pPr>
        <w:ind w:firstLine="420" w:firstLineChars="200"/>
        <w:jc w:val="center"/>
      </w:pPr>
      <w:r>
        <w:rPr>
          <w:rFonts w:hint="eastAsia"/>
        </w:rPr>
        <w:drawing>
          <wp:inline distT="0" distB="0" distL="0" distR="0">
            <wp:extent cx="3768725" cy="3484245"/>
            <wp:effectExtent l="0" t="0" r="317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770129" cy="3485484"/>
                    </a:xfrm>
                    <a:prstGeom prst="rect">
                      <a:avLst/>
                    </a:prstGeom>
                  </pic:spPr>
                </pic:pic>
              </a:graphicData>
            </a:graphic>
          </wp:inline>
        </w:drawing>
      </w:r>
    </w:p>
    <w:p>
      <w:pPr>
        <w:ind w:firstLine="420" w:firstLineChars="200"/>
        <w:jc w:val="center"/>
      </w:pPr>
      <w:r>
        <w:rPr>
          <w:rFonts w:hint="eastAsia"/>
        </w:rPr>
        <w:t>（示例图）</w:t>
      </w:r>
    </w:p>
    <w:p>
      <w:pPr>
        <w:pStyle w:val="6"/>
        <w:tabs>
          <w:tab w:val="left" w:pos="2282"/>
        </w:tabs>
        <w:ind w:firstLine="0"/>
        <w:rPr>
          <w:rFonts w:ascii="宋体" w:hAnsi="宋体" w:eastAsia="宋体"/>
          <w:color w:val="000000" w:themeColor="text1"/>
          <w:sz w:val="21"/>
          <w:szCs w:val="21"/>
          <w14:textFill>
            <w14:solidFill>
              <w14:schemeClr w14:val="tx1"/>
            </w14:solidFill>
          </w14:textFill>
        </w:rPr>
      </w:pPr>
    </w:p>
    <w:p>
      <w:pPr>
        <w:pStyle w:val="6"/>
        <w:tabs>
          <w:tab w:val="left" w:pos="2282"/>
        </w:tabs>
        <w:ind w:firstLine="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★2.4</w:t>
      </w:r>
      <w:r>
        <w:rPr>
          <w:rFonts w:hint="eastAsia" w:ascii="宋体" w:hAnsi="宋体" w:eastAsia="宋体"/>
          <w:color w:val="000000" w:themeColor="text1"/>
          <w:sz w:val="21"/>
          <w:szCs w:val="21"/>
          <w14:textFill>
            <w14:solidFill>
              <w14:schemeClr w14:val="tx1"/>
            </w14:solidFill>
          </w14:textFill>
        </w:rPr>
        <w:t>数量要求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此次参与响应设备数量必须与采购文件中列出的需求数量一致，不接受低于采购数量的响应。</w:t>
      </w:r>
    </w:p>
    <w:p>
      <w:pPr>
        <w:pStyle w:val="366"/>
        <w:numPr>
          <w:ilvl w:val="0"/>
          <w:numId w:val="22"/>
        </w:numPr>
        <w:rPr>
          <w:rFonts w:ascii="宋体" w:hAnsi="宋体"/>
        </w:rPr>
      </w:pPr>
      <w:bookmarkStart w:id="59" w:name="_Toc76996584"/>
      <w:bookmarkStart w:id="60" w:name="_Toc8937"/>
      <w:bookmarkStart w:id="61" w:name="_Toc51053573"/>
      <w:bookmarkStart w:id="62" w:name="_Toc76856254"/>
      <w:r>
        <w:rPr>
          <w:rFonts w:hint="eastAsia" w:ascii="宋体" w:hAnsi="宋体"/>
        </w:rPr>
        <w:t>技术要求</w:t>
      </w:r>
      <w:bookmarkEnd w:id="59"/>
    </w:p>
    <w:tbl>
      <w:tblPr>
        <w:tblStyle w:val="5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706"/>
        <w:gridCol w:w="6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54" w:type="dxa"/>
            <w:vAlign w:val="center"/>
          </w:tcPr>
          <w:p>
            <w:pPr>
              <w:jc w:val="center"/>
              <w:rPr>
                <w:rFonts w:ascii="宋体" w:hAnsi="宋体"/>
                <w:b/>
                <w:szCs w:val="21"/>
              </w:rPr>
            </w:pPr>
            <w:r>
              <w:rPr>
                <w:rFonts w:hint="eastAsia" w:ascii="宋体" w:hAnsi="宋体"/>
                <w:b/>
                <w:szCs w:val="21"/>
              </w:rPr>
              <w:t>序号</w:t>
            </w:r>
          </w:p>
        </w:tc>
        <w:tc>
          <w:tcPr>
            <w:tcW w:w="1661" w:type="dxa"/>
            <w:vAlign w:val="center"/>
          </w:tcPr>
          <w:p>
            <w:pPr>
              <w:jc w:val="center"/>
              <w:rPr>
                <w:rFonts w:ascii="宋体" w:hAnsi="宋体"/>
                <w:b/>
                <w:szCs w:val="21"/>
              </w:rPr>
            </w:pPr>
            <w:r>
              <w:rPr>
                <w:rFonts w:hint="eastAsia" w:ascii="宋体" w:hAnsi="宋体"/>
                <w:b/>
                <w:szCs w:val="21"/>
              </w:rPr>
              <w:t>功能</w:t>
            </w:r>
          </w:p>
        </w:tc>
        <w:tc>
          <w:tcPr>
            <w:tcW w:w="5881" w:type="dxa"/>
            <w:vAlign w:val="center"/>
          </w:tcPr>
          <w:p>
            <w:pPr>
              <w:jc w:val="center"/>
              <w:rPr>
                <w:rFonts w:ascii="宋体" w:hAnsi="宋体"/>
                <w:b/>
                <w:szCs w:val="21"/>
              </w:rPr>
            </w:pPr>
            <w:r>
              <w:rPr>
                <w:rFonts w:hint="eastAsia" w:ascii="宋体" w:hAnsi="宋体"/>
                <w:b/>
                <w:szCs w:val="21"/>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pPr>
              <w:jc w:val="center"/>
              <w:rPr>
                <w:rFonts w:ascii="宋体" w:hAnsi="宋体"/>
                <w:szCs w:val="21"/>
              </w:rPr>
            </w:pPr>
            <w:r>
              <w:rPr>
                <w:rFonts w:hint="eastAsia" w:ascii="宋体" w:hAnsi="宋体"/>
                <w:szCs w:val="21"/>
              </w:rPr>
              <w:t>1</w:t>
            </w:r>
          </w:p>
        </w:tc>
        <w:tc>
          <w:tcPr>
            <w:tcW w:w="1661" w:type="dxa"/>
            <w:vAlign w:val="center"/>
          </w:tcPr>
          <w:p>
            <w:pPr>
              <w:rPr>
                <w:rFonts w:ascii="宋体" w:hAnsi="宋体"/>
                <w:szCs w:val="21"/>
              </w:rPr>
            </w:pPr>
            <w:r>
              <w:rPr>
                <w:rFonts w:hint="eastAsia" w:ascii="宋体" w:hAnsi="宋体"/>
                <w:szCs w:val="21"/>
              </w:rPr>
              <w:t>硬件配置</w:t>
            </w:r>
          </w:p>
        </w:tc>
        <w:tc>
          <w:tcPr>
            <w:tcW w:w="5881" w:type="dxa"/>
            <w:vAlign w:val="center"/>
          </w:tcPr>
          <w:p>
            <w:pPr>
              <w:rPr>
                <w:rFonts w:ascii="宋体" w:hAnsi="宋体"/>
                <w:szCs w:val="21"/>
              </w:rPr>
            </w:pPr>
            <w:r>
              <w:rPr>
                <w:rFonts w:hint="eastAsia" w:ascii="宋体" w:hAnsi="宋体"/>
                <w:szCs w:val="21"/>
              </w:rPr>
              <w:t>单台设备内存≥16GB，硬盘容量≥</w:t>
            </w:r>
            <w:r>
              <w:rPr>
                <w:rFonts w:ascii="宋体" w:hAnsi="宋体"/>
                <w:szCs w:val="21"/>
              </w:rPr>
              <w:t>2</w:t>
            </w:r>
            <w:r>
              <w:rPr>
                <w:rFonts w:hint="eastAsia" w:ascii="宋体" w:hAnsi="宋体"/>
                <w:szCs w:val="21"/>
              </w:rPr>
              <w:t>T，提供≥</w:t>
            </w:r>
            <w:r>
              <w:rPr>
                <w:rFonts w:ascii="宋体" w:hAnsi="宋体"/>
                <w:szCs w:val="21"/>
              </w:rPr>
              <w:t>6</w:t>
            </w:r>
            <w:r>
              <w:rPr>
                <w:rFonts w:hint="eastAsia" w:ascii="宋体" w:hAnsi="宋体"/>
                <w:szCs w:val="21"/>
              </w:rPr>
              <w:t>个千兆电口，提供≥</w:t>
            </w:r>
            <w:r>
              <w:rPr>
                <w:rFonts w:ascii="宋体" w:hAnsi="宋体"/>
                <w:szCs w:val="21"/>
              </w:rPr>
              <w:t>4</w:t>
            </w:r>
            <w:r>
              <w:rPr>
                <w:rFonts w:hint="eastAsia" w:ascii="宋体" w:hAnsi="宋体"/>
                <w:szCs w:val="21"/>
              </w:rPr>
              <w:t>个千兆光口，冗余交流双电源</w:t>
            </w:r>
            <w:r>
              <w:rPr>
                <w:rFonts w:ascii="Arial" w:hAnsi="Arial" w:cs="Arial"/>
                <w:color w:val="222222"/>
                <w:szCs w:val="21"/>
                <w:shd w:val="clear" w:color="auto" w:fill="FFFFFF"/>
              </w:rPr>
              <w:t>220V+10%-15%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pPr>
              <w:jc w:val="center"/>
              <w:rPr>
                <w:rFonts w:ascii="宋体" w:hAnsi="宋体"/>
                <w:szCs w:val="21"/>
              </w:rPr>
            </w:pPr>
            <w:r>
              <w:rPr>
                <w:rFonts w:hint="eastAsia" w:ascii="宋体" w:hAnsi="宋体"/>
                <w:szCs w:val="21"/>
              </w:rPr>
              <w:t>2</w:t>
            </w:r>
          </w:p>
        </w:tc>
        <w:tc>
          <w:tcPr>
            <w:tcW w:w="1661" w:type="dxa"/>
            <w:vAlign w:val="center"/>
          </w:tcPr>
          <w:p>
            <w:pPr>
              <w:rPr>
                <w:rFonts w:ascii="宋体" w:hAnsi="宋体"/>
                <w:szCs w:val="21"/>
              </w:rPr>
            </w:pPr>
            <w:r>
              <w:rPr>
                <w:rFonts w:hint="eastAsia" w:ascii="宋体" w:hAnsi="宋体"/>
                <w:szCs w:val="21"/>
              </w:rPr>
              <w:t>性能参数</w:t>
            </w:r>
          </w:p>
        </w:tc>
        <w:tc>
          <w:tcPr>
            <w:tcW w:w="5881" w:type="dxa"/>
            <w:vAlign w:val="center"/>
          </w:tcPr>
          <w:p>
            <w:pPr>
              <w:rPr>
                <w:rFonts w:ascii="宋体" w:hAnsi="宋体"/>
                <w:szCs w:val="21"/>
              </w:rPr>
            </w:pPr>
            <w:r>
              <w:rPr>
                <w:rFonts w:hint="eastAsia" w:ascii="宋体" w:hAnsi="宋体"/>
                <w:szCs w:val="21"/>
              </w:rPr>
              <w:t>单台设备吞吐量≥</w:t>
            </w:r>
            <w:r>
              <w:rPr>
                <w:rFonts w:ascii="宋体" w:hAnsi="宋体"/>
                <w:szCs w:val="21"/>
              </w:rPr>
              <w:t>2</w:t>
            </w:r>
            <w:r>
              <w:rPr>
                <w:rFonts w:hint="eastAsia" w:ascii="宋体" w:hAnsi="宋体"/>
                <w:szCs w:val="21"/>
              </w:rPr>
              <w:t>Gbps，最大并发连接数≥</w:t>
            </w:r>
            <w:r>
              <w:rPr>
                <w:rFonts w:ascii="宋体" w:hAnsi="宋体"/>
                <w:szCs w:val="21"/>
              </w:rPr>
              <w:t>3</w:t>
            </w:r>
            <w:r>
              <w:rPr>
                <w:rFonts w:hint="eastAsia" w:ascii="宋体" w:hAnsi="宋体"/>
                <w:szCs w:val="21"/>
              </w:rPr>
              <w:t>00万；最大新建连接数≥</w:t>
            </w:r>
            <w:r>
              <w:rPr>
                <w:rFonts w:ascii="宋体" w:hAnsi="宋体"/>
                <w:szCs w:val="21"/>
              </w:rPr>
              <w:t>5</w:t>
            </w:r>
            <w:r>
              <w:rPr>
                <w:rFonts w:hint="eastAsia" w:ascii="宋体" w:hAnsi="宋体"/>
                <w:szCs w:val="21"/>
              </w:rPr>
              <w:t>万个/秒，支持≥80个网站节点改造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pPr>
              <w:jc w:val="center"/>
              <w:rPr>
                <w:rFonts w:ascii="宋体" w:hAnsi="宋体"/>
                <w:szCs w:val="21"/>
              </w:rPr>
            </w:pPr>
            <w:r>
              <w:rPr>
                <w:rFonts w:hint="eastAsia" w:ascii="宋体" w:hAnsi="宋体"/>
                <w:szCs w:val="21"/>
              </w:rPr>
              <w:t>3</w:t>
            </w:r>
          </w:p>
        </w:tc>
        <w:tc>
          <w:tcPr>
            <w:tcW w:w="1661" w:type="dxa"/>
            <w:vAlign w:val="center"/>
          </w:tcPr>
          <w:p>
            <w:pPr>
              <w:rPr>
                <w:rFonts w:ascii="宋体" w:hAnsi="宋体"/>
                <w:szCs w:val="21"/>
              </w:rPr>
            </w:pPr>
            <w:r>
              <w:rPr>
                <w:rFonts w:hint="eastAsia" w:ascii="宋体" w:hAnsi="宋体"/>
                <w:szCs w:val="21"/>
              </w:rPr>
              <w:t>辅材</w:t>
            </w:r>
          </w:p>
        </w:tc>
        <w:tc>
          <w:tcPr>
            <w:tcW w:w="5881" w:type="dxa"/>
            <w:vAlign w:val="center"/>
          </w:tcPr>
          <w:p>
            <w:pPr>
              <w:rPr>
                <w:rFonts w:ascii="宋体" w:hAnsi="宋体"/>
                <w:szCs w:val="21"/>
              </w:rPr>
            </w:pPr>
            <w:r>
              <w:rPr>
                <w:rFonts w:hint="eastAsia" w:ascii="宋体" w:hAnsi="宋体"/>
                <w:szCs w:val="21"/>
              </w:rPr>
              <w:t>≥</w:t>
            </w:r>
            <w:r>
              <w:rPr>
                <w:rFonts w:ascii="宋体" w:hAnsi="宋体"/>
                <w:szCs w:val="21"/>
              </w:rPr>
              <w:t>8</w:t>
            </w:r>
            <w:r>
              <w:rPr>
                <w:rFonts w:hint="eastAsia" w:ascii="宋体" w:hAnsi="宋体"/>
                <w:szCs w:val="21"/>
              </w:rPr>
              <w:t>个</w:t>
            </w:r>
            <w:r>
              <w:rPr>
                <w:rFonts w:ascii="宋体" w:hAnsi="宋体"/>
                <w:szCs w:val="21"/>
              </w:rPr>
              <w:t>千兆单模光模块，波长1310nm，传输距离10km，接口LC</w:t>
            </w:r>
            <w:r>
              <w:rPr>
                <w:rFonts w:hint="eastAsia" w:ascii="宋体" w:hAnsi="宋体"/>
                <w:szCs w:val="21"/>
              </w:rPr>
              <w:t>，光纤跳线按需配置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54" w:type="dxa"/>
            <w:vMerge w:val="restart"/>
            <w:vAlign w:val="center"/>
          </w:tcPr>
          <w:p>
            <w:pPr>
              <w:jc w:val="center"/>
              <w:rPr>
                <w:rFonts w:ascii="宋体" w:hAnsi="宋体"/>
                <w:szCs w:val="21"/>
              </w:rPr>
            </w:pPr>
            <w:r>
              <w:rPr>
                <w:rFonts w:hint="eastAsia" w:ascii="宋体" w:hAnsi="宋体"/>
                <w:szCs w:val="21"/>
              </w:rPr>
              <w:t>4</w:t>
            </w:r>
          </w:p>
        </w:tc>
        <w:tc>
          <w:tcPr>
            <w:tcW w:w="1661" w:type="dxa"/>
            <w:vMerge w:val="restart"/>
            <w:vAlign w:val="center"/>
          </w:tcPr>
          <w:p>
            <w:pPr>
              <w:rPr>
                <w:rFonts w:ascii="宋体" w:hAnsi="宋体"/>
                <w:szCs w:val="21"/>
              </w:rPr>
            </w:pPr>
            <w:r>
              <w:rPr>
                <w:rFonts w:hint="eastAsia" w:ascii="宋体" w:hAnsi="宋体"/>
                <w:szCs w:val="21"/>
              </w:rPr>
              <w:t>部署能力</w:t>
            </w:r>
          </w:p>
        </w:tc>
        <w:tc>
          <w:tcPr>
            <w:tcW w:w="5881" w:type="dxa"/>
            <w:vAlign w:val="center"/>
          </w:tcPr>
          <w:p>
            <w:pPr>
              <w:rPr>
                <w:rFonts w:ascii="宋体" w:hAnsi="宋体"/>
                <w:szCs w:val="21"/>
              </w:rPr>
            </w:pPr>
            <w:r>
              <w:rPr>
                <w:rFonts w:hint="eastAsia" w:ascii="宋体" w:hAnsi="宋体"/>
                <w:szCs w:val="21"/>
              </w:rPr>
              <w:t>支持自适应IPv6到IPv6，IPv6到IPv4，IPv4到IPv4多种场景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支持网站页面静态和动态外部链接的零配置自动识别和处理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支持多运营商出口网络地址池配置，根据配置路由策略自动选路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pPr>
              <w:jc w:val="center"/>
              <w:rPr>
                <w:rFonts w:ascii="宋体" w:hAnsi="宋体"/>
                <w:szCs w:val="21"/>
              </w:rPr>
            </w:pPr>
            <w:r>
              <w:rPr>
                <w:rFonts w:hint="eastAsia" w:ascii="宋体" w:hAnsi="宋体"/>
                <w:szCs w:val="21"/>
              </w:rPr>
              <w:t>5</w:t>
            </w:r>
          </w:p>
        </w:tc>
        <w:tc>
          <w:tcPr>
            <w:tcW w:w="1661" w:type="dxa"/>
            <w:vAlign w:val="center"/>
          </w:tcPr>
          <w:p>
            <w:pPr>
              <w:rPr>
                <w:rFonts w:ascii="宋体" w:hAnsi="宋体"/>
                <w:szCs w:val="21"/>
              </w:rPr>
            </w:pPr>
            <w:r>
              <w:rPr>
                <w:rFonts w:hint="eastAsia" w:ascii="宋体" w:hAnsi="宋体"/>
                <w:szCs w:val="21"/>
              </w:rPr>
              <w:t>系统日志</w:t>
            </w:r>
          </w:p>
        </w:tc>
        <w:tc>
          <w:tcPr>
            <w:tcW w:w="5881" w:type="dxa"/>
            <w:vAlign w:val="center"/>
          </w:tcPr>
          <w:p>
            <w:pPr>
              <w:rPr>
                <w:rFonts w:ascii="宋体" w:hAnsi="宋体"/>
                <w:szCs w:val="21"/>
              </w:rPr>
            </w:pPr>
            <w:r>
              <w:rPr>
                <w:rFonts w:hint="eastAsia" w:ascii="宋体" w:hAnsi="宋体"/>
                <w:szCs w:val="21"/>
              </w:rPr>
              <w:t>★支持操作日志、安全日志、状态日志、运行日志4种日志（需提供界面截图并加盖原厂公章）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6</w:t>
            </w:r>
          </w:p>
        </w:tc>
        <w:tc>
          <w:tcPr>
            <w:tcW w:w="1661" w:type="dxa"/>
            <w:vMerge w:val="restart"/>
            <w:vAlign w:val="center"/>
          </w:tcPr>
          <w:p>
            <w:pPr>
              <w:rPr>
                <w:rFonts w:ascii="宋体" w:hAnsi="宋体"/>
                <w:szCs w:val="21"/>
              </w:rPr>
            </w:pPr>
            <w:r>
              <w:rPr>
                <w:rFonts w:hint="eastAsia" w:ascii="宋体" w:hAnsi="宋体"/>
                <w:szCs w:val="21"/>
              </w:rPr>
              <w:t>设备部署</w:t>
            </w:r>
          </w:p>
        </w:tc>
        <w:tc>
          <w:tcPr>
            <w:tcW w:w="5881" w:type="dxa"/>
            <w:vAlign w:val="center"/>
          </w:tcPr>
          <w:p>
            <w:pPr>
              <w:rPr>
                <w:rFonts w:ascii="宋体" w:hAnsi="宋体"/>
                <w:szCs w:val="21"/>
              </w:rPr>
            </w:pPr>
            <w:r>
              <w:rPr>
                <w:rFonts w:hint="eastAsia" w:ascii="宋体" w:hAnsi="宋体"/>
                <w:szCs w:val="21"/>
              </w:rPr>
              <w:t>可以自由定义LAN、WAN和管理口，在单一网口上支持虚拟多级VLAN网络，支持QinQ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接口要内置安全策略：比如是否启动DDoS，是否允许特定的服务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支持接口集合，多个物理端口可以虚拟为一个接口，支持接口聚合，多个物理端口可以绑定为一个接口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7</w:t>
            </w:r>
          </w:p>
        </w:tc>
        <w:tc>
          <w:tcPr>
            <w:tcW w:w="1661" w:type="dxa"/>
            <w:vMerge w:val="restart"/>
            <w:vAlign w:val="center"/>
          </w:tcPr>
          <w:p>
            <w:pPr>
              <w:rPr>
                <w:rFonts w:ascii="宋体" w:hAnsi="宋体"/>
                <w:szCs w:val="21"/>
              </w:rPr>
            </w:pPr>
            <w:r>
              <w:rPr>
                <w:rFonts w:hint="eastAsia" w:ascii="宋体" w:hAnsi="宋体"/>
                <w:szCs w:val="21"/>
              </w:rPr>
              <w:t>大屏显示</w:t>
            </w:r>
          </w:p>
        </w:tc>
        <w:tc>
          <w:tcPr>
            <w:tcW w:w="5881" w:type="dxa"/>
            <w:vAlign w:val="center"/>
          </w:tcPr>
          <w:p>
            <w:pPr>
              <w:rPr>
                <w:rFonts w:ascii="宋体" w:hAnsi="宋体"/>
                <w:szCs w:val="21"/>
              </w:rPr>
            </w:pPr>
            <w:r>
              <w:rPr>
                <w:rFonts w:hint="eastAsia" w:ascii="宋体" w:hAnsi="宋体"/>
                <w:szCs w:val="21"/>
              </w:rPr>
              <w:t>★支持独立的大屏显示界面，包括在线的内部服务器数目、外部访问IP数目、目前发布的应用速率排序、各种安全事件的分类、外部访问IP的实时流量排序、以地图方式显示攻击和访问的来源等信息（需提供界面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支持实时显示显示安全事件、运维事件、运行事件、状态事件、访问审计事件的数目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8</w:t>
            </w:r>
          </w:p>
        </w:tc>
        <w:tc>
          <w:tcPr>
            <w:tcW w:w="1661" w:type="dxa"/>
            <w:vMerge w:val="restart"/>
            <w:vAlign w:val="center"/>
          </w:tcPr>
          <w:p>
            <w:pPr>
              <w:rPr>
                <w:rFonts w:ascii="宋体" w:hAnsi="宋体"/>
                <w:szCs w:val="21"/>
              </w:rPr>
            </w:pPr>
            <w:r>
              <w:rPr>
                <w:rFonts w:hint="eastAsia" w:ascii="宋体" w:hAnsi="宋体"/>
                <w:szCs w:val="21"/>
              </w:rPr>
              <w:t>应用设置与网络转发</w:t>
            </w:r>
          </w:p>
        </w:tc>
        <w:tc>
          <w:tcPr>
            <w:tcW w:w="5881" w:type="dxa"/>
            <w:vAlign w:val="center"/>
          </w:tcPr>
          <w:p>
            <w:pPr>
              <w:rPr>
                <w:rFonts w:ascii="宋体" w:hAnsi="宋体"/>
                <w:szCs w:val="21"/>
              </w:rPr>
            </w:pPr>
            <w:r>
              <w:rPr>
                <w:rFonts w:hint="eastAsia" w:ascii="宋体" w:hAnsi="宋体"/>
                <w:szCs w:val="21"/>
              </w:rPr>
              <w:t>支持应用定义分组，方便应用管理和分类，需要支持按照地址段和端口定义应用，支持多应用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应用发布支持网络发布和web发布2种模式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★支持网络发布按照比例访问服务负载均衡，支持以下负载均衡模式包括稳定模式、根据连接数、流量或者源地址负载均衡（需提供界面截图并加盖原厂公章）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系统支持单一应用访问的限速和抗DDoS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支持单一IPv6地址的不同端口发布到不同的IPv4服务器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9</w:t>
            </w:r>
          </w:p>
        </w:tc>
        <w:tc>
          <w:tcPr>
            <w:tcW w:w="1661" w:type="dxa"/>
            <w:vMerge w:val="restart"/>
            <w:vAlign w:val="center"/>
          </w:tcPr>
          <w:p>
            <w:pPr>
              <w:rPr>
                <w:rFonts w:ascii="宋体" w:hAnsi="宋体"/>
                <w:szCs w:val="21"/>
              </w:rPr>
            </w:pPr>
            <w:r>
              <w:rPr>
                <w:rFonts w:hint="eastAsia" w:ascii="宋体" w:hAnsi="宋体"/>
                <w:szCs w:val="21"/>
              </w:rPr>
              <w:t>应用发布与外链处理</w:t>
            </w:r>
          </w:p>
        </w:tc>
        <w:tc>
          <w:tcPr>
            <w:tcW w:w="5881" w:type="dxa"/>
            <w:vAlign w:val="center"/>
          </w:tcPr>
          <w:p>
            <w:pPr>
              <w:rPr>
                <w:rFonts w:ascii="宋体" w:hAnsi="宋体"/>
                <w:szCs w:val="21"/>
              </w:rPr>
            </w:pPr>
            <w:r>
              <w:rPr>
                <w:rFonts w:hint="eastAsia" w:ascii="宋体" w:hAnsi="宋体"/>
                <w:szCs w:val="21"/>
              </w:rPr>
              <w:t>支持应用定义分组，方便应用管理和分类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需要支持按照地址段和端口定义应用，支持多应用并行升级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支持发布规则开始和截至时间，到期自动停止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★支持应用层翻译技术，基于应用层增强反向代理技术，实现IPv4 web应用发布为IPv6支持，支持IPv6 应用发布为IPv4支持；支持多应用并行升级转换。支持应用发布HTTP到HTTP、HTTP到HTTPS，HTTPS到HTTP，HTTPS到HTTPS等不同模式的映射（需提供界面截图并加盖原厂公章）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支持设置域名证书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支持外链替换，在单一IPv6用户环境下可以访问IPv6的网站并且没有天窗问题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可以设置一个域名或者全部外链是否翻译，支持选定特定格式外链翻译开关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★支持自动扫描网站已经支持IPv6的外链域名，且对于已经支持IPv6的外链智能不进行翻译（需提供界面截图并加盖原厂公章）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支持多域名或多网站共享IP地址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Align w:val="center"/>
          </w:tcPr>
          <w:p>
            <w:pPr>
              <w:jc w:val="center"/>
              <w:rPr>
                <w:rFonts w:ascii="宋体" w:hAnsi="宋体"/>
                <w:szCs w:val="21"/>
              </w:rPr>
            </w:pPr>
            <w:r>
              <w:rPr>
                <w:rFonts w:hint="eastAsia" w:ascii="宋体" w:hAnsi="宋体"/>
                <w:szCs w:val="21"/>
              </w:rPr>
              <w:t>10</w:t>
            </w:r>
          </w:p>
        </w:tc>
        <w:tc>
          <w:tcPr>
            <w:tcW w:w="1661" w:type="dxa"/>
            <w:vAlign w:val="center"/>
          </w:tcPr>
          <w:p>
            <w:pPr>
              <w:rPr>
                <w:rFonts w:ascii="宋体" w:hAnsi="宋体"/>
                <w:szCs w:val="21"/>
              </w:rPr>
            </w:pPr>
            <w:r>
              <w:rPr>
                <w:rFonts w:hint="eastAsia" w:ascii="宋体" w:hAnsi="宋体"/>
                <w:szCs w:val="21"/>
              </w:rPr>
              <w:t>内容缓存加速</w:t>
            </w:r>
          </w:p>
        </w:tc>
        <w:tc>
          <w:tcPr>
            <w:tcW w:w="5881" w:type="dxa"/>
            <w:vAlign w:val="center"/>
          </w:tcPr>
          <w:p>
            <w:pPr>
              <w:rPr>
                <w:rFonts w:ascii="宋体" w:hAnsi="宋体"/>
                <w:szCs w:val="21"/>
              </w:rPr>
            </w:pPr>
            <w:r>
              <w:rPr>
                <w:rFonts w:hint="eastAsia" w:ascii="宋体" w:hAnsi="宋体"/>
                <w:szCs w:val="21"/>
              </w:rPr>
              <w:t>支持缓存加速功能，支持自主制定缓存策略；支持JPEG、GIF、MP3、MP4、WMA、ZIP、RAR、FLV、LETV、F4V、EXE、ISO、APK、XML、CSS、JS等资源的缓存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11</w:t>
            </w:r>
          </w:p>
        </w:tc>
        <w:tc>
          <w:tcPr>
            <w:tcW w:w="1661" w:type="dxa"/>
            <w:vMerge w:val="restart"/>
            <w:vAlign w:val="center"/>
          </w:tcPr>
          <w:p>
            <w:pPr>
              <w:rPr>
                <w:rFonts w:ascii="宋体" w:hAnsi="宋体"/>
                <w:szCs w:val="21"/>
              </w:rPr>
            </w:pPr>
            <w:r>
              <w:rPr>
                <w:rFonts w:hint="eastAsia" w:ascii="宋体" w:hAnsi="宋体"/>
                <w:szCs w:val="21"/>
              </w:rPr>
              <w:t>智能域名解析</w:t>
            </w:r>
          </w:p>
        </w:tc>
        <w:tc>
          <w:tcPr>
            <w:tcW w:w="5881" w:type="dxa"/>
            <w:vAlign w:val="center"/>
          </w:tcPr>
          <w:p>
            <w:pPr>
              <w:rPr>
                <w:rFonts w:ascii="宋体" w:hAnsi="宋体"/>
                <w:szCs w:val="21"/>
              </w:rPr>
            </w:pPr>
            <w:r>
              <w:rPr>
                <w:rFonts w:hint="eastAsia" w:ascii="宋体" w:hAnsi="宋体"/>
                <w:szCs w:val="21"/>
              </w:rPr>
              <w:t>支持IPv4/IPv6域名解析和查询；支持在IPv4/IPv6双栈环境下DNS授权解析和递归解析，支持IPv4环境或纯IPv6环境下的A/AAAA记录解析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支持模糊匹配泛解析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支持DNS负载均衡解析，一个域名可以支持多个地址做负载均衡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12</w:t>
            </w:r>
          </w:p>
        </w:tc>
        <w:tc>
          <w:tcPr>
            <w:tcW w:w="1661" w:type="dxa"/>
            <w:vMerge w:val="restart"/>
            <w:vAlign w:val="center"/>
          </w:tcPr>
          <w:p>
            <w:pPr>
              <w:rPr>
                <w:rFonts w:ascii="宋体" w:hAnsi="宋体"/>
                <w:szCs w:val="21"/>
              </w:rPr>
            </w:pPr>
            <w:r>
              <w:rPr>
                <w:rFonts w:hint="eastAsia" w:ascii="宋体" w:hAnsi="宋体"/>
                <w:szCs w:val="21"/>
              </w:rPr>
              <w:t>溯源日志</w:t>
            </w:r>
          </w:p>
        </w:tc>
        <w:tc>
          <w:tcPr>
            <w:tcW w:w="5881" w:type="dxa"/>
            <w:vAlign w:val="center"/>
          </w:tcPr>
          <w:p>
            <w:pPr>
              <w:rPr>
                <w:rFonts w:ascii="宋体" w:hAnsi="宋体"/>
                <w:szCs w:val="21"/>
              </w:rPr>
            </w:pPr>
            <w:r>
              <w:rPr>
                <w:rFonts w:hint="eastAsia" w:ascii="宋体" w:hAnsi="宋体"/>
                <w:szCs w:val="21"/>
              </w:rPr>
              <w:t>设备内置大容量存储，满足审计要求，无需外接数据库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支持协议转换日志功能，支持存储和查询6个月内数据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溯源日志可以按照小时为单位查看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支持网络五元组（源地址、源端口、目的地址、目的端口、协议类型）转换日志，包括转换前和转换后地址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支持访问URL的日志，访问的url、流量、时间、地址、是否缓存等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需要提供外部IP访问上线的日志记录，以及外部IP每次访问开始访问时间、最后访问时间、访问流量。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13</w:t>
            </w:r>
          </w:p>
        </w:tc>
        <w:tc>
          <w:tcPr>
            <w:tcW w:w="1661" w:type="dxa"/>
            <w:vMerge w:val="restart"/>
            <w:vAlign w:val="center"/>
          </w:tcPr>
          <w:p>
            <w:pPr>
              <w:rPr>
                <w:rFonts w:ascii="宋体" w:hAnsi="宋体"/>
                <w:szCs w:val="21"/>
              </w:rPr>
            </w:pPr>
            <w:r>
              <w:rPr>
                <w:rFonts w:hint="eastAsia" w:ascii="宋体" w:hAnsi="宋体"/>
                <w:szCs w:val="21"/>
              </w:rPr>
              <w:t>安全过滤</w:t>
            </w:r>
          </w:p>
        </w:tc>
        <w:tc>
          <w:tcPr>
            <w:tcW w:w="5881" w:type="dxa"/>
            <w:vAlign w:val="center"/>
          </w:tcPr>
          <w:p>
            <w:pPr>
              <w:rPr>
                <w:rFonts w:ascii="宋体" w:hAnsi="宋体"/>
                <w:szCs w:val="21"/>
              </w:rPr>
            </w:pPr>
            <w:r>
              <w:rPr>
                <w:rFonts w:hint="eastAsia" w:ascii="宋体" w:hAnsi="宋体"/>
                <w:szCs w:val="21"/>
              </w:rPr>
              <w:t>支持SYN洪水攻击防范、支持扫描包攻击防范、支持HTTP攻击防范、支持单个应用攻击防范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支持DDoS洪水攻击防范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支持一键锁定功能，可以锁定外部某个地址一段时间不能访问。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支持关键操作告警：比如管理员权限修改等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系统要支持网络异常告警，包括连接数超限、人员过多等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系统要支持报警方式可以是邮件和短信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应用可以定义外部访问的地址段，只有特定的地址段才可以访问该应用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系统支持WAF防护功能，支持User-Agent的过滤，支持URL过滤，防爬虫等功能；可以阻断</w:t>
            </w:r>
            <w:r>
              <w:rPr>
                <w:rFonts w:ascii="宋体" w:hAnsi="宋体"/>
                <w:szCs w:val="21"/>
              </w:rPr>
              <w:t>SQL</w:t>
            </w:r>
            <w:r>
              <w:rPr>
                <w:rFonts w:hint="eastAsia" w:ascii="宋体" w:hAnsi="宋体"/>
                <w:szCs w:val="21"/>
              </w:rPr>
              <w:t>注入、跨域访问并生成安全日志，支持URL过滤，提交表单关键字过滤等功能。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14</w:t>
            </w:r>
          </w:p>
        </w:tc>
        <w:tc>
          <w:tcPr>
            <w:tcW w:w="1661" w:type="dxa"/>
            <w:vMerge w:val="restart"/>
            <w:vAlign w:val="center"/>
          </w:tcPr>
          <w:p>
            <w:pPr>
              <w:rPr>
                <w:rFonts w:ascii="宋体" w:hAnsi="宋体"/>
                <w:szCs w:val="21"/>
              </w:rPr>
            </w:pPr>
            <w:r>
              <w:rPr>
                <w:rFonts w:hint="eastAsia" w:ascii="宋体" w:hAnsi="宋体"/>
                <w:szCs w:val="21"/>
              </w:rPr>
              <w:t>访问者监控</w:t>
            </w:r>
          </w:p>
        </w:tc>
        <w:tc>
          <w:tcPr>
            <w:tcW w:w="5881" w:type="dxa"/>
            <w:vAlign w:val="center"/>
          </w:tcPr>
          <w:p>
            <w:pPr>
              <w:rPr>
                <w:rFonts w:ascii="宋体" w:hAnsi="宋体"/>
                <w:szCs w:val="21"/>
              </w:rPr>
            </w:pPr>
            <w:r>
              <w:rPr>
                <w:rFonts w:hint="eastAsia" w:ascii="宋体" w:hAnsi="宋体"/>
                <w:szCs w:val="21"/>
              </w:rPr>
              <w:t>系统提供在线的外部访问者实时列表，实时显示当前外部单个IP的速率、收发数据、连接数、是否为移动终端等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系统实时显示当前的tcp和udp连接，包括进出口、连接的速率以及五元组转换信息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15</w:t>
            </w:r>
          </w:p>
        </w:tc>
        <w:tc>
          <w:tcPr>
            <w:tcW w:w="1661" w:type="dxa"/>
            <w:vMerge w:val="restart"/>
            <w:vAlign w:val="center"/>
          </w:tcPr>
          <w:p>
            <w:pPr>
              <w:rPr>
                <w:rFonts w:ascii="宋体" w:hAnsi="宋体"/>
                <w:szCs w:val="21"/>
              </w:rPr>
            </w:pPr>
            <w:r>
              <w:rPr>
                <w:rFonts w:hint="eastAsia" w:ascii="宋体" w:hAnsi="宋体"/>
                <w:szCs w:val="21"/>
              </w:rPr>
              <w:t>QoS限速</w:t>
            </w:r>
          </w:p>
        </w:tc>
        <w:tc>
          <w:tcPr>
            <w:tcW w:w="5881" w:type="dxa"/>
            <w:vAlign w:val="center"/>
          </w:tcPr>
          <w:p>
            <w:pPr>
              <w:rPr>
                <w:rFonts w:ascii="宋体" w:hAnsi="宋体"/>
                <w:szCs w:val="21"/>
              </w:rPr>
            </w:pPr>
            <w:r>
              <w:rPr>
                <w:rFonts w:hint="eastAsia" w:ascii="宋体" w:hAnsi="宋体"/>
                <w:szCs w:val="21"/>
              </w:rPr>
              <w:t>支持单个发布应用的限速，可以限制单个应用的访问速率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★支持单个外部IP的访问限速，可以限制外部单个IP的访问速率，需要支持特定时间启动限速功能（需提供界面截图并加盖原厂公章）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restart"/>
            <w:vAlign w:val="center"/>
          </w:tcPr>
          <w:p>
            <w:pPr>
              <w:jc w:val="center"/>
              <w:rPr>
                <w:rFonts w:ascii="宋体" w:hAnsi="宋体"/>
                <w:szCs w:val="21"/>
              </w:rPr>
            </w:pPr>
            <w:r>
              <w:rPr>
                <w:rFonts w:hint="eastAsia" w:ascii="宋体" w:hAnsi="宋体"/>
                <w:szCs w:val="21"/>
              </w:rPr>
              <w:t>16</w:t>
            </w:r>
          </w:p>
        </w:tc>
        <w:tc>
          <w:tcPr>
            <w:tcW w:w="1661" w:type="dxa"/>
            <w:vMerge w:val="restart"/>
            <w:vAlign w:val="center"/>
          </w:tcPr>
          <w:p>
            <w:pPr>
              <w:rPr>
                <w:rFonts w:ascii="宋体" w:hAnsi="宋体"/>
                <w:szCs w:val="21"/>
              </w:rPr>
            </w:pPr>
            <w:r>
              <w:rPr>
                <w:rFonts w:hint="eastAsia" w:ascii="宋体" w:hAnsi="宋体"/>
                <w:szCs w:val="21"/>
              </w:rPr>
              <w:t>统计分析</w:t>
            </w:r>
          </w:p>
        </w:tc>
        <w:tc>
          <w:tcPr>
            <w:tcW w:w="5881" w:type="dxa"/>
            <w:vAlign w:val="center"/>
          </w:tcPr>
          <w:p>
            <w:pPr>
              <w:rPr>
                <w:rFonts w:ascii="宋体" w:hAnsi="宋体"/>
                <w:szCs w:val="21"/>
              </w:rPr>
            </w:pPr>
            <w:r>
              <w:rPr>
                <w:rFonts w:hint="eastAsia" w:ascii="宋体" w:hAnsi="宋体"/>
                <w:szCs w:val="21"/>
              </w:rPr>
              <w:t>支持源服务器的访问统计分析报表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支持对外发布的网站访问统计分析报表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支持一段时间内外部IP访问统计分析报表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4" w:type="dxa"/>
            <w:vMerge w:val="continue"/>
            <w:vAlign w:val="center"/>
          </w:tcPr>
          <w:p>
            <w:pPr>
              <w:jc w:val="center"/>
              <w:rPr>
                <w:rFonts w:ascii="宋体" w:hAnsi="宋体"/>
                <w:szCs w:val="21"/>
              </w:rPr>
            </w:pPr>
          </w:p>
        </w:tc>
        <w:tc>
          <w:tcPr>
            <w:tcW w:w="1661" w:type="dxa"/>
            <w:vMerge w:val="continue"/>
            <w:vAlign w:val="center"/>
          </w:tcPr>
          <w:p>
            <w:pPr>
              <w:rPr>
                <w:rFonts w:ascii="宋体" w:hAnsi="宋体"/>
                <w:szCs w:val="21"/>
              </w:rPr>
            </w:pPr>
          </w:p>
        </w:tc>
        <w:tc>
          <w:tcPr>
            <w:tcW w:w="5881" w:type="dxa"/>
            <w:vAlign w:val="center"/>
          </w:tcPr>
          <w:p>
            <w:pPr>
              <w:rPr>
                <w:rFonts w:ascii="宋体" w:hAnsi="宋体"/>
                <w:szCs w:val="21"/>
              </w:rPr>
            </w:pPr>
            <w:r>
              <w:rPr>
                <w:rFonts w:hint="eastAsia" w:ascii="宋体" w:hAnsi="宋体"/>
                <w:szCs w:val="21"/>
              </w:rPr>
              <w:t>支持一段时间内访问IP、访问的URL、攻击情况等多种信息组合的报表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754" w:type="dxa"/>
            <w:vAlign w:val="center"/>
          </w:tcPr>
          <w:p>
            <w:pPr>
              <w:jc w:val="center"/>
              <w:rPr>
                <w:rFonts w:ascii="宋体" w:hAnsi="宋体"/>
                <w:szCs w:val="21"/>
              </w:rPr>
            </w:pPr>
            <w:r>
              <w:rPr>
                <w:rFonts w:hint="eastAsia" w:ascii="宋体" w:hAnsi="宋体"/>
                <w:szCs w:val="21"/>
              </w:rPr>
              <w:t>1</w:t>
            </w:r>
            <w:r>
              <w:rPr>
                <w:rFonts w:ascii="宋体" w:hAnsi="宋体"/>
                <w:szCs w:val="21"/>
              </w:rPr>
              <w:t>7</w:t>
            </w:r>
          </w:p>
        </w:tc>
        <w:tc>
          <w:tcPr>
            <w:tcW w:w="1661" w:type="dxa"/>
            <w:vAlign w:val="center"/>
          </w:tcPr>
          <w:p>
            <w:pPr>
              <w:rPr>
                <w:rFonts w:ascii="宋体" w:hAnsi="宋体"/>
                <w:szCs w:val="21"/>
              </w:rPr>
            </w:pPr>
            <w:r>
              <w:rPr>
                <w:rFonts w:hint="eastAsia" w:ascii="宋体" w:hAnsi="宋体"/>
                <w:szCs w:val="21"/>
              </w:rPr>
              <w:t>I</w:t>
            </w:r>
            <w:r>
              <w:rPr>
                <w:rFonts w:ascii="宋体" w:hAnsi="宋体"/>
                <w:szCs w:val="21"/>
              </w:rPr>
              <w:t>Pv6</w:t>
            </w:r>
            <w:r>
              <w:rPr>
                <w:rFonts w:hint="eastAsia" w:ascii="宋体" w:hAnsi="宋体"/>
                <w:szCs w:val="21"/>
              </w:rPr>
              <w:t>支持度监测服务</w:t>
            </w:r>
          </w:p>
        </w:tc>
        <w:tc>
          <w:tcPr>
            <w:tcW w:w="5881" w:type="dxa"/>
            <w:vAlign w:val="center"/>
          </w:tcPr>
          <w:p>
            <w:pPr>
              <w:rPr>
                <w:rFonts w:ascii="宋体" w:hAnsi="宋体"/>
                <w:szCs w:val="21"/>
              </w:rPr>
            </w:pPr>
            <w:r>
              <w:rPr>
                <w:rFonts w:hint="eastAsia"/>
                <w:szCs w:val="21"/>
              </w:rPr>
              <w:t>支持并监测IPv6连通性，访问成功率、可达性、域名IPv6支持度、域名授权体系、二三级界面支持度等多个维度进行监测，并汇总测试结果与统计分析报告</w:t>
            </w:r>
          </w:p>
        </w:tc>
      </w:tr>
    </w:tbl>
    <w:p>
      <w:pPr>
        <w:pStyle w:val="89"/>
        <w:numPr>
          <w:ilvl w:val="0"/>
          <w:numId w:val="22"/>
        </w:numPr>
        <w:spacing w:line="360" w:lineRule="auto"/>
        <w:ind w:left="0" w:firstLine="402"/>
        <w:outlineLvl w:val="1"/>
        <w:rPr>
          <w:rStyle w:val="365"/>
          <w:rFonts w:ascii="宋体" w:hAnsi="宋体"/>
          <w:b w:val="0"/>
        </w:rPr>
      </w:pPr>
      <w:r>
        <w:rPr>
          <w:rStyle w:val="365"/>
          <w:rFonts w:hint="eastAsia" w:ascii="宋体" w:hAnsi="宋体"/>
        </w:rPr>
        <w:t>辅材与系统集成</w:t>
      </w:r>
    </w:p>
    <w:p>
      <w:pPr>
        <w:pStyle w:val="49"/>
        <w:rPr>
          <w:color w:val="000000" w:themeColor="text1"/>
          <w:sz w:val="21"/>
          <w:szCs w:val="20"/>
          <w14:textFill>
            <w14:solidFill>
              <w14:schemeClr w14:val="tx1"/>
            </w14:solidFill>
          </w14:textFill>
        </w:rPr>
      </w:pPr>
      <w:r>
        <w:rPr>
          <w:color w:val="000000" w:themeColor="text1"/>
          <w:sz w:val="21"/>
          <w:szCs w:val="20"/>
          <w14:textFill>
            <w14:solidFill>
              <w14:schemeClr w14:val="tx1"/>
            </w14:solidFill>
          </w14:textFill>
        </w:rPr>
        <w:t>4.</w:t>
      </w:r>
      <w:r>
        <w:rPr>
          <w:rFonts w:hint="eastAsia"/>
          <w:color w:val="000000" w:themeColor="text1"/>
          <w:sz w:val="21"/>
          <w:szCs w:val="20"/>
          <w14:textFill>
            <w14:solidFill>
              <w14:schemeClr w14:val="tx1"/>
            </w14:solidFill>
          </w14:textFill>
        </w:rPr>
        <w:t>1</w:t>
      </w:r>
      <w:r>
        <w:rPr>
          <w:color w:val="000000" w:themeColor="text1"/>
          <w:sz w:val="21"/>
          <w:szCs w:val="20"/>
          <w14:textFill>
            <w14:solidFill>
              <w14:schemeClr w14:val="tx1"/>
            </w14:solidFill>
          </w14:textFill>
        </w:rPr>
        <w:t xml:space="preserve"> </w:t>
      </w:r>
      <w:r>
        <w:rPr>
          <w:rFonts w:hint="eastAsia"/>
          <w:color w:val="000000" w:themeColor="text1"/>
          <w:sz w:val="21"/>
          <w:szCs w:val="20"/>
          <w14:textFill>
            <w14:solidFill>
              <w14:schemeClr w14:val="tx1"/>
            </w14:solidFill>
          </w14:textFill>
        </w:rPr>
        <w:t>包含一套辅材与系统集成，具体辅材数量以项目实施现场需求为准。</w:t>
      </w:r>
    </w:p>
    <w:p>
      <w:pPr>
        <w:spacing w:line="360" w:lineRule="auto"/>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（1）★供应商应根据本技术需求书的要求，基于自己的</w:t>
      </w:r>
      <w:r>
        <w:rPr>
          <w:rFonts w:hint="eastAsia" w:ascii="宋体" w:hAnsi="宋体"/>
          <w:color w:val="000000" w:themeColor="text1"/>
          <w14:textFill>
            <w14:solidFill>
              <w14:schemeClr w14:val="tx1"/>
            </w14:solidFill>
          </w14:textFill>
        </w:rPr>
        <w:t>货物及/或服务</w:t>
      </w:r>
      <w:r>
        <w:rPr>
          <w:rFonts w:hint="eastAsia" w:ascii="宋体" w:hAnsi="宋体"/>
          <w:color w:val="000000" w:themeColor="text1"/>
          <w:szCs w:val="21"/>
          <w14:textFill>
            <w14:solidFill>
              <w14:schemeClr w14:val="tx1"/>
            </w14:solidFill>
          </w14:textFill>
        </w:rPr>
        <w:t>提供具体、完整的配置方案，供应商在响应文件中给出的集成服务，必须保证响应文件中各项性能和功能承诺指标的实现，在各种承诺业务功能同时启用时，不应影响性能和稳定性；</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应根据采购人的业务需求及相关的技术规范要求，在中标后合同签署前提出完整的项目管理、系统设计、工程培训、项目施工、项目验收、技术支持方案以及供应商人力资源供给方案并经采购人确认；</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（3）设备安装由供应商负责，系统内所有电缆及接头均由供应商提供并施工； </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（4）供应商负责对施工地点进行现场勘察，提供工程施工和相关安装资料，并负责指导采购人人员掌握和使用这些技术资料。供应商应提供下列各种详细资料：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A、各种设备机架（柜）外型尺寸、重量、面板布置、进出线方式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B、所需电源种类、功耗、电压、地线要求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C、机房荷重、环境要求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D、设备安装方式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E、设备、线缆、端口等的实施维护标识办法</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（5）安装调测时使用的工具、设备由供应商提供。双方应协商制定工程进度表，供应商负责按工程进度表进行施工。</w:t>
      </w:r>
    </w:p>
    <w:p>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设备调试由供应商负责，供应商调试前应提出完整的调试计划并经采购人确认，包括设备调试的内容、项目、指标、方法和进度，并提供相应的仪器和工具。供应商有责任对采购人的技术人员提出的问题做出解答。调试应进行详细记录，系统调试结束后，由供应商技术人员签字后交给采购人验收。</w:t>
      </w:r>
    </w:p>
    <w:bookmarkEnd w:id="15"/>
    <w:bookmarkEnd w:id="16"/>
    <w:bookmarkEnd w:id="17"/>
    <w:bookmarkEnd w:id="60"/>
    <w:bookmarkEnd w:id="61"/>
    <w:bookmarkEnd w:id="62"/>
    <w:p>
      <w:pPr>
        <w:spacing w:line="360" w:lineRule="auto"/>
        <w:ind w:firstLine="420" w:firstLineChars="200"/>
        <w:rPr>
          <w:rFonts w:eastAsia="黑体"/>
          <w:b/>
          <w:bCs/>
          <w:kern w:val="44"/>
          <w:sz w:val="36"/>
          <w:szCs w:val="36"/>
        </w:rPr>
      </w:pPr>
      <w:bookmarkStart w:id="63" w:name="_Toc69378657"/>
      <w:bookmarkStart w:id="64" w:name="_Toc502914229"/>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 竞争性磋商响应文件格式</w:t>
      </w:r>
      <w:bookmarkEnd w:id="63"/>
    </w:p>
    <w:p/>
    <w:p/>
    <w:p/>
    <w:p/>
    <w:p/>
    <w:p/>
    <w:p/>
    <w:p>
      <w:pPr>
        <w:jc w:val="center"/>
        <w:rPr>
          <w:rFonts w:ascii="宋体" w:hAnsi="宋体"/>
          <w:sz w:val="44"/>
          <w:szCs w:val="44"/>
        </w:rPr>
      </w:pPr>
      <w:bookmarkStart w:id="65" w:name="_Toc26259736"/>
      <w:r>
        <w:rPr>
          <w:rFonts w:hint="eastAsia" w:ascii="宋体" w:hAnsi="宋体"/>
          <w:sz w:val="44"/>
          <w:szCs w:val="44"/>
        </w:rPr>
        <w:t>江苏省广电有线信息网络股份有限公司</w:t>
      </w:r>
    </w:p>
    <w:bookmarkEnd w:id="65"/>
    <w:p>
      <w:pPr>
        <w:spacing w:after="120" w:line="360" w:lineRule="auto"/>
        <w:jc w:val="center"/>
        <w:rPr>
          <w:rFonts w:ascii="宋体" w:hAnsi="宋体"/>
          <w:sz w:val="44"/>
          <w:szCs w:val="44"/>
        </w:rPr>
      </w:pPr>
      <w:bookmarkStart w:id="66" w:name="_Hlk100847823"/>
      <w:r>
        <w:rPr>
          <w:rFonts w:hint="eastAsia" w:ascii="宋体" w:hAnsi="宋体"/>
          <w:sz w:val="44"/>
          <w:szCs w:val="44"/>
        </w:rPr>
        <w:t>IPv6/IPv4协议转换设备</w:t>
      </w:r>
      <w:bookmarkEnd w:id="66"/>
      <w:r>
        <w:rPr>
          <w:rFonts w:hint="eastAsia" w:ascii="宋体" w:hAnsi="宋体"/>
          <w:sz w:val="44"/>
          <w:szCs w:val="44"/>
        </w:rPr>
        <w:t>采购</w:t>
      </w:r>
    </w:p>
    <w:p>
      <w:pPr>
        <w:jc w:val="center"/>
        <w:rPr>
          <w:sz w:val="48"/>
          <w:szCs w:val="48"/>
        </w:rPr>
      </w:pPr>
    </w:p>
    <w:p/>
    <w:p>
      <w:pPr>
        <w:pStyle w:val="21"/>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1"/>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right="210" w:rightChars="100"/>
        <w:jc w:val="left"/>
        <w:rPr>
          <w:sz w:val="44"/>
          <w:szCs w:val="44"/>
        </w:rPr>
      </w:pPr>
    </w:p>
    <w:p>
      <w:pPr>
        <w:pStyle w:val="21"/>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67" w:name="_Toc69378658"/>
      <w:bookmarkStart w:id="68" w:name="_Toc472689687"/>
      <w:bookmarkStart w:id="69" w:name="_Toc26260030"/>
      <w:bookmarkStart w:id="70" w:name="_Toc26259737"/>
      <w:bookmarkStart w:id="71" w:name="_Toc529538374"/>
      <w:bookmarkStart w:id="72" w:name="_Toc438052118"/>
      <w:bookmarkStart w:id="73" w:name="_Toc447265603"/>
      <w:bookmarkStart w:id="74" w:name="_Toc447265317"/>
      <w:r>
        <w:rPr>
          <w:rFonts w:hint="eastAsia"/>
        </w:rPr>
        <w:t>评审索引表</w:t>
      </w:r>
      <w:bookmarkEnd w:id="67"/>
      <w:bookmarkEnd w:id="68"/>
      <w:bookmarkEnd w:id="69"/>
      <w:bookmarkEnd w:id="70"/>
      <w:bookmarkEnd w:id="71"/>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75" w:name="_Toc401216443"/>
      <w:bookmarkStart w:id="76" w:name="_Toc401133270"/>
      <w:bookmarkStart w:id="77" w:name="_Toc26260031"/>
      <w:bookmarkStart w:id="78" w:name="_Toc26259738"/>
      <w:bookmarkStart w:id="79" w:name="_Toc529538375"/>
      <w:bookmarkStart w:id="80" w:name="_Toc429954241"/>
      <w:bookmarkStart w:id="81" w:name="_Toc427071030"/>
      <w:bookmarkStart w:id="82" w:name="_Toc485737092"/>
      <w:bookmarkStart w:id="83" w:name="_Toc401151285"/>
    </w:p>
    <w:p>
      <w:pPr>
        <w:pStyle w:val="5"/>
        <w:spacing w:before="260" w:after="260" w:line="416" w:lineRule="auto"/>
        <w:jc w:val="center"/>
        <w:rPr>
          <w:rFonts w:ascii="宋体" w:hAnsi="宋体" w:eastAsia="宋体"/>
          <w:b/>
          <w:bCs/>
          <w:sz w:val="22"/>
          <w:szCs w:val="28"/>
        </w:rPr>
      </w:pPr>
      <w:bookmarkStart w:id="84" w:name="_Toc69378659"/>
      <w:r>
        <w:rPr>
          <w:rFonts w:hint="eastAsia" w:ascii="宋体" w:hAnsi="宋体" w:eastAsia="宋体"/>
          <w:b/>
          <w:bCs/>
          <w:sz w:val="22"/>
          <w:szCs w:val="28"/>
        </w:rPr>
        <w:t>初步</w:t>
      </w:r>
      <w:r>
        <w:rPr>
          <w:rFonts w:ascii="宋体" w:hAnsi="宋体" w:eastAsia="宋体"/>
          <w:b/>
          <w:bCs/>
          <w:sz w:val="22"/>
          <w:szCs w:val="28"/>
        </w:rPr>
        <w:t>评审索引表</w:t>
      </w:r>
      <w:bookmarkEnd w:id="75"/>
      <w:bookmarkEnd w:id="76"/>
      <w:bookmarkEnd w:id="77"/>
      <w:bookmarkEnd w:id="78"/>
      <w:bookmarkEnd w:id="79"/>
      <w:bookmarkEnd w:id="80"/>
      <w:bookmarkEnd w:id="81"/>
      <w:bookmarkEnd w:id="82"/>
      <w:bookmarkEnd w:id="83"/>
      <w:bookmarkEnd w:id="84"/>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85" w:name="_Toc26259739"/>
      <w:bookmarkStart w:id="86" w:name="_Toc69378660"/>
      <w:bookmarkStart w:id="87" w:name="_Toc26260032"/>
      <w:r>
        <w:rPr>
          <w:rFonts w:hint="eastAsia" w:ascii="宋体" w:hAnsi="宋体" w:eastAsia="宋体"/>
          <w:b/>
          <w:bCs/>
          <w:sz w:val="22"/>
          <w:szCs w:val="28"/>
        </w:rPr>
        <w:t>详细</w:t>
      </w:r>
      <w:r>
        <w:rPr>
          <w:rFonts w:ascii="宋体" w:hAnsi="宋体" w:eastAsia="宋体"/>
          <w:b/>
          <w:bCs/>
          <w:sz w:val="22"/>
          <w:szCs w:val="28"/>
        </w:rPr>
        <w:t>评审索引表</w:t>
      </w:r>
      <w:bookmarkEnd w:id="85"/>
      <w:bookmarkEnd w:id="86"/>
      <w:bookmarkEnd w:id="87"/>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72"/>
    <w:bookmarkEnd w:id="73"/>
    <w:bookmarkEnd w:id="74"/>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88" w:name="_Toc161767428"/>
      <w:bookmarkStart w:id="89" w:name="_Toc135999006"/>
      <w:bookmarkStart w:id="90" w:name="_Toc26260033"/>
      <w:bookmarkStart w:id="91" w:name="_Toc69378663"/>
      <w:bookmarkStart w:id="92" w:name="_Toc529538377"/>
      <w:bookmarkStart w:id="93" w:name="_Toc438052120"/>
      <w:bookmarkStart w:id="94"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88"/>
      <w:bookmarkEnd w:id="89"/>
      <w:r>
        <w:rPr>
          <w:rStyle w:val="106"/>
          <w:rFonts w:hint="eastAsia" w:hAnsi="宋体"/>
          <w:b w:val="0"/>
          <w:bCs w:val="0"/>
          <w:sz w:val="24"/>
          <w:szCs w:val="24"/>
        </w:rPr>
        <w:t>响应函</w:t>
      </w:r>
      <w:bookmarkEnd w:id="90"/>
      <w:bookmarkEnd w:id="91"/>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[5]</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w:t>
      </w:r>
      <w:r>
        <w:rPr>
          <w:rFonts w:hint="eastAsia" w:ascii="宋体" w:hAnsi="宋体" w:cs="宋体"/>
          <w:kern w:val="0"/>
          <w:sz w:val="24"/>
          <w:szCs w:val="22"/>
        </w:rPr>
        <w:t>具备完整的售后服务体系、具有快速响应维护能力，</w:t>
      </w:r>
      <w:r>
        <w:rPr>
          <w:rFonts w:hint="eastAsia" w:ascii="宋体" w:hAnsi="宋体"/>
          <w:sz w:val="24"/>
        </w:rPr>
        <w:t>具有较大规模的销售和售后服务的组织机构及完善快捷的技术支持能力，</w:t>
      </w:r>
      <w:r>
        <w:rPr>
          <w:rFonts w:hint="eastAsia" w:ascii="宋体" w:hAnsi="宋体" w:cs="宋体"/>
          <w:kern w:val="0"/>
          <w:sz w:val="24"/>
          <w:szCs w:val="22"/>
        </w:rPr>
        <w:t>拥有固定可靠的有效服务网点，</w:t>
      </w:r>
      <w:r>
        <w:rPr>
          <w:rFonts w:hint="eastAsia" w:ascii="宋体" w:hAnsi="宋体"/>
          <w:sz w:val="24"/>
        </w:rPr>
        <w:t>承诺中选后3</w:t>
      </w:r>
      <w:r>
        <w:rPr>
          <w:rFonts w:ascii="宋体" w:hAnsi="宋体"/>
          <w:sz w:val="24"/>
        </w:rPr>
        <w:t>0</w:t>
      </w:r>
      <w:r>
        <w:rPr>
          <w:rFonts w:hint="eastAsia" w:ascii="宋体" w:hAnsi="宋体"/>
          <w:sz w:val="24"/>
        </w:rPr>
        <w:t>天内在江苏</w:t>
      </w:r>
      <w:r>
        <w:rPr>
          <w:rFonts w:hint="eastAsia" w:ascii="宋体" w:hAnsi="宋体" w:cs="宋体"/>
          <w:kern w:val="0"/>
          <w:sz w:val="24"/>
          <w:szCs w:val="22"/>
        </w:rPr>
        <w:t>设立售后服务机构（根据实际情况）</w:t>
      </w:r>
      <w:r>
        <w:rPr>
          <w:rFonts w:hint="eastAsia" w:ascii="宋体" w:hAnsi="宋体"/>
          <w:sz w:val="24"/>
        </w:rPr>
        <w:t>。</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95" w:name="_Toc69378664"/>
      <w:bookmarkStart w:id="96" w:name="_Toc26260034"/>
      <w:bookmarkStart w:id="97"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95"/>
      <w:bookmarkEnd w:id="96"/>
      <w:bookmarkEnd w:id="97"/>
    </w:p>
    <w:p>
      <w:pPr>
        <w:spacing w:line="360" w:lineRule="auto"/>
      </w:pPr>
      <w:r>
        <w:t>项目名称：</w:t>
      </w:r>
      <w:r>
        <w:rPr>
          <w:rFonts w:hint="eastAsia" w:ascii="宋体" w:hAnsi="宋体"/>
          <w:sz w:val="24"/>
        </w:rPr>
        <w:t>IPv6/IPv4协议转换设备</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内容</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3402"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I</w:t>
            </w:r>
            <w:r>
              <w:rPr>
                <w:rFonts w:ascii="宋体" w:hAnsi="宋体" w:cs="宋体"/>
                <w:kern w:val="0"/>
                <w:szCs w:val="21"/>
              </w:rPr>
              <w:t>Pv6/IPv4</w:t>
            </w:r>
            <w:r>
              <w:rPr>
                <w:rFonts w:hint="eastAsia" w:ascii="宋体" w:hAnsi="宋体" w:cs="宋体"/>
                <w:kern w:val="0"/>
                <w:szCs w:val="21"/>
              </w:rPr>
              <w:t>协议转换设备</w:t>
            </w:r>
          </w:p>
        </w:tc>
        <w:tc>
          <w:tcPr>
            <w:tcW w:w="2410" w:type="dxa"/>
            <w:vAlign w:val="center"/>
          </w:tcPr>
          <w:p>
            <w:pPr>
              <w:jc w:val="center"/>
              <w:rPr>
                <w:sz w:val="18"/>
                <w:szCs w:val="18"/>
              </w:rPr>
            </w:pPr>
          </w:p>
        </w:tc>
        <w:tc>
          <w:tcPr>
            <w:tcW w:w="850" w:type="dxa"/>
            <w:vAlign w:val="center"/>
          </w:tcPr>
          <w:p>
            <w:pPr>
              <w:jc w:val="center"/>
              <w:rPr>
                <w:szCs w:val="21"/>
              </w:rPr>
            </w:pPr>
            <w:r>
              <w:rPr>
                <w:szCs w:val="21"/>
              </w:rPr>
              <w:t>2</w:t>
            </w:r>
            <w:r>
              <w:rPr>
                <w:rFonts w:hint="eastAsia"/>
                <w:szCs w:val="21"/>
              </w:rPr>
              <w:t>台</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I</w:t>
            </w:r>
            <w:r>
              <w:rPr>
                <w:rFonts w:ascii="宋体" w:hAnsi="宋体" w:cs="宋体"/>
                <w:kern w:val="0"/>
                <w:szCs w:val="21"/>
              </w:rPr>
              <w:t>Pv6</w:t>
            </w:r>
            <w:r>
              <w:rPr>
                <w:rFonts w:hint="eastAsia" w:ascii="宋体" w:hAnsi="宋体" w:cs="宋体"/>
                <w:kern w:val="0"/>
                <w:szCs w:val="21"/>
              </w:rPr>
              <w:t>支持度监测服务</w:t>
            </w:r>
          </w:p>
        </w:tc>
        <w:tc>
          <w:tcPr>
            <w:tcW w:w="2410" w:type="dxa"/>
            <w:vAlign w:val="center"/>
          </w:tcPr>
          <w:p>
            <w:pPr>
              <w:jc w:val="center"/>
              <w:rPr>
                <w:sz w:val="18"/>
                <w:szCs w:val="18"/>
              </w:rPr>
            </w:pPr>
          </w:p>
        </w:tc>
        <w:tc>
          <w:tcPr>
            <w:tcW w:w="850" w:type="dxa"/>
            <w:vAlign w:val="center"/>
          </w:tcPr>
          <w:p>
            <w:pPr>
              <w:jc w:val="center"/>
              <w:rPr>
                <w:szCs w:val="21"/>
              </w:rPr>
            </w:pPr>
            <w:r>
              <w:rPr>
                <w:rFonts w:hint="eastAsia"/>
                <w:szCs w:val="21"/>
              </w:rPr>
              <w:t>1项</w:t>
            </w:r>
          </w:p>
        </w:tc>
        <w:tc>
          <w:tcPr>
            <w:tcW w:w="3402"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bookmarkStart w:id="98" w:name="_Hlk102052744"/>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ascii="宋体" w:hAnsi="宋体"/>
                <w:color w:val="000000" w:themeColor="text1"/>
                <w:szCs w:val="21"/>
                <w14:textFill>
                  <w14:solidFill>
                    <w14:schemeClr w14:val="tx1"/>
                  </w14:solidFill>
                </w14:textFill>
              </w:rPr>
              <w:t>15</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4"/>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4"/>
          </w:tcPr>
          <w:p>
            <w:pPr>
              <w:rPr>
                <w:rFonts w:ascii="宋体" w:hAnsi="宋体" w:cs="宋体"/>
              </w:rPr>
            </w:pPr>
          </w:p>
        </w:tc>
      </w:tr>
    </w:tbl>
    <w:p/>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rPr>
          <w:szCs w:val="24"/>
          <w:u w:val="single"/>
        </w:rPr>
      </w:pPr>
      <w:r>
        <w:rPr>
          <w:rFonts w:hint="eastAsia"/>
        </w:rPr>
        <w:br w:type="page"/>
      </w:r>
      <w:bookmarkStart w:id="99" w:name="_Toc26259742"/>
      <w:bookmarkStart w:id="100" w:name="_Toc26260036"/>
      <w:bookmarkStart w:id="101" w:name="_Toc161767431"/>
      <w:bookmarkStart w:id="102" w:name="_Toc69378666"/>
      <w:bookmarkStart w:id="103" w:name="_Toc135999010"/>
      <w:bookmarkStart w:id="104" w:name="_Toc69378665"/>
      <w:bookmarkStart w:id="105" w:name="_Toc26260035"/>
      <w:bookmarkStart w:id="106" w:name="_Toc26259741"/>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99"/>
      <w:bookmarkEnd w:id="100"/>
      <w:bookmarkEnd w:id="101"/>
      <w:bookmarkEnd w:id="102"/>
      <w:bookmarkEnd w:id="103"/>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104"/>
      <w:bookmarkEnd w:id="105"/>
      <w:bookmarkEnd w:id="106"/>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7" w:name="_Toc26259743"/>
      <w:bookmarkStart w:id="108" w:name="_Toc26260037"/>
      <w:bookmarkStart w:id="109" w:name="_Toc6937866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107"/>
      <w:bookmarkEnd w:id="108"/>
      <w:bookmarkEnd w:id="109"/>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供应商名称：</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采购编号：</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110" w:name="_Toc26260038"/>
      <w:bookmarkStart w:id="111" w:name="_Toc161767433"/>
      <w:bookmarkStart w:id="112" w:name="_Toc69378668"/>
      <w:bookmarkStart w:id="113" w:name="_Toc135999012"/>
      <w:bookmarkStart w:id="114" w:name="_Toc26259744"/>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110"/>
      <w:bookmarkEnd w:id="111"/>
      <w:bookmarkEnd w:id="112"/>
      <w:bookmarkEnd w:id="113"/>
      <w:bookmarkEnd w:id="114"/>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3"/>
        </w:numPr>
        <w:spacing w:line="360" w:lineRule="auto"/>
        <w:rPr>
          <w:rFonts w:ascii="宋体"/>
          <w:szCs w:val="21"/>
        </w:rPr>
      </w:pPr>
      <w:r>
        <w:rPr>
          <w:rFonts w:hint="eastAsia" w:ascii="宋体"/>
          <w:szCs w:val="21"/>
        </w:rPr>
        <w:t>供应商应填写和提交下述规定的全部格式以及其它有关资料。</w:t>
      </w:r>
    </w:p>
    <w:p>
      <w:pPr>
        <w:numPr>
          <w:ilvl w:val="0"/>
          <w:numId w:val="23"/>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3"/>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3"/>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3"/>
        </w:numPr>
        <w:spacing w:line="360" w:lineRule="auto"/>
        <w:rPr>
          <w:rFonts w:ascii="宋体"/>
          <w:szCs w:val="21"/>
        </w:rPr>
      </w:pPr>
      <w:r>
        <w:rPr>
          <w:rFonts w:hint="eastAsia" w:ascii="宋体"/>
          <w:szCs w:val="21"/>
        </w:rPr>
        <w:t>供应商提交的材料将被保密，但不退还。</w:t>
      </w:r>
    </w:p>
    <w:p>
      <w:pPr>
        <w:numPr>
          <w:ilvl w:val="0"/>
          <w:numId w:val="23"/>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4"/>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4"/>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4"/>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5"/>
        </w:numPr>
        <w:spacing w:line="360" w:lineRule="auto"/>
        <w:rPr>
          <w:rFonts w:ascii="宋体" w:hAnsi="宋体"/>
          <w:szCs w:val="21"/>
          <w:u w:val="single"/>
        </w:rPr>
      </w:pPr>
      <w:r>
        <w:rPr>
          <w:rFonts w:hint="eastAsia" w:ascii="宋体" w:hAnsi="宋体"/>
          <w:szCs w:val="21"/>
        </w:rPr>
        <w:t>供应商名称：</w:t>
      </w:r>
    </w:p>
    <w:p>
      <w:pPr>
        <w:numPr>
          <w:ilvl w:val="0"/>
          <w:numId w:val="25"/>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5"/>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5"/>
        </w:numPr>
        <w:spacing w:line="360" w:lineRule="auto"/>
        <w:rPr>
          <w:rFonts w:ascii="宋体" w:hAnsi="宋体"/>
          <w:szCs w:val="21"/>
        </w:rPr>
      </w:pPr>
      <w:r>
        <w:rPr>
          <w:rFonts w:hint="eastAsia" w:ascii="宋体" w:hAnsi="宋体"/>
          <w:szCs w:val="21"/>
        </w:rPr>
        <w:t>实收资本：</w:t>
      </w:r>
    </w:p>
    <w:p>
      <w:pPr>
        <w:numPr>
          <w:ilvl w:val="0"/>
          <w:numId w:val="25"/>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5"/>
        </w:numPr>
        <w:spacing w:line="360" w:lineRule="auto"/>
        <w:rPr>
          <w:rFonts w:ascii="宋体" w:hAnsi="宋体"/>
          <w:szCs w:val="21"/>
          <w:u w:val="single"/>
        </w:rPr>
      </w:pPr>
      <w:r>
        <w:rPr>
          <w:rFonts w:hint="eastAsia" w:ascii="宋体" w:hAnsi="宋体"/>
          <w:szCs w:val="21"/>
        </w:rPr>
        <w:t>主要负责人名称：（可选填）</w:t>
      </w:r>
    </w:p>
    <w:p>
      <w:pPr>
        <w:numPr>
          <w:ilvl w:val="0"/>
          <w:numId w:val="25"/>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5"/>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5"/>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5"/>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15" w:name="_Toc26259745"/>
      <w:bookmarkStart w:id="116" w:name="_Toc26260039"/>
      <w:bookmarkStart w:id="117" w:name="_Toc6937866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115"/>
      <w:bookmarkEnd w:id="116"/>
      <w:bookmarkEnd w:id="117"/>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rPr>
          <w:i/>
        </w:rPr>
      </w:pPr>
      <w:r>
        <w:rPr>
          <w:rFonts w:hint="eastAsia"/>
        </w:rPr>
        <w:t>供应商</w:t>
      </w:r>
      <w:r>
        <w:t>名称（公章）：</w:t>
      </w:r>
      <w:r>
        <w:rPr>
          <w:rFonts w:hint="eastAsia"/>
        </w:rPr>
        <w:t>供应商</w:t>
      </w:r>
      <w:r>
        <w:t>代表签字</w:t>
      </w:r>
      <w:r>
        <w:rPr>
          <w:u w:val="single"/>
        </w:rPr>
        <w:t>：</w:t>
      </w:r>
    </w:p>
    <w:p>
      <w:pPr>
        <w:spacing w:line="480" w:lineRule="auto"/>
      </w:pPr>
      <w:r>
        <w:t>填表说明：1</w:t>
      </w:r>
      <w:r>
        <w:rPr>
          <w:rFonts w:hint="eastAsia"/>
        </w:rPr>
        <w:t>.供应商须根据合格供应商和评审办法关于业绩的要求，在响应文件中如实提供相应数量的合同复印件或其它证明文件。</w:t>
      </w:r>
    </w:p>
    <w:p>
      <w:pPr>
        <w:spacing w:line="48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64"/>
      <w:bookmarkEnd w:id="92"/>
      <w:bookmarkEnd w:id="93"/>
      <w:bookmarkEnd w:id="94"/>
    </w:p>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23</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4">
    <w:nsid w:val="7B7503BE"/>
    <w:multiLevelType w:val="multilevel"/>
    <w:tmpl w:val="7B7503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8"/>
  </w:num>
  <w:num w:numId="3">
    <w:abstractNumId w:val="8"/>
  </w:num>
  <w:num w:numId="4">
    <w:abstractNumId w:val="4"/>
  </w:num>
  <w:num w:numId="5">
    <w:abstractNumId w:val="17"/>
  </w:num>
  <w:num w:numId="6">
    <w:abstractNumId w:val="24"/>
  </w:num>
  <w:num w:numId="7">
    <w:abstractNumId w:val="3"/>
  </w:num>
  <w:num w:numId="8">
    <w:abstractNumId w:val="1"/>
  </w:num>
  <w:num w:numId="9">
    <w:abstractNumId w:val="0"/>
  </w:num>
  <w:num w:numId="10">
    <w:abstractNumId w:val="6"/>
  </w:num>
  <w:num w:numId="11">
    <w:abstractNumId w:val="2"/>
  </w:num>
  <w:num w:numId="12">
    <w:abstractNumId w:val="5"/>
  </w:num>
  <w:num w:numId="13">
    <w:abstractNumId w:val="7"/>
  </w:num>
  <w:num w:numId="14">
    <w:abstractNumId w:val="19"/>
  </w:num>
  <w:num w:numId="15">
    <w:abstractNumId w:val="23"/>
  </w:num>
  <w:num w:numId="16">
    <w:abstractNumId w:val="12"/>
  </w:num>
  <w:num w:numId="17">
    <w:abstractNumId w:val="10"/>
  </w:num>
  <w:num w:numId="18">
    <w:abstractNumId w:val="11"/>
  </w:num>
  <w:num w:numId="19">
    <w:abstractNumId w:val="9"/>
  </w:num>
  <w:num w:numId="20">
    <w:abstractNumId w:val="13"/>
  </w:num>
  <w:num w:numId="21">
    <w:abstractNumId w:val="14"/>
  </w:num>
  <w:num w:numId="22">
    <w:abstractNumId w:val="22"/>
  </w:num>
  <w:num w:numId="23">
    <w:abstractNumId w:val="15"/>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55"/>
    <w:rsid w:val="0000165B"/>
    <w:rsid w:val="00002668"/>
    <w:rsid w:val="00002D14"/>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3EFE"/>
    <w:rsid w:val="00034705"/>
    <w:rsid w:val="0003496A"/>
    <w:rsid w:val="00035296"/>
    <w:rsid w:val="000352DD"/>
    <w:rsid w:val="000365EA"/>
    <w:rsid w:val="00037097"/>
    <w:rsid w:val="00037954"/>
    <w:rsid w:val="00040F17"/>
    <w:rsid w:val="00041779"/>
    <w:rsid w:val="00042584"/>
    <w:rsid w:val="00045744"/>
    <w:rsid w:val="00045A14"/>
    <w:rsid w:val="00051071"/>
    <w:rsid w:val="0005189A"/>
    <w:rsid w:val="00053058"/>
    <w:rsid w:val="00053A52"/>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471E"/>
    <w:rsid w:val="00117CA9"/>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24F4"/>
    <w:rsid w:val="001437EE"/>
    <w:rsid w:val="001453C5"/>
    <w:rsid w:val="00147621"/>
    <w:rsid w:val="00147FB5"/>
    <w:rsid w:val="00150FE4"/>
    <w:rsid w:val="00151447"/>
    <w:rsid w:val="00151FAB"/>
    <w:rsid w:val="0015329D"/>
    <w:rsid w:val="00154AE8"/>
    <w:rsid w:val="00154B29"/>
    <w:rsid w:val="00154BF3"/>
    <w:rsid w:val="00154CBB"/>
    <w:rsid w:val="00156879"/>
    <w:rsid w:val="0015708F"/>
    <w:rsid w:val="00157313"/>
    <w:rsid w:val="001609CF"/>
    <w:rsid w:val="001618E3"/>
    <w:rsid w:val="00161FB9"/>
    <w:rsid w:val="00162672"/>
    <w:rsid w:val="00162D92"/>
    <w:rsid w:val="00163258"/>
    <w:rsid w:val="001636DE"/>
    <w:rsid w:val="0016388E"/>
    <w:rsid w:val="00163E91"/>
    <w:rsid w:val="001659CD"/>
    <w:rsid w:val="00167A90"/>
    <w:rsid w:val="001708C4"/>
    <w:rsid w:val="00171FDA"/>
    <w:rsid w:val="00172446"/>
    <w:rsid w:val="00172B39"/>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AD8"/>
    <w:rsid w:val="001B5F1D"/>
    <w:rsid w:val="001B761F"/>
    <w:rsid w:val="001C00DC"/>
    <w:rsid w:val="001C100F"/>
    <w:rsid w:val="001C2886"/>
    <w:rsid w:val="001C32A3"/>
    <w:rsid w:val="001C3919"/>
    <w:rsid w:val="001C5180"/>
    <w:rsid w:val="001C598B"/>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134"/>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32E"/>
    <w:rsid w:val="002273BE"/>
    <w:rsid w:val="00227DB7"/>
    <w:rsid w:val="002322AB"/>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3946"/>
    <w:rsid w:val="00263ECA"/>
    <w:rsid w:val="00265008"/>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791B"/>
    <w:rsid w:val="002912E5"/>
    <w:rsid w:val="00293EF5"/>
    <w:rsid w:val="00296281"/>
    <w:rsid w:val="00296FB0"/>
    <w:rsid w:val="002977C3"/>
    <w:rsid w:val="002A09B2"/>
    <w:rsid w:val="002A18B6"/>
    <w:rsid w:val="002A20BE"/>
    <w:rsid w:val="002A31A6"/>
    <w:rsid w:val="002A398F"/>
    <w:rsid w:val="002A57B4"/>
    <w:rsid w:val="002A63D6"/>
    <w:rsid w:val="002A6A43"/>
    <w:rsid w:val="002A6ADA"/>
    <w:rsid w:val="002A77CF"/>
    <w:rsid w:val="002B07CB"/>
    <w:rsid w:val="002B271D"/>
    <w:rsid w:val="002B274E"/>
    <w:rsid w:val="002B3E52"/>
    <w:rsid w:val="002C0317"/>
    <w:rsid w:val="002C1A9F"/>
    <w:rsid w:val="002C1F7C"/>
    <w:rsid w:val="002C4DE8"/>
    <w:rsid w:val="002C547D"/>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66EF"/>
    <w:rsid w:val="003109D7"/>
    <w:rsid w:val="00310C07"/>
    <w:rsid w:val="00311B3A"/>
    <w:rsid w:val="00311FBD"/>
    <w:rsid w:val="0031392C"/>
    <w:rsid w:val="003179F8"/>
    <w:rsid w:val="00317C08"/>
    <w:rsid w:val="0032052D"/>
    <w:rsid w:val="003225E3"/>
    <w:rsid w:val="00323914"/>
    <w:rsid w:val="00324A2F"/>
    <w:rsid w:val="00325CE2"/>
    <w:rsid w:val="003305F0"/>
    <w:rsid w:val="00331D34"/>
    <w:rsid w:val="00332EBF"/>
    <w:rsid w:val="003336F4"/>
    <w:rsid w:val="0033591B"/>
    <w:rsid w:val="00336DFE"/>
    <w:rsid w:val="00340248"/>
    <w:rsid w:val="003411C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41FE"/>
    <w:rsid w:val="003743A8"/>
    <w:rsid w:val="00374FD7"/>
    <w:rsid w:val="00375173"/>
    <w:rsid w:val="00375782"/>
    <w:rsid w:val="00380A80"/>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58D8"/>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6A17"/>
    <w:rsid w:val="003E794B"/>
    <w:rsid w:val="003E7A69"/>
    <w:rsid w:val="003F0D93"/>
    <w:rsid w:val="003F216D"/>
    <w:rsid w:val="003F360C"/>
    <w:rsid w:val="003F60F1"/>
    <w:rsid w:val="003F6412"/>
    <w:rsid w:val="00400138"/>
    <w:rsid w:val="00400873"/>
    <w:rsid w:val="004011D2"/>
    <w:rsid w:val="004055F1"/>
    <w:rsid w:val="00405B38"/>
    <w:rsid w:val="00407BD1"/>
    <w:rsid w:val="00407EEE"/>
    <w:rsid w:val="0041014B"/>
    <w:rsid w:val="00410A41"/>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3075"/>
    <w:rsid w:val="00453CED"/>
    <w:rsid w:val="00457347"/>
    <w:rsid w:val="00457459"/>
    <w:rsid w:val="00460414"/>
    <w:rsid w:val="00460838"/>
    <w:rsid w:val="004611AD"/>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2CA0"/>
    <w:rsid w:val="00492EF4"/>
    <w:rsid w:val="00493168"/>
    <w:rsid w:val="0049373E"/>
    <w:rsid w:val="00494435"/>
    <w:rsid w:val="00494AEA"/>
    <w:rsid w:val="00495459"/>
    <w:rsid w:val="0049606A"/>
    <w:rsid w:val="0049659C"/>
    <w:rsid w:val="004968D2"/>
    <w:rsid w:val="004A0AAD"/>
    <w:rsid w:val="004A2717"/>
    <w:rsid w:val="004A2DF6"/>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48F0"/>
    <w:rsid w:val="004C5137"/>
    <w:rsid w:val="004C6542"/>
    <w:rsid w:val="004D0B16"/>
    <w:rsid w:val="004D0C03"/>
    <w:rsid w:val="004D0FD1"/>
    <w:rsid w:val="004D1790"/>
    <w:rsid w:val="004D1F26"/>
    <w:rsid w:val="004D2528"/>
    <w:rsid w:val="004D28EA"/>
    <w:rsid w:val="004D38A6"/>
    <w:rsid w:val="004D39FE"/>
    <w:rsid w:val="004D3A64"/>
    <w:rsid w:val="004D46CB"/>
    <w:rsid w:val="004D4E05"/>
    <w:rsid w:val="004D5644"/>
    <w:rsid w:val="004D7389"/>
    <w:rsid w:val="004D7421"/>
    <w:rsid w:val="004E484D"/>
    <w:rsid w:val="004E486F"/>
    <w:rsid w:val="004E645E"/>
    <w:rsid w:val="004E75CF"/>
    <w:rsid w:val="004F14FA"/>
    <w:rsid w:val="004F1E70"/>
    <w:rsid w:val="004F2CA5"/>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075F"/>
    <w:rsid w:val="00561407"/>
    <w:rsid w:val="00562135"/>
    <w:rsid w:val="005628ED"/>
    <w:rsid w:val="005630C9"/>
    <w:rsid w:val="00563240"/>
    <w:rsid w:val="005637E0"/>
    <w:rsid w:val="00566416"/>
    <w:rsid w:val="0056656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53F6"/>
    <w:rsid w:val="005A6F6C"/>
    <w:rsid w:val="005A732E"/>
    <w:rsid w:val="005B0720"/>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C6C09"/>
    <w:rsid w:val="005C7808"/>
    <w:rsid w:val="005D0D2A"/>
    <w:rsid w:val="005D25EE"/>
    <w:rsid w:val="005D7701"/>
    <w:rsid w:val="005D7D9C"/>
    <w:rsid w:val="005E0D66"/>
    <w:rsid w:val="005E1371"/>
    <w:rsid w:val="005E1417"/>
    <w:rsid w:val="005E1BAA"/>
    <w:rsid w:val="005E1FD8"/>
    <w:rsid w:val="005E30A9"/>
    <w:rsid w:val="005E42DC"/>
    <w:rsid w:val="005E447F"/>
    <w:rsid w:val="005E4B3B"/>
    <w:rsid w:val="005E66F2"/>
    <w:rsid w:val="005E69F1"/>
    <w:rsid w:val="005E739F"/>
    <w:rsid w:val="005E7520"/>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B3"/>
    <w:rsid w:val="0061368D"/>
    <w:rsid w:val="00613AF8"/>
    <w:rsid w:val="00613BB9"/>
    <w:rsid w:val="00614B61"/>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4E77"/>
    <w:rsid w:val="0065606C"/>
    <w:rsid w:val="00656628"/>
    <w:rsid w:val="006609AE"/>
    <w:rsid w:val="006617C2"/>
    <w:rsid w:val="006620D5"/>
    <w:rsid w:val="00662A9F"/>
    <w:rsid w:val="0066348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5F82"/>
    <w:rsid w:val="00687D68"/>
    <w:rsid w:val="006906EF"/>
    <w:rsid w:val="00690B82"/>
    <w:rsid w:val="00695D8D"/>
    <w:rsid w:val="00696195"/>
    <w:rsid w:val="00696B7F"/>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7742"/>
    <w:rsid w:val="006C236D"/>
    <w:rsid w:val="006C3531"/>
    <w:rsid w:val="006C5446"/>
    <w:rsid w:val="006C5828"/>
    <w:rsid w:val="006C6482"/>
    <w:rsid w:val="006C65C2"/>
    <w:rsid w:val="006C75C7"/>
    <w:rsid w:val="006C7D48"/>
    <w:rsid w:val="006D0F80"/>
    <w:rsid w:val="006D11FE"/>
    <w:rsid w:val="006D13F8"/>
    <w:rsid w:val="006D15BA"/>
    <w:rsid w:val="006D16E4"/>
    <w:rsid w:val="006D19BC"/>
    <w:rsid w:val="006D22B8"/>
    <w:rsid w:val="006D410F"/>
    <w:rsid w:val="006D66F4"/>
    <w:rsid w:val="006D7210"/>
    <w:rsid w:val="006E06C0"/>
    <w:rsid w:val="006E230F"/>
    <w:rsid w:val="006E32DB"/>
    <w:rsid w:val="006E38B9"/>
    <w:rsid w:val="006E43A2"/>
    <w:rsid w:val="006E7D5D"/>
    <w:rsid w:val="006F0B9C"/>
    <w:rsid w:val="006F0D0A"/>
    <w:rsid w:val="006F2EB0"/>
    <w:rsid w:val="006F34DE"/>
    <w:rsid w:val="006F7226"/>
    <w:rsid w:val="006F7AB0"/>
    <w:rsid w:val="00700BFB"/>
    <w:rsid w:val="00701C14"/>
    <w:rsid w:val="007021A9"/>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AFA"/>
    <w:rsid w:val="007238D5"/>
    <w:rsid w:val="00726076"/>
    <w:rsid w:val="007275F8"/>
    <w:rsid w:val="00727962"/>
    <w:rsid w:val="00727BC4"/>
    <w:rsid w:val="00727BFE"/>
    <w:rsid w:val="0073257C"/>
    <w:rsid w:val="007333EB"/>
    <w:rsid w:val="007349E8"/>
    <w:rsid w:val="007365B8"/>
    <w:rsid w:val="00736CC6"/>
    <w:rsid w:val="00736D87"/>
    <w:rsid w:val="00737C7F"/>
    <w:rsid w:val="00737CB1"/>
    <w:rsid w:val="00740DA3"/>
    <w:rsid w:val="0074209F"/>
    <w:rsid w:val="0074255B"/>
    <w:rsid w:val="007431B7"/>
    <w:rsid w:val="00744032"/>
    <w:rsid w:val="007462FA"/>
    <w:rsid w:val="00747804"/>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D68"/>
    <w:rsid w:val="00774A4B"/>
    <w:rsid w:val="0077591D"/>
    <w:rsid w:val="007766B9"/>
    <w:rsid w:val="007801B9"/>
    <w:rsid w:val="0078061D"/>
    <w:rsid w:val="007819BB"/>
    <w:rsid w:val="00782301"/>
    <w:rsid w:val="00783925"/>
    <w:rsid w:val="007842B2"/>
    <w:rsid w:val="007853CA"/>
    <w:rsid w:val="00786912"/>
    <w:rsid w:val="00786CF4"/>
    <w:rsid w:val="00786E0B"/>
    <w:rsid w:val="00787E47"/>
    <w:rsid w:val="00787F31"/>
    <w:rsid w:val="00790301"/>
    <w:rsid w:val="00791C53"/>
    <w:rsid w:val="007924EF"/>
    <w:rsid w:val="00793ADF"/>
    <w:rsid w:val="00793EA0"/>
    <w:rsid w:val="00793ECA"/>
    <w:rsid w:val="00794E01"/>
    <w:rsid w:val="00796145"/>
    <w:rsid w:val="007977A5"/>
    <w:rsid w:val="00797849"/>
    <w:rsid w:val="007A0B2F"/>
    <w:rsid w:val="007A1357"/>
    <w:rsid w:val="007A1F68"/>
    <w:rsid w:val="007A23B5"/>
    <w:rsid w:val="007A29EC"/>
    <w:rsid w:val="007A415D"/>
    <w:rsid w:val="007A4915"/>
    <w:rsid w:val="007B09F9"/>
    <w:rsid w:val="007B0CB5"/>
    <w:rsid w:val="007B17F8"/>
    <w:rsid w:val="007B3937"/>
    <w:rsid w:val="007B3C00"/>
    <w:rsid w:val="007C12AF"/>
    <w:rsid w:val="007C2A0A"/>
    <w:rsid w:val="007C33BF"/>
    <w:rsid w:val="007C489B"/>
    <w:rsid w:val="007C4B99"/>
    <w:rsid w:val="007C5342"/>
    <w:rsid w:val="007C5B87"/>
    <w:rsid w:val="007C73A6"/>
    <w:rsid w:val="007C7554"/>
    <w:rsid w:val="007C7834"/>
    <w:rsid w:val="007C7918"/>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70FF"/>
    <w:rsid w:val="008120B6"/>
    <w:rsid w:val="008128A7"/>
    <w:rsid w:val="00812920"/>
    <w:rsid w:val="008144DF"/>
    <w:rsid w:val="00815478"/>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273E"/>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346"/>
    <w:rsid w:val="008A4A45"/>
    <w:rsid w:val="008A5CCB"/>
    <w:rsid w:val="008A63DF"/>
    <w:rsid w:val="008A64FB"/>
    <w:rsid w:val="008A6678"/>
    <w:rsid w:val="008A687B"/>
    <w:rsid w:val="008A7101"/>
    <w:rsid w:val="008A78FF"/>
    <w:rsid w:val="008B016E"/>
    <w:rsid w:val="008B081C"/>
    <w:rsid w:val="008B0D09"/>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0285"/>
    <w:rsid w:val="008E18CA"/>
    <w:rsid w:val="008E22E5"/>
    <w:rsid w:val="008E2B17"/>
    <w:rsid w:val="008E40DA"/>
    <w:rsid w:val="008E4215"/>
    <w:rsid w:val="008E5067"/>
    <w:rsid w:val="008E65A4"/>
    <w:rsid w:val="008F0E2E"/>
    <w:rsid w:val="008F1C28"/>
    <w:rsid w:val="008F49E2"/>
    <w:rsid w:val="008F6F63"/>
    <w:rsid w:val="008F7F90"/>
    <w:rsid w:val="0090066A"/>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1880"/>
    <w:rsid w:val="009540B2"/>
    <w:rsid w:val="0095523A"/>
    <w:rsid w:val="009565F7"/>
    <w:rsid w:val="009577FB"/>
    <w:rsid w:val="00960216"/>
    <w:rsid w:val="00960257"/>
    <w:rsid w:val="009603FE"/>
    <w:rsid w:val="00961795"/>
    <w:rsid w:val="00962378"/>
    <w:rsid w:val="00963201"/>
    <w:rsid w:val="00963D0F"/>
    <w:rsid w:val="00963DEF"/>
    <w:rsid w:val="00964591"/>
    <w:rsid w:val="0096591F"/>
    <w:rsid w:val="0096693D"/>
    <w:rsid w:val="0097126D"/>
    <w:rsid w:val="00971644"/>
    <w:rsid w:val="009732CC"/>
    <w:rsid w:val="0097335B"/>
    <w:rsid w:val="00973A50"/>
    <w:rsid w:val="00974409"/>
    <w:rsid w:val="00974A07"/>
    <w:rsid w:val="00975573"/>
    <w:rsid w:val="00975F28"/>
    <w:rsid w:val="009770E2"/>
    <w:rsid w:val="0097735E"/>
    <w:rsid w:val="00981266"/>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8A1"/>
    <w:rsid w:val="009C0F6A"/>
    <w:rsid w:val="009C1119"/>
    <w:rsid w:val="009C1A8B"/>
    <w:rsid w:val="009C1EAD"/>
    <w:rsid w:val="009C3607"/>
    <w:rsid w:val="009C3D7A"/>
    <w:rsid w:val="009C4F5A"/>
    <w:rsid w:val="009C60B7"/>
    <w:rsid w:val="009C6B3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361"/>
    <w:rsid w:val="00A0349B"/>
    <w:rsid w:val="00A03B76"/>
    <w:rsid w:val="00A03EDC"/>
    <w:rsid w:val="00A05147"/>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640"/>
    <w:rsid w:val="00AB4EBB"/>
    <w:rsid w:val="00AB6417"/>
    <w:rsid w:val="00AB7849"/>
    <w:rsid w:val="00AC0C97"/>
    <w:rsid w:val="00AC294F"/>
    <w:rsid w:val="00AC2985"/>
    <w:rsid w:val="00AC52E0"/>
    <w:rsid w:val="00AC6A2F"/>
    <w:rsid w:val="00AC6A3E"/>
    <w:rsid w:val="00AD12F9"/>
    <w:rsid w:val="00AD1D21"/>
    <w:rsid w:val="00AD2E07"/>
    <w:rsid w:val="00AD347F"/>
    <w:rsid w:val="00AD362D"/>
    <w:rsid w:val="00AD4820"/>
    <w:rsid w:val="00AD4838"/>
    <w:rsid w:val="00AD648C"/>
    <w:rsid w:val="00AD6C2E"/>
    <w:rsid w:val="00AD6CA1"/>
    <w:rsid w:val="00AD73AD"/>
    <w:rsid w:val="00AD7C3E"/>
    <w:rsid w:val="00AE15DA"/>
    <w:rsid w:val="00AE1C08"/>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651"/>
    <w:rsid w:val="00B20AFF"/>
    <w:rsid w:val="00B232C2"/>
    <w:rsid w:val="00B2443F"/>
    <w:rsid w:val="00B27F15"/>
    <w:rsid w:val="00B3059B"/>
    <w:rsid w:val="00B32917"/>
    <w:rsid w:val="00B32C50"/>
    <w:rsid w:val="00B3314B"/>
    <w:rsid w:val="00B36610"/>
    <w:rsid w:val="00B36A21"/>
    <w:rsid w:val="00B37CF6"/>
    <w:rsid w:val="00B412A6"/>
    <w:rsid w:val="00B4395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668"/>
    <w:rsid w:val="00B71A2D"/>
    <w:rsid w:val="00B73931"/>
    <w:rsid w:val="00B764D5"/>
    <w:rsid w:val="00B76C86"/>
    <w:rsid w:val="00B77704"/>
    <w:rsid w:val="00B80ED8"/>
    <w:rsid w:val="00B82CCF"/>
    <w:rsid w:val="00B836A4"/>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E52"/>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E04FA"/>
    <w:rsid w:val="00BE0576"/>
    <w:rsid w:val="00BE2111"/>
    <w:rsid w:val="00BE286C"/>
    <w:rsid w:val="00BE3108"/>
    <w:rsid w:val="00BE320A"/>
    <w:rsid w:val="00BE3C86"/>
    <w:rsid w:val="00BE5398"/>
    <w:rsid w:val="00BE6786"/>
    <w:rsid w:val="00BE7242"/>
    <w:rsid w:val="00BF2ABC"/>
    <w:rsid w:val="00BF55D9"/>
    <w:rsid w:val="00BF6253"/>
    <w:rsid w:val="00BF6277"/>
    <w:rsid w:val="00BF72E6"/>
    <w:rsid w:val="00BF77DD"/>
    <w:rsid w:val="00C022FB"/>
    <w:rsid w:val="00C02B8C"/>
    <w:rsid w:val="00C047F6"/>
    <w:rsid w:val="00C04EE3"/>
    <w:rsid w:val="00C05160"/>
    <w:rsid w:val="00C06549"/>
    <w:rsid w:val="00C06CB7"/>
    <w:rsid w:val="00C1241A"/>
    <w:rsid w:val="00C12D5A"/>
    <w:rsid w:val="00C138E9"/>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2197"/>
    <w:rsid w:val="00C5222B"/>
    <w:rsid w:val="00C527C1"/>
    <w:rsid w:val="00C52B66"/>
    <w:rsid w:val="00C53915"/>
    <w:rsid w:val="00C55F2D"/>
    <w:rsid w:val="00C577AE"/>
    <w:rsid w:val="00C61B66"/>
    <w:rsid w:val="00C61CF0"/>
    <w:rsid w:val="00C625CB"/>
    <w:rsid w:val="00C654BF"/>
    <w:rsid w:val="00C67FD0"/>
    <w:rsid w:val="00C703FE"/>
    <w:rsid w:val="00C70483"/>
    <w:rsid w:val="00C7065B"/>
    <w:rsid w:val="00C70DBB"/>
    <w:rsid w:val="00C745A7"/>
    <w:rsid w:val="00C7472D"/>
    <w:rsid w:val="00C74BF9"/>
    <w:rsid w:val="00C77881"/>
    <w:rsid w:val="00C77E1E"/>
    <w:rsid w:val="00C80BD4"/>
    <w:rsid w:val="00C833BA"/>
    <w:rsid w:val="00C83A12"/>
    <w:rsid w:val="00C84C1D"/>
    <w:rsid w:val="00C85E2D"/>
    <w:rsid w:val="00C86304"/>
    <w:rsid w:val="00C90494"/>
    <w:rsid w:val="00C9053F"/>
    <w:rsid w:val="00C919D4"/>
    <w:rsid w:val="00C927E2"/>
    <w:rsid w:val="00C92F2E"/>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84B"/>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56F8"/>
    <w:rsid w:val="00CF7939"/>
    <w:rsid w:val="00D025BD"/>
    <w:rsid w:val="00D02603"/>
    <w:rsid w:val="00D02C3D"/>
    <w:rsid w:val="00D0309F"/>
    <w:rsid w:val="00D03278"/>
    <w:rsid w:val="00D03FDD"/>
    <w:rsid w:val="00D04C3C"/>
    <w:rsid w:val="00D052EF"/>
    <w:rsid w:val="00D053D1"/>
    <w:rsid w:val="00D05524"/>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8A8"/>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308"/>
    <w:rsid w:val="00DA06C2"/>
    <w:rsid w:val="00DA0999"/>
    <w:rsid w:val="00DA16D9"/>
    <w:rsid w:val="00DA2E3B"/>
    <w:rsid w:val="00DA3CAD"/>
    <w:rsid w:val="00DA6A64"/>
    <w:rsid w:val="00DA78A1"/>
    <w:rsid w:val="00DA7920"/>
    <w:rsid w:val="00DB02F5"/>
    <w:rsid w:val="00DB0585"/>
    <w:rsid w:val="00DB090B"/>
    <w:rsid w:val="00DB0BC6"/>
    <w:rsid w:val="00DB16AC"/>
    <w:rsid w:val="00DB20DD"/>
    <w:rsid w:val="00DB27CE"/>
    <w:rsid w:val="00DB35C9"/>
    <w:rsid w:val="00DB4858"/>
    <w:rsid w:val="00DB486F"/>
    <w:rsid w:val="00DB7734"/>
    <w:rsid w:val="00DB7F30"/>
    <w:rsid w:val="00DB7FEE"/>
    <w:rsid w:val="00DC0377"/>
    <w:rsid w:val="00DC0991"/>
    <w:rsid w:val="00DC2336"/>
    <w:rsid w:val="00DC23BA"/>
    <w:rsid w:val="00DC4387"/>
    <w:rsid w:val="00DC46C7"/>
    <w:rsid w:val="00DC6922"/>
    <w:rsid w:val="00DC7389"/>
    <w:rsid w:val="00DD000F"/>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F34"/>
    <w:rsid w:val="00E85390"/>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6A7F"/>
    <w:rsid w:val="00EC7634"/>
    <w:rsid w:val="00EC77D4"/>
    <w:rsid w:val="00ED0F26"/>
    <w:rsid w:val="00ED1D17"/>
    <w:rsid w:val="00ED1D3A"/>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36602"/>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4372"/>
    <w:rsid w:val="00F9473C"/>
    <w:rsid w:val="00F94968"/>
    <w:rsid w:val="00F9509E"/>
    <w:rsid w:val="00F95A09"/>
    <w:rsid w:val="00F972C1"/>
    <w:rsid w:val="00FA0074"/>
    <w:rsid w:val="00FA1553"/>
    <w:rsid w:val="00FA55E5"/>
    <w:rsid w:val="00FA7232"/>
    <w:rsid w:val="00FB0122"/>
    <w:rsid w:val="00FB29A7"/>
    <w:rsid w:val="00FB2E48"/>
    <w:rsid w:val="00FB5555"/>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4D6F"/>
    <w:rsid w:val="00FD50A0"/>
    <w:rsid w:val="00FD5DD3"/>
    <w:rsid w:val="00FD68C2"/>
    <w:rsid w:val="00FD7AE2"/>
    <w:rsid w:val="00FE1761"/>
    <w:rsid w:val="00FE2225"/>
    <w:rsid w:val="00FE2E59"/>
    <w:rsid w:val="00FE3332"/>
    <w:rsid w:val="00FE37EF"/>
    <w:rsid w:val="00FE455A"/>
    <w:rsid w:val="00FE4EB5"/>
    <w:rsid w:val="00FF6C26"/>
    <w:rsid w:val="00FF6E9B"/>
    <w:rsid w:val="00FF7AC6"/>
    <w:rsid w:val="033F683B"/>
    <w:rsid w:val="043013E0"/>
    <w:rsid w:val="05765502"/>
    <w:rsid w:val="061C0CA8"/>
    <w:rsid w:val="062C280A"/>
    <w:rsid w:val="07285B25"/>
    <w:rsid w:val="07C0798B"/>
    <w:rsid w:val="08417FA7"/>
    <w:rsid w:val="0942292F"/>
    <w:rsid w:val="0AAE62EE"/>
    <w:rsid w:val="0B306A87"/>
    <w:rsid w:val="0C2627C8"/>
    <w:rsid w:val="0D2701B4"/>
    <w:rsid w:val="0DDC3A66"/>
    <w:rsid w:val="0DFE385A"/>
    <w:rsid w:val="0F202505"/>
    <w:rsid w:val="0F4933A8"/>
    <w:rsid w:val="101F3294"/>
    <w:rsid w:val="10554E67"/>
    <w:rsid w:val="10756CB1"/>
    <w:rsid w:val="11F62ADD"/>
    <w:rsid w:val="121438CE"/>
    <w:rsid w:val="136F5E09"/>
    <w:rsid w:val="14135CE9"/>
    <w:rsid w:val="143F7994"/>
    <w:rsid w:val="14556E24"/>
    <w:rsid w:val="145C09B6"/>
    <w:rsid w:val="15445FB3"/>
    <w:rsid w:val="15AC68D1"/>
    <w:rsid w:val="15E564DA"/>
    <w:rsid w:val="19107E5B"/>
    <w:rsid w:val="1A09059C"/>
    <w:rsid w:val="1A595A62"/>
    <w:rsid w:val="1B574A59"/>
    <w:rsid w:val="1C8C3FCD"/>
    <w:rsid w:val="1E4578B6"/>
    <w:rsid w:val="200D34F7"/>
    <w:rsid w:val="22BD3DDC"/>
    <w:rsid w:val="2368442E"/>
    <w:rsid w:val="237A6685"/>
    <w:rsid w:val="24180599"/>
    <w:rsid w:val="25F25922"/>
    <w:rsid w:val="26D959CA"/>
    <w:rsid w:val="277245D4"/>
    <w:rsid w:val="28114720"/>
    <w:rsid w:val="28CF63F4"/>
    <w:rsid w:val="29326DC7"/>
    <w:rsid w:val="296A57B2"/>
    <w:rsid w:val="29F26F2A"/>
    <w:rsid w:val="2B4179B6"/>
    <w:rsid w:val="2BC16C32"/>
    <w:rsid w:val="2C85746B"/>
    <w:rsid w:val="2CC855D1"/>
    <w:rsid w:val="2DDD422B"/>
    <w:rsid w:val="2E84548B"/>
    <w:rsid w:val="2ED428A4"/>
    <w:rsid w:val="2F2B1A5B"/>
    <w:rsid w:val="2FC9681B"/>
    <w:rsid w:val="31014D28"/>
    <w:rsid w:val="34E62D8C"/>
    <w:rsid w:val="35FB623F"/>
    <w:rsid w:val="366E3B3C"/>
    <w:rsid w:val="370F0BCD"/>
    <w:rsid w:val="3715098A"/>
    <w:rsid w:val="377C6EFA"/>
    <w:rsid w:val="39157688"/>
    <w:rsid w:val="3A1844F4"/>
    <w:rsid w:val="3A315C33"/>
    <w:rsid w:val="3B1209F3"/>
    <w:rsid w:val="3B5878C5"/>
    <w:rsid w:val="3BA011E5"/>
    <w:rsid w:val="3BE22C01"/>
    <w:rsid w:val="3C5C5F5C"/>
    <w:rsid w:val="3E596370"/>
    <w:rsid w:val="3FBC6BAA"/>
    <w:rsid w:val="40865941"/>
    <w:rsid w:val="416318D4"/>
    <w:rsid w:val="417F239B"/>
    <w:rsid w:val="41F25792"/>
    <w:rsid w:val="42974085"/>
    <w:rsid w:val="452B5932"/>
    <w:rsid w:val="45497D2B"/>
    <w:rsid w:val="45820476"/>
    <w:rsid w:val="45C11FF3"/>
    <w:rsid w:val="47775AD7"/>
    <w:rsid w:val="4A1F4764"/>
    <w:rsid w:val="4B0D67DA"/>
    <w:rsid w:val="4B104729"/>
    <w:rsid w:val="4B561588"/>
    <w:rsid w:val="4C556343"/>
    <w:rsid w:val="4CBA6D83"/>
    <w:rsid w:val="4EBF1908"/>
    <w:rsid w:val="50BE485B"/>
    <w:rsid w:val="50EF21DE"/>
    <w:rsid w:val="51CE7479"/>
    <w:rsid w:val="52FE5AB1"/>
    <w:rsid w:val="53DA317B"/>
    <w:rsid w:val="54103AAC"/>
    <w:rsid w:val="54455AEF"/>
    <w:rsid w:val="5482205B"/>
    <w:rsid w:val="549A5B63"/>
    <w:rsid w:val="55190490"/>
    <w:rsid w:val="554C03ED"/>
    <w:rsid w:val="56A01764"/>
    <w:rsid w:val="57096E9F"/>
    <w:rsid w:val="57CD7FAB"/>
    <w:rsid w:val="57D5394B"/>
    <w:rsid w:val="59125B5B"/>
    <w:rsid w:val="5A5B099B"/>
    <w:rsid w:val="5B5D3146"/>
    <w:rsid w:val="5E653E57"/>
    <w:rsid w:val="5EDC31F2"/>
    <w:rsid w:val="5FD6799D"/>
    <w:rsid w:val="60915A2A"/>
    <w:rsid w:val="60F8252D"/>
    <w:rsid w:val="621E6BB3"/>
    <w:rsid w:val="629F59D2"/>
    <w:rsid w:val="63C64EB3"/>
    <w:rsid w:val="648D0D03"/>
    <w:rsid w:val="66C24EF1"/>
    <w:rsid w:val="66CC0AAD"/>
    <w:rsid w:val="689A3E47"/>
    <w:rsid w:val="68AE5B14"/>
    <w:rsid w:val="697A70E8"/>
    <w:rsid w:val="6A4B47BB"/>
    <w:rsid w:val="6AB96073"/>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AE24C58"/>
    <w:rsid w:val="7BC62B6D"/>
    <w:rsid w:val="7CF56221"/>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99"/>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7"/>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8"/>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74912-B9EC-4F75-B15A-0F78E006BF65}">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56</Pages>
  <Words>26854</Words>
  <Characters>28215</Characters>
  <Lines>216</Lines>
  <Paragraphs>60</Paragraphs>
  <TotalTime>282</TotalTime>
  <ScaleCrop>false</ScaleCrop>
  <LinksUpToDate>false</LinksUpToDate>
  <CharactersWithSpaces>28783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2022-04-14T02:27:00Z</dcterms:created>
  <dc:creator>Administrator</dc:creator>
  <cp:lastModifiedBy>浦文-赵玮清</cp:lastModifiedBy>
  <cp:lastPrinted>2017-04-10T13:36:00Z</cp:lastPrinted>
  <dcterms:modified xsi:type="dcterms:W3CDTF">2022-05-05T09:41:51Z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5F7E2353E40E4B2EB04AD656BD949241</vt:lpwstr>
  </property>
</Properties>
</file>