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2998873"/>
      <w:bookmarkStart w:id="2" w:name="_Toc227057880"/>
      <w:r>
        <w:rPr>
          <w:rFonts w:hint="eastAsia" w:ascii="黑体" w:hAnsi="宋体" w:eastAsia="黑体"/>
          <w:sz w:val="44"/>
          <w:szCs w:val="44"/>
        </w:rPr>
        <w:t>2022年安播运维部重要信息系统等级保护测评</w:t>
      </w:r>
    </w:p>
    <w:p>
      <w:pPr>
        <w:spacing w:after="120" w:line="360" w:lineRule="auto"/>
        <w:jc w:val="center"/>
        <w:rPr>
          <w:rFonts w:ascii="黑体" w:hAnsi="宋体" w:eastAsia="黑体"/>
          <w:sz w:val="44"/>
          <w:szCs w:val="44"/>
        </w:rPr>
      </w:pPr>
      <w:r>
        <w:rPr>
          <w:rFonts w:hint="eastAsia" w:ascii="黑体" w:hAnsi="宋体" w:eastAsia="黑体"/>
          <w:sz w:val="44"/>
          <w:szCs w:val="44"/>
        </w:rPr>
        <w:t>竞争性磋商</w:t>
      </w:r>
      <w:bookmarkEnd w:id="1"/>
      <w:r>
        <w:rPr>
          <w:rFonts w:hint="eastAsia" w:ascii="黑体" w:hAnsi="宋体" w:eastAsia="黑体"/>
          <w:sz w:val="44"/>
          <w:szCs w:val="44"/>
        </w:rPr>
        <w:t>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spacing w:after="120" w:line="360" w:lineRule="auto"/>
        <w:ind w:firstLine="1405" w:firstLineChars="500"/>
        <w:jc w:val="center"/>
        <w:rPr>
          <w:b/>
          <w:sz w:val="28"/>
          <w:szCs w:val="28"/>
        </w:rPr>
      </w:pPr>
      <w:r>
        <w:rPr>
          <w:rFonts w:hint="eastAsia"/>
          <w:b/>
          <w:sz w:val="28"/>
          <w:szCs w:val="28"/>
        </w:rPr>
        <w:t>安播运维部</w:t>
      </w:r>
    </w:p>
    <w:p>
      <w:pPr>
        <w:pStyle w:val="22"/>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二〇二二年五月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9"/>
        <w:numPr>
          <w:ilvl w:val="0"/>
          <w:numId w:val="0"/>
        </w:numPr>
        <w:ind w:left="288"/>
        <w:jc w:val="center"/>
      </w:pPr>
      <w:r>
        <w:rPr>
          <w:rFonts w:ascii="宋体" w:hAnsi="宋体" w:eastAsia="宋体"/>
          <w:color w:val="auto"/>
          <w:sz w:val="30"/>
          <w:szCs w:val="30"/>
          <w:lang w:val="zh-CN"/>
        </w:rPr>
        <w:t>目录</w:t>
      </w:r>
    </w:p>
    <w:p>
      <w:pPr>
        <w:pStyle w:val="40"/>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1"/>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40"/>
        <w:rPr>
          <w:rFonts w:ascii="Calibri" w:hAnsi="Calibri"/>
          <w:caps w:val="0"/>
          <w:kern w:val="2"/>
          <w:szCs w:val="22"/>
        </w:rPr>
      </w:pPr>
      <w:r>
        <w:fldChar w:fldCharType="begin"/>
      </w:r>
      <w:r>
        <w:instrText xml:space="preserve"> HYPERLINK \l "_Toc69378616" </w:instrText>
      </w:r>
      <w:r>
        <w:fldChar w:fldCharType="separate"/>
      </w:r>
      <w:r>
        <w:rPr>
          <w:rStyle w:val="61"/>
          <w:rFonts w:hint="eastAsia"/>
          <w:b/>
        </w:rPr>
        <w:t>第二章竞争性磋商须知</w:t>
      </w:r>
      <w:r>
        <w:tab/>
      </w:r>
      <w:r>
        <w:fldChar w:fldCharType="end"/>
      </w:r>
      <w:r>
        <w:t>5</w:t>
      </w:r>
    </w:p>
    <w:p>
      <w:pPr>
        <w:pStyle w:val="40"/>
        <w:rPr>
          <w:rFonts w:ascii="Calibri" w:hAnsi="Calibri"/>
          <w:caps w:val="0"/>
          <w:kern w:val="2"/>
          <w:szCs w:val="22"/>
        </w:rPr>
      </w:pPr>
      <w:r>
        <w:fldChar w:fldCharType="begin"/>
      </w:r>
      <w:r>
        <w:instrText xml:space="preserve"> HYPERLINK \l "_Toc69378617" </w:instrText>
      </w:r>
      <w:r>
        <w:fldChar w:fldCharType="separate"/>
      </w:r>
      <w:r>
        <w:rPr>
          <w:rStyle w:val="61"/>
          <w:rFonts w:hint="eastAsia"/>
          <w:b/>
        </w:rPr>
        <w:t>第三章评审办法</w:t>
      </w:r>
      <w:r>
        <w:tab/>
      </w:r>
      <w:r>
        <w:rPr>
          <w:rFonts w:hint="eastAsia"/>
        </w:rPr>
        <w:t>1</w:t>
      </w:r>
      <w:r>
        <w:rPr>
          <w:rFonts w:hint="eastAsia"/>
        </w:rPr>
        <w:fldChar w:fldCharType="end"/>
      </w:r>
      <w:r>
        <w:t>6</w:t>
      </w:r>
    </w:p>
    <w:p>
      <w:pPr>
        <w:pStyle w:val="40"/>
        <w:rPr>
          <w:rFonts w:ascii="Calibri" w:hAnsi="Calibri"/>
          <w:caps w:val="0"/>
          <w:kern w:val="2"/>
          <w:szCs w:val="22"/>
        </w:rPr>
      </w:pPr>
      <w:r>
        <w:fldChar w:fldCharType="begin"/>
      </w:r>
      <w:r>
        <w:instrText xml:space="preserve"> HYPERLINK \l "_Toc69378618" </w:instrText>
      </w:r>
      <w:r>
        <w:fldChar w:fldCharType="separate"/>
      </w:r>
      <w:r>
        <w:rPr>
          <w:rStyle w:val="61"/>
          <w:rFonts w:hint="eastAsia"/>
          <w:b/>
        </w:rPr>
        <w:t>第四章合同格式</w:t>
      </w:r>
      <w:r>
        <w:tab/>
      </w:r>
      <w:r>
        <w:fldChar w:fldCharType="end"/>
      </w:r>
      <w:r>
        <w:t>18</w:t>
      </w:r>
    </w:p>
    <w:p>
      <w:pPr>
        <w:pStyle w:val="40"/>
        <w:rPr>
          <w:rFonts w:ascii="Calibri" w:hAnsi="Calibri"/>
          <w:caps w:val="0"/>
          <w:kern w:val="2"/>
          <w:szCs w:val="22"/>
        </w:rPr>
      </w:pPr>
      <w:r>
        <w:fldChar w:fldCharType="begin"/>
      </w:r>
      <w:r>
        <w:instrText xml:space="preserve"> HYPERLINK \l "_Toc69378637" </w:instrText>
      </w:r>
      <w:r>
        <w:fldChar w:fldCharType="separate"/>
      </w:r>
      <w:r>
        <w:rPr>
          <w:rStyle w:val="61"/>
          <w:rFonts w:hint="eastAsia"/>
          <w:b/>
        </w:rPr>
        <w:t>第五章技术需求书</w:t>
      </w:r>
      <w:r>
        <w:tab/>
      </w:r>
      <w:r>
        <w:fldChar w:fldCharType="end"/>
      </w:r>
      <w:r>
        <w:t>25</w:t>
      </w:r>
    </w:p>
    <w:p>
      <w:pPr>
        <w:pStyle w:val="40"/>
        <w:rPr>
          <w:rFonts w:ascii="Calibri" w:hAnsi="Calibri"/>
          <w:caps w:val="0"/>
          <w:kern w:val="2"/>
          <w:szCs w:val="22"/>
        </w:rPr>
      </w:pPr>
      <w:r>
        <w:fldChar w:fldCharType="begin"/>
      </w:r>
      <w:r>
        <w:instrText xml:space="preserve"> HYPERLINK \l "_Toc69378657" </w:instrText>
      </w:r>
      <w:r>
        <w:fldChar w:fldCharType="separate"/>
      </w:r>
      <w:r>
        <w:rPr>
          <w:rStyle w:val="61"/>
          <w:rFonts w:hint="eastAsia"/>
          <w:b/>
          <w:bCs/>
          <w:kern w:val="44"/>
        </w:rPr>
        <w:t>第六章竞争性磋商响应文件格式</w:t>
      </w:r>
      <w:r>
        <w:tab/>
      </w:r>
      <w:r>
        <w:t>2</w:t>
      </w:r>
      <w:r>
        <w:fldChar w:fldCharType="end"/>
      </w:r>
      <w:r>
        <w:rPr>
          <w:rFonts w:hint="eastAsia"/>
        </w:rPr>
        <w:t>8</w:t>
      </w:r>
    </w:p>
    <w:p>
      <w:pPr>
        <w:pStyle w:val="40"/>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第一章竞争性磋商公告</w:t>
      </w:r>
      <w:bookmarkEnd w:id="3"/>
    </w:p>
    <w:bookmarkEnd w:id="2"/>
    <w:p>
      <w:pPr>
        <w:spacing w:line="360" w:lineRule="auto"/>
        <w:rPr>
          <w:rFonts w:ascii="宋体" w:hAnsi="宋体"/>
          <w:b/>
          <w:sz w:val="24"/>
        </w:rPr>
      </w:pPr>
      <w:bookmarkStart w:id="4" w:name="_Hlk102998852"/>
      <w:r>
        <w:rPr>
          <w:rFonts w:hint="eastAsia" w:ascii="宋体" w:hAnsi="宋体" w:cs="宋体"/>
          <w:b/>
          <w:kern w:val="0"/>
          <w:sz w:val="24"/>
        </w:rPr>
        <w:t>一、项目概况</w:t>
      </w:r>
    </w:p>
    <w:p>
      <w:pPr>
        <w:pStyle w:val="90"/>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bookmarkStart w:id="82" w:name="_GoBack"/>
      <w:r>
        <w:rPr>
          <w:rFonts w:hint="eastAsia" w:ascii="宋体" w:hAnsi="宋体"/>
          <w:sz w:val="24"/>
        </w:rPr>
        <w:t>江苏省广电有线信息网络股份有限公司2022年安播运维部重要信息系统等级保护测评项目</w:t>
      </w:r>
      <w:bookmarkEnd w:id="82"/>
      <w:r>
        <w:rPr>
          <w:rFonts w:hint="eastAsia" w:ascii="宋体" w:hAnsi="宋体" w:cs="宋体"/>
          <w:kern w:val="0"/>
          <w:sz w:val="24"/>
          <w:szCs w:val="22"/>
        </w:rPr>
        <w:t>。</w:t>
      </w:r>
    </w:p>
    <w:p>
      <w:pPr>
        <w:pStyle w:val="90"/>
        <w:numPr>
          <w:ilvl w:val="0"/>
          <w:numId w:val="5"/>
        </w:numPr>
        <w:spacing w:line="360" w:lineRule="auto"/>
        <w:ind w:firstLineChars="0"/>
        <w:rPr>
          <w:rFonts w:ascii="宋体" w:hAnsi="宋体"/>
          <w:sz w:val="24"/>
        </w:rPr>
      </w:pPr>
      <w:r>
        <w:rPr>
          <w:rFonts w:hint="eastAsia" w:ascii="宋体" w:hAnsi="宋体"/>
          <w:sz w:val="24"/>
        </w:rPr>
        <w:t>项目内容</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3126"/>
        <w:gridCol w:w="15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68"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126"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信息系统名称</w:t>
            </w:r>
          </w:p>
        </w:tc>
        <w:tc>
          <w:tcPr>
            <w:tcW w:w="1513"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所属部门</w:t>
            </w:r>
          </w:p>
        </w:tc>
        <w:tc>
          <w:tcPr>
            <w:tcW w:w="1513"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定级情况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Cs w:val="21"/>
              </w:rPr>
            </w:pPr>
            <w:r>
              <w:rPr>
                <w:rFonts w:hint="eastAsia" w:ascii="宋体" w:hAnsi="宋体"/>
                <w:szCs w:val="21"/>
              </w:rPr>
              <w:t>1</w:t>
            </w:r>
          </w:p>
        </w:tc>
        <w:tc>
          <w:tcPr>
            <w:tcW w:w="3126" w:type="dxa"/>
            <w:vAlign w:val="center"/>
          </w:tcPr>
          <w:p>
            <w:pPr>
              <w:jc w:val="center"/>
              <w:rPr>
                <w:rFonts w:ascii="宋体" w:hAnsi="宋体"/>
                <w:szCs w:val="21"/>
              </w:rPr>
            </w:pPr>
            <w:r>
              <w:rPr>
                <w:rFonts w:hint="eastAsia" w:ascii="宋体" w:hAnsi="宋体"/>
                <w:szCs w:val="21"/>
              </w:rPr>
              <w:t>省市县广播电视直播核心系统</w:t>
            </w:r>
          </w:p>
        </w:tc>
        <w:tc>
          <w:tcPr>
            <w:tcW w:w="1513" w:type="dxa"/>
            <w:vMerge w:val="restart"/>
            <w:vAlign w:val="center"/>
          </w:tcPr>
          <w:p>
            <w:pPr>
              <w:jc w:val="center"/>
              <w:rPr>
                <w:rFonts w:ascii="宋体" w:hAnsi="宋体"/>
                <w:szCs w:val="21"/>
              </w:rPr>
            </w:pPr>
            <w:r>
              <w:rPr>
                <w:rFonts w:hint="eastAsia" w:ascii="宋体" w:hAnsi="宋体"/>
                <w:szCs w:val="21"/>
              </w:rPr>
              <w:t>安播运维部</w:t>
            </w:r>
          </w:p>
        </w:tc>
        <w:tc>
          <w:tcPr>
            <w:tcW w:w="1513" w:type="dxa"/>
            <w:vAlign w:val="center"/>
          </w:tcPr>
          <w:p>
            <w:pPr>
              <w:jc w:val="center"/>
              <w:rPr>
                <w:rFonts w:ascii="宋体" w:hAnsi="宋体"/>
                <w:szCs w:val="21"/>
              </w:rPr>
            </w:pPr>
            <w:r>
              <w:rPr>
                <w:rFonts w:hint="eastAsia" w:ascii="宋体" w:hAnsi="宋体"/>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Cs w:val="21"/>
              </w:rPr>
            </w:pPr>
            <w:r>
              <w:rPr>
                <w:rFonts w:hint="eastAsia" w:ascii="宋体" w:hAnsi="宋体"/>
                <w:szCs w:val="21"/>
              </w:rPr>
              <w:t>2</w:t>
            </w:r>
          </w:p>
        </w:tc>
        <w:tc>
          <w:tcPr>
            <w:tcW w:w="3126" w:type="dxa"/>
            <w:vAlign w:val="center"/>
          </w:tcPr>
          <w:p>
            <w:pPr>
              <w:jc w:val="center"/>
              <w:rPr>
                <w:rFonts w:ascii="宋体" w:hAnsi="宋体"/>
                <w:szCs w:val="21"/>
              </w:rPr>
            </w:pPr>
            <w:r>
              <w:rPr>
                <w:rFonts w:hint="eastAsia" w:ascii="宋体" w:hAnsi="宋体"/>
                <w:szCs w:val="21"/>
              </w:rPr>
              <w:t>省级视频互动系统</w:t>
            </w:r>
          </w:p>
        </w:tc>
        <w:tc>
          <w:tcPr>
            <w:tcW w:w="1513" w:type="dxa"/>
            <w:vMerge w:val="continue"/>
          </w:tcPr>
          <w:p>
            <w:pPr>
              <w:jc w:val="center"/>
              <w:rPr>
                <w:rFonts w:ascii="宋体" w:hAnsi="宋体"/>
                <w:szCs w:val="21"/>
              </w:rPr>
            </w:pPr>
          </w:p>
        </w:tc>
        <w:tc>
          <w:tcPr>
            <w:tcW w:w="1513" w:type="dxa"/>
            <w:vAlign w:val="center"/>
          </w:tcPr>
          <w:p>
            <w:pPr>
              <w:jc w:val="center"/>
              <w:rPr>
                <w:rFonts w:ascii="宋体" w:hAnsi="宋体"/>
                <w:szCs w:val="21"/>
              </w:rPr>
            </w:pPr>
            <w:r>
              <w:rPr>
                <w:rFonts w:hint="eastAsia" w:ascii="宋体" w:hAnsi="宋体"/>
                <w:szCs w:val="21"/>
              </w:rPr>
              <w:t>三级</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1.供应商必须为在中华人民共和国境内合法注册的独立法人，遵守中国有关法律、法规，具有良好的商业信誉。</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2.供应商注册资金须不少于500万元人民币。</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3.供应商必须具有政府有关部门认定的信息安全等级保护测评服务资质，要求在2022年度省等保办备案（可在江苏信息安全等级保护网上查询）。</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4.供应商须具有良好的业绩和经验，具备两年以上的信息安全服务经验。</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 供应商须出具经第三方审计20</w:t>
      </w:r>
      <w:r>
        <w:rPr>
          <w:rFonts w:ascii="宋体" w:hAnsi="宋体" w:cs="宋体"/>
          <w:kern w:val="0"/>
          <w:sz w:val="24"/>
          <w:szCs w:val="22"/>
        </w:rPr>
        <w:t>19</w:t>
      </w:r>
      <w:r>
        <w:rPr>
          <w:rFonts w:hint="eastAsia" w:ascii="宋体" w:hAnsi="宋体" w:cs="宋体"/>
          <w:kern w:val="0"/>
          <w:sz w:val="24"/>
          <w:szCs w:val="22"/>
        </w:rPr>
        <w:t>年度和20</w:t>
      </w:r>
      <w:r>
        <w:rPr>
          <w:rFonts w:ascii="宋体" w:hAnsi="宋体" w:cs="宋体"/>
          <w:kern w:val="0"/>
          <w:sz w:val="24"/>
          <w:szCs w:val="22"/>
        </w:rPr>
        <w:t>20</w:t>
      </w:r>
      <w:r>
        <w:rPr>
          <w:rFonts w:hint="eastAsia" w:ascii="宋体" w:hAnsi="宋体" w:cs="宋体"/>
          <w:kern w:val="0"/>
          <w:sz w:val="24"/>
          <w:szCs w:val="22"/>
        </w:rPr>
        <w:t>年度的财务报表，至少包括文字性报告及资产负债表、现金流量表、利润表。</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6.供应商必须具备完整的服务体系、具有快速响应维护能力，在华东地区须具有较大规模的销售和服务组织机构及完善快捷的技术支持能力，拥有固定可靠的有效服务网点，负责各项服务工作。</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8.供应商单位负责人为同一人或者存在直接控股、管理关系的不同供应商，不得参加同一标段磋商或者未划分标段的同一采购项目磋商。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9.法定代表人为同一个人的两个及两个以上法人，母公司与全资子公司/由其控股的子公司，不得同时参与本项目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10.本项目不接受联合体响应。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5月9</w:t>
      </w:r>
      <w:r>
        <w:rPr>
          <w:rFonts w:ascii="宋体" w:hAnsi="宋体" w:cs="宋体"/>
          <w:color w:val="191919"/>
          <w:kern w:val="0"/>
          <w:sz w:val="24"/>
          <w:shd w:val="clear" w:color="auto" w:fill="FFFFFF"/>
        </w:rPr>
        <w:t>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5月1</w:t>
      </w:r>
      <w:r>
        <w:rPr>
          <w:rFonts w:ascii="宋体" w:hAnsi="宋体" w:cs="宋体"/>
          <w:color w:val="191919"/>
          <w:kern w:val="0"/>
          <w:sz w:val="24"/>
          <w:shd w:val="clear" w:color="auto" w:fill="FFFFFF"/>
        </w:rPr>
        <w:t>4日止，每日上午9：00-12：00，下午14：00-17：00（北京时间）。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rPr>
        <w:t>邮箱</w:t>
      </w:r>
      <w:r>
        <w:rPr>
          <w:rFonts w:ascii="宋体" w:hAnsi="宋体" w:cs="宋体"/>
          <w:color w:val="191919"/>
          <w:kern w:val="0"/>
          <w:sz w:val="24"/>
        </w:rPr>
        <w:t>lijing@jscnnet.com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5月1</w:t>
      </w:r>
      <w:r>
        <w:rPr>
          <w:rFonts w:ascii="宋体" w:hAnsi="宋体" w:cs="宋体"/>
          <w:color w:val="191919"/>
          <w:kern w:val="0"/>
          <w:sz w:val="24"/>
          <w:shd w:val="clear" w:color="auto" w:fill="FFFFFF"/>
        </w:rPr>
        <w:t>4日下午17:00再登记的视为无效。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李晶（</w:t>
      </w:r>
      <w:r>
        <w:rPr>
          <w:rFonts w:ascii="宋体" w:hAnsi="宋体" w:cs="宋体"/>
          <w:color w:val="191919"/>
          <w:kern w:val="0"/>
          <w:sz w:val="24"/>
        </w:rPr>
        <w:t>025-86731692）</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年5月2</w:t>
      </w:r>
      <w:r>
        <w:rPr>
          <w:rFonts w:ascii="宋体" w:hAnsi="宋体" w:cs="宋体"/>
          <w:color w:val="191919"/>
          <w:kern w:val="0"/>
          <w:sz w:val="24"/>
          <w:shd w:val="clear" w:color="auto" w:fill="FFFFFF"/>
        </w:rPr>
        <w:t>0</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李晶，电话：</w:t>
      </w:r>
      <w:r>
        <w:rPr>
          <w:rFonts w:ascii="宋体" w:hAnsi="宋体" w:cs="宋体"/>
          <w:color w:val="191919"/>
          <w:kern w:val="0"/>
          <w:sz w:val="24"/>
        </w:rPr>
        <w:t>025-86731692。</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年5月2</w:t>
      </w:r>
      <w:r>
        <w:rPr>
          <w:rFonts w:ascii="宋体" w:hAnsi="宋体" w:cs="宋体"/>
          <w:color w:val="191919"/>
          <w:kern w:val="0"/>
          <w:sz w:val="24"/>
          <w:shd w:val="clear" w:color="auto" w:fill="FFFFFF"/>
        </w:rPr>
        <w:t>0</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hAnsi="宋体"/>
          <w:sz w:val="24"/>
        </w:rPr>
      </w:pPr>
      <w:r>
        <w:rPr>
          <w:rFonts w:hint="eastAsia" w:ascii="宋体" w:cs="宋体"/>
          <w:bCs/>
          <w:sz w:val="24"/>
        </w:rPr>
        <w:t>有关本次磋商的事项若存在变动或修改，敬请及时关注网上发布的信息更正公告</w:t>
      </w:r>
      <w:bookmarkStart w:id="5" w:name="bookmark1"/>
      <w:bookmarkEnd w:id="5"/>
      <w:r>
        <w:rPr>
          <w:rFonts w:hint="eastAsia" w:ascii="宋体" w:cs="宋体"/>
          <w:bCs/>
          <w:sz w:val="24"/>
        </w:rPr>
        <w:t>。</w:t>
      </w:r>
      <w:bookmarkEnd w:id="0"/>
      <w:bookmarkEnd w:id="4"/>
      <w:r>
        <w:rPr>
          <w:rFonts w:ascii="宋体" w:hAnsi="宋体"/>
          <w:sz w:val="24"/>
        </w:rPr>
        <w:br w:type="page"/>
      </w:r>
    </w:p>
    <w:p>
      <w:pPr>
        <w:pStyle w:val="3"/>
        <w:numPr>
          <w:ilvl w:val="0"/>
          <w:numId w:val="0"/>
        </w:numPr>
        <w:spacing w:before="0" w:after="0" w:line="360" w:lineRule="auto"/>
        <w:rPr>
          <w:b/>
          <w:sz w:val="36"/>
          <w:szCs w:val="36"/>
        </w:rPr>
      </w:pPr>
      <w:bookmarkStart w:id="6" w:name="_Toc69378616"/>
      <w:bookmarkStart w:id="7" w:name="_Toc107822483"/>
      <w:bookmarkStart w:id="8" w:name="_Toc226969276"/>
      <w:bookmarkStart w:id="9" w:name="_Toc227057883"/>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4"/>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sz w:val="24"/>
              </w:rPr>
            </w:pPr>
            <w:r>
              <w:rPr>
                <w:rFonts w:hint="eastAsia"/>
                <w:b/>
                <w:sz w:val="24"/>
              </w:rPr>
              <w:t>序号</w:t>
            </w:r>
          </w:p>
        </w:tc>
        <w:tc>
          <w:tcPr>
            <w:tcW w:w="241" w:type="pct"/>
            <w:tcBorders>
              <w:top w:val="single" w:color="auto" w:sz="6" w:space="0"/>
            </w:tcBorders>
            <w:vAlign w:val="center"/>
          </w:tcPr>
          <w:p>
            <w:pPr>
              <w:jc w:val="center"/>
              <w:rPr>
                <w:b/>
                <w:sz w:val="24"/>
              </w:rPr>
            </w:pPr>
            <w:r>
              <w:rPr>
                <w:rFonts w:hint="eastAsia"/>
                <w:b/>
                <w:sz w:val="24"/>
              </w:rPr>
              <w:t>条款号</w:t>
            </w:r>
          </w:p>
        </w:tc>
        <w:tc>
          <w:tcPr>
            <w:tcW w:w="772" w:type="pct"/>
            <w:tcBorders>
              <w:top w:val="single" w:color="auto" w:sz="6" w:space="0"/>
            </w:tcBorders>
            <w:vAlign w:val="center"/>
          </w:tcPr>
          <w:p>
            <w:pPr>
              <w:jc w:val="center"/>
              <w:rPr>
                <w:b/>
                <w:sz w:val="24"/>
              </w:rPr>
            </w:pPr>
            <w:r>
              <w:rPr>
                <w:rFonts w:hint="eastAsia"/>
                <w:b/>
                <w:sz w:val="24"/>
              </w:rPr>
              <w:t>内容</w:t>
            </w:r>
          </w:p>
        </w:tc>
        <w:tc>
          <w:tcPr>
            <w:tcW w:w="3410"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w:t>
            </w:r>
          </w:p>
        </w:tc>
        <w:tc>
          <w:tcPr>
            <w:tcW w:w="241" w:type="pct"/>
            <w:vAlign w:val="center"/>
          </w:tcPr>
          <w:p>
            <w:pPr>
              <w:jc w:val="center"/>
              <w:rPr>
                <w:sz w:val="24"/>
              </w:rPr>
            </w:pPr>
            <w:r>
              <w:rPr>
                <w:sz w:val="24"/>
              </w:rPr>
              <w:t>1.1</w:t>
            </w:r>
          </w:p>
        </w:tc>
        <w:tc>
          <w:tcPr>
            <w:tcW w:w="772" w:type="pct"/>
            <w:vAlign w:val="center"/>
          </w:tcPr>
          <w:p>
            <w:pPr>
              <w:jc w:val="center"/>
              <w:rPr>
                <w:sz w:val="24"/>
              </w:rPr>
            </w:pPr>
            <w:r>
              <w:rPr>
                <w:rFonts w:hint="eastAsia"/>
                <w:sz w:val="24"/>
              </w:rPr>
              <w:t>采购人</w:t>
            </w:r>
          </w:p>
        </w:tc>
        <w:tc>
          <w:tcPr>
            <w:tcW w:w="3410"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2</w:t>
            </w:r>
          </w:p>
        </w:tc>
        <w:tc>
          <w:tcPr>
            <w:tcW w:w="241" w:type="pct"/>
            <w:vAlign w:val="center"/>
          </w:tcPr>
          <w:p>
            <w:pPr>
              <w:jc w:val="center"/>
              <w:rPr>
                <w:sz w:val="24"/>
              </w:rPr>
            </w:pPr>
            <w:r>
              <w:rPr>
                <w:sz w:val="24"/>
              </w:rPr>
              <w:t>1.2</w:t>
            </w:r>
          </w:p>
        </w:tc>
        <w:tc>
          <w:tcPr>
            <w:tcW w:w="772" w:type="pct"/>
            <w:vAlign w:val="center"/>
          </w:tcPr>
          <w:p>
            <w:pPr>
              <w:jc w:val="center"/>
              <w:rPr>
                <w:sz w:val="24"/>
              </w:rPr>
            </w:pPr>
            <w:r>
              <w:rPr>
                <w:rFonts w:hint="eastAsia"/>
                <w:sz w:val="24"/>
              </w:rPr>
              <w:t>代理机构</w:t>
            </w:r>
          </w:p>
        </w:tc>
        <w:tc>
          <w:tcPr>
            <w:tcW w:w="3410"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center"/>
              <w:rPr>
                <w:sz w:val="24"/>
              </w:rPr>
            </w:pPr>
            <w:r>
              <w:rPr>
                <w:sz w:val="24"/>
              </w:rPr>
              <w:t>3</w:t>
            </w:r>
          </w:p>
        </w:tc>
        <w:tc>
          <w:tcPr>
            <w:tcW w:w="241" w:type="pct"/>
            <w:vAlign w:val="center"/>
          </w:tcPr>
          <w:p>
            <w:pPr>
              <w:jc w:val="center"/>
              <w:rPr>
                <w:sz w:val="24"/>
              </w:rPr>
            </w:pPr>
            <w:r>
              <w:rPr>
                <w:sz w:val="24"/>
              </w:rPr>
              <w:t>1.3</w:t>
            </w:r>
          </w:p>
        </w:tc>
        <w:tc>
          <w:tcPr>
            <w:tcW w:w="772" w:type="pct"/>
            <w:vAlign w:val="center"/>
          </w:tcPr>
          <w:p>
            <w:pPr>
              <w:jc w:val="center"/>
              <w:rPr>
                <w:sz w:val="24"/>
              </w:rPr>
            </w:pPr>
            <w:r>
              <w:rPr>
                <w:rFonts w:hint="eastAsia"/>
                <w:sz w:val="24"/>
              </w:rPr>
              <w:t>合格的供应商</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4</w:t>
            </w:r>
          </w:p>
        </w:tc>
        <w:tc>
          <w:tcPr>
            <w:tcW w:w="241" w:type="pct"/>
            <w:vAlign w:val="center"/>
          </w:tcPr>
          <w:p>
            <w:pPr>
              <w:jc w:val="center"/>
              <w:rPr>
                <w:sz w:val="24"/>
              </w:rPr>
            </w:pPr>
            <w:r>
              <w:rPr>
                <w:sz w:val="24"/>
              </w:rPr>
              <w:t>20.1</w:t>
            </w:r>
          </w:p>
        </w:tc>
        <w:tc>
          <w:tcPr>
            <w:tcW w:w="772" w:type="pct"/>
            <w:vAlign w:val="center"/>
          </w:tcPr>
          <w:p>
            <w:pPr>
              <w:jc w:val="center"/>
              <w:rPr>
                <w:sz w:val="24"/>
              </w:rPr>
            </w:pPr>
            <w:r>
              <w:rPr>
                <w:rFonts w:hint="eastAsia"/>
                <w:sz w:val="24"/>
              </w:rPr>
              <w:t>保密</w:t>
            </w:r>
          </w:p>
        </w:tc>
        <w:tc>
          <w:tcPr>
            <w:tcW w:w="3410"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5</w:t>
            </w:r>
          </w:p>
        </w:tc>
        <w:tc>
          <w:tcPr>
            <w:tcW w:w="241" w:type="pct"/>
            <w:vAlign w:val="center"/>
          </w:tcPr>
          <w:p>
            <w:pPr>
              <w:jc w:val="center"/>
              <w:rPr>
                <w:sz w:val="24"/>
              </w:rPr>
            </w:pPr>
            <w:r>
              <w:rPr>
                <w:sz w:val="24"/>
              </w:rPr>
              <w:t>7.1</w:t>
            </w:r>
          </w:p>
          <w:p>
            <w:pPr>
              <w:jc w:val="center"/>
              <w:rPr>
                <w:sz w:val="24"/>
              </w:rPr>
            </w:pPr>
            <w:r>
              <w:rPr>
                <w:rFonts w:hint="eastAsia"/>
                <w:sz w:val="24"/>
              </w:rPr>
              <w:t>2）</w:t>
            </w:r>
          </w:p>
        </w:tc>
        <w:tc>
          <w:tcPr>
            <w:tcW w:w="772" w:type="pct"/>
            <w:vAlign w:val="center"/>
          </w:tcPr>
          <w:p>
            <w:pPr>
              <w:jc w:val="center"/>
              <w:rPr>
                <w:sz w:val="24"/>
              </w:rPr>
            </w:pPr>
            <w:r>
              <w:rPr>
                <w:rFonts w:hint="eastAsia"/>
                <w:sz w:val="24"/>
              </w:rPr>
              <w:t>经第三方审计的财务报表</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6</w:t>
            </w:r>
          </w:p>
        </w:tc>
        <w:tc>
          <w:tcPr>
            <w:tcW w:w="241" w:type="pct"/>
            <w:vAlign w:val="center"/>
          </w:tcPr>
          <w:p>
            <w:pPr>
              <w:jc w:val="center"/>
              <w:rPr>
                <w:sz w:val="24"/>
              </w:rPr>
            </w:pPr>
            <w:r>
              <w:rPr>
                <w:sz w:val="24"/>
              </w:rPr>
              <w:t>7.1</w:t>
            </w:r>
          </w:p>
          <w:p>
            <w:pPr>
              <w:jc w:val="center"/>
              <w:rPr>
                <w:sz w:val="24"/>
              </w:rPr>
            </w:pPr>
            <w:r>
              <w:rPr>
                <w:rFonts w:hint="eastAsia"/>
                <w:sz w:val="24"/>
              </w:rPr>
              <w:t>3）</w:t>
            </w:r>
          </w:p>
        </w:tc>
        <w:tc>
          <w:tcPr>
            <w:tcW w:w="772" w:type="pct"/>
            <w:vAlign w:val="center"/>
          </w:tcPr>
          <w:p>
            <w:pPr>
              <w:jc w:val="center"/>
              <w:rPr>
                <w:sz w:val="24"/>
              </w:rPr>
            </w:pPr>
            <w:r>
              <w:rPr>
                <w:rFonts w:hint="eastAsia"/>
                <w:sz w:val="24"/>
              </w:rPr>
              <w:t>响应文件的技术部分中必须包括的内容</w:t>
            </w:r>
          </w:p>
        </w:tc>
        <w:tc>
          <w:tcPr>
            <w:tcW w:w="3410"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7</w:t>
            </w:r>
          </w:p>
        </w:tc>
        <w:tc>
          <w:tcPr>
            <w:tcW w:w="241" w:type="pct"/>
            <w:vAlign w:val="center"/>
          </w:tcPr>
          <w:p>
            <w:pPr>
              <w:jc w:val="center"/>
              <w:rPr>
                <w:sz w:val="24"/>
              </w:rPr>
            </w:pPr>
            <w:r>
              <w:rPr>
                <w:sz w:val="24"/>
              </w:rPr>
              <w:t>7.1</w:t>
            </w:r>
          </w:p>
          <w:p>
            <w:pPr>
              <w:jc w:val="center"/>
              <w:rPr>
                <w:sz w:val="24"/>
              </w:rPr>
            </w:pPr>
            <w:r>
              <w:rPr>
                <w:rFonts w:hint="eastAsia"/>
                <w:sz w:val="24"/>
              </w:rPr>
              <w:t>6）</w:t>
            </w:r>
          </w:p>
        </w:tc>
        <w:tc>
          <w:tcPr>
            <w:tcW w:w="772" w:type="pct"/>
            <w:vAlign w:val="center"/>
          </w:tcPr>
          <w:p>
            <w:pPr>
              <w:jc w:val="center"/>
              <w:rPr>
                <w:sz w:val="24"/>
              </w:rPr>
            </w:pPr>
            <w:r>
              <w:rPr>
                <w:rFonts w:hint="eastAsia"/>
                <w:sz w:val="24"/>
              </w:rPr>
              <w:t>合同文本的提供</w:t>
            </w:r>
          </w:p>
        </w:tc>
        <w:tc>
          <w:tcPr>
            <w:tcW w:w="3410"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8</w:t>
            </w:r>
          </w:p>
        </w:tc>
        <w:tc>
          <w:tcPr>
            <w:tcW w:w="241" w:type="pct"/>
            <w:vAlign w:val="center"/>
          </w:tcPr>
          <w:p>
            <w:pPr>
              <w:jc w:val="center"/>
              <w:rPr>
                <w:sz w:val="24"/>
              </w:rPr>
            </w:pPr>
            <w:r>
              <w:rPr>
                <w:sz w:val="24"/>
              </w:rPr>
              <w:t>8.1</w:t>
            </w:r>
          </w:p>
        </w:tc>
        <w:tc>
          <w:tcPr>
            <w:tcW w:w="772" w:type="pct"/>
            <w:vAlign w:val="center"/>
          </w:tcPr>
          <w:p>
            <w:pPr>
              <w:jc w:val="center"/>
              <w:rPr>
                <w:sz w:val="24"/>
              </w:rPr>
            </w:pPr>
            <w:r>
              <w:rPr>
                <w:rFonts w:hint="eastAsia"/>
                <w:sz w:val="24"/>
              </w:rPr>
              <w:t>响应文件的式样和签署</w:t>
            </w:r>
          </w:p>
        </w:tc>
        <w:tc>
          <w:tcPr>
            <w:tcW w:w="3410" w:type="pct"/>
            <w:vAlign w:val="center"/>
          </w:tcPr>
          <w:p>
            <w:pPr>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sz w:val="24"/>
              </w:rPr>
              <w:t>5</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9</w:t>
            </w:r>
          </w:p>
        </w:tc>
        <w:tc>
          <w:tcPr>
            <w:tcW w:w="241" w:type="pct"/>
            <w:vAlign w:val="center"/>
          </w:tcPr>
          <w:p>
            <w:pPr>
              <w:jc w:val="center"/>
              <w:rPr>
                <w:sz w:val="24"/>
              </w:rPr>
            </w:pPr>
            <w:r>
              <w:rPr>
                <w:sz w:val="24"/>
              </w:rPr>
              <w:t>9.1</w:t>
            </w:r>
          </w:p>
        </w:tc>
        <w:tc>
          <w:tcPr>
            <w:tcW w:w="772" w:type="pct"/>
            <w:vAlign w:val="center"/>
          </w:tcPr>
          <w:p>
            <w:pPr>
              <w:jc w:val="center"/>
              <w:rPr>
                <w:sz w:val="24"/>
              </w:rPr>
            </w:pPr>
            <w:r>
              <w:rPr>
                <w:rFonts w:hint="eastAsia"/>
                <w:sz w:val="24"/>
              </w:rPr>
              <w:t>报价</w:t>
            </w:r>
          </w:p>
        </w:tc>
        <w:tc>
          <w:tcPr>
            <w:tcW w:w="3410"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10</w:t>
            </w:r>
          </w:p>
        </w:tc>
        <w:tc>
          <w:tcPr>
            <w:tcW w:w="241" w:type="pct"/>
            <w:vAlign w:val="center"/>
          </w:tcPr>
          <w:p>
            <w:pPr>
              <w:jc w:val="center"/>
              <w:rPr>
                <w:sz w:val="24"/>
              </w:rPr>
            </w:pPr>
          </w:p>
        </w:tc>
        <w:tc>
          <w:tcPr>
            <w:tcW w:w="772" w:type="pct"/>
            <w:vAlign w:val="center"/>
          </w:tcPr>
          <w:p>
            <w:pPr>
              <w:jc w:val="center"/>
              <w:rPr>
                <w:sz w:val="24"/>
              </w:rPr>
            </w:pPr>
            <w:r>
              <w:rPr>
                <w:rFonts w:hint="eastAsia"/>
                <w:sz w:val="24"/>
              </w:rPr>
              <w:t>响应文件的盖章或签字</w:t>
            </w:r>
          </w:p>
        </w:tc>
        <w:tc>
          <w:tcPr>
            <w:tcW w:w="3410"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11</w:t>
            </w:r>
          </w:p>
        </w:tc>
        <w:tc>
          <w:tcPr>
            <w:tcW w:w="241" w:type="pct"/>
            <w:vAlign w:val="center"/>
          </w:tcPr>
          <w:p>
            <w:pPr>
              <w:jc w:val="center"/>
              <w:rPr>
                <w:sz w:val="24"/>
              </w:rPr>
            </w:pPr>
            <w:r>
              <w:rPr>
                <w:sz w:val="24"/>
              </w:rPr>
              <w:t>10.1</w:t>
            </w:r>
          </w:p>
        </w:tc>
        <w:tc>
          <w:tcPr>
            <w:tcW w:w="772" w:type="pct"/>
            <w:vAlign w:val="center"/>
          </w:tcPr>
          <w:p>
            <w:pPr>
              <w:jc w:val="center"/>
              <w:rPr>
                <w:sz w:val="24"/>
              </w:rPr>
            </w:pPr>
            <w:r>
              <w:rPr>
                <w:rFonts w:hint="eastAsia"/>
                <w:sz w:val="24"/>
              </w:rPr>
              <w:t>响应有效期</w:t>
            </w:r>
          </w:p>
        </w:tc>
        <w:tc>
          <w:tcPr>
            <w:tcW w:w="3410"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12</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递交响应文件截止时间</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sz w:val="24"/>
              </w:rPr>
            </w:pPr>
            <w:r>
              <w:rPr>
                <w:sz w:val="24"/>
              </w:rPr>
              <w:t>13</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递交响应文件地点</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14</w:t>
            </w:r>
          </w:p>
        </w:tc>
        <w:tc>
          <w:tcPr>
            <w:tcW w:w="241" w:type="pct"/>
            <w:vAlign w:val="center"/>
          </w:tcPr>
          <w:p>
            <w:pPr>
              <w:jc w:val="center"/>
              <w:rPr>
                <w:sz w:val="24"/>
              </w:rPr>
            </w:pPr>
            <w:r>
              <w:rPr>
                <w:sz w:val="24"/>
              </w:rPr>
              <w:t>17.5</w:t>
            </w:r>
          </w:p>
        </w:tc>
        <w:tc>
          <w:tcPr>
            <w:tcW w:w="772" w:type="pct"/>
            <w:vAlign w:val="center"/>
          </w:tcPr>
          <w:p>
            <w:pPr>
              <w:jc w:val="center"/>
              <w:rPr>
                <w:sz w:val="24"/>
              </w:rPr>
            </w:pPr>
            <w:r>
              <w:rPr>
                <w:rFonts w:hint="eastAsia"/>
                <w:sz w:val="24"/>
              </w:rPr>
              <w:t>如发现下列情况之一的，其响应文件将可能被拒绝</w:t>
            </w:r>
          </w:p>
        </w:tc>
        <w:tc>
          <w:tcPr>
            <w:tcW w:w="3410"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15</w:t>
            </w:r>
          </w:p>
        </w:tc>
        <w:tc>
          <w:tcPr>
            <w:tcW w:w="241" w:type="pct"/>
            <w:vAlign w:val="center"/>
          </w:tcPr>
          <w:p>
            <w:pPr>
              <w:jc w:val="center"/>
              <w:rPr>
                <w:sz w:val="24"/>
              </w:rPr>
            </w:pPr>
            <w:r>
              <w:rPr>
                <w:sz w:val="24"/>
              </w:rPr>
              <w:t>19</w:t>
            </w:r>
          </w:p>
        </w:tc>
        <w:tc>
          <w:tcPr>
            <w:tcW w:w="772" w:type="pct"/>
            <w:vAlign w:val="center"/>
          </w:tcPr>
          <w:p>
            <w:pPr>
              <w:jc w:val="center"/>
              <w:rPr>
                <w:sz w:val="24"/>
              </w:rPr>
            </w:pPr>
            <w:r>
              <w:rPr>
                <w:rFonts w:hint="eastAsia"/>
                <w:sz w:val="24"/>
              </w:rPr>
              <w:t>评审</w:t>
            </w:r>
          </w:p>
        </w:tc>
        <w:tc>
          <w:tcPr>
            <w:tcW w:w="3410"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sz w:val="24"/>
              </w:rPr>
            </w:pPr>
            <w:r>
              <w:rPr>
                <w:sz w:val="24"/>
              </w:rPr>
              <w:t>16</w:t>
            </w:r>
          </w:p>
        </w:tc>
        <w:tc>
          <w:tcPr>
            <w:tcW w:w="241" w:type="pct"/>
            <w:vAlign w:val="center"/>
          </w:tcPr>
          <w:p>
            <w:pPr>
              <w:jc w:val="center"/>
              <w:rPr>
                <w:sz w:val="24"/>
              </w:rPr>
            </w:pPr>
            <w:r>
              <w:rPr>
                <w:sz w:val="24"/>
              </w:rPr>
              <w:t>22.1</w:t>
            </w:r>
          </w:p>
        </w:tc>
        <w:tc>
          <w:tcPr>
            <w:tcW w:w="77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10" w:type="pct"/>
            <w:vAlign w:val="center"/>
          </w:tcPr>
          <w:p>
            <w:pPr>
              <w:rPr>
                <w:sz w:val="24"/>
              </w:rPr>
            </w:pPr>
            <w:r>
              <w:rPr>
                <w:rFonts w:hint="eastAsia"/>
                <w:sz w:val="24"/>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sz w:val="24"/>
              </w:rPr>
            </w:pPr>
            <w:r>
              <w:rPr>
                <w:sz w:val="24"/>
              </w:rPr>
              <w:t>17</w:t>
            </w:r>
          </w:p>
        </w:tc>
        <w:tc>
          <w:tcPr>
            <w:tcW w:w="241" w:type="pct"/>
            <w:vAlign w:val="center"/>
          </w:tcPr>
          <w:p>
            <w:pPr>
              <w:jc w:val="center"/>
              <w:rPr>
                <w:sz w:val="24"/>
              </w:rPr>
            </w:pPr>
            <w:r>
              <w:rPr>
                <w:sz w:val="24"/>
              </w:rPr>
              <w:t>24</w:t>
            </w:r>
          </w:p>
        </w:tc>
        <w:tc>
          <w:tcPr>
            <w:tcW w:w="772" w:type="pct"/>
            <w:vAlign w:val="center"/>
          </w:tcPr>
          <w:p>
            <w:pPr>
              <w:jc w:val="center"/>
              <w:rPr>
                <w:sz w:val="24"/>
              </w:rPr>
            </w:pPr>
            <w:r>
              <w:rPr>
                <w:rFonts w:hint="eastAsia"/>
                <w:sz w:val="24"/>
              </w:rPr>
              <w:t>签约</w:t>
            </w:r>
          </w:p>
        </w:tc>
        <w:tc>
          <w:tcPr>
            <w:tcW w:w="3410"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6</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5</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6"/>
      <w:bookmarkEnd w:id="7"/>
      <w:bookmarkEnd w:id="8"/>
      <w:bookmarkEnd w:id="9"/>
      <w:bookmarkStart w:id="10" w:name="_Toc227057922"/>
      <w:bookmarkStart w:id="11" w:name="_Toc226969316"/>
      <w:bookmarkStart w:id="12" w:name="_Toc107822520"/>
      <w:r>
        <w:br w:type="page"/>
      </w:r>
    </w:p>
    <w:bookmarkEnd w:id="10"/>
    <w:bookmarkEnd w:id="11"/>
    <w:bookmarkEnd w:id="12"/>
    <w:p>
      <w:pPr>
        <w:pStyle w:val="3"/>
        <w:numPr>
          <w:ilvl w:val="0"/>
          <w:numId w:val="0"/>
        </w:numPr>
        <w:spacing w:before="0" w:after="0" w:line="360" w:lineRule="auto"/>
        <w:rPr>
          <w:b/>
          <w:sz w:val="36"/>
          <w:szCs w:val="36"/>
        </w:rPr>
      </w:pPr>
      <w:bookmarkStart w:id="13" w:name="_Toc69378617"/>
      <w:bookmarkStart w:id="14" w:name="_Toc227057958"/>
      <w:bookmarkStart w:id="15" w:name="_Toc107822556"/>
      <w:bookmarkStart w:id="16" w:name="_Toc226969352"/>
      <w:r>
        <w:rPr>
          <w:rFonts w:hint="eastAsia"/>
          <w:b/>
          <w:sz w:val="36"/>
          <w:szCs w:val="36"/>
        </w:rPr>
        <w:t>第三章评审办法</w:t>
      </w:r>
      <w:bookmarkEnd w:id="13"/>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4</w:t>
            </w:r>
            <w:r>
              <w:rPr>
                <w:rFonts w:ascii="宋体" w:hAnsi="宋体"/>
                <w:szCs w:val="21"/>
              </w:rPr>
              <w:t>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3、响应文件中如果申报了非竞争性磋商文件所要求的服务和产品，评审时不予以折价降低评审价。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1、供应商评审价=经评审的该供应商含税总价格。</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2、评标基准价：满足响应文件要求的所有供应商评审价中的最低价为评标基准价。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3、计算价格得分：价格分=（评标基准价/供应商的评审价）×40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优良[4，5]分；较好[2，4)分；一般[0，2)分。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根据供应商提供的自2019年1月1日以来，所做过的等保测评的应用案例打分，案例以合同为准。每有一个案例得1分，本项满分10分。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优良(6，10]分；较好[3，6]分；一般[1，3)分。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25分</w:t>
            </w:r>
          </w:p>
        </w:tc>
        <w:tc>
          <w:tcPr>
            <w:tcW w:w="6993"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根据供应商对竞争性磋商文件第五章《技术需求书》的偏离情况打分，基本分15分。</w:t>
            </w:r>
          </w:p>
          <w:p>
            <w:r>
              <w:rPr>
                <w:rFonts w:hint="eastAsia"/>
              </w:rPr>
              <w:t>关键条款（“</w:t>
            </w:r>
            <w:r>
              <w:t>★</w:t>
            </w:r>
            <w:r>
              <w:rPr>
                <w:rFonts w:hint="eastAsia"/>
              </w:rPr>
              <w:t>”号条款）不满足的取消资格；非关键条款（非“</w:t>
            </w:r>
            <w:r>
              <w:t>★</w:t>
            </w:r>
            <w:r>
              <w:rPr>
                <w:rFonts w:hint="eastAsia"/>
              </w:rPr>
              <w:t>”号条款）每项不满足扣3分，基本分扣完为止。</w:t>
            </w:r>
          </w:p>
          <w:p>
            <w:r>
              <w:rPr>
                <w:rFonts w:hint="eastAsia"/>
              </w:rPr>
              <w:t>根据供应商提供的其他安全服务内容进行比较打分，如提供CISP及同级别安全培训名额超过5个的，每一个加1分；二十大前提供针对性驻场服务、设备短期借用、企业级杀毒软件短期License提供等的，每一项加1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10分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根据供应商提供的测评方案、测评进度及质量管理、应急管理方案及人员配备进行评分：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测评方案(测评进度、质量管理及应急管理方案等) 优良[4，5]分；较好[2，4)分；一般[0，2)分。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人员配备(专职项目经理及项目实施团队) 优良[4，5]分；较好[2，4)分；一般[0，2)分。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0分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1、根据供应商的服务机构的实力打分：</w:t>
            </w:r>
            <w:r>
              <w:rPr>
                <w:rFonts w:hint="eastAsia" w:ascii="宋体" w:hAnsi="宋体"/>
                <w:szCs w:val="21"/>
              </w:rPr>
              <w:t>优良[4，5]分；较好[2，4)分；一般[0，2)分；</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2、根据供应商服务响应时间横向比较打分：</w:t>
            </w:r>
            <w:r>
              <w:rPr>
                <w:rFonts w:hint="eastAsia" w:ascii="宋体" w:hAnsi="宋体"/>
                <w:szCs w:val="21"/>
              </w:rPr>
              <w:t>优良[4，5]分；较好[2，4)分；一般[0，2)分</w:t>
            </w:r>
            <w:r>
              <w:rPr>
                <w:rFonts w:hint="eastAsia"/>
                <w:kern w:val="0"/>
                <w:szCs w:val="21"/>
              </w:rPr>
              <w:t>。</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17" w:name="_Toc69378618"/>
      <w:r>
        <w:rPr>
          <w:rFonts w:hint="eastAsia"/>
          <w:b/>
          <w:sz w:val="36"/>
          <w:szCs w:val="36"/>
        </w:rPr>
        <w:t>第四章</w:t>
      </w:r>
      <w:r>
        <w:rPr>
          <w:b/>
          <w:sz w:val="36"/>
          <w:szCs w:val="36"/>
        </w:rPr>
        <w:t>合同格式</w:t>
      </w:r>
      <w:bookmarkEnd w:id="17"/>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jc w:val="center"/>
        <w:rPr>
          <w:rStyle w:val="107"/>
          <w:rFonts w:hAnsi="华文中宋" w:eastAsia="华文中宋" w:cs="Arial"/>
          <w:sz w:val="34"/>
          <w:szCs w:val="34"/>
        </w:rPr>
      </w:pPr>
      <w:r>
        <w:rPr>
          <w:rStyle w:val="107"/>
          <w:rFonts w:hAnsi="华文中宋" w:eastAsia="华文中宋" w:cs="Arial"/>
          <w:sz w:val="34"/>
          <w:szCs w:val="34"/>
        </w:rPr>
        <w:t>江苏省广电有线信息网络股份有限公司</w:t>
      </w:r>
    </w:p>
    <w:p>
      <w:pPr>
        <w:jc w:val="center"/>
        <w:rPr>
          <w:rStyle w:val="107"/>
          <w:rFonts w:hAnsi="华文中宋" w:eastAsia="华文中宋" w:cs="Arial"/>
          <w:sz w:val="34"/>
          <w:szCs w:val="34"/>
        </w:rPr>
      </w:pPr>
      <w:r>
        <w:rPr>
          <w:rStyle w:val="107"/>
          <w:rFonts w:hint="eastAsia" w:hAnsi="华文中宋" w:eastAsia="华文中宋" w:cs="Arial"/>
          <w:sz w:val="34"/>
          <w:szCs w:val="34"/>
        </w:rPr>
        <w:t>安播运维部重要信息系统</w:t>
      </w:r>
      <w:r>
        <w:rPr>
          <w:rStyle w:val="107"/>
          <w:rFonts w:hAnsi="华文中宋" w:eastAsia="华文中宋" w:cs="Arial"/>
          <w:sz w:val="34"/>
          <w:szCs w:val="34"/>
        </w:rPr>
        <w:t>等级保护测评服务合同</w:t>
      </w:r>
    </w:p>
    <w:p>
      <w:pPr>
        <w:spacing w:line="360" w:lineRule="auto"/>
        <w:rPr>
          <w:szCs w:val="21"/>
        </w:rPr>
      </w:pPr>
    </w:p>
    <w:p>
      <w:pPr>
        <w:spacing w:line="360" w:lineRule="auto"/>
        <w:rPr>
          <w:szCs w:val="21"/>
        </w:rPr>
      </w:pPr>
      <w:r>
        <w:rPr>
          <w:rFonts w:hint="eastAsia"/>
          <w:szCs w:val="21"/>
        </w:rPr>
        <w:t xml:space="preserve">甲方：江苏省广电有线信息网络股份有限公司  </w:t>
      </w:r>
    </w:p>
    <w:p>
      <w:pPr>
        <w:spacing w:line="360" w:lineRule="auto"/>
        <w:rPr>
          <w:szCs w:val="21"/>
        </w:rPr>
      </w:pPr>
      <w:r>
        <w:rPr>
          <w:rFonts w:hint="eastAsia"/>
          <w:szCs w:val="21"/>
        </w:rPr>
        <w:t xml:space="preserve">乙方：                                    </w:t>
      </w:r>
    </w:p>
    <w:p>
      <w:pPr>
        <w:spacing w:line="360" w:lineRule="auto"/>
        <w:ind w:firstLine="420" w:firstLineChars="200"/>
        <w:jc w:val="left"/>
        <w:rPr>
          <w:rFonts w:ascii="宋体" w:hAnsi="宋体"/>
          <w:b/>
          <w:szCs w:val="21"/>
          <w:u w:val="single"/>
        </w:rPr>
      </w:pPr>
      <w:r>
        <w:rPr>
          <w:bCs/>
          <w:szCs w:val="21"/>
        </w:rPr>
        <w:t>甲、乙双方根据</w:t>
      </w:r>
      <w:r>
        <w:rPr>
          <w:rFonts w:hint="eastAsia" w:ascii="宋体" w:hAnsi="宋体"/>
          <w:b/>
          <w:szCs w:val="21"/>
          <w:u w:val="single"/>
        </w:rPr>
        <w:t>安播运维部重要信息系统等级保护测评</w:t>
      </w:r>
      <w:r>
        <w:rPr>
          <w:rFonts w:hint="eastAsia"/>
          <w:szCs w:val="21"/>
        </w:rPr>
        <w:t>竞争性磋商</w:t>
      </w:r>
      <w:r>
        <w:rPr>
          <w:szCs w:val="21"/>
        </w:rPr>
        <w:t>文件的规定、乙方</w:t>
      </w:r>
      <w:r>
        <w:rPr>
          <w:rFonts w:hint="eastAsia"/>
          <w:szCs w:val="21"/>
        </w:rPr>
        <w:t>响应</w:t>
      </w:r>
      <w:r>
        <w:rPr>
          <w:szCs w:val="21"/>
        </w:rPr>
        <w:t>文件及</w:t>
      </w:r>
      <w:r>
        <w:rPr>
          <w:rFonts w:hint="eastAsia"/>
          <w:szCs w:val="21"/>
        </w:rPr>
        <w:t>磋商</w:t>
      </w:r>
      <w:r>
        <w:rPr>
          <w:szCs w:val="21"/>
        </w:rPr>
        <w:t>时乙方做出的书面承诺，依法签订本合同。</w:t>
      </w:r>
    </w:p>
    <w:p>
      <w:pPr>
        <w:spacing w:line="360" w:lineRule="auto"/>
        <w:outlineLvl w:val="0"/>
        <w:rPr>
          <w:b/>
          <w:szCs w:val="21"/>
        </w:rPr>
      </w:pPr>
      <w:r>
        <w:rPr>
          <w:b/>
          <w:szCs w:val="21"/>
        </w:rPr>
        <w:t>一、项目标的和内容</w:t>
      </w:r>
    </w:p>
    <w:p>
      <w:pPr>
        <w:spacing w:line="360" w:lineRule="auto"/>
        <w:ind w:firstLine="420" w:firstLineChars="200"/>
        <w:rPr>
          <w:szCs w:val="21"/>
        </w:rPr>
      </w:pPr>
      <w:r>
        <w:rPr>
          <w:szCs w:val="21"/>
        </w:rPr>
        <w:t>项目标的内容包括乙方按照甲方具体要求</w:t>
      </w:r>
      <w:r>
        <w:rPr>
          <w:rFonts w:hint="eastAsia"/>
          <w:szCs w:val="21"/>
        </w:rPr>
        <w:t>对</w:t>
      </w:r>
      <w:r>
        <w:rPr>
          <w:rFonts w:hint="eastAsia"/>
          <w:szCs w:val="21"/>
          <w:u w:val="single"/>
        </w:rPr>
        <w:t>“</w:t>
      </w:r>
      <w:r>
        <w:rPr>
          <w:rFonts w:hint="eastAsia" w:ascii="宋体" w:hAnsi="宋体"/>
          <w:b/>
          <w:szCs w:val="21"/>
          <w:u w:val="single"/>
        </w:rPr>
        <w:t>安播运维部重要信息系统等级保护测评</w:t>
      </w:r>
      <w:r>
        <w:rPr>
          <w:rFonts w:hint="eastAsia"/>
          <w:szCs w:val="21"/>
          <w:u w:val="single"/>
        </w:rPr>
        <w:t>”</w:t>
      </w:r>
      <w:r>
        <w:rPr>
          <w:rFonts w:hint="eastAsia"/>
          <w:szCs w:val="21"/>
        </w:rPr>
        <w:t>提供安全服务，并完成</w:t>
      </w:r>
      <w:r>
        <w:rPr>
          <w:szCs w:val="21"/>
        </w:rPr>
        <w:t>相关操作培训工作</w:t>
      </w:r>
      <w:r>
        <w:rPr>
          <w:rFonts w:hint="eastAsia"/>
          <w:szCs w:val="21"/>
        </w:rPr>
        <w:t>。</w:t>
      </w:r>
      <w:r>
        <w:rPr>
          <w:szCs w:val="21"/>
        </w:rPr>
        <w:t>具体</w:t>
      </w:r>
      <w:r>
        <w:rPr>
          <w:rFonts w:hint="eastAsia"/>
          <w:szCs w:val="21"/>
        </w:rPr>
        <w:t>服务内容</w:t>
      </w:r>
      <w:r>
        <w:rPr>
          <w:szCs w:val="21"/>
        </w:rPr>
        <w:t>明细及总价等详见附件一：</w:t>
      </w:r>
      <w:r>
        <w:rPr>
          <w:rFonts w:hint="eastAsia"/>
          <w:szCs w:val="21"/>
        </w:rPr>
        <w:t>价格表</w:t>
      </w:r>
      <w:r>
        <w:rPr>
          <w:szCs w:val="21"/>
        </w:rPr>
        <w:t>。</w:t>
      </w:r>
    </w:p>
    <w:p>
      <w:pPr>
        <w:spacing w:line="360" w:lineRule="auto"/>
        <w:outlineLvl w:val="0"/>
        <w:rPr>
          <w:b/>
          <w:szCs w:val="21"/>
        </w:rPr>
      </w:pPr>
      <w:r>
        <w:rPr>
          <w:b/>
          <w:szCs w:val="21"/>
        </w:rPr>
        <w:t>二、合同总价</w:t>
      </w:r>
    </w:p>
    <w:p>
      <w:pPr>
        <w:tabs>
          <w:tab w:val="left" w:pos="0"/>
        </w:tabs>
        <w:spacing w:line="360" w:lineRule="auto"/>
        <w:rPr>
          <w:szCs w:val="21"/>
        </w:rPr>
      </w:pPr>
      <w:r>
        <w:rPr>
          <w:rFonts w:hint="eastAsia"/>
          <w:szCs w:val="21"/>
        </w:rPr>
        <w:t>1、</w:t>
      </w:r>
      <w:r>
        <w:rPr>
          <w:szCs w:val="21"/>
        </w:rPr>
        <w:t>合同总价</w:t>
      </w:r>
      <w:r>
        <w:rPr>
          <w:b/>
          <w:szCs w:val="21"/>
        </w:rPr>
        <w:t>（人民币大写）：</w:t>
      </w:r>
      <w:r>
        <w:rPr>
          <w:rFonts w:hint="eastAsia" w:asciiTheme="minorEastAsia" w:hAnsiTheme="minorEastAsia" w:eastAsiaTheme="minorEastAsia"/>
          <w:b/>
          <w:szCs w:val="21"/>
          <w:u w:val="single"/>
        </w:rPr>
        <w:t xml:space="preserve">                </w:t>
      </w:r>
    </w:p>
    <w:p>
      <w:pPr>
        <w:spacing w:line="360" w:lineRule="auto"/>
        <w:ind w:firstLine="420"/>
        <w:rPr>
          <w:szCs w:val="21"/>
        </w:rPr>
      </w:pPr>
      <w:r>
        <w:rPr>
          <w:b/>
          <w:szCs w:val="21"/>
        </w:rPr>
        <w:t>（人民币小写）：</w:t>
      </w:r>
      <w:r>
        <w:rPr>
          <w:b/>
          <w:szCs w:val="21"/>
          <w:u w:val="single"/>
        </w:rPr>
        <w:t>￥</w:t>
      </w:r>
      <w:r>
        <w:rPr>
          <w:rFonts w:hint="eastAsia" w:asciiTheme="minorEastAsia" w:hAnsiTheme="minorEastAsia" w:eastAsiaTheme="minorEastAsia"/>
          <w:b/>
          <w:szCs w:val="21"/>
          <w:u w:val="single"/>
        </w:rPr>
        <w:t xml:space="preserve">                </w:t>
      </w:r>
      <w:r>
        <w:rPr>
          <w:b/>
          <w:szCs w:val="21"/>
          <w:u w:val="single"/>
        </w:rPr>
        <w:t>元</w:t>
      </w:r>
      <w:r>
        <w:rPr>
          <w:szCs w:val="21"/>
        </w:rPr>
        <w:t>。</w:t>
      </w:r>
    </w:p>
    <w:p>
      <w:pPr>
        <w:numPr>
          <w:ilvl w:val="0"/>
          <w:numId w:val="6"/>
        </w:numPr>
        <w:tabs>
          <w:tab w:val="left" w:pos="0"/>
        </w:tabs>
        <w:spacing w:line="360" w:lineRule="auto"/>
        <w:rPr>
          <w:szCs w:val="21"/>
        </w:rPr>
      </w:pPr>
      <w:r>
        <w:rPr>
          <w:szCs w:val="21"/>
        </w:rPr>
        <w:t>合同总价系指按本合同的规定，乙方在完全履行了合同的义务后，甲方支付给乙方的总价款，包括但不限于软</w:t>
      </w:r>
      <w:r>
        <w:rPr>
          <w:rFonts w:hint="eastAsia"/>
          <w:szCs w:val="21"/>
        </w:rPr>
        <w:t>、</w:t>
      </w:r>
      <w:r>
        <w:rPr>
          <w:szCs w:val="21"/>
        </w:rPr>
        <w:t>硬件系统安装调试费、检测验收费、培训费、备份设备费</w:t>
      </w:r>
      <w:r>
        <w:rPr>
          <w:rFonts w:hint="eastAsia"/>
          <w:szCs w:val="21"/>
        </w:rPr>
        <w:t>、</w:t>
      </w:r>
      <w:r>
        <w:rPr>
          <w:szCs w:val="21"/>
        </w:rPr>
        <w:t>售后服务费，以及与所供服务和产品有关的一切税费。</w:t>
      </w:r>
    </w:p>
    <w:p>
      <w:pPr>
        <w:pStyle w:val="28"/>
        <w:numPr>
          <w:ilvl w:val="0"/>
          <w:numId w:val="6"/>
        </w:numPr>
        <w:ind w:left="1200" w:leftChars="0" w:hanging="1200" w:hangingChars="600"/>
      </w:pPr>
      <w:r>
        <w:rPr>
          <w:rFonts w:hint="eastAsia"/>
        </w:rPr>
        <w:t>当国家法定增值税税率发生变更，买卖双方约定以含税价格不变作为基准，调整增值税税额</w:t>
      </w:r>
      <w:r>
        <w:rPr>
          <w:rFonts w:hint="eastAsia" w:eastAsia="宋体"/>
        </w:rPr>
        <w:t>。</w:t>
      </w:r>
    </w:p>
    <w:p>
      <w:pPr>
        <w:spacing w:line="360" w:lineRule="auto"/>
        <w:outlineLvl w:val="0"/>
        <w:rPr>
          <w:b/>
          <w:szCs w:val="21"/>
        </w:rPr>
      </w:pPr>
      <w:r>
        <w:rPr>
          <w:rFonts w:hint="eastAsia"/>
          <w:b/>
          <w:szCs w:val="21"/>
        </w:rPr>
        <w:t>三</w:t>
      </w:r>
      <w:r>
        <w:rPr>
          <w:b/>
          <w:szCs w:val="21"/>
        </w:rPr>
        <w:t>、付款方式及期限</w:t>
      </w:r>
    </w:p>
    <w:p>
      <w:pPr>
        <w:tabs>
          <w:tab w:val="left" w:pos="0"/>
        </w:tabs>
        <w:spacing w:line="360" w:lineRule="auto"/>
        <w:rPr>
          <w:szCs w:val="21"/>
        </w:rPr>
      </w:pPr>
      <w:r>
        <w:rPr>
          <w:rFonts w:hint="eastAsia"/>
          <w:szCs w:val="21"/>
        </w:rPr>
        <w:t>1、付款方式：合同总价的60%，以半年期汇票支付；剩余部分以转账的方式支付，禁止将货款划入其他账号或支付现金。如收款方的账号和开户行变更，须及时以书面形式通知付款方，通知上必须同时盖有收款方的公章或财务专用章。乙方须按照甲方的要求开据增值税专用发票。迟延提供的，甲方有权顺延付款时间并不负违约责任。</w:t>
      </w:r>
    </w:p>
    <w:p>
      <w:pPr>
        <w:tabs>
          <w:tab w:val="left" w:pos="0"/>
        </w:tabs>
        <w:spacing w:line="360" w:lineRule="auto"/>
        <w:rPr>
          <w:szCs w:val="21"/>
        </w:rPr>
      </w:pPr>
      <w:r>
        <w:rPr>
          <w:rFonts w:hint="eastAsia"/>
          <w:szCs w:val="21"/>
        </w:rPr>
        <w:t>2、付款期限：合同签订后1个月内转账支付合同总额的30%，即人民币</w:t>
      </w:r>
      <w:r>
        <w:rPr>
          <w:szCs w:val="21"/>
          <w:u w:val="single"/>
        </w:rPr>
        <w:t xml:space="preserve">        </w:t>
      </w:r>
      <w:r>
        <w:rPr>
          <w:rFonts w:hint="eastAsia"/>
          <w:szCs w:val="21"/>
        </w:rPr>
        <w:t>；测评服务完成且出具测评报告后1个月内半年期汇票支付合同总额的60%，即人民币</w:t>
      </w:r>
      <w:r>
        <w:rPr>
          <w:szCs w:val="21"/>
          <w:u w:val="single"/>
        </w:rPr>
        <w:t xml:space="preserve">        </w:t>
      </w:r>
      <w:r>
        <w:rPr>
          <w:rFonts w:hint="eastAsia"/>
          <w:szCs w:val="21"/>
        </w:rPr>
        <w:t>；本年度止1个月内转账支付合同总额的10%，即人民币</w:t>
      </w:r>
      <w:r>
        <w:rPr>
          <w:szCs w:val="21"/>
          <w:u w:val="single"/>
        </w:rPr>
        <w:t xml:space="preserve">        </w:t>
      </w:r>
      <w:r>
        <w:rPr>
          <w:rFonts w:hint="eastAsia"/>
          <w:szCs w:val="21"/>
        </w:rPr>
        <w:t>。</w:t>
      </w:r>
    </w:p>
    <w:p>
      <w:pPr>
        <w:tabs>
          <w:tab w:val="left" w:pos="0"/>
        </w:tabs>
        <w:spacing w:line="360" w:lineRule="auto"/>
        <w:rPr>
          <w:szCs w:val="21"/>
        </w:rPr>
      </w:pPr>
      <w:r>
        <w:rPr>
          <w:rFonts w:hint="eastAsia"/>
        </w:rPr>
        <w:t>3、</w:t>
      </w:r>
      <w:r>
        <w:rPr>
          <w:rFonts w:hint="eastAsia" w:ascii="宋体" w:hAnsi="宋体"/>
          <w:szCs w:val="21"/>
        </w:rPr>
        <w:t xml:space="preserve"> 廉政保证金：</w:t>
      </w:r>
      <w:r>
        <w:rPr>
          <w:rFonts w:hint="eastAsia"/>
          <w:szCs w:val="21"/>
        </w:rPr>
        <w:t>乙方违反本合同第十条廉洁条款第二点，甲方有权全部扣除合同总额的10%，若此时合同总额已经全部支付或余款不足10%的，甲方有权根据此合同向乙方进一步追诉。</w:t>
      </w:r>
    </w:p>
    <w:p>
      <w:pPr>
        <w:tabs>
          <w:tab w:val="left" w:pos="0"/>
        </w:tabs>
        <w:spacing w:line="360" w:lineRule="auto"/>
        <w:rPr>
          <w:szCs w:val="21"/>
        </w:rPr>
      </w:pPr>
      <w:r>
        <w:rPr>
          <w:rFonts w:hint="eastAsia"/>
          <w:szCs w:val="21"/>
        </w:rPr>
        <w:t>4、付款前，乙方必须按照国家有关发票管理规定，向甲方一次性提供</w:t>
      </w:r>
      <w:r>
        <w:rPr>
          <w:rFonts w:hint="eastAsia"/>
        </w:rPr>
        <w:t>合同总额的增值税专用发票</w:t>
      </w:r>
      <w:r>
        <w:rPr>
          <w:rFonts w:hint="eastAsia"/>
          <w:szCs w:val="21"/>
        </w:rPr>
        <w:t>，由甲方审核认为无误后再支付相应款项，否则给甲方造成的损失由乙方承担。</w:t>
      </w:r>
    </w:p>
    <w:p>
      <w:pPr>
        <w:tabs>
          <w:tab w:val="left" w:pos="0"/>
        </w:tabs>
        <w:spacing w:line="360" w:lineRule="auto"/>
        <w:rPr>
          <w:szCs w:val="21"/>
        </w:rPr>
      </w:pPr>
      <w:r>
        <w:rPr>
          <w:rFonts w:hint="eastAsia"/>
          <w:szCs w:val="21"/>
        </w:rPr>
        <w:t>5、扣款细则</w:t>
      </w:r>
    </w:p>
    <w:p>
      <w:pPr>
        <w:spacing w:line="360" w:lineRule="auto"/>
        <w:rPr>
          <w:szCs w:val="21"/>
        </w:rPr>
      </w:pPr>
      <w:r>
        <w:rPr>
          <w:rFonts w:hint="eastAsia"/>
          <w:szCs w:val="21"/>
        </w:rPr>
        <w:t>乙方履行义务期间，存在以下情况时，甲方可视情况进行相应的扣款。</w:t>
      </w:r>
    </w:p>
    <w:p>
      <w:pPr>
        <w:spacing w:line="360" w:lineRule="auto"/>
        <w:rPr>
          <w:szCs w:val="21"/>
        </w:rPr>
      </w:pPr>
    </w:p>
    <w:tbl>
      <w:tblPr>
        <w:tblStyle w:val="54"/>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674" w:type="dxa"/>
            <w:vAlign w:val="center"/>
          </w:tcPr>
          <w:p>
            <w:pPr>
              <w:rPr>
                <w:rFonts w:ascii="宋体" w:hAnsi="宋体"/>
                <w:b/>
                <w:szCs w:val="21"/>
              </w:rPr>
            </w:pPr>
            <w:r>
              <w:rPr>
                <w:rFonts w:hint="eastAsia" w:ascii="宋体" w:hAnsi="宋体"/>
                <w:b/>
                <w:szCs w:val="21"/>
              </w:rPr>
              <w:t>序号</w:t>
            </w:r>
          </w:p>
        </w:tc>
        <w:tc>
          <w:tcPr>
            <w:tcW w:w="1135" w:type="dxa"/>
            <w:vAlign w:val="center"/>
          </w:tcPr>
          <w:p>
            <w:pPr>
              <w:rPr>
                <w:rFonts w:ascii="宋体" w:hAnsi="宋体"/>
                <w:b/>
                <w:szCs w:val="21"/>
              </w:rPr>
            </w:pPr>
            <w:r>
              <w:rPr>
                <w:rFonts w:hint="eastAsia" w:ascii="宋体" w:hAnsi="宋体"/>
                <w:b/>
                <w:szCs w:val="21"/>
              </w:rPr>
              <w:t>费用类别</w:t>
            </w:r>
          </w:p>
        </w:tc>
        <w:tc>
          <w:tcPr>
            <w:tcW w:w="2552" w:type="dxa"/>
            <w:vAlign w:val="center"/>
          </w:tcPr>
          <w:p>
            <w:pPr>
              <w:rPr>
                <w:rFonts w:ascii="宋体" w:hAnsi="宋体"/>
                <w:b/>
                <w:szCs w:val="21"/>
              </w:rPr>
            </w:pPr>
            <w:r>
              <w:rPr>
                <w:rFonts w:hint="eastAsia" w:ascii="宋体" w:hAnsi="宋体"/>
                <w:b/>
                <w:szCs w:val="21"/>
              </w:rPr>
              <w:t>适用状况</w:t>
            </w:r>
          </w:p>
        </w:tc>
        <w:tc>
          <w:tcPr>
            <w:tcW w:w="1938" w:type="dxa"/>
            <w:vAlign w:val="center"/>
          </w:tcPr>
          <w:p>
            <w:pPr>
              <w:rPr>
                <w:rFonts w:ascii="宋体" w:hAnsi="宋体"/>
                <w:b/>
                <w:szCs w:val="21"/>
              </w:rPr>
            </w:pPr>
            <w:r>
              <w:rPr>
                <w:rFonts w:hint="eastAsia" w:ascii="宋体" w:hAnsi="宋体"/>
                <w:b/>
                <w:szCs w:val="21"/>
              </w:rPr>
              <w:t>执行方法</w:t>
            </w:r>
          </w:p>
        </w:tc>
        <w:tc>
          <w:tcPr>
            <w:tcW w:w="1476" w:type="dxa"/>
            <w:vAlign w:val="center"/>
          </w:tcPr>
          <w:p>
            <w:pPr>
              <w:rPr>
                <w:rFonts w:ascii="宋体" w:hAnsi="宋体"/>
                <w:b/>
                <w:szCs w:val="21"/>
              </w:rPr>
            </w:pPr>
            <w:r>
              <w:rPr>
                <w:rFonts w:hint="eastAsia" w:ascii="宋体" w:hAnsi="宋体"/>
                <w:b/>
                <w:szCs w:val="21"/>
              </w:rPr>
              <w:t>罚款金额</w:t>
            </w:r>
          </w:p>
        </w:tc>
        <w:tc>
          <w:tcPr>
            <w:tcW w:w="1810" w:type="dxa"/>
            <w:vAlign w:val="center"/>
          </w:tcPr>
          <w:p>
            <w:pP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视文档重要性</w:t>
            </w:r>
          </w:p>
        </w:tc>
      </w:tr>
    </w:tbl>
    <w:p>
      <w:pPr>
        <w:spacing w:line="360" w:lineRule="auto"/>
        <w:rPr>
          <w:b/>
          <w:szCs w:val="21"/>
        </w:rPr>
      </w:pPr>
      <w:r>
        <w:rPr>
          <w:rFonts w:hint="eastAsia"/>
          <w:b/>
          <w:szCs w:val="21"/>
        </w:rPr>
        <w:t>四、产品质量要求</w:t>
      </w:r>
    </w:p>
    <w:p>
      <w:pPr>
        <w:tabs>
          <w:tab w:val="left" w:pos="0"/>
        </w:tabs>
        <w:spacing w:line="360" w:lineRule="auto"/>
        <w:ind w:firstLine="420" w:firstLineChars="200"/>
        <w:rPr>
          <w:szCs w:val="21"/>
        </w:rPr>
      </w:pPr>
      <w:r>
        <w:rPr>
          <w:rFonts w:hint="eastAsia" w:ascii="宋体" w:hAnsi="宋体"/>
          <w:szCs w:val="21"/>
        </w:rPr>
        <w:t>乙方所提供的服务必须完全满足甲方在“</w:t>
      </w:r>
      <w:r>
        <w:rPr>
          <w:rFonts w:hint="eastAsia" w:ascii="宋体" w:hAnsi="宋体"/>
          <w:b/>
          <w:szCs w:val="21"/>
          <w:u w:val="single"/>
        </w:rPr>
        <w:t>安播运维部重要信息系统等级保护测评项目</w:t>
      </w:r>
      <w:r>
        <w:rPr>
          <w:rFonts w:hint="eastAsia" w:ascii="宋体" w:hAnsi="宋体"/>
          <w:szCs w:val="21"/>
        </w:rPr>
        <w:t>”</w:t>
      </w:r>
      <w:r>
        <w:rPr>
          <w:rFonts w:hint="eastAsia"/>
          <w:szCs w:val="21"/>
        </w:rPr>
        <w:t xml:space="preserve"> 磋商</w:t>
      </w:r>
      <w:r>
        <w:rPr>
          <w:rFonts w:hint="eastAsia" w:ascii="宋体" w:hAnsi="宋体"/>
          <w:szCs w:val="21"/>
        </w:rPr>
        <w:t>文件中提出的技术要求，必须完全遵守响应文件和</w:t>
      </w:r>
      <w:r>
        <w:rPr>
          <w:rFonts w:hint="eastAsia"/>
          <w:szCs w:val="21"/>
        </w:rPr>
        <w:t>磋商</w:t>
      </w:r>
      <w:r>
        <w:rPr>
          <w:rFonts w:hint="eastAsia" w:ascii="宋体" w:hAnsi="宋体"/>
          <w:szCs w:val="21"/>
        </w:rPr>
        <w:t>时做出的书面承诺。</w:t>
      </w:r>
    </w:p>
    <w:p>
      <w:pPr>
        <w:spacing w:line="360" w:lineRule="auto"/>
        <w:outlineLvl w:val="0"/>
        <w:rPr>
          <w:b/>
          <w:szCs w:val="21"/>
        </w:rPr>
      </w:pPr>
      <w:r>
        <w:rPr>
          <w:rFonts w:hint="eastAsia"/>
          <w:b/>
          <w:szCs w:val="21"/>
        </w:rPr>
        <w:t>五</w:t>
      </w:r>
      <w:r>
        <w:rPr>
          <w:b/>
          <w:szCs w:val="21"/>
        </w:rPr>
        <w:t>、安全</w:t>
      </w:r>
      <w:r>
        <w:rPr>
          <w:rFonts w:hint="eastAsia"/>
          <w:b/>
          <w:szCs w:val="21"/>
        </w:rPr>
        <w:t>服务</w:t>
      </w:r>
    </w:p>
    <w:p>
      <w:pPr>
        <w:spacing w:line="360" w:lineRule="auto"/>
        <w:rPr>
          <w:rFonts w:ascii="宋体" w:hAnsi="宋体"/>
          <w:szCs w:val="21"/>
        </w:rPr>
      </w:pPr>
      <w:r>
        <w:rPr>
          <w:rFonts w:hint="eastAsia" w:ascii="宋体" w:hAnsi="宋体"/>
          <w:szCs w:val="21"/>
        </w:rPr>
        <w:t>1、服务质量要求：</w:t>
      </w:r>
      <w:r>
        <w:rPr>
          <w:rFonts w:ascii="宋体" w:hAnsi="宋体"/>
          <w:szCs w:val="21"/>
        </w:rPr>
        <w:t>乙方所提供</w:t>
      </w:r>
      <w:r>
        <w:rPr>
          <w:rFonts w:hint="eastAsia" w:ascii="宋体" w:hAnsi="宋体"/>
          <w:szCs w:val="21"/>
        </w:rPr>
        <w:t>服务</w:t>
      </w:r>
      <w:r>
        <w:rPr>
          <w:rFonts w:ascii="宋体" w:hAnsi="宋体"/>
          <w:szCs w:val="21"/>
        </w:rPr>
        <w:t>的技术指标必须完全满足甲方在</w:t>
      </w:r>
      <w:r>
        <w:rPr>
          <w:rFonts w:hint="eastAsia" w:ascii="宋体" w:hAnsi="宋体"/>
          <w:szCs w:val="21"/>
        </w:rPr>
        <w:t>“</w:t>
      </w:r>
      <w:r>
        <w:rPr>
          <w:rFonts w:hint="eastAsia" w:ascii="宋体" w:hAnsi="宋体"/>
          <w:b/>
          <w:szCs w:val="21"/>
        </w:rPr>
        <w:t>安播运维部重要信息系统等保测评项目</w:t>
      </w:r>
      <w:r>
        <w:rPr>
          <w:rFonts w:hint="eastAsia" w:ascii="宋体" w:hAnsi="宋体"/>
          <w:szCs w:val="21"/>
        </w:rPr>
        <w:t>”</w:t>
      </w:r>
      <w:r>
        <w:rPr>
          <w:rFonts w:hint="eastAsia"/>
          <w:szCs w:val="21"/>
        </w:rPr>
        <w:t>磋商</w:t>
      </w:r>
      <w:r>
        <w:rPr>
          <w:rFonts w:hint="eastAsia" w:ascii="宋体" w:hAnsi="宋体"/>
          <w:szCs w:val="21"/>
        </w:rPr>
        <w:t>文件</w:t>
      </w:r>
      <w:r>
        <w:rPr>
          <w:rFonts w:ascii="宋体" w:hAnsi="宋体"/>
          <w:szCs w:val="21"/>
        </w:rPr>
        <w:t>中提出的技术要求，乙方所提供服务实现必须完全遵守</w:t>
      </w:r>
      <w:r>
        <w:rPr>
          <w:rFonts w:hint="eastAsia" w:ascii="宋体" w:hAnsi="宋体"/>
          <w:szCs w:val="21"/>
        </w:rPr>
        <w:t>响应文件</w:t>
      </w:r>
      <w:r>
        <w:rPr>
          <w:rFonts w:ascii="宋体" w:hAnsi="宋体"/>
          <w:szCs w:val="21"/>
        </w:rPr>
        <w:t>和</w:t>
      </w:r>
      <w:r>
        <w:rPr>
          <w:rFonts w:hint="eastAsia"/>
          <w:szCs w:val="21"/>
        </w:rPr>
        <w:t>磋商</w:t>
      </w:r>
      <w:r>
        <w:rPr>
          <w:rFonts w:ascii="宋体" w:hAnsi="宋体"/>
          <w:szCs w:val="21"/>
        </w:rPr>
        <w:t>时做出的书面承诺；乙方保证所提供</w:t>
      </w:r>
      <w:r>
        <w:rPr>
          <w:rFonts w:hint="eastAsia" w:ascii="宋体" w:hAnsi="宋体"/>
          <w:szCs w:val="21"/>
        </w:rPr>
        <w:t>服务符合相应技术规定的品质和规格要求，若技术性能无相应说明，则按国家或国际有关部门最新颁布的标准及规范为准。</w:t>
      </w:r>
    </w:p>
    <w:p>
      <w:pPr>
        <w:spacing w:line="360" w:lineRule="auto"/>
        <w:rPr>
          <w:rFonts w:ascii="宋体" w:hAnsi="宋体"/>
          <w:szCs w:val="21"/>
        </w:rPr>
      </w:pPr>
      <w:r>
        <w:rPr>
          <w:rFonts w:hint="eastAsia" w:ascii="宋体" w:hAnsi="宋体"/>
          <w:szCs w:val="21"/>
        </w:rPr>
        <w:t>2、服务响应时间：乙方提供每周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w:t>
      </w:r>
      <w:r>
        <w:rPr>
          <w:rFonts w:hint="eastAsia"/>
          <w:szCs w:val="21"/>
        </w:rPr>
        <w:t>磋商</w:t>
      </w:r>
      <w:r>
        <w:rPr>
          <w:rFonts w:hint="eastAsia" w:ascii="宋体" w:hAnsi="宋体"/>
          <w:szCs w:val="21"/>
        </w:rPr>
        <w:t>时做出的书面承诺提供相应的服务和技术支持。</w:t>
      </w:r>
    </w:p>
    <w:p>
      <w:pPr>
        <w:spacing w:line="360" w:lineRule="auto"/>
        <w:rPr>
          <w:szCs w:val="21"/>
        </w:rPr>
      </w:pPr>
      <w:r>
        <w:rPr>
          <w:rFonts w:hint="eastAsia" w:ascii="宋体" w:hAnsi="宋体"/>
          <w:szCs w:val="21"/>
        </w:rPr>
        <w:t>3、</w:t>
      </w:r>
      <w:r>
        <w:rPr>
          <w:rFonts w:ascii="宋体" w:hAnsi="宋体"/>
          <w:szCs w:val="21"/>
        </w:rPr>
        <w:t>培训：包括</w:t>
      </w:r>
      <w:r>
        <w:rPr>
          <w:rFonts w:hint="eastAsia" w:ascii="宋体" w:hAnsi="宋体"/>
          <w:szCs w:val="21"/>
        </w:rPr>
        <w:t>响应文件</w:t>
      </w:r>
      <w:r>
        <w:rPr>
          <w:rFonts w:ascii="宋体" w:hAnsi="宋体"/>
          <w:szCs w:val="21"/>
        </w:rPr>
        <w:t>和</w:t>
      </w:r>
      <w:r>
        <w:rPr>
          <w:rFonts w:hint="eastAsia"/>
          <w:szCs w:val="21"/>
        </w:rPr>
        <w:t>磋商</w:t>
      </w:r>
      <w:r>
        <w:rPr>
          <w:rFonts w:ascii="宋体" w:hAnsi="宋体"/>
          <w:szCs w:val="21"/>
        </w:rPr>
        <w:t>时做出的书面承诺的培训。乙方应对甲方人员进行技术培训，使甲方人员具备独立管理、维护测试和故障处理等工作的能力，培训内容包含但不限于</w:t>
      </w:r>
      <w:r>
        <w:rPr>
          <w:rFonts w:hint="eastAsia" w:ascii="宋体" w:hAnsi="宋体"/>
          <w:szCs w:val="21"/>
        </w:rPr>
        <w:t>系统的</w:t>
      </w:r>
      <w:r>
        <w:rPr>
          <w:rFonts w:ascii="宋体" w:hAnsi="宋体"/>
          <w:szCs w:val="21"/>
        </w:rPr>
        <w:t>相关技术原理、性能、操作使用方法、维护管理的技术、实际的操作练习等。乙方另行提供的其它培训，往返路程费用、住宿及餐饮等费用由乙方承担。</w:t>
      </w:r>
    </w:p>
    <w:p>
      <w:pPr>
        <w:adjustRightInd w:val="0"/>
        <w:spacing w:line="300" w:lineRule="auto"/>
        <w:outlineLvl w:val="0"/>
        <w:rPr>
          <w:rFonts w:ascii="宋体"/>
          <w:b/>
          <w:szCs w:val="21"/>
        </w:rPr>
      </w:pPr>
      <w:r>
        <w:rPr>
          <w:rFonts w:hint="eastAsia"/>
          <w:b/>
          <w:szCs w:val="21"/>
        </w:rPr>
        <w:t>六</w:t>
      </w:r>
      <w:r>
        <w:rPr>
          <w:b/>
          <w:szCs w:val="21"/>
        </w:rPr>
        <w:t>、</w:t>
      </w:r>
      <w:r>
        <w:rPr>
          <w:rFonts w:hint="eastAsia" w:ascii="宋体" w:hAnsi="宋体"/>
          <w:b/>
          <w:szCs w:val="21"/>
        </w:rPr>
        <w:t>技术升级和优惠条件</w:t>
      </w:r>
    </w:p>
    <w:p>
      <w:pPr>
        <w:spacing w:line="360" w:lineRule="auto"/>
        <w:rPr>
          <w:rFonts w:ascii="宋体"/>
          <w:szCs w:val="21"/>
        </w:rPr>
      </w:pPr>
      <w:r>
        <w:rPr>
          <w:rFonts w:hint="eastAsia" w:ascii="宋体" w:hAnsi="宋体"/>
          <w:szCs w:val="21"/>
        </w:rPr>
        <w:t>1、</w:t>
      </w:r>
      <w:r>
        <w:rPr>
          <w:rFonts w:ascii="宋体" w:hAnsi="宋体"/>
          <w:szCs w:val="21"/>
        </w:rPr>
        <w:t>乙方须负责提供甲方</w:t>
      </w:r>
      <w:r>
        <w:rPr>
          <w:rFonts w:hint="eastAsia" w:ascii="宋体" w:hAnsi="宋体"/>
          <w:szCs w:val="21"/>
          <w:u w:val="single"/>
        </w:rPr>
        <w:t>“</w:t>
      </w:r>
      <w:r>
        <w:rPr>
          <w:rFonts w:hint="eastAsia" w:ascii="宋体" w:hAnsi="宋体"/>
          <w:b/>
          <w:szCs w:val="21"/>
          <w:u w:val="single"/>
        </w:rPr>
        <w:t>安播运维部重要信息系统等级保护测评项目</w:t>
      </w:r>
      <w:r>
        <w:rPr>
          <w:rFonts w:hint="eastAsia" w:ascii="宋体" w:hAnsi="宋体"/>
          <w:szCs w:val="21"/>
          <w:u w:val="single"/>
        </w:rPr>
        <w:t>”相关服务</w:t>
      </w:r>
      <w:r>
        <w:rPr>
          <w:rFonts w:ascii="宋体" w:hAnsi="宋体"/>
          <w:szCs w:val="21"/>
        </w:rPr>
        <w:t>，并按照</w:t>
      </w:r>
      <w:r>
        <w:rPr>
          <w:rFonts w:hint="eastAsia" w:ascii="宋体" w:hAnsi="宋体"/>
          <w:szCs w:val="21"/>
        </w:rPr>
        <w:t>甲方</w:t>
      </w:r>
      <w:r>
        <w:rPr>
          <w:rFonts w:ascii="宋体" w:hAnsi="宋体"/>
          <w:szCs w:val="21"/>
        </w:rPr>
        <w:t>的要求进行定期服务</w:t>
      </w:r>
      <w:r>
        <w:rPr>
          <w:rFonts w:hint="eastAsia" w:ascii="宋体" w:hAnsi="宋体"/>
          <w:szCs w:val="21"/>
        </w:rPr>
        <w:t>。</w:t>
      </w:r>
    </w:p>
    <w:p>
      <w:pPr>
        <w:spacing w:line="360" w:lineRule="auto"/>
        <w:rPr>
          <w:rFonts w:ascii="宋体" w:hAnsi="宋体"/>
          <w:szCs w:val="21"/>
        </w:rPr>
      </w:pPr>
      <w:r>
        <w:rPr>
          <w:rFonts w:ascii="宋体" w:hAnsi="宋体"/>
          <w:szCs w:val="21"/>
        </w:rPr>
        <w:t>2</w:t>
      </w:r>
      <w:r>
        <w:rPr>
          <w:rFonts w:hint="eastAsia" w:ascii="宋体" w:hAnsi="宋体"/>
          <w:szCs w:val="21"/>
        </w:rPr>
        <w:t>、乙方负责于甲方重大安全播出保障期前进行上述服务范围的现场保障。</w:t>
      </w:r>
    </w:p>
    <w:p>
      <w:pPr>
        <w:spacing w:line="360" w:lineRule="auto"/>
        <w:rPr>
          <w:rFonts w:ascii="宋体" w:hAnsi="宋体"/>
          <w:szCs w:val="21"/>
        </w:rPr>
      </w:pPr>
      <w:r>
        <w:rPr>
          <w:rFonts w:ascii="宋体" w:hAnsi="宋体"/>
          <w:szCs w:val="21"/>
        </w:rPr>
        <w:t>3</w:t>
      </w:r>
      <w:r>
        <w:rPr>
          <w:rFonts w:hint="eastAsia" w:ascii="宋体" w:hAnsi="宋体"/>
          <w:szCs w:val="21"/>
        </w:rPr>
        <w:t>、</w:t>
      </w:r>
      <w:r>
        <w:rPr>
          <w:rFonts w:ascii="宋体" w:hAnsi="宋体"/>
          <w:szCs w:val="21"/>
        </w:rPr>
        <w:t>乙方技术人员在服务期间，应严格遵守甲方的各项规章制度，接受甲方的管理，乙方对不能胜任的乙方技术人员按甲方要求予以更换</w:t>
      </w:r>
      <w:r>
        <w:rPr>
          <w:rFonts w:hint="eastAsia" w:ascii="宋体" w:hAnsi="宋体"/>
          <w:szCs w:val="21"/>
        </w:rPr>
        <w:t>。</w:t>
      </w:r>
    </w:p>
    <w:p>
      <w:pPr>
        <w:spacing w:line="360" w:lineRule="auto"/>
        <w:rPr>
          <w:rFonts w:ascii="宋体" w:hAnsi="宋体"/>
          <w:szCs w:val="21"/>
        </w:rPr>
      </w:pPr>
      <w:r>
        <w:rPr>
          <w:rFonts w:ascii="宋体" w:hAnsi="宋体"/>
          <w:szCs w:val="21"/>
        </w:rPr>
        <w:t>4</w:t>
      </w:r>
      <w:r>
        <w:rPr>
          <w:rFonts w:hint="eastAsia" w:ascii="宋体" w:hAnsi="宋体"/>
          <w:szCs w:val="21"/>
        </w:rPr>
        <w:t>、本合同有效期间内，乙方经行业主管部门授予的资格（质）如发生变更，或出现机构变更、歇业、停产、转产等情况，应在15个工作日内书面通知甲方。</w:t>
      </w:r>
    </w:p>
    <w:p>
      <w:pPr>
        <w:spacing w:line="360" w:lineRule="auto"/>
        <w:outlineLvl w:val="0"/>
        <w:rPr>
          <w:b/>
          <w:szCs w:val="21"/>
        </w:rPr>
      </w:pPr>
      <w:r>
        <w:rPr>
          <w:rFonts w:hint="eastAsia"/>
          <w:b/>
          <w:szCs w:val="21"/>
        </w:rPr>
        <w:t>七</w:t>
      </w:r>
      <w:r>
        <w:rPr>
          <w:b/>
          <w:szCs w:val="21"/>
        </w:rPr>
        <w:t>、技术和资料的保密事项</w:t>
      </w:r>
    </w:p>
    <w:p>
      <w:pPr>
        <w:tabs>
          <w:tab w:val="left" w:pos="0"/>
        </w:tabs>
        <w:spacing w:line="360" w:lineRule="auto"/>
        <w:rPr>
          <w:szCs w:val="21"/>
        </w:rPr>
      </w:pPr>
      <w:r>
        <w:rPr>
          <w:rFonts w:hint="eastAsia"/>
          <w:szCs w:val="21"/>
        </w:rPr>
        <w:t>1、</w:t>
      </w:r>
      <w:r>
        <w:rPr>
          <w:szCs w:val="21"/>
        </w:rPr>
        <w:t>甲、乙双方同意，在任何时候，不论是合同有效期内还是合同终止以后，对任何一方提供的秘密信息或双方共有的秘密信息均实行严格保密。</w:t>
      </w:r>
    </w:p>
    <w:p>
      <w:pPr>
        <w:tabs>
          <w:tab w:val="left" w:pos="0"/>
        </w:tabs>
        <w:spacing w:line="360" w:lineRule="auto"/>
        <w:rPr>
          <w:szCs w:val="21"/>
        </w:rPr>
      </w:pPr>
      <w:r>
        <w:rPr>
          <w:rFonts w:hint="eastAsia"/>
          <w:szCs w:val="21"/>
        </w:rPr>
        <w:t>2、</w:t>
      </w:r>
      <w:r>
        <w:rPr>
          <w:szCs w:val="21"/>
        </w:rPr>
        <w:t>甲方在未得到乙方许可前提下，不得向任何第三方透露乙方提供的软件及所附全部文档和资料的商业秘密和技术秘密。</w:t>
      </w:r>
    </w:p>
    <w:p>
      <w:pPr>
        <w:tabs>
          <w:tab w:val="left" w:pos="0"/>
        </w:tabs>
        <w:spacing w:line="360" w:lineRule="auto"/>
        <w:rPr>
          <w:szCs w:val="21"/>
        </w:rPr>
      </w:pPr>
      <w:r>
        <w:rPr>
          <w:szCs w:val="21"/>
        </w:rPr>
        <w:t>3</w:t>
      </w:r>
      <w:r>
        <w:rPr>
          <w:rFonts w:hint="eastAsia"/>
          <w:szCs w:val="21"/>
        </w:rPr>
        <w:t>、</w:t>
      </w:r>
      <w:r>
        <w:rPr>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spacing w:line="360" w:lineRule="auto"/>
        <w:outlineLvl w:val="0"/>
        <w:rPr>
          <w:b/>
          <w:szCs w:val="21"/>
        </w:rPr>
      </w:pPr>
      <w:r>
        <w:rPr>
          <w:rFonts w:hint="eastAsia"/>
          <w:b/>
          <w:szCs w:val="21"/>
        </w:rPr>
        <w:t>八</w:t>
      </w:r>
      <w:r>
        <w:rPr>
          <w:b/>
          <w:szCs w:val="21"/>
        </w:rPr>
        <w:t>、双方责任</w:t>
      </w:r>
    </w:p>
    <w:p>
      <w:pPr>
        <w:tabs>
          <w:tab w:val="left" w:pos="0"/>
        </w:tabs>
        <w:spacing w:line="360" w:lineRule="auto"/>
        <w:rPr>
          <w:szCs w:val="21"/>
        </w:rPr>
      </w:pPr>
      <w:r>
        <w:rPr>
          <w:szCs w:val="21"/>
        </w:rPr>
        <w:t>甲方责任</w:t>
      </w:r>
    </w:p>
    <w:p>
      <w:pPr>
        <w:numPr>
          <w:ilvl w:val="0"/>
          <w:numId w:val="7"/>
        </w:numPr>
        <w:spacing w:line="360" w:lineRule="auto"/>
        <w:rPr>
          <w:szCs w:val="21"/>
        </w:rPr>
      </w:pPr>
      <w:r>
        <w:rPr>
          <w:szCs w:val="21"/>
        </w:rPr>
        <w:t>甲方需为乙方提供项目实施便利，积极配合乙方进行项目实施安装及调试。</w:t>
      </w:r>
    </w:p>
    <w:p>
      <w:pPr>
        <w:numPr>
          <w:ilvl w:val="0"/>
          <w:numId w:val="7"/>
        </w:numPr>
        <w:tabs>
          <w:tab w:val="left" w:pos="0"/>
        </w:tabs>
        <w:spacing w:line="360" w:lineRule="auto"/>
        <w:ind w:left="0" w:firstLine="0"/>
        <w:rPr>
          <w:szCs w:val="21"/>
        </w:rPr>
      </w:pPr>
      <w:r>
        <w:rPr>
          <w:szCs w:val="21"/>
        </w:rPr>
        <w:t>甲方需为乙方协调各方关系提供便利。</w:t>
      </w:r>
    </w:p>
    <w:p>
      <w:pPr>
        <w:numPr>
          <w:ilvl w:val="0"/>
          <w:numId w:val="7"/>
        </w:numPr>
        <w:tabs>
          <w:tab w:val="left" w:pos="0"/>
        </w:tabs>
        <w:spacing w:line="360" w:lineRule="auto"/>
        <w:ind w:left="0" w:firstLine="0"/>
        <w:rPr>
          <w:szCs w:val="21"/>
        </w:rPr>
      </w:pPr>
      <w:r>
        <w:rPr>
          <w:szCs w:val="21"/>
        </w:rPr>
        <w:t>甲方应指派管理人员、技术人员参加项目系统安装、系统测试和其它工作。</w:t>
      </w:r>
    </w:p>
    <w:p>
      <w:pPr>
        <w:spacing w:line="360" w:lineRule="auto"/>
        <w:ind w:firstLine="4" w:firstLineChars="2"/>
        <w:rPr>
          <w:szCs w:val="21"/>
        </w:rPr>
      </w:pPr>
      <w:r>
        <w:rPr>
          <w:szCs w:val="21"/>
        </w:rPr>
        <w:t>乙方责任</w:t>
      </w:r>
    </w:p>
    <w:p>
      <w:pPr>
        <w:numPr>
          <w:ilvl w:val="0"/>
          <w:numId w:val="8"/>
        </w:numPr>
        <w:tabs>
          <w:tab w:val="left" w:pos="0"/>
        </w:tabs>
        <w:spacing w:line="360" w:lineRule="auto"/>
        <w:ind w:left="0" w:firstLine="0"/>
        <w:rPr>
          <w:szCs w:val="21"/>
        </w:rPr>
      </w:pPr>
      <w:r>
        <w:rPr>
          <w:szCs w:val="21"/>
        </w:rPr>
        <w:t>乙方承诺：除</w:t>
      </w:r>
      <w:r>
        <w:rPr>
          <w:rFonts w:hint="eastAsia"/>
          <w:szCs w:val="21"/>
        </w:rPr>
        <w:t>响应文件</w:t>
      </w:r>
      <w:r>
        <w:rPr>
          <w:szCs w:val="21"/>
        </w:rPr>
        <w:t>及后续书面承诺标明的偏离外，乙方提供的服务均满足</w:t>
      </w:r>
      <w:r>
        <w:rPr>
          <w:rFonts w:hint="eastAsia"/>
          <w:szCs w:val="21"/>
        </w:rPr>
        <w:t>磋商文件</w:t>
      </w:r>
      <w:r>
        <w:rPr>
          <w:szCs w:val="21"/>
        </w:rPr>
        <w:t>要求。</w:t>
      </w:r>
    </w:p>
    <w:p>
      <w:pPr>
        <w:numPr>
          <w:ilvl w:val="0"/>
          <w:numId w:val="8"/>
        </w:numPr>
        <w:tabs>
          <w:tab w:val="left" w:pos="0"/>
        </w:tabs>
        <w:spacing w:line="360" w:lineRule="auto"/>
        <w:ind w:left="0" w:firstLine="0"/>
        <w:rPr>
          <w:szCs w:val="21"/>
        </w:rPr>
      </w:pPr>
      <w:r>
        <w:rPr>
          <w:szCs w:val="21"/>
        </w:rPr>
        <w:t>乙方应按照</w:t>
      </w:r>
      <w:r>
        <w:rPr>
          <w:rFonts w:hint="eastAsia"/>
          <w:szCs w:val="21"/>
        </w:rPr>
        <w:t>磋商文件</w:t>
      </w:r>
      <w:r>
        <w:rPr>
          <w:szCs w:val="21"/>
        </w:rPr>
        <w:t>、</w:t>
      </w:r>
      <w:r>
        <w:rPr>
          <w:rFonts w:hint="eastAsia"/>
          <w:szCs w:val="21"/>
        </w:rPr>
        <w:t>响应文件</w:t>
      </w:r>
      <w:r>
        <w:rPr>
          <w:szCs w:val="21"/>
        </w:rPr>
        <w:t>、乙方后续书面承诺的技术要求以及甲、乙双方协定补充文件，提供合格的产品，并保证通过甲方的验收。</w:t>
      </w:r>
    </w:p>
    <w:p>
      <w:pPr>
        <w:numPr>
          <w:ilvl w:val="0"/>
          <w:numId w:val="8"/>
        </w:numPr>
        <w:tabs>
          <w:tab w:val="left" w:pos="0"/>
        </w:tabs>
        <w:spacing w:line="360" w:lineRule="auto"/>
        <w:ind w:left="0" w:firstLine="0"/>
        <w:rPr>
          <w:szCs w:val="21"/>
        </w:rPr>
      </w:pPr>
      <w:r>
        <w:rPr>
          <w:szCs w:val="21"/>
        </w:rPr>
        <w:t>在</w:t>
      </w:r>
      <w:r>
        <w:rPr>
          <w:rFonts w:hint="eastAsia"/>
          <w:szCs w:val="21"/>
        </w:rPr>
        <w:t>服务</w:t>
      </w:r>
      <w:r>
        <w:rPr>
          <w:szCs w:val="21"/>
        </w:rPr>
        <w:t>过程中，乙方须保证不影响甲方现有系统的正常运行和现有业务的正常发展。</w:t>
      </w:r>
    </w:p>
    <w:p>
      <w:pPr>
        <w:numPr>
          <w:ilvl w:val="0"/>
          <w:numId w:val="8"/>
        </w:numPr>
        <w:tabs>
          <w:tab w:val="left" w:pos="0"/>
        </w:tabs>
        <w:spacing w:line="360" w:lineRule="auto"/>
        <w:ind w:left="0" w:firstLine="0"/>
        <w:rPr>
          <w:szCs w:val="21"/>
        </w:rPr>
      </w:pPr>
      <w:r>
        <w:rPr>
          <w:szCs w:val="21"/>
        </w:rPr>
        <w:t>乙方保证在</w:t>
      </w:r>
      <w:r>
        <w:rPr>
          <w:rFonts w:hint="eastAsia"/>
          <w:szCs w:val="21"/>
        </w:rPr>
        <w:t>服务</w:t>
      </w:r>
      <w:r>
        <w:rPr>
          <w:szCs w:val="21"/>
        </w:rPr>
        <w:t>过程中不非法使用第三方软件。</w:t>
      </w:r>
      <w:r>
        <w:rPr>
          <w:rFonts w:hint="eastAsia"/>
          <w:szCs w:val="21"/>
        </w:rPr>
        <w:t>不侵犯第三人含知识产权在内的任何合法权益，否则，甲方有权立即解除合同，乙方应承担甲方由此遭受的全部损失。</w:t>
      </w:r>
    </w:p>
    <w:p>
      <w:pPr>
        <w:numPr>
          <w:ilvl w:val="0"/>
          <w:numId w:val="8"/>
        </w:numPr>
        <w:tabs>
          <w:tab w:val="left" w:pos="0"/>
        </w:tabs>
        <w:spacing w:line="360" w:lineRule="auto"/>
        <w:ind w:left="0" w:firstLine="0"/>
        <w:rPr>
          <w:szCs w:val="21"/>
        </w:rPr>
      </w:pPr>
      <w:r>
        <w:rPr>
          <w:szCs w:val="21"/>
        </w:rPr>
        <w:t>乙方按照要求提供产品合格证书、产品检测记录、调试记录等技术资料。</w:t>
      </w:r>
    </w:p>
    <w:p>
      <w:pPr>
        <w:numPr>
          <w:ilvl w:val="0"/>
          <w:numId w:val="8"/>
        </w:numPr>
        <w:tabs>
          <w:tab w:val="left" w:pos="0"/>
        </w:tabs>
        <w:spacing w:line="360" w:lineRule="auto"/>
        <w:ind w:left="0" w:firstLine="0"/>
        <w:rPr>
          <w:szCs w:val="21"/>
        </w:rPr>
      </w:pPr>
      <w:r>
        <w:rPr>
          <w:szCs w:val="21"/>
        </w:rPr>
        <w:t>乙方负责配合相关厂家，定期检查</w:t>
      </w:r>
      <w:r>
        <w:rPr>
          <w:rFonts w:hint="eastAsia"/>
          <w:szCs w:val="21"/>
        </w:rPr>
        <w:t>系统</w:t>
      </w:r>
      <w:r>
        <w:rPr>
          <w:szCs w:val="21"/>
        </w:rPr>
        <w:t>、及时排查</w:t>
      </w:r>
      <w:r>
        <w:rPr>
          <w:rFonts w:hint="eastAsia"/>
          <w:szCs w:val="21"/>
        </w:rPr>
        <w:t>系统</w:t>
      </w:r>
      <w:r>
        <w:rPr>
          <w:szCs w:val="21"/>
        </w:rPr>
        <w:t>故障。</w:t>
      </w:r>
    </w:p>
    <w:p>
      <w:pPr>
        <w:numPr>
          <w:ilvl w:val="0"/>
          <w:numId w:val="8"/>
        </w:numPr>
        <w:tabs>
          <w:tab w:val="left" w:pos="0"/>
        </w:tabs>
        <w:spacing w:line="360" w:lineRule="auto"/>
        <w:ind w:left="0" w:firstLine="0"/>
        <w:rPr>
          <w:szCs w:val="21"/>
        </w:rPr>
      </w:pPr>
      <w:r>
        <w:rPr>
          <w:rFonts w:hint="eastAsia" w:ascii="宋体" w:hAnsi="宋体"/>
          <w:szCs w:val="21"/>
        </w:rPr>
        <w:t>乙方保证不在软件中对功能、性能、容量进行人为限制，不得含有陷阱、逻辑炸弹、后门等非法程序代码。</w:t>
      </w:r>
    </w:p>
    <w:p>
      <w:pPr>
        <w:numPr>
          <w:ilvl w:val="0"/>
          <w:numId w:val="8"/>
        </w:numPr>
        <w:tabs>
          <w:tab w:val="left" w:pos="0"/>
        </w:tabs>
        <w:spacing w:line="360" w:lineRule="auto"/>
        <w:ind w:left="0" w:firstLine="0"/>
        <w:rPr>
          <w:szCs w:val="21"/>
        </w:rPr>
      </w:pPr>
      <w:r>
        <w:rPr>
          <w:rFonts w:hint="eastAsia" w:ascii="宋体" w:hAnsi="宋体"/>
          <w:szCs w:val="21"/>
        </w:rPr>
        <w:t>乙方保证按培训计划对甲方技术人员进行培训，向甲方公开所有技术细节和技术资料，使甲方人员完全了解和掌握系统设备性能。</w:t>
      </w:r>
    </w:p>
    <w:p>
      <w:pPr>
        <w:numPr>
          <w:ilvl w:val="0"/>
          <w:numId w:val="8"/>
        </w:numPr>
        <w:tabs>
          <w:tab w:val="left" w:pos="0"/>
        </w:tabs>
        <w:spacing w:line="360" w:lineRule="auto"/>
        <w:ind w:left="0" w:right="44" w:rightChars="21" w:firstLine="0"/>
        <w:rPr>
          <w:rFonts w:ascii="宋体" w:hAnsi="宋体"/>
          <w:szCs w:val="21"/>
        </w:rPr>
      </w:pPr>
      <w:r>
        <w:rPr>
          <w:rFonts w:hint="eastAsia" w:ascii="宋体" w:hAnsi="宋体"/>
          <w:szCs w:val="21"/>
        </w:rPr>
        <w:t>乙方应为其人员（含派驻甲方的技术工程师）提供相应劳动保护，非因甲方原因，乙方人员遭受人身、财产损害，或乙方人员造成甲方、第三人人身财产损害的，由乙方承担全部责任。</w:t>
      </w:r>
    </w:p>
    <w:p>
      <w:pPr>
        <w:spacing w:line="360" w:lineRule="auto"/>
        <w:outlineLvl w:val="0"/>
        <w:rPr>
          <w:b/>
          <w:szCs w:val="21"/>
        </w:rPr>
      </w:pPr>
      <w:r>
        <w:rPr>
          <w:rFonts w:hint="eastAsia"/>
          <w:b/>
          <w:szCs w:val="21"/>
        </w:rPr>
        <w:t>九</w:t>
      </w:r>
      <w:r>
        <w:rPr>
          <w:b/>
          <w:szCs w:val="21"/>
        </w:rPr>
        <w:t>、违约责任</w:t>
      </w:r>
    </w:p>
    <w:p>
      <w:pPr>
        <w:numPr>
          <w:ilvl w:val="0"/>
          <w:numId w:val="9"/>
        </w:numPr>
        <w:spacing w:line="300" w:lineRule="auto"/>
        <w:rPr>
          <w:rFonts w:ascii="宋体" w:hAnsi="宋体"/>
          <w:szCs w:val="21"/>
        </w:rPr>
      </w:pPr>
      <w:r>
        <w:rPr>
          <w:rFonts w:hint="eastAsia" w:ascii="宋体" w:hAnsi="宋体"/>
          <w:szCs w:val="21"/>
        </w:rPr>
        <w:t>若</w:t>
      </w:r>
      <w:r>
        <w:rPr>
          <w:rFonts w:ascii="宋体" w:hAnsi="宋体"/>
          <w:szCs w:val="21"/>
        </w:rPr>
        <w:t>乙方</w:t>
      </w:r>
      <w:r>
        <w:rPr>
          <w:rFonts w:hint="eastAsia" w:ascii="宋体" w:hAnsi="宋体"/>
          <w:szCs w:val="21"/>
        </w:rPr>
        <w:t>如有一次</w:t>
      </w:r>
      <w:r>
        <w:rPr>
          <w:rFonts w:ascii="宋体" w:hAnsi="宋体"/>
          <w:szCs w:val="21"/>
        </w:rPr>
        <w:t>不能按</w:t>
      </w:r>
      <w:r>
        <w:rPr>
          <w:rFonts w:hint="eastAsia" w:ascii="宋体" w:hAnsi="宋体"/>
          <w:szCs w:val="21"/>
        </w:rPr>
        <w:t>工作</w:t>
      </w:r>
      <w:r>
        <w:rPr>
          <w:rFonts w:ascii="宋体" w:hAnsi="宋体"/>
          <w:szCs w:val="21"/>
        </w:rPr>
        <w:t>计划完成日常服务工作或完成作业计划质量达不到</w:t>
      </w:r>
      <w:r>
        <w:rPr>
          <w:rFonts w:hint="eastAsia" w:ascii="宋体" w:hAnsi="宋体"/>
          <w:szCs w:val="21"/>
        </w:rPr>
        <w:t>合同</w:t>
      </w:r>
      <w:r>
        <w:rPr>
          <w:rFonts w:ascii="宋体" w:hAnsi="宋体"/>
          <w:szCs w:val="21"/>
        </w:rPr>
        <w:t>要求，根据实际情况，乙方应按本合同总</w:t>
      </w:r>
      <w:r>
        <w:rPr>
          <w:rFonts w:hint="eastAsia" w:ascii="宋体" w:hAnsi="宋体"/>
          <w:szCs w:val="21"/>
        </w:rPr>
        <w:t>金</w:t>
      </w:r>
      <w:r>
        <w:rPr>
          <w:rFonts w:ascii="宋体" w:hAnsi="宋体"/>
          <w:szCs w:val="21"/>
        </w:rPr>
        <w:t>额的1%向甲方支付违约金。</w:t>
      </w:r>
    </w:p>
    <w:p>
      <w:pPr>
        <w:numPr>
          <w:ilvl w:val="0"/>
          <w:numId w:val="9"/>
        </w:numPr>
        <w:spacing w:line="300" w:lineRule="auto"/>
        <w:rPr>
          <w:rFonts w:ascii="宋体" w:hAnsi="宋体"/>
          <w:szCs w:val="21"/>
        </w:rPr>
      </w:pPr>
      <w:r>
        <w:rPr>
          <w:rFonts w:ascii="宋体" w:hAnsi="宋体"/>
          <w:szCs w:val="21"/>
        </w:rPr>
        <w:t>服务期间，乙方技术人员</w:t>
      </w:r>
      <w:r>
        <w:rPr>
          <w:rFonts w:hint="eastAsia" w:ascii="宋体" w:hAnsi="宋体"/>
          <w:szCs w:val="21"/>
        </w:rPr>
        <w:t>如有一次</w:t>
      </w:r>
      <w:r>
        <w:rPr>
          <w:rFonts w:ascii="宋体" w:hAnsi="宋体"/>
          <w:szCs w:val="21"/>
        </w:rPr>
        <w:t>违反甲方的规章制度，</w:t>
      </w:r>
      <w:r>
        <w:rPr>
          <w:rFonts w:hint="eastAsia" w:ascii="宋体" w:hAnsi="宋体"/>
          <w:szCs w:val="21"/>
        </w:rPr>
        <w:t>并</w:t>
      </w:r>
      <w:r>
        <w:rPr>
          <w:rFonts w:ascii="宋体" w:hAnsi="宋体"/>
          <w:szCs w:val="21"/>
        </w:rPr>
        <w:t>造成损失的，乙方除了无条件更换技术人员外，应按不高于本合同总</w:t>
      </w:r>
      <w:r>
        <w:rPr>
          <w:rFonts w:hint="eastAsia" w:ascii="宋体" w:hAnsi="宋体"/>
          <w:szCs w:val="21"/>
        </w:rPr>
        <w:t>金</w:t>
      </w:r>
      <w:r>
        <w:rPr>
          <w:rFonts w:ascii="宋体" w:hAnsi="宋体"/>
          <w:szCs w:val="21"/>
        </w:rPr>
        <w:t>额的1%向甲方支付违约金。</w:t>
      </w:r>
    </w:p>
    <w:p>
      <w:pPr>
        <w:numPr>
          <w:ilvl w:val="0"/>
          <w:numId w:val="9"/>
        </w:numPr>
        <w:spacing w:line="300" w:lineRule="auto"/>
        <w:rPr>
          <w:rFonts w:ascii="宋体" w:hAnsi="宋体"/>
          <w:szCs w:val="21"/>
        </w:rPr>
      </w:pPr>
      <w:r>
        <w:rPr>
          <w:rFonts w:ascii="宋体" w:hAnsi="宋体"/>
          <w:szCs w:val="21"/>
        </w:rPr>
        <w:t>服务期间，乙方人员</w:t>
      </w:r>
      <w:r>
        <w:rPr>
          <w:rFonts w:hint="eastAsia" w:ascii="宋体" w:hAnsi="宋体"/>
          <w:szCs w:val="21"/>
        </w:rPr>
        <w:t>如有一次因</w:t>
      </w:r>
      <w:r>
        <w:rPr>
          <w:rFonts w:ascii="宋体" w:hAnsi="宋体"/>
          <w:szCs w:val="21"/>
        </w:rPr>
        <w:t>操作不当或违犯操作规程造成甲方设备损坏，乙方应承担损坏设备的全部恢复责任，并向甲方支付</w:t>
      </w:r>
      <w:r>
        <w:rPr>
          <w:rFonts w:hint="eastAsia" w:ascii="宋体" w:hAnsi="宋体"/>
          <w:szCs w:val="21"/>
        </w:rPr>
        <w:t>不超过</w:t>
      </w:r>
      <w:r>
        <w:rPr>
          <w:rFonts w:ascii="宋体" w:hAnsi="宋体"/>
          <w:szCs w:val="21"/>
        </w:rPr>
        <w:t>本合同总</w:t>
      </w:r>
      <w:r>
        <w:rPr>
          <w:rFonts w:hint="eastAsia" w:ascii="宋体" w:hAnsi="宋体"/>
          <w:szCs w:val="21"/>
        </w:rPr>
        <w:t>金</w:t>
      </w:r>
      <w:r>
        <w:rPr>
          <w:rFonts w:ascii="宋体" w:hAnsi="宋体"/>
          <w:szCs w:val="21"/>
        </w:rPr>
        <w:t>额5%的违约金。</w:t>
      </w:r>
    </w:p>
    <w:p>
      <w:pPr>
        <w:numPr>
          <w:ilvl w:val="0"/>
          <w:numId w:val="9"/>
        </w:numPr>
        <w:spacing w:line="300" w:lineRule="auto"/>
        <w:rPr>
          <w:rFonts w:ascii="宋体" w:hAnsi="宋体"/>
          <w:szCs w:val="21"/>
        </w:rPr>
      </w:pPr>
      <w:r>
        <w:rPr>
          <w:rFonts w:ascii="宋体" w:hAnsi="宋体"/>
          <w:szCs w:val="21"/>
        </w:rPr>
        <w:t>合同有效期内，由</w:t>
      </w:r>
      <w:r>
        <w:rPr>
          <w:rFonts w:hint="eastAsia" w:ascii="宋体" w:hAnsi="宋体"/>
          <w:szCs w:val="21"/>
        </w:rPr>
        <w:t>本章第一条至第三条</w:t>
      </w:r>
      <w:r>
        <w:rPr>
          <w:rFonts w:ascii="宋体" w:hAnsi="宋体"/>
          <w:szCs w:val="21"/>
        </w:rPr>
        <w:t>发生的违约金累计不得超过本合同总金额的20%</w:t>
      </w:r>
      <w:r>
        <w:rPr>
          <w:rFonts w:hint="eastAsia" w:ascii="宋体" w:hAnsi="宋体"/>
          <w:szCs w:val="21"/>
        </w:rPr>
        <w:t>。</w:t>
      </w:r>
    </w:p>
    <w:p>
      <w:pPr>
        <w:spacing w:line="360" w:lineRule="auto"/>
        <w:outlineLvl w:val="0"/>
        <w:rPr>
          <w:b/>
          <w:szCs w:val="21"/>
        </w:rPr>
      </w:pPr>
      <w:r>
        <w:rPr>
          <w:b/>
          <w:szCs w:val="21"/>
        </w:rPr>
        <w:t>十、廉洁条款</w:t>
      </w:r>
    </w:p>
    <w:p>
      <w:pPr>
        <w:numPr>
          <w:ilvl w:val="0"/>
          <w:numId w:val="10"/>
        </w:numPr>
        <w:tabs>
          <w:tab w:val="left" w:pos="0"/>
          <w:tab w:val="clear" w:pos="1155"/>
        </w:tabs>
        <w:spacing w:line="360" w:lineRule="auto"/>
        <w:ind w:left="0" w:firstLine="0"/>
        <w:rPr>
          <w:szCs w:val="21"/>
        </w:rPr>
      </w:pPr>
      <w:r>
        <w:rPr>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0"/>
        </w:numPr>
        <w:tabs>
          <w:tab w:val="left" w:pos="0"/>
          <w:tab w:val="clear" w:pos="1155"/>
        </w:tabs>
        <w:spacing w:line="360" w:lineRule="auto"/>
        <w:ind w:left="0" w:firstLine="0"/>
        <w:rPr>
          <w:szCs w:val="21"/>
        </w:rPr>
      </w:pPr>
      <w:r>
        <w:rPr>
          <w:szCs w:val="21"/>
        </w:rPr>
        <w:t>乙方不得以任何借口向甲方人员送以礼金、有价证券、物品，不得为甲方人员报销任何费用，不得邀请甲方人员参加其任何的宴请和娱乐活动。一经发现有上述行为，甲方有权</w:t>
      </w:r>
      <w:r>
        <w:rPr>
          <w:rFonts w:hint="eastAsia" w:ascii="宋体" w:hAnsi="宋体"/>
          <w:szCs w:val="21"/>
        </w:rPr>
        <w:t>一次性扣除全部廉政保证金、</w:t>
      </w:r>
      <w:r>
        <w:rPr>
          <w:szCs w:val="21"/>
        </w:rPr>
        <w:t>终止与乙方的合同，并不再邀请乙方参加任何招标活动。</w:t>
      </w:r>
    </w:p>
    <w:p>
      <w:pPr>
        <w:spacing w:line="360" w:lineRule="auto"/>
        <w:outlineLvl w:val="0"/>
        <w:rPr>
          <w:b/>
          <w:szCs w:val="21"/>
        </w:rPr>
      </w:pPr>
      <w:r>
        <w:rPr>
          <w:b/>
          <w:szCs w:val="21"/>
        </w:rPr>
        <w:t>十</w:t>
      </w:r>
      <w:r>
        <w:rPr>
          <w:rFonts w:hint="eastAsia"/>
          <w:b/>
          <w:szCs w:val="21"/>
        </w:rPr>
        <w:t>一</w:t>
      </w:r>
      <w:r>
        <w:rPr>
          <w:b/>
          <w:szCs w:val="21"/>
        </w:rPr>
        <w:t>、不可抗力</w:t>
      </w:r>
    </w:p>
    <w:p>
      <w:pPr>
        <w:numPr>
          <w:ilvl w:val="0"/>
          <w:numId w:val="11"/>
        </w:numPr>
        <w:tabs>
          <w:tab w:val="left" w:pos="0"/>
        </w:tabs>
        <w:spacing w:line="360" w:lineRule="auto"/>
        <w:rPr>
          <w:szCs w:val="21"/>
        </w:rPr>
      </w:pPr>
      <w:r>
        <w:rPr>
          <w:szCs w:val="21"/>
        </w:rPr>
        <w:t>当发生不可抗拒事故时，受影响一方应于10日内以</w:t>
      </w:r>
      <w:r>
        <w:rPr>
          <w:rFonts w:hint="eastAsia"/>
          <w:szCs w:val="21"/>
        </w:rPr>
        <w:t>书面</w:t>
      </w:r>
      <w:r>
        <w:rPr>
          <w:szCs w:val="21"/>
        </w:rPr>
        <w:t>形式通知对方，以减轻可能给对方造成的损失，并应当在合理期限内提供证明。</w:t>
      </w:r>
    </w:p>
    <w:p>
      <w:pPr>
        <w:numPr>
          <w:ilvl w:val="0"/>
          <w:numId w:val="11"/>
        </w:numPr>
        <w:tabs>
          <w:tab w:val="left" w:pos="0"/>
        </w:tabs>
        <w:spacing w:line="360" w:lineRule="auto"/>
        <w:rPr>
          <w:szCs w:val="21"/>
        </w:rPr>
      </w:pPr>
      <w:r>
        <w:rPr>
          <w:szCs w:val="21"/>
        </w:rPr>
        <w:t>当不可抗力事故终止后，受影响一方应以</w:t>
      </w:r>
      <w:r>
        <w:rPr>
          <w:rFonts w:hint="eastAsia"/>
          <w:szCs w:val="21"/>
        </w:rPr>
        <w:t>书面</w:t>
      </w:r>
      <w:r>
        <w:rPr>
          <w:szCs w:val="21"/>
        </w:rPr>
        <w:t>的形式通知对方，双方商定合同是否继续履行。</w:t>
      </w:r>
    </w:p>
    <w:p>
      <w:pPr>
        <w:numPr>
          <w:ilvl w:val="0"/>
          <w:numId w:val="11"/>
        </w:numPr>
        <w:tabs>
          <w:tab w:val="left" w:pos="0"/>
        </w:tabs>
        <w:spacing w:line="360" w:lineRule="auto"/>
        <w:rPr>
          <w:szCs w:val="21"/>
        </w:rPr>
      </w:pPr>
      <w:r>
        <w:rPr>
          <w:szCs w:val="21"/>
        </w:rPr>
        <w:t>不可抗力，互不追究或承担违约责任。但有违约因素的除外。</w:t>
      </w:r>
    </w:p>
    <w:p>
      <w:pPr>
        <w:spacing w:line="360" w:lineRule="auto"/>
        <w:outlineLvl w:val="0"/>
        <w:rPr>
          <w:b/>
          <w:szCs w:val="21"/>
        </w:rPr>
      </w:pPr>
      <w:r>
        <w:rPr>
          <w:b/>
          <w:szCs w:val="21"/>
        </w:rPr>
        <w:t>十</w:t>
      </w:r>
      <w:r>
        <w:rPr>
          <w:rFonts w:hint="eastAsia"/>
          <w:b/>
          <w:szCs w:val="21"/>
        </w:rPr>
        <w:t>二</w:t>
      </w:r>
      <w:r>
        <w:rPr>
          <w:b/>
          <w:szCs w:val="21"/>
        </w:rPr>
        <w:t>、解决纠纷的方式</w:t>
      </w:r>
    </w:p>
    <w:p>
      <w:pPr>
        <w:numPr>
          <w:ilvl w:val="0"/>
          <w:numId w:val="12"/>
        </w:numPr>
        <w:tabs>
          <w:tab w:val="left" w:pos="0"/>
        </w:tabs>
        <w:spacing w:line="360" w:lineRule="auto"/>
        <w:rPr>
          <w:szCs w:val="21"/>
        </w:rPr>
      </w:pPr>
      <w:r>
        <w:rPr>
          <w:szCs w:val="21"/>
        </w:rPr>
        <w:t>凡由执行本合同引起或与合同有关的争议，均应通过友好协商解决；协商不成的，由甲方所在地</w:t>
      </w:r>
      <w:r>
        <w:rPr>
          <w:rFonts w:hint="eastAsia" w:ascii="宋体" w:hAnsi="宋体"/>
          <w:szCs w:val="21"/>
        </w:rPr>
        <w:t>有管辖权的</w:t>
      </w:r>
      <w:r>
        <w:rPr>
          <w:szCs w:val="21"/>
        </w:rPr>
        <w:t>人民法院裁决。</w:t>
      </w:r>
    </w:p>
    <w:p>
      <w:pPr>
        <w:numPr>
          <w:ilvl w:val="0"/>
          <w:numId w:val="12"/>
        </w:numPr>
        <w:tabs>
          <w:tab w:val="left" w:pos="0"/>
        </w:tabs>
        <w:spacing w:line="360" w:lineRule="auto"/>
        <w:rPr>
          <w:szCs w:val="21"/>
        </w:rPr>
      </w:pPr>
      <w:r>
        <w:rPr>
          <w:szCs w:val="21"/>
        </w:rPr>
        <w:t>除争议事项待处理外，双方应继续执行合同无争议部分，除非无争议部分不可单独履行。</w:t>
      </w:r>
    </w:p>
    <w:p>
      <w:pPr>
        <w:numPr>
          <w:ilvl w:val="0"/>
          <w:numId w:val="12"/>
        </w:numPr>
        <w:tabs>
          <w:tab w:val="left" w:pos="0"/>
          <w:tab w:val="left" w:pos="420"/>
        </w:tabs>
        <w:spacing w:line="360" w:lineRule="auto"/>
        <w:rPr>
          <w:szCs w:val="21"/>
        </w:rPr>
      </w:pPr>
      <w:r>
        <w:rPr>
          <w:szCs w:val="21"/>
        </w:rPr>
        <w:t>本合同适用于中华人民共和国</w:t>
      </w:r>
      <w:r>
        <w:rPr>
          <w:rFonts w:hint="eastAsia" w:ascii="宋体" w:hAnsi="宋体"/>
          <w:szCs w:val="21"/>
        </w:rPr>
        <w:t>大陆地区现行有效的</w:t>
      </w:r>
      <w:r>
        <w:rPr>
          <w:szCs w:val="21"/>
        </w:rPr>
        <w:t>法律。</w:t>
      </w:r>
    </w:p>
    <w:p>
      <w:pPr>
        <w:spacing w:line="360" w:lineRule="auto"/>
        <w:outlineLvl w:val="0"/>
        <w:rPr>
          <w:b/>
          <w:szCs w:val="21"/>
        </w:rPr>
      </w:pPr>
      <w:r>
        <w:rPr>
          <w:b/>
          <w:szCs w:val="21"/>
        </w:rPr>
        <w:t>十</w:t>
      </w:r>
      <w:r>
        <w:rPr>
          <w:rFonts w:hint="eastAsia"/>
          <w:b/>
          <w:szCs w:val="21"/>
        </w:rPr>
        <w:t>三</w:t>
      </w:r>
      <w:r>
        <w:rPr>
          <w:b/>
          <w:szCs w:val="21"/>
        </w:rPr>
        <w:t>、合同生效及其他：</w:t>
      </w:r>
    </w:p>
    <w:p>
      <w:pPr>
        <w:numPr>
          <w:ilvl w:val="0"/>
          <w:numId w:val="13"/>
        </w:numPr>
        <w:tabs>
          <w:tab w:val="left" w:pos="0"/>
        </w:tabs>
        <w:spacing w:line="360" w:lineRule="auto"/>
        <w:rPr>
          <w:szCs w:val="21"/>
        </w:rPr>
      </w:pPr>
      <w:r>
        <w:rPr>
          <w:szCs w:val="21"/>
        </w:rPr>
        <w:t>合同的生效期：本合同一式</w:t>
      </w:r>
      <w:r>
        <w:rPr>
          <w:rFonts w:hint="eastAsia"/>
          <w:szCs w:val="21"/>
        </w:rPr>
        <w:t>四</w:t>
      </w:r>
      <w:r>
        <w:rPr>
          <w:szCs w:val="21"/>
        </w:rPr>
        <w:t>份（甲</w:t>
      </w:r>
      <w:r>
        <w:rPr>
          <w:rFonts w:hint="eastAsia"/>
          <w:szCs w:val="21"/>
        </w:rPr>
        <w:t>方二份</w:t>
      </w:r>
      <w:r>
        <w:rPr>
          <w:szCs w:val="21"/>
        </w:rPr>
        <w:t>、乙方二份），</w:t>
      </w:r>
      <w:r>
        <w:rPr>
          <w:rFonts w:hint="eastAsia"/>
          <w:color w:val="000000"/>
          <w:szCs w:val="21"/>
        </w:rPr>
        <w:t>每份均具有同等的法律效力</w:t>
      </w:r>
      <w:r>
        <w:rPr>
          <w:color w:val="000000"/>
          <w:szCs w:val="21"/>
        </w:rPr>
        <w:t>，</w:t>
      </w:r>
      <w:r>
        <w:rPr>
          <w:szCs w:val="21"/>
        </w:rPr>
        <w:t>自甲、乙双方盖章</w:t>
      </w:r>
      <w:r>
        <w:rPr>
          <w:rFonts w:hint="eastAsia"/>
          <w:szCs w:val="21"/>
        </w:rPr>
        <w:t>之日起生效</w:t>
      </w:r>
      <w:r>
        <w:rPr>
          <w:szCs w:val="21"/>
        </w:rPr>
        <w:t>。</w:t>
      </w:r>
    </w:p>
    <w:p>
      <w:pPr>
        <w:numPr>
          <w:ilvl w:val="0"/>
          <w:numId w:val="13"/>
        </w:numPr>
        <w:tabs>
          <w:tab w:val="left" w:pos="0"/>
        </w:tabs>
        <w:spacing w:line="360" w:lineRule="auto"/>
        <w:rPr>
          <w:szCs w:val="21"/>
        </w:rPr>
      </w:pPr>
      <w:r>
        <w:rPr>
          <w:szCs w:val="21"/>
        </w:rPr>
        <w:t>本合同所有附件为本合同不可分割的组成部分，与合同正文有同等的法律效力：</w:t>
      </w:r>
    </w:p>
    <w:p>
      <w:pPr>
        <w:tabs>
          <w:tab w:val="left" w:pos="0"/>
        </w:tabs>
        <w:spacing w:line="360" w:lineRule="auto"/>
        <w:ind w:firstLine="420" w:firstLineChars="200"/>
        <w:rPr>
          <w:szCs w:val="21"/>
        </w:rPr>
      </w:pPr>
      <w:r>
        <w:rPr>
          <w:rFonts w:hint="eastAsia"/>
          <w:szCs w:val="21"/>
        </w:rPr>
        <w:t>（1）</w:t>
      </w:r>
      <w:r>
        <w:rPr>
          <w:szCs w:val="21"/>
        </w:rPr>
        <w:t>甲方的</w:t>
      </w:r>
      <w:r>
        <w:rPr>
          <w:rFonts w:hint="eastAsia"/>
          <w:szCs w:val="21"/>
        </w:rPr>
        <w:t>磋商文件</w:t>
      </w:r>
      <w:r>
        <w:rPr>
          <w:szCs w:val="21"/>
        </w:rPr>
        <w:t>、乙方的</w:t>
      </w:r>
      <w:r>
        <w:rPr>
          <w:rFonts w:hint="eastAsia"/>
          <w:szCs w:val="21"/>
        </w:rPr>
        <w:t>响应文件</w:t>
      </w:r>
      <w:r>
        <w:rPr>
          <w:szCs w:val="21"/>
        </w:rPr>
        <w:t>、乙方的</w:t>
      </w:r>
      <w:r>
        <w:rPr>
          <w:rFonts w:hint="eastAsia"/>
          <w:szCs w:val="21"/>
        </w:rPr>
        <w:t>磋商</w:t>
      </w:r>
      <w:r>
        <w:rPr>
          <w:szCs w:val="21"/>
        </w:rPr>
        <w:t>报价表、</w:t>
      </w:r>
      <w:r>
        <w:rPr>
          <w:rFonts w:hint="eastAsia"/>
          <w:szCs w:val="21"/>
        </w:rPr>
        <w:t>磋商</w:t>
      </w:r>
      <w:r>
        <w:rPr>
          <w:szCs w:val="21"/>
        </w:rPr>
        <w:t>时卖方做出的书面承诺及其它补充修改的部分</w:t>
      </w:r>
      <w:r>
        <w:rPr>
          <w:rFonts w:hint="eastAsia"/>
          <w:szCs w:val="21"/>
        </w:rPr>
        <w:t>；</w:t>
      </w:r>
    </w:p>
    <w:p>
      <w:pPr>
        <w:tabs>
          <w:tab w:val="left" w:pos="0"/>
        </w:tabs>
        <w:spacing w:line="360" w:lineRule="auto"/>
        <w:ind w:left="420"/>
        <w:rPr>
          <w:szCs w:val="21"/>
        </w:rPr>
      </w:pPr>
      <w:r>
        <w:rPr>
          <w:rFonts w:hint="eastAsia"/>
          <w:szCs w:val="21"/>
        </w:rPr>
        <w:t>（2）在执行本合同期间，</w:t>
      </w:r>
      <w:r>
        <w:rPr>
          <w:szCs w:val="21"/>
        </w:rPr>
        <w:t>甲乙</w:t>
      </w:r>
      <w:r>
        <w:rPr>
          <w:rFonts w:hint="eastAsia"/>
          <w:szCs w:val="21"/>
        </w:rPr>
        <w:t>双方的所有通知均应采用书面的方式。</w:t>
      </w:r>
    </w:p>
    <w:p>
      <w:pPr>
        <w:numPr>
          <w:ilvl w:val="0"/>
          <w:numId w:val="13"/>
        </w:numPr>
        <w:tabs>
          <w:tab w:val="left" w:pos="0"/>
        </w:tabs>
        <w:spacing w:line="360" w:lineRule="auto"/>
        <w:rPr>
          <w:szCs w:val="21"/>
        </w:rPr>
      </w:pPr>
      <w:r>
        <w:rPr>
          <w:rFonts w:hint="eastAsia"/>
          <w:szCs w:val="21"/>
        </w:rPr>
        <w:t>本</w:t>
      </w:r>
      <w:r>
        <w:rPr>
          <w:szCs w:val="21"/>
        </w:rPr>
        <w:t>合同与上述文件如对相同内容有不同约定，且约定内容有冲突的，除另有特别约定外，依下列原则处理：</w:t>
      </w:r>
    </w:p>
    <w:p>
      <w:pPr>
        <w:tabs>
          <w:tab w:val="left" w:pos="0"/>
        </w:tabs>
        <w:spacing w:line="360" w:lineRule="auto"/>
        <w:ind w:left="420"/>
        <w:rPr>
          <w:szCs w:val="21"/>
        </w:rPr>
      </w:pPr>
      <w:r>
        <w:rPr>
          <w:rFonts w:hint="eastAsia"/>
          <w:szCs w:val="21"/>
        </w:rPr>
        <w:t>（1）</w:t>
      </w:r>
      <w:r>
        <w:rPr>
          <w:szCs w:val="21"/>
        </w:rPr>
        <w:t>合同条款优先于</w:t>
      </w:r>
      <w:r>
        <w:rPr>
          <w:rFonts w:hint="eastAsia"/>
          <w:szCs w:val="21"/>
        </w:rPr>
        <w:t>磋商文件</w:t>
      </w:r>
      <w:r>
        <w:rPr>
          <w:szCs w:val="21"/>
        </w:rPr>
        <w:t>条款；</w:t>
      </w:r>
    </w:p>
    <w:p>
      <w:pPr>
        <w:tabs>
          <w:tab w:val="left" w:pos="0"/>
        </w:tabs>
        <w:spacing w:line="360" w:lineRule="auto"/>
        <w:ind w:firstLine="420" w:firstLineChars="200"/>
        <w:rPr>
          <w:szCs w:val="21"/>
        </w:rPr>
      </w:pPr>
      <w:r>
        <w:rPr>
          <w:rFonts w:hint="eastAsia"/>
          <w:szCs w:val="21"/>
        </w:rPr>
        <w:t>（2）</w:t>
      </w:r>
      <w:r>
        <w:rPr>
          <w:szCs w:val="21"/>
        </w:rPr>
        <w:t>在后文件的效力优先于在先文件的效力</w:t>
      </w:r>
      <w:r>
        <w:rPr>
          <w:rFonts w:hint="eastAsia"/>
          <w:szCs w:val="21"/>
        </w:rPr>
        <w:t>。</w:t>
      </w:r>
    </w:p>
    <w:p>
      <w:pPr>
        <w:numPr>
          <w:ilvl w:val="0"/>
          <w:numId w:val="13"/>
        </w:numPr>
        <w:tabs>
          <w:tab w:val="left" w:pos="0"/>
        </w:tabs>
        <w:spacing w:line="360" w:lineRule="auto"/>
        <w:rPr>
          <w:szCs w:val="21"/>
        </w:rPr>
      </w:pPr>
      <w:r>
        <w:rPr>
          <w:szCs w:val="21"/>
        </w:rPr>
        <w:t>甲、乙双方对合同条款的理解有争议时，应当按照合同的有关条款、合同的目的、交易习惯以及诚实信用原则，确定该条款的真实含义。</w:t>
      </w:r>
    </w:p>
    <w:p>
      <w:pPr>
        <w:numPr>
          <w:ilvl w:val="0"/>
          <w:numId w:val="13"/>
        </w:numPr>
        <w:tabs>
          <w:tab w:val="left" w:pos="0"/>
        </w:tabs>
        <w:spacing w:line="360" w:lineRule="auto"/>
        <w:rPr>
          <w:szCs w:val="21"/>
        </w:rPr>
      </w:pPr>
      <w:r>
        <w:rPr>
          <w:szCs w:val="21"/>
        </w:rPr>
        <w:t>对本合同的任何修改和增补，以双方盖章的书面文件为准。</w:t>
      </w:r>
    </w:p>
    <w:p>
      <w:pPr>
        <w:numPr>
          <w:ilvl w:val="0"/>
          <w:numId w:val="13"/>
        </w:numPr>
        <w:tabs>
          <w:tab w:val="left" w:pos="0"/>
        </w:tabs>
        <w:spacing w:line="360" w:lineRule="auto"/>
        <w:rPr>
          <w:szCs w:val="21"/>
        </w:rPr>
      </w:pPr>
      <w:r>
        <w:rPr>
          <w:szCs w:val="21"/>
        </w:rPr>
        <w:t>甲、乙双方对本合同中产品的具体价格和交易方式有保密的责任，未经对方的书面许可，任何一方不得向第三方透露。</w:t>
      </w:r>
    </w:p>
    <w:p>
      <w:pPr>
        <w:numPr>
          <w:ilvl w:val="0"/>
          <w:numId w:val="13"/>
        </w:numPr>
        <w:tabs>
          <w:tab w:val="left" w:pos="0"/>
        </w:tabs>
        <w:spacing w:line="360" w:lineRule="auto"/>
        <w:rPr>
          <w:szCs w:val="21"/>
        </w:rPr>
      </w:pPr>
      <w:r>
        <w:rPr>
          <w:szCs w:val="21"/>
        </w:rPr>
        <w:t>本合同中的未尽事宜，甲、乙双方协商解决，并按《中华人民共和国</w:t>
      </w:r>
      <w:r>
        <w:rPr>
          <w:rFonts w:hint="eastAsia"/>
          <w:szCs w:val="21"/>
        </w:rPr>
        <w:t>民典法</w:t>
      </w:r>
      <w:r>
        <w:rPr>
          <w:szCs w:val="21"/>
        </w:rPr>
        <w:t>》调整。</w:t>
      </w:r>
    </w:p>
    <w:p>
      <w:pPr>
        <w:spacing w:line="360" w:lineRule="auto"/>
        <w:outlineLvl w:val="0"/>
        <w:rPr>
          <w:b/>
          <w:szCs w:val="21"/>
        </w:rPr>
      </w:pPr>
      <w:r>
        <w:rPr>
          <w:b/>
          <w:szCs w:val="21"/>
        </w:rPr>
        <w:t>十</w:t>
      </w:r>
      <w:r>
        <w:rPr>
          <w:rFonts w:hint="eastAsia"/>
          <w:b/>
          <w:szCs w:val="21"/>
        </w:rPr>
        <w:t>四</w:t>
      </w:r>
      <w:r>
        <w:rPr>
          <w:b/>
          <w:szCs w:val="21"/>
        </w:rPr>
        <w:t>、附件列表</w:t>
      </w:r>
    </w:p>
    <w:p>
      <w:pPr>
        <w:spacing w:line="360" w:lineRule="auto"/>
        <w:rPr>
          <w:szCs w:val="21"/>
        </w:rPr>
      </w:pPr>
      <w:r>
        <w:rPr>
          <w:szCs w:val="21"/>
        </w:rPr>
        <w:t xml:space="preserve">附件一  </w:t>
      </w:r>
      <w:r>
        <w:rPr>
          <w:rFonts w:hint="eastAsia"/>
          <w:szCs w:val="21"/>
        </w:rPr>
        <w:t>价格表（</w:t>
      </w:r>
      <w:r>
        <w:rPr>
          <w:szCs w:val="21"/>
        </w:rPr>
        <w:t>包含</w:t>
      </w:r>
      <w:r>
        <w:rPr>
          <w:rFonts w:hint="eastAsia"/>
          <w:szCs w:val="21"/>
        </w:rPr>
        <w:t>服务</w:t>
      </w:r>
      <w:r>
        <w:rPr>
          <w:szCs w:val="21"/>
        </w:rPr>
        <w:t>名称、服务内容和</w:t>
      </w:r>
      <w:r>
        <w:rPr>
          <w:rFonts w:hint="eastAsia"/>
          <w:szCs w:val="21"/>
        </w:rPr>
        <w:t>价格）</w:t>
      </w:r>
    </w:p>
    <w:p>
      <w:pPr>
        <w:spacing w:line="360" w:lineRule="auto"/>
        <w:jc w:val="left"/>
        <w:rPr>
          <w:szCs w:val="21"/>
        </w:rPr>
      </w:pPr>
      <w:r>
        <w:rPr>
          <w:rFonts w:hint="eastAsia"/>
          <w:szCs w:val="21"/>
        </w:rPr>
        <w:t>甲</w:t>
      </w:r>
      <w:r>
        <w:rPr>
          <w:szCs w:val="21"/>
        </w:rPr>
        <w:t>方：</w:t>
      </w:r>
      <w:r>
        <w:rPr>
          <w:szCs w:val="21"/>
          <w:u w:val="single"/>
        </w:rPr>
        <w:t>江苏省广电有线信息网络股份有限公司</w:t>
      </w:r>
      <w:r>
        <w:rPr>
          <w:rFonts w:hint="eastAsia"/>
          <w:szCs w:val="21"/>
          <w:u w:val="single"/>
        </w:rPr>
        <w:t xml:space="preserve">     </w:t>
      </w:r>
      <w:r>
        <w:rPr>
          <w:rFonts w:hint="eastAsia"/>
          <w:szCs w:val="21"/>
        </w:rPr>
        <w:t>乙</w:t>
      </w:r>
      <w:r>
        <w:rPr>
          <w:szCs w:val="21"/>
        </w:rPr>
        <w:t>方：</w:t>
      </w:r>
      <w:r>
        <w:rPr>
          <w:rFonts w:hint="eastAsia"/>
          <w:szCs w:val="21"/>
        </w:rPr>
        <w:t xml:space="preserve">                       </w:t>
      </w:r>
      <w:r>
        <w:rPr>
          <w:szCs w:val="21"/>
        </w:rPr>
        <w:t xml:space="preserve"> </w:t>
      </w:r>
    </w:p>
    <w:p>
      <w:pPr>
        <w:spacing w:line="360" w:lineRule="auto"/>
        <w:rPr>
          <w:szCs w:val="21"/>
        </w:rPr>
      </w:pPr>
      <w:r>
        <w:rPr>
          <w:szCs w:val="21"/>
        </w:rPr>
        <w:t>（盖章）_________________________          （盖章）_______________________</w:t>
      </w:r>
    </w:p>
    <w:p>
      <w:pPr>
        <w:spacing w:line="360" w:lineRule="auto"/>
        <w:ind w:firstLine="35" w:firstLineChars="17"/>
        <w:rPr>
          <w:szCs w:val="21"/>
        </w:rPr>
      </w:pPr>
      <w:r>
        <w:rPr>
          <w:szCs w:val="21"/>
        </w:rPr>
        <w:t>法人代表或授权代表：____________           法人代表或授权代表：_________________</w:t>
      </w:r>
    </w:p>
    <w:p>
      <w:pPr>
        <w:spacing w:line="360" w:lineRule="auto"/>
        <w:rPr>
          <w:szCs w:val="21"/>
        </w:rPr>
      </w:pPr>
      <w:r>
        <w:rPr>
          <w:szCs w:val="21"/>
        </w:rPr>
        <w:t>地址：</w:t>
      </w:r>
      <w:r>
        <w:rPr>
          <w:rFonts w:hint="eastAsia"/>
          <w:szCs w:val="21"/>
          <w:u w:val="single"/>
        </w:rPr>
        <w:t>江苏省南京市玄武区运粮河西路101#</w:t>
      </w:r>
      <w:r>
        <w:rPr>
          <w:szCs w:val="21"/>
        </w:rPr>
        <w:t>_地址</w:t>
      </w:r>
      <w:r>
        <w:rPr>
          <w:rFonts w:hint="eastAsia" w:asciiTheme="minorEastAsia" w:hAnsiTheme="minorEastAsia" w:eastAsiaTheme="minorEastAsia"/>
          <w:szCs w:val="21"/>
        </w:rPr>
        <w:t xml:space="preserve">：                             </w:t>
      </w:r>
      <w:r>
        <w:rPr>
          <w:szCs w:val="21"/>
        </w:rPr>
        <w:t xml:space="preserve"> </w:t>
      </w:r>
    </w:p>
    <w:p>
      <w:pPr>
        <w:spacing w:line="360" w:lineRule="auto"/>
        <w:ind w:firstLine="105" w:firstLineChars="50"/>
        <w:rPr>
          <w:szCs w:val="21"/>
          <w:u w:val="single"/>
        </w:rPr>
      </w:pPr>
      <w:r>
        <w:rPr>
          <w:szCs w:val="21"/>
        </w:rPr>
        <w:t>电话：</w:t>
      </w:r>
      <w:r>
        <w:rPr>
          <w:rFonts w:hint="eastAsia"/>
          <w:szCs w:val="21"/>
        </w:rPr>
        <w:t xml:space="preserve">               </w:t>
      </w:r>
      <w:r>
        <w:rPr>
          <w:szCs w:val="21"/>
        </w:rPr>
        <w:t xml:space="preserve">                     电话：</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105" w:firstLineChars="50"/>
        <w:rPr>
          <w:szCs w:val="21"/>
          <w:u w:val="single"/>
        </w:rPr>
      </w:pPr>
      <w:r>
        <w:rPr>
          <w:szCs w:val="21"/>
        </w:rPr>
        <w:t>开户银行：</w:t>
      </w:r>
      <w:r>
        <w:rPr>
          <w:rFonts w:hint="eastAsia"/>
          <w:szCs w:val="21"/>
        </w:rPr>
        <w:t xml:space="preserve">                          </w:t>
      </w:r>
      <w:r>
        <w:rPr>
          <w:szCs w:val="21"/>
        </w:rPr>
        <w:t xml:space="preserve">      开户银行：</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105" w:firstLineChars="50"/>
        <w:rPr>
          <w:rFonts w:eastAsiaTheme="minorEastAsia"/>
          <w:szCs w:val="21"/>
          <w:u w:val="single"/>
        </w:rPr>
      </w:pPr>
      <w:r>
        <w:rPr>
          <w:szCs w:val="21"/>
        </w:rPr>
        <w:t>银行账号：</w:t>
      </w:r>
      <w:r>
        <w:rPr>
          <w:rFonts w:hint="eastAsia"/>
          <w:szCs w:val="21"/>
        </w:rPr>
        <w:t xml:space="preserve">                     </w:t>
      </w:r>
      <w:r>
        <w:rPr>
          <w:szCs w:val="21"/>
        </w:rPr>
        <w:t xml:space="preserve">           银行账号：</w:t>
      </w:r>
      <w:r>
        <w:rPr>
          <w:szCs w:val="21"/>
          <w:u w:val="single"/>
        </w:rPr>
        <w:t xml:space="preserve"> </w:t>
      </w:r>
      <w:r>
        <w:rPr>
          <w:rFonts w:hint="eastAsia"/>
          <w:szCs w:val="21"/>
          <w:u w:val="single"/>
        </w:rPr>
        <w:t xml:space="preserve">                         </w:t>
      </w:r>
      <w:r>
        <w:rPr>
          <w:szCs w:val="21"/>
          <w:u w:val="single"/>
        </w:rPr>
        <w:t xml:space="preserve"> </w:t>
      </w:r>
    </w:p>
    <w:p>
      <w:pPr>
        <w:spacing w:line="360" w:lineRule="auto"/>
        <w:ind w:firstLine="35" w:firstLineChars="17"/>
        <w:jc w:val="right"/>
        <w:rPr>
          <w:szCs w:val="21"/>
        </w:rPr>
      </w:pPr>
    </w:p>
    <w:p>
      <w:pPr>
        <w:wordWrap w:val="0"/>
        <w:spacing w:line="360" w:lineRule="auto"/>
        <w:ind w:firstLine="35" w:firstLineChars="17"/>
        <w:jc w:val="right"/>
        <w:rPr>
          <w:szCs w:val="21"/>
        </w:rPr>
      </w:pPr>
      <w:r>
        <w:rPr>
          <w:szCs w:val="21"/>
        </w:rPr>
        <w:t>签订日期：</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pPr>
        <w:spacing w:line="360" w:lineRule="auto"/>
        <w:rPr>
          <w:sz w:val="24"/>
        </w:rPr>
      </w:pPr>
    </w:p>
    <w:p>
      <w:pPr>
        <w:spacing w:line="360" w:lineRule="auto"/>
        <w:rPr>
          <w:sz w:val="24"/>
        </w:rPr>
      </w:pPr>
    </w:p>
    <w:p>
      <w:pPr>
        <w:outlineLvl w:val="0"/>
        <w:rPr>
          <w:b/>
          <w:bCs/>
          <w:szCs w:val="21"/>
        </w:rPr>
      </w:pPr>
      <w:r>
        <w:rPr>
          <w:rFonts w:ascii="宋体" w:hAnsi="宋体"/>
          <w:b/>
          <w:sz w:val="24"/>
        </w:rPr>
        <w:t>附件一</w:t>
      </w:r>
      <w:r>
        <w:rPr>
          <w:rFonts w:hint="eastAsia"/>
          <w:b/>
          <w:bCs/>
          <w:szCs w:val="21"/>
        </w:rPr>
        <w:t>价格表</w:t>
      </w:r>
    </w:p>
    <w:tbl>
      <w:tblPr>
        <w:tblStyle w:val="54"/>
        <w:tblW w:w="104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720"/>
        <w:gridCol w:w="3375"/>
        <w:gridCol w:w="1843"/>
        <w:gridCol w:w="1634"/>
        <w:gridCol w:w="10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51" w:type="dxa"/>
            <w:shd w:val="clear" w:color="000000" w:fill="FFFFFF"/>
            <w:vAlign w:val="center"/>
          </w:tcPr>
          <w:p>
            <w:pPr>
              <w:widowControl/>
              <w:spacing w:before="156" w:after="156"/>
              <w:jc w:val="center"/>
              <w:rPr>
                <w:rFonts w:ascii="宋体" w:hAnsi="宋体"/>
                <w:b/>
                <w:bCs/>
                <w:color w:val="000000"/>
                <w:szCs w:val="21"/>
              </w:rPr>
            </w:pPr>
            <w:r>
              <w:rPr>
                <w:rFonts w:hint="eastAsia" w:ascii="宋体" w:hAnsi="宋体"/>
                <w:b/>
                <w:bCs/>
                <w:color w:val="000000"/>
                <w:szCs w:val="21"/>
              </w:rPr>
              <w:t>序号</w:t>
            </w:r>
          </w:p>
        </w:tc>
        <w:tc>
          <w:tcPr>
            <w:tcW w:w="1720" w:type="dxa"/>
            <w:shd w:val="clear" w:color="000000" w:fill="FFFFFF"/>
            <w:vAlign w:val="center"/>
          </w:tcPr>
          <w:p>
            <w:pPr>
              <w:widowControl/>
              <w:spacing w:before="156" w:after="156"/>
              <w:jc w:val="center"/>
              <w:rPr>
                <w:rFonts w:ascii="宋体" w:hAnsi="宋体"/>
                <w:b/>
                <w:bCs/>
                <w:color w:val="000000"/>
                <w:szCs w:val="21"/>
              </w:rPr>
            </w:pPr>
            <w:r>
              <w:rPr>
                <w:rFonts w:hint="eastAsia" w:ascii="宋体" w:hAnsi="宋体"/>
                <w:b/>
                <w:bCs/>
                <w:color w:val="000000"/>
                <w:szCs w:val="21"/>
              </w:rPr>
              <w:t>服务名称</w:t>
            </w:r>
          </w:p>
        </w:tc>
        <w:tc>
          <w:tcPr>
            <w:tcW w:w="3375" w:type="dxa"/>
            <w:tcBorders>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服务内容</w:t>
            </w:r>
          </w:p>
        </w:tc>
        <w:tc>
          <w:tcPr>
            <w:tcW w:w="1843" w:type="dxa"/>
            <w:tcBorders>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服务周期</w:t>
            </w:r>
          </w:p>
        </w:tc>
        <w:tc>
          <w:tcPr>
            <w:tcW w:w="1634" w:type="dxa"/>
            <w:tcBorders>
              <w:left w:val="single" w:color="auto" w:sz="4" w:space="0"/>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价格</w:t>
            </w:r>
            <w:r>
              <w:rPr>
                <w:rFonts w:hint="eastAsia" w:asciiTheme="minorEastAsia" w:hAnsiTheme="minorEastAsia" w:eastAsiaTheme="minorEastAsia"/>
                <w:b/>
                <w:bCs/>
                <w:color w:val="000000"/>
                <w:szCs w:val="21"/>
              </w:rPr>
              <w:t>（人民币）</w:t>
            </w:r>
          </w:p>
        </w:tc>
        <w:tc>
          <w:tcPr>
            <w:tcW w:w="1059" w:type="dxa"/>
            <w:tcBorders>
              <w:lef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color w:val="000000"/>
                <w:szCs w:val="21"/>
              </w:rPr>
              <w:t>1</w:t>
            </w:r>
          </w:p>
        </w:tc>
        <w:tc>
          <w:tcPr>
            <w:tcW w:w="1720" w:type="dxa"/>
            <w:vAlign w:val="center"/>
          </w:tcPr>
          <w:p>
            <w:pPr>
              <w:widowControl/>
              <w:jc w:val="center"/>
              <w:rPr>
                <w:color w:val="000000"/>
                <w:szCs w:val="21"/>
              </w:rPr>
            </w:pPr>
          </w:p>
        </w:tc>
        <w:tc>
          <w:tcPr>
            <w:tcW w:w="3375" w:type="dxa"/>
            <w:tcBorders>
              <w:right w:val="single" w:color="auto" w:sz="4" w:space="0"/>
            </w:tcBorders>
            <w:vAlign w:val="center"/>
          </w:tcPr>
          <w:p>
            <w:pPr>
              <w:widowControl/>
              <w:jc w:val="center"/>
              <w:rPr>
                <w:szCs w:val="21"/>
              </w:rPr>
            </w:pPr>
          </w:p>
        </w:tc>
        <w:tc>
          <w:tcPr>
            <w:tcW w:w="1843" w:type="dxa"/>
            <w:tcBorders>
              <w:right w:val="single" w:color="auto" w:sz="4" w:space="0"/>
            </w:tcBorders>
            <w:vAlign w:val="center"/>
          </w:tcPr>
          <w:p>
            <w:pPr>
              <w:widowControl/>
              <w:jc w:val="center"/>
              <w:rPr>
                <w:color w:val="000000"/>
                <w:szCs w:val="21"/>
              </w:rPr>
            </w:pPr>
          </w:p>
        </w:tc>
        <w:tc>
          <w:tcPr>
            <w:tcW w:w="1634" w:type="dxa"/>
            <w:tcBorders>
              <w:left w:val="single" w:color="auto" w:sz="4" w:space="0"/>
              <w:right w:val="single" w:color="auto" w:sz="4" w:space="0"/>
            </w:tcBorders>
            <w:vAlign w:val="center"/>
          </w:tcPr>
          <w:p>
            <w:pPr>
              <w:widowControl/>
              <w:jc w:val="center"/>
              <w:rPr>
                <w:color w:val="000000"/>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color w:val="000000"/>
                <w:szCs w:val="21"/>
              </w:rPr>
              <w:t>2</w:t>
            </w:r>
          </w:p>
        </w:tc>
        <w:tc>
          <w:tcPr>
            <w:tcW w:w="1720" w:type="dxa"/>
            <w:vAlign w:val="center"/>
          </w:tcPr>
          <w:p>
            <w:pPr>
              <w:widowControl/>
              <w:jc w:val="center"/>
              <w:rPr>
                <w:color w:val="000000"/>
                <w:szCs w:val="21"/>
              </w:rPr>
            </w:pPr>
          </w:p>
        </w:tc>
        <w:tc>
          <w:tcPr>
            <w:tcW w:w="3375" w:type="dxa"/>
            <w:tcBorders>
              <w:right w:val="single" w:color="auto" w:sz="4" w:space="0"/>
            </w:tcBorders>
            <w:vAlign w:val="center"/>
          </w:tcPr>
          <w:p>
            <w:pPr>
              <w:widowControl/>
              <w:jc w:val="center"/>
              <w:rPr>
                <w:szCs w:val="21"/>
              </w:rPr>
            </w:pPr>
          </w:p>
        </w:tc>
        <w:tc>
          <w:tcPr>
            <w:tcW w:w="1843" w:type="dxa"/>
            <w:tcBorders>
              <w:right w:val="single" w:color="auto" w:sz="4" w:space="0"/>
            </w:tcBorders>
            <w:vAlign w:val="center"/>
          </w:tcPr>
          <w:p>
            <w:pPr>
              <w:widowControl/>
              <w:jc w:val="center"/>
              <w:rPr>
                <w:color w:val="000000"/>
                <w:szCs w:val="21"/>
              </w:rPr>
            </w:pPr>
          </w:p>
        </w:tc>
        <w:tc>
          <w:tcPr>
            <w:tcW w:w="1634" w:type="dxa"/>
            <w:tcBorders>
              <w:left w:val="single" w:color="auto" w:sz="4" w:space="0"/>
              <w:right w:val="single" w:color="auto" w:sz="4" w:space="0"/>
            </w:tcBorders>
            <w:vAlign w:val="center"/>
          </w:tcPr>
          <w:p>
            <w:pPr>
              <w:widowControl/>
              <w:jc w:val="center"/>
              <w:rPr>
                <w:color w:val="000000"/>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asciiTheme="minorEastAsia" w:hAnsiTheme="minorEastAsia" w:eastAsiaTheme="minorEastAsia"/>
                <w:color w:val="000000"/>
                <w:szCs w:val="21"/>
              </w:rPr>
              <w:t>3</w:t>
            </w:r>
          </w:p>
        </w:tc>
        <w:tc>
          <w:tcPr>
            <w:tcW w:w="1720" w:type="dxa"/>
            <w:vAlign w:val="center"/>
          </w:tcPr>
          <w:p>
            <w:pPr>
              <w:widowControl/>
              <w:jc w:val="center"/>
              <w:rPr>
                <w:rFonts w:ascii="宋体" w:hAnsi="宋体"/>
                <w:bCs/>
                <w:color w:val="000000"/>
                <w:szCs w:val="21"/>
              </w:rPr>
            </w:pPr>
          </w:p>
        </w:tc>
        <w:tc>
          <w:tcPr>
            <w:tcW w:w="3375" w:type="dxa"/>
            <w:tcBorders>
              <w:right w:val="single" w:color="auto" w:sz="4" w:space="0"/>
            </w:tcBorders>
            <w:vAlign w:val="center"/>
          </w:tcPr>
          <w:p>
            <w:pPr>
              <w:widowControl/>
              <w:jc w:val="center"/>
              <w:rPr>
                <w:rFonts w:ascii="宋体" w:hAnsi="宋体"/>
                <w:szCs w:val="21"/>
              </w:rPr>
            </w:pPr>
          </w:p>
        </w:tc>
        <w:tc>
          <w:tcPr>
            <w:tcW w:w="1843" w:type="dxa"/>
            <w:tcBorders>
              <w:right w:val="single" w:color="auto" w:sz="4" w:space="0"/>
            </w:tcBorders>
            <w:vAlign w:val="center"/>
          </w:tcPr>
          <w:p>
            <w:pPr>
              <w:widowControl/>
              <w:jc w:val="center"/>
              <w:rPr>
                <w:rFonts w:ascii="宋体" w:hAnsi="宋体" w:cs="Arial"/>
                <w:szCs w:val="21"/>
              </w:rPr>
            </w:pPr>
          </w:p>
        </w:tc>
        <w:tc>
          <w:tcPr>
            <w:tcW w:w="1634" w:type="dxa"/>
            <w:tcBorders>
              <w:left w:val="single" w:color="auto" w:sz="4" w:space="0"/>
              <w:right w:val="single" w:color="auto" w:sz="4" w:space="0"/>
            </w:tcBorders>
            <w:vAlign w:val="center"/>
          </w:tcPr>
          <w:p>
            <w:pPr>
              <w:widowControl/>
              <w:jc w:val="center"/>
              <w:rPr>
                <w:rFonts w:ascii="宋体" w:hAnsi="宋体"/>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571" w:type="dxa"/>
            <w:gridSpan w:val="2"/>
            <w:vAlign w:val="center"/>
          </w:tcPr>
          <w:p>
            <w:pPr>
              <w:widowControl/>
              <w:jc w:val="center"/>
              <w:rPr>
                <w:b/>
                <w:color w:val="000000"/>
                <w:szCs w:val="21"/>
              </w:rPr>
            </w:pPr>
            <w:r>
              <w:rPr>
                <w:rFonts w:hint="eastAsia"/>
                <w:b/>
                <w:color w:val="000000"/>
                <w:szCs w:val="21"/>
              </w:rPr>
              <w:t>总价：</w:t>
            </w:r>
          </w:p>
        </w:tc>
        <w:tc>
          <w:tcPr>
            <w:tcW w:w="7911" w:type="dxa"/>
            <w:gridSpan w:val="4"/>
            <w:vAlign w:val="center"/>
          </w:tcPr>
          <w:p>
            <w:pPr>
              <w:widowControl/>
              <w:jc w:val="center"/>
              <w:rPr>
                <w:b/>
                <w:color w:val="000000"/>
                <w:szCs w:val="21"/>
              </w:rPr>
            </w:pPr>
            <w:r>
              <w:rPr>
                <w:rFonts w:hint="eastAsia"/>
                <w:b/>
                <w:color w:val="000000"/>
                <w:szCs w:val="21"/>
              </w:rPr>
              <w:t>人民币(大写)：       （¥             ）</w:t>
            </w:r>
          </w:p>
        </w:tc>
      </w:tr>
    </w:tbl>
    <w:p>
      <w:pPr>
        <w:pStyle w:val="28"/>
        <w:ind w:left="0" w:leftChars="0"/>
      </w:pPr>
      <w:r>
        <w:br w:type="page"/>
      </w:r>
    </w:p>
    <w:p>
      <w:pPr>
        <w:pStyle w:val="3"/>
        <w:numPr>
          <w:ilvl w:val="0"/>
          <w:numId w:val="0"/>
        </w:numPr>
        <w:spacing w:before="0" w:after="0" w:line="360" w:lineRule="auto"/>
        <w:rPr>
          <w:b/>
          <w:color w:val="000000"/>
          <w:sz w:val="36"/>
          <w:szCs w:val="36"/>
        </w:rPr>
      </w:pPr>
      <w:bookmarkStart w:id="18" w:name="_Toc69378637"/>
      <w:r>
        <w:rPr>
          <w:rFonts w:hint="eastAsia"/>
          <w:b/>
          <w:sz w:val="36"/>
          <w:szCs w:val="36"/>
        </w:rPr>
        <w:t>第五章技术需求书</w:t>
      </w:r>
      <w:bookmarkEnd w:id="18"/>
    </w:p>
    <w:p>
      <w:pPr>
        <w:pStyle w:val="90"/>
        <w:numPr>
          <w:ilvl w:val="0"/>
          <w:numId w:val="14"/>
        </w:numPr>
        <w:spacing w:line="300" w:lineRule="auto"/>
        <w:ind w:left="0" w:firstLine="426" w:firstLineChars="0"/>
        <w:rPr>
          <w:rFonts w:ascii="宋体" w:hAnsi="宋体" w:eastAsia="宋体" w:cs="宋体"/>
          <w:color w:val="000000"/>
          <w:sz w:val="24"/>
          <w:szCs w:val="24"/>
        </w:rPr>
      </w:pPr>
      <w:r>
        <w:rPr>
          <w:rFonts w:hint="eastAsia" w:ascii="宋体" w:hAnsi="宋体" w:eastAsia="宋体" w:cs="宋体"/>
          <w:color w:val="000000"/>
          <w:sz w:val="24"/>
          <w:szCs w:val="24"/>
        </w:rPr>
        <w:t>供应商须对照本《技术需求书》，依据第三方报告证书、供应商本身服务能力及样本，逐条说明所提供服务已对竞争性磋商文件的技术要求做出了实质性的响应，或申明与技术要求条文的偏差和例外（按第六章附件技术需求偏离表格式填写），对于可以用量化形式表示的条款，供应商必须明确回答。任何通过简单拷贝竞争性磋商文件技术要求或简单标注“符合”“满足”的响应文件将可能取消评审。供应商在合同签订中的任何偏差都不得超越技术偏离表中已被供应商确认的条款。</w:t>
      </w:r>
    </w:p>
    <w:p>
      <w:pPr>
        <w:pStyle w:val="90"/>
        <w:numPr>
          <w:ilvl w:val="0"/>
          <w:numId w:val="14"/>
        </w:numPr>
        <w:spacing w:line="300" w:lineRule="auto"/>
        <w:ind w:left="0" w:firstLine="426" w:firstLineChars="0"/>
        <w:rPr>
          <w:rFonts w:ascii="宋体" w:hAnsi="宋体" w:eastAsia="宋体" w:cs="宋体"/>
          <w:color w:val="000000"/>
          <w:sz w:val="24"/>
          <w:szCs w:val="24"/>
        </w:rPr>
      </w:pPr>
      <w:r>
        <w:rPr>
          <w:rFonts w:hint="eastAsia" w:ascii="宋体" w:hAnsi="宋体" w:eastAsia="宋体" w:cs="宋体"/>
          <w:color w:val="000000"/>
          <w:sz w:val="24"/>
          <w:szCs w:val="24"/>
        </w:rPr>
        <w:t>竞争性磋商文件技术要求中所描述的内容为本项目的基本技术要求，不应作为完整的详细要求。对于为满足正常安全测评及服务所需的服务保证内容请供应商自行考虑。中标人应满足本技术需求书中未描述的，但为保证测评正常有效完成所需要的其它要求和所需的安全服务。</w:t>
      </w:r>
    </w:p>
    <w:p>
      <w:pPr>
        <w:pStyle w:val="90"/>
        <w:numPr>
          <w:ilvl w:val="0"/>
          <w:numId w:val="14"/>
        </w:numPr>
        <w:spacing w:line="300" w:lineRule="auto"/>
        <w:ind w:left="0" w:firstLine="426" w:firstLineChars="0"/>
        <w:rPr>
          <w:rFonts w:ascii="宋体" w:hAnsi="宋体" w:eastAsia="宋体" w:cs="宋体"/>
          <w:color w:val="000000"/>
          <w:sz w:val="24"/>
          <w:szCs w:val="24"/>
        </w:rPr>
      </w:pPr>
      <w:r>
        <w:rPr>
          <w:rFonts w:hint="eastAsia" w:ascii="宋体" w:hAnsi="宋体" w:eastAsia="宋体" w:cs="宋体"/>
          <w:color w:val="000000"/>
          <w:sz w:val="24"/>
          <w:szCs w:val="24"/>
        </w:rPr>
        <w:t>技术需求书中带“</w:t>
      </w:r>
      <w:r>
        <w:rPr>
          <w:rFonts w:hint="eastAsia" w:ascii="宋体" w:hAnsi="宋体" w:eastAsia="宋体" w:cs="宋体"/>
          <w:color w:val="000000" w:themeColor="text1"/>
          <w:sz w:val="24"/>
          <w:szCs w:val="24"/>
        </w:rPr>
        <w:t>★</w:t>
      </w:r>
      <w:r>
        <w:rPr>
          <w:rFonts w:hint="eastAsia" w:ascii="宋体" w:hAnsi="宋体" w:eastAsia="宋体" w:cs="宋体"/>
          <w:color w:val="000000"/>
          <w:sz w:val="24"/>
          <w:szCs w:val="24"/>
        </w:rPr>
        <w:t>”部分为必须保证满足要求的条款。</w:t>
      </w:r>
    </w:p>
    <w:p>
      <w:pPr>
        <w:pStyle w:val="90"/>
        <w:numPr>
          <w:ilvl w:val="0"/>
          <w:numId w:val="14"/>
        </w:numPr>
        <w:spacing w:line="360" w:lineRule="auto"/>
        <w:ind w:left="0" w:firstLine="426" w:firstLineChars="0"/>
        <w:rPr>
          <w:rFonts w:ascii="宋体" w:hAnsi="宋体" w:eastAsia="宋体" w:cs="宋体"/>
          <w:sz w:val="24"/>
          <w:szCs w:val="24"/>
        </w:rPr>
      </w:pPr>
      <w:r>
        <w:rPr>
          <w:rFonts w:hint="eastAsia" w:ascii="宋体" w:hAnsi="宋体" w:eastAsia="宋体" w:cs="宋体"/>
          <w:sz w:val="24"/>
          <w:szCs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cs="宋体"/>
          <w:sz w:val="24"/>
          <w:szCs w:val="24"/>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19" w:name="_Toc76856250"/>
      <w:bookmarkStart w:id="20" w:name="_Toc31826"/>
      <w:bookmarkStart w:id="21" w:name="_Toc30212"/>
      <w:bookmarkStart w:id="22" w:name="_Toc76996580"/>
      <w:bookmarkStart w:id="23" w:name="_Toc51053569"/>
    </w:p>
    <w:bookmarkEnd w:id="19"/>
    <w:bookmarkEnd w:id="20"/>
    <w:bookmarkEnd w:id="21"/>
    <w:bookmarkEnd w:id="22"/>
    <w:bookmarkEnd w:id="23"/>
    <w:p>
      <w:pPr>
        <w:pStyle w:val="90"/>
        <w:numPr>
          <w:ilvl w:val="0"/>
          <w:numId w:val="15"/>
        </w:numPr>
        <w:spacing w:line="360" w:lineRule="auto"/>
        <w:ind w:firstLineChars="0"/>
        <w:outlineLvl w:val="1"/>
        <w:rPr>
          <w:rFonts w:ascii="宋体" w:hAnsi="宋体" w:eastAsia="宋体" w:cs="宋体"/>
          <w:b/>
          <w:sz w:val="24"/>
          <w:szCs w:val="24"/>
        </w:rPr>
      </w:pPr>
      <w:bookmarkStart w:id="24" w:name="_Toc19779"/>
      <w:bookmarkStart w:id="25" w:name="_Toc76996581"/>
      <w:bookmarkStart w:id="26" w:name="_Toc76856251"/>
      <w:bookmarkStart w:id="27" w:name="_Toc51053570"/>
      <w:r>
        <w:rPr>
          <w:rStyle w:val="366"/>
          <w:rFonts w:hint="eastAsia" w:ascii="宋体" w:hAnsi="宋体" w:eastAsia="宋体" w:cs="宋体"/>
          <w:sz w:val="24"/>
          <w:szCs w:val="24"/>
        </w:rPr>
        <w:t>项目</w:t>
      </w:r>
      <w:bookmarkEnd w:id="24"/>
      <w:bookmarkEnd w:id="25"/>
      <w:bookmarkEnd w:id="26"/>
      <w:bookmarkEnd w:id="27"/>
      <w:r>
        <w:rPr>
          <w:rStyle w:val="366"/>
          <w:rFonts w:hint="eastAsia" w:ascii="宋体" w:hAnsi="宋体" w:eastAsia="宋体" w:cs="宋体"/>
          <w:sz w:val="24"/>
          <w:szCs w:val="24"/>
        </w:rPr>
        <w:t>背景、范围及目标</w:t>
      </w:r>
    </w:p>
    <w:p>
      <w:pPr>
        <w:spacing w:line="360" w:lineRule="auto"/>
        <w:ind w:firstLine="480" w:firstLineChars="200"/>
        <w:rPr>
          <w:rFonts w:ascii="宋体" w:hAnsi="宋体" w:cs="宋体"/>
          <w:sz w:val="24"/>
        </w:rPr>
      </w:pPr>
      <w:r>
        <w:rPr>
          <w:rFonts w:hint="eastAsia" w:ascii="宋体" w:hAnsi="宋体" w:cs="宋体"/>
          <w:sz w:val="24"/>
        </w:rPr>
        <w:t>供应商必须认真阅读本部分内容，以加深对本项目技术要求的理解。</w:t>
      </w:r>
    </w:p>
    <w:p>
      <w:pPr>
        <w:pStyle w:val="7"/>
        <w:spacing w:line="300" w:lineRule="auto"/>
        <w:ind w:firstLine="480" w:firstLineChars="200"/>
        <w:rPr>
          <w:rFonts w:ascii="宋体" w:hAnsi="宋体" w:cs="宋体"/>
          <w:color w:val="000000"/>
          <w:sz w:val="24"/>
          <w:szCs w:val="24"/>
        </w:rPr>
      </w:pPr>
      <w:r>
        <w:rPr>
          <w:rFonts w:hint="eastAsia" w:ascii="宋体" w:hAnsi="宋体" w:cs="宋体"/>
          <w:color w:val="000000"/>
          <w:sz w:val="24"/>
          <w:szCs w:val="24"/>
        </w:rPr>
        <w:t>党的“二十大”会议将于2022年下半年召开，安播运维部作为省公司安全播出的核心部门，负责职责范围内“省市县广播电视直播核心系统”和“省级视频互动系统”两个三级系统的等保测评和整改工作，时间紧，任务重。为确保党的“二十大”期间的安全播出，确保能够按质保量地完成上述工作，本项目依据《2018年网络安全体系三年规划》第七章 等级保护工作要求，《中华人民共和国网络安全法》第31条规定“对于国家关键信息基础设施，在网络安全等级保护制度基础上，实行重点保护”要求，《江苏有线信息系统等级保护工作建议书》《江苏有线广播电视网络安全管理规范》要求，邀请由公安部认定资格的等保测评企业对江苏有线安播运维部播控中心省市县广播电视直播核心系统和省级视频互动系统的现状实施测评、评估，通过与标准进行比较，找出存在不足和缺失的地方，为整改提供参考依据，减少安全改造对现有系统可能产生的负面影响，为系统稳定运行提供更好的保障。</w:t>
      </w:r>
    </w:p>
    <w:p>
      <w:pPr>
        <w:spacing w:line="300" w:lineRule="auto"/>
        <w:ind w:firstLine="480" w:firstLineChars="200"/>
        <w:rPr>
          <w:rFonts w:ascii="宋体" w:hAnsi="宋体" w:cs="宋体"/>
          <w:color w:val="000000"/>
          <w:sz w:val="24"/>
        </w:rPr>
      </w:pPr>
      <w:r>
        <w:rPr>
          <w:rFonts w:hint="eastAsia" w:ascii="宋体" w:hAnsi="宋体" w:cs="宋体"/>
          <w:color w:val="000000"/>
          <w:sz w:val="24"/>
        </w:rPr>
        <w:t>本次服务工作主要是针对以下信息系统开展信息安全等级保护测评工作，并最终通过公安机关的备案验收。</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4725"/>
        <w:gridCol w:w="15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68" w:type="dxa"/>
            <w:shd w:val="clear" w:color="auto" w:fill="D9D9D9"/>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725" w:type="dxa"/>
            <w:shd w:val="clear" w:color="auto" w:fill="D9D9D9"/>
            <w:vAlign w:val="center"/>
          </w:tcPr>
          <w:p>
            <w:pPr>
              <w:widowControl/>
              <w:jc w:val="center"/>
              <w:rPr>
                <w:rFonts w:ascii="宋体" w:hAnsi="宋体" w:cs="宋体"/>
                <w:b/>
                <w:bCs/>
                <w:kern w:val="0"/>
                <w:sz w:val="24"/>
              </w:rPr>
            </w:pPr>
            <w:r>
              <w:rPr>
                <w:rFonts w:hint="eastAsia" w:ascii="宋体" w:hAnsi="宋体" w:cs="宋体"/>
                <w:b/>
                <w:bCs/>
                <w:kern w:val="0"/>
                <w:sz w:val="24"/>
              </w:rPr>
              <w:t>信息系统名称</w:t>
            </w:r>
          </w:p>
        </w:tc>
        <w:tc>
          <w:tcPr>
            <w:tcW w:w="1513" w:type="dxa"/>
            <w:shd w:val="clear" w:color="auto" w:fill="D9D9D9"/>
            <w:vAlign w:val="center"/>
          </w:tcPr>
          <w:p>
            <w:pPr>
              <w:widowControl/>
              <w:jc w:val="center"/>
              <w:rPr>
                <w:rFonts w:ascii="宋体" w:hAnsi="宋体" w:cs="宋体"/>
                <w:b/>
                <w:bCs/>
                <w:kern w:val="0"/>
                <w:sz w:val="24"/>
              </w:rPr>
            </w:pPr>
            <w:r>
              <w:rPr>
                <w:rFonts w:hint="eastAsia" w:ascii="宋体" w:hAnsi="宋体" w:cs="宋体"/>
                <w:b/>
                <w:bCs/>
                <w:kern w:val="0"/>
                <w:sz w:val="24"/>
              </w:rPr>
              <w:t>所属部门</w:t>
            </w:r>
          </w:p>
        </w:tc>
        <w:tc>
          <w:tcPr>
            <w:tcW w:w="1513" w:type="dxa"/>
            <w:shd w:val="clear" w:color="auto" w:fill="D9D9D9"/>
            <w:vAlign w:val="center"/>
          </w:tcPr>
          <w:p>
            <w:pPr>
              <w:widowControl/>
              <w:jc w:val="center"/>
              <w:rPr>
                <w:rFonts w:ascii="宋体" w:hAnsi="宋体" w:cs="宋体"/>
                <w:b/>
                <w:bCs/>
                <w:kern w:val="0"/>
                <w:sz w:val="24"/>
              </w:rPr>
            </w:pPr>
            <w:r>
              <w:rPr>
                <w:rFonts w:hint="eastAsia" w:ascii="宋体" w:hAnsi="宋体" w:cs="宋体"/>
                <w:b/>
                <w:bCs/>
                <w:kern w:val="0"/>
                <w:sz w:val="24"/>
              </w:rPr>
              <w:t>定级情况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cs="宋体"/>
                <w:sz w:val="24"/>
              </w:rPr>
            </w:pPr>
            <w:r>
              <w:rPr>
                <w:rFonts w:hint="eastAsia" w:ascii="宋体" w:hAnsi="宋体" w:cs="宋体"/>
                <w:sz w:val="24"/>
              </w:rPr>
              <w:t>1</w:t>
            </w:r>
          </w:p>
        </w:tc>
        <w:tc>
          <w:tcPr>
            <w:tcW w:w="4725" w:type="dxa"/>
            <w:vAlign w:val="center"/>
          </w:tcPr>
          <w:p>
            <w:pPr>
              <w:jc w:val="center"/>
              <w:rPr>
                <w:rFonts w:ascii="宋体" w:hAnsi="宋体" w:cs="宋体"/>
                <w:sz w:val="24"/>
              </w:rPr>
            </w:pPr>
            <w:r>
              <w:rPr>
                <w:rFonts w:hint="eastAsia" w:ascii="宋体" w:hAnsi="宋体" w:cs="宋体"/>
                <w:kern w:val="0"/>
                <w:sz w:val="24"/>
              </w:rPr>
              <w:t>省市县广播电视直播核心系统</w:t>
            </w:r>
          </w:p>
        </w:tc>
        <w:tc>
          <w:tcPr>
            <w:tcW w:w="1513" w:type="dxa"/>
            <w:vMerge w:val="restart"/>
            <w:vAlign w:val="center"/>
          </w:tcPr>
          <w:p>
            <w:pPr>
              <w:jc w:val="center"/>
              <w:rPr>
                <w:rFonts w:ascii="宋体" w:hAnsi="宋体" w:cs="宋体"/>
                <w:sz w:val="24"/>
              </w:rPr>
            </w:pPr>
            <w:r>
              <w:rPr>
                <w:rFonts w:hint="eastAsia" w:ascii="宋体" w:hAnsi="宋体" w:cs="宋体"/>
                <w:sz w:val="24"/>
              </w:rPr>
              <w:t>播控中心</w:t>
            </w:r>
          </w:p>
        </w:tc>
        <w:tc>
          <w:tcPr>
            <w:tcW w:w="1513" w:type="dxa"/>
            <w:vAlign w:val="center"/>
          </w:tcPr>
          <w:p>
            <w:pPr>
              <w:jc w:val="center"/>
              <w:rPr>
                <w:rFonts w:ascii="宋体" w:hAnsi="宋体" w:cs="宋体"/>
                <w:sz w:val="24"/>
              </w:rPr>
            </w:pPr>
            <w:r>
              <w:rPr>
                <w:rFonts w:hint="eastAsia" w:ascii="宋体" w:hAnsi="宋体" w:cs="宋体"/>
                <w:sz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cs="宋体"/>
                <w:sz w:val="24"/>
              </w:rPr>
            </w:pPr>
            <w:r>
              <w:rPr>
                <w:rFonts w:hint="eastAsia" w:ascii="宋体" w:hAnsi="宋体" w:cs="宋体"/>
                <w:sz w:val="24"/>
              </w:rPr>
              <w:t>2</w:t>
            </w:r>
          </w:p>
        </w:tc>
        <w:tc>
          <w:tcPr>
            <w:tcW w:w="4725" w:type="dxa"/>
            <w:vAlign w:val="center"/>
          </w:tcPr>
          <w:p>
            <w:pPr>
              <w:jc w:val="center"/>
              <w:rPr>
                <w:rFonts w:ascii="宋体" w:hAnsi="宋体" w:cs="宋体"/>
                <w:sz w:val="24"/>
              </w:rPr>
            </w:pPr>
            <w:r>
              <w:rPr>
                <w:rFonts w:hint="eastAsia" w:ascii="宋体" w:hAnsi="宋体" w:cs="宋体"/>
                <w:sz w:val="24"/>
              </w:rPr>
              <w:t>省级视频互动系统</w:t>
            </w:r>
          </w:p>
        </w:tc>
        <w:tc>
          <w:tcPr>
            <w:tcW w:w="1513" w:type="dxa"/>
            <w:vMerge w:val="continue"/>
          </w:tcPr>
          <w:p>
            <w:pPr>
              <w:jc w:val="center"/>
              <w:rPr>
                <w:rFonts w:ascii="宋体" w:hAnsi="宋体" w:cs="宋体"/>
                <w:sz w:val="24"/>
              </w:rPr>
            </w:pPr>
          </w:p>
        </w:tc>
        <w:tc>
          <w:tcPr>
            <w:tcW w:w="1513" w:type="dxa"/>
            <w:vAlign w:val="center"/>
          </w:tcPr>
          <w:p>
            <w:pPr>
              <w:jc w:val="center"/>
              <w:rPr>
                <w:rFonts w:ascii="宋体" w:hAnsi="宋体" w:cs="宋体"/>
                <w:sz w:val="24"/>
              </w:rPr>
            </w:pPr>
            <w:r>
              <w:rPr>
                <w:rFonts w:hint="eastAsia" w:ascii="宋体" w:hAnsi="宋体" w:cs="宋体"/>
                <w:sz w:val="24"/>
              </w:rPr>
              <w:t>三级</w:t>
            </w:r>
          </w:p>
        </w:tc>
      </w:tr>
    </w:tbl>
    <w:p>
      <w:pPr>
        <w:pStyle w:val="90"/>
        <w:numPr>
          <w:ilvl w:val="0"/>
          <w:numId w:val="15"/>
        </w:numPr>
        <w:spacing w:line="360" w:lineRule="auto"/>
        <w:ind w:firstLineChars="0"/>
        <w:outlineLvl w:val="1"/>
        <w:rPr>
          <w:color w:val="000000" w:themeColor="text1"/>
          <w:sz w:val="24"/>
          <w:szCs w:val="24"/>
        </w:rPr>
      </w:pPr>
      <w:r>
        <w:rPr>
          <w:rStyle w:val="366"/>
          <w:rFonts w:hint="eastAsia" w:eastAsia="宋体" w:cs="宋体"/>
          <w:sz w:val="24"/>
          <w:szCs w:val="24"/>
        </w:rPr>
        <w:t>总体需求</w:t>
      </w:r>
    </w:p>
    <w:tbl>
      <w:tblPr>
        <w:tblStyle w:val="54"/>
        <w:tblW w:w="94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1"/>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1201" w:type="dxa"/>
            <w:noWrap/>
            <w:vAlign w:val="center"/>
          </w:tcPr>
          <w:p>
            <w:pPr>
              <w:widowControl/>
              <w:jc w:val="center"/>
              <w:rPr>
                <w:rFonts w:ascii="宋体" w:hAnsi="宋体" w:cs="宋体"/>
                <w:kern w:val="0"/>
                <w:sz w:val="24"/>
              </w:rPr>
            </w:pPr>
            <w:r>
              <w:rPr>
                <w:rFonts w:hint="eastAsia" w:ascii="宋体" w:hAnsi="宋体" w:cs="宋体"/>
                <w:kern w:val="0"/>
                <w:sz w:val="24"/>
              </w:rPr>
              <w:t>指标项</w:t>
            </w:r>
          </w:p>
        </w:tc>
        <w:tc>
          <w:tcPr>
            <w:tcW w:w="7734" w:type="dxa"/>
            <w:noWrap/>
            <w:vAlign w:val="center"/>
          </w:tcPr>
          <w:p>
            <w:pPr>
              <w:widowControl/>
              <w:jc w:val="center"/>
              <w:rPr>
                <w:rFonts w:ascii="宋体" w:hAnsi="宋体" w:cs="宋体"/>
                <w:kern w:val="0"/>
                <w:sz w:val="24"/>
              </w:rPr>
            </w:pPr>
            <w:r>
              <w:rPr>
                <w:rFonts w:hint="eastAsia" w:ascii="宋体" w:hAnsi="宋体" w:cs="宋体"/>
                <w:kern w:val="0"/>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restart"/>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01" w:type="dxa"/>
            <w:vMerge w:val="restart"/>
            <w:noWrap/>
            <w:vAlign w:val="center"/>
          </w:tcPr>
          <w:p>
            <w:pPr>
              <w:widowControl/>
              <w:jc w:val="center"/>
              <w:rPr>
                <w:rFonts w:ascii="宋体" w:hAnsi="宋体" w:cs="宋体"/>
                <w:kern w:val="0"/>
                <w:sz w:val="24"/>
              </w:rPr>
            </w:pPr>
            <w:r>
              <w:rPr>
                <w:rFonts w:hint="eastAsia" w:ascii="宋体" w:hAnsi="宋体" w:cs="宋体"/>
                <w:kern w:val="0"/>
                <w:sz w:val="24"/>
              </w:rPr>
              <w:t>资质要求</w:t>
            </w:r>
          </w:p>
        </w:tc>
        <w:tc>
          <w:tcPr>
            <w:tcW w:w="7734" w:type="dxa"/>
            <w:noWrap/>
            <w:vAlign w:val="center"/>
          </w:tcPr>
          <w:p>
            <w:pPr>
              <w:widowControl/>
              <w:jc w:val="left"/>
              <w:rPr>
                <w:rFonts w:ascii="宋体" w:hAnsi="宋体" w:cs="宋体"/>
                <w:kern w:val="0"/>
                <w:sz w:val="24"/>
              </w:rPr>
            </w:pPr>
            <w:r>
              <w:rPr>
                <w:rFonts w:hint="eastAsia" w:ascii="宋体" w:hAnsi="宋体" w:cs="宋体"/>
                <w:color w:val="000000" w:themeColor="text1"/>
                <w:sz w:val="24"/>
              </w:rPr>
              <w:t>★</w:t>
            </w:r>
            <w:r>
              <w:rPr>
                <w:rFonts w:hint="eastAsia" w:ascii="宋体" w:hAnsi="宋体" w:cs="宋体"/>
                <w:bCs/>
                <w:sz w:val="24"/>
              </w:rPr>
              <w:t>供应商必须具有公安部第三研究所颁发的有效期内的网络安全等级测评与检测评估机构服务认证证书</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color w:val="000000" w:themeColor="text1"/>
                <w:sz w:val="24"/>
              </w:rPr>
              <w:t>★</w:t>
            </w:r>
            <w:r>
              <w:rPr>
                <w:rFonts w:hint="eastAsia" w:ascii="宋体" w:hAnsi="宋体" w:cs="宋体"/>
                <w:bCs/>
                <w:sz w:val="24"/>
              </w:rPr>
              <w:t>供应商必须具备质量管理体系认证证书（ISO9001）、信息安全管理体系认证证书（ISO27001）</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kern w:val="0"/>
                <w:sz w:val="24"/>
              </w:rPr>
              <w:t>信息技术服务管理体系认证证书（ISO20000）；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kern w:val="0"/>
                <w:sz w:val="24"/>
              </w:rPr>
              <w:t>中国合格评定国家认可委员会检验机构认可证书（CNAS）；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kern w:val="0"/>
                <w:sz w:val="24"/>
              </w:rPr>
              <w:t>企业资信等级证书（AAA）；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kern w:val="0"/>
                <w:sz w:val="24"/>
              </w:rPr>
              <w:t>信息技术服务标准ITSS；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kern w:val="0"/>
                <w:sz w:val="24"/>
              </w:rPr>
              <w:t>工业信息安全检测评估机构；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kern w:val="0"/>
                <w:sz w:val="24"/>
              </w:rPr>
              <w:t>工业信息安全应急处置机构。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Merge w:val="restart"/>
            <w:noWrap/>
            <w:vAlign w:val="center"/>
          </w:tcPr>
          <w:p>
            <w:pPr>
              <w:widowControl/>
              <w:jc w:val="center"/>
              <w:rPr>
                <w:rFonts w:ascii="宋体" w:hAnsi="宋体" w:cs="宋体"/>
                <w:kern w:val="0"/>
                <w:sz w:val="24"/>
              </w:rPr>
            </w:pPr>
            <w:r>
              <w:rPr>
                <w:rFonts w:hint="eastAsia" w:ascii="宋体" w:hAnsi="宋体" w:cs="宋体"/>
                <w:kern w:val="0"/>
                <w:sz w:val="24"/>
              </w:rPr>
              <w:t>2</w:t>
            </w:r>
          </w:p>
          <w:p>
            <w:pPr>
              <w:widowControl/>
              <w:jc w:val="left"/>
              <w:rPr>
                <w:rFonts w:ascii="宋体" w:hAnsi="宋体" w:cs="宋体"/>
                <w:kern w:val="0"/>
                <w:sz w:val="24"/>
              </w:rPr>
            </w:pPr>
          </w:p>
        </w:tc>
        <w:tc>
          <w:tcPr>
            <w:tcW w:w="1201" w:type="dxa"/>
            <w:vMerge w:val="restart"/>
            <w:noWrap/>
            <w:vAlign w:val="center"/>
          </w:tcPr>
          <w:p>
            <w:pPr>
              <w:widowControl/>
              <w:jc w:val="center"/>
              <w:rPr>
                <w:rFonts w:ascii="宋体" w:hAnsi="宋体" w:cs="宋体"/>
                <w:kern w:val="0"/>
                <w:sz w:val="24"/>
              </w:rPr>
            </w:pPr>
            <w:r>
              <w:rPr>
                <w:rFonts w:hint="eastAsia" w:ascii="宋体" w:hAnsi="宋体" w:cs="宋体"/>
                <w:kern w:val="0"/>
                <w:sz w:val="24"/>
              </w:rPr>
              <w:t>技术团队要求</w:t>
            </w:r>
          </w:p>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color w:val="000000" w:themeColor="text1"/>
                <w:sz w:val="24"/>
              </w:rPr>
              <w:t>★</w:t>
            </w:r>
            <w:r>
              <w:rPr>
                <w:rFonts w:hint="eastAsia" w:ascii="宋体" w:hAnsi="宋体" w:cs="宋体"/>
                <w:sz w:val="24"/>
              </w:rPr>
              <w:t>项目组成员要求（除项目经理外）不少于4人；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sz w:val="24"/>
              </w:rPr>
              <w:t>具有高级测评师证书的至少1人（需提供为其缴纳的近1个月社保证明；证书及证明材料需提供复印件，并加盖公章）；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color w:val="000000" w:themeColor="text1"/>
                <w:sz w:val="24"/>
              </w:rPr>
              <w:t>★</w:t>
            </w:r>
            <w:r>
              <w:rPr>
                <w:rFonts w:hint="eastAsia" w:ascii="宋体" w:hAnsi="宋体" w:cs="宋体"/>
                <w:sz w:val="24"/>
              </w:rPr>
              <w:t>具有中级等级测评师证书和CISP（或CISSP）认证证书的至少2人（需提供为其缴纳的近3个月社保证明；证书及证明材料需提供复印件，并加盖公章）。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restart"/>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201" w:type="dxa"/>
            <w:vMerge w:val="restart"/>
            <w:noWrap/>
            <w:vAlign w:val="center"/>
          </w:tcPr>
          <w:p>
            <w:pPr>
              <w:widowControl/>
              <w:jc w:val="center"/>
              <w:rPr>
                <w:rFonts w:ascii="宋体" w:hAnsi="宋体" w:cs="宋体"/>
                <w:kern w:val="0"/>
                <w:sz w:val="24"/>
              </w:rPr>
            </w:pPr>
            <w:r>
              <w:rPr>
                <w:rFonts w:hint="eastAsia" w:ascii="宋体" w:hAnsi="宋体" w:cs="宋体"/>
                <w:kern w:val="0"/>
                <w:sz w:val="24"/>
              </w:rPr>
              <w:t>安全服务要求</w:t>
            </w:r>
          </w:p>
        </w:tc>
        <w:tc>
          <w:tcPr>
            <w:tcW w:w="7734" w:type="dxa"/>
            <w:noWrap/>
            <w:vAlign w:val="center"/>
          </w:tcPr>
          <w:p>
            <w:pPr>
              <w:widowControl/>
              <w:jc w:val="left"/>
              <w:rPr>
                <w:rFonts w:ascii="宋体" w:hAnsi="宋体" w:cs="宋体"/>
                <w:kern w:val="0"/>
                <w:sz w:val="24"/>
              </w:rPr>
            </w:pPr>
            <w:r>
              <w:rPr>
                <w:rFonts w:hint="eastAsia" w:ascii="宋体" w:hAnsi="宋体" w:cs="宋体"/>
                <w:sz w:val="24"/>
              </w:rPr>
              <w:t>等保知识培训：提高我公司各级领导对等保工作的认识和支持；提高信息安全员开展等保工作的能力</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sz w:val="24"/>
              </w:rPr>
              <w:t>制定系统测评工作计划：对安播运维部2个三级信息系统进行等保测评，撰写被测系统测评报告</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kern w:val="0"/>
                <w:sz w:val="24"/>
              </w:rPr>
            </w:pPr>
            <w:r>
              <w:rPr>
                <w:rFonts w:hint="eastAsia" w:ascii="宋体" w:hAnsi="宋体" w:cs="宋体"/>
                <w:sz w:val="24"/>
              </w:rPr>
              <w:t>配合制定测评后安全整改设计方案：根据我司实际情况制定合理的分步实施方案；确定本次等保建设必须的安全产品及其性能要求，协助我司进行安全产品的选型与实施</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sz w:val="24"/>
              </w:rPr>
              <w:t>协助完成定级信息系统测评后的安全整改工作：保证信息系统具备与相应等级相匹配的信息安全保护能力；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sz w:val="24"/>
              </w:rPr>
              <w:t>新建信息系统测评；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sz w:val="24"/>
              </w:rPr>
              <w:t>应急响应服务，重大安全问题4小时响应；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sz w:val="24"/>
              </w:rPr>
              <w:t>应急演练，包括方案制定、实施及演练报告等；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sz w:val="24"/>
              </w:rPr>
              <w:t>安全事件追踪审计；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sz w:val="24"/>
              </w:rPr>
              <w:t>信息安全顾问：包括信息安全保障体系优化调整、等保知识培训、安全问题咨询等。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restart"/>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201" w:type="dxa"/>
            <w:vMerge w:val="restart"/>
            <w:noWrap/>
            <w:vAlign w:val="center"/>
          </w:tcPr>
          <w:p>
            <w:pPr>
              <w:widowControl/>
              <w:jc w:val="center"/>
              <w:rPr>
                <w:rFonts w:ascii="宋体" w:hAnsi="宋体" w:cs="宋体"/>
                <w:kern w:val="0"/>
                <w:sz w:val="24"/>
              </w:rPr>
            </w:pPr>
            <w:r>
              <w:rPr>
                <w:rFonts w:hint="eastAsia" w:ascii="宋体" w:hAnsi="宋体" w:cs="宋体"/>
                <w:kern w:val="0"/>
                <w:sz w:val="24"/>
              </w:rPr>
              <w:t>其他要求</w:t>
            </w:r>
          </w:p>
        </w:tc>
        <w:tc>
          <w:tcPr>
            <w:tcW w:w="7734" w:type="dxa"/>
            <w:noWrap/>
            <w:vAlign w:val="center"/>
          </w:tcPr>
          <w:p>
            <w:pPr>
              <w:widowControl/>
              <w:jc w:val="left"/>
              <w:rPr>
                <w:rFonts w:ascii="宋体" w:hAnsi="宋体" w:cs="宋体"/>
                <w:sz w:val="24"/>
              </w:rPr>
            </w:pPr>
            <w:r>
              <w:rPr>
                <w:rFonts w:hint="eastAsia" w:ascii="宋体" w:hAnsi="宋体" w:cs="宋体"/>
                <w:color w:val="000000" w:themeColor="text1"/>
                <w:sz w:val="24"/>
              </w:rPr>
              <w:t>★</w:t>
            </w:r>
            <w:r>
              <w:rPr>
                <w:rFonts w:hint="eastAsia" w:ascii="宋体" w:hAnsi="宋体" w:cs="宋体"/>
                <w:sz w:val="24"/>
              </w:rPr>
              <w:t>须承诺于2022年9月30日之前完成“省市县广播电视直播核心系统”、“省级视频互动系统”的测评工作，并出具测评报告；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95" w:type="dxa"/>
            <w:vMerge w:val="continue"/>
            <w:noWrap/>
            <w:vAlign w:val="center"/>
          </w:tcPr>
          <w:p>
            <w:pPr>
              <w:widowControl/>
              <w:jc w:val="left"/>
              <w:rPr>
                <w:rFonts w:ascii="宋体" w:hAnsi="宋体" w:cs="宋体"/>
                <w:kern w:val="0"/>
                <w:sz w:val="24"/>
              </w:rPr>
            </w:pPr>
          </w:p>
        </w:tc>
        <w:tc>
          <w:tcPr>
            <w:tcW w:w="1201" w:type="dxa"/>
            <w:vMerge w:val="continue"/>
            <w:noWrap/>
            <w:vAlign w:val="center"/>
          </w:tcPr>
          <w:p>
            <w:pPr>
              <w:widowControl/>
              <w:jc w:val="left"/>
              <w:rPr>
                <w:rFonts w:ascii="宋体" w:hAnsi="宋体" w:cs="宋体"/>
                <w:kern w:val="0"/>
                <w:sz w:val="24"/>
              </w:rPr>
            </w:pPr>
          </w:p>
        </w:tc>
        <w:tc>
          <w:tcPr>
            <w:tcW w:w="7734" w:type="dxa"/>
            <w:noWrap/>
            <w:vAlign w:val="center"/>
          </w:tcPr>
          <w:p>
            <w:pPr>
              <w:widowControl/>
              <w:jc w:val="left"/>
              <w:rPr>
                <w:rFonts w:ascii="宋体" w:hAnsi="宋体" w:cs="宋体"/>
                <w:sz w:val="24"/>
              </w:rPr>
            </w:pPr>
            <w:r>
              <w:rPr>
                <w:rFonts w:hint="eastAsia" w:ascii="宋体" w:hAnsi="宋体" w:cs="宋体"/>
                <w:color w:val="000000" w:themeColor="text1"/>
                <w:sz w:val="24"/>
              </w:rPr>
              <w:t>★</w:t>
            </w:r>
            <w:r>
              <w:rPr>
                <w:rFonts w:hint="eastAsia" w:ascii="宋体" w:hAnsi="宋体" w:cs="宋体"/>
                <w:sz w:val="24"/>
              </w:rPr>
              <w:t>须保证安排独立的测评人员至江苏省内13个地市（含区县）开展现场测评工作，具体时间和行程安排由江苏有线安播运维部确认；</w:t>
            </w:r>
          </w:p>
        </w:tc>
      </w:tr>
      <w:bookmarkEnd w:id="14"/>
      <w:bookmarkEnd w:id="15"/>
      <w:bookmarkEnd w:id="16"/>
    </w:tbl>
    <w:p>
      <w:pPr>
        <w:spacing w:line="360" w:lineRule="auto"/>
        <w:ind w:firstLine="420" w:firstLineChars="200"/>
      </w:pPr>
      <w:bookmarkStart w:id="28" w:name="_Toc69378657"/>
      <w:bookmarkStart w:id="29" w:name="_Toc502914229"/>
    </w:p>
    <w:p>
      <w:pPr>
        <w:spacing w:line="360" w:lineRule="auto"/>
        <w:ind w:firstLine="420" w:firstLineChars="200"/>
        <w:rPr>
          <w:rFonts w:eastAsia="黑体"/>
          <w:b/>
          <w:bCs/>
          <w:kern w:val="44"/>
          <w:sz w:val="36"/>
          <w:szCs w:val="36"/>
        </w:rPr>
      </w:pPr>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28"/>
    </w:p>
    <w:p/>
    <w:p/>
    <w:p/>
    <w:p/>
    <w:p/>
    <w:p/>
    <w:p/>
    <w:p>
      <w:pPr>
        <w:jc w:val="center"/>
        <w:rPr>
          <w:rFonts w:ascii="宋体" w:hAnsi="宋体"/>
          <w:sz w:val="44"/>
          <w:szCs w:val="44"/>
        </w:rPr>
      </w:pPr>
      <w:bookmarkStart w:id="30" w:name="_Toc26259736"/>
      <w:r>
        <w:rPr>
          <w:rFonts w:hint="eastAsia" w:ascii="宋体" w:hAnsi="宋体"/>
          <w:sz w:val="44"/>
          <w:szCs w:val="44"/>
        </w:rPr>
        <w:t>江苏省广电有线信息网络股份有限公司</w:t>
      </w:r>
    </w:p>
    <w:bookmarkEnd w:id="30"/>
    <w:p>
      <w:pPr>
        <w:jc w:val="center"/>
        <w:rPr>
          <w:sz w:val="48"/>
          <w:szCs w:val="48"/>
        </w:rPr>
      </w:pPr>
      <w:r>
        <w:rPr>
          <w:rFonts w:hint="eastAsia"/>
          <w:sz w:val="48"/>
          <w:szCs w:val="48"/>
        </w:rPr>
        <w:t>2022年安播运维部重要信息系统等级保护测评项目</w:t>
      </w:r>
    </w:p>
    <w:p/>
    <w:p>
      <w:pPr>
        <w:pStyle w:val="22"/>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2"/>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2"/>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2"/>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31" w:name="_Toc26259737"/>
      <w:bookmarkStart w:id="32" w:name="_Toc529538374"/>
      <w:bookmarkStart w:id="33" w:name="_Toc26260030"/>
      <w:bookmarkStart w:id="34" w:name="_Toc69378658"/>
      <w:bookmarkStart w:id="35" w:name="_Toc472689687"/>
      <w:bookmarkStart w:id="36" w:name="_Toc447265603"/>
      <w:bookmarkStart w:id="37" w:name="_Toc447265317"/>
      <w:bookmarkStart w:id="38" w:name="_Toc438052118"/>
      <w:r>
        <w:rPr>
          <w:rFonts w:hint="eastAsia"/>
        </w:rPr>
        <w:t>评审索引表</w:t>
      </w:r>
      <w:bookmarkEnd w:id="31"/>
      <w:bookmarkEnd w:id="32"/>
      <w:bookmarkEnd w:id="33"/>
      <w:bookmarkEnd w:id="34"/>
      <w:bookmarkEnd w:id="35"/>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39" w:name="_Toc26259738"/>
      <w:bookmarkStart w:id="40" w:name="_Toc401133270"/>
      <w:bookmarkStart w:id="41" w:name="_Toc429954241"/>
      <w:bookmarkStart w:id="42" w:name="_Toc529538375"/>
      <w:bookmarkStart w:id="43" w:name="_Toc401216443"/>
      <w:bookmarkStart w:id="44" w:name="_Toc26260031"/>
      <w:bookmarkStart w:id="45" w:name="_Toc427071030"/>
      <w:bookmarkStart w:id="46" w:name="_Toc485737092"/>
      <w:bookmarkStart w:id="47" w:name="_Toc401151285"/>
    </w:p>
    <w:p>
      <w:pPr>
        <w:pStyle w:val="5"/>
        <w:spacing w:before="260" w:after="260" w:line="416" w:lineRule="auto"/>
        <w:jc w:val="center"/>
        <w:rPr>
          <w:rFonts w:ascii="宋体" w:hAnsi="宋体" w:eastAsia="宋体"/>
          <w:b/>
          <w:bCs/>
          <w:sz w:val="22"/>
          <w:szCs w:val="28"/>
        </w:rPr>
      </w:pPr>
      <w:bookmarkStart w:id="48" w:name="_Toc69378659"/>
      <w:r>
        <w:rPr>
          <w:rFonts w:hint="eastAsia" w:ascii="宋体" w:hAnsi="宋体" w:eastAsia="宋体"/>
          <w:b/>
          <w:bCs/>
          <w:sz w:val="22"/>
          <w:szCs w:val="28"/>
        </w:rPr>
        <w:t>初步</w:t>
      </w:r>
      <w:r>
        <w:rPr>
          <w:rFonts w:ascii="宋体" w:hAnsi="宋体" w:eastAsia="宋体"/>
          <w:b/>
          <w:bCs/>
          <w:sz w:val="22"/>
          <w:szCs w:val="28"/>
        </w:rPr>
        <w:t>评审索引表</w:t>
      </w:r>
      <w:bookmarkEnd w:id="39"/>
      <w:bookmarkEnd w:id="40"/>
      <w:bookmarkEnd w:id="41"/>
      <w:bookmarkEnd w:id="42"/>
      <w:bookmarkEnd w:id="43"/>
      <w:bookmarkEnd w:id="44"/>
      <w:bookmarkEnd w:id="45"/>
      <w:bookmarkEnd w:id="46"/>
      <w:bookmarkEnd w:id="47"/>
      <w:bookmarkEnd w:id="48"/>
    </w:p>
    <w:tbl>
      <w:tblPr>
        <w:tblStyle w:val="5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3"/>
        <w:ind w:firstLine="560"/>
      </w:pPr>
    </w:p>
    <w:p>
      <w:pPr>
        <w:pStyle w:val="53"/>
        <w:ind w:firstLine="560"/>
      </w:pPr>
    </w:p>
    <w:p>
      <w:pPr>
        <w:pStyle w:val="53"/>
        <w:ind w:firstLine="560"/>
      </w:pPr>
    </w:p>
    <w:p>
      <w:pPr>
        <w:pStyle w:val="5"/>
        <w:spacing w:before="260" w:after="260" w:line="416" w:lineRule="auto"/>
        <w:jc w:val="center"/>
        <w:rPr>
          <w:rFonts w:ascii="宋体" w:hAnsi="宋体" w:eastAsia="宋体"/>
          <w:b/>
          <w:bCs/>
          <w:sz w:val="22"/>
          <w:szCs w:val="28"/>
        </w:rPr>
      </w:pPr>
      <w:bookmarkStart w:id="49" w:name="_Toc26259739"/>
      <w:bookmarkStart w:id="50" w:name="_Toc26260032"/>
      <w:bookmarkStart w:id="51" w:name="_Toc69378660"/>
      <w:r>
        <w:rPr>
          <w:rFonts w:hint="eastAsia" w:ascii="宋体" w:hAnsi="宋体" w:eastAsia="宋体"/>
          <w:b/>
          <w:bCs/>
          <w:sz w:val="22"/>
          <w:szCs w:val="28"/>
        </w:rPr>
        <w:t>详细</w:t>
      </w:r>
      <w:r>
        <w:rPr>
          <w:rFonts w:ascii="宋体" w:hAnsi="宋体" w:eastAsia="宋体"/>
          <w:b/>
          <w:bCs/>
          <w:sz w:val="22"/>
          <w:szCs w:val="28"/>
        </w:rPr>
        <w:t>评审索引表</w:t>
      </w:r>
      <w:bookmarkEnd w:id="49"/>
      <w:bookmarkEnd w:id="50"/>
      <w:bookmarkEnd w:id="51"/>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gridSpan w:val="2"/>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36"/>
    <w:bookmarkEnd w:id="37"/>
    <w:bookmarkEnd w:id="38"/>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7"/>
          <w:rFonts w:hAnsi="宋体"/>
          <w:b w:val="0"/>
          <w:bCs w:val="0"/>
          <w:sz w:val="24"/>
          <w:szCs w:val="24"/>
        </w:rPr>
      </w:pPr>
      <w:bookmarkStart w:id="52" w:name="_Toc161767428"/>
      <w:bookmarkStart w:id="53" w:name="_Toc135999006"/>
      <w:bookmarkStart w:id="54" w:name="_Toc26260033"/>
      <w:bookmarkStart w:id="55" w:name="_Toc69378663"/>
      <w:bookmarkStart w:id="56" w:name="_Toc438052120"/>
      <w:bookmarkStart w:id="57" w:name="_Toc472689688"/>
      <w:bookmarkStart w:id="58" w:name="_Toc529538377"/>
      <w:r>
        <w:rPr>
          <w:rStyle w:val="107"/>
          <w:rFonts w:hint="eastAsia" w:hAnsi="宋体"/>
          <w:b w:val="0"/>
          <w:bCs w:val="0"/>
          <w:sz w:val="24"/>
          <w:szCs w:val="24"/>
        </w:rPr>
        <w:t>附件</w:t>
      </w:r>
      <w:r>
        <w:rPr>
          <w:rStyle w:val="107"/>
          <w:rFonts w:hAnsi="宋体"/>
          <w:b w:val="0"/>
          <w:bCs w:val="0"/>
          <w:sz w:val="24"/>
          <w:szCs w:val="24"/>
        </w:rPr>
        <w:t>1</w:t>
      </w:r>
      <w:r>
        <w:rPr>
          <w:rStyle w:val="107"/>
          <w:rFonts w:hint="eastAsia" w:hAnsi="宋体"/>
          <w:b w:val="0"/>
          <w:bCs w:val="0"/>
          <w:sz w:val="24"/>
          <w:szCs w:val="24"/>
        </w:rPr>
        <w:t>：</w:t>
      </w:r>
      <w:bookmarkEnd w:id="52"/>
      <w:bookmarkEnd w:id="53"/>
      <w:r>
        <w:rPr>
          <w:rStyle w:val="107"/>
          <w:rFonts w:hint="eastAsia" w:hAnsi="宋体"/>
          <w:b w:val="0"/>
          <w:bCs w:val="0"/>
          <w:sz w:val="24"/>
          <w:szCs w:val="24"/>
        </w:rPr>
        <w:t>响应函</w:t>
      </w:r>
      <w:bookmarkEnd w:id="54"/>
      <w:bookmarkEnd w:id="55"/>
    </w:p>
    <w:p>
      <w:pPr>
        <w:snapToGrid w:val="0"/>
        <w:spacing w:before="312" w:beforeLines="100" w:after="312" w:afterLines="100"/>
        <w:ind w:left="210" w:leftChars="100" w:right="210" w:rightChars="100" w:firstLine="643" w:firstLineChars="200"/>
        <w:jc w:val="center"/>
        <w:rPr>
          <w:rStyle w:val="107"/>
          <w:rFonts w:ascii="宋体" w:hAnsi="宋体"/>
        </w:rPr>
      </w:pPr>
      <w:r>
        <w:rPr>
          <w:rStyle w:val="107"/>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59" w:name="_Toc26260034"/>
      <w:bookmarkStart w:id="60" w:name="_Toc26259740"/>
      <w:bookmarkStart w:id="61" w:name="_Toc69378664"/>
    </w:p>
    <w:p>
      <w:pPr>
        <w:pStyle w:val="4"/>
        <w:numPr>
          <w:ilvl w:val="0"/>
          <w:numId w:val="0"/>
        </w:numPr>
        <w:snapToGrid w:val="0"/>
        <w:spacing w:before="312" w:beforeLines="100" w:after="312" w:afterLines="100"/>
        <w:ind w:right="210" w:rightChars="100"/>
        <w:rPr>
          <w:rStyle w:val="107"/>
          <w:rFonts w:hAnsi="宋体"/>
          <w:b w:val="0"/>
          <w:bCs/>
          <w:sz w:val="24"/>
          <w:szCs w:val="24"/>
        </w:rPr>
      </w:pPr>
      <w:r>
        <w:rPr>
          <w:rStyle w:val="107"/>
          <w:rFonts w:hint="eastAsia" w:hAnsi="宋体"/>
          <w:b w:val="0"/>
          <w:bCs w:val="0"/>
          <w:sz w:val="24"/>
          <w:szCs w:val="24"/>
        </w:rPr>
        <w:t>附件</w:t>
      </w:r>
      <w:r>
        <w:rPr>
          <w:rStyle w:val="107"/>
          <w:rFonts w:hAnsi="宋体"/>
          <w:b w:val="0"/>
          <w:bCs w:val="0"/>
          <w:sz w:val="24"/>
          <w:szCs w:val="24"/>
        </w:rPr>
        <w:t>2</w:t>
      </w:r>
      <w:r>
        <w:rPr>
          <w:rStyle w:val="107"/>
          <w:rFonts w:hint="eastAsia" w:hAnsi="宋体"/>
          <w:b w:val="0"/>
          <w:bCs w:val="0"/>
          <w:sz w:val="24"/>
          <w:szCs w:val="24"/>
        </w:rPr>
        <w:t>：供应商的授权函和承诺函</w:t>
      </w:r>
      <w:r>
        <w:rPr>
          <w:rStyle w:val="107"/>
          <w:rFonts w:hAnsi="宋体"/>
          <w:b w:val="0"/>
          <w:bCs w:val="0"/>
          <w:sz w:val="24"/>
          <w:szCs w:val="24"/>
        </w:rPr>
        <w:br w:type="page"/>
      </w:r>
    </w:p>
    <w:p>
      <w:pPr>
        <w:pStyle w:val="4"/>
        <w:numPr>
          <w:ilvl w:val="0"/>
          <w:numId w:val="0"/>
        </w:numPr>
        <w:snapToGrid w:val="0"/>
        <w:spacing w:before="312" w:beforeLines="100" w:after="312" w:afterLines="100"/>
        <w:ind w:right="210" w:rightChars="100"/>
        <w:rPr>
          <w:rStyle w:val="81"/>
          <w:rFonts w:hAnsi="Times New Roman" w:eastAsia="宋体"/>
          <w:bCs w:val="0"/>
          <w:szCs w:val="24"/>
        </w:rPr>
      </w:pPr>
      <w:r>
        <w:rPr>
          <w:rStyle w:val="107"/>
          <w:rFonts w:hint="eastAsia" w:hAnsi="宋体"/>
          <w:b w:val="0"/>
          <w:bCs w:val="0"/>
          <w:sz w:val="24"/>
          <w:szCs w:val="24"/>
        </w:rPr>
        <w:t>附件</w:t>
      </w:r>
      <w:r>
        <w:rPr>
          <w:rStyle w:val="107"/>
          <w:rFonts w:hAnsi="宋体"/>
          <w:b w:val="0"/>
          <w:bCs w:val="0"/>
          <w:sz w:val="24"/>
          <w:szCs w:val="24"/>
        </w:rPr>
        <w:t>3</w:t>
      </w:r>
      <w:r>
        <w:rPr>
          <w:rStyle w:val="107"/>
          <w:rFonts w:hint="eastAsia" w:hAnsi="宋体"/>
          <w:b w:val="0"/>
          <w:bCs w:val="0"/>
          <w:sz w:val="24"/>
          <w:szCs w:val="24"/>
        </w:rPr>
        <w:t>：报价表</w:t>
      </w:r>
      <w:r>
        <w:rPr>
          <w:rStyle w:val="107"/>
          <w:rFonts w:hAnsi="宋体"/>
          <w:b w:val="0"/>
          <w:bCs w:val="0"/>
          <w:sz w:val="24"/>
          <w:szCs w:val="24"/>
        </w:rPr>
        <w:t>(</w:t>
      </w:r>
      <w:r>
        <w:rPr>
          <w:rStyle w:val="107"/>
          <w:rFonts w:hint="eastAsia" w:hAnsi="宋体"/>
          <w:b w:val="0"/>
          <w:bCs w:val="0"/>
          <w:sz w:val="24"/>
          <w:szCs w:val="24"/>
        </w:rPr>
        <w:t>格式</w:t>
      </w:r>
      <w:r>
        <w:rPr>
          <w:rStyle w:val="107"/>
          <w:rFonts w:hAnsi="宋体"/>
          <w:b w:val="0"/>
          <w:bCs w:val="0"/>
          <w:sz w:val="24"/>
          <w:szCs w:val="24"/>
        </w:rPr>
        <w:t>)</w:t>
      </w:r>
      <w:bookmarkEnd w:id="59"/>
      <w:bookmarkEnd w:id="60"/>
      <w:bookmarkEnd w:id="61"/>
    </w:p>
    <w:p>
      <w:pPr>
        <w:spacing w:line="360" w:lineRule="auto"/>
      </w:pPr>
      <w:r>
        <w:t>项目名称：</w:t>
      </w:r>
      <w:r>
        <w:rPr>
          <w:rFonts w:hint="eastAsia" w:ascii="宋体" w:hAnsi="宋体"/>
          <w:sz w:val="24"/>
        </w:rPr>
        <w:t>2022年安播运维部重要信息系统等级保护测评</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720"/>
        <w:gridCol w:w="3375"/>
        <w:gridCol w:w="1843"/>
        <w:gridCol w:w="1634"/>
        <w:gridCol w:w="10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51" w:type="dxa"/>
            <w:shd w:val="clear" w:color="000000" w:fill="FFFFFF"/>
            <w:vAlign w:val="center"/>
          </w:tcPr>
          <w:p>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20" w:type="dxa"/>
            <w:shd w:val="clear" w:color="000000" w:fill="FFFFFF"/>
            <w:vAlign w:val="center"/>
          </w:tcPr>
          <w:p>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服务名称</w:t>
            </w:r>
          </w:p>
        </w:tc>
        <w:tc>
          <w:tcPr>
            <w:tcW w:w="3375" w:type="dxa"/>
            <w:tcBorders>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w:t>
            </w:r>
          </w:p>
        </w:tc>
        <w:tc>
          <w:tcPr>
            <w:tcW w:w="1843" w:type="dxa"/>
            <w:tcBorders>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服务周期</w:t>
            </w:r>
          </w:p>
        </w:tc>
        <w:tc>
          <w:tcPr>
            <w:tcW w:w="1634" w:type="dxa"/>
            <w:tcBorders>
              <w:left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1059" w:type="dxa"/>
            <w:tcBorders>
              <w:lef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1</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2</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3</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4</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571" w:type="dxa"/>
            <w:gridSpan w:val="2"/>
            <w:vAlign w:val="center"/>
          </w:tcPr>
          <w:p>
            <w:pPr>
              <w:widowControl/>
              <w:jc w:val="center"/>
              <w:rPr>
                <w:b/>
                <w:color w:val="000000"/>
                <w:kern w:val="0"/>
                <w:szCs w:val="21"/>
              </w:rPr>
            </w:pPr>
            <w:r>
              <w:rPr>
                <w:rFonts w:hint="eastAsia"/>
                <w:b/>
                <w:color w:val="000000"/>
                <w:kern w:val="0"/>
                <w:szCs w:val="21"/>
              </w:rPr>
              <w:t>总价：</w:t>
            </w:r>
          </w:p>
        </w:tc>
        <w:tc>
          <w:tcPr>
            <w:tcW w:w="7911" w:type="dxa"/>
            <w:gridSpan w:val="4"/>
            <w:vAlign w:val="center"/>
          </w:tcPr>
          <w:p>
            <w:pPr>
              <w:widowControl/>
              <w:jc w:val="center"/>
              <w:rPr>
                <w:b/>
                <w:color w:val="000000"/>
                <w:kern w:val="0"/>
                <w:szCs w:val="21"/>
              </w:rPr>
            </w:pPr>
          </w:p>
        </w:tc>
      </w:tr>
    </w:tbl>
    <w:p/>
    <w:p/>
    <w:p>
      <w:pPr>
        <w:snapToGrid w:val="0"/>
        <w:spacing w:line="360" w:lineRule="auto"/>
        <w:rPr>
          <w:color w:val="000000"/>
          <w:szCs w:val="21"/>
        </w:rPr>
      </w:pPr>
      <w:r>
        <w:rPr>
          <w:rFonts w:hint="eastAsia"/>
          <w:color w:val="000000"/>
        </w:rPr>
        <w:t>注</w:t>
      </w:r>
      <w:r>
        <w:rPr>
          <w:color w:val="000000"/>
        </w:rPr>
        <w:t>：</w:t>
      </w:r>
    </w:p>
    <w:p>
      <w:pPr>
        <w:snapToGrid w:val="0"/>
        <w:spacing w:line="360" w:lineRule="auto"/>
        <w:rPr>
          <w:color w:val="000000"/>
          <w:szCs w:val="21"/>
        </w:rPr>
      </w:pPr>
      <w:r>
        <w:rPr>
          <w:rFonts w:hint="eastAsia"/>
          <w:color w:val="000000"/>
          <w:szCs w:val="21"/>
        </w:rPr>
        <w:t>1.报价时请仔细阅读竞争性磋商文件《竞争性磋商须知》中关于报价的要求。</w:t>
      </w:r>
    </w:p>
    <w:p>
      <w:pPr>
        <w:snapToGrid w:val="0"/>
        <w:spacing w:line="360" w:lineRule="auto"/>
        <w:rPr>
          <w:color w:val="000000"/>
          <w:szCs w:val="21"/>
        </w:rPr>
      </w:pPr>
      <w:r>
        <w:rPr>
          <w:rFonts w:hint="eastAsia"/>
          <w:color w:val="000000"/>
          <w:szCs w:val="21"/>
        </w:rPr>
        <w:t>2.供应商应按照竞争性磋商文件中要求提供的服务内容报价。未在表中明确列出的服务项，采购人将视作供应商免费提供。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62" w:name="_Toc161767431"/>
      <w:bookmarkStart w:id="63" w:name="_Toc69378666"/>
      <w:bookmarkStart w:id="64" w:name="_Toc26260036"/>
      <w:bookmarkStart w:id="65" w:name="_Toc135999010"/>
      <w:bookmarkStart w:id="66" w:name="_Toc26259742"/>
      <w:bookmarkStart w:id="67" w:name="_Toc69378665"/>
      <w:bookmarkStart w:id="68" w:name="_Toc26259741"/>
      <w:bookmarkStart w:id="69" w:name="_Toc26260035"/>
      <w:r>
        <w:rPr>
          <w:rStyle w:val="107"/>
          <w:rFonts w:hint="eastAsia" w:hAnsi="宋体"/>
          <w:b w:val="0"/>
          <w:bCs w:val="0"/>
          <w:sz w:val="24"/>
          <w:szCs w:val="24"/>
        </w:rPr>
        <w:t>附件</w:t>
      </w:r>
      <w:r>
        <w:rPr>
          <w:rStyle w:val="107"/>
          <w:rFonts w:hAnsi="宋体"/>
          <w:b w:val="0"/>
          <w:bCs w:val="0"/>
          <w:sz w:val="24"/>
          <w:szCs w:val="24"/>
        </w:rPr>
        <w:t>4</w:t>
      </w:r>
      <w:r>
        <w:rPr>
          <w:rStyle w:val="107"/>
          <w:rFonts w:hint="eastAsia" w:hAnsi="宋体"/>
          <w:b w:val="0"/>
          <w:bCs w:val="0"/>
          <w:sz w:val="24"/>
          <w:szCs w:val="24"/>
        </w:rPr>
        <w:t>：商务条款偏离表</w:t>
      </w:r>
      <w:bookmarkEnd w:id="62"/>
      <w:bookmarkEnd w:id="63"/>
      <w:bookmarkEnd w:id="64"/>
      <w:bookmarkEnd w:id="65"/>
      <w:bookmarkEnd w:id="66"/>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p>
    <w:tbl>
      <w:tblPr>
        <w:tblStyle w:val="5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74"/>
        <w:gridCol w:w="2220"/>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7"/>
          <w:rFonts w:hAnsi="宋体"/>
          <w:b w:val="0"/>
          <w:bCs w:val="0"/>
          <w:sz w:val="24"/>
          <w:szCs w:val="24"/>
        </w:rPr>
      </w:pPr>
      <w:r>
        <w:rPr>
          <w:rStyle w:val="107"/>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7"/>
          <w:rFonts w:hint="eastAsia" w:hAnsi="宋体"/>
          <w:b w:val="0"/>
          <w:bCs w:val="0"/>
          <w:sz w:val="24"/>
          <w:szCs w:val="24"/>
        </w:rPr>
        <w:t>附件</w:t>
      </w:r>
      <w:r>
        <w:rPr>
          <w:rStyle w:val="107"/>
          <w:rFonts w:hAnsi="宋体"/>
          <w:b w:val="0"/>
          <w:bCs w:val="0"/>
          <w:sz w:val="24"/>
          <w:szCs w:val="24"/>
        </w:rPr>
        <w:t>5</w:t>
      </w:r>
      <w:r>
        <w:rPr>
          <w:rStyle w:val="107"/>
          <w:rFonts w:hint="eastAsia" w:hAnsi="宋体"/>
          <w:b w:val="0"/>
          <w:bCs w:val="0"/>
          <w:sz w:val="24"/>
          <w:szCs w:val="24"/>
        </w:rPr>
        <w:t>：法定代表人身份证明及授权委托书</w:t>
      </w:r>
      <w:bookmarkEnd w:id="67"/>
      <w:bookmarkEnd w:id="68"/>
      <w:bookmarkEnd w:id="69"/>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065" b="825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065" b="825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065" b="825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065" b="825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7"/>
          <w:rFonts w:hAnsi="宋体"/>
          <w:b w:val="0"/>
          <w:bCs/>
          <w:sz w:val="24"/>
          <w:szCs w:val="24"/>
        </w:rPr>
      </w:pPr>
      <w:r>
        <w:rPr>
          <w:szCs w:val="24"/>
          <w:u w:val="single"/>
        </w:rPr>
        <w:br w:type="page"/>
      </w:r>
      <w:bookmarkStart w:id="70" w:name="_Toc26259743"/>
      <w:bookmarkStart w:id="71" w:name="_Toc69378667"/>
      <w:bookmarkStart w:id="72" w:name="_Toc26260037"/>
    </w:p>
    <w:p>
      <w:pPr>
        <w:pStyle w:val="4"/>
        <w:numPr>
          <w:ilvl w:val="0"/>
          <w:numId w:val="0"/>
        </w:numPr>
        <w:snapToGrid w:val="0"/>
        <w:spacing w:before="312" w:beforeLines="100" w:after="312" w:afterLines="100"/>
        <w:ind w:right="210" w:rightChars="100"/>
        <w:rPr>
          <w:rStyle w:val="107"/>
          <w:bCs/>
          <w:sz w:val="24"/>
          <w:szCs w:val="24"/>
        </w:rPr>
      </w:pPr>
      <w:r>
        <w:rPr>
          <w:rStyle w:val="107"/>
          <w:rFonts w:hint="eastAsia" w:hAnsi="宋体"/>
          <w:b w:val="0"/>
          <w:bCs w:val="0"/>
          <w:sz w:val="24"/>
          <w:szCs w:val="24"/>
        </w:rPr>
        <w:t>附件</w:t>
      </w:r>
      <w:r>
        <w:rPr>
          <w:rStyle w:val="107"/>
          <w:rFonts w:hAnsi="宋体"/>
          <w:b w:val="0"/>
          <w:bCs w:val="0"/>
          <w:sz w:val="24"/>
          <w:szCs w:val="24"/>
        </w:rPr>
        <w:t>6</w:t>
      </w:r>
      <w:r>
        <w:rPr>
          <w:rStyle w:val="107"/>
          <w:rFonts w:hint="eastAsia" w:hAnsi="宋体"/>
          <w:b w:val="0"/>
          <w:bCs w:val="0"/>
          <w:sz w:val="24"/>
          <w:szCs w:val="24"/>
        </w:rPr>
        <w:t>：技术规范偏离表</w:t>
      </w:r>
      <w:bookmarkEnd w:id="70"/>
      <w:bookmarkEnd w:id="71"/>
      <w:bookmarkEnd w:id="72"/>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7"/>
          <w:b w:val="0"/>
          <w:bCs w:val="0"/>
          <w:sz w:val="24"/>
          <w:szCs w:val="24"/>
        </w:rPr>
      </w:pPr>
      <w:r>
        <w:rPr>
          <w:szCs w:val="24"/>
        </w:rPr>
        <w:br w:type="page"/>
      </w:r>
      <w:bookmarkStart w:id="73" w:name="_Toc69378668"/>
      <w:bookmarkStart w:id="74" w:name="_Toc135999012"/>
      <w:bookmarkStart w:id="75" w:name="_Toc26259744"/>
      <w:bookmarkStart w:id="76" w:name="_Toc161767433"/>
      <w:bookmarkStart w:id="77" w:name="_Toc26260038"/>
      <w:r>
        <w:rPr>
          <w:rStyle w:val="107"/>
          <w:rFonts w:hint="eastAsia" w:hAnsi="宋体"/>
          <w:b w:val="0"/>
          <w:bCs w:val="0"/>
          <w:sz w:val="24"/>
          <w:szCs w:val="24"/>
        </w:rPr>
        <w:t>附件</w:t>
      </w:r>
      <w:r>
        <w:rPr>
          <w:rStyle w:val="107"/>
          <w:rFonts w:hAnsi="宋体"/>
          <w:b w:val="0"/>
          <w:bCs w:val="0"/>
          <w:sz w:val="24"/>
          <w:szCs w:val="24"/>
        </w:rPr>
        <w:t>7</w:t>
      </w:r>
      <w:r>
        <w:rPr>
          <w:rStyle w:val="107"/>
          <w:rFonts w:hint="eastAsia" w:hAnsi="宋体"/>
          <w:b w:val="0"/>
          <w:bCs w:val="0"/>
          <w:sz w:val="24"/>
          <w:szCs w:val="24"/>
        </w:rPr>
        <w:t>：资格证明文件</w:t>
      </w:r>
      <w:bookmarkEnd w:id="73"/>
      <w:bookmarkEnd w:id="74"/>
      <w:bookmarkEnd w:id="75"/>
      <w:bookmarkEnd w:id="76"/>
      <w:bookmarkEnd w:id="77"/>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16"/>
        </w:numPr>
        <w:spacing w:line="360" w:lineRule="auto"/>
        <w:rPr>
          <w:rFonts w:ascii="宋体"/>
          <w:szCs w:val="21"/>
        </w:rPr>
      </w:pPr>
      <w:r>
        <w:rPr>
          <w:rFonts w:hint="eastAsia" w:ascii="宋体"/>
          <w:szCs w:val="21"/>
        </w:rPr>
        <w:t>供应商应填写和提交下述规定的全部格式以及其它有关资料。</w:t>
      </w:r>
    </w:p>
    <w:p>
      <w:pPr>
        <w:numPr>
          <w:ilvl w:val="0"/>
          <w:numId w:val="1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6"/>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6"/>
        </w:numPr>
        <w:spacing w:line="360" w:lineRule="auto"/>
        <w:rPr>
          <w:rFonts w:ascii="宋体"/>
          <w:szCs w:val="21"/>
        </w:rPr>
      </w:pPr>
      <w:r>
        <w:rPr>
          <w:rFonts w:hint="eastAsia" w:ascii="宋体"/>
          <w:szCs w:val="21"/>
        </w:rPr>
        <w:t>供应商提交的材料将被保密，但不退还。</w:t>
      </w:r>
    </w:p>
    <w:p>
      <w:pPr>
        <w:numPr>
          <w:ilvl w:val="0"/>
          <w:numId w:val="16"/>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18"/>
        </w:numPr>
        <w:spacing w:line="360" w:lineRule="auto"/>
        <w:rPr>
          <w:rFonts w:ascii="宋体" w:hAnsi="宋体"/>
          <w:szCs w:val="21"/>
          <w:u w:val="single"/>
        </w:rPr>
      </w:pPr>
      <w:r>
        <w:rPr>
          <w:rFonts w:hint="eastAsia" w:ascii="宋体" w:hAnsi="宋体"/>
          <w:szCs w:val="21"/>
        </w:rPr>
        <w:t>供应商名称：</w:t>
      </w:r>
    </w:p>
    <w:p>
      <w:pPr>
        <w:numPr>
          <w:ilvl w:val="0"/>
          <w:numId w:val="18"/>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1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18"/>
        </w:numPr>
        <w:spacing w:line="360" w:lineRule="auto"/>
        <w:rPr>
          <w:rFonts w:ascii="宋体" w:hAnsi="宋体"/>
          <w:szCs w:val="21"/>
        </w:rPr>
      </w:pPr>
      <w:r>
        <w:rPr>
          <w:rFonts w:hint="eastAsia" w:ascii="宋体" w:hAnsi="宋体"/>
          <w:szCs w:val="21"/>
        </w:rPr>
        <w:t>实收资本：</w:t>
      </w:r>
    </w:p>
    <w:p>
      <w:pPr>
        <w:numPr>
          <w:ilvl w:val="0"/>
          <w:numId w:val="18"/>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18"/>
        </w:numPr>
        <w:spacing w:line="360" w:lineRule="auto"/>
        <w:rPr>
          <w:rFonts w:ascii="宋体" w:hAnsi="宋体"/>
          <w:szCs w:val="21"/>
          <w:u w:val="single"/>
        </w:rPr>
      </w:pPr>
      <w:r>
        <w:rPr>
          <w:rFonts w:hint="eastAsia" w:ascii="宋体" w:hAnsi="宋体"/>
          <w:szCs w:val="21"/>
        </w:rPr>
        <w:t>主要负责人名称：（可选填）</w:t>
      </w:r>
    </w:p>
    <w:p>
      <w:pPr>
        <w:numPr>
          <w:ilvl w:val="0"/>
          <w:numId w:val="18"/>
        </w:numPr>
        <w:spacing w:line="360" w:lineRule="auto"/>
        <w:rPr>
          <w:rFonts w:ascii="宋体" w:hAnsi="宋体"/>
          <w:szCs w:val="21"/>
        </w:rPr>
      </w:pPr>
      <w:r>
        <w:rPr>
          <w:rFonts w:hint="eastAsia" w:ascii="宋体" w:hAnsi="宋体"/>
          <w:szCs w:val="21"/>
        </w:rPr>
        <w:t>供应商在中国的代表的姓名和地址：（可选填）</w:t>
      </w:r>
    </w:p>
    <w:p>
      <w:pPr>
        <w:numPr>
          <w:ilvl w:val="0"/>
          <w:numId w:val="1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1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18"/>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7"/>
          <w:rFonts w:hAnsi="宋体"/>
          <w:b w:val="0"/>
          <w:bCs/>
          <w:sz w:val="24"/>
          <w:szCs w:val="24"/>
        </w:rPr>
      </w:pPr>
      <w:r>
        <w:rPr>
          <w:szCs w:val="24"/>
          <w:u w:val="single"/>
        </w:rPr>
        <w:br w:type="page"/>
      </w:r>
      <w:bookmarkStart w:id="78" w:name="_Toc26259745"/>
      <w:bookmarkStart w:id="79" w:name="_Toc69378669"/>
      <w:bookmarkStart w:id="80" w:name="_Toc26260039"/>
      <w:r>
        <w:rPr>
          <w:rStyle w:val="107"/>
          <w:rFonts w:hint="eastAsia" w:hAnsi="宋体"/>
          <w:b w:val="0"/>
          <w:bCs w:val="0"/>
          <w:sz w:val="24"/>
          <w:szCs w:val="24"/>
        </w:rPr>
        <w:t>附件</w:t>
      </w:r>
      <w:r>
        <w:rPr>
          <w:rStyle w:val="107"/>
          <w:rFonts w:hAnsi="宋体"/>
          <w:b w:val="0"/>
          <w:bCs w:val="0"/>
          <w:sz w:val="24"/>
          <w:szCs w:val="24"/>
        </w:rPr>
        <w:t>8</w:t>
      </w:r>
      <w:r>
        <w:rPr>
          <w:rStyle w:val="107"/>
          <w:rFonts w:hint="eastAsia" w:hAnsi="宋体"/>
          <w:b w:val="0"/>
          <w:bCs w:val="0"/>
          <w:sz w:val="24"/>
          <w:szCs w:val="24"/>
        </w:rPr>
        <w:t>：项目业绩及证明文件</w:t>
      </w:r>
      <w:bookmarkEnd w:id="78"/>
      <w:bookmarkEnd w:id="79"/>
      <w:bookmarkEnd w:id="80"/>
    </w:p>
    <w:tbl>
      <w:tblPr>
        <w:tblStyle w:val="54"/>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pPr>
      <w:r>
        <w:t>2</w:t>
      </w:r>
      <w:r>
        <w:rPr>
          <w:rFonts w:hint="eastAsia"/>
        </w:rPr>
        <w:t>．供应商需按照表格的顺序装订合同复印件，合同装订顺序须与表中所列项目顺序一致。</w:t>
      </w:r>
      <w:bookmarkEnd w:id="29"/>
      <w:bookmarkEnd w:id="56"/>
      <w:bookmarkEnd w:id="57"/>
      <w:bookmarkEnd w:id="58"/>
    </w:p>
    <w:p>
      <w:pPr>
        <w:pStyle w:val="2"/>
      </w:pPr>
      <w:r>
        <w:br w:type="page"/>
      </w:r>
    </w:p>
    <w:p>
      <w:pPr>
        <w:pStyle w:val="3"/>
        <w:numPr>
          <w:ilvl w:val="0"/>
          <w:numId w:val="0"/>
        </w:numPr>
        <w:spacing w:line="360" w:lineRule="auto"/>
        <w:rPr>
          <w:color w:val="000000"/>
          <w:sz w:val="52"/>
          <w:szCs w:val="52"/>
        </w:rPr>
      </w:pPr>
      <w:r>
        <w:rPr>
          <w:rFonts w:hint="eastAsia"/>
          <w:b/>
          <w:sz w:val="36"/>
          <w:szCs w:val="36"/>
        </w:rPr>
        <w:t>第七章  其他</w:t>
      </w:r>
    </w:p>
    <w:p>
      <w:pPr>
        <w:widowControl/>
        <w:jc w:val="left"/>
        <w:rPr>
          <w:b/>
          <w:sz w:val="24"/>
        </w:rPr>
      </w:pPr>
      <w:bookmarkStart w:id="81"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81"/>
    </w:p>
    <w:tbl>
      <w:tblPr>
        <w:tblStyle w:val="5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spacing w:before="312" w:beforeLines="100" w:after="312" w:afterLines="100"/>
              <w:jc w:val="center"/>
              <w:rPr>
                <w:rFonts w:eastAsia="黑体"/>
                <w:color w:val="000000"/>
                <w:sz w:val="28"/>
                <w:szCs w:val="28"/>
              </w:rPr>
            </w:pPr>
          </w:p>
          <w:p>
            <w:pPr>
              <w:pStyle w:val="7"/>
              <w:spacing w:before="312" w:beforeLines="100" w:after="312" w:afterLines="100"/>
              <w:jc w:val="center"/>
              <w:rPr>
                <w:rFonts w:eastAsia="黑体"/>
                <w:color w:val="000000"/>
                <w:szCs w:val="28"/>
              </w:rPr>
            </w:pPr>
          </w:p>
          <w:p>
            <w:pPr>
              <w:pStyle w:val="7"/>
            </w:pPr>
          </w:p>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7"/>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pPr>
    </w:p>
    <w:p>
      <w:pPr>
        <w:widowControl/>
        <w:spacing w:line="360" w:lineRule="auto"/>
        <w:jc w:val="left"/>
        <w:rPr>
          <w:color w:val="000000"/>
          <w:kern w:val="11"/>
          <w:sz w:val="24"/>
        </w:rPr>
      </w:pPr>
    </w:p>
    <w:p>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Style w:val="5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jc w:val="center"/>
              <w:rPr>
                <w:rFonts w:eastAsia="黑体"/>
                <w:color w:val="000000"/>
                <w:sz w:val="28"/>
                <w:szCs w:val="28"/>
              </w:rPr>
            </w:pPr>
          </w:p>
          <w:p>
            <w:pPr>
              <w:pStyle w:val="7"/>
              <w:jc w:val="center"/>
              <w:rPr>
                <w:rFonts w:eastAsia="黑体"/>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
      <w:pPr>
        <w:pStyle w:val="7"/>
        <w:jc w:val="center"/>
      </w:pPr>
      <w:r>
        <w:br w:type="page"/>
      </w:r>
    </w:p>
    <w:p>
      <w:pPr>
        <w:pStyle w:val="7"/>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7"/>
      </w:pPr>
      <w:r>
        <w:rPr>
          <w:rFonts w:hint="eastAsia"/>
        </w:rPr>
        <w:t>江苏省广电有线信息网络股份有限公司：</w:t>
      </w:r>
    </w:p>
    <w:p>
      <w:pPr>
        <w:pStyle w:val="7"/>
      </w:pPr>
      <w:r>
        <w:rPr>
          <w:rFonts w:hint="eastAsia"/>
        </w:rPr>
        <w:t xml:space="preserve">    我单位申请参与贵单位</w:t>
      </w:r>
      <w:r>
        <w:rPr>
          <w:rFonts w:hint="eastAsia"/>
          <w:u w:val="single"/>
        </w:rPr>
        <w:t xml:space="preserve">              </w:t>
      </w:r>
      <w:r>
        <w:rPr>
          <w:rFonts w:hint="eastAsia"/>
        </w:rPr>
        <w:t>项目。</w:t>
      </w:r>
    </w:p>
    <w:p>
      <w:pPr>
        <w:pStyle w:val="7"/>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7"/>
        <w:ind w:firstLine="420" w:firstLineChars="150"/>
      </w:pPr>
      <w:r>
        <w:rPr>
          <w:rFonts w:hint="eastAsia"/>
        </w:rPr>
        <w:t xml:space="preserve"> 1.姓名：</w:t>
      </w:r>
    </w:p>
    <w:p>
      <w:pPr>
        <w:pStyle w:val="7"/>
        <w:ind w:firstLine="420" w:firstLineChars="150"/>
      </w:pPr>
      <w:r>
        <w:rPr>
          <w:rFonts w:hint="eastAsia"/>
        </w:rPr>
        <w:t xml:space="preserve"> 2.身份证号：</w:t>
      </w:r>
    </w:p>
    <w:p>
      <w:pPr>
        <w:pStyle w:val="7"/>
        <w:ind w:firstLine="420" w:firstLineChars="150"/>
      </w:pPr>
      <w:r>
        <w:rPr>
          <w:rFonts w:hint="eastAsia"/>
        </w:rPr>
        <w:t xml:space="preserve"> 3.职位：</w:t>
      </w:r>
    </w:p>
    <w:p>
      <w:pPr>
        <w:pStyle w:val="7"/>
        <w:ind w:firstLine="420" w:firstLineChars="150"/>
      </w:pPr>
      <w:r>
        <w:rPr>
          <w:rFonts w:hint="eastAsia"/>
        </w:rPr>
        <w:t xml:space="preserve"> 4.联系电话（手机）：</w:t>
      </w:r>
    </w:p>
    <w:p>
      <w:pPr>
        <w:pStyle w:val="7"/>
        <w:ind w:firstLine="420" w:firstLineChars="150"/>
      </w:pPr>
      <w:r>
        <w:rPr>
          <w:rFonts w:hint="eastAsia"/>
        </w:rPr>
        <w:t xml:space="preserve"> 5.联系电子邮箱：</w:t>
      </w:r>
    </w:p>
    <w:p>
      <w:pPr>
        <w:pStyle w:val="7"/>
        <w:ind w:firstLine="420" w:firstLineChars="150"/>
      </w:pPr>
      <w:r>
        <w:rPr>
          <w:rFonts w:hint="eastAsia"/>
        </w:rPr>
        <w:t xml:space="preserve"> 6.微信号:</w:t>
      </w:r>
    </w:p>
    <w:p>
      <w:pPr>
        <w:pStyle w:val="7"/>
        <w:ind w:firstLine="420" w:firstLineChars="150"/>
      </w:pPr>
      <w:r>
        <w:rPr>
          <w:rFonts w:hint="eastAsia"/>
        </w:rPr>
        <w:t xml:space="preserve"> 7.响应文件递送方式：</w:t>
      </w:r>
    </w:p>
    <w:p>
      <w:pPr>
        <w:pStyle w:val="27"/>
        <w:spacing w:after="62"/>
        <w:ind w:firstLine="200"/>
      </w:pPr>
    </w:p>
    <w:p>
      <w:pPr>
        <w:pStyle w:val="27"/>
        <w:spacing w:after="62"/>
        <w:ind w:firstLine="200"/>
      </w:pPr>
    </w:p>
    <w:p>
      <w:pPr>
        <w:pStyle w:val="27"/>
        <w:spacing w:after="62"/>
        <w:ind w:firstLine="200"/>
      </w:pPr>
    </w:p>
    <w:p>
      <w:pPr>
        <w:pStyle w:val="7"/>
        <w:ind w:firstLine="560" w:firstLineChars="200"/>
      </w:pPr>
      <w:r>
        <w:rPr>
          <w:rFonts w:hint="eastAsia"/>
        </w:rPr>
        <w:t>供应商：</w:t>
      </w:r>
      <w:r>
        <w:rPr>
          <w:rFonts w:hint="eastAsia"/>
          <w:u w:val="single"/>
        </w:rPr>
        <w:t xml:space="preserve">                     </w:t>
      </w:r>
      <w:r>
        <w:rPr>
          <w:rFonts w:hint="eastAsia"/>
        </w:rPr>
        <w:t>（盖章）</w:t>
      </w:r>
    </w:p>
    <w:p>
      <w:pPr>
        <w:pStyle w:val="7"/>
        <w:ind w:firstLine="560" w:firstLineChars="200"/>
      </w:pPr>
      <w:r>
        <w:rPr>
          <w:rFonts w:hint="eastAsia"/>
        </w:rPr>
        <w:t>日期：</w:t>
      </w:r>
    </w:p>
    <w:p>
      <w:pPr>
        <w:pStyle w:val="27"/>
        <w:spacing w:after="62"/>
        <w:ind w:firstLine="200"/>
      </w:pPr>
      <w:r>
        <w:rPr>
          <w:rFonts w:hint="eastAsia"/>
        </w:rPr>
        <w:t xml:space="preserve">  </w:t>
      </w:r>
    </w:p>
    <w:p>
      <w:pPr>
        <w:pStyle w:val="7"/>
        <w:adjustRightInd w:val="0"/>
        <w:snapToGrid w:val="0"/>
        <w:spacing w:line="440" w:lineRule="exact"/>
        <w:jc w:val="center"/>
        <w:rPr>
          <w:rFonts w:ascii="宋体" w:hAnsi="宋体"/>
          <w:sz w:val="44"/>
          <w:szCs w:val="44"/>
        </w:rPr>
      </w:pPr>
      <w:r>
        <w:br w:type="page"/>
      </w:r>
    </w:p>
    <w:p>
      <w:pPr>
        <w:pStyle w:val="27"/>
        <w:snapToGrid w:val="0"/>
        <w:spacing w:after="62"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27"/>
        <w:snapToGrid w:val="0"/>
        <w:spacing w:after="62" w:line="520" w:lineRule="exact"/>
        <w:ind w:firstLine="1100" w:firstLineChars="250"/>
        <w:jc w:val="center"/>
        <w:rPr>
          <w:rFonts w:ascii="宋体" w:hAnsi="宋体"/>
          <w:sz w:val="44"/>
          <w:szCs w:val="44"/>
        </w:rPr>
      </w:pPr>
    </w:p>
    <w:p>
      <w:pPr>
        <w:pStyle w:val="27"/>
        <w:snapToGrid w:val="0"/>
        <w:spacing w:after="62"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7"/>
        <w:snapToGrid w:val="0"/>
        <w:spacing w:after="62"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7"/>
        <w:snapToGrid w:val="0"/>
        <w:spacing w:after="62"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7"/>
        <w:snapToGrid w:val="0"/>
        <w:spacing w:after="62" w:line="520" w:lineRule="exact"/>
        <w:ind w:firstLine="320"/>
        <w:rPr>
          <w:rFonts w:ascii="宋体" w:hAnsi="宋体"/>
          <w:sz w:val="32"/>
          <w:szCs w:val="32"/>
        </w:rPr>
      </w:pPr>
      <w:r>
        <w:rPr>
          <w:rFonts w:hint="eastAsia" w:ascii="宋体" w:hAnsi="宋体"/>
          <w:sz w:val="32"/>
          <w:szCs w:val="32"/>
        </w:rPr>
        <w:t xml:space="preserve">     2．</w:t>
      </w:r>
    </w:p>
    <w:p>
      <w:pPr>
        <w:pStyle w:val="27"/>
        <w:snapToGrid w:val="0"/>
        <w:spacing w:after="62"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7"/>
        <w:snapToGrid w:val="0"/>
        <w:spacing w:after="62" w:line="520" w:lineRule="exact"/>
        <w:ind w:firstLine="320"/>
        <w:rPr>
          <w:rFonts w:ascii="宋体" w:hAnsi="宋体"/>
          <w:sz w:val="32"/>
          <w:szCs w:val="32"/>
        </w:rPr>
      </w:pPr>
    </w:p>
    <w:p>
      <w:pPr>
        <w:pStyle w:val="27"/>
        <w:snapToGrid w:val="0"/>
        <w:spacing w:after="62" w:line="520" w:lineRule="exact"/>
        <w:ind w:firstLine="320"/>
        <w:rPr>
          <w:rFonts w:ascii="宋体" w:hAnsi="宋体"/>
          <w:sz w:val="32"/>
          <w:szCs w:val="32"/>
        </w:rPr>
      </w:pPr>
    </w:p>
    <w:p>
      <w:pPr>
        <w:pStyle w:val="27"/>
        <w:snapToGrid w:val="0"/>
        <w:spacing w:after="62" w:line="520" w:lineRule="exact"/>
        <w:ind w:firstLine="320"/>
        <w:rPr>
          <w:rFonts w:ascii="宋体" w:hAnsi="宋体"/>
          <w:sz w:val="32"/>
          <w:szCs w:val="32"/>
        </w:rPr>
      </w:pPr>
    </w:p>
    <w:p>
      <w:pPr>
        <w:pStyle w:val="27"/>
        <w:snapToGrid w:val="0"/>
        <w:spacing w:after="62" w:line="520" w:lineRule="exact"/>
        <w:ind w:firstLine="320"/>
        <w:rPr>
          <w:rFonts w:ascii="宋体" w:hAnsi="宋体"/>
          <w:sz w:val="32"/>
          <w:szCs w:val="32"/>
        </w:rPr>
      </w:pPr>
    </w:p>
    <w:p>
      <w:pPr>
        <w:pStyle w:val="27"/>
        <w:snapToGrid w:val="0"/>
        <w:spacing w:after="62" w:line="520" w:lineRule="exact"/>
        <w:ind w:firstLine="320"/>
        <w:rPr>
          <w:rFonts w:ascii="宋体" w:hAnsi="宋体"/>
          <w:sz w:val="32"/>
          <w:szCs w:val="32"/>
        </w:rPr>
      </w:pPr>
    </w:p>
    <w:p>
      <w:pPr>
        <w:pStyle w:val="27"/>
        <w:snapToGrid w:val="0"/>
        <w:spacing w:after="62" w:line="520" w:lineRule="exact"/>
        <w:ind w:firstLine="320"/>
        <w:rPr>
          <w:rFonts w:ascii="宋体" w:hAnsi="宋体"/>
          <w:sz w:val="32"/>
          <w:szCs w:val="32"/>
        </w:rPr>
      </w:pPr>
    </w:p>
    <w:p>
      <w:pPr>
        <w:pStyle w:val="27"/>
        <w:snapToGrid w:val="0"/>
        <w:spacing w:after="62"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7"/>
        <w:snapToGrid w:val="0"/>
        <w:spacing w:after="62"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rPr>
        <w:lang w:val="zh-CN"/>
      </w:rPr>
      <w:t>47</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rPr>
        <w:rStyle w:val="58"/>
      </w:rPr>
      <w:instrText xml:space="preserve"> PAGE </w:instrText>
    </w:r>
    <w:r>
      <w:fldChar w:fldCharType="separate"/>
    </w:r>
    <w:r>
      <w:rPr>
        <w:rStyle w:val="58"/>
      </w:rPr>
      <w:t>20</w:t>
    </w:r>
    <w:r>
      <w:fldChar w:fldCharType="end"/>
    </w:r>
  </w:p>
  <w:p>
    <w:pPr>
      <w:pStyle w:val="3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rPr>
        <w:rStyle w:val="58"/>
      </w:rPr>
      <w:instrText xml:space="preserve"> PAGE </w:instrText>
    </w:r>
    <w:r>
      <w:fldChar w:fldCharType="separate"/>
    </w:r>
    <w:r>
      <w:rPr>
        <w:rStyle w:val="58"/>
      </w:rPr>
      <w:t>43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1"/>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4"/>
    <w:multiLevelType w:val="multilevel"/>
    <w:tmpl w:val="00000024"/>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8"/>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6">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CBBB43A"/>
    <w:multiLevelType w:val="singleLevel"/>
    <w:tmpl w:val="2CBBB43A"/>
    <w:lvl w:ilvl="0" w:tentative="0">
      <w:start w:val="2"/>
      <w:numFmt w:val="decimal"/>
      <w:suff w:val="nothing"/>
      <w:lvlText w:val="%1、"/>
      <w:lvlJc w:val="left"/>
    </w:lvl>
  </w:abstractNum>
  <w:abstractNum w:abstractNumId="8">
    <w:nsid w:val="2EEF3A27"/>
    <w:multiLevelType w:val="multilevel"/>
    <w:tmpl w:val="2EEF3A2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3DFC3822"/>
    <w:multiLevelType w:val="multilevel"/>
    <w:tmpl w:val="3DFC38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316DE4"/>
    <w:multiLevelType w:val="multilevel"/>
    <w:tmpl w:val="3F316DE4"/>
    <w:lvl w:ilvl="0" w:tentative="0">
      <w:start w:val="1"/>
      <w:numFmt w:val="decimal"/>
      <w:pStyle w:val="105"/>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1">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2">
    <w:nsid w:val="5AED7B0D"/>
    <w:multiLevelType w:val="multilevel"/>
    <w:tmpl w:val="5AED7B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B531662"/>
    <w:multiLevelType w:val="multilevel"/>
    <w:tmpl w:val="6B5316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74123730"/>
    <w:multiLevelType w:val="multilevel"/>
    <w:tmpl w:val="74123730"/>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1"/>
  </w:num>
  <w:num w:numId="2">
    <w:abstractNumId w:val="10"/>
  </w:num>
  <w:num w:numId="3">
    <w:abstractNumId w:val="2"/>
  </w:num>
  <w:num w:numId="4">
    <w:abstractNumId w:val="0"/>
  </w:num>
  <w:num w:numId="5">
    <w:abstractNumId w:val="6"/>
  </w:num>
  <w:num w:numId="6">
    <w:abstractNumId w:val="7"/>
  </w:num>
  <w:num w:numId="7">
    <w:abstractNumId w:val="8"/>
  </w:num>
  <w:num w:numId="8">
    <w:abstractNumId w:val="16"/>
  </w:num>
  <w:num w:numId="9">
    <w:abstractNumId w:val="17"/>
  </w:num>
  <w:num w:numId="10">
    <w:abstractNumId w:val="1"/>
  </w:num>
  <w:num w:numId="11">
    <w:abstractNumId w:val="15"/>
  </w:num>
  <w:num w:numId="12">
    <w:abstractNumId w:val="12"/>
  </w:num>
  <w:num w:numId="13">
    <w:abstractNumId w:val="9"/>
  </w:num>
  <w:num w:numId="14">
    <w:abstractNumId w:val="3"/>
  </w:num>
  <w:num w:numId="15">
    <w:abstractNumId w:val="14"/>
  </w:num>
  <w:num w:numId="16">
    <w:abstractNumId w:val="4"/>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3EFE"/>
    <w:rsid w:val="00034705"/>
    <w:rsid w:val="0003496A"/>
    <w:rsid w:val="00035296"/>
    <w:rsid w:val="000352DD"/>
    <w:rsid w:val="00035BCB"/>
    <w:rsid w:val="000365EA"/>
    <w:rsid w:val="00037097"/>
    <w:rsid w:val="00037954"/>
    <w:rsid w:val="00040F17"/>
    <w:rsid w:val="00041779"/>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FDA"/>
    <w:rsid w:val="00172446"/>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31D0"/>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60F1"/>
    <w:rsid w:val="00400138"/>
    <w:rsid w:val="00400873"/>
    <w:rsid w:val="004011D2"/>
    <w:rsid w:val="004055F1"/>
    <w:rsid w:val="00405B38"/>
    <w:rsid w:val="0040679D"/>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450"/>
    <w:rsid w:val="004917CD"/>
    <w:rsid w:val="0049216E"/>
    <w:rsid w:val="00492A51"/>
    <w:rsid w:val="00492CA0"/>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15D"/>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27B9"/>
    <w:rsid w:val="004E4558"/>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421"/>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BDD"/>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1B6"/>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0364"/>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4923"/>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82F"/>
    <w:rsid w:val="00871AB9"/>
    <w:rsid w:val="00874CD3"/>
    <w:rsid w:val="008759DE"/>
    <w:rsid w:val="00877089"/>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3CCC"/>
    <w:rsid w:val="008C41AE"/>
    <w:rsid w:val="008C7458"/>
    <w:rsid w:val="008D1089"/>
    <w:rsid w:val="008D123E"/>
    <w:rsid w:val="008D1D1D"/>
    <w:rsid w:val="008D32F6"/>
    <w:rsid w:val="008D5892"/>
    <w:rsid w:val="008D68B3"/>
    <w:rsid w:val="008D6BF3"/>
    <w:rsid w:val="008D7264"/>
    <w:rsid w:val="008E0285"/>
    <w:rsid w:val="008E18CA"/>
    <w:rsid w:val="008E22E5"/>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3A4"/>
    <w:rsid w:val="00993C73"/>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305E5"/>
    <w:rsid w:val="00A320B6"/>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5F36"/>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67480"/>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45F"/>
    <w:rsid w:val="00DD27A8"/>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4372"/>
    <w:rsid w:val="00F9473C"/>
    <w:rsid w:val="00F9509E"/>
    <w:rsid w:val="00F972C1"/>
    <w:rsid w:val="00FA0074"/>
    <w:rsid w:val="00FA1553"/>
    <w:rsid w:val="00FA2EB0"/>
    <w:rsid w:val="00FA55E5"/>
    <w:rsid w:val="00FA7232"/>
    <w:rsid w:val="00FA742E"/>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6C26"/>
    <w:rsid w:val="00FF6E9B"/>
    <w:rsid w:val="00FF7AC6"/>
    <w:rsid w:val="033F683B"/>
    <w:rsid w:val="043013E0"/>
    <w:rsid w:val="04E452F2"/>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283614B"/>
    <w:rsid w:val="136F5E09"/>
    <w:rsid w:val="14135CE9"/>
    <w:rsid w:val="143F7994"/>
    <w:rsid w:val="14556E24"/>
    <w:rsid w:val="145C09B6"/>
    <w:rsid w:val="154167A8"/>
    <w:rsid w:val="15445FB3"/>
    <w:rsid w:val="15AC68D1"/>
    <w:rsid w:val="15E564DA"/>
    <w:rsid w:val="18147845"/>
    <w:rsid w:val="19107E5B"/>
    <w:rsid w:val="1A09059C"/>
    <w:rsid w:val="1A595A62"/>
    <w:rsid w:val="1B051A05"/>
    <w:rsid w:val="1B574A59"/>
    <w:rsid w:val="1C8C3FCD"/>
    <w:rsid w:val="1E4578B6"/>
    <w:rsid w:val="200D34F7"/>
    <w:rsid w:val="20216FA3"/>
    <w:rsid w:val="21815F4B"/>
    <w:rsid w:val="22B97967"/>
    <w:rsid w:val="22BD3DDC"/>
    <w:rsid w:val="2368442E"/>
    <w:rsid w:val="237A6685"/>
    <w:rsid w:val="24180599"/>
    <w:rsid w:val="25F25922"/>
    <w:rsid w:val="26D959CA"/>
    <w:rsid w:val="2714423C"/>
    <w:rsid w:val="277245D4"/>
    <w:rsid w:val="28114720"/>
    <w:rsid w:val="28CF63F4"/>
    <w:rsid w:val="29326DC7"/>
    <w:rsid w:val="296A57B2"/>
    <w:rsid w:val="29F26F2A"/>
    <w:rsid w:val="2AB90504"/>
    <w:rsid w:val="2B4179B6"/>
    <w:rsid w:val="2B6366C1"/>
    <w:rsid w:val="2BC16C32"/>
    <w:rsid w:val="2C290BDB"/>
    <w:rsid w:val="2C85746B"/>
    <w:rsid w:val="2C932FD6"/>
    <w:rsid w:val="2CC855D1"/>
    <w:rsid w:val="2D3A7082"/>
    <w:rsid w:val="2DDD422B"/>
    <w:rsid w:val="2E84548B"/>
    <w:rsid w:val="2F2B1A5B"/>
    <w:rsid w:val="2FC9681B"/>
    <w:rsid w:val="31014D28"/>
    <w:rsid w:val="34E62D8C"/>
    <w:rsid w:val="357B2634"/>
    <w:rsid w:val="35FB623F"/>
    <w:rsid w:val="366E3B3C"/>
    <w:rsid w:val="370F0BCD"/>
    <w:rsid w:val="3715098A"/>
    <w:rsid w:val="377C6EFA"/>
    <w:rsid w:val="39157688"/>
    <w:rsid w:val="3A1844F4"/>
    <w:rsid w:val="3A315C33"/>
    <w:rsid w:val="3B1209F3"/>
    <w:rsid w:val="3B5878C5"/>
    <w:rsid w:val="3BA011E5"/>
    <w:rsid w:val="3BE22C01"/>
    <w:rsid w:val="3C5C5F5C"/>
    <w:rsid w:val="3E596370"/>
    <w:rsid w:val="3F8A3AD0"/>
    <w:rsid w:val="3FBC6BAA"/>
    <w:rsid w:val="40865941"/>
    <w:rsid w:val="416318D4"/>
    <w:rsid w:val="417F239B"/>
    <w:rsid w:val="41F25792"/>
    <w:rsid w:val="42974085"/>
    <w:rsid w:val="44C21B39"/>
    <w:rsid w:val="452B5932"/>
    <w:rsid w:val="45497D2B"/>
    <w:rsid w:val="45820476"/>
    <w:rsid w:val="45C11FF3"/>
    <w:rsid w:val="47775AD7"/>
    <w:rsid w:val="4A160F93"/>
    <w:rsid w:val="4A1F4764"/>
    <w:rsid w:val="4B0D67DA"/>
    <w:rsid w:val="4B104729"/>
    <w:rsid w:val="4B561588"/>
    <w:rsid w:val="4C556343"/>
    <w:rsid w:val="4CBA6D83"/>
    <w:rsid w:val="4DD76D6F"/>
    <w:rsid w:val="4E2667FA"/>
    <w:rsid w:val="4EBF1908"/>
    <w:rsid w:val="4FF359B6"/>
    <w:rsid w:val="50BE485B"/>
    <w:rsid w:val="50EF21DE"/>
    <w:rsid w:val="5153495F"/>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71773"/>
    <w:rsid w:val="5EDC31F2"/>
    <w:rsid w:val="5FD6799D"/>
    <w:rsid w:val="60915A2A"/>
    <w:rsid w:val="60F8252D"/>
    <w:rsid w:val="621E6BB3"/>
    <w:rsid w:val="629F59D2"/>
    <w:rsid w:val="63C64EB3"/>
    <w:rsid w:val="63CF6C78"/>
    <w:rsid w:val="648D0D03"/>
    <w:rsid w:val="65AB66C0"/>
    <w:rsid w:val="66C24EF1"/>
    <w:rsid w:val="66CC0AAD"/>
    <w:rsid w:val="68157D0E"/>
    <w:rsid w:val="689A3E47"/>
    <w:rsid w:val="68AE5B14"/>
    <w:rsid w:val="697A70E8"/>
    <w:rsid w:val="69AC0C58"/>
    <w:rsid w:val="6A4B47BB"/>
    <w:rsid w:val="6AB52BDD"/>
    <w:rsid w:val="6AB96073"/>
    <w:rsid w:val="6B912F3A"/>
    <w:rsid w:val="6BA936A1"/>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07647A"/>
    <w:rsid w:val="7D2D1324"/>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6"/>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7"/>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qFormat/>
    <w:uiPriority w:val="0"/>
    <w:pPr>
      <w:keepNext/>
      <w:outlineLvl w:val="3"/>
    </w:pPr>
    <w:rPr>
      <w:sz w:val="28"/>
      <w:szCs w:val="20"/>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79"/>
    <w:qFormat/>
    <w:uiPriority w:val="99"/>
    <w:rPr>
      <w:color w:val="FF0000"/>
      <w:kern w:val="0"/>
      <w:sz w:val="20"/>
      <w:szCs w:val="20"/>
    </w:rPr>
  </w:style>
  <w:style w:type="paragraph" w:styleId="6">
    <w:name w:val="Normal Indent"/>
    <w:basedOn w:val="1"/>
    <w:link w:val="6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99"/>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69"/>
    <w:semiHidden/>
    <w:qFormat/>
    <w:uiPriority w:val="99"/>
    <w:rPr>
      <w:rFonts w:ascii="宋体"/>
      <w:sz w:val="18"/>
      <w:szCs w:val="18"/>
    </w:rPr>
  </w:style>
  <w:style w:type="paragraph" w:styleId="19">
    <w:name w:val="annotation text"/>
    <w:basedOn w:val="1"/>
    <w:link w:val="70"/>
    <w:qFormat/>
    <w:uiPriority w:val="0"/>
    <w:pPr>
      <w:jc w:val="left"/>
    </w:pPr>
    <w:rPr>
      <w:szCs w:val="20"/>
    </w:rPr>
  </w:style>
  <w:style w:type="paragraph" w:styleId="20">
    <w:name w:val="Body Text 3"/>
    <w:basedOn w:val="1"/>
    <w:link w:val="71"/>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w:basedOn w:val="1"/>
    <w:link w:val="72"/>
    <w:qFormat/>
    <w:uiPriority w:val="99"/>
    <w:rPr>
      <w:sz w:val="28"/>
      <w:szCs w:val="20"/>
    </w:rPr>
  </w:style>
  <w:style w:type="paragraph" w:styleId="23">
    <w:name w:val="Body Text Indent"/>
    <w:basedOn w:val="1"/>
    <w:link w:val="63"/>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5">
    <w:name w:val="List 2"/>
    <w:basedOn w:val="1"/>
    <w:qFormat/>
    <w:uiPriority w:val="0"/>
    <w:pPr>
      <w:ind w:left="100" w:leftChars="200" w:hanging="200" w:hangingChars="200"/>
    </w:pPr>
  </w:style>
  <w:style w:type="paragraph" w:styleId="26">
    <w:name w:val="List Bullet 2"/>
    <w:basedOn w:val="1"/>
    <w:next w:val="27"/>
    <w:qFormat/>
    <w:uiPriority w:val="99"/>
    <w:pPr>
      <w:keepLines/>
      <w:tabs>
        <w:tab w:val="left" w:pos="780"/>
      </w:tabs>
      <w:spacing w:afterLines="20" w:line="264" w:lineRule="auto"/>
      <w:ind w:left="780" w:hanging="360"/>
    </w:pPr>
    <w:rPr>
      <w:rFonts w:ascii="宋体"/>
      <w:sz w:val="24"/>
      <w:szCs w:val="21"/>
    </w:rPr>
  </w:style>
  <w:style w:type="paragraph" w:styleId="27">
    <w:name w:val="Body Text First Indent"/>
    <w:basedOn w:val="22"/>
    <w:link w:val="73"/>
    <w:qFormat/>
    <w:uiPriority w:val="99"/>
    <w:pPr>
      <w:spacing w:after="120"/>
      <w:ind w:firstLine="210" w:firstLineChars="100"/>
    </w:pPr>
    <w:rPr>
      <w:kern w:val="0"/>
      <w:sz w:val="20"/>
    </w:rPr>
  </w:style>
  <w:style w:type="paragraph" w:styleId="28">
    <w:name w:val="index 4"/>
    <w:basedOn w:val="1"/>
    <w:next w:val="1"/>
    <w:qFormat/>
    <w:uiPriority w:val="0"/>
    <w:pPr>
      <w:ind w:left="600" w:leftChars="600"/>
    </w:pPr>
    <w:rPr>
      <w:rFonts w:eastAsia="Calibri" w:cs="宋体"/>
      <w:kern w:val="0"/>
      <w:sz w:val="20"/>
      <w:szCs w:val="20"/>
      <w:lang w:val="zh-CN"/>
    </w:rPr>
  </w:style>
  <w:style w:type="paragraph" w:styleId="29">
    <w:name w:val="toc 5"/>
    <w:basedOn w:val="1"/>
    <w:next w:val="1"/>
    <w:unhideWhenUsed/>
    <w:qFormat/>
    <w:uiPriority w:val="99"/>
    <w:pPr>
      <w:ind w:left="1680" w:leftChars="800"/>
    </w:pPr>
    <w:rPr>
      <w:rFonts w:ascii="Calibri" w:hAnsi="Calibri"/>
      <w:szCs w:val="22"/>
    </w:rPr>
  </w:style>
  <w:style w:type="paragraph" w:styleId="30">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qFormat/>
    <w:uiPriority w:val="0"/>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99"/>
    <w:pPr>
      <w:ind w:left="2940" w:leftChars="1400"/>
    </w:pPr>
    <w:rPr>
      <w:rFonts w:ascii="Calibri" w:hAnsi="Calibri"/>
      <w:szCs w:val="22"/>
    </w:rPr>
  </w:style>
  <w:style w:type="paragraph" w:styleId="35">
    <w:name w:val="Date"/>
    <w:basedOn w:val="1"/>
    <w:next w:val="1"/>
    <w:link w:val="74"/>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75"/>
    <w:qFormat/>
    <w:uiPriority w:val="99"/>
    <w:rPr>
      <w:sz w:val="18"/>
      <w:szCs w:val="18"/>
    </w:rPr>
  </w:style>
  <w:style w:type="paragraph" w:styleId="38">
    <w:name w:val="footer"/>
    <w:basedOn w:val="1"/>
    <w:link w:val="76"/>
    <w:qFormat/>
    <w:uiPriority w:val="99"/>
    <w:pPr>
      <w:tabs>
        <w:tab w:val="center" w:pos="4153"/>
        <w:tab w:val="right" w:pos="8306"/>
      </w:tabs>
      <w:snapToGrid w:val="0"/>
      <w:jc w:val="left"/>
    </w:pPr>
    <w:rPr>
      <w:sz w:val="18"/>
      <w:szCs w:val="18"/>
    </w:rPr>
  </w:style>
  <w:style w:type="paragraph" w:styleId="39">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99"/>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78"/>
    <w:qFormat/>
    <w:uiPriority w:val="0"/>
    <w:pPr>
      <w:spacing w:before="240" w:after="60" w:line="312" w:lineRule="auto"/>
      <w:jc w:val="center"/>
      <w:outlineLvl w:val="1"/>
    </w:pPr>
    <w:rPr>
      <w:rFonts w:ascii="Cambria" w:hAnsi="Cambria" w:cs="黑体"/>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99"/>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9">
    <w:name w:val="toc 9"/>
    <w:basedOn w:val="1"/>
    <w:next w:val="1"/>
    <w:unhideWhenUsed/>
    <w:qFormat/>
    <w:uiPriority w:val="99"/>
    <w:pPr>
      <w:ind w:left="3360" w:leftChars="1600"/>
    </w:pPr>
    <w:rPr>
      <w:rFonts w:ascii="Calibri" w:hAnsi="Calibri"/>
      <w:szCs w:val="22"/>
    </w:rPr>
  </w:style>
  <w:style w:type="paragraph" w:styleId="50">
    <w:name w:val="Normal (Web)"/>
    <w:basedOn w:val="1"/>
    <w:qFormat/>
    <w:uiPriority w:val="99"/>
    <w:rPr>
      <w:sz w:val="24"/>
    </w:rPr>
  </w:style>
  <w:style w:type="paragraph" w:styleId="51">
    <w:name w:val="Title"/>
    <w:basedOn w:val="1"/>
    <w:next w:val="1"/>
    <w:qFormat/>
    <w:uiPriority w:val="0"/>
    <w:pPr>
      <w:spacing w:before="240" w:after="60"/>
      <w:jc w:val="center"/>
      <w:outlineLvl w:val="0"/>
    </w:pPr>
    <w:rPr>
      <w:rFonts w:ascii="Cambria" w:hAnsi="Cambria"/>
      <w:b/>
      <w:bCs/>
      <w:sz w:val="32"/>
      <w:szCs w:val="32"/>
    </w:rPr>
  </w:style>
  <w:style w:type="paragraph" w:styleId="52">
    <w:name w:val="annotation subject"/>
    <w:basedOn w:val="19"/>
    <w:next w:val="19"/>
    <w:link w:val="80"/>
    <w:semiHidden/>
    <w:qFormat/>
    <w:uiPriority w:val="99"/>
    <w:rPr>
      <w:b/>
      <w:bCs/>
    </w:rPr>
  </w:style>
  <w:style w:type="paragraph" w:styleId="53">
    <w:name w:val="Body Text First Indent 2"/>
    <w:basedOn w:val="23"/>
    <w:link w:val="64"/>
    <w:unhideWhenUsed/>
    <w:qFormat/>
    <w:uiPriority w:val="99"/>
    <w:pPr>
      <w:ind w:firstLine="420" w:firstLineChars="200"/>
    </w:pPr>
  </w:style>
  <w:style w:type="table" w:styleId="55">
    <w:name w:val="Table Grid"/>
    <w:basedOn w:val="5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99"/>
    <w:rPr>
      <w:b/>
      <w:bCs/>
    </w:rPr>
  </w:style>
  <w:style w:type="character" w:styleId="58">
    <w:name w:val="page number"/>
    <w:qFormat/>
    <w:uiPriority w:val="99"/>
  </w:style>
  <w:style w:type="character" w:styleId="59">
    <w:name w:val="FollowedHyperlink"/>
    <w:qFormat/>
    <w:uiPriority w:val="99"/>
    <w:rPr>
      <w:color w:val="800080"/>
      <w:u w:val="single"/>
    </w:rPr>
  </w:style>
  <w:style w:type="character" w:styleId="60">
    <w:name w:val="Emphasis"/>
    <w:qFormat/>
    <w:uiPriority w:val="20"/>
    <w:rPr>
      <w:i/>
      <w:iCs/>
    </w:rPr>
  </w:style>
  <w:style w:type="character" w:styleId="61">
    <w:name w:val="Hyperlink"/>
    <w:unhideWhenUsed/>
    <w:qFormat/>
    <w:uiPriority w:val="99"/>
    <w:rPr>
      <w:color w:val="0000FF"/>
      <w:u w:val="single"/>
    </w:rPr>
  </w:style>
  <w:style w:type="character" w:styleId="62">
    <w:name w:val="annotation reference"/>
    <w:qFormat/>
    <w:uiPriority w:val="99"/>
    <w:rPr>
      <w:sz w:val="21"/>
      <w:szCs w:val="21"/>
    </w:rPr>
  </w:style>
  <w:style w:type="character" w:customStyle="1" w:styleId="63">
    <w:name w:val="正文文本缩进 字符"/>
    <w:link w:val="23"/>
    <w:qFormat/>
    <w:uiPriority w:val="0"/>
    <w:rPr>
      <w:rFonts w:ascii="楷体_GB2312" w:eastAsia="楷体_GB2312"/>
      <w:sz w:val="28"/>
    </w:rPr>
  </w:style>
  <w:style w:type="character" w:customStyle="1" w:styleId="64">
    <w:name w:val="正文文本首行缩进 2 字符"/>
    <w:link w:val="53"/>
    <w:qFormat/>
    <w:uiPriority w:val="99"/>
    <w:rPr>
      <w:rFonts w:ascii="楷体_GB2312" w:eastAsia="楷体_GB2312"/>
      <w:sz w:val="28"/>
    </w:rPr>
  </w:style>
  <w:style w:type="character" w:customStyle="1" w:styleId="65">
    <w:name w:val="标题 1 字符"/>
    <w:link w:val="3"/>
    <w:qFormat/>
    <w:uiPriority w:val="0"/>
    <w:rPr>
      <w:rFonts w:eastAsia="黑体"/>
      <w:bCs/>
      <w:kern w:val="44"/>
      <w:sz w:val="30"/>
      <w:szCs w:val="44"/>
    </w:rPr>
  </w:style>
  <w:style w:type="character" w:customStyle="1" w:styleId="66">
    <w:name w:val="标题 2 字符"/>
    <w:link w:val="4"/>
    <w:qFormat/>
    <w:uiPriority w:val="99"/>
    <w:rPr>
      <w:rFonts w:ascii="Arial" w:hAnsi="Arial" w:eastAsia="黑体"/>
      <w:bCs/>
      <w:kern w:val="2"/>
      <w:sz w:val="28"/>
      <w:szCs w:val="32"/>
    </w:rPr>
  </w:style>
  <w:style w:type="character" w:customStyle="1" w:styleId="67">
    <w:name w:val="标题 3 字符"/>
    <w:link w:val="5"/>
    <w:qFormat/>
    <w:uiPriority w:val="99"/>
    <w:rPr>
      <w:rFonts w:ascii="黑体" w:eastAsia="黑体"/>
      <w:sz w:val="28"/>
    </w:rPr>
  </w:style>
  <w:style w:type="character" w:customStyle="1" w:styleId="68">
    <w:name w:val="正文缩进 字符"/>
    <w:link w:val="6"/>
    <w:qFormat/>
    <w:uiPriority w:val="0"/>
    <w:rPr>
      <w:rFonts w:ascii="楷体_GB2312" w:eastAsia="楷体_GB2312"/>
      <w:sz w:val="28"/>
    </w:rPr>
  </w:style>
  <w:style w:type="character" w:customStyle="1" w:styleId="69">
    <w:name w:val="文档结构图 字符"/>
    <w:link w:val="18"/>
    <w:semiHidden/>
    <w:qFormat/>
    <w:uiPriority w:val="99"/>
    <w:rPr>
      <w:rFonts w:ascii="宋体"/>
      <w:kern w:val="2"/>
      <w:sz w:val="18"/>
      <w:szCs w:val="18"/>
    </w:rPr>
  </w:style>
  <w:style w:type="character" w:customStyle="1" w:styleId="70">
    <w:name w:val="批注文字 字符"/>
    <w:link w:val="19"/>
    <w:qFormat/>
    <w:uiPriority w:val="99"/>
    <w:rPr>
      <w:rFonts w:eastAsia="宋体"/>
      <w:kern w:val="2"/>
      <w:sz w:val="21"/>
      <w:lang w:val="en-US" w:eastAsia="zh-CN" w:bidi="ar-SA"/>
    </w:rPr>
  </w:style>
  <w:style w:type="character" w:customStyle="1" w:styleId="71">
    <w:name w:val="正文文本 3 字符"/>
    <w:link w:val="20"/>
    <w:qFormat/>
    <w:uiPriority w:val="99"/>
    <w:rPr>
      <w:kern w:val="2"/>
      <w:sz w:val="16"/>
      <w:szCs w:val="16"/>
    </w:rPr>
  </w:style>
  <w:style w:type="character" w:customStyle="1" w:styleId="72">
    <w:name w:val="正文文本 字符"/>
    <w:link w:val="22"/>
    <w:qFormat/>
    <w:uiPriority w:val="0"/>
    <w:rPr>
      <w:kern w:val="2"/>
      <w:sz w:val="28"/>
    </w:rPr>
  </w:style>
  <w:style w:type="character" w:customStyle="1" w:styleId="73">
    <w:name w:val="正文文本首行缩进 字符"/>
    <w:link w:val="27"/>
    <w:qFormat/>
    <w:locked/>
    <w:uiPriority w:val="99"/>
  </w:style>
  <w:style w:type="character" w:customStyle="1" w:styleId="74">
    <w:name w:val="日期 字符"/>
    <w:link w:val="35"/>
    <w:qFormat/>
    <w:uiPriority w:val="99"/>
    <w:rPr>
      <w:kern w:val="2"/>
      <w:sz w:val="21"/>
    </w:rPr>
  </w:style>
  <w:style w:type="character" w:customStyle="1" w:styleId="75">
    <w:name w:val="批注框文本 字符"/>
    <w:link w:val="37"/>
    <w:semiHidden/>
    <w:qFormat/>
    <w:uiPriority w:val="99"/>
    <w:rPr>
      <w:kern w:val="2"/>
      <w:sz w:val="18"/>
      <w:szCs w:val="18"/>
    </w:rPr>
  </w:style>
  <w:style w:type="character" w:customStyle="1" w:styleId="76">
    <w:name w:val="页脚 字符"/>
    <w:link w:val="38"/>
    <w:qFormat/>
    <w:uiPriority w:val="99"/>
    <w:rPr>
      <w:kern w:val="2"/>
      <w:sz w:val="18"/>
      <w:szCs w:val="18"/>
    </w:rPr>
  </w:style>
  <w:style w:type="character" w:customStyle="1" w:styleId="77">
    <w:name w:val="页眉 字符"/>
    <w:link w:val="39"/>
    <w:qFormat/>
    <w:uiPriority w:val="99"/>
    <w:rPr>
      <w:kern w:val="2"/>
      <w:sz w:val="18"/>
      <w:szCs w:val="18"/>
    </w:rPr>
  </w:style>
  <w:style w:type="character" w:customStyle="1" w:styleId="78">
    <w:name w:val="副标题 字符"/>
    <w:link w:val="44"/>
    <w:qFormat/>
    <w:uiPriority w:val="0"/>
    <w:rPr>
      <w:rFonts w:ascii="Cambria" w:hAnsi="Cambria" w:cs="黑体"/>
      <w:b/>
      <w:bCs/>
      <w:kern w:val="28"/>
      <w:sz w:val="32"/>
      <w:szCs w:val="32"/>
    </w:rPr>
  </w:style>
  <w:style w:type="character" w:customStyle="1" w:styleId="79">
    <w:name w:val="正文文本 2 字符"/>
    <w:link w:val="2"/>
    <w:qFormat/>
    <w:locked/>
    <w:uiPriority w:val="99"/>
    <w:rPr>
      <w:color w:val="FF0000"/>
    </w:rPr>
  </w:style>
  <w:style w:type="character" w:customStyle="1" w:styleId="80">
    <w:name w:val="批注主题 字符"/>
    <w:link w:val="52"/>
    <w:qFormat/>
    <w:uiPriority w:val="99"/>
    <w:rPr>
      <w:rFonts w:eastAsia="宋体"/>
      <w:b/>
      <w:bCs/>
      <w:kern w:val="2"/>
      <w:sz w:val="21"/>
      <w:lang w:val="en-US" w:eastAsia="zh-CN" w:bidi="ar-SA"/>
    </w:rPr>
  </w:style>
  <w:style w:type="character" w:customStyle="1" w:styleId="81">
    <w:name w:val="标题 1 Char"/>
    <w:qFormat/>
    <w:uiPriority w:val="0"/>
    <w:rPr>
      <w:rFonts w:ascii="黑体"/>
      <w:b/>
      <w:kern w:val="44"/>
      <w:sz w:val="32"/>
    </w:rPr>
  </w:style>
  <w:style w:type="character" w:customStyle="1" w:styleId="82">
    <w:name w:val="纯文本 Char"/>
    <w:qFormat/>
    <w:uiPriority w:val="0"/>
    <w:rPr>
      <w:rFonts w:ascii="宋体" w:hAnsi="Courier New" w:eastAsia="宋体" w:cs="Times New Roman"/>
      <w:szCs w:val="20"/>
    </w:rPr>
  </w:style>
  <w:style w:type="character" w:customStyle="1" w:styleId="83">
    <w:name w:val="正文文本 Char"/>
    <w:qFormat/>
    <w:uiPriority w:val="99"/>
    <w:rPr>
      <w:rFonts w:ascii="Times New Roman" w:hAnsi="Times New Roman" w:eastAsia="宋体" w:cs="Times New Roman"/>
      <w:sz w:val="28"/>
      <w:szCs w:val="20"/>
    </w:rPr>
  </w:style>
  <w:style w:type="character" w:customStyle="1" w:styleId="84">
    <w:name w:val="访问过的超链接1"/>
    <w:qFormat/>
    <w:uiPriority w:val="0"/>
    <w:rPr>
      <w:color w:val="800080"/>
      <w:u w:val="single"/>
    </w:rPr>
  </w:style>
  <w:style w:type="character" w:customStyle="1" w:styleId="85">
    <w:name w:val="href"/>
    <w:qFormat/>
    <w:uiPriority w:val="0"/>
    <w:rPr>
      <w:color w:val="0000FF"/>
      <w:u w:val="single"/>
    </w:rPr>
  </w:style>
  <w:style w:type="character" w:customStyle="1" w:styleId="86">
    <w:name w:val="first-child"/>
    <w:qFormat/>
    <w:uiPriority w:val="0"/>
    <w:rPr>
      <w:vanish/>
    </w:rPr>
  </w:style>
  <w:style w:type="character" w:customStyle="1" w:styleId="87">
    <w:name w:val="标题 9 Char"/>
    <w:qFormat/>
    <w:uiPriority w:val="99"/>
    <w:rPr>
      <w:rFonts w:ascii="Arial" w:hAnsi="Arial" w:eastAsia="黑体" w:cs="Times New Roman"/>
      <w:szCs w:val="21"/>
    </w:rPr>
  </w:style>
  <w:style w:type="character" w:customStyle="1" w:styleId="88">
    <w:name w:val="正文文本缩进 2 Char"/>
    <w:qFormat/>
    <w:uiPriority w:val="99"/>
    <w:rPr>
      <w:rFonts w:ascii="仿宋_GB2312" w:hAnsi="宋体" w:eastAsia="仿宋_GB2312" w:cs="Times New Roman"/>
      <w:sz w:val="24"/>
      <w:szCs w:val="24"/>
    </w:rPr>
  </w:style>
  <w:style w:type="character" w:customStyle="1" w:styleId="89">
    <w:name w:val="列表段落 字符"/>
    <w:link w:val="90"/>
    <w:qFormat/>
    <w:uiPriority w:val="34"/>
    <w:rPr>
      <w:kern w:val="2"/>
      <w:sz w:val="21"/>
    </w:rPr>
  </w:style>
  <w:style w:type="paragraph" w:styleId="90">
    <w:name w:val="List Paragraph"/>
    <w:basedOn w:val="91"/>
    <w:link w:val="89"/>
    <w:qFormat/>
    <w:uiPriority w:val="34"/>
    <w:pPr>
      <w:ind w:firstLine="420" w:firstLineChars="200"/>
    </w:pPr>
  </w:style>
  <w:style w:type="paragraph" w:customStyle="1" w:styleId="91">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2">
    <w:name w:val="批注文字 Char1"/>
    <w:qFormat/>
    <w:uiPriority w:val="99"/>
    <w:rPr>
      <w:kern w:val="2"/>
      <w:sz w:val="21"/>
    </w:rPr>
  </w:style>
  <w:style w:type="character" w:customStyle="1" w:styleId="93">
    <w:name w:val="标题 8 Char"/>
    <w:qFormat/>
    <w:uiPriority w:val="99"/>
    <w:rPr>
      <w:rFonts w:ascii="Arial" w:hAnsi="Arial" w:eastAsia="黑体" w:cs="Times New Roman"/>
      <w:sz w:val="24"/>
      <w:szCs w:val="24"/>
    </w:rPr>
  </w:style>
  <w:style w:type="character" w:customStyle="1" w:styleId="94">
    <w:name w:val="列出段落 Char1"/>
    <w:qFormat/>
    <w:uiPriority w:val="99"/>
    <w:rPr>
      <w:kern w:val="2"/>
      <w:sz w:val="21"/>
      <w:szCs w:val="24"/>
    </w:rPr>
  </w:style>
  <w:style w:type="character" w:customStyle="1" w:styleId="95">
    <w:name w:val="正文文本缩进 3 Char"/>
    <w:qFormat/>
    <w:uiPriority w:val="99"/>
    <w:rPr>
      <w:rFonts w:ascii="Times New Roman" w:hAnsi="Times New Roman" w:eastAsia="宋体" w:cs="Times New Roman"/>
      <w:sz w:val="24"/>
      <w:szCs w:val="20"/>
    </w:rPr>
  </w:style>
  <w:style w:type="character" w:customStyle="1" w:styleId="96">
    <w:name w:val="标题 6 Char"/>
    <w:qFormat/>
    <w:uiPriority w:val="99"/>
    <w:rPr>
      <w:rFonts w:ascii="Arial" w:hAnsi="Arial" w:eastAsia="黑体" w:cs="Times New Roman"/>
      <w:b/>
      <w:bCs/>
      <w:sz w:val="24"/>
      <w:szCs w:val="24"/>
    </w:rPr>
  </w:style>
  <w:style w:type="character" w:customStyle="1" w:styleId="97">
    <w:name w:val="正文文本缩进 Char"/>
    <w:qFormat/>
    <w:uiPriority w:val="99"/>
    <w:rPr>
      <w:rFonts w:ascii="楷体_GB2312" w:eastAsia="楷体_GB2312"/>
      <w:sz w:val="28"/>
    </w:rPr>
  </w:style>
  <w:style w:type="character" w:customStyle="1" w:styleId="98">
    <w:name w:val="标题 Char"/>
    <w:qFormat/>
    <w:uiPriority w:val="0"/>
    <w:rPr>
      <w:rFonts w:ascii="Cambria" w:hAnsi="Cambria" w:cs="Times New Roman"/>
      <w:b/>
      <w:bCs/>
      <w:kern w:val="2"/>
      <w:sz w:val="32"/>
      <w:szCs w:val="32"/>
    </w:rPr>
  </w:style>
  <w:style w:type="character" w:customStyle="1" w:styleId="99">
    <w:name w:val="标题 4 Char"/>
    <w:qFormat/>
    <w:uiPriority w:val="99"/>
    <w:rPr>
      <w:rFonts w:ascii="Times New Roman" w:hAnsi="Times New Roman" w:eastAsia="宋体" w:cs="Times New Roman"/>
      <w:sz w:val="28"/>
      <w:szCs w:val="20"/>
    </w:rPr>
  </w:style>
  <w:style w:type="character" w:customStyle="1" w:styleId="100">
    <w:name w:val="蓝色显示 Char"/>
    <w:link w:val="101"/>
    <w:qFormat/>
    <w:uiPriority w:val="0"/>
    <w:rPr>
      <w:b/>
      <w:color w:val="0070C0"/>
      <w:kern w:val="2"/>
      <w:sz w:val="21"/>
      <w:szCs w:val="24"/>
    </w:rPr>
  </w:style>
  <w:style w:type="paragraph" w:customStyle="1" w:styleId="101">
    <w:name w:val="蓝色显示"/>
    <w:basedOn w:val="1"/>
    <w:link w:val="100"/>
    <w:qFormat/>
    <w:uiPriority w:val="0"/>
    <w:pPr>
      <w:spacing w:before="340" w:after="330" w:line="400" w:lineRule="exact"/>
    </w:pPr>
    <w:rPr>
      <w:b/>
      <w:color w:val="0070C0"/>
    </w:rPr>
  </w:style>
  <w:style w:type="character" w:customStyle="1" w:styleId="102">
    <w:name w:val="标题 5 Char"/>
    <w:qFormat/>
    <w:uiPriority w:val="99"/>
    <w:rPr>
      <w:rFonts w:ascii="Times New Roman" w:hAnsi="Times New Roman" w:eastAsia="宋体" w:cs="Times New Roman"/>
      <w:b/>
      <w:bCs/>
      <w:sz w:val="28"/>
      <w:szCs w:val="28"/>
    </w:rPr>
  </w:style>
  <w:style w:type="character" w:customStyle="1" w:styleId="103">
    <w:name w:val="Char Char1"/>
    <w:qFormat/>
    <w:uiPriority w:val="0"/>
    <w:rPr>
      <w:rFonts w:ascii="楷体_GB2312" w:eastAsia="楷体_GB2312"/>
      <w:sz w:val="28"/>
    </w:rPr>
  </w:style>
  <w:style w:type="character" w:customStyle="1" w:styleId="104">
    <w:name w:val="标题3 Char"/>
    <w:link w:val="105"/>
    <w:qFormat/>
    <w:uiPriority w:val="0"/>
    <w:rPr>
      <w:rFonts w:ascii="宋体" w:hAnsi="宋体"/>
      <w:color w:val="000000"/>
      <w:sz w:val="21"/>
      <w:szCs w:val="21"/>
    </w:rPr>
  </w:style>
  <w:style w:type="paragraph" w:customStyle="1" w:styleId="105">
    <w:name w:val="标题3"/>
    <w:basedOn w:val="6"/>
    <w:link w:val="104"/>
    <w:qFormat/>
    <w:uiPriority w:val="0"/>
    <w:pPr>
      <w:numPr>
        <w:ilvl w:val="0"/>
        <w:numId w:val="2"/>
      </w:numPr>
      <w:spacing w:line="240" w:lineRule="auto"/>
    </w:pPr>
    <w:rPr>
      <w:rFonts w:ascii="宋体" w:hAnsi="宋体" w:eastAsia="宋体"/>
      <w:color w:val="000000"/>
      <w:sz w:val="21"/>
      <w:szCs w:val="21"/>
    </w:rPr>
  </w:style>
  <w:style w:type="character" w:customStyle="1" w:styleId="106">
    <w:name w:val="Char Char"/>
    <w:qFormat/>
    <w:uiPriority w:val="0"/>
    <w:rPr>
      <w:rFonts w:ascii="宋体"/>
      <w:kern w:val="2"/>
      <w:sz w:val="18"/>
      <w:szCs w:val="18"/>
    </w:rPr>
  </w:style>
  <w:style w:type="character" w:customStyle="1" w:styleId="107">
    <w:name w:val="标题 2 Char Char Char"/>
    <w:qFormat/>
    <w:uiPriority w:val="0"/>
    <w:rPr>
      <w:rFonts w:ascii="Arial" w:hAnsi="Arial" w:eastAsia="黑体" w:cs="Times New Roman"/>
      <w:b/>
      <w:bCs/>
      <w:kern w:val="2"/>
      <w:sz w:val="32"/>
      <w:szCs w:val="32"/>
      <w:lang w:val="en-US" w:eastAsia="zh-CN" w:bidi="ar-SA"/>
    </w:rPr>
  </w:style>
  <w:style w:type="character" w:customStyle="1" w:styleId="108">
    <w:name w:val="标题 7 Char"/>
    <w:qFormat/>
    <w:uiPriority w:val="99"/>
    <w:rPr>
      <w:rFonts w:ascii="Times New Roman" w:hAnsi="Times New Roman" w:eastAsia="宋体" w:cs="Times New Roman"/>
      <w:b/>
      <w:bCs/>
      <w:sz w:val="24"/>
      <w:szCs w:val="24"/>
    </w:rPr>
  </w:style>
  <w:style w:type="paragraph" w:customStyle="1" w:styleId="109">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0">
    <w:name w:val="Normal_0"/>
    <w:qFormat/>
    <w:uiPriority w:val="0"/>
    <w:pPr>
      <w:widowControl w:val="0"/>
      <w:jc w:val="both"/>
    </w:pPr>
    <w:rPr>
      <w:rFonts w:ascii="Calibri" w:hAnsi="Calibri" w:eastAsia="宋体" w:cs="Times New Roman"/>
      <w:lang w:val="en-US" w:eastAsia="zh-CN" w:bidi="ar-SA"/>
    </w:rPr>
  </w:style>
  <w:style w:type="paragraph" w:customStyle="1" w:styleId="111">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2">
    <w:name w:val="样式 标题 2 + Times New Roman 四号 非加粗 段前: 5 磅 段后: 0 磅 行距: 固定值 20..._0"/>
    <w:basedOn w:val="113"/>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3">
    <w:name w:val="标题 2_0"/>
    <w:basedOn w:val="114"/>
    <w:next w:val="114"/>
    <w:unhideWhenUsed/>
    <w:qFormat/>
    <w:uiPriority w:val="0"/>
    <w:pPr>
      <w:keepNext/>
      <w:keepLines/>
      <w:spacing w:before="260" w:after="260" w:line="416" w:lineRule="auto"/>
      <w:outlineLvl w:val="1"/>
    </w:pPr>
    <w:rPr>
      <w:rFonts w:ascii="Cambria" w:hAnsi="Cambria"/>
      <w:b/>
      <w:bCs/>
      <w:sz w:val="32"/>
      <w:szCs w:val="32"/>
    </w:rPr>
  </w:style>
  <w:style w:type="paragraph" w:customStyle="1" w:styleId="114">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Blockquote_0_0"/>
    <w:basedOn w:val="114"/>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7">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8">
    <w:name w:val="Comment Text"/>
    <w:basedOn w:val="110"/>
    <w:unhideWhenUsed/>
    <w:qFormat/>
    <w:uiPriority w:val="0"/>
    <w:pPr>
      <w:jc w:val="left"/>
    </w:pPr>
    <w:rPr>
      <w:rFonts w:eastAsia="Times New Roman"/>
    </w:rPr>
  </w:style>
  <w:style w:type="paragraph" w:customStyle="1" w:styleId="11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标题 55"/>
    <w:basedOn w:val="8"/>
    <w:qFormat/>
    <w:uiPriority w:val="0"/>
    <w:rPr>
      <w:rFonts w:ascii="方正黑体简体" w:eastAsia="方正黑体简体"/>
      <w:b w:val="0"/>
      <w:bCs w:val="0"/>
    </w:rPr>
  </w:style>
  <w:style w:type="paragraph" w:customStyle="1" w:styleId="121">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2">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4">
    <w:name w:val="Blockquote_0"/>
    <w:basedOn w:val="117"/>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5">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6">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8">
    <w:name w:val="列出段落2"/>
    <w:basedOn w:val="1"/>
    <w:qFormat/>
    <w:uiPriority w:val="34"/>
    <w:pPr>
      <w:ind w:firstLine="420" w:firstLineChars="200"/>
    </w:pPr>
    <w:rPr>
      <w:szCs w:val="20"/>
    </w:rPr>
  </w:style>
  <w:style w:type="paragraph" w:customStyle="1" w:styleId="129">
    <w:name w:val="Blockquote_1"/>
    <w:basedOn w:val="127"/>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0">
    <w:name w:val="bt1bt1"/>
    <w:basedOn w:val="3"/>
    <w:qFormat/>
    <w:uiPriority w:val="0"/>
    <w:pPr>
      <w:spacing w:line="240" w:lineRule="auto"/>
    </w:pPr>
    <w:rPr>
      <w:rFonts w:ascii="黑体"/>
      <w:sz w:val="36"/>
      <w:szCs w:val="36"/>
    </w:rPr>
  </w:style>
  <w:style w:type="paragraph" w:customStyle="1" w:styleId="131">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2">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3">
    <w:name w:val="标题 60"/>
    <w:basedOn w:val="9"/>
    <w:qFormat/>
    <w:uiPriority w:val="0"/>
    <w:pPr>
      <w:spacing w:line="319" w:lineRule="auto"/>
      <w:ind w:firstLine="200" w:firstLineChars="200"/>
    </w:pPr>
    <w:rPr>
      <w:b w:val="0"/>
      <w:bCs w:val="0"/>
    </w:rPr>
  </w:style>
  <w:style w:type="paragraph" w:customStyle="1" w:styleId="134">
    <w:name w:val="列出段落11"/>
    <w:basedOn w:val="1"/>
    <w:qFormat/>
    <w:uiPriority w:val="99"/>
    <w:pPr>
      <w:ind w:firstLine="420" w:firstLineChars="200"/>
    </w:pPr>
    <w:rPr>
      <w:szCs w:val="20"/>
    </w:rPr>
  </w:style>
  <w:style w:type="paragraph" w:customStyle="1" w:styleId="135">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6">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7">
    <w:name w:val="_Style 36"/>
    <w:basedOn w:val="1"/>
    <w:qFormat/>
    <w:uiPriority w:val="0"/>
    <w:pPr>
      <w:ind w:firstLine="420" w:firstLineChars="200"/>
    </w:pPr>
    <w:rPr>
      <w:szCs w:val="20"/>
    </w:rPr>
  </w:style>
  <w:style w:type="paragraph" w:customStyle="1" w:styleId="138">
    <w:name w:val="正文00"/>
    <w:basedOn w:val="1"/>
    <w:qFormat/>
    <w:uiPriority w:val="0"/>
    <w:pPr>
      <w:topLinePunct/>
      <w:spacing w:line="360" w:lineRule="auto"/>
      <w:ind w:firstLine="200" w:firstLineChars="200"/>
    </w:pPr>
    <w:rPr>
      <w:sz w:val="24"/>
      <w:szCs w:val="21"/>
    </w:rPr>
  </w:style>
  <w:style w:type="paragraph" w:customStyle="1" w:styleId="139">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0">
    <w:name w:val="列出段落1"/>
    <w:basedOn w:val="1"/>
    <w:qFormat/>
    <w:uiPriority w:val="0"/>
    <w:pPr>
      <w:ind w:firstLine="420" w:firstLineChars="200"/>
    </w:pPr>
  </w:style>
  <w:style w:type="paragraph" w:customStyle="1" w:styleId="141">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2">
    <w:name w:val="正文_0_1"/>
    <w:qFormat/>
    <w:uiPriority w:val="0"/>
    <w:pPr>
      <w:widowControl w:val="0"/>
      <w:jc w:val="both"/>
    </w:pPr>
    <w:rPr>
      <w:rFonts w:ascii="Calibri" w:hAnsi="Calibri" w:eastAsia="宋体" w:cs="Times New Roman"/>
      <w:lang w:val="en-US" w:eastAsia="zh-CN" w:bidi="ar-SA"/>
    </w:rPr>
  </w:style>
  <w:style w:type="paragraph" w:customStyle="1" w:styleId="143">
    <w:name w:val="节"/>
    <w:basedOn w:val="4"/>
    <w:qFormat/>
    <w:uiPriority w:val="0"/>
    <w:pPr>
      <w:spacing w:line="240" w:lineRule="auto"/>
    </w:pPr>
    <w:rPr>
      <w:rFonts w:ascii="黑体"/>
      <w:szCs w:val="28"/>
    </w:rPr>
  </w:style>
  <w:style w:type="paragraph" w:customStyle="1" w:styleId="144">
    <w:name w:val="新定义正文"/>
    <w:basedOn w:val="1"/>
    <w:qFormat/>
    <w:uiPriority w:val="0"/>
    <w:pPr>
      <w:widowControl/>
    </w:pPr>
    <w:rPr>
      <w:color w:val="000000"/>
      <w:szCs w:val="21"/>
    </w:rPr>
  </w:style>
  <w:style w:type="paragraph" w:customStyle="1" w:styleId="145">
    <w:name w:val="纯文本1"/>
    <w:basedOn w:val="1"/>
    <w:qFormat/>
    <w:uiPriority w:val="0"/>
    <w:rPr>
      <w:rFonts w:ascii="宋体" w:hAnsi="Courier New"/>
      <w:szCs w:val="20"/>
    </w:rPr>
  </w:style>
  <w:style w:type="paragraph" w:customStyle="1" w:styleId="146">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47">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8">
    <w:name w:val="Heading 9 Char"/>
    <w:semiHidden/>
    <w:qFormat/>
    <w:locked/>
    <w:uiPriority w:val="99"/>
    <w:rPr>
      <w:rFonts w:ascii="Cambria" w:hAnsi="Cambria" w:eastAsia="宋体" w:cs="Times New Roman"/>
      <w:kern w:val="2"/>
    </w:rPr>
  </w:style>
  <w:style w:type="character" w:customStyle="1" w:styleId="149">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0">
    <w:name w:val="项目 1 Char Char Char"/>
    <w:qFormat/>
    <w:uiPriority w:val="99"/>
    <w:rPr>
      <w:rFonts w:ascii="Tahoma" w:hAnsi="Tahoma" w:eastAsia="宋体" w:cs="Times New Roman"/>
      <w:kern w:val="2"/>
      <w:sz w:val="24"/>
      <w:szCs w:val="24"/>
      <w:lang w:val="en-US" w:eastAsia="zh-CN" w:bidi="ar-SA"/>
    </w:rPr>
  </w:style>
  <w:style w:type="character" w:customStyle="1" w:styleId="151">
    <w:name w:val="p131"/>
    <w:qFormat/>
    <w:uiPriority w:val="99"/>
    <w:rPr>
      <w:rFonts w:cs="Times New Roman"/>
      <w:sz w:val="22"/>
      <w:szCs w:val="22"/>
      <w:u w:val="none"/>
    </w:rPr>
  </w:style>
  <w:style w:type="character" w:customStyle="1" w:styleId="152">
    <w:name w:val="样式 标题 3h3H3l3CTheading 3Level 3 Headlevel_3PIM 3sect1.2... Char"/>
    <w:link w:val="153"/>
    <w:qFormat/>
    <w:uiPriority w:val="0"/>
    <w:rPr>
      <w:rFonts w:ascii="Arial" w:hAnsi="Arial" w:eastAsia="黑体"/>
      <w:bCs/>
      <w:kern w:val="2"/>
      <w:sz w:val="24"/>
      <w:szCs w:val="32"/>
    </w:rPr>
  </w:style>
  <w:style w:type="paragraph" w:customStyle="1" w:styleId="153">
    <w:name w:val="样式 标题 3h3H3l3CTheading 3Level 3 Headlevel_3PIM 3sect1.2..."/>
    <w:basedOn w:val="5"/>
    <w:link w:val="152"/>
    <w:qFormat/>
    <w:uiPriority w:val="0"/>
    <w:pPr>
      <w:autoSpaceDE/>
      <w:autoSpaceDN/>
      <w:adjustRightInd/>
      <w:spacing w:beforeLines="50" w:afterLines="50" w:line="360" w:lineRule="auto"/>
    </w:pPr>
    <w:rPr>
      <w:rFonts w:ascii="Arial" w:hAnsi="Arial"/>
      <w:bCs/>
      <w:kern w:val="2"/>
      <w:sz w:val="24"/>
      <w:szCs w:val="32"/>
    </w:rPr>
  </w:style>
  <w:style w:type="character" w:customStyle="1" w:styleId="154">
    <w:name w:val="Heading 3 Char"/>
    <w:semiHidden/>
    <w:qFormat/>
    <w:uiPriority w:val="9"/>
    <w:rPr>
      <w:rFonts w:ascii="Cambria" w:hAnsi="Cambria" w:eastAsia="宋体" w:cs="Times New Roman"/>
      <w:b/>
      <w:bCs/>
      <w:kern w:val="2"/>
      <w:sz w:val="26"/>
      <w:szCs w:val="26"/>
    </w:rPr>
  </w:style>
  <w:style w:type="character" w:customStyle="1" w:styleId="155">
    <w:name w:val="无间距字符"/>
    <w:link w:val="156"/>
    <w:qFormat/>
    <w:uiPriority w:val="1"/>
    <w:rPr>
      <w:sz w:val="22"/>
      <w:szCs w:val="22"/>
    </w:rPr>
  </w:style>
  <w:style w:type="paragraph" w:customStyle="1" w:styleId="156">
    <w:name w:val="无间距"/>
    <w:link w:val="155"/>
    <w:qFormat/>
    <w:uiPriority w:val="1"/>
    <w:rPr>
      <w:rFonts w:ascii="Times New Roman" w:hAnsi="Times New Roman" w:eastAsia="宋体" w:cs="Times New Roman"/>
      <w:sz w:val="22"/>
      <w:szCs w:val="22"/>
      <w:lang w:val="en-US" w:eastAsia="zh-CN" w:bidi="ar-SA"/>
    </w:rPr>
  </w:style>
  <w:style w:type="character" w:customStyle="1" w:styleId="157">
    <w:name w:val="5级标题nbm Char"/>
    <w:link w:val="158"/>
    <w:qFormat/>
    <w:uiPriority w:val="0"/>
    <w:rPr>
      <w:rFonts w:ascii="宋体" w:hAnsi="宋体"/>
      <w:kern w:val="2"/>
      <w:sz w:val="21"/>
      <w:szCs w:val="21"/>
    </w:rPr>
  </w:style>
  <w:style w:type="paragraph" w:customStyle="1" w:styleId="158">
    <w:name w:val="5级标题nbm"/>
    <w:basedOn w:val="4"/>
    <w:link w:val="157"/>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9">
    <w:name w:val="Heading 6 Char"/>
    <w:semiHidden/>
    <w:qFormat/>
    <w:locked/>
    <w:uiPriority w:val="99"/>
    <w:rPr>
      <w:rFonts w:ascii="Calibri" w:hAnsi="Calibri" w:eastAsia="宋体" w:cs="Times New Roman"/>
      <w:b/>
      <w:bCs/>
      <w:kern w:val="2"/>
    </w:rPr>
  </w:style>
  <w:style w:type="character" w:customStyle="1" w:styleId="160">
    <w:name w:val="Heading 3 Char2"/>
    <w:qFormat/>
    <w:locked/>
    <w:uiPriority w:val="99"/>
    <w:rPr>
      <w:rFonts w:eastAsia="宋体" w:cs="Times New Roman"/>
      <w:b/>
      <w:bCs/>
      <w:kern w:val="2"/>
      <w:sz w:val="32"/>
      <w:szCs w:val="32"/>
      <w:lang w:val="en-US" w:eastAsia="zh-CN" w:bidi="ar-SA"/>
    </w:rPr>
  </w:style>
  <w:style w:type="character" w:customStyle="1" w:styleId="161">
    <w:name w:val="2级标题nbm Char"/>
    <w:link w:val="162"/>
    <w:qFormat/>
    <w:uiPriority w:val="0"/>
    <w:rPr>
      <w:rFonts w:ascii="宋体" w:hAnsi="宋体"/>
      <w:bCs/>
      <w:kern w:val="2"/>
      <w:sz w:val="21"/>
      <w:szCs w:val="21"/>
    </w:rPr>
  </w:style>
  <w:style w:type="paragraph" w:customStyle="1" w:styleId="162">
    <w:name w:val="2级标题nbm"/>
    <w:basedOn w:val="4"/>
    <w:link w:val="161"/>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3">
    <w:name w:val="3级标题nbm Char"/>
    <w:link w:val="164"/>
    <w:qFormat/>
    <w:uiPriority w:val="0"/>
    <w:rPr>
      <w:rFonts w:ascii="宋体" w:hAnsi="宋体"/>
      <w:bCs/>
      <w:kern w:val="2"/>
      <w:sz w:val="21"/>
      <w:szCs w:val="21"/>
    </w:rPr>
  </w:style>
  <w:style w:type="paragraph" w:customStyle="1" w:styleId="164">
    <w:name w:val="3级标题nbm"/>
    <w:basedOn w:val="162"/>
    <w:link w:val="163"/>
    <w:qFormat/>
    <w:uiPriority w:val="0"/>
    <w:pPr>
      <w:tabs>
        <w:tab w:val="left" w:pos="720"/>
        <w:tab w:val="clear" w:pos="756"/>
      </w:tabs>
      <w:ind w:left="720" w:hanging="720"/>
      <w:outlineLvl w:val="2"/>
    </w:pPr>
  </w:style>
  <w:style w:type="character" w:customStyle="1" w:styleId="165">
    <w:name w:val="font1"/>
    <w:qFormat/>
    <w:uiPriority w:val="99"/>
    <w:rPr>
      <w:rFonts w:cs="Times New Roman"/>
      <w:color w:val="000000"/>
      <w:sz w:val="18"/>
      <w:szCs w:val="18"/>
    </w:rPr>
  </w:style>
  <w:style w:type="character" w:customStyle="1" w:styleId="166">
    <w:name w:val="t181"/>
    <w:qFormat/>
    <w:uiPriority w:val="99"/>
    <w:rPr>
      <w:rFonts w:cs="Times New Roman"/>
      <w:color w:val="000000"/>
      <w:sz w:val="21"/>
      <w:szCs w:val="21"/>
    </w:rPr>
  </w:style>
  <w:style w:type="character" w:customStyle="1" w:styleId="167">
    <w:name w:val="标题 4 Char1"/>
    <w:qFormat/>
    <w:uiPriority w:val="99"/>
    <w:rPr>
      <w:rFonts w:eastAsia="宋体" w:cs="Times New Roman"/>
      <w:b/>
      <w:bCs/>
      <w:kern w:val="2"/>
      <w:sz w:val="28"/>
      <w:szCs w:val="28"/>
      <w:lang w:val="en-US" w:eastAsia="zh-CN" w:bidi="ar-SA"/>
    </w:rPr>
  </w:style>
  <w:style w:type="character" w:customStyle="1" w:styleId="168">
    <w:name w:val="标题 2 Char1"/>
    <w:qFormat/>
    <w:uiPriority w:val="99"/>
    <w:rPr>
      <w:rFonts w:ascii="Arial" w:hAnsi="Arial" w:eastAsia="黑体" w:cs="Times New Roman"/>
      <w:b/>
      <w:bCs/>
      <w:kern w:val="2"/>
      <w:sz w:val="32"/>
      <w:szCs w:val="32"/>
      <w:lang w:val="en-US" w:eastAsia="zh-CN" w:bidi="ar-SA"/>
    </w:rPr>
  </w:style>
  <w:style w:type="character" w:customStyle="1" w:styleId="169">
    <w:name w:val="Heading 2 Char"/>
    <w:semiHidden/>
    <w:qFormat/>
    <w:locked/>
    <w:uiPriority w:val="99"/>
    <w:rPr>
      <w:rFonts w:ascii="Cambria" w:hAnsi="Cambria" w:eastAsia="宋体" w:cs="Times New Roman"/>
      <w:b/>
      <w:bCs/>
      <w:i/>
      <w:iCs/>
      <w:kern w:val="2"/>
      <w:sz w:val="28"/>
      <w:szCs w:val="28"/>
    </w:rPr>
  </w:style>
  <w:style w:type="character" w:customStyle="1" w:styleId="170">
    <w:name w:val="4级标题nbm Char"/>
    <w:link w:val="171"/>
    <w:qFormat/>
    <w:uiPriority w:val="0"/>
    <w:rPr>
      <w:rFonts w:ascii="宋体" w:hAnsi="宋体"/>
      <w:kern w:val="2"/>
      <w:sz w:val="21"/>
      <w:szCs w:val="21"/>
    </w:rPr>
  </w:style>
  <w:style w:type="paragraph" w:customStyle="1" w:styleId="171">
    <w:name w:val="4级标题nbm"/>
    <w:basedOn w:val="4"/>
    <w:link w:val="170"/>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2">
    <w:name w:val="Heading 8 Char"/>
    <w:semiHidden/>
    <w:qFormat/>
    <w:locked/>
    <w:uiPriority w:val="99"/>
    <w:rPr>
      <w:rFonts w:ascii="Calibri" w:hAnsi="Calibri" w:eastAsia="宋体" w:cs="Times New Roman"/>
      <w:i/>
      <w:iCs/>
      <w:kern w:val="2"/>
      <w:sz w:val="24"/>
      <w:szCs w:val="24"/>
    </w:rPr>
  </w:style>
  <w:style w:type="character" w:customStyle="1" w:styleId="173">
    <w:name w:val="表正文 Char1"/>
    <w:qFormat/>
    <w:uiPriority w:val="99"/>
    <w:rPr>
      <w:rFonts w:eastAsia="宋体" w:cs="Times New Roman"/>
      <w:kern w:val="2"/>
      <w:sz w:val="24"/>
      <w:szCs w:val="24"/>
      <w:lang w:val="en-US" w:eastAsia="zh-CN" w:bidi="ar-SA"/>
    </w:rPr>
  </w:style>
  <w:style w:type="character" w:customStyle="1" w:styleId="174">
    <w:name w:val="样式3 Char"/>
    <w:qFormat/>
    <w:uiPriority w:val="99"/>
    <w:rPr>
      <w:rFonts w:eastAsia="宋体" w:cs="Times New Roman"/>
      <w:kern w:val="2"/>
      <w:sz w:val="24"/>
      <w:szCs w:val="24"/>
      <w:lang w:val="en-US" w:eastAsia="zh-CN" w:bidi="ar-SA"/>
    </w:rPr>
  </w:style>
  <w:style w:type="character" w:customStyle="1" w:styleId="175">
    <w:name w:val="Heading 3 Char3"/>
    <w:semiHidden/>
    <w:qFormat/>
    <w:locked/>
    <w:uiPriority w:val="99"/>
    <w:rPr>
      <w:rFonts w:ascii="Cambria" w:hAnsi="Cambria" w:eastAsia="宋体" w:cs="Times New Roman"/>
      <w:b/>
      <w:bCs/>
      <w:kern w:val="2"/>
      <w:sz w:val="26"/>
      <w:szCs w:val="26"/>
    </w:rPr>
  </w:style>
  <w:style w:type="character" w:customStyle="1" w:styleId="176">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7">
    <w:name w:val="编号列表 Char"/>
    <w:qFormat/>
    <w:uiPriority w:val="99"/>
    <w:rPr>
      <w:rFonts w:ascii="Verdana" w:hAnsi="Verdana" w:eastAsia="宋体" w:cs="Times New Roman"/>
      <w:kern w:val="2"/>
      <w:sz w:val="24"/>
      <w:szCs w:val="24"/>
      <w:lang w:val="en-US" w:eastAsia="zh-CN" w:bidi="ar-SA"/>
    </w:rPr>
  </w:style>
  <w:style w:type="character" w:customStyle="1" w:styleId="178">
    <w:name w:val="二级条标题 Char"/>
    <w:link w:val="179"/>
    <w:qFormat/>
    <w:locked/>
    <w:uiPriority w:val="99"/>
    <w:rPr>
      <w:rFonts w:ascii="宋体"/>
    </w:rPr>
  </w:style>
  <w:style w:type="paragraph" w:customStyle="1" w:styleId="179">
    <w:name w:val="二级条标题"/>
    <w:basedOn w:val="1"/>
    <w:next w:val="1"/>
    <w:link w:val="178"/>
    <w:qFormat/>
    <w:uiPriority w:val="99"/>
    <w:pPr>
      <w:widowControl/>
      <w:spacing w:beforeLines="50" w:afterLines="50"/>
      <w:outlineLvl w:val="3"/>
    </w:pPr>
    <w:rPr>
      <w:rFonts w:ascii="宋体"/>
      <w:kern w:val="0"/>
      <w:sz w:val="20"/>
      <w:szCs w:val="20"/>
    </w:rPr>
  </w:style>
  <w:style w:type="character" w:customStyle="1" w:styleId="180">
    <w:name w:val="Heading 4 Char"/>
    <w:semiHidden/>
    <w:qFormat/>
    <w:locked/>
    <w:uiPriority w:val="99"/>
    <w:rPr>
      <w:rFonts w:ascii="Calibri" w:hAnsi="Calibri" w:eastAsia="宋体" w:cs="Times New Roman"/>
      <w:b/>
      <w:bCs/>
      <w:kern w:val="2"/>
      <w:sz w:val="28"/>
      <w:szCs w:val="28"/>
    </w:rPr>
  </w:style>
  <w:style w:type="character" w:customStyle="1" w:styleId="181">
    <w:name w:val="Heading 5 Char"/>
    <w:semiHidden/>
    <w:qFormat/>
    <w:locked/>
    <w:uiPriority w:val="99"/>
    <w:rPr>
      <w:rFonts w:ascii="Calibri" w:hAnsi="Calibri" w:eastAsia="宋体" w:cs="Times New Roman"/>
      <w:b/>
      <w:bCs/>
      <w:i/>
      <w:iCs/>
      <w:kern w:val="2"/>
      <w:sz w:val="26"/>
      <w:szCs w:val="26"/>
    </w:rPr>
  </w:style>
  <w:style w:type="character" w:customStyle="1" w:styleId="182">
    <w:name w:val="title_emph1"/>
    <w:qFormat/>
    <w:uiPriority w:val="99"/>
    <w:rPr>
      <w:rFonts w:ascii="Arial" w:hAnsi="Arial" w:cs="Arial"/>
      <w:b/>
      <w:bCs/>
      <w:sz w:val="20"/>
      <w:szCs w:val="20"/>
    </w:rPr>
  </w:style>
  <w:style w:type="paragraph" w:customStyle="1" w:styleId="183">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4">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5">
    <w:name w:val="正文首行缩进 Char1"/>
    <w:qFormat/>
    <w:uiPriority w:val="0"/>
    <w:rPr>
      <w:kern w:val="2"/>
      <w:sz w:val="21"/>
      <w:szCs w:val="24"/>
    </w:rPr>
  </w:style>
  <w:style w:type="paragraph" w:customStyle="1" w:styleId="186">
    <w:name w:val="2"/>
    <w:basedOn w:val="1"/>
    <w:next w:val="23"/>
    <w:qFormat/>
    <w:uiPriority w:val="99"/>
    <w:pPr>
      <w:spacing w:line="440" w:lineRule="exact"/>
      <w:ind w:firstLine="420"/>
    </w:pPr>
    <w:rPr>
      <w:sz w:val="28"/>
      <w:szCs w:val="20"/>
    </w:rPr>
  </w:style>
  <w:style w:type="paragraph" w:customStyle="1" w:styleId="187">
    <w:name w:val="Char1 Char Char Char"/>
    <w:basedOn w:val="1"/>
    <w:qFormat/>
    <w:uiPriority w:val="0"/>
    <w:pPr>
      <w:tabs>
        <w:tab w:val="left" w:pos="420"/>
      </w:tabs>
      <w:ind w:left="420" w:hanging="420"/>
    </w:pPr>
    <w:rPr>
      <w:rFonts w:ascii="Tahoma" w:hAnsi="Tahoma"/>
      <w:sz w:val="24"/>
      <w:szCs w:val="20"/>
    </w:rPr>
  </w:style>
  <w:style w:type="paragraph" w:customStyle="1" w:styleId="188">
    <w:name w:val="font10"/>
    <w:basedOn w:val="1"/>
    <w:qFormat/>
    <w:uiPriority w:val="99"/>
    <w:pPr>
      <w:widowControl/>
      <w:spacing w:before="100" w:beforeAutospacing="1" w:after="100" w:afterAutospacing="1"/>
      <w:jc w:val="left"/>
    </w:pPr>
    <w:rPr>
      <w:kern w:val="0"/>
      <w:sz w:val="20"/>
      <w:szCs w:val="20"/>
    </w:rPr>
  </w:style>
  <w:style w:type="paragraph" w:customStyle="1" w:styleId="18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0">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1">
    <w:name w:val="正文文字（缩进2字）"/>
    <w:basedOn w:val="22"/>
    <w:qFormat/>
    <w:uiPriority w:val="99"/>
    <w:pPr>
      <w:spacing w:beforeLines="50" w:afterLines="50"/>
      <w:ind w:firstLine="200" w:firstLineChars="200"/>
    </w:pPr>
    <w:rPr>
      <w:kern w:val="0"/>
      <w:sz w:val="20"/>
    </w:rPr>
  </w:style>
  <w:style w:type="paragraph" w:customStyle="1" w:styleId="192">
    <w:name w:val="Char Char2"/>
    <w:basedOn w:val="1"/>
    <w:qFormat/>
    <w:uiPriority w:val="99"/>
    <w:rPr>
      <w:rFonts w:ascii="Tahoma" w:hAnsi="Tahoma"/>
      <w:sz w:val="24"/>
      <w:szCs w:val="20"/>
    </w:rPr>
  </w:style>
  <w:style w:type="paragraph" w:customStyle="1" w:styleId="19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4">
    <w:name w:val="Char Char Char"/>
    <w:basedOn w:val="18"/>
    <w:qFormat/>
    <w:uiPriority w:val="0"/>
    <w:pPr>
      <w:shd w:val="clear" w:color="auto" w:fill="000080"/>
    </w:pPr>
    <w:rPr>
      <w:rFonts w:ascii="Tahoma" w:hAnsi="Tahoma"/>
      <w:kern w:val="0"/>
      <w:sz w:val="24"/>
      <w:szCs w:val="24"/>
    </w:rPr>
  </w:style>
  <w:style w:type="paragraph" w:customStyle="1" w:styleId="195">
    <w:name w:val="默认段落字体 Para Char Char Char Char Char Char Char"/>
    <w:basedOn w:val="1"/>
    <w:qFormat/>
    <w:uiPriority w:val="99"/>
    <w:rPr>
      <w:rFonts w:ascii="Tahoma" w:hAnsi="Tahoma"/>
      <w:sz w:val="24"/>
      <w:szCs w:val="20"/>
    </w:rPr>
  </w:style>
  <w:style w:type="paragraph" w:customStyle="1" w:styleId="196">
    <w:name w:val="文章标题"/>
    <w:basedOn w:val="1"/>
    <w:qFormat/>
    <w:uiPriority w:val="99"/>
    <w:pPr>
      <w:spacing w:beforeLines="200" w:afterLines="200"/>
      <w:jc w:val="center"/>
    </w:pPr>
    <w:rPr>
      <w:b/>
      <w:sz w:val="44"/>
    </w:rPr>
  </w:style>
  <w:style w:type="paragraph" w:customStyle="1" w:styleId="197">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8">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9">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0">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1">
    <w:name w:val="Centered"/>
    <w:basedOn w:val="1"/>
    <w:next w:val="22"/>
    <w:qFormat/>
    <w:uiPriority w:val="99"/>
    <w:pPr>
      <w:widowControl/>
      <w:spacing w:after="240" w:line="240" w:lineRule="exact"/>
      <w:jc w:val="center"/>
    </w:pPr>
    <w:rPr>
      <w:kern w:val="0"/>
      <w:sz w:val="24"/>
      <w:lang w:val="en-GB"/>
    </w:rPr>
  </w:style>
  <w:style w:type="paragraph" w:customStyle="1" w:styleId="202">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3">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4">
    <w:name w:val="样式4"/>
    <w:qFormat/>
    <w:uiPriority w:val="99"/>
    <w:rPr>
      <w:rFonts w:ascii="宋体" w:hAnsi="宋体" w:eastAsia="宋体" w:cs="Times New Roman"/>
      <w:b/>
      <w:bCs/>
      <w:kern w:val="2"/>
      <w:sz w:val="28"/>
      <w:szCs w:val="28"/>
      <w:lang w:val="en-US" w:eastAsia="zh-CN" w:bidi="ar-SA"/>
    </w:rPr>
  </w:style>
  <w:style w:type="paragraph" w:customStyle="1" w:styleId="205">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6">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7">
    <w:name w:val="Char Char21"/>
    <w:basedOn w:val="1"/>
    <w:qFormat/>
    <w:uiPriority w:val="99"/>
    <w:rPr>
      <w:rFonts w:ascii="Tahoma" w:hAnsi="Tahoma"/>
      <w:sz w:val="24"/>
      <w:szCs w:val="20"/>
    </w:rPr>
  </w:style>
  <w:style w:type="paragraph" w:customStyle="1" w:styleId="208">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9">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0">
    <w:name w:val="P8"/>
    <w:basedOn w:val="199"/>
    <w:qFormat/>
    <w:uiPriority w:val="99"/>
    <w:pPr>
      <w:ind w:left="4032"/>
    </w:pPr>
  </w:style>
  <w:style w:type="paragraph" w:customStyle="1" w:styleId="211">
    <w:name w:val="xl23"/>
    <w:basedOn w:val="1"/>
    <w:qFormat/>
    <w:uiPriority w:val="99"/>
    <w:pPr>
      <w:widowControl/>
      <w:spacing w:beforeAutospacing="1" w:afterAutospacing="1"/>
    </w:pPr>
    <w:rPr>
      <w:rFonts w:eastAsia="Arial Unicode MS"/>
      <w:kern w:val="0"/>
      <w:szCs w:val="20"/>
    </w:rPr>
  </w:style>
  <w:style w:type="paragraph" w:customStyle="1" w:styleId="212">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3">
    <w:name w:val="6"/>
    <w:basedOn w:val="1"/>
    <w:next w:val="50"/>
    <w:qFormat/>
    <w:uiPriority w:val="99"/>
    <w:pPr>
      <w:adjustRightInd w:val="0"/>
      <w:snapToGrid w:val="0"/>
    </w:pPr>
    <w:rPr>
      <w:sz w:val="24"/>
    </w:rPr>
  </w:style>
  <w:style w:type="paragraph" w:customStyle="1" w:styleId="214">
    <w:name w:val="正文表格"/>
    <w:basedOn w:val="1"/>
    <w:qFormat/>
    <w:uiPriority w:val="99"/>
    <w:pPr>
      <w:ind w:left="10" w:leftChars="10" w:right="10" w:rightChars="10"/>
    </w:pPr>
    <w:rPr>
      <w:bCs/>
    </w:rPr>
  </w:style>
  <w:style w:type="paragraph" w:customStyle="1" w:styleId="215">
    <w:name w:val="图中文字"/>
    <w:basedOn w:val="1"/>
    <w:qFormat/>
    <w:uiPriority w:val="99"/>
    <w:pPr>
      <w:adjustRightInd w:val="0"/>
      <w:snapToGrid w:val="0"/>
      <w:spacing w:line="240" w:lineRule="atLeast"/>
      <w:jc w:val="center"/>
    </w:pPr>
    <w:rPr>
      <w:szCs w:val="20"/>
    </w:rPr>
  </w:style>
  <w:style w:type="paragraph" w:customStyle="1" w:styleId="216">
    <w:name w:val="正文（首行缩进）"/>
    <w:basedOn w:val="1"/>
    <w:qFormat/>
    <w:uiPriority w:val="99"/>
    <w:pPr>
      <w:spacing w:line="360" w:lineRule="auto"/>
      <w:ind w:firstLine="420"/>
    </w:pPr>
    <w:rPr>
      <w:sz w:val="24"/>
      <w:szCs w:val="20"/>
    </w:rPr>
  </w:style>
  <w:style w:type="paragraph" w:customStyle="1" w:styleId="217">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8">
    <w:name w:val="样式 Tahoma 行距: 单倍行距"/>
    <w:basedOn w:val="1"/>
    <w:qFormat/>
    <w:uiPriority w:val="0"/>
    <w:pPr>
      <w:ind w:firstLine="420" w:firstLineChars="200"/>
    </w:pPr>
    <w:rPr>
      <w:rFonts w:ascii="Tahoma" w:hAnsi="Tahoma" w:cs="宋体"/>
      <w:szCs w:val="21"/>
    </w:rPr>
  </w:style>
  <w:style w:type="paragraph" w:customStyle="1" w:styleId="219">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0">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1">
    <w:name w:val="彩色列表 - 强调文字颜色 11"/>
    <w:basedOn w:val="1"/>
    <w:qFormat/>
    <w:uiPriority w:val="99"/>
    <w:pPr>
      <w:ind w:firstLine="420" w:firstLineChars="200"/>
    </w:pPr>
  </w:style>
  <w:style w:type="paragraph" w:customStyle="1" w:styleId="222">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3">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4">
    <w:name w:val="Normal Cenered"/>
    <w:basedOn w:val="1"/>
    <w:qFormat/>
    <w:uiPriority w:val="99"/>
    <w:pPr>
      <w:widowControl/>
      <w:tabs>
        <w:tab w:val="left" w:pos="6660"/>
      </w:tabs>
      <w:spacing w:before="240" w:after="120" w:line="288" w:lineRule="auto"/>
      <w:jc w:val="center"/>
    </w:pPr>
    <w:rPr>
      <w:kern w:val="0"/>
    </w:rPr>
  </w:style>
  <w:style w:type="paragraph" w:customStyle="1" w:styleId="225">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6">
    <w:name w:val="Table Text"/>
    <w:basedOn w:val="1"/>
    <w:qFormat/>
    <w:uiPriority w:val="99"/>
    <w:pPr>
      <w:widowControl/>
      <w:autoSpaceDE w:val="0"/>
      <w:autoSpaceDN w:val="0"/>
      <w:spacing w:before="60" w:after="60"/>
      <w:jc w:val="left"/>
    </w:pPr>
    <w:rPr>
      <w:kern w:val="0"/>
      <w:szCs w:val="20"/>
    </w:rPr>
  </w:style>
  <w:style w:type="paragraph" w:customStyle="1" w:styleId="227">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8">
    <w:name w:val="强调列表"/>
    <w:basedOn w:val="1"/>
    <w:qFormat/>
    <w:uiPriority w:val="99"/>
    <w:pPr>
      <w:tabs>
        <w:tab w:val="left" w:pos="1742"/>
      </w:tabs>
      <w:ind w:left="1742" w:hanging="420"/>
    </w:pPr>
    <w:rPr>
      <w:sz w:val="24"/>
      <w:szCs w:val="20"/>
    </w:rPr>
  </w:style>
  <w:style w:type="paragraph" w:customStyle="1" w:styleId="229">
    <w:name w:val="Char"/>
    <w:basedOn w:val="1"/>
    <w:qFormat/>
    <w:uiPriority w:val="99"/>
    <w:pPr>
      <w:tabs>
        <w:tab w:val="left" w:pos="360"/>
      </w:tabs>
      <w:ind w:left="360" w:hanging="360" w:hangingChars="200"/>
    </w:pPr>
    <w:rPr>
      <w:sz w:val="24"/>
    </w:rPr>
  </w:style>
  <w:style w:type="character" w:customStyle="1" w:styleId="230">
    <w:name w:val="正文文本 2 Char1"/>
    <w:semiHidden/>
    <w:qFormat/>
    <w:uiPriority w:val="0"/>
    <w:rPr>
      <w:kern w:val="2"/>
      <w:sz w:val="21"/>
      <w:szCs w:val="24"/>
    </w:rPr>
  </w:style>
  <w:style w:type="paragraph" w:customStyle="1" w:styleId="231">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2">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3">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4">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5">
    <w:name w:val="表格项目符号 2"/>
    <w:basedOn w:val="26"/>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6">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7">
    <w:name w:val="Heading B"/>
    <w:basedOn w:val="4"/>
    <w:next w:val="2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8">
    <w:name w:val="Table Heading"/>
    <w:basedOn w:val="226"/>
    <w:qFormat/>
    <w:uiPriority w:val="0"/>
    <w:pPr>
      <w:autoSpaceDE/>
      <w:autoSpaceDN/>
      <w:spacing w:line="288" w:lineRule="auto"/>
      <w:jc w:val="center"/>
    </w:pPr>
    <w:rPr>
      <w:rFonts w:ascii="宋体" w:hAnsi="宋体"/>
      <w:b/>
    </w:rPr>
  </w:style>
  <w:style w:type="paragraph" w:customStyle="1" w:styleId="239">
    <w:name w:val="Heading A"/>
    <w:basedOn w:val="3"/>
    <w:next w:val="2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0">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1">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2">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3">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4">
    <w:name w:val="Char1 Char Char Char Char Char Char"/>
    <w:basedOn w:val="1"/>
    <w:qFormat/>
    <w:uiPriority w:val="99"/>
    <w:rPr>
      <w:rFonts w:ascii="Tahoma" w:hAnsi="Tahoma"/>
      <w:sz w:val="24"/>
      <w:szCs w:val="20"/>
    </w:rPr>
  </w:style>
  <w:style w:type="paragraph" w:customStyle="1" w:styleId="245">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6">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7">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8">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9">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0">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1">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2">
    <w:name w:val="空项目内容"/>
    <w:basedOn w:val="1"/>
    <w:qFormat/>
    <w:uiPriority w:val="99"/>
    <w:pPr>
      <w:tabs>
        <w:tab w:val="left" w:pos="720"/>
      </w:tabs>
      <w:spacing w:line="360" w:lineRule="auto"/>
      <w:ind w:left="720" w:hanging="720"/>
    </w:pPr>
    <w:rPr>
      <w:sz w:val="24"/>
    </w:rPr>
  </w:style>
  <w:style w:type="paragraph" w:customStyle="1" w:styleId="25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4">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5">
    <w:name w:val="Char2"/>
    <w:basedOn w:val="1"/>
    <w:qFormat/>
    <w:uiPriority w:val="99"/>
    <w:pPr>
      <w:spacing w:line="360" w:lineRule="auto"/>
      <w:ind w:firstLine="200" w:firstLineChars="200"/>
    </w:pPr>
    <w:rPr>
      <w:rFonts w:ascii="Tahoma" w:hAnsi="Tahoma"/>
      <w:sz w:val="24"/>
      <w:szCs w:val="20"/>
    </w:rPr>
  </w:style>
  <w:style w:type="paragraph" w:customStyle="1" w:styleId="256">
    <w:name w:val="标题下列示"/>
    <w:basedOn w:val="257"/>
    <w:next w:val="258"/>
    <w:qFormat/>
    <w:uiPriority w:val="99"/>
    <w:pPr>
      <w:tabs>
        <w:tab w:val="left" w:pos="420"/>
        <w:tab w:val="left" w:pos="1680"/>
      </w:tabs>
      <w:ind w:left="1680"/>
    </w:pPr>
  </w:style>
  <w:style w:type="paragraph" w:customStyle="1" w:styleId="257">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8">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9">
    <w:name w:val="图片"/>
    <w:basedOn w:val="1"/>
    <w:next w:val="260"/>
    <w:qFormat/>
    <w:uiPriority w:val="99"/>
    <w:pPr>
      <w:spacing w:beforeLines="50" w:afterLines="50"/>
      <w:jc w:val="center"/>
    </w:pPr>
  </w:style>
  <w:style w:type="paragraph" w:customStyle="1" w:styleId="260">
    <w:name w:val="图名"/>
    <w:basedOn w:val="1"/>
    <w:next w:val="6"/>
    <w:qFormat/>
    <w:uiPriority w:val="99"/>
    <w:pPr>
      <w:spacing w:line="360" w:lineRule="auto"/>
      <w:jc w:val="center"/>
    </w:pPr>
    <w:rPr>
      <w:rFonts w:ascii="Arial" w:hAnsi="Arial" w:eastAsia="黑体"/>
      <w:b/>
    </w:rPr>
  </w:style>
  <w:style w:type="paragraph" w:customStyle="1" w:styleId="261">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2">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3">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4">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5">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6">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7">
    <w:name w:val="正文文字(ALT+W)"/>
    <w:basedOn w:val="1"/>
    <w:next w:val="6"/>
    <w:qFormat/>
    <w:uiPriority w:val="99"/>
    <w:pPr>
      <w:adjustRightInd w:val="0"/>
      <w:snapToGrid w:val="0"/>
      <w:spacing w:line="360" w:lineRule="auto"/>
      <w:ind w:firstLine="420"/>
    </w:pPr>
    <w:rPr>
      <w:sz w:val="24"/>
      <w:szCs w:val="20"/>
    </w:rPr>
  </w:style>
  <w:style w:type="paragraph" w:customStyle="1" w:styleId="268">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9">
    <w:name w:val="项目"/>
    <w:basedOn w:val="23"/>
    <w:qFormat/>
    <w:uiPriority w:val="99"/>
    <w:pPr>
      <w:autoSpaceDE/>
      <w:autoSpaceDN/>
      <w:adjustRightInd/>
      <w:spacing w:line="240" w:lineRule="auto"/>
      <w:ind w:left="0"/>
      <w:jc w:val="center"/>
    </w:pPr>
    <w:rPr>
      <w:b/>
      <w:sz w:val="24"/>
    </w:rPr>
  </w:style>
  <w:style w:type="paragraph" w:customStyle="1" w:styleId="270">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1">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2">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3">
    <w:name w:val="Char Char Char Char Char Char1 Char Char Char Char Char Char"/>
    <w:basedOn w:val="1"/>
    <w:qFormat/>
    <w:uiPriority w:val="99"/>
    <w:rPr>
      <w:rFonts w:ascii="Tahoma" w:hAnsi="Tahoma"/>
      <w:sz w:val="24"/>
      <w:szCs w:val="20"/>
    </w:rPr>
  </w:style>
  <w:style w:type="paragraph" w:customStyle="1" w:styleId="274">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6">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7">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8">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9">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0">
    <w:name w:val="文本框样式1"/>
    <w:basedOn w:val="1"/>
    <w:qFormat/>
    <w:uiPriority w:val="99"/>
    <w:pPr>
      <w:adjustRightInd w:val="0"/>
      <w:snapToGrid w:val="0"/>
      <w:spacing w:before="60" w:line="180" w:lineRule="exact"/>
      <w:jc w:val="center"/>
    </w:pPr>
    <w:rPr>
      <w:szCs w:val="21"/>
    </w:rPr>
  </w:style>
  <w:style w:type="paragraph" w:customStyle="1" w:styleId="281">
    <w:name w:val="aria"/>
    <w:basedOn w:val="1"/>
    <w:qFormat/>
    <w:uiPriority w:val="99"/>
    <w:pPr>
      <w:spacing w:line="360" w:lineRule="auto"/>
    </w:pPr>
    <w:rPr>
      <w:b/>
      <w:sz w:val="24"/>
    </w:rPr>
  </w:style>
  <w:style w:type="paragraph" w:customStyle="1" w:styleId="282">
    <w:name w:val="首行缩进 1"/>
    <w:basedOn w:val="1"/>
    <w:qFormat/>
    <w:uiPriority w:val="99"/>
    <w:pPr>
      <w:spacing w:after="120" w:line="360" w:lineRule="auto"/>
      <w:ind w:firstLine="200" w:firstLineChars="200"/>
    </w:pPr>
    <w:rPr>
      <w:sz w:val="24"/>
    </w:rPr>
  </w:style>
  <w:style w:type="paragraph" w:customStyle="1" w:styleId="283">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4">
    <w:name w:val="表格"/>
    <w:basedOn w:val="1"/>
    <w:qFormat/>
    <w:uiPriority w:val="99"/>
    <w:pPr>
      <w:jc w:val="left"/>
    </w:pPr>
    <w:rPr>
      <w:bCs/>
      <w:color w:val="000000"/>
      <w:szCs w:val="21"/>
    </w:rPr>
  </w:style>
  <w:style w:type="paragraph" w:customStyle="1" w:styleId="285">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6">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7">
    <w:name w:val="缺省文本"/>
    <w:basedOn w:val="1"/>
    <w:qFormat/>
    <w:uiPriority w:val="99"/>
    <w:pPr>
      <w:autoSpaceDE w:val="0"/>
      <w:autoSpaceDN w:val="0"/>
      <w:adjustRightInd w:val="0"/>
      <w:jc w:val="left"/>
    </w:pPr>
    <w:rPr>
      <w:kern w:val="0"/>
      <w:sz w:val="24"/>
      <w:szCs w:val="20"/>
    </w:rPr>
  </w:style>
  <w:style w:type="paragraph" w:customStyle="1" w:styleId="288">
    <w:name w:val="序4"/>
    <w:basedOn w:val="1"/>
    <w:qFormat/>
    <w:uiPriority w:val="99"/>
    <w:pPr>
      <w:tabs>
        <w:tab w:val="left" w:pos="1680"/>
      </w:tabs>
      <w:spacing w:before="120"/>
      <w:ind w:left="1680" w:hanging="420"/>
      <w:jc w:val="left"/>
    </w:pPr>
    <w:rPr>
      <w:rFonts w:eastAsia="黑体"/>
      <w:b/>
      <w:bCs/>
      <w:caps/>
      <w:sz w:val="24"/>
    </w:rPr>
  </w:style>
  <w:style w:type="paragraph" w:customStyle="1" w:styleId="289">
    <w:name w:val="我的正文下级"/>
    <w:basedOn w:val="1"/>
    <w:qFormat/>
    <w:uiPriority w:val="99"/>
    <w:rPr>
      <w:rFonts w:ascii="仿宋_GB2312" w:hAnsi="宋体" w:eastAsia="仿宋_GB2312"/>
      <w:kern w:val="0"/>
      <w:sz w:val="28"/>
    </w:rPr>
  </w:style>
  <w:style w:type="paragraph" w:customStyle="1" w:styleId="290">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1">
    <w:name w:val="序3"/>
    <w:basedOn w:val="1"/>
    <w:qFormat/>
    <w:uiPriority w:val="99"/>
    <w:pPr>
      <w:tabs>
        <w:tab w:val="left" w:pos="0"/>
        <w:tab w:val="left" w:pos="643"/>
      </w:tabs>
      <w:ind w:left="643" w:hanging="360"/>
    </w:pPr>
    <w:rPr>
      <w:rFonts w:eastAsia="楷体_GB2312"/>
      <w:b/>
      <w:bCs/>
      <w:sz w:val="32"/>
    </w:rPr>
  </w:style>
  <w:style w:type="paragraph" w:customStyle="1" w:styleId="292">
    <w:name w:val="Char Char1 Char Char Char Char1 Char Char Char Char Char Char Char Char Char Char Char Char"/>
    <w:basedOn w:val="1"/>
    <w:qFormat/>
    <w:uiPriority w:val="99"/>
    <w:rPr>
      <w:rFonts w:ascii="Tahoma" w:hAnsi="Tahoma"/>
      <w:sz w:val="24"/>
      <w:szCs w:val="20"/>
    </w:rPr>
  </w:style>
  <w:style w:type="paragraph" w:customStyle="1" w:styleId="293">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4">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5">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6">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7">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8">
    <w:name w:val="*8. General Text"/>
    <w:basedOn w:val="115"/>
    <w:next w:val="115"/>
    <w:qFormat/>
    <w:uiPriority w:val="99"/>
    <w:pPr>
      <w:spacing w:after="120"/>
    </w:pPr>
    <w:rPr>
      <w:color w:val="auto"/>
    </w:rPr>
  </w:style>
  <w:style w:type="paragraph" w:customStyle="1" w:styleId="299">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0">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1">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2">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3">
    <w:name w:val="注释文字"/>
    <w:basedOn w:val="1"/>
    <w:qFormat/>
    <w:uiPriority w:val="99"/>
    <w:pPr>
      <w:tabs>
        <w:tab w:val="left" w:pos="620"/>
        <w:tab w:val="left" w:pos="720"/>
      </w:tabs>
      <w:ind w:left="620" w:hanging="420"/>
      <w:jc w:val="left"/>
    </w:pPr>
    <w:rPr>
      <w:color w:val="008080"/>
      <w:sz w:val="24"/>
      <w:u w:val="words"/>
    </w:rPr>
  </w:style>
  <w:style w:type="paragraph" w:customStyle="1" w:styleId="304">
    <w:name w:val="可研正文"/>
    <w:basedOn w:val="22"/>
    <w:qFormat/>
    <w:uiPriority w:val="99"/>
    <w:pPr>
      <w:adjustRightInd w:val="0"/>
      <w:snapToGrid w:val="0"/>
      <w:spacing w:line="440" w:lineRule="exact"/>
      <w:ind w:firstLine="567"/>
    </w:pPr>
    <w:rPr>
      <w:rFonts w:ascii="仿宋_GB2312" w:eastAsia="仿宋_GB2312"/>
      <w:kern w:val="0"/>
    </w:rPr>
  </w:style>
  <w:style w:type="paragraph" w:customStyle="1" w:styleId="305">
    <w:name w:val="表格文字（大）"/>
    <w:basedOn w:val="1"/>
    <w:qFormat/>
    <w:uiPriority w:val="99"/>
    <w:pPr>
      <w:spacing w:before="20" w:after="20"/>
    </w:pPr>
    <w:rPr>
      <w:rFonts w:ascii="Century Gothic" w:hAnsi="Century Gothic"/>
      <w:sz w:val="24"/>
      <w:szCs w:val="20"/>
    </w:rPr>
  </w:style>
  <w:style w:type="paragraph" w:customStyle="1" w:styleId="306">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7">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8">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9">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1">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2">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3">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4">
    <w:name w:val="gczx正文"/>
    <w:basedOn w:val="1"/>
    <w:qFormat/>
    <w:uiPriority w:val="99"/>
    <w:pPr>
      <w:spacing w:beforeLines="25" w:afterLines="25" w:line="440" w:lineRule="exact"/>
      <w:ind w:firstLine="200" w:firstLineChars="200"/>
    </w:pPr>
    <w:rPr>
      <w:sz w:val="24"/>
      <w:szCs w:val="20"/>
    </w:rPr>
  </w:style>
  <w:style w:type="paragraph" w:customStyle="1" w:styleId="315">
    <w:name w:val="Char1 Char Char Char Char Char"/>
    <w:basedOn w:val="1"/>
    <w:qFormat/>
    <w:uiPriority w:val="99"/>
    <w:pPr>
      <w:adjustRightInd w:val="0"/>
    </w:pPr>
    <w:rPr>
      <w:rFonts w:ascii="Tahoma" w:hAnsi="Tahoma"/>
      <w:sz w:val="24"/>
      <w:szCs w:val="20"/>
    </w:rPr>
  </w:style>
  <w:style w:type="paragraph" w:customStyle="1" w:styleId="316">
    <w:name w:val="序2"/>
    <w:basedOn w:val="1"/>
    <w:qFormat/>
    <w:uiPriority w:val="99"/>
    <w:pPr>
      <w:tabs>
        <w:tab w:val="left" w:pos="360"/>
        <w:tab w:val="left" w:pos="840"/>
      </w:tabs>
      <w:ind w:left="360" w:hanging="360"/>
    </w:pPr>
    <w:rPr>
      <w:rFonts w:eastAsia="黑体"/>
      <w:b/>
      <w:bCs/>
      <w:sz w:val="44"/>
    </w:rPr>
  </w:style>
  <w:style w:type="paragraph" w:customStyle="1" w:styleId="317">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8">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9">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0">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1">
    <w:name w:val="编号正文"/>
    <w:basedOn w:val="205"/>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2">
    <w:name w:val="楷体粗正文文字"/>
    <w:basedOn w:val="1"/>
    <w:next w:val="47"/>
    <w:qFormat/>
    <w:uiPriority w:val="99"/>
    <w:pPr>
      <w:snapToGrid w:val="0"/>
      <w:spacing w:line="480" w:lineRule="exact"/>
      <w:ind w:firstLine="560"/>
    </w:pPr>
    <w:rPr>
      <w:sz w:val="28"/>
      <w:szCs w:val="20"/>
    </w:rPr>
  </w:style>
  <w:style w:type="paragraph" w:customStyle="1" w:styleId="323">
    <w:name w:val="标题下列示顺序"/>
    <w:basedOn w:val="258"/>
    <w:qFormat/>
    <w:uiPriority w:val="99"/>
    <w:pPr>
      <w:tabs>
        <w:tab w:val="left" w:pos="1680"/>
      </w:tabs>
      <w:ind w:left="1680" w:leftChars="0" w:hanging="420"/>
    </w:pPr>
  </w:style>
  <w:style w:type="paragraph" w:customStyle="1" w:styleId="324">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5">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6">
    <w:name w:val="招标文件》"/>
    <w:basedOn w:val="231"/>
    <w:qFormat/>
    <w:uiPriority w:val="99"/>
    <w:pPr>
      <w:tabs>
        <w:tab w:val="left" w:pos="560"/>
      </w:tabs>
      <w:ind w:left="200" w:firstLine="0" w:firstLineChars="0"/>
    </w:pPr>
  </w:style>
  <w:style w:type="paragraph" w:customStyle="1" w:styleId="327">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8">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9">
    <w:name w:val="1 Char"/>
    <w:basedOn w:val="1"/>
    <w:qFormat/>
    <w:uiPriority w:val="99"/>
    <w:rPr>
      <w:rFonts w:ascii="Tahoma" w:hAnsi="Tahoma"/>
      <w:sz w:val="24"/>
      <w:szCs w:val="20"/>
    </w:rPr>
  </w:style>
  <w:style w:type="paragraph" w:customStyle="1" w:styleId="330">
    <w:name w:val="*4. Head 1"/>
    <w:basedOn w:val="115"/>
    <w:next w:val="115"/>
    <w:qFormat/>
    <w:uiPriority w:val="99"/>
    <w:pPr>
      <w:spacing w:before="180" w:after="60"/>
    </w:pPr>
    <w:rPr>
      <w:rFonts w:ascii="Arial" w:hAnsi="Arial"/>
      <w:color w:val="auto"/>
    </w:rPr>
  </w:style>
  <w:style w:type="paragraph" w:customStyle="1" w:styleId="331">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2">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3">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4">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5">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6">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7">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8">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9">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1">
    <w:name w:val="默认段落字体 Para Char"/>
    <w:basedOn w:val="1"/>
    <w:qFormat/>
    <w:uiPriority w:val="99"/>
    <w:rPr>
      <w:rFonts w:ascii="Tahoma" w:hAnsi="Tahoma"/>
      <w:sz w:val="24"/>
      <w:szCs w:val="20"/>
    </w:rPr>
  </w:style>
  <w:style w:type="paragraph" w:customStyle="1" w:styleId="342">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3">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4">
    <w:name w:val="表格首行"/>
    <w:basedOn w:val="1"/>
    <w:qFormat/>
    <w:uiPriority w:val="99"/>
    <w:pPr>
      <w:jc w:val="center"/>
    </w:pPr>
    <w:rPr>
      <w:rFonts w:ascii="宋体" w:hAnsi="宋体"/>
    </w:rPr>
  </w:style>
  <w:style w:type="paragraph" w:customStyle="1" w:styleId="345">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6">
    <w:name w:val="黑正体次次级"/>
    <w:basedOn w:val="297"/>
    <w:qFormat/>
    <w:uiPriority w:val="99"/>
    <w:pPr>
      <w:tabs>
        <w:tab w:val="left" w:pos="425"/>
      </w:tabs>
      <w:ind w:left="1417" w:hanging="425"/>
    </w:pPr>
    <w:rPr>
      <w:i/>
      <w:sz w:val="20"/>
    </w:rPr>
  </w:style>
  <w:style w:type="paragraph" w:customStyle="1" w:styleId="347">
    <w:name w:val="Char11"/>
    <w:basedOn w:val="1"/>
    <w:qFormat/>
    <w:uiPriority w:val="0"/>
    <w:rPr>
      <w:rFonts w:ascii="宋体" w:hAnsi="宋体"/>
      <w:sz w:val="24"/>
      <w:szCs w:val="20"/>
    </w:rPr>
  </w:style>
  <w:style w:type="paragraph" w:customStyle="1" w:styleId="348">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9">
    <w:name w:val="注释"/>
    <w:basedOn w:val="1"/>
    <w:qFormat/>
    <w:uiPriority w:val="99"/>
    <w:pPr>
      <w:shd w:val="clear" w:color="auto" w:fill="E0E0E0"/>
      <w:spacing w:beforeLines="50" w:afterLines="50"/>
    </w:pPr>
    <w:rPr>
      <w:rFonts w:ascii="Arial" w:hAnsi="Arial" w:eastAsia="仿宋_GB2312"/>
    </w:rPr>
  </w:style>
  <w:style w:type="paragraph" w:customStyle="1" w:styleId="350">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1">
    <w:name w:val="apple-converted-space"/>
    <w:qFormat/>
    <w:uiPriority w:val="0"/>
  </w:style>
  <w:style w:type="paragraph" w:customStyle="1" w:styleId="352">
    <w:name w:val="Normal Paragraph"/>
    <w:basedOn w:val="1"/>
    <w:link w:val="364"/>
    <w:qFormat/>
    <w:uiPriority w:val="0"/>
    <w:pPr>
      <w:widowControl/>
      <w:spacing w:before="120" w:line="360" w:lineRule="auto"/>
      <w:ind w:firstLine="425"/>
    </w:pPr>
    <w:rPr>
      <w:kern w:val="0"/>
      <w:sz w:val="24"/>
    </w:rPr>
  </w:style>
  <w:style w:type="paragraph" w:customStyle="1" w:styleId="353">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4">
    <w:name w:val="NeusoftPMS正文"/>
    <w:basedOn w:val="1"/>
    <w:link w:val="355"/>
    <w:qFormat/>
    <w:uiPriority w:val="0"/>
    <w:pPr>
      <w:widowControl/>
      <w:ind w:firstLine="200" w:firstLineChars="200"/>
      <w:jc w:val="left"/>
    </w:pPr>
    <w:rPr>
      <w:szCs w:val="20"/>
    </w:rPr>
  </w:style>
  <w:style w:type="character" w:customStyle="1" w:styleId="355">
    <w:name w:val="NeusoftPMS正文 Char"/>
    <w:link w:val="354"/>
    <w:qFormat/>
    <w:uiPriority w:val="0"/>
    <w:rPr>
      <w:kern w:val="2"/>
      <w:sz w:val="21"/>
    </w:rPr>
  </w:style>
  <w:style w:type="character" w:customStyle="1" w:styleId="356">
    <w:name w:val="明显参考1"/>
    <w:qFormat/>
    <w:uiPriority w:val="32"/>
    <w:rPr>
      <w:b/>
      <w:bCs/>
      <w:smallCaps/>
      <w:color w:val="4F81BD"/>
      <w:spacing w:val="5"/>
    </w:rPr>
  </w:style>
  <w:style w:type="paragraph" w:customStyle="1" w:styleId="357">
    <w:name w:val="QB正文"/>
    <w:basedOn w:val="1"/>
    <w:qFormat/>
    <w:uiPriority w:val="0"/>
    <w:pPr>
      <w:widowControl/>
      <w:autoSpaceDE w:val="0"/>
      <w:autoSpaceDN w:val="0"/>
      <w:ind w:firstLine="200" w:firstLineChars="200"/>
    </w:pPr>
    <w:rPr>
      <w:rFonts w:ascii="宋体"/>
      <w:kern w:val="0"/>
      <w:szCs w:val="20"/>
    </w:rPr>
  </w:style>
  <w:style w:type="paragraph" w:customStyle="1" w:styleId="358">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60">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1">
    <w:name w:val="样式 仿宋_GB2312 小四"/>
    <w:qFormat/>
    <w:uiPriority w:val="0"/>
    <w:rPr>
      <w:rFonts w:ascii="仿宋_GB2312" w:hAnsi="仿宋_GB2312" w:eastAsia="仿宋_GB2312"/>
      <w:sz w:val="24"/>
    </w:rPr>
  </w:style>
  <w:style w:type="paragraph" w:customStyle="1" w:styleId="362">
    <w:name w:val="kevin标题1"/>
    <w:basedOn w:val="1"/>
    <w:qFormat/>
    <w:uiPriority w:val="0"/>
    <w:pPr>
      <w:spacing w:afterLines="50"/>
      <w:ind w:left="1" w:firstLine="538" w:firstLineChars="192"/>
    </w:pPr>
    <w:rPr>
      <w:rFonts w:eastAsia="黑体"/>
      <w:sz w:val="24"/>
      <w:szCs w:val="20"/>
    </w:rPr>
  </w:style>
  <w:style w:type="character" w:customStyle="1" w:styleId="363">
    <w:name w:val="msonormal1"/>
    <w:qFormat/>
    <w:uiPriority w:val="0"/>
  </w:style>
  <w:style w:type="character" w:customStyle="1" w:styleId="364">
    <w:name w:val="Normal Paragraph Char1"/>
    <w:link w:val="352"/>
    <w:qFormat/>
    <w:locked/>
    <w:uiPriority w:val="0"/>
    <w:rPr>
      <w:sz w:val="24"/>
      <w:szCs w:val="24"/>
    </w:rPr>
  </w:style>
  <w:style w:type="character" w:customStyle="1" w:styleId="365">
    <w:name w:val="未处理的提及1"/>
    <w:basedOn w:val="56"/>
    <w:semiHidden/>
    <w:unhideWhenUsed/>
    <w:qFormat/>
    <w:uiPriority w:val="99"/>
    <w:rPr>
      <w:color w:val="605E5C"/>
      <w:shd w:val="clear" w:color="auto" w:fill="E1DFDD"/>
    </w:rPr>
  </w:style>
  <w:style w:type="character" w:customStyle="1" w:styleId="366">
    <w:name w:val="3级标题 Char"/>
    <w:link w:val="367"/>
    <w:qFormat/>
    <w:uiPriority w:val="0"/>
    <w:rPr>
      <w:b/>
    </w:rPr>
  </w:style>
  <w:style w:type="paragraph" w:customStyle="1" w:styleId="367">
    <w:name w:val="3级标题"/>
    <w:basedOn w:val="1"/>
    <w:link w:val="366"/>
    <w:qFormat/>
    <w:uiPriority w:val="0"/>
    <w:pPr>
      <w:spacing w:line="360" w:lineRule="auto"/>
      <w:outlineLvl w:val="1"/>
    </w:pPr>
    <w:rPr>
      <w:b/>
    </w:rPr>
  </w:style>
  <w:style w:type="paragraph" w:customStyle="1" w:styleId="368">
    <w:name w:val="4级标题"/>
    <w:basedOn w:val="1"/>
    <w:qFormat/>
    <w:uiPriority w:val="0"/>
    <w:pPr>
      <w:numPr>
        <w:ilvl w:val="1"/>
        <w:numId w:val="3"/>
      </w:numPr>
      <w:spacing w:line="360" w:lineRule="auto"/>
      <w:outlineLvl w:val="2"/>
    </w:pPr>
  </w:style>
  <w:style w:type="paragraph" w:customStyle="1" w:styleId="369">
    <w:name w:val="whh正文"/>
    <w:basedOn w:val="1"/>
    <w:qFormat/>
    <w:uiPriority w:val="0"/>
    <w:pPr>
      <w:adjustRightInd w:val="0"/>
      <w:snapToGrid w:val="0"/>
      <w:spacing w:line="360" w:lineRule="auto"/>
      <w:ind w:firstLine="420"/>
    </w:pPr>
    <w:rPr>
      <w:rFonts w:ascii="宋体" w:hAnsi="宋体"/>
      <w:szCs w:val="21"/>
    </w:rPr>
  </w:style>
  <w:style w:type="paragraph" w:customStyle="1" w:styleId="37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1">
    <w:name w:val="项"/>
    <w:basedOn w:val="1"/>
    <w:qFormat/>
    <w:uiPriority w:val="0"/>
    <w:pPr>
      <w:numPr>
        <w:ilvl w:val="0"/>
        <w:numId w:val="4"/>
      </w:numPr>
      <w:spacing w:line="360" w:lineRule="auto"/>
    </w:pPr>
    <w:rPr>
      <w:sz w:val="24"/>
    </w:rPr>
  </w:style>
  <w:style w:type="paragraph" w:customStyle="1" w:styleId="37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49</Pages>
  <Words>19098</Words>
  <Characters>19827</Characters>
  <Lines>158</Lines>
  <Paragraphs>44</Paragraphs>
  <TotalTime>119</TotalTime>
  <ScaleCrop>false</ScaleCrop>
  <LinksUpToDate>false</LinksUpToDate>
  <CharactersWithSpaces>20721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2022-05-07T07:41:00Z</dcterms:created>
  <dc:creator>Administrator</dc:creator>
  <cp:lastModifiedBy>Ccyu.</cp:lastModifiedBy>
  <cp:lastPrinted>2017-04-10T13:36:00Z</cp:lastPrinted>
  <dcterms:modified xsi:type="dcterms:W3CDTF">2022-05-09T07:35:48Z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B82E67C4A6CA4459873763F1F428A5D9</vt:lpwstr>
  </property>
</Properties>
</file>