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bookmarkStart w:id="102" w:name="_GoBack"/>
      <w:bookmarkEnd w:id="102"/>
    </w:p>
    <w:p>
      <w:pPr>
        <w:spacing w:line="360" w:lineRule="auto"/>
        <w:ind w:firstLine="560"/>
        <w:rPr>
          <w:rFonts w:eastAsia="仿宋_GB2312"/>
          <w:sz w:val="28"/>
          <w:szCs w:val="28"/>
        </w:rPr>
      </w:pPr>
    </w:p>
    <w:p>
      <w:pPr>
        <w:spacing w:line="360" w:lineRule="auto"/>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6265491"/>
      <w:bookmarkStart w:id="2" w:name="_Toc227057880"/>
      <w:r>
        <w:rPr>
          <w:rFonts w:hint="eastAsia" w:ascii="黑体" w:hAnsi="宋体" w:eastAsia="黑体"/>
          <w:sz w:val="44"/>
          <w:szCs w:val="44"/>
        </w:rPr>
        <w:t>内容集成注入系统优化改造采购</w:t>
      </w:r>
      <w:bookmarkEnd w:id="1"/>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b/>
          <w:sz w:val="28"/>
          <w:szCs w:val="28"/>
        </w:rPr>
      </w:pPr>
      <w:r>
        <w:rPr>
          <w:rFonts w:hint="eastAsia"/>
          <w:b/>
          <w:sz w:val="28"/>
          <w:szCs w:val="28"/>
        </w:rPr>
        <w:t>采购人：</w:t>
      </w:r>
      <w:r>
        <w:rPr>
          <w:b/>
          <w:sz w:val="28"/>
          <w:szCs w:val="28"/>
        </w:rPr>
        <w:t>江苏省广电有线信息网络股份有限公司</w:t>
      </w:r>
    </w:p>
    <w:p>
      <w:pPr>
        <w:spacing w:after="120" w:line="360" w:lineRule="auto"/>
        <w:jc w:val="center"/>
        <w:rPr>
          <w:b/>
          <w:sz w:val="28"/>
          <w:szCs w:val="28"/>
        </w:rPr>
      </w:pPr>
      <w:r>
        <w:rPr>
          <w:rFonts w:hint="eastAsia"/>
          <w:b/>
          <w:sz w:val="28"/>
          <w:szCs w:val="28"/>
        </w:rPr>
        <w:t>安播运维部</w:t>
      </w:r>
    </w:p>
    <w:p>
      <w:pPr>
        <w:pStyle w:val="2"/>
        <w:adjustRightInd w:val="0"/>
        <w:snapToGrid w:val="0"/>
        <w:spacing w:before="380" w:beforeLines="100" w:after="380" w:afterLines="100"/>
        <w:ind w:right="210" w:rightChars="100"/>
        <w:jc w:val="center"/>
        <w:rPr>
          <w:b/>
          <w:bCs/>
          <w:szCs w:val="28"/>
        </w:rPr>
      </w:pPr>
      <w:r>
        <w:rPr>
          <w:rFonts w:hint="eastAsia"/>
          <w:b/>
          <w:szCs w:val="28"/>
        </w:rPr>
        <w:t>二〇二二年六月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rPr>
          <w:color w:val="auto"/>
        </w:rP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color w:val="auto"/>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color w:val="auto"/>
        </w:rPr>
        <w:t>第二章竞争性磋商须知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color w:val="auto"/>
        </w:rPr>
        <w:t>第三章评审办法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color w:val="auto"/>
        </w:rPr>
        <w:t>第四章合同格式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color w:val="auto"/>
        </w:rPr>
        <w:t>第五章技术需求书</w:t>
      </w:r>
      <w:r>
        <w:tab/>
      </w:r>
      <w:r>
        <w:fldChar w:fldCharType="end"/>
      </w:r>
      <w:r>
        <w:t>29</w:t>
      </w:r>
    </w:p>
    <w:p>
      <w:pPr>
        <w:pStyle w:val="38"/>
      </w:pPr>
      <w:r>
        <w:fldChar w:fldCharType="begin"/>
      </w:r>
      <w:r>
        <w:instrText xml:space="preserve"> HYPERLINK \l "_Toc69378657" </w:instrText>
      </w:r>
      <w:r>
        <w:fldChar w:fldCharType="separate"/>
      </w:r>
      <w:r>
        <w:rPr>
          <w:rStyle w:val="60"/>
          <w:rFonts w:hint="eastAsia"/>
          <w:b/>
          <w:bCs/>
          <w:color w:val="auto"/>
          <w:kern w:val="44"/>
        </w:rPr>
        <w:t>第六章竞争性磋商响应文件格式</w:t>
      </w:r>
      <w:r>
        <w:tab/>
      </w:r>
      <w:r>
        <w:rPr>
          <w:rFonts w:hint="eastAsia"/>
        </w:rPr>
        <w:t>3</w:t>
      </w:r>
      <w:r>
        <w:rPr>
          <w:rFonts w:hint="eastAsia"/>
        </w:rPr>
        <w:fldChar w:fldCharType="end"/>
      </w:r>
      <w:r>
        <w:t>7</w:t>
      </w:r>
    </w:p>
    <w:p>
      <w:pPr>
        <w:pStyle w:val="38"/>
      </w:pPr>
      <w:r>
        <w:rPr>
          <w:rFonts w:hint="eastAsia"/>
          <w:b/>
          <w:bCs/>
          <w:kern w:val="44"/>
        </w:rPr>
        <w:t>第七章其他</w:t>
      </w:r>
      <w:r>
        <w:tab/>
      </w:r>
      <w:r>
        <w:t>54</w:t>
      </w:r>
    </w:p>
    <w:p>
      <w:pPr>
        <w:rPr>
          <w:rFonts w:ascii="Calibri" w:hAnsi="Calibri"/>
          <w:caps/>
          <w:szCs w:val="22"/>
        </w:rPr>
      </w:pP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第一章竞争性磋商公告</w:t>
      </w:r>
      <w:bookmarkEnd w:id="3"/>
    </w:p>
    <w:bookmarkEnd w:id="2"/>
    <w:p>
      <w:pPr>
        <w:spacing w:line="360" w:lineRule="auto"/>
        <w:rPr>
          <w:rFonts w:ascii="宋体" w:hAnsi="宋体"/>
          <w:b/>
          <w:sz w:val="24"/>
        </w:rPr>
      </w:pPr>
      <w:bookmarkStart w:id="4" w:name="_Hlk106265513"/>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江苏省广电有线信息网络股份有限公司内容集成注入系统优化改造项目</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szCs w:val="21"/>
              </w:rPr>
            </w:pPr>
            <w:r>
              <w:rPr>
                <w:rFonts w:hint="eastAsia" w:ascii="Calibri" w:hAnsi="Calibri"/>
                <w:b/>
                <w:szCs w:val="21"/>
              </w:rPr>
              <w:t>序号</w:t>
            </w:r>
          </w:p>
        </w:tc>
        <w:tc>
          <w:tcPr>
            <w:tcW w:w="4321" w:type="dxa"/>
            <w:vAlign w:val="center"/>
          </w:tcPr>
          <w:p>
            <w:pPr>
              <w:spacing w:line="400" w:lineRule="exact"/>
              <w:jc w:val="center"/>
              <w:rPr>
                <w:rFonts w:ascii="Calibri" w:hAnsi="Calibri"/>
                <w:b/>
                <w:szCs w:val="21"/>
              </w:rPr>
            </w:pPr>
            <w:r>
              <w:rPr>
                <w:rFonts w:hint="eastAsia" w:ascii="Calibri" w:hAnsi="Calibri"/>
                <w:b/>
                <w:szCs w:val="21"/>
              </w:rPr>
              <w:t>采购名称</w:t>
            </w:r>
          </w:p>
        </w:tc>
        <w:tc>
          <w:tcPr>
            <w:tcW w:w="2248" w:type="dxa"/>
            <w:vAlign w:val="center"/>
          </w:tcPr>
          <w:p>
            <w:pPr>
              <w:spacing w:line="400" w:lineRule="exact"/>
              <w:jc w:val="center"/>
              <w:rPr>
                <w:rFonts w:ascii="Calibri" w:hAnsi="Calibri"/>
                <w:b/>
                <w:szCs w:val="21"/>
              </w:rPr>
            </w:pPr>
            <w:r>
              <w:rPr>
                <w:rFonts w:hint="eastAsia" w:ascii="Calibri" w:hAnsi="Calibri"/>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szCs w:val="21"/>
              </w:rPr>
            </w:pPr>
            <w:r>
              <w:rPr>
                <w:szCs w:val="21"/>
              </w:rPr>
              <w:t>1</w:t>
            </w:r>
          </w:p>
        </w:tc>
        <w:tc>
          <w:tcPr>
            <w:tcW w:w="4321" w:type="dxa"/>
            <w:vAlign w:val="center"/>
          </w:tcPr>
          <w:p>
            <w:pPr>
              <w:spacing w:line="400" w:lineRule="exact"/>
              <w:jc w:val="center"/>
              <w:rPr>
                <w:szCs w:val="21"/>
              </w:rPr>
            </w:pPr>
            <w:r>
              <w:rPr>
                <w:rFonts w:hint="eastAsia" w:ascii="宋体" w:hAnsi="宋体"/>
                <w:sz w:val="24"/>
              </w:rPr>
              <w:t>内容集成注入系统</w:t>
            </w:r>
          </w:p>
        </w:tc>
        <w:tc>
          <w:tcPr>
            <w:tcW w:w="2248" w:type="dxa"/>
            <w:vAlign w:val="center"/>
          </w:tcPr>
          <w:p>
            <w:pPr>
              <w:spacing w:line="400" w:lineRule="exact"/>
              <w:jc w:val="center"/>
              <w:rPr>
                <w:szCs w:val="21"/>
              </w:rPr>
            </w:pPr>
            <w:r>
              <w:rPr>
                <w:rFonts w:hint="eastAsia"/>
                <w:szCs w:val="21"/>
              </w:rPr>
              <w:t>1套</w:t>
            </w:r>
          </w:p>
        </w:tc>
      </w:tr>
    </w:tbl>
    <w:p>
      <w:pPr>
        <w:spacing w:line="360" w:lineRule="auto"/>
        <w:rPr>
          <w:rFonts w:ascii="宋体" w:hAnsi="宋体" w:cs="宋体"/>
          <w:kern w:val="0"/>
          <w:sz w:val="24"/>
        </w:rPr>
      </w:pP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420"/>
        <w:rPr>
          <w:rFonts w:ascii="宋体" w:hAnsi="宋体" w:cs="宋体"/>
          <w:kern w:val="0"/>
          <w:sz w:val="24"/>
          <w:u w:val="single"/>
        </w:rPr>
      </w:pPr>
      <w:r>
        <w:rPr>
          <w:rFonts w:hint="eastAsia" w:ascii="宋体" w:hAnsi="宋体" w:cs="宋体"/>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w:t>
      </w:r>
      <w:r>
        <w:rPr>
          <w:rFonts w:ascii="宋体" w:hAnsi="宋体" w:cs="宋体"/>
          <w:kern w:val="0"/>
          <w:sz w:val="24"/>
          <w:szCs w:val="22"/>
        </w:rPr>
        <w:t>.</w:t>
      </w:r>
      <w:r>
        <w:rPr>
          <w:rFonts w:hint="eastAsia" w:ascii="宋体" w:hAnsi="宋体" w:cs="宋体"/>
          <w:kern w:val="0"/>
          <w:sz w:val="24"/>
          <w:szCs w:val="22"/>
        </w:rPr>
        <w:t>供应商须出具经第三方审计2019年度和20</w:t>
      </w:r>
      <w:r>
        <w:rPr>
          <w:rFonts w:ascii="宋体" w:hAnsi="宋体" w:cs="宋体"/>
          <w:kern w:val="0"/>
          <w:sz w:val="24"/>
          <w:szCs w:val="22"/>
        </w:rPr>
        <w:t>2</w:t>
      </w:r>
      <w:r>
        <w:rPr>
          <w:rFonts w:hint="eastAsia" w:ascii="宋体" w:hAnsi="宋体" w:cs="宋体"/>
          <w:kern w:val="0"/>
          <w:sz w:val="24"/>
          <w:szCs w:val="22"/>
        </w:rPr>
        <w:t>0年度的财务报表，至少包括文字性报告及资产负债表、现金流量表、利润表。</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3</w:t>
      </w:r>
      <w:r>
        <w:rPr>
          <w:rFonts w:hint="eastAsia" w:ascii="宋体" w:hAnsi="宋体" w:cs="宋体"/>
          <w:kern w:val="0"/>
          <w:sz w:val="24"/>
          <w:szCs w:val="22"/>
        </w:rPr>
        <w:t>.供应商须具有良好的业绩和经验，自2019年1月1日至响应截止日前在国内相关行业实施过类似项目。（提供合同复印件，原件备查）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4</w:t>
      </w:r>
      <w:r>
        <w:rPr>
          <w:rFonts w:hint="eastAsia" w:ascii="宋体" w:hAnsi="宋体" w:cs="宋体"/>
          <w:kern w:val="0"/>
          <w:sz w:val="24"/>
          <w:szCs w:val="22"/>
        </w:rPr>
        <w:t>.供应商须是磋商货物/服务的制造商或获得所投货物/服务制造商针对本项目的授权代理商，制造商和授权代理商不得同时参与本项目。（代理商提供授权书原件并加盖公章）</w:t>
      </w:r>
    </w:p>
    <w:p>
      <w:pPr>
        <w:tabs>
          <w:tab w:val="left" w:pos="704"/>
        </w:tabs>
        <w:spacing w:line="360" w:lineRule="auto"/>
        <w:ind w:firstLine="480" w:firstLineChars="200"/>
        <w:rPr>
          <w:rFonts w:ascii="宋体" w:hAnsi="宋体" w:cs="宋体"/>
          <w:kern w:val="0"/>
          <w:sz w:val="24"/>
          <w:szCs w:val="22"/>
        </w:rPr>
      </w:pPr>
      <w:r>
        <w:rPr>
          <w:rFonts w:hint="eastAsia" w:ascii="宋体" w:hAnsi="宋体" w:cs="宋体"/>
          <w:kern w:val="0"/>
          <w:sz w:val="24"/>
          <w:szCs w:val="22"/>
        </w:rPr>
        <w:t>5.供应商须在南京本地有常驻技术支持机构且配备不少于</w:t>
      </w:r>
      <w:r>
        <w:rPr>
          <w:rFonts w:ascii="宋体" w:hAnsi="宋体" w:cs="宋体"/>
          <w:kern w:val="0"/>
          <w:sz w:val="24"/>
          <w:szCs w:val="22"/>
        </w:rPr>
        <w:t>3名技术支持人员，提供证明材料及技术支持人员自2021</w:t>
      </w:r>
      <w:r>
        <w:rPr>
          <w:rFonts w:hint="eastAsia" w:ascii="宋体" w:hAnsi="宋体" w:cs="宋体"/>
          <w:kern w:val="0"/>
          <w:sz w:val="24"/>
          <w:szCs w:val="22"/>
        </w:rPr>
        <w:t>年</w:t>
      </w:r>
      <w:r>
        <w:rPr>
          <w:rFonts w:ascii="宋体" w:hAnsi="宋体" w:cs="宋体"/>
          <w:kern w:val="0"/>
          <w:sz w:val="24"/>
          <w:szCs w:val="22"/>
        </w:rPr>
        <w:t>1月至今的社保证明</w:t>
      </w:r>
      <w:r>
        <w:rPr>
          <w:rFonts w:hint="eastAsia" w:ascii="宋体" w:hAnsi="宋体" w:cs="宋体"/>
          <w:kern w:val="0"/>
          <w:sz w:val="24"/>
          <w:szCs w:val="22"/>
        </w:rPr>
        <w:t>，同时须在我司办公点配备至少</w:t>
      </w:r>
      <w:r>
        <w:rPr>
          <w:rFonts w:ascii="宋体" w:hAnsi="宋体" w:cs="宋体"/>
          <w:kern w:val="0"/>
          <w:sz w:val="24"/>
          <w:szCs w:val="22"/>
        </w:rPr>
        <w:t>1</w:t>
      </w:r>
      <w:r>
        <w:rPr>
          <w:rFonts w:hint="eastAsia" w:ascii="宋体" w:hAnsi="宋体" w:cs="宋体"/>
          <w:kern w:val="0"/>
          <w:sz w:val="24"/>
          <w:szCs w:val="22"/>
        </w:rPr>
        <w:t>名熟悉所提供的产品的长期驻场技术人员进行运维支持。如供应商在南京尚未设立常设技术支持机构，供应商应承诺在中标后</w:t>
      </w:r>
      <w:r>
        <w:rPr>
          <w:rFonts w:ascii="宋体" w:hAnsi="宋体" w:cs="宋体"/>
          <w:kern w:val="0"/>
          <w:sz w:val="24"/>
          <w:szCs w:val="22"/>
        </w:rPr>
        <w:t>30天内在南京设立技术支持机构并配备不少于3名技术支持人员（提供承诺函</w:t>
      </w:r>
      <w:r>
        <w:rPr>
          <w:rFonts w:hint="eastAsia" w:ascii="宋体" w:hAnsi="宋体" w:cs="宋体"/>
          <w:kern w:val="0"/>
          <w:sz w:val="24"/>
          <w:szCs w:val="22"/>
          <w:lang w:eastAsia="zh-Hans"/>
        </w:rPr>
        <w:t>原件并</w:t>
      </w:r>
      <w:r>
        <w:rPr>
          <w:rFonts w:hint="eastAsia" w:ascii="宋体" w:hAnsi="宋体" w:cs="宋体"/>
          <w:kern w:val="0"/>
          <w:sz w:val="24"/>
          <w:szCs w:val="22"/>
        </w:rPr>
        <w:t>加盖公章）。</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服务时，不存在任何已知的不合法的情形，也不存在任何已知的与第三方专利权、著作权、商标权或工业设计权相关的任何争议。如果有任何因采购人使用供应商提供的货物/服务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kern w:val="0"/>
          <w:sz w:val="24"/>
          <w:shd w:val="clear" w:color="auto" w:fill="FFFFFF"/>
        </w:rPr>
        <w:t>四、竞争性磋商文件的获取</w:t>
      </w:r>
    </w:p>
    <w:p>
      <w:pPr>
        <w:widowControl/>
        <w:spacing w:line="360" w:lineRule="auto"/>
        <w:ind w:firstLine="420"/>
        <w:jc w:val="left"/>
        <w:rPr>
          <w:rFonts w:ascii="宋体" w:hAnsi="宋体" w:cs="宋体"/>
          <w:kern w:val="0"/>
          <w:sz w:val="24"/>
          <w:shd w:val="clear" w:color="auto" w:fill="FFFFFF"/>
        </w:rPr>
      </w:pPr>
      <w:r>
        <w:rPr>
          <w:rFonts w:hint="eastAsia" w:ascii="宋体" w:hAnsi="宋体" w:cs="宋体"/>
          <w:kern w:val="0"/>
          <w:sz w:val="24"/>
          <w:shd w:val="clear" w:color="auto" w:fill="FFFFFF"/>
        </w:rPr>
        <w:t>发布及登记时间：</w:t>
      </w:r>
      <w:r>
        <w:rPr>
          <w:rFonts w:ascii="宋体" w:hAnsi="宋体" w:cs="宋体"/>
          <w:kern w:val="0"/>
          <w:sz w:val="24"/>
          <w:shd w:val="clear" w:color="auto" w:fill="FFFFFF"/>
        </w:rPr>
        <w:t>202</w:t>
      </w:r>
      <w:r>
        <w:rPr>
          <w:rFonts w:hint="eastAsia" w:ascii="宋体" w:hAnsi="宋体" w:cs="宋体"/>
          <w:kern w:val="0"/>
          <w:sz w:val="24"/>
          <w:shd w:val="clear" w:color="auto" w:fill="FFFFFF"/>
        </w:rPr>
        <w:t>2</w:t>
      </w:r>
      <w:r>
        <w:rPr>
          <w:rFonts w:ascii="宋体" w:hAnsi="宋体" w:cs="宋体"/>
          <w:kern w:val="0"/>
          <w:sz w:val="24"/>
          <w:shd w:val="clear" w:color="auto" w:fill="FFFFFF"/>
        </w:rPr>
        <w:t>年6</w:t>
      </w:r>
      <w:r>
        <w:rPr>
          <w:rFonts w:hint="eastAsia" w:ascii="宋体" w:hAnsi="宋体" w:cs="宋体"/>
          <w:kern w:val="0"/>
          <w:sz w:val="24"/>
          <w:shd w:val="clear" w:color="auto" w:fill="FFFFFF"/>
        </w:rPr>
        <w:t>月</w:t>
      </w:r>
      <w:r>
        <w:rPr>
          <w:rFonts w:ascii="宋体" w:hAnsi="宋体" w:cs="宋体"/>
          <w:kern w:val="0"/>
          <w:sz w:val="24"/>
          <w:shd w:val="clear" w:color="auto" w:fill="FFFFFF"/>
        </w:rPr>
        <w:t>17日至202</w:t>
      </w:r>
      <w:r>
        <w:rPr>
          <w:rFonts w:hint="eastAsia" w:ascii="宋体" w:hAnsi="宋体" w:cs="宋体"/>
          <w:kern w:val="0"/>
          <w:sz w:val="24"/>
          <w:shd w:val="clear" w:color="auto" w:fill="FFFFFF"/>
        </w:rPr>
        <w:t>2</w:t>
      </w:r>
      <w:r>
        <w:rPr>
          <w:rFonts w:ascii="宋体" w:hAnsi="宋体" w:cs="宋体"/>
          <w:kern w:val="0"/>
          <w:sz w:val="24"/>
          <w:shd w:val="clear" w:color="auto" w:fill="FFFFFF"/>
        </w:rPr>
        <w:t>年6</w:t>
      </w:r>
      <w:r>
        <w:rPr>
          <w:rFonts w:hint="eastAsia" w:ascii="宋体" w:hAnsi="宋体" w:cs="宋体"/>
          <w:kern w:val="0"/>
          <w:sz w:val="24"/>
          <w:shd w:val="clear" w:color="auto" w:fill="FFFFFF"/>
        </w:rPr>
        <w:t>月</w:t>
      </w:r>
      <w:r>
        <w:rPr>
          <w:rFonts w:ascii="宋体" w:hAnsi="宋体" w:cs="宋体"/>
          <w:kern w:val="0"/>
          <w:sz w:val="24"/>
          <w:shd w:val="clear" w:color="auto" w:fill="FFFFFF"/>
        </w:rPr>
        <w:t>21日止，每日上午9：00-12：00，下午14：00-17：00（北京时间）。</w:t>
      </w:r>
    </w:p>
    <w:p>
      <w:pPr>
        <w:widowControl/>
        <w:spacing w:line="360" w:lineRule="auto"/>
        <w:ind w:firstLine="420"/>
        <w:jc w:val="left"/>
        <w:rPr>
          <w:rFonts w:ascii="宋体" w:hAnsi="宋体" w:cs="宋体"/>
          <w:kern w:val="0"/>
          <w:sz w:val="24"/>
          <w:shd w:val="clear" w:color="auto" w:fill="FFFFFF"/>
        </w:rPr>
      </w:pPr>
      <w:r>
        <w:rPr>
          <w:rFonts w:hint="eastAsia" w:ascii="宋体" w:hAnsi="宋体" w:cs="宋体"/>
          <w:kern w:val="0"/>
          <w:sz w:val="24"/>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kern w:val="0"/>
          <w:sz w:val="24"/>
        </w:rPr>
        <w:t>邮箱</w:t>
      </w:r>
      <w:r>
        <w:rPr>
          <w:rFonts w:ascii="宋体" w:hAnsi="宋体" w:cs="宋体"/>
          <w:kern w:val="0"/>
          <w:sz w:val="24"/>
        </w:rPr>
        <w:t>lijing@jscnnet.com</w:t>
      </w:r>
      <w:r>
        <w:rPr>
          <w:rFonts w:hint="eastAsia" w:ascii="宋体" w:hAnsi="宋体" w:cs="宋体"/>
          <w:kern w:val="0"/>
          <w:sz w:val="24"/>
          <w:shd w:val="clear" w:color="auto" w:fill="FFFFFF"/>
        </w:rPr>
        <w:t>，未在文件发放日内完成登记的不得参与本项目。</w:t>
      </w:r>
    </w:p>
    <w:p>
      <w:pPr>
        <w:widowControl/>
        <w:spacing w:line="360" w:lineRule="auto"/>
        <w:ind w:firstLine="420"/>
        <w:jc w:val="left"/>
        <w:rPr>
          <w:rFonts w:ascii="宋体" w:hAnsi="宋体" w:cs="宋体"/>
          <w:kern w:val="0"/>
          <w:sz w:val="24"/>
          <w:shd w:val="clear" w:color="auto" w:fill="FFFFFF"/>
        </w:rPr>
      </w:pPr>
      <w:r>
        <w:rPr>
          <w:rFonts w:hint="eastAsia" w:ascii="宋体" w:hAnsi="宋体" w:cs="宋体"/>
          <w:kern w:val="0"/>
          <w:sz w:val="24"/>
          <w:shd w:val="clear" w:color="auto" w:fill="FFFFFF"/>
        </w:rPr>
        <w:t>登记方式：请响应人将该项目负责人姓名、联系电话（手机）、联系信箱发至采购人该项目联系人，（参考竞争性磋商文件第七章响应确认信息表），同时附营业执照扫描件和法定代表人授权委托函，超过</w:t>
      </w:r>
      <w:r>
        <w:rPr>
          <w:rFonts w:ascii="宋体" w:hAnsi="宋体" w:cs="宋体"/>
          <w:kern w:val="0"/>
          <w:sz w:val="24"/>
          <w:shd w:val="clear" w:color="auto" w:fill="FFFFFF"/>
        </w:rPr>
        <w:t>202</w:t>
      </w:r>
      <w:r>
        <w:rPr>
          <w:rFonts w:hint="eastAsia" w:ascii="宋体" w:hAnsi="宋体" w:cs="宋体"/>
          <w:kern w:val="0"/>
          <w:sz w:val="24"/>
          <w:shd w:val="clear" w:color="auto" w:fill="FFFFFF"/>
        </w:rPr>
        <w:t>2</w:t>
      </w:r>
      <w:r>
        <w:rPr>
          <w:rFonts w:ascii="宋体" w:hAnsi="宋体" w:cs="宋体"/>
          <w:kern w:val="0"/>
          <w:sz w:val="24"/>
          <w:shd w:val="clear" w:color="auto" w:fill="FFFFFF"/>
        </w:rPr>
        <w:t>年6</w:t>
      </w:r>
      <w:r>
        <w:rPr>
          <w:rFonts w:hint="eastAsia" w:ascii="宋体" w:hAnsi="宋体" w:cs="宋体"/>
          <w:kern w:val="0"/>
          <w:sz w:val="24"/>
          <w:shd w:val="clear" w:color="auto" w:fill="FFFFFF"/>
        </w:rPr>
        <w:t>月</w:t>
      </w:r>
      <w:r>
        <w:rPr>
          <w:rFonts w:ascii="宋体" w:hAnsi="宋体" w:cs="宋体"/>
          <w:kern w:val="0"/>
          <w:sz w:val="24"/>
          <w:shd w:val="clear" w:color="auto" w:fill="FFFFFF"/>
        </w:rPr>
        <w:t>21日下午17:00再登记的视为无效。</w:t>
      </w:r>
    </w:p>
    <w:p>
      <w:pPr>
        <w:widowControl/>
        <w:spacing w:line="360" w:lineRule="auto"/>
        <w:ind w:firstLine="420"/>
        <w:jc w:val="left"/>
        <w:rPr>
          <w:rFonts w:ascii="宋体" w:hAnsi="宋体" w:cs="宋体"/>
          <w:kern w:val="0"/>
          <w:sz w:val="24"/>
        </w:rPr>
      </w:pPr>
      <w:r>
        <w:rPr>
          <w:rFonts w:hint="eastAsia" w:ascii="宋体" w:hAnsi="宋体" w:cs="宋体"/>
          <w:kern w:val="0"/>
          <w:sz w:val="24"/>
          <w:shd w:val="clear" w:color="auto" w:fill="FFFFFF"/>
        </w:rPr>
        <w:t>项目联系人：</w:t>
      </w:r>
      <w:r>
        <w:rPr>
          <w:rFonts w:hint="eastAsia" w:ascii="宋体" w:hAnsi="宋体" w:cs="宋体"/>
          <w:kern w:val="0"/>
          <w:sz w:val="24"/>
        </w:rPr>
        <w:t>李晶（</w:t>
      </w:r>
      <w:r>
        <w:rPr>
          <w:rFonts w:ascii="宋体" w:hAnsi="宋体" w:cs="宋体"/>
          <w:kern w:val="0"/>
          <w:sz w:val="24"/>
        </w:rPr>
        <w:t>025-86731692）</w:t>
      </w:r>
    </w:p>
    <w:p>
      <w:pPr>
        <w:widowControl/>
        <w:spacing w:line="360" w:lineRule="auto"/>
        <w:jc w:val="left"/>
      </w:pPr>
      <w:r>
        <w:rPr>
          <w:rFonts w:hint="eastAsia" w:ascii="宋体" w:hAnsi="宋体" w:cs="宋体"/>
          <w:b/>
          <w:bCs/>
          <w:kern w:val="0"/>
          <w:sz w:val="24"/>
          <w:shd w:val="clear" w:color="auto" w:fill="FFFFFF"/>
        </w:rPr>
        <w:t>五、响应文件的递交和磋商</w:t>
      </w:r>
    </w:p>
    <w:p>
      <w:pPr>
        <w:widowControl/>
        <w:spacing w:line="360" w:lineRule="auto"/>
        <w:ind w:firstLine="420"/>
        <w:jc w:val="left"/>
      </w:pPr>
      <w:r>
        <w:rPr>
          <w:rFonts w:hint="eastAsia" w:ascii="宋体" w:hAnsi="宋体" w:cs="宋体"/>
          <w:kern w:val="0"/>
          <w:sz w:val="24"/>
          <w:shd w:val="clear" w:color="auto" w:fill="FFFFFF"/>
        </w:rPr>
        <w:t>递交竞争性磋商响应文件截止时间：</w:t>
      </w:r>
      <w:r>
        <w:rPr>
          <w:rFonts w:eastAsia="微软雅黑"/>
          <w:kern w:val="0"/>
          <w:sz w:val="24"/>
          <w:shd w:val="clear" w:color="auto" w:fill="FFFFFF"/>
        </w:rPr>
        <w:t>202</w:t>
      </w:r>
      <w:r>
        <w:rPr>
          <w:rFonts w:hint="eastAsia" w:eastAsia="微软雅黑"/>
          <w:kern w:val="0"/>
          <w:sz w:val="24"/>
          <w:shd w:val="clear" w:color="auto" w:fill="FFFFFF"/>
        </w:rPr>
        <w:t>2</w:t>
      </w:r>
      <w:r>
        <w:rPr>
          <w:rFonts w:hint="eastAsia" w:ascii="宋体" w:hAnsi="宋体" w:cs="宋体"/>
          <w:kern w:val="0"/>
          <w:sz w:val="24"/>
          <w:shd w:val="clear" w:color="auto" w:fill="FFFFFF"/>
        </w:rPr>
        <w:t>年</w:t>
      </w:r>
      <w:r>
        <w:rPr>
          <w:rFonts w:ascii="宋体" w:hAnsi="宋体" w:cs="宋体"/>
          <w:kern w:val="0"/>
          <w:sz w:val="24"/>
          <w:shd w:val="clear" w:color="auto" w:fill="FFFFFF"/>
        </w:rPr>
        <w:t>6</w:t>
      </w:r>
      <w:r>
        <w:rPr>
          <w:rFonts w:hint="eastAsia" w:ascii="宋体" w:hAnsi="宋体" w:cs="宋体"/>
          <w:kern w:val="0"/>
          <w:sz w:val="24"/>
          <w:shd w:val="clear" w:color="auto" w:fill="FFFFFF"/>
        </w:rPr>
        <w:t>月</w:t>
      </w:r>
      <w:r>
        <w:rPr>
          <w:rFonts w:ascii="宋体" w:hAnsi="宋体" w:cs="宋体"/>
          <w:kern w:val="0"/>
          <w:sz w:val="24"/>
          <w:shd w:val="clear" w:color="auto" w:fill="FFFFFF"/>
        </w:rPr>
        <w:t>27</w:t>
      </w:r>
      <w:r>
        <w:rPr>
          <w:rFonts w:hint="eastAsia" w:ascii="宋体" w:hAnsi="宋体" w:cs="宋体"/>
          <w:kern w:val="0"/>
          <w:sz w:val="24"/>
          <w:shd w:val="clear" w:color="auto" w:fill="FFFFFF"/>
        </w:rPr>
        <w:t>日下午</w:t>
      </w:r>
      <w:r>
        <w:rPr>
          <w:rFonts w:eastAsia="微软雅黑"/>
          <w:kern w:val="0"/>
          <w:sz w:val="24"/>
          <w:shd w:val="clear" w:color="auto" w:fill="FFFFFF"/>
        </w:rPr>
        <w:t>14:30</w:t>
      </w:r>
      <w:r>
        <w:rPr>
          <w:rFonts w:hint="eastAsia" w:ascii="宋体" w:hAnsi="宋体" w:cs="宋体"/>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kern w:val="0"/>
          <w:sz w:val="24"/>
          <w:shd w:val="clear" w:color="auto" w:fill="FFFFFF"/>
        </w:rPr>
        <w:t>递交竞争性磋商响应文件地点：南京市玄武区运粮河西路</w:t>
      </w:r>
      <w:r>
        <w:rPr>
          <w:rFonts w:eastAsia="微软雅黑"/>
          <w:kern w:val="0"/>
          <w:sz w:val="24"/>
          <w:shd w:val="clear" w:color="auto" w:fill="FFFFFF"/>
        </w:rPr>
        <w:t>101</w:t>
      </w:r>
      <w:r>
        <w:rPr>
          <w:rFonts w:hint="eastAsia" w:ascii="宋体" w:hAnsi="宋体" w:cs="宋体"/>
          <w:kern w:val="0"/>
          <w:sz w:val="24"/>
          <w:shd w:val="clear" w:color="auto" w:fill="FFFFFF"/>
        </w:rPr>
        <w:t>号</w:t>
      </w:r>
      <w:r>
        <w:rPr>
          <w:rFonts w:eastAsia="微软雅黑"/>
          <w:kern w:val="0"/>
          <w:sz w:val="24"/>
          <w:shd w:val="clear" w:color="auto" w:fill="FFFFFF"/>
        </w:rPr>
        <w:t>2</w:t>
      </w:r>
      <w:r>
        <w:rPr>
          <w:rFonts w:hint="eastAsia" w:ascii="宋体" w:hAnsi="宋体" w:cs="宋体"/>
          <w:kern w:val="0"/>
          <w:sz w:val="24"/>
          <w:shd w:val="clear" w:color="auto" w:fill="FFFFFF"/>
        </w:rPr>
        <w:t>号楼</w:t>
      </w:r>
      <w:r>
        <w:rPr>
          <w:rFonts w:eastAsia="微软雅黑"/>
          <w:kern w:val="0"/>
          <w:sz w:val="24"/>
          <w:shd w:val="clear" w:color="auto" w:fill="FFFFFF"/>
        </w:rPr>
        <w:t>2</w:t>
      </w:r>
      <w:r>
        <w:rPr>
          <w:rFonts w:hint="eastAsia" w:ascii="宋体" w:hAnsi="宋体" w:cs="宋体"/>
          <w:kern w:val="0"/>
          <w:sz w:val="24"/>
          <w:shd w:val="clear" w:color="auto" w:fill="FFFFFF"/>
        </w:rPr>
        <w:t>楼。</w:t>
      </w:r>
    </w:p>
    <w:p>
      <w:pPr>
        <w:widowControl/>
        <w:spacing w:line="360" w:lineRule="auto"/>
        <w:ind w:firstLine="420"/>
        <w:jc w:val="left"/>
      </w:pPr>
      <w:r>
        <w:rPr>
          <w:rFonts w:hint="eastAsia" w:ascii="宋体" w:hAnsi="宋体" w:cs="宋体"/>
          <w:kern w:val="0"/>
          <w:sz w:val="24"/>
          <w:shd w:val="clear" w:color="auto" w:fill="FFFFFF"/>
        </w:rPr>
        <w:t>响应文件接收人：</w:t>
      </w:r>
      <w:r>
        <w:rPr>
          <w:rFonts w:hint="eastAsia" w:ascii="宋体" w:hAnsi="宋体" w:cs="宋体"/>
          <w:kern w:val="0"/>
          <w:sz w:val="24"/>
        </w:rPr>
        <w:t>李晶，电话：</w:t>
      </w:r>
      <w:r>
        <w:rPr>
          <w:rFonts w:ascii="宋体" w:hAnsi="宋体" w:cs="宋体"/>
          <w:kern w:val="0"/>
          <w:sz w:val="24"/>
        </w:rPr>
        <w:t>025-86731692。</w:t>
      </w:r>
    </w:p>
    <w:p>
      <w:pPr>
        <w:widowControl/>
        <w:spacing w:line="360" w:lineRule="auto"/>
        <w:ind w:firstLine="420"/>
        <w:jc w:val="left"/>
      </w:pPr>
      <w:r>
        <w:rPr>
          <w:rFonts w:hint="eastAsia" w:ascii="宋体" w:hAnsi="宋体" w:cs="宋体"/>
          <w:kern w:val="0"/>
          <w:sz w:val="24"/>
          <w:shd w:val="clear" w:color="auto" w:fill="FFFFFF"/>
        </w:rPr>
        <w:t>竞争性磋商时间：</w:t>
      </w:r>
      <w:r>
        <w:rPr>
          <w:rFonts w:eastAsia="微软雅黑"/>
          <w:kern w:val="0"/>
          <w:sz w:val="24"/>
          <w:shd w:val="clear" w:color="auto" w:fill="FFFFFF"/>
        </w:rPr>
        <w:t>202</w:t>
      </w:r>
      <w:r>
        <w:rPr>
          <w:rFonts w:hint="eastAsia" w:eastAsia="微软雅黑"/>
          <w:kern w:val="0"/>
          <w:sz w:val="24"/>
          <w:shd w:val="clear" w:color="auto" w:fill="FFFFFF"/>
        </w:rPr>
        <w:t>2</w:t>
      </w:r>
      <w:r>
        <w:rPr>
          <w:rFonts w:hint="eastAsia" w:ascii="宋体" w:hAnsi="宋体" w:cs="宋体"/>
          <w:kern w:val="0"/>
          <w:sz w:val="24"/>
          <w:shd w:val="clear" w:color="auto" w:fill="FFFFFF"/>
        </w:rPr>
        <w:t>年</w:t>
      </w:r>
      <w:r>
        <w:rPr>
          <w:rFonts w:ascii="宋体" w:hAnsi="宋体" w:cs="宋体"/>
          <w:kern w:val="0"/>
          <w:sz w:val="24"/>
          <w:shd w:val="clear" w:color="auto" w:fill="FFFFFF"/>
        </w:rPr>
        <w:t>6</w:t>
      </w:r>
      <w:r>
        <w:rPr>
          <w:rFonts w:hint="eastAsia" w:ascii="宋体" w:hAnsi="宋体" w:cs="宋体"/>
          <w:kern w:val="0"/>
          <w:sz w:val="24"/>
          <w:shd w:val="clear" w:color="auto" w:fill="FFFFFF"/>
        </w:rPr>
        <w:t>月</w:t>
      </w:r>
      <w:r>
        <w:rPr>
          <w:rFonts w:ascii="宋体" w:hAnsi="宋体" w:cs="宋体"/>
          <w:kern w:val="0"/>
          <w:sz w:val="24"/>
          <w:shd w:val="clear" w:color="auto" w:fill="FFFFFF"/>
        </w:rPr>
        <w:t>27</w:t>
      </w:r>
      <w:r>
        <w:rPr>
          <w:rFonts w:hint="eastAsia" w:ascii="宋体" w:hAnsi="宋体" w:cs="宋体"/>
          <w:kern w:val="0"/>
          <w:sz w:val="24"/>
          <w:shd w:val="clear" w:color="auto" w:fill="FFFFFF"/>
        </w:rPr>
        <w:t>日下午</w:t>
      </w:r>
      <w:r>
        <w:rPr>
          <w:rFonts w:eastAsia="微软雅黑"/>
          <w:kern w:val="0"/>
          <w:sz w:val="24"/>
          <w:shd w:val="clear" w:color="auto" w:fill="FFFFFF"/>
        </w:rPr>
        <w:t>14</w:t>
      </w:r>
      <w:r>
        <w:rPr>
          <w:rFonts w:hint="eastAsia" w:ascii="宋体" w:hAnsi="宋体" w:cs="宋体"/>
          <w:kern w:val="0"/>
          <w:sz w:val="24"/>
          <w:shd w:val="clear" w:color="auto" w:fill="FFFFFF"/>
        </w:rPr>
        <w:t>点</w:t>
      </w:r>
      <w:r>
        <w:rPr>
          <w:rFonts w:eastAsia="微软雅黑"/>
          <w:kern w:val="0"/>
          <w:sz w:val="24"/>
          <w:shd w:val="clear" w:color="auto" w:fill="FFFFFF"/>
        </w:rPr>
        <w:t>30</w:t>
      </w:r>
      <w:r>
        <w:rPr>
          <w:rFonts w:hint="eastAsia" w:ascii="宋体" w:hAnsi="宋体" w:cs="宋体"/>
          <w:kern w:val="0"/>
          <w:sz w:val="24"/>
          <w:shd w:val="clear" w:color="auto" w:fill="FFFFFF"/>
        </w:rPr>
        <w:t>分。</w:t>
      </w:r>
    </w:p>
    <w:p>
      <w:pPr>
        <w:widowControl/>
        <w:spacing w:line="360" w:lineRule="auto"/>
        <w:ind w:firstLine="420"/>
        <w:jc w:val="left"/>
      </w:pPr>
      <w:r>
        <w:rPr>
          <w:rFonts w:hint="eastAsia" w:ascii="宋体" w:hAnsi="宋体" w:cs="宋体"/>
          <w:kern w:val="0"/>
          <w:sz w:val="24"/>
          <w:shd w:val="clear" w:color="auto" w:fill="FFFFFF"/>
        </w:rPr>
        <w:t>竞争性磋商地点：南京市玄武区运粮河西路</w:t>
      </w:r>
      <w:r>
        <w:rPr>
          <w:rFonts w:eastAsia="微软雅黑"/>
          <w:kern w:val="0"/>
          <w:sz w:val="24"/>
          <w:shd w:val="clear" w:color="auto" w:fill="FFFFFF"/>
        </w:rPr>
        <w:t>101</w:t>
      </w:r>
      <w:r>
        <w:rPr>
          <w:rFonts w:hint="eastAsia" w:ascii="宋体" w:hAnsi="宋体" w:cs="宋体"/>
          <w:kern w:val="0"/>
          <w:sz w:val="24"/>
          <w:shd w:val="clear" w:color="auto" w:fill="FFFFFF"/>
        </w:rPr>
        <w:t>号</w:t>
      </w:r>
      <w:r>
        <w:rPr>
          <w:rFonts w:eastAsia="微软雅黑"/>
          <w:kern w:val="0"/>
          <w:sz w:val="24"/>
          <w:shd w:val="clear" w:color="auto" w:fill="FFFFFF"/>
        </w:rPr>
        <w:t>2</w:t>
      </w:r>
      <w:r>
        <w:rPr>
          <w:rFonts w:hint="eastAsia" w:ascii="宋体" w:hAnsi="宋体" w:cs="宋体"/>
          <w:kern w:val="0"/>
          <w:sz w:val="24"/>
          <w:shd w:val="clear" w:color="auto" w:fill="FFFFFF"/>
        </w:rPr>
        <w:t>号楼</w:t>
      </w:r>
      <w:r>
        <w:rPr>
          <w:rFonts w:eastAsia="微软雅黑"/>
          <w:kern w:val="0"/>
          <w:sz w:val="24"/>
          <w:shd w:val="clear" w:color="auto" w:fill="FFFFFF"/>
        </w:rPr>
        <w:t>2</w:t>
      </w:r>
      <w:r>
        <w:rPr>
          <w:rFonts w:hint="eastAsia" w:ascii="宋体" w:hAnsi="宋体" w:cs="宋体"/>
          <w:kern w:val="0"/>
          <w:sz w:val="24"/>
          <w:shd w:val="clear" w:color="auto" w:fill="FFFFFF"/>
        </w:rPr>
        <w:t>楼会议室。</w:t>
      </w:r>
    </w:p>
    <w:p>
      <w:pPr>
        <w:widowControl/>
        <w:spacing w:line="360" w:lineRule="auto"/>
        <w:jc w:val="left"/>
      </w:pPr>
      <w:r>
        <w:rPr>
          <w:rFonts w:hint="eastAsia" w:ascii="宋体" w:hAnsi="宋体" w:cs="宋体"/>
          <w:b/>
          <w:bCs/>
          <w:kern w:val="0"/>
          <w:sz w:val="24"/>
          <w:shd w:val="clear" w:color="auto" w:fill="FFFFFF"/>
        </w:rPr>
        <w:t>六、发布公告的媒介</w:t>
      </w:r>
    </w:p>
    <w:p>
      <w:pPr>
        <w:widowControl/>
        <w:spacing w:line="360" w:lineRule="auto"/>
        <w:ind w:firstLine="420"/>
        <w:jc w:val="left"/>
      </w:pPr>
      <w:r>
        <w:rPr>
          <w:rFonts w:hint="eastAsia" w:ascii="宋体" w:hAnsi="宋体" w:cs="宋体"/>
          <w:kern w:val="0"/>
          <w:sz w:val="24"/>
          <w:shd w:val="clear" w:color="auto" w:fill="FFFFFF"/>
        </w:rPr>
        <w:t>本次采购事宜相关公告将在江苏省广电有线信息网络股份有限公司网站（网址：</w:t>
      </w:r>
      <w:r>
        <w:rPr>
          <w:rFonts w:eastAsia="微软雅黑"/>
          <w:kern w:val="0"/>
          <w:sz w:val="24"/>
          <w:shd w:val="clear" w:color="auto" w:fill="FFFFFF"/>
        </w:rPr>
        <w:t>http://www.jscnnet.com/zbcg/</w:t>
      </w:r>
      <w:r>
        <w:rPr>
          <w:rFonts w:hint="eastAsia" w:ascii="宋体" w:hAnsi="宋体" w:cs="宋体"/>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jc w:val="left"/>
        <w:rPr>
          <w:rFonts w:ascii="宋体" w:hAnsi="宋体"/>
          <w:sz w:val="24"/>
        </w:rPr>
      </w:pPr>
      <w:r>
        <w:rPr>
          <w:rFonts w:hint="eastAsia" w:ascii="宋体" w:cs="宋体"/>
          <w:bCs/>
          <w:sz w:val="24"/>
        </w:rPr>
        <w:t>有关本次磋商的事项若存在变动或修改，敬请及时关注网上发布的信息更正公告</w:t>
      </w:r>
      <w:bookmarkStart w:id="6" w:name="bookmark1"/>
      <w:bookmarkEnd w:id="6"/>
      <w:r>
        <w:rPr>
          <w:rFonts w:hint="eastAsia" w:ascii="宋体" w:cs="宋体"/>
          <w:bCs/>
          <w:sz w:val="24"/>
        </w:rPr>
        <w:t>。</w:t>
      </w:r>
      <w:bookmarkEnd w:id="0"/>
      <w:bookmarkEnd w:id="4"/>
      <w:r>
        <w:rPr>
          <w:rFonts w:ascii="宋体" w:hAnsi="宋体"/>
          <w:sz w:val="24"/>
        </w:rPr>
        <w:br w:type="page"/>
      </w:r>
    </w:p>
    <w:p>
      <w:pPr>
        <w:pStyle w:val="3"/>
        <w:numPr>
          <w:ilvl w:val="0"/>
          <w:numId w:val="0"/>
        </w:numPr>
        <w:spacing w:before="0" w:after="0" w:line="360" w:lineRule="auto"/>
        <w:rPr>
          <w:b/>
          <w:sz w:val="36"/>
          <w:szCs w:val="36"/>
        </w:rPr>
      </w:pPr>
      <w:bookmarkStart w:id="7" w:name="_Toc227057883"/>
      <w:bookmarkStart w:id="8" w:name="_Toc226969276"/>
      <w:bookmarkStart w:id="9" w:name="_Toc107822483"/>
      <w:bookmarkStart w:id="10" w:name="_Toc69378616"/>
      <w:r>
        <w:rPr>
          <w:rFonts w:hint="eastAsia"/>
          <w:b/>
          <w:sz w:val="36"/>
          <w:szCs w:val="36"/>
        </w:rPr>
        <w:t>第二章竞争性磋商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center"/>
              <w:rPr>
                <w:b/>
                <w:sz w:val="24"/>
              </w:rPr>
            </w:pPr>
            <w:r>
              <w:rPr>
                <w:rFonts w:hint="eastAsia"/>
                <w:b/>
                <w:sz w:val="24"/>
              </w:rPr>
              <w:t>序号</w:t>
            </w:r>
          </w:p>
        </w:tc>
        <w:tc>
          <w:tcPr>
            <w:tcW w:w="241" w:type="pct"/>
            <w:tcBorders>
              <w:top w:val="single" w:color="auto" w:sz="6" w:space="0"/>
            </w:tcBorders>
            <w:vAlign w:val="center"/>
          </w:tcPr>
          <w:p>
            <w:pPr>
              <w:jc w:val="center"/>
              <w:rPr>
                <w:b/>
                <w:sz w:val="24"/>
              </w:rPr>
            </w:pPr>
            <w:r>
              <w:rPr>
                <w:rFonts w:hint="eastAsia"/>
                <w:b/>
                <w:sz w:val="24"/>
              </w:rPr>
              <w:t>条款号</w:t>
            </w:r>
          </w:p>
        </w:tc>
        <w:tc>
          <w:tcPr>
            <w:tcW w:w="772" w:type="pct"/>
            <w:tcBorders>
              <w:top w:val="single" w:color="auto" w:sz="6" w:space="0"/>
            </w:tcBorders>
            <w:vAlign w:val="center"/>
          </w:tcPr>
          <w:p>
            <w:pPr>
              <w:jc w:val="center"/>
              <w:rPr>
                <w:b/>
                <w:sz w:val="24"/>
              </w:rPr>
            </w:pPr>
            <w:r>
              <w:rPr>
                <w:rFonts w:hint="eastAsia"/>
                <w:b/>
                <w:sz w:val="24"/>
              </w:rPr>
              <w:t>内容</w:t>
            </w:r>
          </w:p>
        </w:tc>
        <w:tc>
          <w:tcPr>
            <w:tcW w:w="3410"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w:t>
            </w:r>
          </w:p>
        </w:tc>
        <w:tc>
          <w:tcPr>
            <w:tcW w:w="241" w:type="pct"/>
            <w:vAlign w:val="center"/>
          </w:tcPr>
          <w:p>
            <w:pPr>
              <w:jc w:val="center"/>
              <w:rPr>
                <w:sz w:val="24"/>
              </w:rPr>
            </w:pPr>
            <w:r>
              <w:rPr>
                <w:sz w:val="24"/>
              </w:rPr>
              <w:t>1.1</w:t>
            </w:r>
          </w:p>
        </w:tc>
        <w:tc>
          <w:tcPr>
            <w:tcW w:w="772" w:type="pct"/>
            <w:vAlign w:val="center"/>
          </w:tcPr>
          <w:p>
            <w:pPr>
              <w:jc w:val="center"/>
              <w:rPr>
                <w:sz w:val="24"/>
              </w:rPr>
            </w:pPr>
            <w:r>
              <w:rPr>
                <w:rFonts w:hint="eastAsia"/>
                <w:sz w:val="24"/>
              </w:rPr>
              <w:t>采购人</w:t>
            </w:r>
          </w:p>
        </w:tc>
        <w:tc>
          <w:tcPr>
            <w:tcW w:w="3410"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2</w:t>
            </w:r>
          </w:p>
        </w:tc>
        <w:tc>
          <w:tcPr>
            <w:tcW w:w="241" w:type="pct"/>
            <w:vAlign w:val="center"/>
          </w:tcPr>
          <w:p>
            <w:pPr>
              <w:jc w:val="center"/>
              <w:rPr>
                <w:sz w:val="24"/>
              </w:rPr>
            </w:pPr>
            <w:r>
              <w:rPr>
                <w:sz w:val="24"/>
              </w:rPr>
              <w:t>1.2</w:t>
            </w:r>
          </w:p>
        </w:tc>
        <w:tc>
          <w:tcPr>
            <w:tcW w:w="772" w:type="pct"/>
            <w:vAlign w:val="center"/>
          </w:tcPr>
          <w:p>
            <w:pPr>
              <w:jc w:val="center"/>
              <w:rPr>
                <w:sz w:val="24"/>
              </w:rPr>
            </w:pPr>
            <w:r>
              <w:rPr>
                <w:rFonts w:hint="eastAsia"/>
                <w:sz w:val="24"/>
              </w:rPr>
              <w:t>代理机构</w:t>
            </w:r>
          </w:p>
        </w:tc>
        <w:tc>
          <w:tcPr>
            <w:tcW w:w="3410"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center"/>
              <w:rPr>
                <w:sz w:val="24"/>
              </w:rPr>
            </w:pPr>
            <w:r>
              <w:rPr>
                <w:sz w:val="24"/>
              </w:rPr>
              <w:t>3</w:t>
            </w:r>
          </w:p>
        </w:tc>
        <w:tc>
          <w:tcPr>
            <w:tcW w:w="241" w:type="pct"/>
            <w:vAlign w:val="center"/>
          </w:tcPr>
          <w:p>
            <w:pPr>
              <w:jc w:val="center"/>
              <w:rPr>
                <w:sz w:val="24"/>
              </w:rPr>
            </w:pPr>
            <w:r>
              <w:rPr>
                <w:sz w:val="24"/>
              </w:rPr>
              <w:t>1.3</w:t>
            </w:r>
          </w:p>
        </w:tc>
        <w:tc>
          <w:tcPr>
            <w:tcW w:w="772" w:type="pct"/>
            <w:vAlign w:val="center"/>
          </w:tcPr>
          <w:p>
            <w:pPr>
              <w:jc w:val="center"/>
              <w:rPr>
                <w:sz w:val="24"/>
              </w:rPr>
            </w:pPr>
            <w:r>
              <w:rPr>
                <w:rFonts w:hint="eastAsia"/>
                <w:sz w:val="24"/>
              </w:rPr>
              <w:t>合格的供应商</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576" w:type="pct"/>
            <w:vAlign w:val="center"/>
          </w:tcPr>
          <w:p>
            <w:pPr>
              <w:jc w:val="center"/>
              <w:rPr>
                <w:sz w:val="24"/>
              </w:rPr>
            </w:pPr>
            <w:r>
              <w:rPr>
                <w:sz w:val="24"/>
              </w:rPr>
              <w:t>4</w:t>
            </w:r>
          </w:p>
        </w:tc>
        <w:tc>
          <w:tcPr>
            <w:tcW w:w="241" w:type="pct"/>
            <w:vAlign w:val="center"/>
          </w:tcPr>
          <w:p>
            <w:pPr>
              <w:jc w:val="center"/>
              <w:rPr>
                <w:sz w:val="24"/>
              </w:rPr>
            </w:pPr>
            <w:r>
              <w:rPr>
                <w:sz w:val="24"/>
              </w:rPr>
              <w:t>20.1</w:t>
            </w:r>
          </w:p>
        </w:tc>
        <w:tc>
          <w:tcPr>
            <w:tcW w:w="772" w:type="pct"/>
            <w:vAlign w:val="center"/>
          </w:tcPr>
          <w:p>
            <w:pPr>
              <w:jc w:val="center"/>
              <w:rPr>
                <w:sz w:val="24"/>
              </w:rPr>
            </w:pPr>
            <w:r>
              <w:rPr>
                <w:rFonts w:hint="eastAsia"/>
                <w:sz w:val="24"/>
              </w:rPr>
              <w:t>保密</w:t>
            </w:r>
          </w:p>
        </w:tc>
        <w:tc>
          <w:tcPr>
            <w:tcW w:w="3410"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5</w:t>
            </w:r>
          </w:p>
        </w:tc>
        <w:tc>
          <w:tcPr>
            <w:tcW w:w="241" w:type="pct"/>
            <w:vAlign w:val="center"/>
          </w:tcPr>
          <w:p>
            <w:pPr>
              <w:jc w:val="center"/>
              <w:rPr>
                <w:sz w:val="24"/>
              </w:rPr>
            </w:pPr>
            <w:r>
              <w:rPr>
                <w:sz w:val="24"/>
              </w:rPr>
              <w:t>7.1</w:t>
            </w:r>
          </w:p>
          <w:p>
            <w:pPr>
              <w:jc w:val="center"/>
              <w:rPr>
                <w:sz w:val="24"/>
              </w:rPr>
            </w:pPr>
            <w:r>
              <w:rPr>
                <w:rFonts w:hint="eastAsia"/>
                <w:sz w:val="24"/>
              </w:rPr>
              <w:t>2）</w:t>
            </w:r>
          </w:p>
        </w:tc>
        <w:tc>
          <w:tcPr>
            <w:tcW w:w="772" w:type="pct"/>
            <w:vAlign w:val="center"/>
          </w:tcPr>
          <w:p>
            <w:pPr>
              <w:jc w:val="center"/>
              <w:rPr>
                <w:sz w:val="24"/>
              </w:rPr>
            </w:pPr>
            <w:r>
              <w:rPr>
                <w:rFonts w:hint="eastAsia"/>
                <w:sz w:val="24"/>
              </w:rPr>
              <w:t>经第三方审计的财务报表</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6</w:t>
            </w:r>
          </w:p>
        </w:tc>
        <w:tc>
          <w:tcPr>
            <w:tcW w:w="241" w:type="pct"/>
            <w:vAlign w:val="center"/>
          </w:tcPr>
          <w:p>
            <w:pPr>
              <w:jc w:val="center"/>
              <w:rPr>
                <w:sz w:val="24"/>
              </w:rPr>
            </w:pPr>
            <w:r>
              <w:rPr>
                <w:sz w:val="24"/>
              </w:rPr>
              <w:t>7.1</w:t>
            </w:r>
          </w:p>
          <w:p>
            <w:pPr>
              <w:jc w:val="center"/>
              <w:rPr>
                <w:sz w:val="24"/>
              </w:rPr>
            </w:pPr>
            <w:r>
              <w:rPr>
                <w:rFonts w:hint="eastAsia"/>
                <w:sz w:val="24"/>
              </w:rPr>
              <w:t>3）</w:t>
            </w:r>
          </w:p>
        </w:tc>
        <w:tc>
          <w:tcPr>
            <w:tcW w:w="772" w:type="pct"/>
            <w:vAlign w:val="center"/>
          </w:tcPr>
          <w:p>
            <w:pPr>
              <w:jc w:val="center"/>
              <w:rPr>
                <w:sz w:val="24"/>
              </w:rPr>
            </w:pPr>
            <w:r>
              <w:rPr>
                <w:rFonts w:hint="eastAsia"/>
                <w:sz w:val="24"/>
              </w:rPr>
              <w:t>响应文件的技术部分中必须包括的内容</w:t>
            </w:r>
          </w:p>
        </w:tc>
        <w:tc>
          <w:tcPr>
            <w:tcW w:w="3410" w:type="pct"/>
          </w:tcPr>
          <w:p>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7</w:t>
            </w:r>
          </w:p>
        </w:tc>
        <w:tc>
          <w:tcPr>
            <w:tcW w:w="241" w:type="pct"/>
            <w:vAlign w:val="center"/>
          </w:tcPr>
          <w:p>
            <w:pPr>
              <w:jc w:val="center"/>
              <w:rPr>
                <w:sz w:val="24"/>
              </w:rPr>
            </w:pPr>
            <w:r>
              <w:rPr>
                <w:sz w:val="24"/>
              </w:rPr>
              <w:t>7.1</w:t>
            </w:r>
          </w:p>
          <w:p>
            <w:pPr>
              <w:jc w:val="center"/>
              <w:rPr>
                <w:sz w:val="24"/>
              </w:rPr>
            </w:pPr>
            <w:r>
              <w:rPr>
                <w:rFonts w:hint="eastAsia"/>
                <w:sz w:val="24"/>
              </w:rPr>
              <w:t>6）</w:t>
            </w:r>
          </w:p>
        </w:tc>
        <w:tc>
          <w:tcPr>
            <w:tcW w:w="772" w:type="pct"/>
            <w:vAlign w:val="center"/>
          </w:tcPr>
          <w:p>
            <w:pPr>
              <w:jc w:val="center"/>
              <w:rPr>
                <w:sz w:val="24"/>
              </w:rPr>
            </w:pPr>
            <w:r>
              <w:rPr>
                <w:rFonts w:hint="eastAsia"/>
                <w:sz w:val="24"/>
              </w:rPr>
              <w:t>合同文本的提供</w:t>
            </w:r>
          </w:p>
        </w:tc>
        <w:tc>
          <w:tcPr>
            <w:tcW w:w="3410" w:type="pct"/>
            <w:vAlign w:val="center"/>
          </w:tcPr>
          <w:p>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8</w:t>
            </w:r>
          </w:p>
        </w:tc>
        <w:tc>
          <w:tcPr>
            <w:tcW w:w="241" w:type="pct"/>
            <w:vAlign w:val="center"/>
          </w:tcPr>
          <w:p>
            <w:pPr>
              <w:jc w:val="center"/>
              <w:rPr>
                <w:sz w:val="24"/>
              </w:rPr>
            </w:pPr>
            <w:r>
              <w:rPr>
                <w:sz w:val="24"/>
              </w:rPr>
              <w:t>8.1</w:t>
            </w:r>
          </w:p>
        </w:tc>
        <w:tc>
          <w:tcPr>
            <w:tcW w:w="772" w:type="pct"/>
            <w:vAlign w:val="center"/>
          </w:tcPr>
          <w:p>
            <w:pPr>
              <w:jc w:val="center"/>
              <w:rPr>
                <w:sz w:val="24"/>
              </w:rPr>
            </w:pPr>
            <w:r>
              <w:rPr>
                <w:rFonts w:hint="eastAsia"/>
                <w:sz w:val="24"/>
              </w:rPr>
              <w:t>响应文件的式样和签署</w:t>
            </w:r>
          </w:p>
        </w:tc>
        <w:tc>
          <w:tcPr>
            <w:tcW w:w="3410" w:type="pct"/>
            <w:vAlign w:val="center"/>
          </w:tcPr>
          <w:p>
            <w:pPr>
              <w:rPr>
                <w:sz w:val="24"/>
              </w:rPr>
            </w:pPr>
            <w:r>
              <w:rPr>
                <w:rFonts w:hint="eastAsia"/>
                <w:sz w:val="24"/>
              </w:rPr>
              <w:t>响应文件一式</w:t>
            </w:r>
            <w:r>
              <w:rPr>
                <w:sz w:val="24"/>
              </w:rPr>
              <w:t>3</w:t>
            </w:r>
            <w:r>
              <w:rPr>
                <w:rFonts w:hint="eastAsia"/>
                <w:sz w:val="24"/>
              </w:rPr>
              <w:t>份（</w:t>
            </w:r>
            <w:r>
              <w:rPr>
                <w:sz w:val="24"/>
              </w:rPr>
              <w:t>1</w:t>
            </w:r>
            <w:r>
              <w:rPr>
                <w:rFonts w:hint="eastAsia"/>
                <w:sz w:val="24"/>
              </w:rPr>
              <w:t>份正本、</w:t>
            </w:r>
            <w:r>
              <w:rPr>
                <w:sz w:val="24"/>
              </w:rPr>
              <w:t>2</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9</w:t>
            </w:r>
          </w:p>
        </w:tc>
        <w:tc>
          <w:tcPr>
            <w:tcW w:w="241" w:type="pct"/>
            <w:vAlign w:val="center"/>
          </w:tcPr>
          <w:p>
            <w:pPr>
              <w:jc w:val="center"/>
              <w:rPr>
                <w:sz w:val="24"/>
              </w:rPr>
            </w:pPr>
            <w:r>
              <w:rPr>
                <w:sz w:val="24"/>
              </w:rPr>
              <w:t>9.1</w:t>
            </w:r>
          </w:p>
        </w:tc>
        <w:tc>
          <w:tcPr>
            <w:tcW w:w="772" w:type="pct"/>
            <w:vAlign w:val="center"/>
          </w:tcPr>
          <w:p>
            <w:pPr>
              <w:jc w:val="center"/>
              <w:rPr>
                <w:sz w:val="24"/>
              </w:rPr>
            </w:pPr>
            <w:r>
              <w:rPr>
                <w:rFonts w:hint="eastAsia"/>
                <w:sz w:val="24"/>
              </w:rPr>
              <w:t>报价</w:t>
            </w:r>
          </w:p>
        </w:tc>
        <w:tc>
          <w:tcPr>
            <w:tcW w:w="3410"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10</w:t>
            </w:r>
          </w:p>
        </w:tc>
        <w:tc>
          <w:tcPr>
            <w:tcW w:w="241" w:type="pct"/>
            <w:vAlign w:val="center"/>
          </w:tcPr>
          <w:p>
            <w:pPr>
              <w:jc w:val="center"/>
              <w:rPr>
                <w:sz w:val="24"/>
              </w:rPr>
            </w:pPr>
          </w:p>
        </w:tc>
        <w:tc>
          <w:tcPr>
            <w:tcW w:w="772" w:type="pct"/>
            <w:vAlign w:val="center"/>
          </w:tcPr>
          <w:p>
            <w:pPr>
              <w:jc w:val="center"/>
              <w:rPr>
                <w:sz w:val="24"/>
              </w:rPr>
            </w:pPr>
            <w:r>
              <w:rPr>
                <w:rFonts w:hint="eastAsia"/>
                <w:sz w:val="24"/>
              </w:rPr>
              <w:t>响应文件的盖章或签字</w:t>
            </w:r>
          </w:p>
        </w:tc>
        <w:tc>
          <w:tcPr>
            <w:tcW w:w="3410" w:type="pct"/>
            <w:vAlign w:val="center"/>
          </w:tcPr>
          <w:p>
            <w:pPr>
              <w:rPr>
                <w:sz w:val="24"/>
              </w:rPr>
            </w:pPr>
            <w:r>
              <w:rPr>
                <w:rFonts w:hint="eastAsia"/>
                <w:sz w:val="24"/>
              </w:rPr>
              <w:t>本条款增加规定：</w:t>
            </w:r>
          </w:p>
          <w:p>
            <w:pPr>
              <w:rPr>
                <w:sz w:val="24"/>
              </w:rPr>
            </w:pPr>
            <w:r>
              <w:rPr>
                <w:rFonts w:hint="eastAsia"/>
                <w:sz w:val="24"/>
              </w:rPr>
              <w:t>（1）竞争性磋商文件第六章“响应文件格式”中有单位名称和法定代表人或其委托代理人签字落款的响应文件必须加盖单位公章。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11</w:t>
            </w:r>
          </w:p>
        </w:tc>
        <w:tc>
          <w:tcPr>
            <w:tcW w:w="241" w:type="pct"/>
            <w:vAlign w:val="center"/>
          </w:tcPr>
          <w:p>
            <w:pPr>
              <w:jc w:val="center"/>
              <w:rPr>
                <w:sz w:val="24"/>
              </w:rPr>
            </w:pPr>
            <w:r>
              <w:rPr>
                <w:sz w:val="24"/>
              </w:rPr>
              <w:t>10.1</w:t>
            </w:r>
          </w:p>
        </w:tc>
        <w:tc>
          <w:tcPr>
            <w:tcW w:w="772" w:type="pct"/>
            <w:vAlign w:val="center"/>
          </w:tcPr>
          <w:p>
            <w:pPr>
              <w:jc w:val="center"/>
              <w:rPr>
                <w:sz w:val="24"/>
              </w:rPr>
            </w:pPr>
            <w:r>
              <w:rPr>
                <w:rFonts w:hint="eastAsia"/>
                <w:sz w:val="24"/>
              </w:rPr>
              <w:t>响应有效期</w:t>
            </w:r>
          </w:p>
        </w:tc>
        <w:tc>
          <w:tcPr>
            <w:tcW w:w="3410"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576" w:type="pct"/>
            <w:vAlign w:val="center"/>
          </w:tcPr>
          <w:p>
            <w:pPr>
              <w:jc w:val="center"/>
              <w:rPr>
                <w:sz w:val="24"/>
              </w:rPr>
            </w:pPr>
            <w:r>
              <w:rPr>
                <w:sz w:val="24"/>
              </w:rPr>
              <w:t>12</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递交响应文件截止时间</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center"/>
              <w:rPr>
                <w:sz w:val="24"/>
              </w:rPr>
            </w:pPr>
            <w:r>
              <w:rPr>
                <w:sz w:val="24"/>
              </w:rPr>
              <w:t>13</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递交响应文件地点</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14</w:t>
            </w:r>
          </w:p>
        </w:tc>
        <w:tc>
          <w:tcPr>
            <w:tcW w:w="241" w:type="pct"/>
            <w:vAlign w:val="center"/>
          </w:tcPr>
          <w:p>
            <w:pPr>
              <w:jc w:val="center"/>
              <w:rPr>
                <w:sz w:val="24"/>
              </w:rPr>
            </w:pPr>
            <w:r>
              <w:rPr>
                <w:sz w:val="24"/>
              </w:rPr>
              <w:t>17.5</w:t>
            </w:r>
          </w:p>
        </w:tc>
        <w:tc>
          <w:tcPr>
            <w:tcW w:w="772" w:type="pct"/>
            <w:vAlign w:val="center"/>
          </w:tcPr>
          <w:p>
            <w:pPr>
              <w:jc w:val="center"/>
              <w:rPr>
                <w:sz w:val="24"/>
              </w:rPr>
            </w:pPr>
            <w:r>
              <w:rPr>
                <w:rFonts w:hint="eastAsia"/>
                <w:sz w:val="24"/>
              </w:rPr>
              <w:t>如发现下列情况之一的，其响应文件将可能被拒绝</w:t>
            </w:r>
          </w:p>
        </w:tc>
        <w:tc>
          <w:tcPr>
            <w:tcW w:w="3410" w:type="pct"/>
            <w:vAlign w:val="center"/>
          </w:tcPr>
          <w:p>
            <w:pPr>
              <w:rPr>
                <w:sz w:val="24"/>
              </w:rPr>
            </w:pPr>
            <w:r>
              <w:rPr>
                <w:sz w:val="24"/>
              </w:rPr>
              <w:t>1</w:t>
            </w:r>
            <w:r>
              <w:rPr>
                <w:rFonts w:hint="eastAsia"/>
                <w:sz w:val="24"/>
              </w:rPr>
              <w:t>）不满足竞争性磋商文件对合格供应商的基本资质要求的；</w:t>
            </w:r>
          </w:p>
          <w:p>
            <w:pPr>
              <w:rPr>
                <w:sz w:val="24"/>
              </w:rPr>
            </w:pPr>
            <w:r>
              <w:rPr>
                <w:rFonts w:hint="eastAsia"/>
                <w:sz w:val="24"/>
              </w:rPr>
              <w:t>2）供应商在响应文件中提供的服务内容及质量不能实质性满足竞争性磋商文件要求或不能提供实质性满足证明的；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5）资格证明文件不全、失效或不符合竞争性磋商文件要求的；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9）未按照竞争性磋商文件规定的方式领取竞争性磋商文件并按要求递交响应文件的；</w:t>
            </w:r>
          </w:p>
          <w:p>
            <w:pPr>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15</w:t>
            </w:r>
          </w:p>
        </w:tc>
        <w:tc>
          <w:tcPr>
            <w:tcW w:w="241" w:type="pct"/>
            <w:vAlign w:val="center"/>
          </w:tcPr>
          <w:p>
            <w:pPr>
              <w:jc w:val="center"/>
              <w:rPr>
                <w:sz w:val="24"/>
              </w:rPr>
            </w:pPr>
            <w:r>
              <w:rPr>
                <w:sz w:val="24"/>
              </w:rPr>
              <w:t>19</w:t>
            </w:r>
          </w:p>
        </w:tc>
        <w:tc>
          <w:tcPr>
            <w:tcW w:w="772" w:type="pct"/>
            <w:vAlign w:val="center"/>
          </w:tcPr>
          <w:p>
            <w:pPr>
              <w:jc w:val="center"/>
              <w:rPr>
                <w:sz w:val="24"/>
              </w:rPr>
            </w:pPr>
            <w:r>
              <w:rPr>
                <w:rFonts w:hint="eastAsia"/>
                <w:sz w:val="24"/>
              </w:rPr>
              <w:t>评审</w:t>
            </w:r>
          </w:p>
        </w:tc>
        <w:tc>
          <w:tcPr>
            <w:tcW w:w="3410" w:type="pct"/>
            <w:vAlign w:val="center"/>
          </w:tcPr>
          <w:p>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center"/>
              <w:rPr>
                <w:sz w:val="24"/>
              </w:rPr>
            </w:pPr>
            <w:r>
              <w:rPr>
                <w:sz w:val="24"/>
              </w:rPr>
              <w:t>16</w:t>
            </w:r>
          </w:p>
        </w:tc>
        <w:tc>
          <w:tcPr>
            <w:tcW w:w="241" w:type="pct"/>
            <w:vAlign w:val="center"/>
          </w:tcPr>
          <w:p>
            <w:pPr>
              <w:jc w:val="center"/>
              <w:rPr>
                <w:sz w:val="24"/>
              </w:rPr>
            </w:pPr>
            <w:r>
              <w:rPr>
                <w:sz w:val="24"/>
              </w:rPr>
              <w:t>22.1</w:t>
            </w:r>
          </w:p>
        </w:tc>
        <w:tc>
          <w:tcPr>
            <w:tcW w:w="77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10" w:type="pct"/>
            <w:vAlign w:val="center"/>
          </w:tcPr>
          <w:p>
            <w:pPr>
              <w:rPr>
                <w:sz w:val="24"/>
              </w:rPr>
            </w:pPr>
            <w:r>
              <w:rPr>
                <w:rFonts w:hint="eastAsia"/>
                <w:sz w:val="24"/>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center"/>
              <w:rPr>
                <w:sz w:val="24"/>
              </w:rPr>
            </w:pPr>
            <w:r>
              <w:rPr>
                <w:sz w:val="24"/>
              </w:rPr>
              <w:t>17</w:t>
            </w:r>
          </w:p>
        </w:tc>
        <w:tc>
          <w:tcPr>
            <w:tcW w:w="241" w:type="pct"/>
            <w:vAlign w:val="center"/>
          </w:tcPr>
          <w:p>
            <w:pPr>
              <w:jc w:val="center"/>
              <w:rPr>
                <w:sz w:val="24"/>
              </w:rPr>
            </w:pPr>
            <w:r>
              <w:rPr>
                <w:sz w:val="24"/>
              </w:rPr>
              <w:t>24</w:t>
            </w:r>
          </w:p>
        </w:tc>
        <w:tc>
          <w:tcPr>
            <w:tcW w:w="772" w:type="pct"/>
            <w:vAlign w:val="center"/>
          </w:tcPr>
          <w:p>
            <w:pPr>
              <w:jc w:val="center"/>
              <w:rPr>
                <w:sz w:val="24"/>
              </w:rPr>
            </w:pPr>
            <w:r>
              <w:rPr>
                <w:rFonts w:hint="eastAsia"/>
                <w:sz w:val="24"/>
              </w:rPr>
              <w:t>签约</w:t>
            </w:r>
          </w:p>
        </w:tc>
        <w:tc>
          <w:tcPr>
            <w:tcW w:w="3410" w:type="pct"/>
            <w:vAlign w:val="center"/>
          </w:tcPr>
          <w:p>
            <w:pPr>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）天以前的任何时候，无论出于何种原因，采购人可主动的或在解答供应商提出的澄清问题时对竞争性磋商文件进行修改。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响应文件一式3份（</w:t>
      </w:r>
      <w:r>
        <w:rPr>
          <w:rFonts w:ascii="宋体" w:hAnsi="宋体"/>
          <w:sz w:val="24"/>
        </w:rPr>
        <w:t xml:space="preserve">1 </w:t>
      </w:r>
      <w:r>
        <w:rPr>
          <w:rFonts w:hint="eastAsia" w:ascii="宋体" w:hAnsi="宋体"/>
          <w:sz w:val="24"/>
        </w:rPr>
        <w:t>份正本、2份副本），电子版本一份。响应文件用中文编写，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       ”之前不得启封的字样，并填入“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7"/>
      <w:bookmarkEnd w:id="8"/>
      <w:bookmarkEnd w:id="9"/>
      <w:bookmarkEnd w:id="10"/>
      <w:bookmarkStart w:id="11" w:name="_Toc227057922"/>
      <w:bookmarkStart w:id="12" w:name="_Toc107822520"/>
      <w:bookmarkStart w:id="13" w:name="_Toc226969316"/>
      <w:r>
        <w:br w:type="page"/>
      </w:r>
    </w:p>
    <w:bookmarkEnd w:id="11"/>
    <w:bookmarkEnd w:id="12"/>
    <w:bookmarkEnd w:id="13"/>
    <w:p>
      <w:pPr>
        <w:pStyle w:val="3"/>
        <w:numPr>
          <w:ilvl w:val="0"/>
          <w:numId w:val="0"/>
        </w:numPr>
        <w:spacing w:before="0" w:after="0" w:line="360" w:lineRule="auto"/>
        <w:rPr>
          <w:b/>
          <w:sz w:val="36"/>
          <w:szCs w:val="36"/>
        </w:rPr>
      </w:pPr>
      <w:bookmarkStart w:id="14" w:name="_Toc69378617"/>
      <w:bookmarkStart w:id="15" w:name="_Toc227057958"/>
      <w:bookmarkStart w:id="16" w:name="_Toc107822556"/>
      <w:bookmarkStart w:id="17" w:name="_Toc226969352"/>
      <w:r>
        <w:rPr>
          <w:rFonts w:hint="eastAsia"/>
          <w:b/>
          <w:sz w:val="36"/>
          <w:szCs w:val="36"/>
        </w:rPr>
        <w:t>第三章评审办法</w:t>
      </w:r>
      <w:bookmarkEnd w:id="14"/>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须对第三章《评</w:t>
      </w:r>
      <w:r>
        <w:rPr>
          <w:rFonts w:hint="eastAsia" w:ascii="宋体" w:hAnsi="宋体"/>
          <w:sz w:val="24"/>
        </w:rPr>
        <w:t>审</w:t>
      </w:r>
      <w:r>
        <w:rPr>
          <w:rFonts w:ascii="宋体" w:hAnsi="宋体"/>
          <w:sz w:val="24"/>
        </w:rPr>
        <w:t>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kern w:val="0"/>
                <w:szCs w:val="21"/>
              </w:rPr>
            </w:pPr>
            <w:r>
              <w:rPr>
                <w:b/>
                <w:kern w:val="0"/>
                <w:szCs w:val="21"/>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40分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A、评审价的计算：</w:t>
            </w:r>
          </w:p>
          <w:p>
            <w:pPr>
              <w:spacing w:line="360" w:lineRule="auto"/>
              <w:rPr>
                <w:rFonts w:cs="宋体"/>
                <w:bCs/>
                <w:kern w:val="0"/>
                <w:szCs w:val="21"/>
              </w:rPr>
            </w:pPr>
            <w:r>
              <w:rPr>
                <w:rFonts w:hint="eastAsia" w:cs="宋体"/>
                <w:bCs/>
                <w:kern w:val="0"/>
                <w:szCs w:val="21"/>
              </w:rPr>
              <w:t>1、供应商的最终报价如有缺漏项均视为不实质性响应；</w:t>
            </w:r>
          </w:p>
          <w:p>
            <w:pPr>
              <w:spacing w:line="360" w:lineRule="auto"/>
              <w:rPr>
                <w:rFonts w:cs="宋体"/>
                <w:bCs/>
                <w:kern w:val="0"/>
                <w:szCs w:val="21"/>
              </w:rPr>
            </w:pPr>
            <w:r>
              <w:rPr>
                <w:rFonts w:hint="eastAsia" w:cs="宋体"/>
                <w:bCs/>
                <w:kern w:val="0"/>
                <w:szCs w:val="21"/>
              </w:rPr>
              <w:t>2、不接受选择性报价或者具有附加条件的报价；</w:t>
            </w:r>
          </w:p>
          <w:p>
            <w:pPr>
              <w:spacing w:line="360" w:lineRule="auto"/>
              <w:rPr>
                <w:rFonts w:cs="宋体"/>
                <w:bCs/>
                <w:kern w:val="0"/>
                <w:szCs w:val="21"/>
              </w:rPr>
            </w:pPr>
            <w:r>
              <w:rPr>
                <w:rFonts w:hint="eastAsia" w:cs="宋体"/>
                <w:bCs/>
                <w:kern w:val="0"/>
                <w:szCs w:val="21"/>
              </w:rPr>
              <w:t>3、响应文件中如果申报了非采购文件所要求的服务和产品，评审时不予以折价降低评审价。</w:t>
            </w:r>
          </w:p>
          <w:p>
            <w:pPr>
              <w:spacing w:line="360" w:lineRule="auto"/>
              <w:rPr>
                <w:rFonts w:cs="宋体"/>
                <w:bCs/>
                <w:kern w:val="0"/>
                <w:szCs w:val="21"/>
              </w:rPr>
            </w:pPr>
            <w:r>
              <w:rPr>
                <w:rFonts w:hint="eastAsia" w:cs="宋体"/>
                <w:bCs/>
                <w:kern w:val="0"/>
                <w:szCs w:val="21"/>
              </w:rPr>
              <w:t>B、价格分的计算（保留小数点后2位）：</w:t>
            </w:r>
          </w:p>
          <w:p>
            <w:pPr>
              <w:spacing w:line="360" w:lineRule="auto"/>
              <w:rPr>
                <w:rFonts w:cs="宋体"/>
                <w:bCs/>
                <w:kern w:val="0"/>
                <w:szCs w:val="21"/>
              </w:rPr>
            </w:pPr>
            <w:r>
              <w:rPr>
                <w:rFonts w:hint="eastAsia" w:cs="宋体"/>
                <w:bCs/>
                <w:kern w:val="0"/>
                <w:szCs w:val="21"/>
              </w:rPr>
              <w:t>1、供应商评审价=经评审的该供应商含税总价格。</w:t>
            </w:r>
          </w:p>
          <w:p>
            <w:pPr>
              <w:spacing w:line="360" w:lineRule="auto"/>
              <w:rPr>
                <w:rFonts w:cs="宋体"/>
                <w:bCs/>
                <w:kern w:val="0"/>
                <w:szCs w:val="21"/>
              </w:rPr>
            </w:pPr>
            <w:r>
              <w:rPr>
                <w:rFonts w:hint="eastAsia" w:cs="宋体"/>
                <w:bCs/>
                <w:kern w:val="0"/>
                <w:szCs w:val="21"/>
              </w:rPr>
              <w:t>2、评标基准价：满足响应文件要求的所有供应商评审价中的最低价为评标基准价。</w:t>
            </w:r>
          </w:p>
          <w:p>
            <w:pPr>
              <w:spacing w:line="360" w:lineRule="auto"/>
              <w:rPr>
                <w:rFonts w:cs="宋体"/>
                <w:bCs/>
                <w:kern w:val="0"/>
                <w:szCs w:val="21"/>
              </w:rPr>
            </w:pPr>
            <w:r>
              <w:rPr>
                <w:rFonts w:hint="eastAsia" w:cs="宋体"/>
                <w:bCs/>
                <w:kern w:val="0"/>
                <w:szCs w:val="21"/>
              </w:rPr>
              <w:t>3、计算价格得分：价格分=（评标基准价/供应商的评审价）×40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bCs/>
                <w:kern w:val="0"/>
                <w:szCs w:val="21"/>
              </w:rPr>
              <w:t>3</w:t>
            </w:r>
            <w:r>
              <w:rPr>
                <w:rFonts w:hint="eastAsia"/>
                <w:bCs/>
                <w:kern w:val="0"/>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根据供应商的企业规模、企业获奖情况、荣誉证书、财务状况（总资产、负债率、利润等）打分。</w:t>
            </w:r>
          </w:p>
          <w:p>
            <w:pPr>
              <w:spacing w:line="360" w:lineRule="auto"/>
              <w:rPr>
                <w:rFonts w:cs="宋体"/>
                <w:bCs/>
                <w:kern w:val="0"/>
                <w:szCs w:val="21"/>
              </w:rPr>
            </w:pPr>
            <w:r>
              <w:rPr>
                <w:rFonts w:hint="eastAsia" w:cs="宋体"/>
                <w:bCs/>
                <w:kern w:val="0"/>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10分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根据供应商提供的自2019年1月1日以来，作为本项目磋商产品内容集成注入系统的应用案例打分，案例以合同为准。每有一个合同金额超过50万元人民币的案例得2分。满分1</w:t>
            </w:r>
            <w:r>
              <w:rPr>
                <w:rFonts w:cs="宋体"/>
                <w:bCs/>
                <w:kern w:val="0"/>
                <w:szCs w:val="21"/>
              </w:rPr>
              <w:t>0</w:t>
            </w:r>
            <w:r>
              <w:rPr>
                <w:rFonts w:hint="eastAsia" w:cs="宋体"/>
                <w:bCs/>
                <w:kern w:val="0"/>
                <w:szCs w:val="21"/>
              </w:rPr>
              <w:t>分。</w:t>
            </w:r>
            <w:r>
              <w:rPr>
                <w:rFonts w:cs="宋体"/>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30分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根据供应商对采购文件第五章《技术需求书》的偏离情况打分，基本分20分。</w:t>
            </w:r>
          </w:p>
          <w:p>
            <w:pPr>
              <w:spacing w:line="360" w:lineRule="auto"/>
              <w:rPr>
                <w:rFonts w:cs="宋体"/>
                <w:bCs/>
                <w:kern w:val="0"/>
                <w:szCs w:val="21"/>
              </w:rPr>
            </w:pPr>
            <w:r>
              <w:rPr>
                <w:rFonts w:hint="eastAsia" w:cs="宋体"/>
                <w:bCs/>
                <w:kern w:val="0"/>
                <w:szCs w:val="21"/>
              </w:rPr>
              <w:t>关键条款（“</w:t>
            </w:r>
            <w:r>
              <w:rPr>
                <w:rFonts w:ascii="宋体" w:hAnsi="宋体" w:cs="宋体"/>
                <w:bCs/>
                <w:szCs w:val="21"/>
              </w:rPr>
              <w:t>★</w:t>
            </w:r>
            <w:r>
              <w:rPr>
                <w:rFonts w:hint="eastAsia" w:cs="宋体"/>
                <w:bCs/>
                <w:kern w:val="0"/>
                <w:szCs w:val="21"/>
              </w:rPr>
              <w:t>”号条款）不满足的否决磋商；非关键条款（非“</w:t>
            </w:r>
            <w:r>
              <w:rPr>
                <w:rFonts w:ascii="宋体" w:hAnsi="宋体" w:cs="宋体"/>
                <w:bCs/>
                <w:szCs w:val="21"/>
              </w:rPr>
              <w:t>★</w:t>
            </w:r>
            <w:r>
              <w:rPr>
                <w:rFonts w:hint="eastAsia" w:cs="宋体"/>
                <w:bCs/>
                <w:kern w:val="0"/>
                <w:szCs w:val="21"/>
              </w:rPr>
              <w:t>”号条款）</w:t>
            </w:r>
            <w:r>
              <w:rPr>
                <w:rFonts w:cs="宋体"/>
                <w:bCs/>
                <w:kern w:val="0"/>
                <w:szCs w:val="21"/>
              </w:rPr>
              <w:t>3</w:t>
            </w:r>
            <w:r>
              <w:rPr>
                <w:rFonts w:hint="eastAsia" w:cs="宋体"/>
                <w:bCs/>
                <w:kern w:val="0"/>
                <w:szCs w:val="21"/>
              </w:rPr>
              <w:t>条及以上不满足的否决磋商，非关键条款每项不满足扣除基本分3分。</w:t>
            </w:r>
          </w:p>
          <w:p>
            <w:pPr>
              <w:spacing w:line="360" w:lineRule="auto"/>
              <w:rPr>
                <w:rFonts w:cs="宋体"/>
                <w:bCs/>
                <w:kern w:val="0"/>
                <w:szCs w:val="21"/>
              </w:rPr>
            </w:pPr>
            <w:r>
              <w:rPr>
                <w:rFonts w:cs="宋体"/>
                <w:bCs/>
                <w:kern w:val="0"/>
                <w:szCs w:val="21"/>
              </w:rPr>
              <w:t>优于</w:t>
            </w:r>
            <w:r>
              <w:rPr>
                <w:rFonts w:hint="eastAsia" w:cs="宋体"/>
                <w:bCs/>
                <w:kern w:val="0"/>
                <w:szCs w:val="21"/>
              </w:rPr>
              <w:t>采购</w:t>
            </w:r>
            <w:r>
              <w:rPr>
                <w:rFonts w:cs="宋体"/>
                <w:bCs/>
                <w:kern w:val="0"/>
                <w:szCs w:val="21"/>
              </w:rPr>
              <w:t>文件要求</w:t>
            </w:r>
            <w:r>
              <w:rPr>
                <w:rFonts w:hint="eastAsia" w:cs="宋体"/>
                <w:bCs/>
                <w:kern w:val="0"/>
                <w:szCs w:val="21"/>
              </w:rPr>
              <w:t>（技术需求中2.2.5, 2.2.14, 2.2.16，2.2.20, 2.2.21正偏离）</w:t>
            </w:r>
            <w:r>
              <w:rPr>
                <w:rFonts w:cs="宋体"/>
                <w:bCs/>
                <w:kern w:val="0"/>
                <w:szCs w:val="21"/>
              </w:rPr>
              <w:t xml:space="preserve">，经评委认定有效的，每一项加 </w:t>
            </w:r>
            <w:r>
              <w:rPr>
                <w:rFonts w:hint="eastAsia" w:cs="宋体"/>
                <w:bCs/>
                <w:kern w:val="0"/>
                <w:szCs w:val="21"/>
              </w:rPr>
              <w:t>2</w:t>
            </w:r>
            <w:r>
              <w:rPr>
                <w:rFonts w:cs="宋体"/>
                <w:bCs/>
                <w:kern w:val="0"/>
                <w:szCs w:val="21"/>
              </w:rPr>
              <w:t>分，加满</w:t>
            </w:r>
            <w:r>
              <w:rPr>
                <w:rFonts w:hint="eastAsia" w:cs="宋体"/>
                <w:bCs/>
                <w:kern w:val="0"/>
                <w:szCs w:val="21"/>
              </w:rPr>
              <w:t>10</w:t>
            </w:r>
            <w:r>
              <w:rPr>
                <w:rFonts w:cs="宋体"/>
                <w:bCs/>
                <w:kern w:val="0"/>
                <w:szCs w:val="21"/>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bCs/>
                <w:kern w:val="0"/>
                <w:szCs w:val="21"/>
              </w:rPr>
            </w:pPr>
            <w:r>
              <w:rPr>
                <w:rFonts w:hint="eastAsia"/>
                <w:bCs/>
                <w:kern w:val="0"/>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根据供应商提供的实施方案、施工进度及质量管理、应急管理方案进行评分：</w:t>
            </w:r>
          </w:p>
          <w:p>
            <w:pPr>
              <w:spacing w:line="360" w:lineRule="auto"/>
              <w:rPr>
                <w:rFonts w:cs="宋体"/>
                <w:bCs/>
                <w:kern w:val="0"/>
                <w:szCs w:val="21"/>
              </w:rPr>
            </w:pPr>
            <w:r>
              <w:rPr>
                <w:rFonts w:hint="eastAsia" w:cs="宋体"/>
                <w:bCs/>
                <w:kern w:val="0"/>
                <w:szCs w:val="21"/>
              </w:rPr>
              <w:t>实施方案、施工进度、质量管理及应急管理方案等： 优良(3，5]分；较好[2，3]分；一般[0，2)分。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restart"/>
            <w:tcBorders>
              <w:top w:val="single" w:color="auto" w:sz="4" w:space="0"/>
              <w:left w:val="single" w:color="auto" w:sz="4" w:space="0"/>
              <w:right w:val="single" w:color="auto" w:sz="4" w:space="0"/>
            </w:tcBorders>
            <w:vAlign w:val="center"/>
          </w:tcPr>
          <w:p>
            <w:pPr>
              <w:spacing w:line="360" w:lineRule="auto"/>
              <w:rPr>
                <w:bCs/>
                <w:kern w:val="0"/>
                <w:szCs w:val="21"/>
              </w:rPr>
            </w:pPr>
            <w:r>
              <w:rPr>
                <w:rFonts w:hint="eastAsia"/>
                <w:bCs/>
                <w:kern w:val="0"/>
                <w:szCs w:val="21"/>
              </w:rPr>
              <w:t>服务能力</w:t>
            </w:r>
          </w:p>
        </w:tc>
        <w:tc>
          <w:tcPr>
            <w:tcW w:w="912" w:type="dxa"/>
            <w:vMerge w:val="restart"/>
            <w:tcBorders>
              <w:top w:val="single" w:color="auto" w:sz="4" w:space="0"/>
              <w:left w:val="single" w:color="auto" w:sz="4" w:space="0"/>
              <w:right w:val="single" w:color="auto" w:sz="4" w:space="0"/>
            </w:tcBorders>
            <w:vAlign w:val="center"/>
          </w:tcPr>
          <w:p>
            <w:pPr>
              <w:spacing w:line="360" w:lineRule="auto"/>
              <w:rPr>
                <w:bCs/>
                <w:kern w:val="0"/>
                <w:szCs w:val="21"/>
              </w:rPr>
            </w:pPr>
            <w:r>
              <w:rPr>
                <w:bCs/>
                <w:kern w:val="0"/>
                <w:szCs w:val="21"/>
              </w:rPr>
              <w:t>1</w:t>
            </w:r>
            <w:r>
              <w:rPr>
                <w:rFonts w:hint="eastAsia"/>
                <w:bCs/>
                <w:kern w:val="0"/>
                <w:szCs w:val="21"/>
              </w:rPr>
              <w:t>2分</w:t>
            </w: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1、根据供应商的售后服务机构的实力打分：优良(</w:t>
            </w:r>
            <w:r>
              <w:rPr>
                <w:rFonts w:cs="宋体"/>
                <w:bCs/>
                <w:kern w:val="0"/>
                <w:szCs w:val="21"/>
              </w:rPr>
              <w:t>1</w:t>
            </w:r>
            <w:r>
              <w:rPr>
                <w:rFonts w:hint="eastAsia" w:cs="宋体"/>
                <w:bCs/>
                <w:kern w:val="0"/>
                <w:szCs w:val="21"/>
              </w:rPr>
              <w:t>，</w:t>
            </w:r>
            <w:r>
              <w:rPr>
                <w:rFonts w:cs="宋体"/>
                <w:bCs/>
                <w:kern w:val="0"/>
                <w:szCs w:val="21"/>
              </w:rPr>
              <w:t>2</w:t>
            </w:r>
            <w:r>
              <w:rPr>
                <w:rFonts w:hint="eastAsia" w:cs="宋体"/>
                <w:bCs/>
                <w:kern w:val="0"/>
                <w:szCs w:val="21"/>
              </w:rPr>
              <w:t>]分；一般[0，1]；</w:t>
            </w:r>
          </w:p>
          <w:p>
            <w:pPr>
              <w:spacing w:line="360" w:lineRule="auto"/>
              <w:rPr>
                <w:rFonts w:cs="宋体"/>
                <w:bCs/>
                <w:kern w:val="0"/>
                <w:szCs w:val="21"/>
              </w:rPr>
            </w:pPr>
            <w:r>
              <w:rPr>
                <w:rFonts w:hint="eastAsia" w:cs="宋体"/>
                <w:bCs/>
                <w:kern w:val="0"/>
                <w:szCs w:val="21"/>
              </w:rPr>
              <w:t>2、根据供应商服务响应时间横向比较打分，满分3分。</w:t>
            </w:r>
          </w:p>
          <w:p>
            <w:pPr>
              <w:spacing w:line="360" w:lineRule="auto"/>
              <w:rPr>
                <w:rFonts w:cs="宋体"/>
                <w:bCs/>
                <w:kern w:val="0"/>
                <w:szCs w:val="21"/>
              </w:rPr>
            </w:pPr>
            <w:r>
              <w:rPr>
                <w:rFonts w:hint="eastAsia" w:cs="宋体"/>
                <w:bCs/>
                <w:kern w:val="0"/>
                <w:szCs w:val="21"/>
              </w:rPr>
              <w:t>优良(1，2]分；一般[0，1]；服务响应时间小于1小时，加1分。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spacing w:line="360" w:lineRule="auto"/>
              <w:rPr>
                <w:bCs/>
                <w:kern w:val="0"/>
                <w:szCs w:val="21"/>
              </w:rPr>
            </w:pPr>
          </w:p>
        </w:tc>
        <w:tc>
          <w:tcPr>
            <w:tcW w:w="912" w:type="dxa"/>
            <w:vMerge w:val="continue"/>
            <w:tcBorders>
              <w:left w:val="single" w:color="auto" w:sz="4" w:space="0"/>
              <w:bottom w:val="single" w:color="auto" w:sz="4" w:space="0"/>
              <w:right w:val="single" w:color="auto" w:sz="4" w:space="0"/>
            </w:tcBorders>
            <w:vAlign w:val="center"/>
          </w:tcPr>
          <w:p>
            <w:pPr>
              <w:spacing w:line="360" w:lineRule="auto"/>
              <w:rPr>
                <w:bCs/>
                <w:kern w:val="0"/>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bCs/>
                <w:kern w:val="0"/>
                <w:szCs w:val="21"/>
              </w:rPr>
            </w:pPr>
            <w:r>
              <w:rPr>
                <w:rFonts w:hint="eastAsia" w:cs="宋体"/>
                <w:bCs/>
                <w:kern w:val="0"/>
                <w:szCs w:val="21"/>
              </w:rPr>
              <w:t xml:space="preserve">3、根据供应商提供常驻技术人员配备(专职项目经理及项目实施团队) </w:t>
            </w:r>
            <w:r>
              <w:rPr>
                <w:rFonts w:hint="eastAsia" w:cs="宋体"/>
                <w:bCs/>
                <w:kern w:val="0"/>
              </w:rPr>
              <w:t>情况</w:t>
            </w:r>
            <w:r>
              <w:rPr>
                <w:rFonts w:hint="eastAsia" w:cs="宋体"/>
                <w:bCs/>
                <w:kern w:val="0"/>
                <w:szCs w:val="21"/>
              </w:rPr>
              <w:t>进行</w:t>
            </w:r>
            <w:r>
              <w:rPr>
                <w:rFonts w:cs="宋体"/>
                <w:bCs/>
                <w:kern w:val="0"/>
                <w:szCs w:val="21"/>
              </w:rPr>
              <w:t>比较打分</w:t>
            </w:r>
            <w:r>
              <w:rPr>
                <w:rFonts w:hint="eastAsia" w:cs="宋体"/>
                <w:bCs/>
                <w:kern w:val="0"/>
                <w:szCs w:val="21"/>
              </w:rPr>
              <w:t>，满分3分</w:t>
            </w:r>
            <w:r>
              <w:rPr>
                <w:rFonts w:cs="宋体"/>
                <w:bCs/>
                <w:kern w:val="0"/>
                <w:szCs w:val="21"/>
              </w:rPr>
              <w:t>。</w:t>
            </w:r>
          </w:p>
          <w:p>
            <w:pPr>
              <w:spacing w:line="360" w:lineRule="auto"/>
              <w:rPr>
                <w:rFonts w:cs="宋体"/>
                <w:bCs/>
                <w:kern w:val="0"/>
                <w:szCs w:val="21"/>
              </w:rPr>
            </w:pPr>
            <w:r>
              <w:rPr>
                <w:rFonts w:hint="eastAsia" w:cs="宋体"/>
                <w:bCs/>
                <w:kern w:val="0"/>
                <w:szCs w:val="21"/>
              </w:rPr>
              <w:t>优良(2，3]分；较好[1，2]分；一般[0，1)分。</w:t>
            </w:r>
          </w:p>
          <w:p>
            <w:pPr>
              <w:pStyle w:val="2"/>
              <w:rPr>
                <w:rFonts w:cs="宋体"/>
                <w:bCs/>
                <w:kern w:val="0"/>
                <w:sz w:val="21"/>
                <w:szCs w:val="21"/>
              </w:rPr>
            </w:pPr>
            <w:r>
              <w:rPr>
                <w:rFonts w:cs="宋体"/>
                <w:bCs/>
                <w:kern w:val="0"/>
                <w:sz w:val="21"/>
                <w:szCs w:val="21"/>
              </w:rPr>
              <w:t>4</w:t>
            </w:r>
            <w:r>
              <w:rPr>
                <w:rFonts w:hint="eastAsia" w:cs="宋体"/>
                <w:bCs/>
                <w:kern w:val="0"/>
                <w:sz w:val="21"/>
                <w:szCs w:val="21"/>
              </w:rPr>
              <w:t>、根据供应商免费包修期进行比较打分。</w:t>
            </w:r>
          </w:p>
          <w:p>
            <w:pPr>
              <w:spacing w:line="360" w:lineRule="auto"/>
              <w:rPr>
                <w:rFonts w:cs="宋体"/>
                <w:bCs/>
                <w:kern w:val="0"/>
                <w:szCs w:val="21"/>
              </w:rPr>
            </w:pPr>
            <w:r>
              <w:rPr>
                <w:rFonts w:hint="eastAsia" w:cs="宋体"/>
                <w:bCs/>
                <w:kern w:val="0"/>
                <w:szCs w:val="21"/>
              </w:rPr>
              <w:t>免费包修期等于3年不得分，每增加一年得</w:t>
            </w:r>
            <w:r>
              <w:rPr>
                <w:rFonts w:cs="宋体"/>
                <w:bCs/>
                <w:kern w:val="0"/>
                <w:szCs w:val="21"/>
              </w:rPr>
              <w:t>2</w:t>
            </w:r>
            <w:r>
              <w:rPr>
                <w:rFonts w:hint="eastAsia" w:cs="宋体"/>
                <w:bCs/>
                <w:kern w:val="0"/>
                <w:szCs w:val="21"/>
              </w:rPr>
              <w:t>分，满分</w:t>
            </w:r>
            <w:r>
              <w:rPr>
                <w:rFonts w:cs="宋体"/>
                <w:bCs/>
                <w:kern w:val="0"/>
                <w:szCs w:val="21"/>
              </w:rPr>
              <w:t>4</w:t>
            </w:r>
            <w:r>
              <w:rPr>
                <w:rFonts w:hint="eastAsia" w:cs="宋体"/>
                <w:bCs/>
                <w:kern w:val="0"/>
                <w:szCs w:val="21"/>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sz w:val="36"/>
          <w:szCs w:val="36"/>
        </w:rPr>
      </w:pPr>
      <w:r>
        <w:br w:type="page"/>
      </w:r>
      <w:bookmarkStart w:id="18" w:name="_Toc69378618"/>
      <w:r>
        <w:rPr>
          <w:rFonts w:hint="eastAsia"/>
          <w:b/>
          <w:sz w:val="36"/>
          <w:szCs w:val="36"/>
        </w:rPr>
        <w:t>第四章</w:t>
      </w:r>
      <w:r>
        <w:rPr>
          <w:b/>
          <w:sz w:val="36"/>
          <w:szCs w:val="36"/>
        </w:rPr>
        <w:t>合同格式</w:t>
      </w:r>
      <w:bookmarkEnd w:id="18"/>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rPr>
      </w:pPr>
      <w:r>
        <w:rPr>
          <w:rFonts w:eastAsia="黑体"/>
          <w:bCs/>
          <w:sz w:val="52"/>
          <w:szCs w:val="52"/>
        </w:rPr>
        <w:br w:type="page"/>
      </w:r>
    </w:p>
    <w:p>
      <w:pPr>
        <w:spacing w:line="300" w:lineRule="auto"/>
        <w:jc w:val="center"/>
        <w:rPr>
          <w:rFonts w:ascii="黑体" w:hAnsi="宋体" w:eastAsia="黑体"/>
          <w:kern w:val="0"/>
        </w:rPr>
      </w:pPr>
      <w:r>
        <w:rPr>
          <w:rFonts w:hint="eastAsia" w:eastAsia="黑体"/>
          <w:sz w:val="37"/>
        </w:rPr>
        <w:t>合同格式</w:t>
      </w:r>
    </w:p>
    <w:p>
      <w:pPr>
        <w:spacing w:line="360" w:lineRule="auto"/>
        <w:ind w:firstLine="422" w:firstLineChars="200"/>
        <w:rPr>
          <w:rFonts w:ascii="宋体" w:hAnsi="宋体"/>
          <w:szCs w:val="21"/>
        </w:rPr>
      </w:pPr>
      <w:r>
        <w:rPr>
          <w:rFonts w:ascii="宋体" w:hAnsi="宋体"/>
          <w:b/>
          <w:szCs w:val="21"/>
          <w:u w:val="single"/>
        </w:rPr>
        <w:t>江苏省广电有线信息网络股份有限公司（以下简称“甲方”）</w:t>
      </w:r>
      <w:r>
        <w:rPr>
          <w:rFonts w:ascii="宋体" w:hAnsi="宋体"/>
          <w:szCs w:val="21"/>
        </w:rPr>
        <w:t>就</w:t>
      </w:r>
      <w:r>
        <w:rPr>
          <w:rFonts w:hint="eastAsia" w:ascii="宋体" w:hAnsi="宋体"/>
          <w:b/>
          <w:szCs w:val="21"/>
          <w:u w:val="single"/>
        </w:rPr>
        <w:t>内容集成注入系统优化改造项目</w:t>
      </w:r>
      <w:r>
        <w:rPr>
          <w:rFonts w:ascii="宋体" w:hAnsi="宋体"/>
          <w:szCs w:val="21"/>
        </w:rPr>
        <w:t>的采购及相关服务组织了</w:t>
      </w:r>
      <w:r>
        <w:rPr>
          <w:rFonts w:hint="eastAsia" w:ascii="宋体" w:hAnsi="宋体"/>
          <w:szCs w:val="21"/>
        </w:rPr>
        <w:t>竞争性磋商</w:t>
      </w:r>
      <w:r>
        <w:rPr>
          <w:rFonts w:ascii="宋体" w:hAnsi="宋体"/>
          <w:szCs w:val="21"/>
        </w:rPr>
        <w:t>，经评委会严格评审，本项目由</w:t>
      </w:r>
      <w:r>
        <w:rPr>
          <w:rFonts w:hint="eastAsia" w:ascii="宋体" w:hAnsi="宋体"/>
          <w:szCs w:val="21"/>
          <w:u w:val="single"/>
        </w:rPr>
        <w:t xml:space="preserve">        </w:t>
      </w:r>
      <w:r>
        <w:rPr>
          <w:rFonts w:ascii="宋体" w:hAnsi="宋体"/>
          <w:b/>
          <w:szCs w:val="21"/>
          <w:u w:val="single"/>
        </w:rPr>
        <w:t>公司</w:t>
      </w:r>
      <w:r>
        <w:rPr>
          <w:rFonts w:ascii="宋体" w:hAnsi="宋体"/>
          <w:b/>
          <w:szCs w:val="21"/>
        </w:rPr>
        <w:t>（以下简称“乙方”）</w:t>
      </w:r>
      <w:r>
        <w:rPr>
          <w:rFonts w:ascii="宋体" w:hAnsi="宋体"/>
          <w:szCs w:val="21"/>
        </w:rPr>
        <w:t>中标。</w:t>
      </w:r>
    </w:p>
    <w:p>
      <w:pPr>
        <w:spacing w:line="360" w:lineRule="auto"/>
        <w:ind w:firstLine="420" w:firstLineChars="200"/>
        <w:rPr>
          <w:rFonts w:ascii="宋体" w:hAnsi="宋体"/>
          <w:szCs w:val="21"/>
        </w:rPr>
      </w:pPr>
      <w:r>
        <w:rPr>
          <w:rFonts w:hint="eastAsia" w:ascii="宋体" w:hAnsi="宋体"/>
          <w:bCs/>
          <w:szCs w:val="21"/>
        </w:rPr>
        <w:t>甲</w:t>
      </w:r>
      <w:r>
        <w:rPr>
          <w:rFonts w:ascii="宋体" w:hAnsi="宋体"/>
          <w:bCs/>
          <w:szCs w:val="21"/>
        </w:rPr>
        <w:t>、</w:t>
      </w:r>
      <w:r>
        <w:rPr>
          <w:rFonts w:hint="eastAsia" w:ascii="宋体" w:hAnsi="宋体"/>
          <w:bCs/>
          <w:szCs w:val="21"/>
        </w:rPr>
        <w:t>乙</w:t>
      </w:r>
      <w:r>
        <w:rPr>
          <w:rFonts w:ascii="宋体" w:hAnsi="宋体"/>
          <w:bCs/>
          <w:szCs w:val="21"/>
        </w:rPr>
        <w:t>双方根据</w:t>
      </w:r>
      <w:r>
        <w:rPr>
          <w:rFonts w:hint="eastAsia" w:ascii="宋体" w:hAnsi="宋体"/>
          <w:szCs w:val="21"/>
        </w:rPr>
        <w:t>竞争性磋商</w:t>
      </w:r>
      <w:r>
        <w:rPr>
          <w:rFonts w:ascii="宋体" w:hAnsi="宋体"/>
          <w:szCs w:val="21"/>
        </w:rPr>
        <w:t>文件的规定、乙方</w:t>
      </w:r>
      <w:r>
        <w:rPr>
          <w:rFonts w:hint="eastAsia" w:ascii="宋体" w:hAnsi="宋体"/>
          <w:szCs w:val="21"/>
        </w:rPr>
        <w:t>响应</w:t>
      </w:r>
      <w:r>
        <w:rPr>
          <w:rFonts w:ascii="宋体" w:hAnsi="宋体"/>
          <w:szCs w:val="21"/>
        </w:rPr>
        <w:t>文件及</w:t>
      </w:r>
      <w:r>
        <w:rPr>
          <w:rFonts w:hint="eastAsia" w:ascii="宋体" w:hAnsi="宋体"/>
          <w:szCs w:val="21"/>
        </w:rPr>
        <w:t>磋商</w:t>
      </w:r>
      <w:r>
        <w:rPr>
          <w:rFonts w:ascii="宋体" w:hAnsi="宋体"/>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19" w:name="_Toc69378619"/>
      <w:r>
        <w:rPr>
          <w:rFonts w:ascii="宋体" w:hAnsi="宋体" w:eastAsia="宋体" w:cs="宋体"/>
          <w:b/>
          <w:bCs w:val="0"/>
          <w:sz w:val="21"/>
          <w:szCs w:val="21"/>
        </w:rPr>
        <w:t>一、项目标的和内容</w:t>
      </w:r>
      <w:bookmarkEnd w:id="19"/>
    </w:p>
    <w:p>
      <w:pPr>
        <w:spacing w:line="360" w:lineRule="auto"/>
        <w:ind w:firstLine="420" w:firstLineChars="200"/>
        <w:rPr>
          <w:szCs w:val="21"/>
        </w:rPr>
      </w:pPr>
      <w:bookmarkStart w:id="20" w:name="_Toc69378620"/>
      <w:r>
        <w:rPr>
          <w:szCs w:val="21"/>
        </w:rPr>
        <w:t>项目标的内容包括乙方按照甲方具体要求供应</w:t>
      </w:r>
      <w:r>
        <w:rPr>
          <w:rFonts w:hint="eastAsia" w:ascii="Tahoma" w:hAnsi="Tahoma"/>
          <w:sz w:val="24"/>
          <w:u w:val="single"/>
        </w:rPr>
        <w:t>“                    ”</w:t>
      </w:r>
      <w:r>
        <w:rPr>
          <w:szCs w:val="21"/>
        </w:rPr>
        <w:t>相关软</w:t>
      </w:r>
      <w:r>
        <w:rPr>
          <w:rFonts w:hint="eastAsia"/>
          <w:szCs w:val="21"/>
        </w:rPr>
        <w:t>硬</w:t>
      </w:r>
      <w:r>
        <w:rPr>
          <w:szCs w:val="21"/>
        </w:rPr>
        <w:t>件、</w:t>
      </w:r>
      <w:r>
        <w:rPr>
          <w:rFonts w:hint="eastAsia"/>
          <w:szCs w:val="21"/>
        </w:rPr>
        <w:t>授权</w:t>
      </w:r>
      <w:r>
        <w:rPr>
          <w:szCs w:val="21"/>
        </w:rPr>
        <w:t>，并完成所有软、硬件的安装、调试及操作培训工作，同时</w:t>
      </w:r>
      <w:r>
        <w:rPr>
          <w:rFonts w:hint="eastAsia"/>
          <w:szCs w:val="21"/>
        </w:rPr>
        <w:t>乙</w:t>
      </w:r>
      <w:r>
        <w:rPr>
          <w:szCs w:val="21"/>
        </w:rPr>
        <w:t>方承诺配合</w:t>
      </w:r>
      <w:r>
        <w:rPr>
          <w:rFonts w:hint="eastAsia"/>
          <w:szCs w:val="21"/>
        </w:rPr>
        <w:t>甲</w:t>
      </w:r>
      <w:r>
        <w:rPr>
          <w:szCs w:val="21"/>
        </w:rPr>
        <w:t>方及</w:t>
      </w:r>
      <w:r>
        <w:rPr>
          <w:rFonts w:hint="eastAsia"/>
          <w:szCs w:val="21"/>
        </w:rPr>
        <w:t>乙</w:t>
      </w:r>
      <w:r>
        <w:rPr>
          <w:szCs w:val="21"/>
        </w:rPr>
        <w:t>方指定的厂商完成相关的系统集成。具体设备名称、规格型号、配置、数量、价格明细及总价等详见附件一：</w:t>
      </w:r>
      <w:r>
        <w:rPr>
          <w:rFonts w:hint="eastAsia"/>
          <w:szCs w:val="21"/>
        </w:rPr>
        <w:t>价格表</w:t>
      </w:r>
      <w:r>
        <w:rPr>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0"/>
    </w:p>
    <w:p>
      <w:pPr>
        <w:numPr>
          <w:ilvl w:val="1"/>
          <w:numId w:val="6"/>
        </w:numPr>
        <w:tabs>
          <w:tab w:val="left" w:pos="0"/>
          <w:tab w:val="clear" w:pos="1155"/>
        </w:tabs>
        <w:spacing w:line="360" w:lineRule="auto"/>
        <w:ind w:left="0" w:firstLine="0"/>
        <w:rPr>
          <w:rFonts w:ascii="宋体" w:hAnsi="宋体"/>
          <w:szCs w:val="21"/>
        </w:rPr>
      </w:pPr>
      <w:r>
        <w:rPr>
          <w:rFonts w:ascii="宋体" w:hAnsi="宋体"/>
          <w:szCs w:val="21"/>
        </w:rPr>
        <w:t>合同总价</w:t>
      </w:r>
      <w:r>
        <w:rPr>
          <w:rFonts w:ascii="宋体" w:hAnsi="宋体"/>
          <w:b/>
          <w:szCs w:val="21"/>
        </w:rPr>
        <w:t>（人民币大写）：</w:t>
      </w:r>
      <w:r>
        <w:rPr>
          <w:rFonts w:hint="eastAsia" w:ascii="宋体" w:hAnsi="宋体"/>
          <w:b/>
          <w:szCs w:val="21"/>
          <w:u w:val="single"/>
        </w:rPr>
        <w:t xml:space="preserve">            </w:t>
      </w:r>
      <w:r>
        <w:rPr>
          <w:rFonts w:ascii="宋体" w:hAnsi="宋体"/>
          <w:szCs w:val="21"/>
        </w:rPr>
        <w:t>。</w:t>
      </w:r>
    </w:p>
    <w:p>
      <w:pPr>
        <w:spacing w:line="360" w:lineRule="auto"/>
        <w:ind w:firstLine="1265" w:firstLineChars="600"/>
        <w:rPr>
          <w:rFonts w:ascii="宋体" w:hAnsi="宋体"/>
          <w:szCs w:val="21"/>
        </w:rPr>
      </w:pPr>
      <w:r>
        <w:rPr>
          <w:rFonts w:ascii="宋体" w:hAnsi="宋体"/>
          <w:b/>
          <w:szCs w:val="21"/>
        </w:rPr>
        <w:t>（人民币小写）：</w:t>
      </w:r>
      <w:r>
        <w:rPr>
          <w:rFonts w:ascii="宋体" w:hAnsi="宋体"/>
          <w:b/>
          <w:szCs w:val="21"/>
          <w:u w:val="single"/>
        </w:rPr>
        <w:t>￥</w:t>
      </w:r>
      <w:r>
        <w:rPr>
          <w:rFonts w:hint="eastAsia" w:ascii="宋体" w:hAnsi="宋体"/>
          <w:b/>
          <w:szCs w:val="21"/>
          <w:u w:val="single"/>
        </w:rPr>
        <w:t xml:space="preserve">          </w:t>
      </w:r>
      <w:r>
        <w:rPr>
          <w:rFonts w:ascii="宋体" w:hAnsi="宋体"/>
          <w:szCs w:val="21"/>
        </w:rPr>
        <w:t>。</w:t>
      </w:r>
    </w:p>
    <w:p>
      <w:pPr>
        <w:numPr>
          <w:ilvl w:val="1"/>
          <w:numId w:val="6"/>
        </w:numPr>
        <w:tabs>
          <w:tab w:val="left" w:pos="0"/>
          <w:tab w:val="clear" w:pos="1155"/>
        </w:tabs>
        <w:spacing w:line="360" w:lineRule="auto"/>
        <w:ind w:left="0" w:firstLine="0"/>
        <w:rPr>
          <w:szCs w:val="21"/>
        </w:rPr>
      </w:pPr>
      <w:bookmarkStart w:id="21"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szCs w:val="21"/>
        </w:rPr>
        <w:t>甲</w:t>
      </w:r>
      <w:r>
        <w:rPr>
          <w:rFonts w:hint="eastAsia"/>
          <w:szCs w:val="21"/>
        </w:rPr>
        <w:t>方不再以任何名义、任何方式向</w:t>
      </w:r>
      <w:r>
        <w:rPr>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1"/>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pStyle w:val="19"/>
        <w:spacing w:line="360" w:lineRule="auto"/>
      </w:pPr>
      <w:bookmarkStart w:id="22" w:name="_Toc69378621"/>
      <w:r>
        <w:t>1、付款方式：合同总价的60%，以半年期银行承兑汇票支付；剩余部分以转账的方式支付。禁止将货款划入其他账号或支付现金。如收款方的账号和开户行变更，须及时以书面形式通知付款方，通知上必须同时盖有收款方的公章或财务专用章，乙方须按甲方要求提供增值税专用发票。</w:t>
      </w:r>
    </w:p>
    <w:p>
      <w:pPr>
        <w:tabs>
          <w:tab w:val="left" w:pos="0"/>
        </w:tabs>
        <w:spacing w:line="360" w:lineRule="auto"/>
        <w:rPr>
          <w:szCs w:val="21"/>
        </w:rPr>
      </w:pPr>
      <w:r>
        <w:t>2、付款期限：</w:t>
      </w:r>
      <w:r>
        <w:rPr>
          <w:rFonts w:hint="eastAsia" w:hAnsi="宋体"/>
          <w:szCs w:val="21"/>
        </w:rPr>
        <w:t>合同签订后</w:t>
      </w:r>
      <w:r>
        <w:rPr>
          <w:szCs w:val="21"/>
        </w:rPr>
        <w:t>30</w:t>
      </w:r>
      <w:r>
        <w:rPr>
          <w:rFonts w:hint="eastAsia"/>
          <w:szCs w:val="21"/>
        </w:rPr>
        <w:t>天内转账支付合同总额的</w:t>
      </w:r>
      <w:r>
        <w:rPr>
          <w:szCs w:val="21"/>
        </w:rPr>
        <w:t>30%</w:t>
      </w:r>
      <w:r>
        <w:rPr>
          <w:rFonts w:hint="eastAsia"/>
          <w:szCs w:val="21"/>
        </w:rPr>
        <w:t>，即人民币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w:t>
      </w:r>
      <w:r>
        <w:rPr>
          <w:szCs w:val="21"/>
        </w:rPr>
        <w:t>系统通过</w:t>
      </w:r>
      <w:r>
        <w:rPr>
          <w:rFonts w:hint="eastAsia"/>
          <w:szCs w:val="21"/>
        </w:rPr>
        <w:t>初</w:t>
      </w:r>
      <w:r>
        <w:rPr>
          <w:szCs w:val="21"/>
        </w:rPr>
        <w:t>验后</w:t>
      </w:r>
      <w:r>
        <w:rPr>
          <w:rFonts w:hint="eastAsia" w:ascii="宋体" w:hAnsi="宋体"/>
          <w:szCs w:val="21"/>
        </w:rPr>
        <w:t>银行承兑汇票</w:t>
      </w:r>
      <w:r>
        <w:rPr>
          <w:szCs w:val="21"/>
        </w:rPr>
        <w:t>支付合同总额的30%</w:t>
      </w:r>
      <w:r>
        <w:rPr>
          <w:rFonts w:hint="eastAsia" w:ascii="Arial" w:hAnsi="Arial" w:cs="Arial"/>
          <w:szCs w:val="21"/>
        </w:rPr>
        <w:t>，</w:t>
      </w:r>
      <w:r>
        <w:rPr>
          <w:rFonts w:hint="eastAsia"/>
          <w:szCs w:val="21"/>
        </w:rPr>
        <w:t>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元；系统通过终验后</w:t>
      </w:r>
      <w:r>
        <w:rPr>
          <w:rFonts w:hint="eastAsia" w:ascii="宋体" w:hAnsi="宋体"/>
          <w:szCs w:val="21"/>
        </w:rPr>
        <w:t>银行承兑汇票</w:t>
      </w:r>
      <w:r>
        <w:rPr>
          <w:rFonts w:hint="eastAsia"/>
          <w:szCs w:val="21"/>
        </w:rPr>
        <w:t>支付合同总额的</w:t>
      </w:r>
      <w:r>
        <w:rPr>
          <w:szCs w:val="21"/>
        </w:rPr>
        <w:t>30%</w:t>
      </w:r>
      <w:r>
        <w:rPr>
          <w:rFonts w:hint="eastAsia"/>
          <w:szCs w:val="21"/>
        </w:rPr>
        <w:t>，即人民币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元；尾款</w:t>
      </w:r>
      <w:r>
        <w:rPr>
          <w:szCs w:val="21"/>
        </w:rPr>
        <w:t>10%</w:t>
      </w:r>
      <w:r>
        <w:rPr>
          <w:rFonts w:hint="eastAsia"/>
          <w:szCs w:val="21"/>
        </w:rPr>
        <w:t>（转账支付）作为质量保证金，即人民币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元，在终验合格一年后的10个工作日之内支付7%，如卖方此时向买方开据3%的银行保函（此保函须在免费包修期结束后到期），买方在收到银行保函3</w:t>
      </w:r>
      <w:r>
        <w:rPr>
          <w:szCs w:val="21"/>
        </w:rPr>
        <w:t>0</w:t>
      </w:r>
      <w:r>
        <w:rPr>
          <w:rFonts w:hint="eastAsia"/>
          <w:szCs w:val="21"/>
        </w:rPr>
        <w:t>个工作日内将尾款结清（即合同总价的10%），否则买方将在免费保修期结束后的10个工作日之内支付剩余的3%给卖方。如卖方违反本合同第十五条廉洁条款第二点，买方有权全部扣除合同总额的10%，若此时合同总额已经全部支付或余款不足10%的，买方有权根据此合同向卖方进一步追诉。</w:t>
      </w:r>
    </w:p>
    <w:p>
      <w:pPr>
        <w:spacing w:line="360" w:lineRule="auto"/>
        <w:rPr>
          <w:szCs w:val="21"/>
        </w:rPr>
      </w:pPr>
      <w:r>
        <w:rPr>
          <w:rFonts w:hint="eastAsia"/>
        </w:rPr>
        <w:t>3、</w:t>
      </w:r>
      <w:r>
        <w:t>质量保证金：质量保证金包含对履约的保证、对质量的保证和廉政的保证。在合同履行过程中，如</w:t>
      </w:r>
      <w:r>
        <w:rPr>
          <w:rFonts w:hint="eastAsia"/>
        </w:rPr>
        <w:t>乙</w:t>
      </w:r>
      <w:r>
        <w:t>方应承担履约保证、质量保证或廉政保证中约定的保证责任，</w:t>
      </w:r>
      <w:r>
        <w:rPr>
          <w:rFonts w:hint="eastAsia"/>
        </w:rPr>
        <w:t>甲</w:t>
      </w:r>
      <w:r>
        <w:t>方有权直接在质量保证金中扣除；扣除后保证金不足的，</w:t>
      </w:r>
      <w:r>
        <w:rPr>
          <w:rFonts w:hint="eastAsia"/>
        </w:rPr>
        <w:t>乙</w:t>
      </w:r>
      <w:r>
        <w:t>方应在五个工作日内补足，或由</w:t>
      </w:r>
      <w:r>
        <w:rPr>
          <w:rFonts w:hint="eastAsia"/>
        </w:rPr>
        <w:t>甲</w:t>
      </w:r>
      <w:r>
        <w:t>方直接在应付账款中扣除。</w:t>
      </w:r>
    </w:p>
    <w:p>
      <w:pPr>
        <w:tabs>
          <w:tab w:val="left" w:pos="0"/>
        </w:tabs>
        <w:spacing w:line="360" w:lineRule="auto"/>
        <w:rPr>
          <w:szCs w:val="21"/>
        </w:rPr>
      </w:pPr>
      <w:r>
        <w:rPr>
          <w:rFonts w:hint="eastAsia"/>
          <w:szCs w:val="21"/>
        </w:rPr>
        <w:t>4、付款前，乙方必须按照国家有关发票管理规定，向甲方一次性提供</w:t>
      </w:r>
      <w:r>
        <w:rPr>
          <w:rFonts w:hint="eastAsia"/>
        </w:rPr>
        <w:t>合同总额的增值税专用发票</w:t>
      </w:r>
      <w:r>
        <w:rPr>
          <w:rFonts w:hint="eastAsia"/>
          <w:szCs w:val="21"/>
        </w:rPr>
        <w:t>，由甲方审核无误后再支付货款，否则甲方有权拒绝或迟延支付货款，且不影响乙方履行本合同项下的义务，给甲方造成的损失由乙方承担。</w:t>
      </w:r>
    </w:p>
    <w:p>
      <w:pPr>
        <w:tabs>
          <w:tab w:val="left" w:pos="0"/>
        </w:tabs>
        <w:spacing w:line="360" w:lineRule="auto"/>
        <w:rPr>
          <w:szCs w:val="21"/>
        </w:rPr>
      </w:pPr>
      <w:r>
        <w:rPr>
          <w:rFonts w:hint="eastAsia"/>
          <w:szCs w:val="21"/>
        </w:rPr>
        <w:t>5、扣款细则</w:t>
      </w:r>
    </w:p>
    <w:p>
      <w:pPr>
        <w:spacing w:line="360" w:lineRule="auto"/>
        <w:rPr>
          <w:szCs w:val="21"/>
        </w:rPr>
      </w:pPr>
      <w:r>
        <w:rPr>
          <w:rFonts w:hint="eastAsia"/>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135" w:type="dxa"/>
            <w:vAlign w:val="center"/>
          </w:tcPr>
          <w:p>
            <w:pPr>
              <w:jc w:val="center"/>
              <w:rPr>
                <w:rFonts w:ascii="宋体" w:hAnsi="宋体"/>
                <w:b/>
                <w:szCs w:val="21"/>
              </w:rPr>
            </w:pPr>
            <w:r>
              <w:rPr>
                <w:rFonts w:hint="eastAsia" w:ascii="宋体" w:hAnsi="宋体"/>
                <w:b/>
                <w:szCs w:val="21"/>
              </w:rPr>
              <w:t>费用类别</w:t>
            </w:r>
          </w:p>
        </w:tc>
        <w:tc>
          <w:tcPr>
            <w:tcW w:w="2552" w:type="dxa"/>
            <w:vAlign w:val="center"/>
          </w:tcPr>
          <w:p>
            <w:pPr>
              <w:jc w:val="center"/>
              <w:rPr>
                <w:rFonts w:ascii="宋体" w:hAnsi="宋体"/>
                <w:b/>
                <w:szCs w:val="21"/>
              </w:rPr>
            </w:pPr>
            <w:r>
              <w:rPr>
                <w:rFonts w:hint="eastAsia" w:ascii="宋体" w:hAnsi="宋体"/>
                <w:b/>
                <w:szCs w:val="21"/>
              </w:rPr>
              <w:t>适用状况</w:t>
            </w:r>
          </w:p>
        </w:tc>
        <w:tc>
          <w:tcPr>
            <w:tcW w:w="1938"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135" w:type="dxa"/>
            <w:vAlign w:val="center"/>
          </w:tcPr>
          <w:p>
            <w:pPr>
              <w:rPr>
                <w:rFonts w:ascii="宋体" w:hAnsi="宋体"/>
                <w:szCs w:val="21"/>
              </w:rPr>
            </w:pPr>
            <w:r>
              <w:rPr>
                <w:rFonts w:hint="eastAsia" w:ascii="宋体" w:hAnsi="宋体"/>
                <w:szCs w:val="21"/>
              </w:rPr>
              <w:t>项目人员缺勤费用</w:t>
            </w:r>
          </w:p>
        </w:tc>
        <w:tc>
          <w:tcPr>
            <w:tcW w:w="2552"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135" w:type="dxa"/>
            <w:vAlign w:val="center"/>
          </w:tcPr>
          <w:p>
            <w:pPr>
              <w:rPr>
                <w:rFonts w:ascii="宋体" w:hAnsi="宋体"/>
                <w:szCs w:val="21"/>
              </w:rPr>
            </w:pPr>
            <w:r>
              <w:rPr>
                <w:rFonts w:hint="eastAsia" w:ascii="宋体" w:hAnsi="宋体"/>
                <w:szCs w:val="21"/>
              </w:rPr>
              <w:t>项目进度滞后费用</w:t>
            </w:r>
          </w:p>
        </w:tc>
        <w:tc>
          <w:tcPr>
            <w:tcW w:w="2552" w:type="dxa"/>
            <w:vAlign w:val="center"/>
          </w:tcPr>
          <w:p>
            <w:pPr>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135" w:type="dxa"/>
            <w:vAlign w:val="center"/>
          </w:tcPr>
          <w:p>
            <w:pPr>
              <w:rPr>
                <w:rFonts w:ascii="宋体" w:hAnsi="宋体"/>
                <w:szCs w:val="21"/>
              </w:rPr>
            </w:pPr>
            <w:r>
              <w:rPr>
                <w:rFonts w:hint="eastAsia" w:ascii="宋体" w:hAnsi="宋体"/>
                <w:szCs w:val="21"/>
              </w:rPr>
              <w:t>服务质量不合格</w:t>
            </w:r>
          </w:p>
        </w:tc>
        <w:tc>
          <w:tcPr>
            <w:tcW w:w="2552" w:type="dxa"/>
            <w:vAlign w:val="center"/>
          </w:tcPr>
          <w:p>
            <w:pPr>
              <w:rPr>
                <w:rFonts w:ascii="宋体" w:hAnsi="宋体"/>
                <w:szCs w:val="21"/>
              </w:rPr>
            </w:pPr>
            <w:r>
              <w:rPr>
                <w:rFonts w:hint="eastAsia" w:ascii="宋体" w:hAnsi="宋体"/>
                <w:szCs w:val="21"/>
              </w:rPr>
              <w:t>乙方提供的服务不满足事先约定的质量要求。</w:t>
            </w:r>
          </w:p>
        </w:tc>
        <w:tc>
          <w:tcPr>
            <w:tcW w:w="1938"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135" w:type="dxa"/>
            <w:vAlign w:val="center"/>
          </w:tcPr>
          <w:p>
            <w:pPr>
              <w:rPr>
                <w:rFonts w:ascii="宋体" w:hAnsi="宋体"/>
                <w:szCs w:val="21"/>
              </w:rPr>
            </w:pPr>
            <w:r>
              <w:rPr>
                <w:rFonts w:hint="eastAsia" w:ascii="宋体" w:hAnsi="宋体"/>
                <w:szCs w:val="21"/>
              </w:rPr>
              <w:t>技术支持延迟或售后不合格</w:t>
            </w:r>
          </w:p>
        </w:tc>
        <w:tc>
          <w:tcPr>
            <w:tcW w:w="2552"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135" w:type="dxa"/>
            <w:vAlign w:val="center"/>
          </w:tcPr>
          <w:p>
            <w:pPr>
              <w:rPr>
                <w:rFonts w:ascii="宋体" w:hAnsi="宋体"/>
                <w:szCs w:val="21"/>
              </w:rPr>
            </w:pPr>
            <w:r>
              <w:rPr>
                <w:rFonts w:hint="eastAsia" w:ascii="宋体" w:hAnsi="宋体"/>
                <w:szCs w:val="21"/>
              </w:rPr>
              <w:t>文档缺失或质量不合格</w:t>
            </w:r>
          </w:p>
        </w:tc>
        <w:tc>
          <w:tcPr>
            <w:tcW w:w="2552" w:type="dxa"/>
            <w:vAlign w:val="center"/>
          </w:tcPr>
          <w:p>
            <w:pPr>
              <w:rPr>
                <w:rFonts w:ascii="宋体" w:hAnsi="宋体"/>
                <w:szCs w:val="21"/>
              </w:rPr>
            </w:pPr>
            <w:r>
              <w:rPr>
                <w:rFonts w:hint="eastAsia" w:ascii="宋体" w:hAnsi="宋体"/>
                <w:szCs w:val="21"/>
              </w:rPr>
              <w:t>乙方未提供或提供的技术规范、培训材料等文档</w:t>
            </w:r>
          </w:p>
        </w:tc>
        <w:tc>
          <w:tcPr>
            <w:tcW w:w="1938"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视文档重要性</w:t>
            </w:r>
          </w:p>
        </w:tc>
      </w:tr>
    </w:tbl>
    <w:p/>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bookmarkEnd w:id="22"/>
    <w:p>
      <w:pPr>
        <w:pStyle w:val="2"/>
        <w:spacing w:line="360" w:lineRule="auto"/>
        <w:rPr>
          <w:rFonts w:ascii="宋体" w:hAnsi="宋体" w:cs="宋体"/>
          <w:sz w:val="21"/>
          <w:szCs w:val="21"/>
        </w:rPr>
      </w:pPr>
      <w:r>
        <w:rPr>
          <w:rFonts w:hint="eastAsia" w:ascii="宋体" w:hAnsi="宋体" w:cs="宋体"/>
          <w:sz w:val="21"/>
          <w:szCs w:val="21"/>
        </w:rPr>
        <w:t>1. 卖方所提供产品的技术指标和生产工艺必须完全满足买方在“</w:t>
      </w:r>
      <w:r>
        <w:rPr>
          <w:rFonts w:hint="eastAsia" w:ascii="宋体" w:hAnsi="宋体" w:cs="宋体"/>
          <w:sz w:val="21"/>
          <w:szCs w:val="21"/>
          <w:u w:val="single"/>
        </w:rPr>
        <w:t>内容集成注入系统优化改造项目</w:t>
      </w:r>
      <w:r>
        <w:rPr>
          <w:rFonts w:hint="eastAsia" w:ascii="宋体" w:hAnsi="宋体" w:cs="宋体"/>
          <w:sz w:val="21"/>
          <w:szCs w:val="21"/>
        </w:rPr>
        <w:t>”采购文件中提出的技术要求，卖方所提供产品的功能与服务实现必须完全遵守响应文件和采购时做出的书面承诺；卖方保证所提供的商品是原厂原装产品，提供原厂或原产地证明，且系崭新的、未使用过的产品，没有任何版权或其他权属争议；卖方须提供产品的出厂测试报告和产品质量合格证明书，且符合相应技术规定的品质和规格要求；若产品技术性能无相应说明，则按国家或国际有关部门最新颁布的标准及规范为准。</w:t>
      </w:r>
    </w:p>
    <w:p>
      <w:pPr>
        <w:pStyle w:val="2"/>
        <w:spacing w:line="360" w:lineRule="auto"/>
        <w:rPr>
          <w:rFonts w:ascii="宋体" w:hAnsi="宋体" w:cs="宋体"/>
          <w:sz w:val="21"/>
          <w:szCs w:val="21"/>
        </w:rPr>
      </w:pPr>
      <w:r>
        <w:rPr>
          <w:rFonts w:hint="eastAsia" w:ascii="宋体" w:hAnsi="宋体" w:cs="宋体"/>
          <w:sz w:val="21"/>
          <w:szCs w:val="21"/>
        </w:rPr>
        <w:t>2. 软件的技术文档卖方必须以光盘、U盘、电子文档和纸质等的包装方式提供所开发软件安装及日常运行维护所需的全部技术文件（含软件），提供软件的全部技术文档包括但不限于源代码、接口文档、设计方案、建设方案、模块开发卷宗、测试方案、测试报告、用户手册、运维手册、产品白皮书等，提供软件及安装调试、系统集成及日常运行维护所需的全部技术文件。</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3" w:name="_Toc69378622"/>
      <w:r>
        <w:rPr>
          <w:rFonts w:hint="eastAsia" w:ascii="宋体" w:hAnsi="宋体" w:eastAsia="宋体" w:cs="宋体"/>
          <w:b/>
          <w:bCs w:val="0"/>
          <w:sz w:val="21"/>
          <w:szCs w:val="21"/>
        </w:rPr>
        <w:t>五、产品交付</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乙方交付产品时应提供下列技术资料：</w:t>
      </w:r>
    </w:p>
    <w:p>
      <w:pPr>
        <w:spacing w:line="360" w:lineRule="auto"/>
        <w:rPr>
          <w:rFonts w:ascii="宋体" w:hAnsi="宋体" w:cs="宋体"/>
          <w:szCs w:val="21"/>
        </w:rPr>
      </w:pPr>
      <w:r>
        <w:rPr>
          <w:rFonts w:hint="eastAsia" w:ascii="宋体" w:hAnsi="宋体" w:cs="宋体"/>
          <w:szCs w:val="21"/>
        </w:rPr>
        <w:t>（1）产品出厂测试报告和产品合格证明；</w:t>
      </w:r>
    </w:p>
    <w:p>
      <w:pPr>
        <w:spacing w:line="360" w:lineRule="auto"/>
        <w:rPr>
          <w:rFonts w:ascii="宋体" w:hAnsi="宋体" w:cs="宋体"/>
          <w:szCs w:val="21"/>
        </w:rPr>
      </w:pPr>
      <w:r>
        <w:rPr>
          <w:rFonts w:hint="eastAsia" w:ascii="宋体" w:hAnsi="宋体" w:cs="宋体"/>
          <w:szCs w:val="21"/>
        </w:rPr>
        <w:t>（2）竞争性磋商文件中所要求提交的所有资料。</w:t>
      </w:r>
    </w:p>
    <w:p>
      <w:pPr>
        <w:numPr>
          <w:ilvl w:val="255"/>
          <w:numId w:val="0"/>
        </w:numPr>
        <w:tabs>
          <w:tab w:val="left" w:pos="0"/>
        </w:tabs>
        <w:spacing w:line="360" w:lineRule="auto"/>
        <w:rPr>
          <w:szCs w:val="21"/>
        </w:rPr>
      </w:pPr>
      <w:r>
        <w:rPr>
          <w:rFonts w:hint="eastAsia" w:ascii="宋体" w:hAnsi="宋体" w:cs="宋体"/>
          <w:szCs w:val="21"/>
        </w:rPr>
        <w:t>2. 甲方有权拒收有缺陷的或不符合竞争性磋商文件、乙方响应文件和磋商时乙方做出的书面承诺的任何产品。</w:t>
      </w:r>
    </w:p>
    <w:bookmarkEnd w:id="23"/>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32"/>
      <w:r>
        <w:rPr>
          <w:rFonts w:hint="eastAsia" w:ascii="宋体" w:hAnsi="宋体" w:eastAsia="宋体" w:cs="宋体"/>
          <w:b/>
          <w:bCs w:val="0"/>
          <w:sz w:val="21"/>
          <w:szCs w:val="21"/>
        </w:rPr>
        <w:t>六、开发周期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产品现场集成对接时间不得超过</w:t>
      </w:r>
      <w:r>
        <w:rPr>
          <w:rFonts w:hint="eastAsia" w:ascii="宋体" w:hAnsi="宋体" w:cs="宋体"/>
          <w:szCs w:val="21"/>
          <w:u w:val="single"/>
        </w:rPr>
        <w:t xml:space="preserve">八周 </w:t>
      </w:r>
      <w:r>
        <w:rPr>
          <w:rFonts w:hint="eastAsia" w:ascii="宋体" w:hAnsi="宋体" w:cs="宋体"/>
          <w:szCs w:val="21"/>
        </w:rPr>
        <w:t>。乙方每逾期一天交付（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szCs w:val="21"/>
        </w:rPr>
      </w:pPr>
      <w:r>
        <w:rPr>
          <w:rFonts w:hint="eastAsia" w:ascii="宋体" w:hAnsi="宋体" w:cs="宋体"/>
          <w:szCs w:val="21"/>
        </w:rPr>
        <w:t>乙方逾期交货，甲方接受的，不影响甲方追究乙方逾期交货的违约责任。</w:t>
      </w:r>
      <w:bookmarkEnd w:id="24"/>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5" w:name="_Toc69378633"/>
      <w:r>
        <w:rPr>
          <w:rFonts w:hint="eastAsia" w:ascii="宋体" w:hAnsi="宋体" w:eastAsia="宋体" w:cs="宋体"/>
          <w:b/>
          <w:bCs w:val="0"/>
          <w:sz w:val="21"/>
          <w:szCs w:val="21"/>
        </w:rPr>
        <w:t>七、验收标准</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w:t>
      </w:r>
      <w:r>
        <w:rPr>
          <w:rFonts w:hint="eastAsia"/>
          <w:szCs w:val="21"/>
        </w:rPr>
        <w:t>负责设备的上架安装及线缆布放，提供设备所需光纤线缆等辅材，</w:t>
      </w:r>
      <w:r>
        <w:rPr>
          <w:rFonts w:hint="eastAsia" w:ascii="宋体" w:hAnsi="宋体"/>
          <w:szCs w:val="21"/>
        </w:rPr>
        <w:t>乙方在货到安装调试完毕、系统达到技术要求规定的指标并开通业务后，向甲方提交“</w:t>
      </w:r>
      <w:r>
        <w:rPr>
          <w:rFonts w:hint="eastAsia" w:ascii="宋体" w:hAnsi="宋体"/>
          <w:szCs w:val="21"/>
          <w:u w:val="single"/>
        </w:rPr>
        <w:t>内容集成注入系统优化改造项目</w:t>
      </w:r>
      <w:r>
        <w:rPr>
          <w:rFonts w:hint="eastAsia" w:ascii="宋体" w:hAnsi="宋体"/>
          <w:szCs w:val="21"/>
        </w:rPr>
        <w:t>”初验申请报告，甲方应在接到乙方提供的系统初验申请报告后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8"/>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8"/>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hint="eastAsia"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26" w:name="_Toc72326302"/>
      <w:r>
        <w:rPr>
          <w:rFonts w:hint="eastAsia" w:ascii="宋体" w:hAnsi="宋体" w:eastAsia="宋体"/>
          <w:b/>
          <w:kern w:val="2"/>
          <w:sz w:val="21"/>
          <w:szCs w:val="21"/>
        </w:rPr>
        <w:t>八、售后服务</w:t>
      </w:r>
      <w:bookmarkEnd w:id="26"/>
    </w:p>
    <w:p>
      <w:pPr>
        <w:adjustRightInd w:val="0"/>
        <w:snapToGrid w:val="0"/>
        <w:spacing w:line="360" w:lineRule="auto"/>
        <w:rPr>
          <w:rFonts w:ascii="宋体" w:hAnsi="宋体"/>
          <w:szCs w:val="21"/>
        </w:rPr>
      </w:pPr>
      <w:r>
        <w:rPr>
          <w:rFonts w:hint="eastAsia" w:ascii="宋体" w:hAnsi="宋体"/>
          <w:szCs w:val="21"/>
        </w:rPr>
        <w:t>1、服务响应时间：乙方提供每周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w:t>
      </w:r>
      <w:r>
        <w:rPr>
          <w:rFonts w:hint="eastAsia" w:ascii="宋体" w:hAnsi="宋体"/>
          <w:szCs w:val="21"/>
        </w:rPr>
        <w:t>半</w:t>
      </w:r>
      <w:r>
        <w:rPr>
          <w:rFonts w:ascii="宋体" w:hAnsi="宋体"/>
          <w:szCs w:val="21"/>
        </w:rPr>
        <w:t>小时内应答，</w:t>
      </w:r>
      <w:r>
        <w:rPr>
          <w:rFonts w:hint="eastAsia" w:ascii="宋体" w:hAnsi="宋体"/>
          <w:szCs w:val="21"/>
        </w:rPr>
        <w:t>3</w:t>
      </w:r>
      <w:r>
        <w:rPr>
          <w:rFonts w:ascii="宋体" w:hAnsi="宋体"/>
          <w:szCs w:val="21"/>
        </w:rPr>
        <w:t>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adjustRightInd w:val="0"/>
        <w:snapToGrid w:val="0"/>
        <w:spacing w:line="360" w:lineRule="auto"/>
        <w:rPr>
          <w:rFonts w:ascii="宋体" w:hAnsi="宋体"/>
          <w:szCs w:val="21"/>
        </w:rPr>
      </w:pPr>
      <w:r>
        <w:rPr>
          <w:rFonts w:hint="eastAsia" w:ascii="宋体" w:hAnsi="宋体"/>
          <w:szCs w:val="21"/>
        </w:rPr>
        <w:t>2、包修期：免费包修期</w:t>
      </w:r>
      <w:r>
        <w:rPr>
          <w:rFonts w:hint="eastAsia" w:ascii="宋体" w:hAnsi="宋体" w:cs="宋体"/>
          <w:szCs w:val="21"/>
        </w:rPr>
        <w:t>为</w:t>
      </w:r>
      <w:r>
        <w:rPr>
          <w:rFonts w:hint="eastAsia"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w:t>
      </w:r>
      <w:r>
        <w:rPr>
          <w:rFonts w:ascii="宋体" w:hAnsi="宋体"/>
          <w:szCs w:val="21"/>
        </w:rPr>
        <w:t>，</w:t>
      </w:r>
      <w:r>
        <w:rPr>
          <w:rFonts w:hint="eastAsia" w:ascii="宋体" w:hAnsi="宋体"/>
          <w:szCs w:val="21"/>
        </w:rPr>
        <w:t>系统出现任何故障（硬件除外），乙方</w:t>
      </w:r>
      <w:r>
        <w:rPr>
          <w:rFonts w:ascii="宋体" w:hAnsi="宋体"/>
          <w:szCs w:val="21"/>
        </w:rPr>
        <w:t>应</w:t>
      </w:r>
      <w:r>
        <w:rPr>
          <w:rFonts w:hint="eastAsia" w:ascii="宋体" w:hAnsi="宋体"/>
          <w:szCs w:val="21"/>
        </w:rPr>
        <w:t>在6小时内配合予以解决，若6小时无法解决，则乙方需要明确解决处理的时间</w:t>
      </w:r>
      <w:r>
        <w:rPr>
          <w:rFonts w:ascii="宋体" w:hAnsi="宋体"/>
          <w:szCs w:val="21"/>
        </w:rPr>
        <w:t>。</w:t>
      </w:r>
      <w:r>
        <w:rPr>
          <w:rFonts w:hint="eastAsia" w:ascii="宋体" w:hAnsi="宋体"/>
          <w:szCs w:val="21"/>
        </w:rPr>
        <w:t>超过免费包修期后，乙方对其提供的产品提供有偿保修服务。每年</w:t>
      </w:r>
      <w:r>
        <w:rPr>
          <w:rFonts w:hint="eastAsia"/>
          <w:szCs w:val="21"/>
        </w:rPr>
        <w:t>价格不得高于需要保修系统成交价的</w:t>
      </w:r>
      <w:r>
        <w:rPr>
          <w:szCs w:val="21"/>
          <w:u w:val="single"/>
        </w:rPr>
        <w:t xml:space="preserve">   </w:t>
      </w:r>
      <w:r>
        <w:rPr>
          <w:rFonts w:hint="eastAsia"/>
          <w:szCs w:val="21"/>
        </w:rPr>
        <w:t>%（不高于5%）。</w:t>
      </w:r>
    </w:p>
    <w:p>
      <w:pPr>
        <w:adjustRightInd w:val="0"/>
        <w:snapToGrid w:val="0"/>
        <w:spacing w:line="360" w:lineRule="auto"/>
        <w:rPr>
          <w:rFonts w:ascii="宋体" w:hAnsi="宋体"/>
          <w:szCs w:val="21"/>
        </w:rPr>
      </w:pPr>
      <w:r>
        <w:rPr>
          <w:rFonts w:hint="eastAsia" w:ascii="宋体" w:hAnsi="宋体"/>
          <w:szCs w:val="21"/>
        </w:rPr>
        <w:t>3、如果在系统发生故障后，乙方未能按照要求时间排除系统故障，甲方有权请第三方解决问题，由此产生的费用由乙方承担。造成甲方业务损失的，由乙方承担相应责任。</w:t>
      </w:r>
    </w:p>
    <w:p>
      <w:pPr>
        <w:pStyle w:val="89"/>
        <w:numPr>
          <w:ilvl w:val="255"/>
          <w:numId w:val="0"/>
        </w:numPr>
        <w:adjustRightInd w:val="0"/>
        <w:snapToGrid w:val="0"/>
        <w:spacing w:line="360" w:lineRule="auto"/>
        <w:rPr>
          <w:rFonts w:ascii="宋体" w:hAnsi="宋体"/>
          <w:sz w:val="21"/>
          <w:szCs w:val="21"/>
        </w:rPr>
      </w:pPr>
      <w:r>
        <w:rPr>
          <w:rFonts w:hint="eastAsia" w:ascii="宋体" w:hAnsi="宋体" w:eastAsia="宋体"/>
          <w:sz w:val="21"/>
          <w:szCs w:val="21"/>
        </w:rPr>
        <w:t>4、</w:t>
      </w:r>
      <w:r>
        <w:rPr>
          <w:rFonts w:hint="eastAsia" w:ascii="宋体" w:hAnsi="宋体"/>
          <w:sz w:val="21"/>
          <w:szCs w:val="21"/>
        </w:rPr>
        <w:t>乙方保证立即响应并至少通过电话做远程诊断，尝试排除故障或进行紧急处理。</w:t>
      </w:r>
    </w:p>
    <w:p>
      <w:pPr>
        <w:adjustRightInd w:val="0"/>
        <w:snapToGrid w:val="0"/>
        <w:spacing w:line="360" w:lineRule="auto"/>
        <w:rPr>
          <w:rFonts w:ascii="宋体" w:hAnsi="宋体"/>
          <w:szCs w:val="21"/>
        </w:rPr>
      </w:pPr>
      <w:r>
        <w:rPr>
          <w:rFonts w:hint="eastAsia" w:ascii="宋体" w:hAnsi="宋体"/>
          <w:szCs w:val="21"/>
        </w:rPr>
        <w:t>5、乙方在采购人工地安装、调试期间，一切费用由乙方自理。</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7" w:name="_Toc72326303"/>
      <w:r>
        <w:rPr>
          <w:rFonts w:hint="eastAsia" w:ascii="宋体" w:hAnsi="宋体" w:eastAsia="宋体"/>
          <w:b/>
          <w:kern w:val="2"/>
          <w:sz w:val="21"/>
          <w:szCs w:val="21"/>
        </w:rPr>
        <w:t>九、技术升级和优惠条件</w:t>
      </w:r>
      <w:bookmarkEnd w:id="27"/>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乙方对所开发软件在包修期内提供免费的软件升级服务，并在该等升级后为甲方提供免费的培训。</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rPr>
        <w:t>“</w:t>
      </w:r>
      <w:r>
        <w:rPr>
          <w:rFonts w:hint="eastAsia" w:ascii="宋体" w:hAnsi="宋体"/>
          <w:szCs w:val="21"/>
          <w:u w:val="single"/>
        </w:rPr>
        <w:t>内容集成注入系统优化改造项目</w:t>
      </w:r>
      <w:r>
        <w:rPr>
          <w:rFonts w:hint="eastAsia" w:ascii="宋体" w:hAnsi="宋体"/>
          <w:szCs w:val="21"/>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9"/>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rPr>
      </w:pPr>
      <w:bookmarkStart w:id="28" w:name="_Toc72326304"/>
      <w:r>
        <w:rPr>
          <w:rFonts w:hint="eastAsia" w:ascii="宋体" w:hAnsi="宋体"/>
          <w:b/>
          <w:bCs/>
          <w:szCs w:val="21"/>
        </w:rPr>
        <w:t>十</w:t>
      </w:r>
      <w:r>
        <w:rPr>
          <w:rFonts w:hint="eastAsia" w:ascii="宋体" w:hAnsi="宋体"/>
          <w:szCs w:val="21"/>
        </w:rPr>
        <w:t>、</w:t>
      </w:r>
      <w:bookmarkEnd w:id="28"/>
      <w:bookmarkStart w:id="29" w:name="_Toc72326305"/>
      <w:r>
        <w:rPr>
          <w:rFonts w:hint="eastAsia" w:ascii="宋体" w:hAnsi="宋体"/>
          <w:b/>
          <w:bCs/>
          <w:szCs w:val="21"/>
        </w:rPr>
        <w:t>双方责任</w:t>
      </w:r>
      <w:bookmarkEnd w:id="29"/>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0"/>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0"/>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0"/>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0"/>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1"/>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1"/>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1"/>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1"/>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服务或服务时，不存在任何已知的不合法的情形，也不存在任何已知的与第三方专利权、著作权、商标权或工业设计权相关的任何争议。如果有任何因甲方使用乙方提供的货物/服务及</w:t>
      </w:r>
      <w:r>
        <w:rPr>
          <w:rFonts w:ascii="宋体" w:hAnsi="宋体"/>
          <w:szCs w:val="21"/>
        </w:rPr>
        <w:t>/</w:t>
      </w:r>
      <w:r>
        <w:rPr>
          <w:rFonts w:hint="eastAsia" w:ascii="宋体" w:hAnsi="宋体"/>
          <w:szCs w:val="21"/>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0" w:name="_Toc72326306"/>
      <w:r>
        <w:rPr>
          <w:rFonts w:hint="eastAsia" w:ascii="宋体" w:hAnsi="宋体" w:eastAsia="宋体"/>
          <w:b/>
          <w:kern w:val="2"/>
          <w:sz w:val="21"/>
          <w:szCs w:val="21"/>
        </w:rPr>
        <w:t>十一、违约责任</w:t>
      </w:r>
      <w:bookmarkEnd w:id="30"/>
    </w:p>
    <w:p>
      <w:pPr>
        <w:numPr>
          <w:ilvl w:val="0"/>
          <w:numId w:val="12"/>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7"/>
      <w:r>
        <w:rPr>
          <w:rFonts w:hint="eastAsia" w:ascii="宋体" w:hAnsi="宋体" w:eastAsia="宋体"/>
          <w:b/>
          <w:kern w:val="2"/>
          <w:sz w:val="21"/>
          <w:szCs w:val="21"/>
        </w:rPr>
        <w:t>十二、廉洁条款</w:t>
      </w:r>
      <w:bookmarkEnd w:id="31"/>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8"/>
      <w:r>
        <w:rPr>
          <w:rFonts w:hint="eastAsia" w:ascii="宋体" w:hAnsi="宋体" w:eastAsia="宋体"/>
          <w:b/>
          <w:kern w:val="2"/>
          <w:sz w:val="21"/>
          <w:szCs w:val="21"/>
        </w:rPr>
        <w:t>十三、不可抗力</w:t>
      </w:r>
      <w:bookmarkEnd w:id="32"/>
    </w:p>
    <w:p>
      <w:pPr>
        <w:numPr>
          <w:ilvl w:val="0"/>
          <w:numId w:val="14"/>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4"/>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4"/>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09"/>
      <w:r>
        <w:rPr>
          <w:rFonts w:hint="eastAsia" w:ascii="宋体" w:hAnsi="宋体" w:eastAsia="宋体"/>
          <w:b/>
          <w:kern w:val="2"/>
          <w:sz w:val="21"/>
          <w:szCs w:val="21"/>
        </w:rPr>
        <w:t>十四、解决纠纷的方式</w:t>
      </w:r>
      <w:bookmarkEnd w:id="33"/>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5"/>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5"/>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72326310"/>
      <w:r>
        <w:rPr>
          <w:rFonts w:hint="eastAsia" w:ascii="宋体" w:hAnsi="宋体" w:eastAsia="宋体"/>
          <w:b/>
          <w:kern w:val="2"/>
          <w:sz w:val="21"/>
          <w:szCs w:val="21"/>
        </w:rPr>
        <w:t>十五、合同生效及其他</w:t>
      </w:r>
      <w:bookmarkEnd w:id="34"/>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合同的生效期：本合同一式四份（甲乙双方各二份），每份均具有同等法律效力，自甲乙双方盖章之日起生效。</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6"/>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5" w:name="_Toc72326311"/>
      <w:r>
        <w:rPr>
          <w:rFonts w:hint="eastAsia" w:ascii="宋体" w:hAnsi="宋体" w:eastAsia="宋体"/>
          <w:b/>
          <w:kern w:val="2"/>
          <w:sz w:val="21"/>
          <w:szCs w:val="21"/>
        </w:rPr>
        <w:t>十六、附件列表</w:t>
      </w:r>
      <w:bookmarkEnd w:id="35"/>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hAnsi="宋体"/>
          <w:szCs w:val="21"/>
        </w:rPr>
      </w:pPr>
      <w:r>
        <w:rPr>
          <w:rFonts w:hint="eastAsia" w:ascii="宋体" w:hAnsi="宋体"/>
          <w:szCs w:val="21"/>
        </w:rPr>
        <w:t>附件一</w:t>
      </w:r>
      <w:r>
        <w:rPr>
          <w:rFonts w:ascii="宋体" w:hAnsi="宋体"/>
          <w:szCs w:val="21"/>
        </w:rPr>
        <w:t xml:space="preserve"> </w:t>
      </w:r>
      <w:r>
        <w:rPr>
          <w:rFonts w:hint="eastAsia" w:ascii="宋体" w:hAnsi="宋体"/>
          <w:szCs w:val="21"/>
        </w:rPr>
        <w:t>报价表</w:t>
      </w:r>
    </w:p>
    <w:p>
      <w:pPr>
        <w:adjustRightInd w:val="0"/>
        <w:snapToGrid w:val="0"/>
        <w:spacing w:line="360" w:lineRule="auto"/>
        <w:rPr>
          <w:rFonts w:ascii="宋体"/>
          <w:szCs w:val="21"/>
        </w:rPr>
      </w:pPr>
      <w:r>
        <w:rPr>
          <w:rFonts w:hint="eastAsia" w:ascii="宋体" w:hAnsi="宋体"/>
          <w:szCs w:val="21"/>
        </w:rPr>
        <w:t>附件二 采购文件及响应文件</w:t>
      </w:r>
    </w:p>
    <w:p>
      <w:pPr>
        <w:adjustRightInd w:val="0"/>
        <w:snapToGrid w:val="0"/>
        <w:spacing w:line="360" w:lineRule="auto"/>
        <w:rPr>
          <w:rFonts w:ascii="宋体"/>
          <w:szCs w:val="21"/>
        </w:rPr>
      </w:pPr>
      <w:r>
        <w:rPr>
          <w:rFonts w:hint="eastAsia" w:ascii="宋体"/>
          <w:szCs w:val="21"/>
        </w:rPr>
        <w:t>附件三</w:t>
      </w:r>
      <w:r>
        <w:rPr>
          <w:rFonts w:hint="eastAsia" w:ascii="宋体" w:hAnsi="宋体"/>
          <w:szCs w:val="21"/>
        </w:rPr>
        <w:t xml:space="preserve"> 承诺函</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rFonts w:hint="eastAsia"/>
          <w:szCs w:val="21"/>
          <w:u w:val="single"/>
        </w:rPr>
        <w:t xml:space="preserve">                            </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电话：电话：___________________</w:t>
      </w:r>
    </w:p>
    <w:p>
      <w:pPr>
        <w:adjustRightInd w:val="0"/>
        <w:snapToGrid w:val="0"/>
        <w:spacing w:line="360" w:lineRule="auto"/>
        <w:ind w:firstLine="105" w:firstLineChars="50"/>
        <w:rPr>
          <w:szCs w:val="21"/>
        </w:rPr>
      </w:pPr>
      <w:r>
        <w:rPr>
          <w:szCs w:val="21"/>
        </w:rPr>
        <w:t>传真：传真：___________________</w:t>
      </w:r>
    </w:p>
    <w:p>
      <w:pPr>
        <w:adjustRightInd w:val="0"/>
        <w:snapToGrid w:val="0"/>
        <w:spacing w:line="360" w:lineRule="auto"/>
        <w:ind w:firstLine="105" w:firstLineChars="50"/>
        <w:rPr>
          <w:szCs w:val="21"/>
        </w:rPr>
      </w:pPr>
      <w:r>
        <w:rPr>
          <w:szCs w:val="21"/>
        </w:rPr>
        <w:t>邮编：邮编：___________________</w:t>
      </w:r>
    </w:p>
    <w:p>
      <w:pPr>
        <w:adjustRightInd w:val="0"/>
        <w:snapToGrid w:val="0"/>
        <w:spacing w:line="360" w:lineRule="auto"/>
        <w:ind w:firstLine="105" w:firstLineChars="50"/>
        <w:rPr>
          <w:szCs w:val="21"/>
          <w:u w:val="single"/>
        </w:rPr>
      </w:pPr>
      <w:r>
        <w:rPr>
          <w:szCs w:val="21"/>
        </w:rPr>
        <w:t>开户银行：开户银行：___________________</w:t>
      </w:r>
    </w:p>
    <w:p>
      <w:pPr>
        <w:adjustRightInd w:val="0"/>
        <w:snapToGrid w:val="0"/>
        <w:spacing w:line="360" w:lineRule="auto"/>
        <w:ind w:firstLine="105" w:firstLineChars="50"/>
        <w:rPr>
          <w:szCs w:val="21"/>
        </w:rPr>
      </w:pPr>
      <w:r>
        <w:rPr>
          <w:szCs w:val="21"/>
        </w:rPr>
        <w:t>银行账号：银行账号：___________________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rPr>
      </w:pPr>
      <w:r>
        <w:rPr>
          <w:rFonts w:hint="eastAsia"/>
          <w:szCs w:val="21"/>
        </w:rPr>
        <w:t>签订日期：      年  月  日</w:t>
      </w:r>
      <w:bookmarkEnd w:id="25"/>
      <w:r>
        <w:rPr>
          <w:rFonts w:ascii="宋体" w:hAnsi="宋体" w:cs="宋体"/>
        </w:rPr>
        <w:br w:type="page"/>
      </w:r>
    </w:p>
    <w:p>
      <w:pPr>
        <w:pStyle w:val="3"/>
        <w:numPr>
          <w:ilvl w:val="0"/>
          <w:numId w:val="0"/>
        </w:numPr>
        <w:spacing w:before="0" w:after="0" w:line="360" w:lineRule="auto"/>
        <w:rPr>
          <w:b/>
          <w:sz w:val="36"/>
          <w:szCs w:val="36"/>
        </w:rPr>
      </w:pPr>
      <w:bookmarkStart w:id="36" w:name="_Toc69378637"/>
      <w:r>
        <w:rPr>
          <w:rFonts w:hint="eastAsia"/>
          <w:b/>
          <w:sz w:val="36"/>
          <w:szCs w:val="36"/>
        </w:rPr>
        <w:t>第五章技术需求书</w:t>
      </w:r>
      <w:bookmarkEnd w:id="36"/>
    </w:p>
    <w:p>
      <w:pPr>
        <w:pStyle w:val="89"/>
        <w:numPr>
          <w:ilvl w:val="0"/>
          <w:numId w:val="17"/>
        </w:numPr>
        <w:spacing w:line="360" w:lineRule="auto"/>
        <w:ind w:left="0" w:firstLine="426" w:firstLineChars="0"/>
        <w:rPr>
          <w:rFonts w:ascii="宋体" w:hAnsi="宋体"/>
          <w:sz w:val="21"/>
          <w:szCs w:val="21"/>
        </w:rPr>
      </w:pPr>
      <w:r>
        <w:rPr>
          <w:rFonts w:ascii="宋体" w:hAnsi="宋体"/>
          <w:sz w:val="21"/>
          <w:szCs w:val="21"/>
        </w:rPr>
        <w:t>供应商须对照本《技术需求书》，依据第三方检测报告、供应商本身产品说明书及样本，逐条说明所提供</w:t>
      </w:r>
      <w:r>
        <w:rPr>
          <w:rFonts w:hint="eastAsia" w:ascii="宋体" w:hAnsi="宋体" w:eastAsia="宋体"/>
          <w:sz w:val="21"/>
          <w:szCs w:val="21"/>
        </w:rPr>
        <w:t>货物/服务</w:t>
      </w:r>
      <w:r>
        <w:rPr>
          <w:rFonts w:ascii="宋体" w:hAnsi="宋体"/>
          <w:sz w:val="21"/>
          <w:szCs w:val="21"/>
        </w:rPr>
        <w:t>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7"/>
        </w:numPr>
        <w:spacing w:line="360" w:lineRule="auto"/>
        <w:ind w:left="0" w:firstLine="426" w:firstLineChars="0"/>
        <w:rPr>
          <w:rFonts w:ascii="宋体" w:hAnsi="宋体"/>
          <w:sz w:val="21"/>
          <w:szCs w:val="21"/>
        </w:rPr>
      </w:pPr>
      <w:r>
        <w:rPr>
          <w:rFonts w:hint="eastAsia" w:ascii="宋体" w:hAnsi="宋体"/>
          <w:sz w:val="21"/>
          <w:szCs w:val="21"/>
        </w:rPr>
        <w:t>竞争性磋商文件技术要求中所</w:t>
      </w:r>
      <w:r>
        <w:rPr>
          <w:rFonts w:ascii="宋体" w:hAnsi="宋体"/>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7"/>
        </w:numPr>
        <w:spacing w:line="360" w:lineRule="auto"/>
        <w:ind w:left="0" w:firstLine="426" w:firstLineChars="0"/>
        <w:rPr>
          <w:rFonts w:ascii="宋体" w:hAnsi="宋体"/>
          <w:sz w:val="21"/>
          <w:szCs w:val="21"/>
        </w:rPr>
      </w:pPr>
      <w:r>
        <w:rPr>
          <w:rFonts w:hint="eastAsia" w:ascii="宋体" w:hAnsi="宋体" w:eastAsia="宋体" w:cs="宋体"/>
          <w:sz w:val="21"/>
          <w:szCs w:val="21"/>
        </w:rPr>
        <w:t>技术需求书中</w:t>
      </w:r>
      <w:r>
        <w:rPr>
          <w:rFonts w:ascii="宋体" w:hAnsi="宋体"/>
          <w:sz w:val="21"/>
          <w:szCs w:val="21"/>
        </w:rPr>
        <w:t>带“</w:t>
      </w:r>
      <w:r>
        <w:rPr>
          <w:rFonts w:ascii="宋体" w:hAnsi="宋体" w:cs="宋体"/>
          <w:szCs w:val="21"/>
        </w:rPr>
        <w:t>★</w:t>
      </w:r>
      <w:r>
        <w:rPr>
          <w:rFonts w:hint="eastAsia" w:ascii="宋体" w:hAnsi="宋体"/>
          <w:sz w:val="21"/>
          <w:szCs w:val="21"/>
        </w:rPr>
        <w:t>”</w:t>
      </w:r>
      <w:r>
        <w:rPr>
          <w:rFonts w:ascii="宋体" w:hAnsi="宋体"/>
          <w:sz w:val="21"/>
          <w:szCs w:val="21"/>
        </w:rPr>
        <w:t>部分为必须保证满足要求的条款。</w:t>
      </w:r>
    </w:p>
    <w:p>
      <w:pPr>
        <w:pStyle w:val="89"/>
        <w:numPr>
          <w:ilvl w:val="0"/>
          <w:numId w:val="17"/>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7" w:name="_Toc31826"/>
      <w:bookmarkStart w:id="38" w:name="_Toc30212"/>
      <w:bookmarkStart w:id="39" w:name="_Toc76996580"/>
      <w:bookmarkStart w:id="40" w:name="_Toc51053569"/>
      <w:bookmarkStart w:id="41" w:name="_Toc76856250"/>
    </w:p>
    <w:bookmarkEnd w:id="37"/>
    <w:bookmarkEnd w:id="38"/>
    <w:bookmarkEnd w:id="39"/>
    <w:bookmarkEnd w:id="40"/>
    <w:bookmarkEnd w:id="41"/>
    <w:p>
      <w:pPr>
        <w:pStyle w:val="89"/>
        <w:numPr>
          <w:ilvl w:val="0"/>
          <w:numId w:val="18"/>
        </w:numPr>
        <w:spacing w:line="360" w:lineRule="auto"/>
        <w:ind w:firstLineChars="0"/>
        <w:outlineLvl w:val="1"/>
        <w:rPr>
          <w:rFonts w:ascii="宋体" w:hAnsi="宋体"/>
          <w:b/>
        </w:rPr>
      </w:pPr>
      <w:bookmarkStart w:id="42" w:name="_Toc76856251"/>
      <w:bookmarkStart w:id="43" w:name="_Toc19779"/>
      <w:bookmarkStart w:id="44" w:name="_Toc51053570"/>
      <w:bookmarkStart w:id="45" w:name="_Toc76996581"/>
      <w:r>
        <w:rPr>
          <w:rStyle w:val="365"/>
          <w:rFonts w:hint="eastAsia" w:ascii="宋体" w:hAnsi="宋体"/>
        </w:rPr>
        <w:t>项目总体设计介绍</w:t>
      </w:r>
      <w:bookmarkEnd w:id="42"/>
      <w:bookmarkEnd w:id="43"/>
      <w:bookmarkEnd w:id="44"/>
      <w:bookmarkEnd w:id="45"/>
    </w:p>
    <w:p>
      <w:pPr>
        <w:spacing w:line="360" w:lineRule="auto"/>
        <w:ind w:firstLine="420" w:firstLineChars="200"/>
        <w:rPr>
          <w:rFonts w:ascii="宋体" w:hAnsi="宋体"/>
        </w:rPr>
      </w:pPr>
      <w:r>
        <w:rPr>
          <w:rFonts w:hint="eastAsia" w:ascii="宋体" w:hAnsi="宋体"/>
        </w:rPr>
        <w:t>供应商必须认真阅读本部分内容，以加深对本项目技术要求的理解。</w:t>
      </w:r>
    </w:p>
    <w:p>
      <w:pPr>
        <w:widowControl/>
        <w:numPr>
          <w:ilvl w:val="1"/>
          <w:numId w:val="19"/>
        </w:numPr>
        <w:spacing w:line="360" w:lineRule="auto"/>
        <w:ind w:firstLine="420" w:firstLineChars="200"/>
        <w:rPr>
          <w:rFonts w:ascii="宋体" w:hAnsi="宋体"/>
        </w:rPr>
      </w:pPr>
      <w:r>
        <w:rPr>
          <w:rFonts w:hint="eastAsia" w:ascii="宋体" w:hAnsi="宋体"/>
        </w:rPr>
        <w:t>项目概述</w:t>
      </w:r>
    </w:p>
    <w:p>
      <w:pPr>
        <w:widowControl/>
        <w:spacing w:line="360" w:lineRule="auto"/>
        <w:ind w:firstLine="420" w:firstLineChars="200"/>
      </w:pPr>
      <w:r>
        <w:rPr>
          <w:rFonts w:hint="eastAsia" w:ascii="宋体" w:hAnsi="宋体"/>
        </w:rPr>
        <w:t>1.1.1 系统功能</w:t>
      </w:r>
    </w:p>
    <w:p>
      <w:pPr>
        <w:widowControl/>
        <w:spacing w:line="360" w:lineRule="auto"/>
        <w:ind w:firstLine="420" w:firstLineChars="200"/>
        <w:jc w:val="left"/>
        <w:rPr>
          <w:szCs w:val="21"/>
        </w:rPr>
      </w:pPr>
      <w:r>
        <w:rPr>
          <w:rFonts w:hint="eastAsia"/>
          <w:szCs w:val="21"/>
        </w:rPr>
        <w:t>内容集成注入系统优化改造项目是在原有内容集成注入系统的基础上进一步优化开发，原系统在2020年进行了架构升级，完成了与上下游播出链条的串接，系统位于视频播出全链条的中段，上游对接省中心媒资生产平台、媒资元数据汇聚平台以及地市本地化媒资生产平台，聚合各生产平台注入的视听媒资资源，根据标准规范对媒资资源进行校验、技审、纠偏、转码并注入、分发至下游CDN平台、统一门户平台以及语音搜索能力平台，由CDN平台进行视听节目推流，由统一门户平台和语音搜索能力平台实现视听资源的页面展现，支持面向多终端播出，终端类型包括IP机顶盒、TVOS智能机顶盒、存量非智能机顶盒、定制一体机、智能电视软客户端、微信客户端、自有移动APP（视界观）等系列化终端。可实现跨网跨终端的多场景覆盖。</w:t>
      </w:r>
    </w:p>
    <w:p>
      <w:pPr>
        <w:widowControl/>
        <w:spacing w:line="360" w:lineRule="auto"/>
        <w:ind w:firstLine="420" w:firstLineChars="200"/>
        <w:jc w:val="left"/>
        <w:rPr>
          <w:szCs w:val="21"/>
        </w:rPr>
      </w:pPr>
      <w:r>
        <w:rPr>
          <w:rFonts w:hint="eastAsia"/>
          <w:szCs w:val="21"/>
        </w:rPr>
        <w:t>原系统以资源聚合、高效分发、性能稳定、扩展灵活、接口开放、高兼容性为总体设计思路，总体架构遵循主流行业标准，符合成熟性、先进性、开放性、易用性、可扩展性、安全性和稳定性等基本原则。系统采用微服务化架构，服务组件散列、功能模块间松耦合，可实现无缝平滑的扩容升级，具有较好的弹性伸缩机制，还可根据业务负载情况按需动态灵活扩展某些服务组件，形成了支撑业务高效运营的运作新模式。平台主要包括的服务组件有内容采集、内容搬迁、内容技审、内容管理、内容转码、内容分发、系统管理、任务管理、接口管理等，如图1所示。</w:t>
      </w:r>
    </w:p>
    <w:p>
      <w:pPr>
        <w:widowControl/>
        <w:spacing w:line="360" w:lineRule="auto"/>
        <w:ind w:firstLine="420" w:firstLineChars="200"/>
        <w:jc w:val="left"/>
        <w:rPr>
          <w:szCs w:val="21"/>
        </w:rPr>
      </w:pPr>
      <w:r>
        <w:rPr>
          <w:rFonts w:hint="eastAsia"/>
          <w:szCs w:val="21"/>
        </w:rPr>
        <w:t>CIC内容采集组件，主要负责接收上端各个媒资生产平台注入的报文，并对报文进行解析、强校验、入库；同时根据报文中的文件地址判断视听文件是否存在；FMS内容搬迁组件将视听源文件搬迁至平台NAS存储中，并将搬迁结果上报WTE任务管理组件，由WTE创建节点任务。BPE内容转码组件根据上端报文中视频转码的格式要求，调用云转码平台自动配备转码格式和转码通道，进行多码率、多格式文件转码，以适应小屏文件播放要求；TRC内容技审组件对媒资文件进行技审，保证视听文件参数正确，补齐更正元数据重要字段内容，对图片进行MD5校验，保障播出安全。PTE内容发布组件通过匹配配置中不同CP的发布策略，生成对应的发布任务，下发报文通知下游CDN平台到指定位置拉取文件，同时下发元数据给下游统一门户系统、广告系统以及语音搜索等能力系统。</w:t>
      </w:r>
    </w:p>
    <w:p>
      <w:pPr>
        <w:widowControl/>
        <w:spacing w:line="360" w:lineRule="auto"/>
        <w:ind w:firstLine="420" w:firstLineChars="200"/>
        <w:jc w:val="left"/>
        <w:rPr>
          <w:szCs w:val="21"/>
        </w:rPr>
      </w:pPr>
    </w:p>
    <w:p>
      <w:pPr>
        <w:widowControl/>
        <w:spacing w:line="360" w:lineRule="auto"/>
        <w:jc w:val="left"/>
        <w:rPr>
          <w:rFonts w:ascii="宋体" w:hAnsi="宋体"/>
          <w:kern w:val="0"/>
          <w:szCs w:val="21"/>
        </w:rPr>
      </w:pPr>
      <w:r>
        <w:rPr>
          <w:rFonts w:ascii="宋体" w:hAnsi="宋体"/>
          <w:kern w:val="0"/>
          <w:szCs w:val="21"/>
        </w:rPr>
        <w:pict>
          <v:shape id="_x0000_s1026" o:spid="_x0000_s1026" o:spt="75" type="#_x0000_t75" style="position:absolute;left:0pt;margin-left:38.4pt;margin-top:12.05pt;height:294.3pt;width:414.8pt;mso-wrap-distance-bottom:0pt;mso-wrap-distance-top:0pt;z-index:251661312;mso-width-relative:page;mso-height-relative:page;" o:ole="t" filled="f" o:preferrelative="t" stroked="f" coordsize="21600,21600">
            <v:path/>
            <v:fill on="f" focussize="0,0"/>
            <v:stroke on="f" joinstyle="miter"/>
            <v:imagedata r:id="rId15" o:title=""/>
            <o:lock v:ext="edit" aspectratio="f"/>
            <w10:wrap type="topAndBottom"/>
          </v:shape>
          <o:OLEObject Type="Embed" ProgID="Visio.Drawing.15" ShapeID="_x0000_s1026" DrawAspect="Content" ObjectID="_1468075725" r:id="rId14">
            <o:LockedField>false</o:LockedField>
          </o:OLEObject>
        </w:pict>
      </w:r>
    </w:p>
    <w:p>
      <w:pPr>
        <w:widowControl/>
        <w:spacing w:line="360" w:lineRule="auto"/>
        <w:jc w:val="center"/>
        <w:rPr>
          <w:szCs w:val="21"/>
        </w:rPr>
      </w:pPr>
      <w:r>
        <w:rPr>
          <w:rFonts w:hint="eastAsia" w:ascii="宋体" w:hAnsi="宋体"/>
          <w:kern w:val="0"/>
          <w:szCs w:val="21"/>
        </w:rPr>
        <w:t>图1</w:t>
      </w:r>
      <w:r>
        <w:rPr>
          <w:rFonts w:ascii="宋体" w:hAnsi="宋体"/>
          <w:kern w:val="0"/>
          <w:szCs w:val="21"/>
        </w:rPr>
        <w:t xml:space="preserve"> </w:t>
      </w:r>
      <w:r>
        <w:rPr>
          <w:rFonts w:hint="eastAsia" w:ascii="宋体" w:hAnsi="宋体"/>
          <w:kern w:val="0"/>
          <w:szCs w:val="21"/>
        </w:rPr>
        <w:t>内容集成注入系统总体架构图</w:t>
      </w:r>
    </w:p>
    <w:p>
      <w:pPr>
        <w:widowControl/>
        <w:spacing w:line="360" w:lineRule="auto"/>
        <w:ind w:firstLine="420" w:firstLineChars="200"/>
        <w:rPr>
          <w:szCs w:val="21"/>
        </w:rPr>
      </w:pPr>
      <w:r>
        <w:rPr>
          <w:rFonts w:hint="eastAsia" w:hAnsi="宋体"/>
          <w:bCs/>
          <w:szCs w:val="21"/>
        </w:rPr>
        <w:t xml:space="preserve">1.1.2 </w:t>
      </w:r>
      <w:r>
        <w:rPr>
          <w:rFonts w:hint="eastAsia"/>
          <w:szCs w:val="21"/>
        </w:rPr>
        <w:t>现有系统外部接口</w:t>
      </w:r>
    </w:p>
    <w:p>
      <w:pPr>
        <w:pStyle w:val="373"/>
        <w:spacing w:before="100" w:beforeAutospacing="1" w:after="100" w:afterAutospacing="1" w:line="360" w:lineRule="auto"/>
        <w:ind w:left="420" w:leftChars="200" w:firstLine="0" w:firstLineChars="0"/>
        <w:rPr>
          <w:rFonts w:ascii="宋体" w:hAnsi="宋体"/>
          <w:kern w:val="0"/>
          <w:szCs w:val="21"/>
        </w:rPr>
      </w:pPr>
      <w:r>
        <w:rPr>
          <w:rFonts w:hint="eastAsia" w:ascii="宋体" w:hAnsi="宋体"/>
          <w:kern w:val="0"/>
          <w:szCs w:val="21"/>
        </w:rPr>
        <w:t>（1）为兼容原有V</w:t>
      </w:r>
      <w:r>
        <w:rPr>
          <w:rFonts w:ascii="宋体" w:hAnsi="宋体"/>
          <w:kern w:val="0"/>
          <w:szCs w:val="21"/>
        </w:rPr>
        <w:t>OD</w:t>
      </w:r>
      <w:r>
        <w:rPr>
          <w:rFonts w:hint="eastAsia" w:ascii="宋体" w:hAnsi="宋体"/>
          <w:kern w:val="0"/>
          <w:szCs w:val="21"/>
        </w:rPr>
        <w:t>平台节目的聚合分发，与原有省媒资生产平台及地市本地化媒资生产平台通过A</w:t>
      </w:r>
      <w:r>
        <w:rPr>
          <w:rFonts w:ascii="宋体" w:hAnsi="宋体"/>
          <w:kern w:val="0"/>
          <w:szCs w:val="21"/>
        </w:rPr>
        <w:t>DI1.1</w:t>
      </w:r>
      <w:r>
        <w:rPr>
          <w:rFonts w:hint="eastAsia" w:ascii="宋体" w:hAnsi="宋体"/>
          <w:kern w:val="0"/>
          <w:szCs w:val="21"/>
        </w:rPr>
        <w:t>接口规范（X</w:t>
      </w:r>
      <w:r>
        <w:rPr>
          <w:rFonts w:ascii="宋体" w:hAnsi="宋体"/>
          <w:kern w:val="0"/>
          <w:szCs w:val="21"/>
        </w:rPr>
        <w:t>ML OVER HTTP</w:t>
      </w:r>
      <w:r>
        <w:rPr>
          <w:rFonts w:hint="eastAsia" w:ascii="宋体" w:hAnsi="宋体"/>
          <w:kern w:val="0"/>
          <w:szCs w:val="21"/>
        </w:rPr>
        <w:t>）进行对接，实现上游视听介质和元数据的接收；与下游V</w:t>
      </w:r>
      <w:r>
        <w:rPr>
          <w:rFonts w:ascii="宋体" w:hAnsi="宋体"/>
          <w:kern w:val="0"/>
          <w:szCs w:val="21"/>
        </w:rPr>
        <w:t xml:space="preserve">OD CDN </w:t>
      </w:r>
      <w:r>
        <w:rPr>
          <w:rFonts w:hint="eastAsia" w:ascii="宋体" w:hAnsi="宋体"/>
          <w:kern w:val="0"/>
          <w:szCs w:val="21"/>
        </w:rPr>
        <w:t>通过</w:t>
      </w:r>
      <w:r>
        <w:rPr>
          <w:rFonts w:ascii="宋体" w:hAnsi="宋体"/>
          <w:kern w:val="0"/>
          <w:szCs w:val="21"/>
        </w:rPr>
        <w:t>VOD</w:t>
      </w:r>
      <w:r>
        <w:rPr>
          <w:rFonts w:hint="eastAsia" w:ascii="宋体" w:hAnsi="宋体"/>
          <w:kern w:val="0"/>
          <w:szCs w:val="21"/>
        </w:rPr>
        <w:t>定制接口规范对接，实现视听介质的注入分发和删除。</w:t>
      </w:r>
    </w:p>
    <w:p>
      <w:pPr>
        <w:pStyle w:val="373"/>
        <w:spacing w:before="100" w:beforeAutospacing="1" w:after="100" w:afterAutospacing="1" w:line="360" w:lineRule="auto"/>
        <w:ind w:left="420" w:leftChars="200" w:firstLine="0" w:firstLineChars="0"/>
        <w:rPr>
          <w:rFonts w:ascii="宋体" w:hAnsi="宋体"/>
          <w:kern w:val="0"/>
          <w:szCs w:val="21"/>
        </w:rPr>
      </w:pPr>
      <w:r>
        <w:rPr>
          <w:rFonts w:hint="eastAsia" w:ascii="宋体" w:hAnsi="宋体"/>
          <w:kern w:val="0"/>
          <w:szCs w:val="21"/>
        </w:rPr>
        <w:t>（2）在</w:t>
      </w:r>
      <w:r>
        <w:rPr>
          <w:rFonts w:ascii="宋体" w:hAnsi="宋体"/>
          <w:kern w:val="0"/>
          <w:szCs w:val="21"/>
        </w:rPr>
        <w:t>IP</w:t>
      </w:r>
      <w:r>
        <w:rPr>
          <w:rFonts w:hint="eastAsia" w:ascii="宋体" w:hAnsi="宋体"/>
          <w:kern w:val="0"/>
          <w:szCs w:val="21"/>
        </w:rPr>
        <w:t>融合平台中，与上游省媒资生产平台，通过定制接口（J</w:t>
      </w:r>
      <w:r>
        <w:rPr>
          <w:rFonts w:ascii="宋体" w:hAnsi="宋体"/>
          <w:kern w:val="0"/>
          <w:szCs w:val="21"/>
        </w:rPr>
        <w:t>SON VOER HTTP</w:t>
      </w:r>
      <w:r>
        <w:rPr>
          <w:rFonts w:hint="eastAsia" w:ascii="宋体" w:hAnsi="宋体"/>
          <w:kern w:val="0"/>
          <w:szCs w:val="21"/>
        </w:rPr>
        <w:t>）进行对接，实现上游纯视听介质的接收；与下游I</w:t>
      </w:r>
      <w:r>
        <w:rPr>
          <w:rFonts w:ascii="宋体" w:hAnsi="宋体"/>
          <w:kern w:val="0"/>
          <w:szCs w:val="21"/>
        </w:rPr>
        <w:t>P CDN</w:t>
      </w:r>
      <w:r>
        <w:rPr>
          <w:rFonts w:hint="eastAsia" w:ascii="宋体" w:hAnsi="宋体"/>
          <w:kern w:val="0"/>
          <w:szCs w:val="21"/>
        </w:rPr>
        <w:t>通过定制接口（X</w:t>
      </w:r>
      <w:r>
        <w:rPr>
          <w:rFonts w:ascii="宋体" w:hAnsi="宋体"/>
          <w:kern w:val="0"/>
          <w:szCs w:val="21"/>
        </w:rPr>
        <w:t>ML OVER HTTP</w:t>
      </w:r>
      <w:r>
        <w:rPr>
          <w:rFonts w:hint="eastAsia" w:ascii="宋体" w:hAnsi="宋体"/>
          <w:kern w:val="0"/>
          <w:szCs w:val="21"/>
        </w:rPr>
        <w:t>）对接，实现视听介质的注入分发和上下线。</w:t>
      </w:r>
    </w:p>
    <w:p>
      <w:pPr>
        <w:pStyle w:val="373"/>
        <w:spacing w:before="100" w:beforeAutospacing="1" w:after="100" w:afterAutospacing="1" w:line="360" w:lineRule="auto"/>
        <w:ind w:left="420" w:leftChars="200" w:firstLine="0" w:firstLineChars="0"/>
        <w:rPr>
          <w:rFonts w:ascii="宋体" w:hAnsi="宋体"/>
          <w:kern w:val="0"/>
          <w:szCs w:val="21"/>
        </w:rPr>
      </w:pPr>
      <w:r>
        <w:rPr>
          <w:rFonts w:hint="eastAsia" w:ascii="宋体" w:hAnsi="宋体"/>
          <w:kern w:val="0"/>
          <w:szCs w:val="21"/>
        </w:rPr>
        <w:t>（3）在</w:t>
      </w:r>
      <w:r>
        <w:rPr>
          <w:rFonts w:ascii="宋体" w:hAnsi="宋体"/>
          <w:kern w:val="0"/>
          <w:szCs w:val="21"/>
        </w:rPr>
        <w:t>IP</w:t>
      </w:r>
      <w:r>
        <w:rPr>
          <w:rFonts w:hint="eastAsia" w:ascii="宋体" w:hAnsi="宋体"/>
          <w:kern w:val="0"/>
          <w:szCs w:val="21"/>
        </w:rPr>
        <w:t>融合平台中，与上游省媒资元数据汇聚平台，通过元数据定制接口（J</w:t>
      </w:r>
      <w:r>
        <w:rPr>
          <w:rFonts w:ascii="宋体" w:hAnsi="宋体"/>
          <w:kern w:val="0"/>
          <w:szCs w:val="21"/>
        </w:rPr>
        <w:t>SON VOER HTTP</w:t>
      </w:r>
      <w:r>
        <w:rPr>
          <w:rFonts w:hint="eastAsia" w:ascii="宋体" w:hAnsi="宋体"/>
          <w:kern w:val="0"/>
          <w:szCs w:val="21"/>
        </w:rPr>
        <w:t>）进行对接，从而把各种元数据格式统一，接收成功后通过A</w:t>
      </w:r>
      <w:r>
        <w:rPr>
          <w:rFonts w:ascii="宋体" w:hAnsi="宋体"/>
          <w:kern w:val="0"/>
          <w:szCs w:val="21"/>
        </w:rPr>
        <w:t>DI</w:t>
      </w:r>
      <w:r>
        <w:rPr>
          <w:rFonts w:hint="eastAsia" w:ascii="宋体" w:hAnsi="宋体"/>
          <w:kern w:val="0"/>
          <w:szCs w:val="21"/>
        </w:rPr>
        <w:t>1</w:t>
      </w:r>
      <w:r>
        <w:rPr>
          <w:rFonts w:ascii="宋体" w:hAnsi="宋体"/>
          <w:kern w:val="0"/>
          <w:szCs w:val="21"/>
        </w:rPr>
        <w:t>.1</w:t>
      </w:r>
      <w:r>
        <w:rPr>
          <w:rFonts w:hint="eastAsia" w:ascii="宋体" w:hAnsi="宋体"/>
          <w:kern w:val="0"/>
          <w:szCs w:val="21"/>
        </w:rPr>
        <w:t>规范下发给下游数据网关、统一门户、语音搜索等系统平台。</w:t>
      </w:r>
    </w:p>
    <w:p>
      <w:pPr>
        <w:pStyle w:val="373"/>
        <w:spacing w:before="100" w:beforeAutospacing="1" w:after="100" w:afterAutospacing="1" w:line="360" w:lineRule="auto"/>
        <w:ind w:left="420" w:leftChars="200" w:firstLine="0" w:firstLineChars="0"/>
        <w:rPr>
          <w:rFonts w:ascii="宋体" w:hAnsi="宋体"/>
          <w:kern w:val="0"/>
          <w:szCs w:val="21"/>
        </w:rPr>
      </w:pPr>
      <w:r>
        <w:rPr>
          <w:rFonts w:hint="eastAsia" w:ascii="宋体" w:hAnsi="宋体"/>
          <w:kern w:val="0"/>
          <w:szCs w:val="21"/>
        </w:rPr>
        <w:t>（4）在</w:t>
      </w:r>
      <w:r>
        <w:rPr>
          <w:rFonts w:ascii="宋体" w:hAnsi="宋体"/>
          <w:kern w:val="0"/>
          <w:szCs w:val="21"/>
        </w:rPr>
        <w:t>IP</w:t>
      </w:r>
      <w:r>
        <w:rPr>
          <w:rFonts w:hint="eastAsia" w:ascii="宋体" w:hAnsi="宋体"/>
          <w:kern w:val="0"/>
          <w:szCs w:val="21"/>
        </w:rPr>
        <w:t>融合平台中，通过定制转码接口（X</w:t>
      </w:r>
      <w:r>
        <w:rPr>
          <w:rFonts w:ascii="宋体" w:hAnsi="宋体"/>
          <w:kern w:val="0"/>
          <w:szCs w:val="21"/>
        </w:rPr>
        <w:t>ML OVER HTTP</w:t>
      </w:r>
      <w:r>
        <w:rPr>
          <w:rFonts w:hint="eastAsia" w:ascii="宋体" w:hAnsi="宋体"/>
          <w:kern w:val="0"/>
          <w:szCs w:val="21"/>
        </w:rPr>
        <w:t>）调用云转码能力，对视听介质进行多格式多码率转码，转码后自动生成新介质对应的元数据与源介质实现对应关系，后注入分发至对应的下游目标平台。如图2所示。</w:t>
      </w:r>
    </w:p>
    <w:p>
      <w:pPr>
        <w:spacing w:line="360" w:lineRule="auto"/>
        <w:ind w:firstLine="420" w:firstLineChars="200"/>
        <w:jc w:val="left"/>
        <w:rPr>
          <w:szCs w:val="21"/>
        </w:rPr>
      </w:pPr>
    </w:p>
    <w:p>
      <w:pPr>
        <w:spacing w:line="360" w:lineRule="auto"/>
        <w:ind w:firstLine="420" w:firstLineChars="200"/>
        <w:jc w:val="left"/>
        <w:rPr>
          <w:szCs w:val="21"/>
        </w:rPr>
      </w:pPr>
    </w:p>
    <w:p>
      <w:pPr>
        <w:spacing w:line="360" w:lineRule="auto"/>
        <w:jc w:val="center"/>
        <w:rPr>
          <w:szCs w:val="21"/>
        </w:rPr>
      </w:pPr>
      <w:r>
        <w:rPr>
          <w:rFonts w:ascii="宋体" w:hAnsi="宋体"/>
        </w:rPr>
        <w:drawing>
          <wp:inline distT="0" distB="0" distL="0" distR="0">
            <wp:extent cx="5274310" cy="228473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274310" cy="2284730"/>
                    </a:xfrm>
                    <a:prstGeom prst="rect">
                      <a:avLst/>
                    </a:prstGeom>
                  </pic:spPr>
                </pic:pic>
              </a:graphicData>
            </a:graphic>
          </wp:inline>
        </w:drawing>
      </w:r>
    </w:p>
    <w:p>
      <w:pPr>
        <w:pStyle w:val="373"/>
        <w:spacing w:before="100" w:beforeAutospacing="1" w:after="100" w:afterAutospacing="1" w:line="360" w:lineRule="auto"/>
        <w:ind w:left="480" w:firstLine="0" w:firstLineChars="0"/>
        <w:jc w:val="center"/>
        <w:rPr>
          <w:rFonts w:ascii="宋体" w:hAnsi="宋体"/>
          <w:kern w:val="0"/>
          <w:szCs w:val="21"/>
        </w:rPr>
      </w:pPr>
      <w:r>
        <w:rPr>
          <w:rFonts w:hint="eastAsia" w:ascii="宋体" w:hAnsi="宋体"/>
          <w:kern w:val="0"/>
          <w:szCs w:val="21"/>
        </w:rPr>
        <w:t>图2</w:t>
      </w:r>
      <w:r>
        <w:rPr>
          <w:rFonts w:ascii="宋体" w:hAnsi="宋体"/>
          <w:kern w:val="0"/>
          <w:szCs w:val="21"/>
        </w:rPr>
        <w:t xml:space="preserve"> </w:t>
      </w:r>
      <w:r>
        <w:rPr>
          <w:rFonts w:hint="eastAsia" w:ascii="宋体" w:hAnsi="宋体"/>
          <w:kern w:val="0"/>
          <w:szCs w:val="21"/>
        </w:rPr>
        <w:t>内容集成注入系统对外接口</w:t>
      </w:r>
    </w:p>
    <w:p>
      <w:pPr>
        <w:widowControl/>
        <w:spacing w:line="360" w:lineRule="auto"/>
        <w:jc w:val="left"/>
        <w:rPr>
          <w:szCs w:val="21"/>
        </w:rPr>
      </w:pPr>
      <w:r>
        <w:rPr>
          <w:rFonts w:hint="eastAsia"/>
          <w:szCs w:val="21"/>
        </w:rPr>
        <w:t>1.1.3 建设目标：</w:t>
      </w:r>
    </w:p>
    <w:p>
      <w:pPr>
        <w:pStyle w:val="374"/>
        <w:spacing w:line="360" w:lineRule="auto"/>
        <w:ind w:left="420" w:leftChars="200" w:firstLine="0" w:firstLineChars="0"/>
        <w:rPr>
          <w:rFonts w:ascii="宋体" w:hAnsi="宋体"/>
          <w:szCs w:val="22"/>
          <w:lang w:val="en-US" w:eastAsia="zh-CN"/>
        </w:rPr>
      </w:pPr>
      <w:r>
        <w:rPr>
          <w:rFonts w:hint="eastAsia"/>
          <w:kern w:val="2"/>
          <w:sz w:val="21"/>
          <w:szCs w:val="21"/>
          <w:lang w:val="en-US" w:eastAsia="zh-CN"/>
        </w:rPr>
        <w:t>（1）为实现终端以VOD方式点播IP的节目，系统须</w:t>
      </w:r>
      <w:r>
        <w:rPr>
          <w:rFonts w:hint="eastAsia" w:ascii="宋体" w:hAnsi="宋体"/>
          <w:szCs w:val="22"/>
          <w:lang w:val="en-US" w:eastAsia="zh-CN"/>
        </w:rPr>
        <w:t>与融合推流平台对接，与IPCDN对接，修改现有接口。</w:t>
      </w:r>
    </w:p>
    <w:p>
      <w:pPr>
        <w:pStyle w:val="374"/>
        <w:spacing w:line="360" w:lineRule="auto"/>
        <w:ind w:left="420" w:leftChars="200" w:firstLine="0" w:firstLineChars="0"/>
        <w:rPr>
          <w:kern w:val="2"/>
          <w:sz w:val="21"/>
          <w:szCs w:val="21"/>
          <w:lang w:val="en-US" w:eastAsia="zh-CN"/>
        </w:rPr>
      </w:pPr>
      <w:r>
        <w:rPr>
          <w:rFonts w:hint="eastAsia"/>
          <w:kern w:val="2"/>
          <w:sz w:val="21"/>
          <w:szCs w:val="21"/>
          <w:lang w:val="en-US" w:eastAsia="zh-CN"/>
        </w:rPr>
        <w:t>（2）提供在线媒资节目数据的对外接口服务。</w:t>
      </w:r>
    </w:p>
    <w:p>
      <w:pPr>
        <w:pStyle w:val="374"/>
        <w:spacing w:line="360" w:lineRule="auto"/>
        <w:ind w:left="420" w:leftChars="200" w:firstLine="0" w:firstLineChars="0"/>
        <w:rPr>
          <w:kern w:val="2"/>
          <w:sz w:val="21"/>
          <w:szCs w:val="21"/>
          <w:lang w:val="en-US" w:eastAsia="zh-CN"/>
        </w:rPr>
      </w:pPr>
      <w:r>
        <w:rPr>
          <w:rFonts w:hint="eastAsia"/>
          <w:kern w:val="2"/>
          <w:sz w:val="21"/>
          <w:szCs w:val="21"/>
          <w:lang w:val="en-US" w:eastAsia="zh-CN"/>
        </w:rPr>
        <w:t>（3）对接新建融合CDN平台。</w:t>
      </w:r>
    </w:p>
    <w:p>
      <w:pPr>
        <w:pStyle w:val="374"/>
        <w:spacing w:line="360" w:lineRule="auto"/>
        <w:ind w:left="420" w:leftChars="200" w:firstLine="0" w:firstLineChars="0"/>
        <w:rPr>
          <w:kern w:val="2"/>
          <w:sz w:val="21"/>
          <w:szCs w:val="21"/>
          <w:lang w:val="en-US" w:eastAsia="zh-CN"/>
        </w:rPr>
      </w:pPr>
      <w:r>
        <w:rPr>
          <w:rFonts w:hint="eastAsia"/>
          <w:kern w:val="2"/>
          <w:sz w:val="21"/>
          <w:szCs w:val="21"/>
          <w:lang w:val="en-US" w:eastAsia="zh-CN"/>
        </w:rPr>
        <w:t>（4）新增数据统计模块，完成关键数据的统计分析。</w:t>
      </w:r>
    </w:p>
    <w:p>
      <w:pPr>
        <w:pStyle w:val="374"/>
        <w:spacing w:line="360" w:lineRule="auto"/>
        <w:ind w:left="420" w:leftChars="200" w:firstLine="0" w:firstLineChars="0"/>
        <w:rPr>
          <w:kern w:val="2"/>
          <w:sz w:val="21"/>
          <w:szCs w:val="21"/>
          <w:lang w:val="en-US" w:eastAsia="zh-CN"/>
        </w:rPr>
      </w:pPr>
      <w:r>
        <w:rPr>
          <w:rFonts w:hint="eastAsia"/>
          <w:kern w:val="2"/>
          <w:sz w:val="21"/>
          <w:szCs w:val="21"/>
          <w:lang w:val="en-US" w:eastAsia="zh-CN"/>
        </w:rPr>
        <w:t>（5）新增运维监测模块，提升运维效率。</w:t>
      </w:r>
    </w:p>
    <w:p>
      <w:pPr>
        <w:pStyle w:val="2"/>
      </w:pPr>
    </w:p>
    <w:p>
      <w:pPr>
        <w:pStyle w:val="89"/>
        <w:numPr>
          <w:ilvl w:val="0"/>
          <w:numId w:val="18"/>
        </w:numPr>
        <w:ind w:left="0" w:firstLine="0" w:firstLineChars="0"/>
        <w:outlineLvl w:val="1"/>
      </w:pPr>
      <w:r>
        <w:rPr>
          <w:rStyle w:val="365"/>
          <w:rFonts w:hint="eastAsia" w:eastAsia="宋体" w:cs="宋体"/>
        </w:rPr>
        <w:t>功能需求</w:t>
      </w:r>
    </w:p>
    <w:p>
      <w:pPr>
        <w:pStyle w:val="89"/>
        <w:ind w:firstLine="0" w:firstLineChars="0"/>
        <w:outlineLvl w:val="1"/>
      </w:pPr>
    </w:p>
    <w:p>
      <w:pPr>
        <w:pStyle w:val="89"/>
        <w:numPr>
          <w:ilvl w:val="255"/>
          <w:numId w:val="0"/>
        </w:numPr>
        <w:spacing w:line="360" w:lineRule="auto"/>
        <w:outlineLvl w:val="1"/>
        <w:rPr>
          <w:rFonts w:eastAsia="宋体"/>
          <w:kern w:val="2"/>
          <w:sz w:val="21"/>
          <w:szCs w:val="21"/>
        </w:rPr>
      </w:pPr>
      <w:r>
        <w:rPr>
          <w:rFonts w:hint="eastAsia" w:eastAsia="宋体"/>
          <w:kern w:val="2"/>
          <w:sz w:val="21"/>
          <w:szCs w:val="21"/>
        </w:rPr>
        <w:t>2.1 总体需求</w:t>
      </w:r>
    </w:p>
    <w:p>
      <w:pPr>
        <w:pStyle w:val="374"/>
        <w:tabs>
          <w:tab w:val="left" w:pos="0"/>
        </w:tabs>
        <w:ind w:firstLine="0" w:firstLineChars="0"/>
        <w:rPr>
          <w:rFonts w:ascii="宋体" w:hAnsi="宋体"/>
          <w:bCs/>
          <w:sz w:val="21"/>
          <w:szCs w:val="21"/>
          <w:lang w:val="en-US" w:eastAsia="zh-CN"/>
        </w:rPr>
      </w:pPr>
      <w:r>
        <w:rPr>
          <w:rFonts w:hint="eastAsia" w:ascii="宋体" w:hAnsi="宋体"/>
          <w:bCs/>
          <w:sz w:val="21"/>
          <w:szCs w:val="21"/>
          <w:lang w:val="en-US" w:eastAsia="zh-CN"/>
        </w:rPr>
        <w:t>2.1.1 标准、开放、先进性</w:t>
      </w:r>
    </w:p>
    <w:p>
      <w:pPr>
        <w:pStyle w:val="374"/>
        <w:tabs>
          <w:tab w:val="left" w:pos="0"/>
        </w:tabs>
        <w:spacing w:line="360" w:lineRule="auto"/>
        <w:jc w:val="both"/>
        <w:rPr>
          <w:rFonts w:ascii="宋体" w:hAnsi="宋体"/>
          <w:bCs/>
          <w:sz w:val="21"/>
          <w:szCs w:val="21"/>
          <w:lang w:val="en-US" w:eastAsia="zh-CN"/>
        </w:rPr>
      </w:pPr>
      <w:r>
        <w:rPr>
          <w:rFonts w:hint="eastAsia" w:ascii="宋体" w:hAnsi="宋体"/>
          <w:bCs/>
          <w:sz w:val="21"/>
          <w:szCs w:val="21"/>
          <w:lang w:val="en-US" w:eastAsia="zh-CN"/>
        </w:rPr>
        <w:t>内容集成注入系统优化改造的整体构架设计必须遵循主流行业标准，符合成熟性、先进性、开放性、易用性、可扩展性、易维护性、安全性和稳定性等基本原则，核心技术遵循现有的(或通用的)国际技术标准，开放的数据库结构。</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2.1.2 扩容、升级</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总体软件系统结构可以实现未来无缝平滑地扩容升级，不会因为设置新的服务分节点或调整有关的硬件设备配置而需修改软件的核心结构，仅需调整有关的配置参数即可。</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2.1.3备份与管理</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系统必须有专门的运维管理系统，对所有的服务器统一进行管理，对所有的服务器进行监控，及时发现服务器中存在的问题。所有关键的设备都采用在线或非在线的冗余保障措施，以避免可能产生的单点故障节点。</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2.1.4标准化接口</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提供标准化协议的接口使运营商将来自主开发新的应用业务系统或与其他业务系统进行数据通信以及整合成为可能。</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2.1.5伸缩性与扩展性</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系统具有的较好的伸缩性和扩展性便于将来进一步的升级与扩容。</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2.1.6安全性</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对整个系统的网络安全、服务安全性提供必要的保护，并能够基本解决目前常见的网络攻击，保证整个系统的基本的安全性。</w:t>
      </w:r>
    </w:p>
    <w:p>
      <w:pPr>
        <w:pStyle w:val="374"/>
        <w:tabs>
          <w:tab w:val="left" w:pos="0"/>
        </w:tabs>
        <w:spacing w:line="360" w:lineRule="auto"/>
        <w:ind w:firstLine="0" w:firstLineChars="0"/>
        <w:rPr>
          <w:rFonts w:ascii="宋体" w:hAnsi="宋体"/>
          <w:bCs/>
          <w:sz w:val="21"/>
          <w:szCs w:val="21"/>
          <w:lang w:val="en-US" w:eastAsia="zh-CN"/>
        </w:rPr>
      </w:pPr>
      <w:r>
        <w:rPr>
          <w:rFonts w:hint="eastAsia" w:ascii="宋体" w:hAnsi="宋体"/>
          <w:bCs/>
          <w:sz w:val="21"/>
          <w:szCs w:val="21"/>
          <w:lang w:val="en-US" w:eastAsia="zh-CN"/>
        </w:rPr>
        <w:t>2.1.7兼容性</w:t>
      </w:r>
    </w:p>
    <w:p>
      <w:pPr>
        <w:pStyle w:val="374"/>
        <w:tabs>
          <w:tab w:val="left" w:pos="0"/>
        </w:tabs>
        <w:spacing w:line="360" w:lineRule="auto"/>
        <w:ind w:left="425"/>
        <w:rPr>
          <w:rFonts w:ascii="宋体" w:hAnsi="宋体"/>
          <w:bCs/>
          <w:sz w:val="21"/>
          <w:szCs w:val="21"/>
          <w:lang w:val="en-US" w:eastAsia="zh-CN"/>
        </w:rPr>
      </w:pPr>
      <w:r>
        <w:rPr>
          <w:rFonts w:hint="eastAsia" w:ascii="宋体" w:hAnsi="宋体"/>
          <w:bCs/>
          <w:sz w:val="21"/>
          <w:szCs w:val="21"/>
          <w:lang w:val="en-US" w:eastAsia="zh-CN"/>
        </w:rPr>
        <w:t>由于数字电视广播业务高速发展，新的技术和服务功能会不断增加，内容集成注入系统优化改造应具有软件、硬件兼容的能力。</w:t>
      </w:r>
    </w:p>
    <w:p>
      <w:pPr>
        <w:pStyle w:val="89"/>
        <w:numPr>
          <w:ilvl w:val="255"/>
          <w:numId w:val="0"/>
        </w:numPr>
        <w:spacing w:line="360" w:lineRule="auto"/>
        <w:outlineLvl w:val="1"/>
        <w:rPr>
          <w:rFonts w:ascii="宋体" w:hAnsi="宋体"/>
          <w:b/>
          <w:szCs w:val="21"/>
        </w:rPr>
      </w:pPr>
      <w:r>
        <w:rPr>
          <w:rFonts w:hint="eastAsia" w:eastAsia="宋体"/>
          <w:kern w:val="2"/>
          <w:sz w:val="21"/>
          <w:szCs w:val="21"/>
        </w:rPr>
        <w:t xml:space="preserve">2.2 </w:t>
      </w:r>
      <w:r>
        <w:rPr>
          <w:rFonts w:hint="eastAsia" w:ascii="宋体" w:hAnsi="宋体"/>
          <w:b/>
          <w:szCs w:val="21"/>
        </w:rPr>
        <w:t>系统功能具体要求</w:t>
      </w:r>
    </w:p>
    <w:p>
      <w:pPr>
        <w:snapToGrid w:val="0"/>
        <w:spacing w:line="360" w:lineRule="auto"/>
        <w:ind w:firstLine="420" w:firstLineChars="200"/>
        <w:rPr>
          <w:rFonts w:ascii="宋体" w:hAnsi="宋体"/>
          <w:szCs w:val="21"/>
        </w:rPr>
      </w:pPr>
      <w:r>
        <w:rPr>
          <w:rFonts w:hint="eastAsia" w:ascii="宋体" w:hAnsi="宋体"/>
          <w:szCs w:val="21"/>
        </w:rPr>
        <w:t>本次项目必须完全实现现有内容集成注入系统的全部功能，兼容现有系统的业务规范、技术标准、网络环境、系统架构以及接口规范，并能在标准技术规范的基础上对业务流程、接口方式进行优化，在系统功能、性能、安全性、计算能力、覆盖业务及用户规模上达到或超过现有系统，同时满足本次项目新增功能需求。</w:t>
      </w:r>
    </w:p>
    <w:p>
      <w:pPr>
        <w:snapToGrid w:val="0"/>
        <w:spacing w:line="360" w:lineRule="auto"/>
        <w:ind w:firstLine="420" w:firstLineChars="200"/>
        <w:rPr>
          <w:rFonts w:ascii="宋体" w:hAnsi="宋体"/>
          <w:szCs w:val="21"/>
        </w:rPr>
      </w:pPr>
      <w:r>
        <w:rPr>
          <w:rFonts w:hint="eastAsia" w:ascii="宋体" w:hAnsi="宋体"/>
          <w:szCs w:val="21"/>
        </w:rPr>
        <w:t>供应商必须提供充分、详实的技术材料来说明如何做到上述的系统延续性要求，</w:t>
      </w:r>
      <w:r>
        <w:rPr>
          <w:rFonts w:ascii="宋体" w:hAnsi="宋体"/>
          <w:szCs w:val="21"/>
        </w:rPr>
        <w:t>无法证明</w:t>
      </w:r>
      <w:r>
        <w:rPr>
          <w:rFonts w:hint="eastAsia" w:ascii="宋体" w:hAnsi="宋体"/>
          <w:szCs w:val="21"/>
        </w:rPr>
        <w:t>方案可行的供应商可能会被拒绝。本次新增功能包括：</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 通过后台页面可查询上线节目/下线节目的相关信息。包括但不限于上下线状态、CP名称、节目名称、内容ID、视频ID、内容类型、节目分类、CDN类型、创建时间、发布时间、发布状态、发布者等相关信息，并支持导出为csv文件；支持为第三方系统提供节目在线状态数据接口。</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2.2.2 通过后台页面集中展示在线库节目统计结果。包括但不限于在线媒资节目数量，节目时长，节目总大小，可按内容类型查询显示，比如在线电影/电视剧/综艺可分别查询，可按不同时间段查询，支持为第三方系统提供节目统计数据。</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2.2.3 通过后台页面集中展示接收和分发数据的统计结果。包括但不限于按日期查询接收到多少上游数据（元数据、上线通知、下线通知），下发给下游系统多少数据（元数据、上线通知、下线通知），发布成功/失败的数量，未发布内容的数量，发布成功率为多少，可按内容类型或者业务查询统计结果。</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2.2.4 支持在后台页面查看上游注入的ADI/CDI或者JSON报文以及给下游下发的ADI/CDI或JSON报文内容。</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2.2.5 后台页面显示搬迁失败、转码失败、技审失败、发布失败等节目的详细报错信息以及发布失败的目标系统，通过上下游连接图可视化展示失败的系统环节。</w:t>
      </w:r>
      <w:r>
        <w:rPr>
          <w:rFonts w:hint="eastAsia" w:ascii="宋体" w:hAnsi="宋体"/>
          <w:szCs w:val="21"/>
        </w:rPr>
        <w:br w:type="textWrapping"/>
      </w:r>
      <w:r>
        <w:rPr>
          <w:rFonts w:hint="eastAsia" w:ascii="宋体" w:hAnsi="宋体"/>
          <w:szCs w:val="21"/>
        </w:rPr>
        <w:t xml:space="preserve">    </w:t>
      </w:r>
      <w:r>
        <w:rPr>
          <w:rFonts w:ascii="宋体" w:hAnsi="宋体" w:cs="宋体"/>
          <w:szCs w:val="21"/>
        </w:rPr>
        <w:t>★</w:t>
      </w:r>
      <w:r>
        <w:rPr>
          <w:rFonts w:hint="eastAsia" w:ascii="宋体" w:hAnsi="宋体"/>
          <w:szCs w:val="21"/>
        </w:rPr>
        <w:t>2.2.6 后台页面支持通过多个ID一次性批量查询节目发布状态，ID支持表格导入。</w:t>
      </w:r>
      <w:r>
        <w:rPr>
          <w:rFonts w:hint="eastAsia" w:ascii="宋体" w:hAnsi="宋体"/>
          <w:szCs w:val="21"/>
        </w:rPr>
        <w:br w:type="textWrapping"/>
      </w:r>
      <w:r>
        <w:rPr>
          <w:rFonts w:hint="eastAsia" w:ascii="宋体" w:hAnsi="宋体"/>
          <w:szCs w:val="21"/>
        </w:rPr>
        <w:t xml:space="preserve">    </w:t>
      </w:r>
      <w:r>
        <w:rPr>
          <w:rFonts w:ascii="宋体" w:hAnsi="宋体" w:cs="宋体"/>
          <w:szCs w:val="21"/>
        </w:rPr>
        <w:t>★</w:t>
      </w:r>
      <w:r>
        <w:rPr>
          <w:rFonts w:hint="eastAsia" w:ascii="宋体" w:hAnsi="宋体"/>
          <w:szCs w:val="21"/>
        </w:rPr>
        <w:t>2.2.7 后台页面支持通过多个ID一次性批量删除节目数据及关联关系，ID支持表格导入。</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2.2.8 部署zabbix监测软件，对接grafana软件，实时提供节目相关统计数据以及硬件服务相关信息。包括但不限于每日发布到指定系统成功的数量、系统服务器CPU使用率、内存使用率、离线存储使用空间和使用率、主要接口服务状态等，支持大屏展示。</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2.2.9 后台页面支持查询上游注入系统的节目元数据信息和上下线消息的历史记录，系统给下游发送节目元数据信息和节目上下线消息的历史记录，包括但不限于业务名称、节目名称、节目ID、发送消息类型、发送时间、发送状态等，发送失败要显示失败原因。</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2.2.10 优化地市节目注入流程和方式，按照规范定义必填字段。</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2.2.11 对外提供节目检索接口供相关系统查询。</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w:t>
      </w:r>
      <w:bookmarkStart w:id="46" w:name="_Hlk56719532"/>
      <w:r>
        <w:rPr>
          <w:rFonts w:hint="eastAsia" w:ascii="宋体" w:hAnsi="宋体"/>
          <w:szCs w:val="21"/>
        </w:rPr>
        <w:t>12 与周边新建系统进行对接，比如推荐系统、大数据系统、CDN系统等。</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2.2.13 与IPCDN之间的节目删除接口增加异步响应。</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2.2.14对于存量数据的二次下发，除了具备页面批量发布功能之外，也要实现离线批量发布的功能，按照业务方需求的数据格式导出数据，比如从数据库自动导出规范数据并下发给下游系统等。</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2.2.15 支持对CP设置优先级，此优先级应用于CP注入流程的全部子流程，但子流程优先级仍可配置。</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2.2.16 后台有专门页面集中显示所有发布失败的节目信息、失败原因以后处理结果，可分时间段查询等。</w:t>
      </w:r>
    </w:p>
    <w:p>
      <w:pPr>
        <w:snapToGrid w:val="0"/>
        <w:spacing w:line="360" w:lineRule="auto"/>
        <w:ind w:firstLine="630" w:firstLineChars="300"/>
        <w:rPr>
          <w:rFonts w:ascii="宋体" w:hAnsi="宋体"/>
          <w:szCs w:val="21"/>
        </w:rPr>
      </w:pPr>
      <w:r>
        <w:rPr>
          <w:rFonts w:hint="eastAsia" w:ascii="宋体" w:hAnsi="宋体"/>
          <w:szCs w:val="21"/>
        </w:rPr>
        <w:t>2.2.17支持纯音频文件、数据文件、短视频、8K、VR/AR等新型格式文件的注入。</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2.2.18 支持系统离线存储使用空间统计，支持IP CDN在线存储使用空间统计，包括各CP/SP具体占用空间情况，可按时间段查询。</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2.2.19 与融合推流平台对接，根据需求修改接口，补充相关信息，实现终端以VOD方式点播IP类节目的目的。</w:t>
      </w:r>
    </w:p>
    <w:p>
      <w:pPr>
        <w:snapToGrid w:val="0"/>
        <w:spacing w:line="360" w:lineRule="auto"/>
        <w:ind w:firstLine="630" w:firstLineChars="300"/>
        <w:rPr>
          <w:rFonts w:ascii="宋体" w:hAnsi="宋体"/>
          <w:szCs w:val="21"/>
        </w:rPr>
      </w:pPr>
      <w:r>
        <w:rPr>
          <w:rFonts w:hint="eastAsia" w:ascii="宋体" w:hAnsi="宋体"/>
          <w:szCs w:val="21"/>
        </w:rPr>
        <w:t>2.2.20 在系统后台页面集成BO节目状态查询和IPCDN节目状态查询接口。</w:t>
      </w:r>
    </w:p>
    <w:p>
      <w:pPr>
        <w:snapToGrid w:val="0"/>
        <w:spacing w:line="360" w:lineRule="auto"/>
        <w:ind w:firstLine="630" w:firstLineChars="300"/>
        <w:rPr>
          <w:rFonts w:ascii="宋体" w:hAnsi="宋体"/>
          <w:szCs w:val="21"/>
        </w:rPr>
      </w:pPr>
      <w:r>
        <w:rPr>
          <w:rFonts w:hint="eastAsia" w:ascii="宋体" w:hAnsi="宋体"/>
          <w:szCs w:val="21"/>
        </w:rPr>
        <w:t>2.2.21 支持自动化播测，实现从播测列表中某条节目开始自动化播放。</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2.2.22 支持相同类型的CDN多地址同时注入及相关数据的分发。</w:t>
      </w:r>
    </w:p>
    <w:p>
      <w:pPr>
        <w:pStyle w:val="2"/>
        <w:ind w:firstLine="420" w:firstLineChars="200"/>
        <w:rPr>
          <w:rFonts w:ascii="宋体" w:hAnsi="宋体" w:cs="宋体"/>
          <w:sz w:val="21"/>
          <w:szCs w:val="21"/>
        </w:rPr>
      </w:pPr>
      <w:r>
        <w:rPr>
          <w:rFonts w:ascii="宋体" w:hAnsi="宋体" w:cs="宋体"/>
          <w:sz w:val="21"/>
          <w:szCs w:val="21"/>
        </w:rPr>
        <w:t xml:space="preserve">★2.2.23 </w:t>
      </w:r>
      <w:r>
        <w:rPr>
          <w:rFonts w:hint="eastAsia" w:ascii="宋体" w:hAnsi="宋体" w:cs="宋体"/>
          <w:sz w:val="21"/>
          <w:szCs w:val="21"/>
        </w:rPr>
        <w:t>支持上下游系统对接过程中由于业务场景变化导致的涉及到本系统的功能优化、规范修改、存量数据迁移、数据统计等联调测试。</w:t>
      </w:r>
    </w:p>
    <w:p>
      <w:pPr>
        <w:pStyle w:val="2"/>
        <w:spacing w:line="360" w:lineRule="auto"/>
        <w:ind w:firstLine="630" w:firstLineChars="300"/>
        <w:rPr>
          <w:rFonts w:ascii="宋体" w:hAnsi="宋体"/>
          <w:sz w:val="21"/>
          <w:szCs w:val="21"/>
        </w:rPr>
      </w:pPr>
      <w:r>
        <w:rPr>
          <w:rFonts w:hint="eastAsia" w:ascii="宋体" w:hAnsi="宋体"/>
          <w:sz w:val="21"/>
          <w:szCs w:val="21"/>
        </w:rPr>
        <w:t>2.2.24 支持完成系统使用过程中需要优化的其他功能。</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2.2.25 须提供详实的运维手册、操作手册、建设方案、产品说明书等技术资料。</w:t>
      </w:r>
    </w:p>
    <w:p>
      <w:pPr>
        <w:snapToGrid w:val="0"/>
        <w:spacing w:line="360" w:lineRule="auto"/>
        <w:ind w:firstLine="420" w:firstLineChars="200"/>
        <w:rPr>
          <w:rFonts w:ascii="宋体" w:hAnsi="宋体"/>
          <w:szCs w:val="21"/>
        </w:rPr>
      </w:pPr>
      <w:r>
        <w:rPr>
          <w:rFonts w:ascii="宋体" w:hAnsi="宋体" w:cs="宋体"/>
          <w:szCs w:val="21"/>
        </w:rPr>
        <w:t>★</w:t>
      </w:r>
      <w:r>
        <w:rPr>
          <w:rFonts w:hint="eastAsia" w:ascii="宋体" w:hAnsi="宋体"/>
          <w:szCs w:val="21"/>
        </w:rPr>
        <w:t>2.2.26 须本期项目中全部继承内容集成注入系统现有所有功能及业务规范。</w:t>
      </w:r>
    </w:p>
    <w:bookmarkEnd w:id="46"/>
    <w:p>
      <w:pPr>
        <w:snapToGrid w:val="0"/>
        <w:spacing w:line="360" w:lineRule="auto"/>
        <w:ind w:firstLine="420" w:firstLineChars="200"/>
        <w:rPr>
          <w:rFonts w:ascii="宋体" w:hAnsi="宋体"/>
          <w:szCs w:val="21"/>
        </w:rPr>
      </w:pPr>
    </w:p>
    <w:p>
      <w:pPr>
        <w:pStyle w:val="374"/>
        <w:tabs>
          <w:tab w:val="left" w:pos="0"/>
        </w:tabs>
        <w:spacing w:line="360" w:lineRule="auto"/>
        <w:ind w:firstLine="0" w:firstLineChars="0"/>
        <w:rPr>
          <w:rFonts w:ascii="宋体" w:hAnsi="宋体"/>
          <w:b/>
          <w:szCs w:val="21"/>
          <w:lang w:eastAsia="zh-CN"/>
        </w:rPr>
      </w:pPr>
      <w:r>
        <w:rPr>
          <w:rFonts w:hint="eastAsia" w:ascii="宋体" w:hAnsi="宋体"/>
          <w:b/>
          <w:szCs w:val="21"/>
          <w:lang w:val="en-US" w:eastAsia="zh-CN"/>
        </w:rPr>
        <w:t xml:space="preserve">2.3 </w:t>
      </w:r>
      <w:r>
        <w:rPr>
          <w:rFonts w:hint="eastAsia" w:ascii="宋体" w:hAnsi="宋体"/>
          <w:b/>
          <w:szCs w:val="21"/>
          <w:lang w:eastAsia="zh-CN"/>
        </w:rPr>
        <w:t>系统安全要求</w:t>
      </w:r>
    </w:p>
    <w:p>
      <w:pPr>
        <w:pStyle w:val="374"/>
        <w:tabs>
          <w:tab w:val="left" w:pos="0"/>
        </w:tabs>
        <w:spacing w:line="360" w:lineRule="auto"/>
        <w:ind w:firstLine="0" w:firstLineChars="0"/>
        <w:rPr>
          <w:rFonts w:ascii="宋体" w:hAnsi="宋体"/>
          <w:b/>
          <w:szCs w:val="21"/>
          <w:lang w:eastAsia="zh-CN"/>
        </w:rPr>
      </w:pPr>
    </w:p>
    <w:p>
      <w:pPr>
        <w:pStyle w:val="374"/>
        <w:tabs>
          <w:tab w:val="left" w:pos="0"/>
        </w:tabs>
        <w:spacing w:line="360" w:lineRule="auto"/>
        <w:ind w:firstLine="210" w:firstLineChars="100"/>
        <w:rPr>
          <w:rFonts w:ascii="宋体" w:hAnsi="宋体" w:cs="宋体"/>
          <w:sz w:val="21"/>
          <w:szCs w:val="21"/>
          <w:lang w:val="en-US" w:eastAsia="zh-CN"/>
        </w:rPr>
      </w:pPr>
      <w:r>
        <w:rPr>
          <w:rFonts w:hint="eastAsia" w:ascii="宋体" w:hAnsi="宋体" w:cs="宋体"/>
          <w:sz w:val="21"/>
          <w:szCs w:val="21"/>
          <w:lang w:val="en-US" w:eastAsia="zh-CN"/>
        </w:rPr>
        <w:t>2.3.1</w:t>
      </w:r>
      <w:r>
        <w:rPr>
          <w:rFonts w:ascii="宋体" w:hAnsi="宋体" w:cs="宋体"/>
          <w:sz w:val="21"/>
          <w:szCs w:val="21"/>
          <w:lang w:val="en-US" w:eastAsia="zh-CN"/>
        </w:rPr>
        <w:t>支持https访问</w:t>
      </w:r>
      <w:r>
        <w:rPr>
          <w:rFonts w:hint="eastAsia" w:ascii="宋体" w:hAnsi="宋体" w:cs="宋体"/>
          <w:sz w:val="21"/>
          <w:szCs w:val="21"/>
          <w:lang w:val="en-US" w:eastAsia="zh-CN"/>
        </w:rPr>
        <w:t>；</w:t>
      </w:r>
    </w:p>
    <w:p>
      <w:pPr>
        <w:pStyle w:val="374"/>
        <w:tabs>
          <w:tab w:val="left" w:pos="0"/>
        </w:tabs>
        <w:spacing w:line="360" w:lineRule="auto"/>
        <w:ind w:firstLine="210" w:firstLineChars="100"/>
        <w:rPr>
          <w:rFonts w:ascii="宋体" w:hAnsi="宋体" w:cs="宋体"/>
          <w:sz w:val="21"/>
          <w:szCs w:val="21"/>
          <w:lang w:val="en-US" w:eastAsia="zh-CN"/>
        </w:rPr>
      </w:pPr>
      <w:r>
        <w:rPr>
          <w:rFonts w:hint="eastAsia" w:ascii="宋体" w:hAnsi="宋体" w:cs="宋体"/>
          <w:sz w:val="21"/>
          <w:szCs w:val="21"/>
          <w:lang w:val="en-US" w:eastAsia="zh-CN"/>
        </w:rPr>
        <w:t>2.3.2</w:t>
      </w:r>
      <w:r>
        <w:rPr>
          <w:rFonts w:ascii="宋体" w:hAnsi="宋体" w:cs="宋体"/>
          <w:sz w:val="21"/>
          <w:szCs w:val="21"/>
          <w:lang w:val="en-US" w:eastAsia="zh-CN"/>
        </w:rPr>
        <w:t>所有涉及到需要可逆加密算法的密码的配置，密码部分禁止使用明文，包括数据库配置、系统参数配置等</w:t>
      </w:r>
      <w:r>
        <w:rPr>
          <w:rFonts w:hint="eastAsia" w:ascii="宋体" w:hAnsi="宋体" w:cs="宋体"/>
          <w:sz w:val="21"/>
          <w:szCs w:val="21"/>
          <w:lang w:val="en-US" w:eastAsia="zh-CN"/>
        </w:rPr>
        <w:t>；</w:t>
      </w:r>
    </w:p>
    <w:p>
      <w:pPr>
        <w:pStyle w:val="374"/>
        <w:tabs>
          <w:tab w:val="left" w:pos="0"/>
        </w:tabs>
        <w:spacing w:line="360" w:lineRule="auto"/>
        <w:ind w:firstLine="210" w:firstLineChars="100"/>
        <w:rPr>
          <w:rFonts w:ascii="宋体" w:hAnsi="宋体" w:cs="宋体"/>
          <w:sz w:val="21"/>
          <w:szCs w:val="21"/>
          <w:lang w:val="en-US" w:eastAsia="zh-CN"/>
        </w:rPr>
      </w:pPr>
      <w:r>
        <w:rPr>
          <w:rFonts w:hint="eastAsia" w:ascii="宋体" w:hAnsi="宋体" w:cs="宋体"/>
          <w:sz w:val="21"/>
          <w:szCs w:val="21"/>
          <w:lang w:val="en-US" w:eastAsia="zh-CN"/>
        </w:rPr>
        <w:t>2.3.3</w:t>
      </w:r>
      <w:r>
        <w:rPr>
          <w:rFonts w:ascii="宋体" w:hAnsi="宋体" w:cs="宋体"/>
          <w:sz w:val="21"/>
          <w:szCs w:val="21"/>
          <w:lang w:val="en-US" w:eastAsia="zh-CN"/>
        </w:rPr>
        <w:t>不同帐号设置</w:t>
      </w:r>
      <w:r>
        <w:rPr>
          <w:rFonts w:hint="eastAsia" w:ascii="宋体" w:hAnsi="宋体" w:cs="宋体"/>
          <w:sz w:val="21"/>
          <w:szCs w:val="21"/>
          <w:lang w:val="en-US" w:eastAsia="zh-CN"/>
        </w:rPr>
        <w:t>不</w:t>
      </w:r>
      <w:r>
        <w:rPr>
          <w:rFonts w:ascii="宋体" w:hAnsi="宋体" w:cs="宋体"/>
          <w:sz w:val="21"/>
          <w:szCs w:val="21"/>
          <w:lang w:val="en-US" w:eastAsia="zh-CN"/>
        </w:rPr>
        <w:t>同的密码，数据库存储的密码必须不相同，推荐使用HmacSHA256等不可逆的安全算法</w:t>
      </w:r>
      <w:r>
        <w:rPr>
          <w:rFonts w:hint="eastAsia" w:ascii="宋体" w:hAnsi="宋体" w:cs="宋体"/>
          <w:sz w:val="21"/>
          <w:szCs w:val="21"/>
          <w:lang w:val="en-US" w:eastAsia="zh-CN"/>
        </w:rPr>
        <w:t>；</w:t>
      </w:r>
    </w:p>
    <w:p>
      <w:pPr>
        <w:pStyle w:val="374"/>
        <w:tabs>
          <w:tab w:val="left" w:pos="0"/>
        </w:tabs>
        <w:spacing w:line="360" w:lineRule="auto"/>
        <w:ind w:firstLine="210" w:firstLineChars="100"/>
        <w:rPr>
          <w:rFonts w:ascii="宋体" w:hAnsi="宋体" w:cs="宋体"/>
          <w:sz w:val="21"/>
          <w:szCs w:val="21"/>
          <w:lang w:val="en-US" w:eastAsia="zh-CN"/>
        </w:rPr>
      </w:pPr>
      <w:r>
        <w:rPr>
          <w:rFonts w:hint="eastAsia" w:ascii="宋体" w:hAnsi="宋体" w:cs="宋体"/>
          <w:sz w:val="21"/>
          <w:szCs w:val="21"/>
          <w:lang w:val="en-US" w:eastAsia="zh-CN"/>
        </w:rPr>
        <w:t>2.3.4</w:t>
      </w:r>
      <w:r>
        <w:rPr>
          <w:rFonts w:ascii="宋体" w:hAnsi="宋体" w:cs="宋体"/>
          <w:sz w:val="21"/>
          <w:szCs w:val="21"/>
          <w:lang w:val="en-US" w:eastAsia="zh-CN"/>
        </w:rPr>
        <w:t>支持敏感数据自动屏蔽处理，如密码等信息，在日志中屏蔽密码的显示</w:t>
      </w:r>
      <w:r>
        <w:rPr>
          <w:rFonts w:hint="eastAsia" w:ascii="宋体" w:hAnsi="宋体" w:cs="宋体"/>
          <w:sz w:val="21"/>
          <w:szCs w:val="21"/>
          <w:lang w:val="en-US" w:eastAsia="zh-CN"/>
        </w:rPr>
        <w:t>；</w:t>
      </w:r>
    </w:p>
    <w:p>
      <w:pPr>
        <w:pStyle w:val="374"/>
        <w:tabs>
          <w:tab w:val="left" w:pos="0"/>
        </w:tabs>
        <w:spacing w:line="360" w:lineRule="auto"/>
        <w:ind w:firstLine="0" w:firstLineChars="0"/>
        <w:rPr>
          <w:rFonts w:ascii="宋体" w:hAnsi="宋体" w:cs="宋体"/>
          <w:sz w:val="21"/>
          <w:szCs w:val="21"/>
          <w:lang w:val="en-US" w:eastAsia="zh-CN"/>
        </w:rPr>
      </w:pPr>
      <w:r>
        <w:rPr>
          <w:rFonts w:ascii="宋体" w:hAnsi="宋体" w:cs="宋体"/>
          <w:szCs w:val="21"/>
          <w:lang w:eastAsia="zh-CN"/>
        </w:rPr>
        <w:t>★</w:t>
      </w:r>
      <w:r>
        <w:rPr>
          <w:rFonts w:hint="eastAsia" w:ascii="宋体" w:hAnsi="宋体" w:cs="宋体"/>
          <w:sz w:val="21"/>
          <w:szCs w:val="21"/>
          <w:lang w:val="en-US" w:eastAsia="zh-CN"/>
        </w:rPr>
        <w:t>2.3.5系统建设必须符合信息安全等级保护2.0相关要求，确保其具有支持业务稳定、持续运行的性能，并保证安全技术措施同步规划、同步建设、同步使用。</w:t>
      </w:r>
    </w:p>
    <w:p>
      <w:pPr>
        <w:pStyle w:val="374"/>
        <w:tabs>
          <w:tab w:val="left" w:pos="0"/>
        </w:tabs>
        <w:spacing w:line="360" w:lineRule="auto"/>
        <w:ind w:firstLine="0" w:firstLineChars="0"/>
        <w:rPr>
          <w:rFonts w:ascii="宋体" w:hAnsi="宋体" w:cs="宋体"/>
          <w:sz w:val="21"/>
          <w:szCs w:val="21"/>
          <w:lang w:val="en-US" w:eastAsia="zh-CN"/>
        </w:rPr>
      </w:pPr>
    </w:p>
    <w:p>
      <w:pPr>
        <w:pStyle w:val="374"/>
        <w:tabs>
          <w:tab w:val="left" w:pos="0"/>
        </w:tabs>
        <w:spacing w:line="360" w:lineRule="auto"/>
        <w:ind w:firstLine="0" w:firstLineChars="0"/>
        <w:rPr>
          <w:rFonts w:ascii="宋体" w:hAnsi="宋体"/>
          <w:b/>
          <w:szCs w:val="21"/>
          <w:lang w:eastAsia="zh-CN"/>
        </w:rPr>
      </w:pPr>
      <w:r>
        <w:rPr>
          <w:rFonts w:hint="eastAsia" w:ascii="宋体" w:hAnsi="宋体"/>
          <w:b/>
          <w:szCs w:val="21"/>
          <w:lang w:val="en-US" w:eastAsia="zh-CN"/>
        </w:rPr>
        <w:t xml:space="preserve">2.4 </w:t>
      </w:r>
      <w:r>
        <w:rPr>
          <w:rFonts w:hint="eastAsia" w:ascii="宋体" w:hAnsi="宋体"/>
          <w:b/>
          <w:szCs w:val="21"/>
          <w:lang w:eastAsia="zh-CN"/>
        </w:rPr>
        <w:t>系统稳定性要求</w:t>
      </w:r>
    </w:p>
    <w:p>
      <w:pPr>
        <w:pStyle w:val="374"/>
        <w:tabs>
          <w:tab w:val="left" w:pos="0"/>
        </w:tabs>
        <w:spacing w:line="360" w:lineRule="auto"/>
        <w:ind w:firstLine="0" w:firstLineChars="0"/>
        <w:rPr>
          <w:rFonts w:ascii="宋体" w:hAnsi="宋体"/>
          <w:b/>
          <w:szCs w:val="21"/>
          <w:lang w:eastAsia="zh-CN"/>
        </w:rPr>
      </w:pPr>
    </w:p>
    <w:p>
      <w:pPr>
        <w:pStyle w:val="374"/>
        <w:tabs>
          <w:tab w:val="left" w:pos="0"/>
        </w:tabs>
        <w:spacing w:line="360" w:lineRule="auto"/>
        <w:ind w:firstLine="0" w:firstLineChars="0"/>
        <w:rPr>
          <w:rFonts w:ascii="宋体" w:hAnsi="宋体" w:cs="宋体"/>
          <w:sz w:val="21"/>
          <w:szCs w:val="21"/>
          <w:lang w:val="en-US" w:eastAsia="zh-CN"/>
        </w:rPr>
      </w:pPr>
      <w:r>
        <w:rPr>
          <w:rFonts w:ascii="宋体" w:hAnsi="宋体" w:cs="宋体"/>
          <w:szCs w:val="21"/>
          <w:lang w:eastAsia="zh-CN"/>
        </w:rPr>
        <w:t>★</w:t>
      </w:r>
      <w:r>
        <w:rPr>
          <w:rFonts w:hint="eastAsia" w:ascii="宋体" w:hAnsi="宋体"/>
          <w:szCs w:val="22"/>
          <w:lang w:val="en-US" w:eastAsia="zh-CN"/>
        </w:rPr>
        <w:t>2.4.</w:t>
      </w:r>
      <w:r>
        <w:rPr>
          <w:rFonts w:hint="eastAsia" w:ascii="宋体" w:hAnsi="宋体" w:cs="宋体"/>
          <w:sz w:val="21"/>
          <w:szCs w:val="21"/>
          <w:lang w:val="en-US" w:eastAsia="zh-CN"/>
        </w:rPr>
        <w:t>1</w:t>
      </w:r>
      <w:r>
        <w:rPr>
          <w:rFonts w:ascii="宋体" w:hAnsi="宋体" w:cs="宋体"/>
          <w:sz w:val="21"/>
          <w:szCs w:val="21"/>
          <w:lang w:val="en-US" w:eastAsia="zh-CN"/>
        </w:rPr>
        <w:t>系统运行正常，可应对频繁操作和多账户同时登陆操作，系统容错能力</w:t>
      </w:r>
      <w:r>
        <w:rPr>
          <w:rFonts w:hint="eastAsia" w:ascii="宋体" w:hAnsi="宋体" w:cs="宋体"/>
          <w:sz w:val="21"/>
          <w:szCs w:val="21"/>
          <w:lang w:val="en-US" w:eastAsia="zh-CN"/>
        </w:rPr>
        <w:t>强；周边系统故障或接口调用异常等问题不影响系统运行；</w:t>
      </w:r>
    </w:p>
    <w:p>
      <w:pPr>
        <w:pStyle w:val="374"/>
        <w:tabs>
          <w:tab w:val="left" w:pos="0"/>
        </w:tabs>
        <w:spacing w:line="360" w:lineRule="auto"/>
        <w:ind w:firstLine="0" w:firstLineChars="0"/>
        <w:rPr>
          <w:rFonts w:ascii="宋体" w:hAnsi="宋体" w:cs="宋体"/>
          <w:sz w:val="21"/>
          <w:szCs w:val="21"/>
          <w:lang w:val="en-US" w:eastAsia="zh-CN"/>
        </w:rPr>
      </w:pPr>
      <w:r>
        <w:rPr>
          <w:rFonts w:ascii="宋体" w:hAnsi="宋体" w:cs="宋体"/>
          <w:szCs w:val="21"/>
          <w:lang w:eastAsia="zh-CN"/>
        </w:rPr>
        <w:t>★</w:t>
      </w:r>
      <w:r>
        <w:rPr>
          <w:rFonts w:hint="eastAsia" w:ascii="宋体" w:hAnsi="宋体"/>
          <w:szCs w:val="22"/>
          <w:lang w:val="en-US" w:eastAsia="zh-CN"/>
        </w:rPr>
        <w:t>2.4.</w:t>
      </w:r>
      <w:r>
        <w:rPr>
          <w:rFonts w:hint="eastAsia" w:ascii="宋体" w:hAnsi="宋体" w:cs="宋体"/>
          <w:sz w:val="21"/>
          <w:szCs w:val="21"/>
          <w:lang w:val="en-US" w:eastAsia="zh-CN"/>
        </w:rPr>
        <w:t>2</w:t>
      </w:r>
      <w:r>
        <w:rPr>
          <w:rFonts w:ascii="宋体" w:hAnsi="宋体" w:cs="宋体"/>
          <w:sz w:val="21"/>
          <w:szCs w:val="21"/>
          <w:lang w:val="en-US" w:eastAsia="zh-CN"/>
        </w:rPr>
        <w:t>关键系统采用</w:t>
      </w:r>
      <w:r>
        <w:rPr>
          <w:rFonts w:hint="eastAsia" w:ascii="宋体" w:hAnsi="宋体" w:cs="宋体"/>
          <w:sz w:val="21"/>
          <w:szCs w:val="21"/>
          <w:lang w:val="en-US" w:eastAsia="zh-CN"/>
        </w:rPr>
        <w:t>主备或</w:t>
      </w:r>
      <w:r>
        <w:rPr>
          <w:rFonts w:ascii="宋体" w:hAnsi="宋体" w:cs="宋体"/>
          <w:sz w:val="21"/>
          <w:szCs w:val="21"/>
          <w:lang w:val="en-US" w:eastAsia="zh-CN"/>
        </w:rPr>
        <w:t>集群</w:t>
      </w:r>
      <w:r>
        <w:rPr>
          <w:rFonts w:hint="eastAsia" w:ascii="宋体" w:hAnsi="宋体" w:cs="宋体"/>
          <w:sz w:val="21"/>
          <w:szCs w:val="21"/>
          <w:lang w:val="en-US" w:eastAsia="zh-CN"/>
        </w:rPr>
        <w:t>模式</w:t>
      </w:r>
      <w:r>
        <w:rPr>
          <w:rFonts w:ascii="宋体" w:hAnsi="宋体" w:cs="宋体"/>
          <w:sz w:val="21"/>
          <w:szCs w:val="21"/>
          <w:lang w:val="en-US" w:eastAsia="zh-CN"/>
        </w:rPr>
        <w:t>部署，</w:t>
      </w:r>
      <w:r>
        <w:rPr>
          <w:rFonts w:hint="eastAsia" w:ascii="宋体" w:hAnsi="宋体" w:cs="宋体"/>
          <w:sz w:val="21"/>
          <w:szCs w:val="21"/>
          <w:lang w:val="en-US" w:eastAsia="zh-CN"/>
        </w:rPr>
        <w:t>不存在单节点隐患，</w:t>
      </w:r>
      <w:r>
        <w:rPr>
          <w:rFonts w:ascii="宋体" w:hAnsi="宋体" w:cs="宋体"/>
          <w:sz w:val="21"/>
          <w:szCs w:val="21"/>
          <w:lang w:val="en-US" w:eastAsia="zh-CN"/>
        </w:rPr>
        <w:t>具备</w:t>
      </w:r>
      <w:r>
        <w:rPr>
          <w:rFonts w:hint="eastAsia" w:ascii="宋体" w:hAnsi="宋体" w:cs="宋体"/>
          <w:sz w:val="21"/>
          <w:szCs w:val="21"/>
          <w:lang w:val="en-US" w:eastAsia="zh-CN"/>
        </w:rPr>
        <w:t>冗余</w:t>
      </w:r>
      <w:r>
        <w:rPr>
          <w:rFonts w:ascii="宋体" w:hAnsi="宋体" w:cs="宋体"/>
          <w:sz w:val="21"/>
          <w:szCs w:val="21"/>
          <w:lang w:val="en-US" w:eastAsia="zh-CN"/>
        </w:rPr>
        <w:t>备份能力</w:t>
      </w:r>
      <w:r>
        <w:rPr>
          <w:rFonts w:hint="eastAsia" w:ascii="宋体" w:hAnsi="宋体" w:cs="宋体"/>
          <w:sz w:val="21"/>
          <w:szCs w:val="21"/>
          <w:lang w:val="en-US" w:eastAsia="zh-CN"/>
        </w:rPr>
        <w:t>；</w:t>
      </w:r>
    </w:p>
    <w:p>
      <w:pPr>
        <w:pStyle w:val="374"/>
        <w:tabs>
          <w:tab w:val="left" w:pos="0"/>
        </w:tabs>
        <w:spacing w:line="360" w:lineRule="auto"/>
        <w:ind w:firstLine="0" w:firstLineChars="0"/>
        <w:rPr>
          <w:rFonts w:ascii="宋体" w:hAnsi="宋体" w:cs="宋体"/>
          <w:sz w:val="21"/>
          <w:szCs w:val="21"/>
          <w:lang w:val="en-US" w:eastAsia="zh-CN"/>
        </w:rPr>
      </w:pPr>
      <w:r>
        <w:rPr>
          <w:rFonts w:ascii="宋体" w:hAnsi="宋体" w:cs="宋体"/>
          <w:szCs w:val="21"/>
          <w:lang w:eastAsia="zh-CN"/>
        </w:rPr>
        <w:t>★</w:t>
      </w:r>
      <w:r>
        <w:rPr>
          <w:rFonts w:hint="eastAsia" w:ascii="宋体" w:hAnsi="宋体"/>
          <w:szCs w:val="22"/>
          <w:lang w:val="en-US" w:eastAsia="zh-CN"/>
        </w:rPr>
        <w:t>2.4.</w:t>
      </w:r>
      <w:r>
        <w:rPr>
          <w:rFonts w:hint="eastAsia" w:ascii="宋体" w:hAnsi="宋体" w:cs="宋体"/>
          <w:sz w:val="21"/>
          <w:szCs w:val="21"/>
          <w:lang w:val="en-US" w:eastAsia="zh-CN"/>
        </w:rPr>
        <w:t>3</w:t>
      </w:r>
      <w:r>
        <w:rPr>
          <w:rFonts w:ascii="宋体" w:hAnsi="宋体" w:cs="宋体"/>
          <w:sz w:val="21"/>
          <w:szCs w:val="21"/>
          <w:lang w:val="en-US" w:eastAsia="zh-CN"/>
        </w:rPr>
        <w:t>系统具备大并发</w:t>
      </w:r>
      <w:r>
        <w:rPr>
          <w:rFonts w:hint="eastAsia" w:ascii="宋体" w:hAnsi="宋体" w:cs="宋体"/>
          <w:sz w:val="21"/>
          <w:szCs w:val="21"/>
          <w:lang w:val="en-US" w:eastAsia="zh-CN"/>
        </w:rPr>
        <w:t>节目分发注入</w:t>
      </w:r>
      <w:r>
        <w:rPr>
          <w:rFonts w:ascii="宋体" w:hAnsi="宋体" w:cs="宋体"/>
          <w:sz w:val="21"/>
          <w:szCs w:val="21"/>
          <w:lang w:val="en-US" w:eastAsia="zh-CN"/>
        </w:rPr>
        <w:t>处理能力。</w:t>
      </w:r>
    </w:p>
    <w:p>
      <w:pPr>
        <w:pStyle w:val="89"/>
        <w:numPr>
          <w:ilvl w:val="255"/>
          <w:numId w:val="0"/>
        </w:numPr>
        <w:spacing w:line="360" w:lineRule="auto"/>
        <w:outlineLvl w:val="1"/>
        <w:rPr>
          <w:rFonts w:eastAsia="宋体"/>
          <w:kern w:val="2"/>
          <w:sz w:val="21"/>
          <w:szCs w:val="21"/>
        </w:rPr>
      </w:pPr>
    </w:p>
    <w:p>
      <w:pPr>
        <w:pStyle w:val="2"/>
      </w:pPr>
    </w:p>
    <w:p/>
    <w:p>
      <w:pPr>
        <w:spacing w:line="360" w:lineRule="auto"/>
        <w:ind w:firstLine="420" w:firstLineChars="200"/>
        <w:rPr>
          <w:rFonts w:ascii="宋体" w:hAnsi="宋体"/>
          <w:szCs w:val="21"/>
        </w:rPr>
      </w:pPr>
    </w:p>
    <w:p>
      <w:pPr>
        <w:spacing w:line="360" w:lineRule="auto"/>
        <w:ind w:firstLine="420" w:firstLineChars="200"/>
      </w:pPr>
    </w:p>
    <w:bookmarkEnd w:id="15"/>
    <w:bookmarkEnd w:id="16"/>
    <w:bookmarkEnd w:id="17"/>
    <w:p>
      <w:pPr>
        <w:spacing w:line="360" w:lineRule="auto"/>
        <w:ind w:firstLine="420" w:firstLineChars="200"/>
      </w:pPr>
      <w:bookmarkStart w:id="47" w:name="_Toc69378657"/>
      <w:bookmarkStart w:id="48" w:name="_Toc502914229"/>
    </w:p>
    <w:p>
      <w:pPr>
        <w:spacing w:line="360" w:lineRule="auto"/>
        <w:ind w:firstLine="420" w:firstLineChars="200"/>
        <w:rPr>
          <w:rFonts w:eastAsia="黑体"/>
          <w:b/>
          <w:bCs/>
          <w:kern w:val="44"/>
          <w:sz w:val="36"/>
          <w:szCs w:val="36"/>
        </w:rPr>
      </w:pPr>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47"/>
    </w:p>
    <w:p/>
    <w:p/>
    <w:p/>
    <w:p/>
    <w:p/>
    <w:p/>
    <w:p/>
    <w:p>
      <w:pPr>
        <w:jc w:val="center"/>
        <w:rPr>
          <w:rFonts w:ascii="宋体" w:hAnsi="宋体"/>
          <w:sz w:val="44"/>
          <w:szCs w:val="44"/>
        </w:rPr>
      </w:pPr>
      <w:bookmarkStart w:id="49" w:name="_Toc26259736"/>
      <w:r>
        <w:rPr>
          <w:rFonts w:hint="eastAsia" w:ascii="宋体" w:hAnsi="宋体"/>
          <w:sz w:val="44"/>
          <w:szCs w:val="44"/>
        </w:rPr>
        <w:t>江苏省广电有线信息网络股份有限公司</w:t>
      </w:r>
    </w:p>
    <w:bookmarkEnd w:id="49"/>
    <w:p>
      <w:pPr>
        <w:jc w:val="center"/>
        <w:rPr>
          <w:rFonts w:ascii="宋体" w:hAnsi="宋体"/>
          <w:sz w:val="44"/>
          <w:szCs w:val="44"/>
        </w:rPr>
      </w:pPr>
      <w:r>
        <w:rPr>
          <w:rFonts w:hint="eastAsia" w:ascii="宋体" w:hAnsi="宋体"/>
          <w:sz w:val="44"/>
          <w:szCs w:val="44"/>
        </w:rPr>
        <w:t>内容集成注入系统优化改造项目采购</w:t>
      </w:r>
    </w:p>
    <w:p/>
    <w:p>
      <w:pPr>
        <w:pStyle w:val="2"/>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
        <w:kinsoku w:val="0"/>
        <w:overflowPunct w:val="0"/>
        <w:adjustRightInd w:val="0"/>
        <w:snapToGrid w:val="0"/>
        <w:spacing w:before="312" w:beforeLines="100" w:after="312" w:afterLines="100"/>
        <w:ind w:right="210" w:rightChars="100"/>
        <w:jc w:val="left"/>
        <w:rPr>
          <w:sz w:val="44"/>
          <w:szCs w:val="44"/>
        </w:rPr>
      </w:pPr>
    </w:p>
    <w:p>
      <w:pPr>
        <w:pStyle w:val="2"/>
        <w:kinsoku w:val="0"/>
        <w:overflowPunct w:val="0"/>
        <w:adjustRightInd w:val="0"/>
        <w:snapToGrid w:val="0"/>
        <w:spacing w:before="312" w:beforeLines="100" w:after="312" w:afterLines="100"/>
        <w:ind w:right="210" w:rightChars="100"/>
        <w:jc w:val="left"/>
        <w:rPr>
          <w:sz w:val="44"/>
          <w:szCs w:val="44"/>
        </w:rPr>
      </w:pPr>
    </w:p>
    <w:p>
      <w:pPr>
        <w:pStyle w:val="2"/>
        <w:kinsoku w:val="0"/>
        <w:overflowPunct w:val="0"/>
        <w:adjustRightInd w:val="0"/>
        <w:snapToGrid w:val="0"/>
        <w:spacing w:before="312" w:beforeLines="100" w:after="312" w:afterLines="100"/>
        <w:ind w:right="210" w:rightChars="100"/>
        <w:jc w:val="left"/>
        <w:rPr>
          <w:sz w:val="44"/>
          <w:szCs w:val="44"/>
        </w:rPr>
      </w:pPr>
    </w:p>
    <w:p>
      <w:pPr>
        <w:pStyle w:val="2"/>
        <w:kinsoku w:val="0"/>
        <w:overflowPunct w:val="0"/>
        <w:adjustRightInd w:val="0"/>
        <w:snapToGrid w:val="0"/>
        <w:spacing w:before="312" w:beforeLines="100" w:after="312" w:afterLines="100"/>
        <w:ind w:right="210" w:rightChars="100"/>
        <w:jc w:val="left"/>
        <w:rPr>
          <w:sz w:val="44"/>
          <w:szCs w:val="44"/>
        </w:rPr>
      </w:pPr>
    </w:p>
    <w:p>
      <w:pPr>
        <w:pStyle w:val="2"/>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50" w:name="_Toc69378658"/>
      <w:bookmarkStart w:id="51" w:name="_Toc26260030"/>
      <w:bookmarkStart w:id="52" w:name="_Toc26259737"/>
      <w:bookmarkStart w:id="53" w:name="_Toc472689687"/>
      <w:bookmarkStart w:id="54" w:name="_Toc529538374"/>
      <w:bookmarkStart w:id="55" w:name="_Toc447265603"/>
      <w:bookmarkStart w:id="56" w:name="_Toc438052118"/>
      <w:bookmarkStart w:id="57" w:name="_Toc447265317"/>
      <w:r>
        <w:rPr>
          <w:rFonts w:hint="eastAsia"/>
        </w:rPr>
        <w:t>评审索引表</w:t>
      </w:r>
      <w:bookmarkEnd w:id="50"/>
      <w:bookmarkEnd w:id="51"/>
      <w:bookmarkEnd w:id="52"/>
      <w:bookmarkEnd w:id="53"/>
      <w:bookmarkEnd w:id="54"/>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58" w:name="_Toc26260031"/>
      <w:bookmarkStart w:id="59" w:name="_Toc485737092"/>
      <w:bookmarkStart w:id="60" w:name="_Toc401133270"/>
      <w:bookmarkStart w:id="61" w:name="_Toc529538375"/>
      <w:bookmarkStart w:id="62" w:name="_Toc429954241"/>
      <w:bookmarkStart w:id="63" w:name="_Toc427071030"/>
      <w:bookmarkStart w:id="64" w:name="_Toc26259738"/>
      <w:bookmarkStart w:id="65" w:name="_Toc401216443"/>
      <w:bookmarkStart w:id="66" w:name="_Toc401151285"/>
    </w:p>
    <w:p>
      <w:pPr>
        <w:pStyle w:val="5"/>
        <w:spacing w:before="260" w:after="260" w:line="416" w:lineRule="auto"/>
        <w:jc w:val="center"/>
        <w:rPr>
          <w:rFonts w:ascii="宋体" w:hAnsi="宋体" w:eastAsia="宋体"/>
          <w:b/>
          <w:bCs/>
          <w:sz w:val="22"/>
          <w:szCs w:val="28"/>
        </w:rPr>
      </w:pPr>
      <w:bookmarkStart w:id="67" w:name="_Toc69378659"/>
      <w:r>
        <w:rPr>
          <w:rFonts w:hint="eastAsia" w:ascii="宋体" w:hAnsi="宋体" w:eastAsia="宋体"/>
          <w:b/>
          <w:bCs/>
          <w:sz w:val="22"/>
          <w:szCs w:val="28"/>
        </w:rPr>
        <w:t>初步</w:t>
      </w:r>
      <w:r>
        <w:rPr>
          <w:rFonts w:ascii="宋体" w:hAnsi="宋体" w:eastAsia="宋体"/>
          <w:b/>
          <w:bCs/>
          <w:sz w:val="22"/>
          <w:szCs w:val="28"/>
        </w:rPr>
        <w:t>评审索引表</w:t>
      </w:r>
      <w:bookmarkEnd w:id="58"/>
      <w:bookmarkEnd w:id="59"/>
      <w:bookmarkEnd w:id="60"/>
      <w:bookmarkEnd w:id="61"/>
      <w:bookmarkEnd w:id="62"/>
      <w:bookmarkEnd w:id="63"/>
      <w:bookmarkEnd w:id="64"/>
      <w:bookmarkEnd w:id="65"/>
      <w:bookmarkEnd w:id="66"/>
      <w:bookmarkEnd w:id="67"/>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68" w:name="_Toc26260032"/>
      <w:bookmarkStart w:id="69" w:name="_Toc69378660"/>
      <w:bookmarkStart w:id="70" w:name="_Toc26259739"/>
      <w:r>
        <w:rPr>
          <w:rFonts w:hint="eastAsia" w:ascii="宋体" w:hAnsi="宋体" w:eastAsia="宋体"/>
          <w:b/>
          <w:bCs/>
          <w:sz w:val="22"/>
          <w:szCs w:val="28"/>
        </w:rPr>
        <w:t>详细</w:t>
      </w:r>
      <w:r>
        <w:rPr>
          <w:rFonts w:ascii="宋体" w:hAnsi="宋体" w:eastAsia="宋体"/>
          <w:b/>
          <w:bCs/>
          <w:sz w:val="22"/>
          <w:szCs w:val="28"/>
        </w:rPr>
        <w:t>评审索引表</w:t>
      </w:r>
      <w:bookmarkEnd w:id="68"/>
      <w:bookmarkEnd w:id="69"/>
      <w:bookmarkEnd w:id="70"/>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gridSpan w:val="2"/>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gridSpan w:val="2"/>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gridSpan w:val="2"/>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gridSpan w:val="2"/>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rPr>
            </w:pPr>
          </w:p>
        </w:tc>
        <w:tc>
          <w:tcPr>
            <w:tcW w:w="6778" w:type="dxa"/>
            <w:gridSpan w:val="2"/>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6778" w:type="dxa"/>
            <w:gridSpan w:val="2"/>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6778" w:type="dxa"/>
            <w:gridSpan w:val="2"/>
            <w:vAlign w:val="center"/>
          </w:tcPr>
          <w:p/>
        </w:tc>
        <w:tc>
          <w:tcPr>
            <w:tcW w:w="1141" w:type="dxa"/>
          </w:tcPr>
          <w:p/>
        </w:tc>
      </w:tr>
    </w:tbl>
    <w:p>
      <w:pPr>
        <w:pStyle w:val="6"/>
      </w:pPr>
    </w:p>
    <w:bookmarkEnd w:id="55"/>
    <w:bookmarkEnd w:id="56"/>
    <w:bookmarkEnd w:id="57"/>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71" w:name="_Toc135999006"/>
      <w:bookmarkStart w:id="72" w:name="_Toc161767428"/>
      <w:bookmarkStart w:id="73" w:name="_Toc26260033"/>
      <w:bookmarkStart w:id="74" w:name="_Toc69378663"/>
      <w:bookmarkStart w:id="75" w:name="_Toc529538377"/>
      <w:bookmarkStart w:id="76" w:name="_Toc438052120"/>
      <w:bookmarkStart w:id="77" w:name="_Toc472689688"/>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71"/>
      <w:bookmarkEnd w:id="72"/>
      <w:r>
        <w:rPr>
          <w:rStyle w:val="106"/>
          <w:rFonts w:hint="eastAsia" w:hAnsi="宋体"/>
          <w:b w:val="0"/>
          <w:bCs w:val="0"/>
          <w:sz w:val="24"/>
          <w:szCs w:val="24"/>
        </w:rPr>
        <w:t>响应函</w:t>
      </w:r>
      <w:bookmarkEnd w:id="73"/>
      <w:bookmarkEnd w:id="74"/>
    </w:p>
    <w:p>
      <w:pPr>
        <w:snapToGrid w:val="0"/>
        <w:spacing w:before="312" w:beforeLines="100" w:after="312" w:afterLines="100"/>
        <w:ind w:left="210" w:leftChars="100" w:right="210" w:rightChars="100" w:firstLine="643" w:firstLineChars="200"/>
        <w:jc w:val="center"/>
        <w:rPr>
          <w:rStyle w:val="106"/>
          <w:rFonts w:ascii="宋体" w:hAnsi="宋体"/>
          <w:bCs w:val="0"/>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78" w:name="_Toc26260034"/>
      <w:bookmarkStart w:id="79" w:name="_Toc69378664"/>
      <w:bookmarkStart w:id="80"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8"/>
      <w:bookmarkEnd w:id="79"/>
      <w:bookmarkEnd w:id="80"/>
    </w:p>
    <w:p>
      <w:pPr>
        <w:spacing w:line="360" w:lineRule="auto"/>
      </w:pPr>
      <w:r>
        <w:t>项目名称：</w:t>
      </w:r>
      <w:r>
        <w:rPr>
          <w:rFonts w:hint="eastAsia"/>
        </w:rPr>
        <w:t>内容集成注入系统优化改造项目</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rPr>
              <w:t>内容集成注入系统</w:t>
            </w:r>
          </w:p>
        </w:tc>
        <w:tc>
          <w:tcPr>
            <w:tcW w:w="2410" w:type="dxa"/>
            <w:vAlign w:val="center"/>
          </w:tcPr>
          <w:p>
            <w:pPr>
              <w:jc w:val="center"/>
              <w:rPr>
                <w:sz w:val="18"/>
                <w:szCs w:val="18"/>
              </w:rPr>
            </w:pPr>
          </w:p>
        </w:tc>
        <w:tc>
          <w:tcPr>
            <w:tcW w:w="850" w:type="dxa"/>
            <w:vAlign w:val="center"/>
          </w:tcPr>
          <w:p>
            <w:pPr>
              <w:jc w:val="center"/>
              <w:rPr>
                <w:szCs w:val="21"/>
              </w:rPr>
            </w:pPr>
            <w:r>
              <w:rPr>
                <w:rFonts w:hint="eastAsia"/>
                <w:szCs w:val="21"/>
              </w:rPr>
              <w:t>1套</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开发周期</w:t>
            </w:r>
          </w:p>
        </w:tc>
        <w:tc>
          <w:tcPr>
            <w:tcW w:w="8505" w:type="dxa"/>
            <w:gridSpan w:val="4"/>
            <w:vAlign w:val="center"/>
          </w:tcPr>
          <w:p>
            <w:pPr>
              <w:spacing w:line="360" w:lineRule="auto"/>
              <w:rPr>
                <w:rFonts w:ascii="宋体" w:hAnsi="宋体"/>
                <w:szCs w:val="21"/>
              </w:rPr>
            </w:pPr>
            <w:r>
              <w:rPr>
                <w:rFonts w:hint="eastAsia" w:ascii="宋体" w:hAnsi="宋体" w:cs="宋体"/>
              </w:rPr>
              <w:t>合同签订后天（不超过</w:t>
            </w:r>
            <w:r>
              <w:rPr>
                <w:rFonts w:hint="eastAsia" w:ascii="宋体" w:hAnsi="宋体"/>
                <w:szCs w:val="21"/>
              </w:rPr>
              <w:t>3</w:t>
            </w:r>
            <w:r>
              <w:rPr>
                <w:rFonts w:ascii="宋体" w:hAnsi="宋体"/>
                <w:szCs w:val="21"/>
              </w:rPr>
              <w:t>0</w:t>
            </w:r>
            <w:r>
              <w:rPr>
                <w:rFonts w:hint="eastAsia" w:ascii="宋体" w:hAnsi="宋体"/>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rPr>
              <w:t>竞争性磋商文件</w:t>
            </w:r>
            <w: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t>包修期满后的服务价格</w:t>
            </w:r>
          </w:p>
        </w:tc>
        <w:tc>
          <w:tcPr>
            <w:tcW w:w="8505" w:type="dxa"/>
            <w:gridSpan w:val="4"/>
            <w:vAlign w:val="center"/>
          </w:tcPr>
          <w:p>
            <w:pPr>
              <w:spacing w:line="400" w:lineRule="exact"/>
            </w:pPr>
            <w:r>
              <w:t>维保价格：</w:t>
            </w:r>
            <w:r>
              <w:rPr>
                <w:u w:val="single"/>
              </w:rPr>
              <w:t xml:space="preserve">    </w:t>
            </w:r>
            <w:r>
              <w:t>元/年（</w:t>
            </w:r>
            <w:r>
              <w:rPr>
                <w:szCs w:val="21"/>
              </w:rPr>
              <w:t>年维保费用不得高于合同价格的</w:t>
            </w:r>
            <w:r>
              <w:rPr>
                <w:rFonts w:hint="eastAsia"/>
                <w:szCs w:val="21"/>
              </w:rPr>
              <w:t>5</w:t>
            </w:r>
            <w:r>
              <w:rPr>
                <w:szCs w:val="21"/>
              </w:rPr>
              <w:t>%</w:t>
            </w:r>
            <w:r>
              <w:t>）</w:t>
            </w:r>
          </w:p>
          <w:p>
            <w:pPr>
              <w:spacing w:line="400" w:lineRule="exact"/>
              <w:rPr>
                <w:rFonts w:ascii="宋体" w:hAnsi="宋体" w:cs="宋体"/>
              </w:rPr>
            </w:pPr>
            <w:r>
              <w:t>包含内容：</w:t>
            </w:r>
            <w:r>
              <w:rPr>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竞争性磋商文件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2.报价时请仔细阅读竞争性磋商文件《竞争性磋商须知》中关于报价的要求。</w:t>
      </w:r>
    </w:p>
    <w:p>
      <w:pPr>
        <w:snapToGrid w:val="0"/>
        <w:spacing w:line="360" w:lineRule="auto"/>
        <w:rPr>
          <w:szCs w:val="21"/>
        </w:rPr>
      </w:pPr>
      <w:r>
        <w:rPr>
          <w:rFonts w:hint="eastAsia"/>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r>
        <w:rPr>
          <w:rFonts w:hint="eastAsia" w:ascii="宋体" w:hAnsi="宋体"/>
          <w:szCs w:val="21"/>
          <w:u w:val="single"/>
        </w:rPr>
        <w:t xml:space="preserve">                </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81" w:name="_Toc26259742"/>
      <w:bookmarkStart w:id="82" w:name="_Toc135999010"/>
      <w:bookmarkStart w:id="83" w:name="_Toc161767431"/>
      <w:bookmarkStart w:id="84" w:name="_Toc26260036"/>
      <w:bookmarkStart w:id="85" w:name="_Toc69378666"/>
      <w:bookmarkStart w:id="86" w:name="_Toc26259741"/>
      <w:bookmarkStart w:id="87" w:name="_Toc26260035"/>
      <w:bookmarkStart w:id="88" w:name="_Toc69378665"/>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81"/>
      <w:bookmarkEnd w:id="82"/>
      <w:bookmarkEnd w:id="83"/>
      <w:bookmarkEnd w:id="84"/>
      <w:bookmarkEnd w:id="85"/>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6"/>
      <w:bookmarkEnd w:id="87"/>
      <w:bookmarkEnd w:id="88"/>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12700" b="15240"/>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ESZR5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12700" b="15240"/>
                <wp:wrapNone/>
                <wp:docPr id="1" name="自选图形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lDgh9kA&#10;AAALAQAADwAAAAAAAAABACAAAAAiAAAAZHJzL2Rvd25yZXYueG1sUEsBAhQAFAAAAAgAh07iQIAi&#10;piBXAgAApAQAAA4AAAAAAAAAAQAgAAAAKAEAAGRycy9lMm9Eb2MueG1sUEsFBgAAAAAGAAYAWQEA&#10;APE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12700" b="15240"/>
                <wp:wrapNone/>
                <wp:docPr id="4" name="自选图形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MNyz2AAA&#10;AAoBAAAPAAAAAAAAAAEAIAAAACIAAABkcnMvZG93bnJldi54bWxQSwECFAAUAAAACACHTuJACzTl&#10;P1cCAACkBAAADgAAAAAAAAABACAAAAAnAQAAZHJzL2Uyb0RvYy54bWxQSwUGAAAAAAYABgBZAQAA&#10;8A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12700" b="15240"/>
                <wp:wrapNone/>
                <wp:docPr id="3" name="自选图形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自选图形 5"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0tLfZ&#10;AAAACwEAAA8AAAAAAAAAAQAgAAAAIgAAAGRycy9kb3ducmV2LnhtbFBLAQIUABQAAAAIAIdO4kAr&#10;TX2cWAIAAKQEAAAOAAAAAAAAAAEAIAAAACgBAABkcnMvZTJvRG9jLnhtbFBLBQYAAAAABgAGAFkB&#10;AADyBQ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89" w:name="_Toc26260037"/>
      <w:bookmarkStart w:id="90" w:name="_Toc26259743"/>
      <w:bookmarkStart w:id="91"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89"/>
      <w:bookmarkEnd w:id="90"/>
      <w:bookmarkEnd w:id="91"/>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 xml:space="preserve">：           </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92" w:name="_Toc161767433"/>
      <w:bookmarkStart w:id="93" w:name="_Toc69378668"/>
      <w:bookmarkStart w:id="94" w:name="_Toc26260038"/>
      <w:bookmarkStart w:id="95" w:name="_Toc26259744"/>
      <w:bookmarkStart w:id="96" w:name="_Toc135999012"/>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92"/>
      <w:bookmarkEnd w:id="93"/>
      <w:bookmarkEnd w:id="94"/>
      <w:bookmarkEnd w:id="95"/>
      <w:bookmarkEnd w:id="96"/>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0"/>
        </w:numPr>
        <w:spacing w:line="360" w:lineRule="auto"/>
        <w:rPr>
          <w:rFonts w:ascii="宋体"/>
          <w:szCs w:val="21"/>
        </w:rPr>
      </w:pPr>
      <w:r>
        <w:rPr>
          <w:rFonts w:hint="eastAsia" w:ascii="宋体"/>
          <w:szCs w:val="21"/>
        </w:rPr>
        <w:t>供应商应填写和提交下述规定的全部格式以及其它有关资料。</w:t>
      </w:r>
    </w:p>
    <w:p>
      <w:pPr>
        <w:numPr>
          <w:ilvl w:val="0"/>
          <w:numId w:val="20"/>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0"/>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0"/>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0"/>
        </w:numPr>
        <w:spacing w:line="360" w:lineRule="auto"/>
        <w:rPr>
          <w:rFonts w:ascii="宋体"/>
          <w:szCs w:val="21"/>
        </w:rPr>
      </w:pPr>
      <w:r>
        <w:rPr>
          <w:rFonts w:hint="eastAsia" w:ascii="宋体"/>
          <w:szCs w:val="21"/>
        </w:rPr>
        <w:t>供应商提交的材料将被保密，但不退还。</w:t>
      </w:r>
    </w:p>
    <w:p>
      <w:pPr>
        <w:numPr>
          <w:ilvl w:val="0"/>
          <w:numId w:val="20"/>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1"/>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1"/>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1"/>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2"/>
        </w:numPr>
        <w:spacing w:line="360" w:lineRule="auto"/>
        <w:rPr>
          <w:rFonts w:ascii="宋体" w:hAnsi="宋体"/>
          <w:szCs w:val="21"/>
          <w:u w:val="single"/>
        </w:rPr>
      </w:pPr>
      <w:r>
        <w:rPr>
          <w:rFonts w:hint="eastAsia" w:ascii="宋体" w:hAnsi="宋体"/>
          <w:szCs w:val="21"/>
        </w:rPr>
        <w:t>供应商名称：</w:t>
      </w:r>
    </w:p>
    <w:p>
      <w:pPr>
        <w:numPr>
          <w:ilvl w:val="0"/>
          <w:numId w:val="22"/>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2"/>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2"/>
        </w:numPr>
        <w:spacing w:line="360" w:lineRule="auto"/>
        <w:rPr>
          <w:rFonts w:ascii="宋体" w:hAnsi="宋体"/>
          <w:szCs w:val="21"/>
        </w:rPr>
      </w:pPr>
      <w:r>
        <w:rPr>
          <w:rFonts w:hint="eastAsia" w:ascii="宋体" w:hAnsi="宋体"/>
          <w:szCs w:val="21"/>
        </w:rPr>
        <w:t>实收资本：</w:t>
      </w:r>
    </w:p>
    <w:p>
      <w:pPr>
        <w:numPr>
          <w:ilvl w:val="0"/>
          <w:numId w:val="22"/>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2"/>
        </w:numPr>
        <w:spacing w:line="360" w:lineRule="auto"/>
        <w:rPr>
          <w:rFonts w:ascii="宋体" w:hAnsi="宋体"/>
          <w:szCs w:val="21"/>
          <w:u w:val="single"/>
        </w:rPr>
      </w:pPr>
      <w:r>
        <w:rPr>
          <w:rFonts w:hint="eastAsia" w:ascii="宋体" w:hAnsi="宋体"/>
          <w:szCs w:val="21"/>
        </w:rPr>
        <w:t>主要负责人名称：（可选填）</w:t>
      </w:r>
    </w:p>
    <w:p>
      <w:pPr>
        <w:numPr>
          <w:ilvl w:val="0"/>
          <w:numId w:val="22"/>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2"/>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2"/>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2"/>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7" w:name="_Toc69378669"/>
      <w:bookmarkStart w:id="98" w:name="_Toc26260039"/>
      <w:bookmarkStart w:id="99" w:name="_Toc26259745"/>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7"/>
      <w:bookmarkEnd w:id="98"/>
      <w:bookmarkEnd w:id="99"/>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48"/>
      <w:bookmarkEnd w:id="75"/>
      <w:bookmarkEnd w:id="76"/>
      <w:bookmarkEnd w:id="77"/>
    </w:p>
    <w:p>
      <w:pPr>
        <w:widowControl/>
        <w:jc w:val="left"/>
      </w:pPr>
      <w:r>
        <w:br w:type="page"/>
      </w:r>
    </w:p>
    <w:p>
      <w:pPr>
        <w:pStyle w:val="3"/>
        <w:numPr>
          <w:ilvl w:val="0"/>
          <w:numId w:val="0"/>
        </w:numPr>
        <w:spacing w:line="360" w:lineRule="auto"/>
        <w:rPr>
          <w:sz w:val="52"/>
          <w:szCs w:val="52"/>
        </w:rPr>
      </w:pPr>
      <w:bookmarkStart w:id="100" w:name="_Hlk104374920"/>
      <w:r>
        <w:rPr>
          <w:rFonts w:hint="eastAsia"/>
          <w:b/>
          <w:sz w:val="36"/>
          <w:szCs w:val="36"/>
        </w:rPr>
        <w:t>第七章  其他</w:t>
      </w:r>
    </w:p>
    <w:p>
      <w:pPr>
        <w:widowControl/>
        <w:jc w:val="left"/>
        <w:rPr>
          <w:b/>
          <w:sz w:val="24"/>
        </w:rPr>
      </w:pPr>
      <w:bookmarkStart w:id="101" w:name="_Toc15025"/>
      <w:r>
        <w:rPr>
          <w:rFonts w:hint="eastAsia"/>
          <w:b/>
          <w:sz w:val="24"/>
        </w:rPr>
        <w:t>响应</w:t>
      </w:r>
      <w:r>
        <w:rPr>
          <w:b/>
          <w:sz w:val="24"/>
        </w:rPr>
        <w:t>文件</w:t>
      </w:r>
      <w:r>
        <w:rPr>
          <w:b/>
          <w:kern w:val="11"/>
          <w:sz w:val="24"/>
        </w:rPr>
        <w:t>封套格式</w:t>
      </w:r>
      <w:r>
        <w:rPr>
          <w:b/>
          <w:sz w:val="24"/>
        </w:rPr>
        <w:t>如下：</w:t>
      </w:r>
      <w:bookmarkEnd w:id="101"/>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7"/>
              <w:spacing w:before="312" w:beforeLines="100" w:after="312" w:afterLines="100"/>
              <w:jc w:val="center"/>
              <w:rPr>
                <w:rFonts w:eastAsia="黑体"/>
                <w:szCs w:val="28"/>
              </w:rPr>
            </w:pPr>
          </w:p>
          <w:p>
            <w:pPr>
              <w:pStyle w:val="7"/>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7"/>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7"/>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kern w:val="11"/>
          <w:sz w:val="24"/>
        </w:rPr>
      </w:pPr>
      <w:r>
        <w:rPr>
          <w:rFonts w:hint="eastAsia"/>
          <w:kern w:val="11"/>
          <w:sz w:val="24"/>
        </w:rPr>
        <w:t>响应</w:t>
      </w:r>
      <w:r>
        <w:rPr>
          <w:kern w:val="11"/>
          <w:sz w:val="24"/>
        </w:rPr>
        <w:t>文件</w:t>
      </w:r>
      <w:r>
        <w:rPr>
          <w:rFonts w:hint="eastAsia"/>
          <w:kern w:val="11"/>
          <w:sz w:val="24"/>
        </w:rPr>
        <w:t>封口格式</w:t>
      </w:r>
    </w:p>
    <w:p>
      <w:pPr>
        <w:pStyle w:val="2"/>
      </w:pP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7"/>
      </w:pPr>
    </w:p>
    <w:p>
      <w:pPr>
        <w:pStyle w:val="7"/>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7"/>
      </w:pPr>
      <w:r>
        <w:rPr>
          <w:rFonts w:hint="eastAsia"/>
        </w:rPr>
        <w:t>江苏省广电有线信息网络股份有限公司：</w:t>
      </w:r>
    </w:p>
    <w:p>
      <w:pPr>
        <w:pStyle w:val="7"/>
      </w:pPr>
      <w:r>
        <w:rPr>
          <w:rFonts w:hint="eastAsia"/>
        </w:rPr>
        <w:t xml:space="preserve">    我单位申请参与贵单位</w:t>
      </w:r>
      <w:r>
        <w:rPr>
          <w:rFonts w:hint="eastAsia"/>
          <w:u w:val="single"/>
        </w:rPr>
        <w:t xml:space="preserve">              </w:t>
      </w:r>
      <w:r>
        <w:rPr>
          <w:rFonts w:hint="eastAsia"/>
        </w:rPr>
        <w:t>项目。</w:t>
      </w:r>
    </w:p>
    <w:p>
      <w:pPr>
        <w:pStyle w:val="7"/>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7"/>
        <w:ind w:firstLine="420" w:firstLineChars="150"/>
      </w:pPr>
      <w:r>
        <w:rPr>
          <w:rFonts w:hint="eastAsia"/>
        </w:rPr>
        <w:t xml:space="preserve"> 1.姓名：</w:t>
      </w:r>
    </w:p>
    <w:p>
      <w:pPr>
        <w:pStyle w:val="7"/>
        <w:ind w:firstLine="420" w:firstLineChars="150"/>
      </w:pPr>
      <w:r>
        <w:rPr>
          <w:rFonts w:hint="eastAsia"/>
        </w:rPr>
        <w:t xml:space="preserve"> 2.身份证号：</w:t>
      </w:r>
    </w:p>
    <w:p>
      <w:pPr>
        <w:pStyle w:val="7"/>
        <w:ind w:firstLine="420" w:firstLineChars="150"/>
      </w:pPr>
      <w:r>
        <w:rPr>
          <w:rFonts w:hint="eastAsia"/>
        </w:rPr>
        <w:t xml:space="preserve"> 3.职位：</w:t>
      </w:r>
    </w:p>
    <w:p>
      <w:pPr>
        <w:pStyle w:val="7"/>
        <w:ind w:firstLine="420" w:firstLineChars="150"/>
      </w:pPr>
      <w:r>
        <w:rPr>
          <w:rFonts w:hint="eastAsia"/>
        </w:rPr>
        <w:t xml:space="preserve"> 4.联系电话（手机）：</w:t>
      </w:r>
    </w:p>
    <w:p>
      <w:pPr>
        <w:pStyle w:val="7"/>
        <w:ind w:firstLine="420" w:firstLineChars="150"/>
      </w:pPr>
      <w:r>
        <w:rPr>
          <w:rFonts w:hint="eastAsia"/>
        </w:rPr>
        <w:t xml:space="preserve"> 5.联系电子邮箱：</w:t>
      </w:r>
    </w:p>
    <w:p>
      <w:pPr>
        <w:pStyle w:val="7"/>
        <w:ind w:firstLine="420" w:firstLineChars="150"/>
      </w:pPr>
      <w:r>
        <w:rPr>
          <w:rFonts w:hint="eastAsia"/>
        </w:rPr>
        <w:t xml:space="preserve"> 6.微信号:</w:t>
      </w:r>
    </w:p>
    <w:p>
      <w:pPr>
        <w:pStyle w:val="7"/>
        <w:ind w:firstLine="420" w:firstLineChars="150"/>
      </w:pPr>
      <w:r>
        <w:rPr>
          <w:rFonts w:hint="eastAsia"/>
        </w:rPr>
        <w:t xml:space="preserve"> 7.响应文件递送方式：</w:t>
      </w:r>
    </w:p>
    <w:p>
      <w:pPr>
        <w:pStyle w:val="26"/>
        <w:ind w:firstLine="200"/>
      </w:pPr>
    </w:p>
    <w:p>
      <w:pPr>
        <w:pStyle w:val="26"/>
        <w:ind w:firstLine="200"/>
      </w:pPr>
    </w:p>
    <w:p>
      <w:pPr>
        <w:pStyle w:val="26"/>
        <w:ind w:firstLine="200"/>
      </w:pPr>
    </w:p>
    <w:p>
      <w:pPr>
        <w:pStyle w:val="7"/>
        <w:ind w:firstLine="560" w:firstLineChars="200"/>
      </w:pPr>
      <w:r>
        <w:rPr>
          <w:rFonts w:hint="eastAsia"/>
        </w:rPr>
        <w:t>供应商：</w:t>
      </w:r>
      <w:r>
        <w:rPr>
          <w:rFonts w:hint="eastAsia"/>
          <w:u w:val="single"/>
        </w:rPr>
        <w:t xml:space="preserve">                     </w:t>
      </w:r>
      <w:r>
        <w:rPr>
          <w:rFonts w:hint="eastAsia"/>
        </w:rPr>
        <w:t>（盖章）</w:t>
      </w:r>
    </w:p>
    <w:p>
      <w:pPr>
        <w:pStyle w:val="7"/>
        <w:ind w:firstLine="560" w:firstLineChars="200"/>
      </w:pPr>
      <w:r>
        <w:rPr>
          <w:rFonts w:hint="eastAsia"/>
        </w:rPr>
        <w:t>日期：</w:t>
      </w:r>
    </w:p>
    <w:p>
      <w:pPr>
        <w:pStyle w:val="26"/>
        <w:ind w:firstLine="200"/>
      </w:pPr>
      <w:r>
        <w:rPr>
          <w:rFonts w:hint="eastAsia"/>
        </w:rPr>
        <w:t xml:space="preserve">  </w:t>
      </w:r>
    </w:p>
    <w:p>
      <w:pPr>
        <w:pStyle w:val="7"/>
        <w:adjustRightInd w:val="0"/>
        <w:snapToGrid w:val="0"/>
        <w:spacing w:line="440" w:lineRule="exact"/>
        <w:jc w:val="center"/>
        <w:rPr>
          <w:rFonts w:ascii="宋体" w:hAnsi="宋体"/>
          <w:sz w:val="44"/>
          <w:szCs w:val="44"/>
        </w:rPr>
      </w:pPr>
      <w:r>
        <w:br w:type="page"/>
      </w:r>
    </w:p>
    <w:p>
      <w:pPr>
        <w:pStyle w:val="26"/>
        <w:snapToGrid w:val="0"/>
        <w:spacing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26"/>
        <w:snapToGrid w:val="0"/>
        <w:spacing w:line="520" w:lineRule="exact"/>
        <w:ind w:firstLine="1100" w:firstLineChars="250"/>
        <w:jc w:val="center"/>
        <w:rPr>
          <w:rFonts w:ascii="宋体" w:hAnsi="宋体"/>
          <w:sz w:val="44"/>
          <w:szCs w:val="44"/>
        </w:rPr>
      </w:pPr>
    </w:p>
    <w:p>
      <w:pPr>
        <w:pStyle w:val="26"/>
        <w:snapToGrid w:val="0"/>
        <w:spacing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26"/>
        <w:snapToGrid w:val="0"/>
        <w:spacing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2．</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26"/>
        <w:snapToGrid w:val="0"/>
        <w:spacing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pPr>
        <w:ind w:firstLine="320" w:firstLineChars="100"/>
      </w:pPr>
      <w:r>
        <w:rPr>
          <w:rFonts w:hint="eastAsia" w:ascii="宋体" w:hAnsi="宋体"/>
          <w:sz w:val="32"/>
          <w:szCs w:val="32"/>
        </w:rPr>
        <w:t>日期：</w:t>
      </w:r>
      <w:r>
        <w:rPr>
          <w:rFonts w:hint="eastAsia" w:ascii="宋体" w:hAnsi="宋体"/>
          <w:sz w:val="32"/>
          <w:szCs w:val="32"/>
          <w:u w:val="single"/>
        </w:rPr>
        <w:t xml:space="preserve">                   </w:t>
      </w:r>
    </w:p>
    <w:p/>
    <w:bookmarkEnd w:id="100"/>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22</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6">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8">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9">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0">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4">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5">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7">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9">
    <w:nsid w:val="59441606"/>
    <w:multiLevelType w:val="multilevel"/>
    <w:tmpl w:val="59441606"/>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0">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8"/>
  </w:num>
  <w:num w:numId="2">
    <w:abstractNumId w:val="16"/>
  </w:num>
  <w:num w:numId="3">
    <w:abstractNumId w:val="5"/>
  </w:num>
  <w:num w:numId="4">
    <w:abstractNumId w:val="2"/>
  </w:num>
  <w:num w:numId="5">
    <w:abstractNumId w:val="15"/>
  </w:num>
  <w:num w:numId="6">
    <w:abstractNumId w:val="1"/>
  </w:num>
  <w:num w:numId="7">
    <w:abstractNumId w:val="0"/>
  </w:num>
  <w:num w:numId="8">
    <w:abstractNumId w:val="4"/>
  </w:num>
  <w:num w:numId="9">
    <w:abstractNumId w:val="3"/>
  </w:num>
  <w:num w:numId="10">
    <w:abstractNumId w:val="17"/>
  </w:num>
  <w:num w:numId="11">
    <w:abstractNumId w:val="6"/>
  </w:num>
  <w:num w:numId="12">
    <w:abstractNumId w:val="10"/>
  </w:num>
  <w:num w:numId="13">
    <w:abstractNumId w:val="8"/>
  </w:num>
  <w:num w:numId="14">
    <w:abstractNumId w:val="9"/>
  </w:num>
  <w:num w:numId="15">
    <w:abstractNumId w:val="7"/>
  </w:num>
  <w:num w:numId="16">
    <w:abstractNumId w:val="11"/>
  </w:num>
  <w:num w:numId="17">
    <w:abstractNumId w:val="12"/>
  </w:num>
  <w:num w:numId="18">
    <w:abstractNumId w:val="21"/>
  </w:num>
  <w:num w:numId="19">
    <w:abstractNumId w:val="19"/>
  </w:num>
  <w:num w:numId="20">
    <w:abstractNumId w:val="1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zk1MjQwZGViNjcwMmZiNDhiNTAzNDc4YTY3ZTU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6B29"/>
    <w:rsid w:val="00067FDF"/>
    <w:rsid w:val="00070964"/>
    <w:rsid w:val="00071DBA"/>
    <w:rsid w:val="00072029"/>
    <w:rsid w:val="000728EA"/>
    <w:rsid w:val="0007445B"/>
    <w:rsid w:val="000760C6"/>
    <w:rsid w:val="0007666E"/>
    <w:rsid w:val="00076700"/>
    <w:rsid w:val="00076D4E"/>
    <w:rsid w:val="00077A76"/>
    <w:rsid w:val="00080C1A"/>
    <w:rsid w:val="00080EF3"/>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025"/>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4FDD"/>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6FBD"/>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951"/>
    <w:rsid w:val="00162D92"/>
    <w:rsid w:val="00163258"/>
    <w:rsid w:val="001636DE"/>
    <w:rsid w:val="0016388E"/>
    <w:rsid w:val="00163E91"/>
    <w:rsid w:val="00165100"/>
    <w:rsid w:val="001659CD"/>
    <w:rsid w:val="00167A90"/>
    <w:rsid w:val="001708C4"/>
    <w:rsid w:val="00171FDA"/>
    <w:rsid w:val="00172446"/>
    <w:rsid w:val="001730DF"/>
    <w:rsid w:val="001738F1"/>
    <w:rsid w:val="001759B2"/>
    <w:rsid w:val="00175A52"/>
    <w:rsid w:val="0017620C"/>
    <w:rsid w:val="00176D2C"/>
    <w:rsid w:val="00177676"/>
    <w:rsid w:val="00177C99"/>
    <w:rsid w:val="00177E3C"/>
    <w:rsid w:val="00180AA0"/>
    <w:rsid w:val="00181462"/>
    <w:rsid w:val="0018189F"/>
    <w:rsid w:val="00181C64"/>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5F24"/>
    <w:rsid w:val="001E653F"/>
    <w:rsid w:val="001F19AA"/>
    <w:rsid w:val="001F1C2F"/>
    <w:rsid w:val="001F2993"/>
    <w:rsid w:val="001F36D2"/>
    <w:rsid w:val="001F3B74"/>
    <w:rsid w:val="001F3D3C"/>
    <w:rsid w:val="001F48E2"/>
    <w:rsid w:val="001F4E78"/>
    <w:rsid w:val="001F504F"/>
    <w:rsid w:val="001F6F09"/>
    <w:rsid w:val="001F7409"/>
    <w:rsid w:val="001F7C0B"/>
    <w:rsid w:val="00200232"/>
    <w:rsid w:val="00200BEA"/>
    <w:rsid w:val="00200E77"/>
    <w:rsid w:val="00204763"/>
    <w:rsid w:val="00206250"/>
    <w:rsid w:val="002065EB"/>
    <w:rsid w:val="00207266"/>
    <w:rsid w:val="00207358"/>
    <w:rsid w:val="00210532"/>
    <w:rsid w:val="00211523"/>
    <w:rsid w:val="00212106"/>
    <w:rsid w:val="00212F30"/>
    <w:rsid w:val="002133FD"/>
    <w:rsid w:val="00213B1C"/>
    <w:rsid w:val="0021459D"/>
    <w:rsid w:val="00214AD6"/>
    <w:rsid w:val="00215E61"/>
    <w:rsid w:val="002166B5"/>
    <w:rsid w:val="00217FE0"/>
    <w:rsid w:val="00220C69"/>
    <w:rsid w:val="0022136D"/>
    <w:rsid w:val="002225AD"/>
    <w:rsid w:val="00223BB5"/>
    <w:rsid w:val="00223CB1"/>
    <w:rsid w:val="00224456"/>
    <w:rsid w:val="0022501D"/>
    <w:rsid w:val="00226F02"/>
    <w:rsid w:val="00227DB7"/>
    <w:rsid w:val="0023020F"/>
    <w:rsid w:val="002322AB"/>
    <w:rsid w:val="002338C7"/>
    <w:rsid w:val="00233F18"/>
    <w:rsid w:val="0023456B"/>
    <w:rsid w:val="002347CA"/>
    <w:rsid w:val="00235732"/>
    <w:rsid w:val="00235961"/>
    <w:rsid w:val="00236180"/>
    <w:rsid w:val="00236488"/>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11F5"/>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3174"/>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271D"/>
    <w:rsid w:val="002B274E"/>
    <w:rsid w:val="002B33CC"/>
    <w:rsid w:val="002B3C2F"/>
    <w:rsid w:val="002C0317"/>
    <w:rsid w:val="002C1A9F"/>
    <w:rsid w:val="002C1F7C"/>
    <w:rsid w:val="002C2505"/>
    <w:rsid w:val="002C320D"/>
    <w:rsid w:val="002C4DE8"/>
    <w:rsid w:val="002C607F"/>
    <w:rsid w:val="002C6F2C"/>
    <w:rsid w:val="002C7F8D"/>
    <w:rsid w:val="002D0673"/>
    <w:rsid w:val="002D0A8D"/>
    <w:rsid w:val="002D24AE"/>
    <w:rsid w:val="002D3C6B"/>
    <w:rsid w:val="002D3F7C"/>
    <w:rsid w:val="002D5AC3"/>
    <w:rsid w:val="002D706B"/>
    <w:rsid w:val="002E0999"/>
    <w:rsid w:val="002E175D"/>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462D"/>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6EF8"/>
    <w:rsid w:val="00367C42"/>
    <w:rsid w:val="00370088"/>
    <w:rsid w:val="00372E2F"/>
    <w:rsid w:val="0037324D"/>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04DC"/>
    <w:rsid w:val="00391739"/>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6D5C"/>
    <w:rsid w:val="003D7647"/>
    <w:rsid w:val="003E10C1"/>
    <w:rsid w:val="003E183C"/>
    <w:rsid w:val="003E3225"/>
    <w:rsid w:val="003E5119"/>
    <w:rsid w:val="003E5F22"/>
    <w:rsid w:val="003E7528"/>
    <w:rsid w:val="003E794B"/>
    <w:rsid w:val="003E7A69"/>
    <w:rsid w:val="003F0D93"/>
    <w:rsid w:val="003F216D"/>
    <w:rsid w:val="003F360C"/>
    <w:rsid w:val="003F60F1"/>
    <w:rsid w:val="00400138"/>
    <w:rsid w:val="00400873"/>
    <w:rsid w:val="004011D2"/>
    <w:rsid w:val="00401420"/>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B7757"/>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589C"/>
    <w:rsid w:val="004D7389"/>
    <w:rsid w:val="004D7421"/>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5A74"/>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37CC4"/>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20EA"/>
    <w:rsid w:val="00585F0B"/>
    <w:rsid w:val="00586787"/>
    <w:rsid w:val="00587B7E"/>
    <w:rsid w:val="005903D7"/>
    <w:rsid w:val="00590759"/>
    <w:rsid w:val="00591493"/>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83A"/>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55F"/>
    <w:rsid w:val="00614B61"/>
    <w:rsid w:val="0061556D"/>
    <w:rsid w:val="00616317"/>
    <w:rsid w:val="00616D44"/>
    <w:rsid w:val="00616F6D"/>
    <w:rsid w:val="00620370"/>
    <w:rsid w:val="00620ABA"/>
    <w:rsid w:val="0062180D"/>
    <w:rsid w:val="00621A2C"/>
    <w:rsid w:val="0062236E"/>
    <w:rsid w:val="00622D0E"/>
    <w:rsid w:val="00624CD7"/>
    <w:rsid w:val="00625A89"/>
    <w:rsid w:val="0062665F"/>
    <w:rsid w:val="00627087"/>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064D"/>
    <w:rsid w:val="0065202A"/>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951"/>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43A2"/>
    <w:rsid w:val="006E7D5D"/>
    <w:rsid w:val="006F0B9C"/>
    <w:rsid w:val="006F0D0A"/>
    <w:rsid w:val="006F3272"/>
    <w:rsid w:val="006F34DE"/>
    <w:rsid w:val="006F7226"/>
    <w:rsid w:val="006F7AB0"/>
    <w:rsid w:val="00700BFB"/>
    <w:rsid w:val="00701C14"/>
    <w:rsid w:val="007021A9"/>
    <w:rsid w:val="00703448"/>
    <w:rsid w:val="00703FD6"/>
    <w:rsid w:val="0070439D"/>
    <w:rsid w:val="00704623"/>
    <w:rsid w:val="007051C7"/>
    <w:rsid w:val="00705C44"/>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29FD"/>
    <w:rsid w:val="007238D5"/>
    <w:rsid w:val="00726076"/>
    <w:rsid w:val="007275A7"/>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7804"/>
    <w:rsid w:val="007506F2"/>
    <w:rsid w:val="007522AE"/>
    <w:rsid w:val="00753121"/>
    <w:rsid w:val="007537A3"/>
    <w:rsid w:val="00753B98"/>
    <w:rsid w:val="007554FA"/>
    <w:rsid w:val="00755A5D"/>
    <w:rsid w:val="007571D2"/>
    <w:rsid w:val="007610DC"/>
    <w:rsid w:val="00762DA6"/>
    <w:rsid w:val="007632BA"/>
    <w:rsid w:val="00764923"/>
    <w:rsid w:val="00765DD7"/>
    <w:rsid w:val="0077014F"/>
    <w:rsid w:val="00770312"/>
    <w:rsid w:val="007707C0"/>
    <w:rsid w:val="00770E3A"/>
    <w:rsid w:val="00774A4B"/>
    <w:rsid w:val="00775F83"/>
    <w:rsid w:val="007766B9"/>
    <w:rsid w:val="007801B9"/>
    <w:rsid w:val="0078061D"/>
    <w:rsid w:val="007819BB"/>
    <w:rsid w:val="00782301"/>
    <w:rsid w:val="00783925"/>
    <w:rsid w:val="007842B2"/>
    <w:rsid w:val="007853CA"/>
    <w:rsid w:val="00786CF4"/>
    <w:rsid w:val="00786E0B"/>
    <w:rsid w:val="00787069"/>
    <w:rsid w:val="00787E47"/>
    <w:rsid w:val="00787F31"/>
    <w:rsid w:val="00790301"/>
    <w:rsid w:val="00791C53"/>
    <w:rsid w:val="007924EF"/>
    <w:rsid w:val="00793ADF"/>
    <w:rsid w:val="00793EA0"/>
    <w:rsid w:val="00793ECA"/>
    <w:rsid w:val="00794E01"/>
    <w:rsid w:val="00796145"/>
    <w:rsid w:val="007977A5"/>
    <w:rsid w:val="00797849"/>
    <w:rsid w:val="007A0015"/>
    <w:rsid w:val="007A0B2F"/>
    <w:rsid w:val="007A1055"/>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2FB"/>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2EE"/>
    <w:rsid w:val="00821445"/>
    <w:rsid w:val="00821D94"/>
    <w:rsid w:val="008225D0"/>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5FE"/>
    <w:rsid w:val="00846CEF"/>
    <w:rsid w:val="00850E67"/>
    <w:rsid w:val="008512C3"/>
    <w:rsid w:val="00852D1F"/>
    <w:rsid w:val="00855112"/>
    <w:rsid w:val="00860306"/>
    <w:rsid w:val="00860871"/>
    <w:rsid w:val="008612F0"/>
    <w:rsid w:val="00862F88"/>
    <w:rsid w:val="00863251"/>
    <w:rsid w:val="008638A2"/>
    <w:rsid w:val="008649FB"/>
    <w:rsid w:val="008652CB"/>
    <w:rsid w:val="00866B6D"/>
    <w:rsid w:val="00866D18"/>
    <w:rsid w:val="00870253"/>
    <w:rsid w:val="008703F6"/>
    <w:rsid w:val="00871AB9"/>
    <w:rsid w:val="008724D5"/>
    <w:rsid w:val="00874CD3"/>
    <w:rsid w:val="008759DE"/>
    <w:rsid w:val="00877089"/>
    <w:rsid w:val="008845F6"/>
    <w:rsid w:val="0088504D"/>
    <w:rsid w:val="0088577C"/>
    <w:rsid w:val="008862AB"/>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6A18"/>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27AA"/>
    <w:rsid w:val="008E40DA"/>
    <w:rsid w:val="008E4215"/>
    <w:rsid w:val="008E5067"/>
    <w:rsid w:val="008E5B5B"/>
    <w:rsid w:val="008E65A4"/>
    <w:rsid w:val="008F177B"/>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2A8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261D"/>
    <w:rsid w:val="00963201"/>
    <w:rsid w:val="00963DEF"/>
    <w:rsid w:val="00964591"/>
    <w:rsid w:val="0096591F"/>
    <w:rsid w:val="0096693D"/>
    <w:rsid w:val="0097126D"/>
    <w:rsid w:val="00971644"/>
    <w:rsid w:val="009732CC"/>
    <w:rsid w:val="0097335B"/>
    <w:rsid w:val="00973A50"/>
    <w:rsid w:val="00974A07"/>
    <w:rsid w:val="00975F28"/>
    <w:rsid w:val="00976AC9"/>
    <w:rsid w:val="009770E2"/>
    <w:rsid w:val="0097735E"/>
    <w:rsid w:val="0098194E"/>
    <w:rsid w:val="0098288F"/>
    <w:rsid w:val="009832FC"/>
    <w:rsid w:val="00984AFC"/>
    <w:rsid w:val="00986761"/>
    <w:rsid w:val="00987456"/>
    <w:rsid w:val="009907B1"/>
    <w:rsid w:val="00991B5D"/>
    <w:rsid w:val="00991DEB"/>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B723A"/>
    <w:rsid w:val="009C01D5"/>
    <w:rsid w:val="009C02FA"/>
    <w:rsid w:val="009C0F6A"/>
    <w:rsid w:val="009C1119"/>
    <w:rsid w:val="009C1A8B"/>
    <w:rsid w:val="009C1EAD"/>
    <w:rsid w:val="009C343C"/>
    <w:rsid w:val="009C3607"/>
    <w:rsid w:val="009C3D7A"/>
    <w:rsid w:val="009C4F5A"/>
    <w:rsid w:val="009C60B7"/>
    <w:rsid w:val="009C6B36"/>
    <w:rsid w:val="009D1C4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4670"/>
    <w:rsid w:val="00A1588D"/>
    <w:rsid w:val="00A17446"/>
    <w:rsid w:val="00A205F2"/>
    <w:rsid w:val="00A2162A"/>
    <w:rsid w:val="00A221CB"/>
    <w:rsid w:val="00A222DA"/>
    <w:rsid w:val="00A223D3"/>
    <w:rsid w:val="00A2305E"/>
    <w:rsid w:val="00A24522"/>
    <w:rsid w:val="00A24F8D"/>
    <w:rsid w:val="00A25858"/>
    <w:rsid w:val="00A305E5"/>
    <w:rsid w:val="00A320B6"/>
    <w:rsid w:val="00A32ABB"/>
    <w:rsid w:val="00A33D1D"/>
    <w:rsid w:val="00A358C0"/>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8696E"/>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B7B1E"/>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09F7"/>
    <w:rsid w:val="00B11143"/>
    <w:rsid w:val="00B11D22"/>
    <w:rsid w:val="00B11EF8"/>
    <w:rsid w:val="00B17968"/>
    <w:rsid w:val="00B203C6"/>
    <w:rsid w:val="00B20AFF"/>
    <w:rsid w:val="00B232C2"/>
    <w:rsid w:val="00B2443F"/>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457"/>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6A6"/>
    <w:rsid w:val="00B91B0D"/>
    <w:rsid w:val="00B9281A"/>
    <w:rsid w:val="00B9283A"/>
    <w:rsid w:val="00B92C50"/>
    <w:rsid w:val="00B94251"/>
    <w:rsid w:val="00B942FF"/>
    <w:rsid w:val="00B9479E"/>
    <w:rsid w:val="00B956F6"/>
    <w:rsid w:val="00B95DA9"/>
    <w:rsid w:val="00B972CC"/>
    <w:rsid w:val="00BA054D"/>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50FC"/>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2040"/>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3915"/>
    <w:rsid w:val="00C55F2D"/>
    <w:rsid w:val="00C577AE"/>
    <w:rsid w:val="00C61B66"/>
    <w:rsid w:val="00C61CF0"/>
    <w:rsid w:val="00C625CB"/>
    <w:rsid w:val="00C654BF"/>
    <w:rsid w:val="00C66332"/>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FDD"/>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3AD"/>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A41"/>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C93"/>
    <w:rsid w:val="00D85ECE"/>
    <w:rsid w:val="00D86A7E"/>
    <w:rsid w:val="00D86EB9"/>
    <w:rsid w:val="00D87450"/>
    <w:rsid w:val="00D87933"/>
    <w:rsid w:val="00D87A3B"/>
    <w:rsid w:val="00D91AD5"/>
    <w:rsid w:val="00D92BB1"/>
    <w:rsid w:val="00D92C05"/>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1744"/>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3BA6"/>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3E29"/>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2740A"/>
    <w:rsid w:val="00E303DD"/>
    <w:rsid w:val="00E33FF5"/>
    <w:rsid w:val="00E34C21"/>
    <w:rsid w:val="00E35BD2"/>
    <w:rsid w:val="00E35FCC"/>
    <w:rsid w:val="00E3624B"/>
    <w:rsid w:val="00E36E69"/>
    <w:rsid w:val="00E375F6"/>
    <w:rsid w:val="00E37704"/>
    <w:rsid w:val="00E42C6A"/>
    <w:rsid w:val="00E42E4D"/>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163"/>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16D"/>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05CD"/>
    <w:rsid w:val="00EF1DBC"/>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9AF"/>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36E7F"/>
    <w:rsid w:val="00F403BA"/>
    <w:rsid w:val="00F410A7"/>
    <w:rsid w:val="00F4185A"/>
    <w:rsid w:val="00F42AE8"/>
    <w:rsid w:val="00F42E25"/>
    <w:rsid w:val="00F45016"/>
    <w:rsid w:val="00F47EA3"/>
    <w:rsid w:val="00F50015"/>
    <w:rsid w:val="00F50753"/>
    <w:rsid w:val="00F516B6"/>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03"/>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01"/>
    <w:rsid w:val="00F90DAF"/>
    <w:rsid w:val="00F91A09"/>
    <w:rsid w:val="00F932D5"/>
    <w:rsid w:val="00F94372"/>
    <w:rsid w:val="00F9473C"/>
    <w:rsid w:val="00F9509E"/>
    <w:rsid w:val="00F972C1"/>
    <w:rsid w:val="00FA0074"/>
    <w:rsid w:val="00FA1553"/>
    <w:rsid w:val="00FA54BE"/>
    <w:rsid w:val="00FA55E5"/>
    <w:rsid w:val="00FA7232"/>
    <w:rsid w:val="00FB0122"/>
    <w:rsid w:val="00FB29A7"/>
    <w:rsid w:val="00FB2E48"/>
    <w:rsid w:val="00FB61C8"/>
    <w:rsid w:val="00FB635A"/>
    <w:rsid w:val="00FB64F3"/>
    <w:rsid w:val="00FB7CF8"/>
    <w:rsid w:val="00FC0286"/>
    <w:rsid w:val="00FC08EC"/>
    <w:rsid w:val="00FC0E93"/>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225"/>
    <w:rsid w:val="00FE2E59"/>
    <w:rsid w:val="00FE3332"/>
    <w:rsid w:val="00FE455A"/>
    <w:rsid w:val="00FE4EB5"/>
    <w:rsid w:val="00FF18B9"/>
    <w:rsid w:val="00FF6C26"/>
    <w:rsid w:val="00FF6E9B"/>
    <w:rsid w:val="00FF7AC6"/>
    <w:rsid w:val="03226D0C"/>
    <w:rsid w:val="033F683B"/>
    <w:rsid w:val="043013E0"/>
    <w:rsid w:val="05765502"/>
    <w:rsid w:val="061C0CA8"/>
    <w:rsid w:val="062C280A"/>
    <w:rsid w:val="06A558C1"/>
    <w:rsid w:val="07285B25"/>
    <w:rsid w:val="07C0798B"/>
    <w:rsid w:val="08417FA7"/>
    <w:rsid w:val="0942292F"/>
    <w:rsid w:val="0A236389"/>
    <w:rsid w:val="0AAB0D8C"/>
    <w:rsid w:val="0AAE62EE"/>
    <w:rsid w:val="0B306A87"/>
    <w:rsid w:val="0C2627C8"/>
    <w:rsid w:val="0D1A293B"/>
    <w:rsid w:val="0D2701B4"/>
    <w:rsid w:val="0D933D59"/>
    <w:rsid w:val="0DDC3A66"/>
    <w:rsid w:val="0DFE385A"/>
    <w:rsid w:val="0F202505"/>
    <w:rsid w:val="0F4933A8"/>
    <w:rsid w:val="101F3294"/>
    <w:rsid w:val="10554E67"/>
    <w:rsid w:val="10756CB1"/>
    <w:rsid w:val="10C3255D"/>
    <w:rsid w:val="11F62ADD"/>
    <w:rsid w:val="121438CE"/>
    <w:rsid w:val="136F5E09"/>
    <w:rsid w:val="14135CE9"/>
    <w:rsid w:val="143F7994"/>
    <w:rsid w:val="144423BA"/>
    <w:rsid w:val="14556E24"/>
    <w:rsid w:val="145C09B6"/>
    <w:rsid w:val="15445FB3"/>
    <w:rsid w:val="15AC68D1"/>
    <w:rsid w:val="15E564DA"/>
    <w:rsid w:val="187720CE"/>
    <w:rsid w:val="19107E5B"/>
    <w:rsid w:val="1A09059C"/>
    <w:rsid w:val="1A0B0F99"/>
    <w:rsid w:val="1A595A62"/>
    <w:rsid w:val="1A7840BB"/>
    <w:rsid w:val="1AA81AF5"/>
    <w:rsid w:val="1B574A59"/>
    <w:rsid w:val="1C6F4683"/>
    <w:rsid w:val="1C8C3FCD"/>
    <w:rsid w:val="1E4578B6"/>
    <w:rsid w:val="1E4C4CE5"/>
    <w:rsid w:val="1EC559AB"/>
    <w:rsid w:val="1F8325A2"/>
    <w:rsid w:val="1FCA1A19"/>
    <w:rsid w:val="200D34F7"/>
    <w:rsid w:val="22BD3DDC"/>
    <w:rsid w:val="23454BF6"/>
    <w:rsid w:val="2368442E"/>
    <w:rsid w:val="237A6685"/>
    <w:rsid w:val="23D35C00"/>
    <w:rsid w:val="23E33119"/>
    <w:rsid w:val="24180599"/>
    <w:rsid w:val="251A4E9F"/>
    <w:rsid w:val="259623B5"/>
    <w:rsid w:val="25D507BC"/>
    <w:rsid w:val="25F25922"/>
    <w:rsid w:val="26D959CA"/>
    <w:rsid w:val="277245D4"/>
    <w:rsid w:val="28114720"/>
    <w:rsid w:val="28CF63F4"/>
    <w:rsid w:val="290A63FB"/>
    <w:rsid w:val="29326DC7"/>
    <w:rsid w:val="296A57B2"/>
    <w:rsid w:val="29F26F2A"/>
    <w:rsid w:val="2A1A54C5"/>
    <w:rsid w:val="2B4179B6"/>
    <w:rsid w:val="2B6A1FE9"/>
    <w:rsid w:val="2BC16C32"/>
    <w:rsid w:val="2BE55033"/>
    <w:rsid w:val="2BF043F9"/>
    <w:rsid w:val="2C4046EB"/>
    <w:rsid w:val="2C85746B"/>
    <w:rsid w:val="2CC855D1"/>
    <w:rsid w:val="2DDD422B"/>
    <w:rsid w:val="2E84548B"/>
    <w:rsid w:val="2F2B1A5B"/>
    <w:rsid w:val="2FC9681B"/>
    <w:rsid w:val="305A5E82"/>
    <w:rsid w:val="31014D28"/>
    <w:rsid w:val="319C1C9B"/>
    <w:rsid w:val="31CD297B"/>
    <w:rsid w:val="34DF332E"/>
    <w:rsid w:val="34E62D8C"/>
    <w:rsid w:val="35FB623F"/>
    <w:rsid w:val="366E3B3C"/>
    <w:rsid w:val="370F0BCD"/>
    <w:rsid w:val="3715098A"/>
    <w:rsid w:val="377C6EFA"/>
    <w:rsid w:val="37F442AD"/>
    <w:rsid w:val="3855231C"/>
    <w:rsid w:val="385C22F7"/>
    <w:rsid w:val="39157688"/>
    <w:rsid w:val="393242EC"/>
    <w:rsid w:val="3A1844F4"/>
    <w:rsid w:val="3A315C33"/>
    <w:rsid w:val="3A6C43F3"/>
    <w:rsid w:val="3AF47E95"/>
    <w:rsid w:val="3B1209F3"/>
    <w:rsid w:val="3B5878C5"/>
    <w:rsid w:val="3BA011E5"/>
    <w:rsid w:val="3BE22C01"/>
    <w:rsid w:val="3C5C5F5C"/>
    <w:rsid w:val="3DA37A70"/>
    <w:rsid w:val="3DBC05DF"/>
    <w:rsid w:val="3E596370"/>
    <w:rsid w:val="3FBC6BAA"/>
    <w:rsid w:val="3FC06B84"/>
    <w:rsid w:val="40512B35"/>
    <w:rsid w:val="40865941"/>
    <w:rsid w:val="40A7133C"/>
    <w:rsid w:val="416318D4"/>
    <w:rsid w:val="417F239B"/>
    <w:rsid w:val="41AD55E6"/>
    <w:rsid w:val="41F25792"/>
    <w:rsid w:val="41FA3CF8"/>
    <w:rsid w:val="42974085"/>
    <w:rsid w:val="432726A2"/>
    <w:rsid w:val="44290050"/>
    <w:rsid w:val="452B5932"/>
    <w:rsid w:val="45497D2B"/>
    <w:rsid w:val="45820476"/>
    <w:rsid w:val="45C11FF3"/>
    <w:rsid w:val="46843083"/>
    <w:rsid w:val="469320F9"/>
    <w:rsid w:val="46BD1D77"/>
    <w:rsid w:val="46CB1C3E"/>
    <w:rsid w:val="47775AD7"/>
    <w:rsid w:val="48B307E0"/>
    <w:rsid w:val="4A1F4764"/>
    <w:rsid w:val="4A4618D0"/>
    <w:rsid w:val="4AB810A7"/>
    <w:rsid w:val="4B0D67DA"/>
    <w:rsid w:val="4B104729"/>
    <w:rsid w:val="4B561588"/>
    <w:rsid w:val="4C556343"/>
    <w:rsid w:val="4C6C37B1"/>
    <w:rsid w:val="4CBA6D83"/>
    <w:rsid w:val="4EBF1908"/>
    <w:rsid w:val="4F651A76"/>
    <w:rsid w:val="50BE485B"/>
    <w:rsid w:val="50EF21DE"/>
    <w:rsid w:val="51CE7479"/>
    <w:rsid w:val="51E2489F"/>
    <w:rsid w:val="52C01CEC"/>
    <w:rsid w:val="52EB2845"/>
    <w:rsid w:val="52FE5AB1"/>
    <w:rsid w:val="532D3D0C"/>
    <w:rsid w:val="53DA317B"/>
    <w:rsid w:val="5401684C"/>
    <w:rsid w:val="54103AAC"/>
    <w:rsid w:val="54455AEF"/>
    <w:rsid w:val="5482205B"/>
    <w:rsid w:val="549A5B63"/>
    <w:rsid w:val="55190490"/>
    <w:rsid w:val="554C03ED"/>
    <w:rsid w:val="563233F6"/>
    <w:rsid w:val="56A01764"/>
    <w:rsid w:val="57096E9F"/>
    <w:rsid w:val="578366B4"/>
    <w:rsid w:val="57CD7FAB"/>
    <w:rsid w:val="57D5394B"/>
    <w:rsid w:val="58285957"/>
    <w:rsid w:val="59125B5B"/>
    <w:rsid w:val="5A5B099B"/>
    <w:rsid w:val="5B5D3146"/>
    <w:rsid w:val="5C317F92"/>
    <w:rsid w:val="5E653E57"/>
    <w:rsid w:val="5EDC31F2"/>
    <w:rsid w:val="5FD6799D"/>
    <w:rsid w:val="60915A2A"/>
    <w:rsid w:val="60F8252D"/>
    <w:rsid w:val="618D441B"/>
    <w:rsid w:val="621E6BB3"/>
    <w:rsid w:val="629F59D2"/>
    <w:rsid w:val="639F1D36"/>
    <w:rsid w:val="63C64EB3"/>
    <w:rsid w:val="648D0D03"/>
    <w:rsid w:val="64AB2497"/>
    <w:rsid w:val="656D0EA0"/>
    <w:rsid w:val="65F75F71"/>
    <w:rsid w:val="66C24EF1"/>
    <w:rsid w:val="66CC0AAD"/>
    <w:rsid w:val="67006F56"/>
    <w:rsid w:val="689A3E47"/>
    <w:rsid w:val="68AE5B14"/>
    <w:rsid w:val="69746191"/>
    <w:rsid w:val="697A70E8"/>
    <w:rsid w:val="6A0540CF"/>
    <w:rsid w:val="6A4B47BB"/>
    <w:rsid w:val="6AB96073"/>
    <w:rsid w:val="6B912F3A"/>
    <w:rsid w:val="6BCC359A"/>
    <w:rsid w:val="6C6E13BF"/>
    <w:rsid w:val="6D870C0C"/>
    <w:rsid w:val="6E8D1D3F"/>
    <w:rsid w:val="6EA339BF"/>
    <w:rsid w:val="6F207AEE"/>
    <w:rsid w:val="70550787"/>
    <w:rsid w:val="7086429A"/>
    <w:rsid w:val="70B8672F"/>
    <w:rsid w:val="70C03EA1"/>
    <w:rsid w:val="710A6D7C"/>
    <w:rsid w:val="71902041"/>
    <w:rsid w:val="72147D8C"/>
    <w:rsid w:val="72684F31"/>
    <w:rsid w:val="72C735DA"/>
    <w:rsid w:val="74171020"/>
    <w:rsid w:val="7461635C"/>
    <w:rsid w:val="747405C4"/>
    <w:rsid w:val="74FF083E"/>
    <w:rsid w:val="75033A86"/>
    <w:rsid w:val="75AD133B"/>
    <w:rsid w:val="760333B2"/>
    <w:rsid w:val="77106AAF"/>
    <w:rsid w:val="7722680D"/>
    <w:rsid w:val="777D0D1B"/>
    <w:rsid w:val="78204054"/>
    <w:rsid w:val="78254F2C"/>
    <w:rsid w:val="78777828"/>
    <w:rsid w:val="789E1E5D"/>
    <w:rsid w:val="7AE24C58"/>
    <w:rsid w:val="7BC47182"/>
    <w:rsid w:val="7BC62B6D"/>
    <w:rsid w:val="7CF56221"/>
    <w:rsid w:val="7D353CCF"/>
    <w:rsid w:val="7E13509E"/>
    <w:rsid w:val="7EB65FCC"/>
    <w:rsid w:val="7EBA442F"/>
    <w:rsid w:val="7EDC257A"/>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375"/>
    <w:qFormat/>
    <w:uiPriority w:val="0"/>
    <w:pPr>
      <w:keepNext/>
      <w:outlineLvl w:val="3"/>
    </w:pPr>
    <w:rPr>
      <w:sz w:val="28"/>
      <w:szCs w:val="20"/>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376"/>
    <w:qFormat/>
    <w:uiPriority w:val="99"/>
    <w:pPr>
      <w:keepNext/>
      <w:keepLines/>
      <w:spacing w:before="240" w:after="64" w:line="320" w:lineRule="auto"/>
      <w:outlineLvl w:val="6"/>
    </w:pPr>
    <w:rPr>
      <w:b/>
      <w:bCs/>
      <w:sz w:val="24"/>
    </w:rPr>
  </w:style>
  <w:style w:type="paragraph" w:styleId="11">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2">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2">
    <w:name w:val="Body Text"/>
    <w:basedOn w:val="1"/>
    <w:link w:val="71"/>
    <w:qFormat/>
    <w:uiPriority w:val="99"/>
    <w:rPr>
      <w:sz w:val="28"/>
      <w:szCs w:val="20"/>
    </w:r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99"/>
    <w:pPr>
      <w:ind w:left="2520" w:leftChars="1200"/>
    </w:pPr>
    <w:rPr>
      <w:rFonts w:ascii="Calibri" w:hAnsi="Calibri"/>
      <w:szCs w:val="22"/>
    </w:rPr>
  </w:style>
  <w:style w:type="paragraph" w:styleId="14">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5">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6">
    <w:name w:val="List Number"/>
    <w:basedOn w:val="1"/>
    <w:qFormat/>
    <w:uiPriority w:val="99"/>
    <w:pPr>
      <w:tabs>
        <w:tab w:val="left" w:pos="360"/>
      </w:tabs>
      <w:ind w:left="360" w:hanging="200" w:hangingChars="200"/>
    </w:pPr>
  </w:style>
  <w:style w:type="paragraph" w:styleId="17">
    <w:name w:val="List Bullet"/>
    <w:basedOn w:val="1"/>
    <w:qFormat/>
    <w:uiPriority w:val="99"/>
    <w:pPr>
      <w:tabs>
        <w:tab w:val="left" w:pos="360"/>
      </w:tabs>
      <w:ind w:left="360" w:hanging="360"/>
    </w:pPr>
    <w:rPr>
      <w:sz w:val="24"/>
    </w:rPr>
  </w:style>
  <w:style w:type="paragraph" w:styleId="18">
    <w:name w:val="Document Map"/>
    <w:basedOn w:val="1"/>
    <w:link w:val="68"/>
    <w:semiHidden/>
    <w:qFormat/>
    <w:uiPriority w:val="99"/>
    <w:rPr>
      <w:rFonts w:ascii="宋体"/>
      <w:sz w:val="18"/>
      <w:szCs w:val="18"/>
    </w:rPr>
  </w:style>
  <w:style w:type="paragraph" w:styleId="19">
    <w:name w:val="annotation text"/>
    <w:basedOn w:val="1"/>
    <w:link w:val="69"/>
    <w:qFormat/>
    <w:uiPriority w:val="0"/>
    <w:pPr>
      <w:jc w:val="left"/>
    </w:pPr>
    <w:rPr>
      <w:szCs w:val="20"/>
    </w:rPr>
  </w:style>
  <w:style w:type="paragraph" w:styleId="20">
    <w:name w:val="Body Text 3"/>
    <w:basedOn w:val="1"/>
    <w:link w:val="70"/>
    <w:qFormat/>
    <w:uiPriority w:val="99"/>
    <w:pPr>
      <w:spacing w:after="120"/>
    </w:pPr>
    <w:rPr>
      <w:sz w:val="16"/>
      <w:szCs w:val="16"/>
    </w:rPr>
  </w:style>
  <w:style w:type="paragraph" w:styleId="21">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8"/>
    <w:semiHidden/>
    <w:qFormat/>
    <w:uiPriority w:val="99"/>
    <w:rPr>
      <w:rFonts w:ascii="宋体"/>
      <w:kern w:val="2"/>
      <w:sz w:val="18"/>
      <w:szCs w:val="18"/>
    </w:rPr>
  </w:style>
  <w:style w:type="character" w:customStyle="1" w:styleId="69">
    <w:name w:val="批注文字 字符"/>
    <w:link w:val="19"/>
    <w:qFormat/>
    <w:uiPriority w:val="99"/>
    <w:rPr>
      <w:rFonts w:eastAsia="宋体"/>
      <w:kern w:val="2"/>
      <w:sz w:val="21"/>
      <w:lang w:val="en-US" w:eastAsia="zh-CN" w:bidi="ar-SA"/>
    </w:rPr>
  </w:style>
  <w:style w:type="character" w:customStyle="1" w:styleId="70">
    <w:name w:val="正文文本 3 字符"/>
    <w:link w:val="20"/>
    <w:qFormat/>
    <w:uiPriority w:val="99"/>
    <w:rPr>
      <w:kern w:val="2"/>
      <w:sz w:val="16"/>
      <w:szCs w:val="16"/>
    </w:rPr>
  </w:style>
  <w:style w:type="character" w:customStyle="1" w:styleId="71">
    <w:name w:val="正文文本 字符"/>
    <w:link w:val="2"/>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8"/>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9"/>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8"/>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8"/>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7"/>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7"/>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8"/>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7"/>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批注文字 字符1"/>
    <w:qFormat/>
    <w:uiPriority w:val="0"/>
    <w:rPr>
      <w:rFonts w:eastAsia="宋体"/>
      <w:kern w:val="2"/>
      <w:sz w:val="21"/>
      <w:lang w:val="en-US" w:eastAsia="zh-CN" w:bidi="ar-SA"/>
    </w:rPr>
  </w:style>
  <w:style w:type="paragraph" w:customStyle="1" w:styleId="373">
    <w:name w:val="列表段落2"/>
    <w:basedOn w:val="1"/>
    <w:qFormat/>
    <w:uiPriority w:val="34"/>
    <w:pPr>
      <w:ind w:firstLine="420" w:firstLineChars="200"/>
    </w:pPr>
  </w:style>
  <w:style w:type="paragraph" w:customStyle="1" w:styleId="374">
    <w:name w:val="列表段落1"/>
    <w:basedOn w:val="1"/>
    <w:qFormat/>
    <w:uiPriority w:val="34"/>
    <w:pPr>
      <w:widowControl/>
      <w:ind w:firstLine="420" w:firstLineChars="200"/>
      <w:jc w:val="left"/>
    </w:pPr>
    <w:rPr>
      <w:kern w:val="0"/>
      <w:sz w:val="22"/>
      <w:lang w:val="en-GB" w:eastAsia="en-GB"/>
    </w:rPr>
  </w:style>
  <w:style w:type="character" w:customStyle="1" w:styleId="375">
    <w:name w:val="标题 4 字符"/>
    <w:link w:val="7"/>
    <w:qFormat/>
    <w:uiPriority w:val="0"/>
    <w:rPr>
      <w:sz w:val="28"/>
      <w:szCs w:val="20"/>
    </w:rPr>
  </w:style>
  <w:style w:type="character" w:customStyle="1" w:styleId="376">
    <w:name w:val="标题 7 字符"/>
    <w:link w:val="10"/>
    <w:qFormat/>
    <w:uiPriority w:val="0"/>
    <w:rPr>
      <w:b/>
      <w:bCs/>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58</Pages>
  <Words>24883</Words>
  <Characters>26106</Characters>
  <Lines>201</Lines>
  <Paragraphs>56</Paragraphs>
  <TotalTime>10</TotalTime>
  <ScaleCrop>false</ScaleCrop>
  <LinksUpToDate>false</LinksUpToDate>
  <CharactersWithSpaces>26882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2022-05-06T01:19:00Z</dcterms:created>
  <dc:creator>Administrator</dc:creator>
  <cp:lastModifiedBy>Ccyu.</cp:lastModifiedBy>
  <cp:lastPrinted>2017-04-10T13:36:00Z</cp:lastPrinted>
  <dcterms:modified xsi:type="dcterms:W3CDTF">2022-06-17T02:08:56Z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400048656EB04C92AFAEE71D33BD4A5C</vt:lpwstr>
  </property>
</Properties>
</file>