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101" w:name="_GoBack"/>
      <w:bookmarkEnd w:id="101"/>
      <w:bookmarkStart w:id="0" w:name="_Hlk97121947"/>
    </w:p>
    <w:p>
      <w:pPr>
        <w:spacing w:line="360" w:lineRule="auto"/>
        <w:ind w:firstLine="560"/>
        <w:rPr>
          <w:rFonts w:eastAsia="仿宋_GB2312"/>
          <w:sz w:val="28"/>
          <w:szCs w:val="28"/>
        </w:rPr>
      </w:pPr>
    </w:p>
    <w:p>
      <w:pPr>
        <w:spacing w:line="360" w:lineRule="auto"/>
        <w:ind w:firstLine="560"/>
        <w:jc w:val="center"/>
        <w:rPr>
          <w:rFonts w:ascii="微软雅黑" w:hAnsi="微软雅黑" w:eastAsia="微软雅黑"/>
          <w:b/>
          <w:bCs/>
          <w:sz w:val="44"/>
          <w:szCs w:val="44"/>
        </w:rPr>
      </w:pPr>
      <w:r>
        <w:rPr>
          <w:rFonts w:hint="eastAsia" w:ascii="微软雅黑" w:hAnsi="微软雅黑" w:eastAsia="微软雅黑"/>
          <w:b/>
          <w:bCs/>
          <w:sz w:val="44"/>
          <w:szCs w:val="44"/>
        </w:rPr>
        <w:t>江苏省广电有线信息网络股份有限公司</w:t>
      </w:r>
    </w:p>
    <w:p>
      <w:pPr>
        <w:spacing w:after="120" w:line="360" w:lineRule="auto"/>
        <w:jc w:val="center"/>
        <w:rPr>
          <w:rFonts w:ascii="微软雅黑" w:hAnsi="微软雅黑" w:eastAsia="微软雅黑"/>
          <w:b/>
          <w:bCs/>
          <w:sz w:val="44"/>
          <w:szCs w:val="44"/>
        </w:rPr>
      </w:pPr>
      <w:bookmarkStart w:id="1" w:name="_Hlk106266181"/>
      <w:bookmarkStart w:id="2" w:name="_Toc227057880"/>
      <w:r>
        <w:rPr>
          <w:rFonts w:hint="eastAsia" w:ascii="微软雅黑" w:hAnsi="微软雅黑" w:eastAsia="微软雅黑"/>
          <w:b/>
          <w:bCs/>
          <w:sz w:val="44"/>
          <w:szCs w:val="44"/>
        </w:rPr>
        <w:t>融合IP视频播出系统备路建设</w:t>
      </w:r>
    </w:p>
    <w:bookmarkEnd w:id="1"/>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微软雅黑" w:hAnsi="微软雅黑" w:eastAsia="微软雅黑"/>
          <w:b/>
          <w:sz w:val="28"/>
          <w:szCs w:val="28"/>
        </w:rPr>
      </w:pPr>
      <w:r>
        <w:rPr>
          <w:rFonts w:hint="eastAsia" w:ascii="微软雅黑" w:hAnsi="微软雅黑" w:eastAsia="微软雅黑"/>
          <w:b/>
          <w:sz w:val="28"/>
          <w:szCs w:val="28"/>
        </w:rPr>
        <w:t>采购人：</w:t>
      </w:r>
      <w:r>
        <w:rPr>
          <w:rFonts w:ascii="微软雅黑" w:hAnsi="微软雅黑" w:eastAsia="微软雅黑"/>
          <w:b/>
          <w:sz w:val="28"/>
          <w:szCs w:val="28"/>
        </w:rPr>
        <w:t>江苏省广电有线信息网络股份有限公司</w:t>
      </w:r>
    </w:p>
    <w:p>
      <w:pPr>
        <w:spacing w:after="120" w:line="360" w:lineRule="auto"/>
        <w:jc w:val="center"/>
        <w:rPr>
          <w:rFonts w:ascii="微软雅黑" w:hAnsi="微软雅黑" w:eastAsia="微软雅黑"/>
          <w:b/>
          <w:sz w:val="28"/>
          <w:szCs w:val="28"/>
        </w:rPr>
      </w:pPr>
      <w:r>
        <w:rPr>
          <w:rFonts w:hint="eastAsia" w:ascii="微软雅黑" w:hAnsi="微软雅黑" w:eastAsia="微软雅黑"/>
          <w:b/>
          <w:sz w:val="28"/>
          <w:szCs w:val="28"/>
        </w:rPr>
        <w:t>安播运维部</w:t>
      </w:r>
    </w:p>
    <w:p>
      <w:pPr>
        <w:pStyle w:val="21"/>
        <w:adjustRightInd w:val="0"/>
        <w:snapToGrid w:val="0"/>
        <w:spacing w:before="380" w:beforeLines="100" w:after="380" w:afterLines="100"/>
        <w:ind w:right="210" w:rightChars="100"/>
        <w:jc w:val="center"/>
        <w:rPr>
          <w:rFonts w:ascii="微软雅黑" w:hAnsi="微软雅黑" w:eastAsia="微软雅黑"/>
          <w:b/>
          <w:bCs/>
          <w:szCs w:val="28"/>
        </w:rPr>
      </w:pPr>
      <w:r>
        <w:rPr>
          <w:rFonts w:hint="eastAsia" w:ascii="微软雅黑" w:hAnsi="微软雅黑" w:eastAsia="微软雅黑"/>
          <w:b/>
          <w:szCs w:val="28"/>
        </w:rPr>
        <w:t>二〇二二年六月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rPr>
          <w:color w:val="auto"/>
        </w:rP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color w:val="auto"/>
        </w:rPr>
        <w:t>第一章 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color w:val="auto"/>
        </w:rPr>
        <w:t>第二章 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color w:val="auto"/>
        </w:rPr>
        <w:t>第三章 评审办法</w:t>
      </w:r>
      <w:r>
        <w:tab/>
      </w:r>
      <w:r>
        <w:rPr>
          <w:rFonts w:hint="eastAsia"/>
        </w:rPr>
        <w:t>1</w:t>
      </w:r>
      <w:r>
        <w:rPr>
          <w:rFonts w:hint="eastAsia"/>
        </w:rPr>
        <w:fldChar w:fldCharType="end"/>
      </w:r>
      <w:r>
        <w:t>6</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color w:val="auto"/>
        </w:rPr>
        <w:t>第四章 合同格式</w:t>
      </w:r>
      <w:r>
        <w:tab/>
      </w:r>
      <w:r>
        <w:fldChar w:fldCharType="end"/>
      </w:r>
      <w:r>
        <w:t>18</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color w:val="auto"/>
        </w:rPr>
        <w:t>第五章 技术需求书</w:t>
      </w:r>
      <w:r>
        <w:tab/>
      </w:r>
      <w:r>
        <w:fldChar w:fldCharType="end"/>
      </w:r>
      <w:r>
        <w:t>28</w:t>
      </w:r>
    </w:p>
    <w:p>
      <w:pPr>
        <w:pStyle w:val="38"/>
      </w:pPr>
      <w:r>
        <w:fldChar w:fldCharType="begin"/>
      </w:r>
      <w:r>
        <w:instrText xml:space="preserve"> HYPERLINK \l "_Toc69378657" </w:instrText>
      </w:r>
      <w:r>
        <w:fldChar w:fldCharType="separate"/>
      </w:r>
      <w:r>
        <w:rPr>
          <w:rStyle w:val="60"/>
          <w:rFonts w:hint="eastAsia"/>
          <w:b/>
          <w:bCs/>
          <w:color w:val="auto"/>
          <w:kern w:val="44"/>
        </w:rPr>
        <w:t>第六章 竞争性磋商响应文件格式</w:t>
      </w:r>
      <w:r>
        <w:tab/>
      </w:r>
      <w:r>
        <w:rPr>
          <w:rFonts w:hint="eastAsia"/>
        </w:rPr>
        <w:t>3</w:t>
      </w:r>
      <w:r>
        <w:rPr>
          <w:rFonts w:hint="eastAsia"/>
        </w:rPr>
        <w:fldChar w:fldCharType="end"/>
      </w:r>
      <w:r>
        <w:t>9</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color w:val="auto"/>
          <w:kern w:val="44"/>
        </w:rPr>
        <w:t>第七章 其他</w:t>
      </w:r>
      <w:r>
        <w:tab/>
      </w:r>
      <w:r>
        <w:t>5</w:t>
      </w:r>
      <w:r>
        <w:fldChar w:fldCharType="end"/>
      </w:r>
      <w:r>
        <w:t>7</w:t>
      </w:r>
    </w:p>
    <w:p>
      <w:pPr>
        <w:rPr>
          <w:caps/>
        </w:rPr>
      </w:pP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 竞争性磋商公告</w:t>
      </w:r>
      <w:bookmarkEnd w:id="3"/>
    </w:p>
    <w:bookmarkEnd w:id="2"/>
    <w:p>
      <w:pPr>
        <w:spacing w:line="360" w:lineRule="auto"/>
        <w:rPr>
          <w:rFonts w:ascii="宋体" w:hAnsi="宋体"/>
          <w:b/>
          <w:sz w:val="24"/>
        </w:rPr>
      </w:pPr>
      <w:bookmarkStart w:id="4" w:name="_Hlk106267050"/>
      <w:r>
        <w:rPr>
          <w:rFonts w:hint="eastAsia" w:ascii="宋体" w:hAnsi="宋体" w:cs="宋体"/>
          <w:b/>
          <w:kern w:val="0"/>
          <w:sz w:val="24"/>
        </w:rPr>
        <w:t>一、项目概况</w:t>
      </w:r>
    </w:p>
    <w:p>
      <w:pPr>
        <w:pStyle w:val="89"/>
        <w:numPr>
          <w:ilvl w:val="0"/>
          <w:numId w:val="5"/>
        </w:numPr>
        <w:spacing w:line="360" w:lineRule="auto"/>
        <w:ind w:left="426" w:firstLineChars="0"/>
        <w:rPr>
          <w:rFonts w:ascii="宋体" w:hAnsi="宋体"/>
          <w:sz w:val="21"/>
          <w:szCs w:val="21"/>
        </w:rPr>
      </w:pPr>
      <w:r>
        <w:rPr>
          <w:rFonts w:hint="eastAsia" w:ascii="宋体" w:hAnsi="宋体"/>
          <w:sz w:val="21"/>
          <w:szCs w:val="21"/>
        </w:rPr>
        <w:t>项目名称</w:t>
      </w:r>
    </w:p>
    <w:p>
      <w:pPr>
        <w:spacing w:line="360" w:lineRule="auto"/>
        <w:ind w:left="426" w:firstLine="420" w:firstLineChars="200"/>
        <w:rPr>
          <w:rFonts w:ascii="宋体" w:hAnsi="宋体"/>
          <w:szCs w:val="21"/>
        </w:rPr>
      </w:pPr>
      <w:r>
        <w:rPr>
          <w:rFonts w:hint="eastAsia" w:ascii="宋体" w:hAnsi="宋体"/>
          <w:szCs w:val="21"/>
        </w:rPr>
        <w:t>江苏省广电有线信息网络股份有限公司融合IP视频播出系统备路建设</w:t>
      </w:r>
      <w:r>
        <w:rPr>
          <w:rFonts w:hint="eastAsia" w:ascii="宋体" w:hAnsi="宋体" w:cs="宋体"/>
          <w:kern w:val="0"/>
          <w:szCs w:val="21"/>
        </w:rPr>
        <w:t>。</w:t>
      </w:r>
    </w:p>
    <w:p>
      <w:pPr>
        <w:pStyle w:val="89"/>
        <w:numPr>
          <w:ilvl w:val="0"/>
          <w:numId w:val="5"/>
        </w:numPr>
        <w:spacing w:line="360" w:lineRule="auto"/>
        <w:ind w:left="426" w:firstLineChars="0"/>
        <w:rPr>
          <w:rFonts w:ascii="宋体" w:hAnsi="宋体"/>
          <w:sz w:val="21"/>
          <w:szCs w:val="21"/>
        </w:rPr>
      </w:pPr>
      <w:r>
        <w:rPr>
          <w:rFonts w:hint="eastAsia" w:ascii="宋体" w:hAnsi="宋体"/>
          <w:sz w:val="21"/>
          <w:szCs w:val="21"/>
        </w:rPr>
        <w:t>项目内容</w:t>
      </w:r>
    </w:p>
    <w:tbl>
      <w:tblPr>
        <w:tblStyle w:val="53"/>
        <w:tblW w:w="8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4321"/>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66" w:type="dxa"/>
            <w:vAlign w:val="center"/>
          </w:tcPr>
          <w:p>
            <w:pPr>
              <w:spacing w:line="400" w:lineRule="exact"/>
              <w:jc w:val="center"/>
              <w:rPr>
                <w:rFonts w:ascii="Calibri" w:hAnsi="Calibri"/>
                <w:b/>
                <w:szCs w:val="21"/>
              </w:rPr>
            </w:pPr>
            <w:r>
              <w:rPr>
                <w:rFonts w:hint="eastAsia" w:ascii="Calibri" w:hAnsi="Calibri"/>
                <w:b/>
                <w:szCs w:val="21"/>
              </w:rPr>
              <w:t>序号</w:t>
            </w:r>
          </w:p>
        </w:tc>
        <w:tc>
          <w:tcPr>
            <w:tcW w:w="4321" w:type="dxa"/>
            <w:vAlign w:val="center"/>
          </w:tcPr>
          <w:p>
            <w:pPr>
              <w:spacing w:line="400" w:lineRule="exact"/>
              <w:jc w:val="center"/>
              <w:rPr>
                <w:rFonts w:ascii="Calibri" w:hAnsi="Calibri"/>
                <w:b/>
                <w:szCs w:val="21"/>
              </w:rPr>
            </w:pPr>
            <w:r>
              <w:rPr>
                <w:rFonts w:hint="eastAsia" w:ascii="Calibri" w:hAnsi="Calibri"/>
                <w:b/>
                <w:szCs w:val="21"/>
              </w:rPr>
              <w:t>采购设备名称</w:t>
            </w:r>
          </w:p>
        </w:tc>
        <w:tc>
          <w:tcPr>
            <w:tcW w:w="2642" w:type="dxa"/>
            <w:vAlign w:val="center"/>
          </w:tcPr>
          <w:p>
            <w:pPr>
              <w:spacing w:line="400" w:lineRule="exact"/>
              <w:jc w:val="center"/>
              <w:rPr>
                <w:rFonts w:ascii="Calibri" w:hAnsi="Calibri"/>
                <w:b/>
                <w:szCs w:val="21"/>
              </w:rPr>
            </w:pPr>
            <w:r>
              <w:rPr>
                <w:rFonts w:hint="eastAsia" w:ascii="Calibri" w:hAnsi="Calibri"/>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6" w:type="dxa"/>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432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融合IP视频播出服务器</w:t>
            </w:r>
          </w:p>
        </w:tc>
        <w:tc>
          <w:tcPr>
            <w:tcW w:w="2642"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6"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432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融合IP视频播出软件</w:t>
            </w:r>
          </w:p>
        </w:tc>
        <w:tc>
          <w:tcPr>
            <w:tcW w:w="2642"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6"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4321"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融合IP视频播出工作站</w:t>
            </w:r>
          </w:p>
        </w:tc>
        <w:tc>
          <w:tcPr>
            <w:tcW w:w="2642"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1台</w:t>
            </w:r>
          </w:p>
        </w:tc>
      </w:tr>
    </w:tbl>
    <w:p>
      <w:pPr>
        <w:spacing w:line="360" w:lineRule="auto"/>
        <w:rPr>
          <w:rFonts w:ascii="宋体" w:hAnsi="宋体" w:cs="宋体"/>
          <w:szCs w:val="21"/>
        </w:rPr>
      </w:pPr>
      <w:r>
        <w:rPr>
          <w:rFonts w:hint="eastAsia" w:ascii="宋体" w:hAnsi="宋体" w:cs="宋体"/>
          <w:kern w:val="0"/>
          <w:szCs w:val="21"/>
        </w:rPr>
        <w:t>备注：</w:t>
      </w:r>
    </w:p>
    <w:p>
      <w:pPr>
        <w:pStyle w:val="89"/>
        <w:numPr>
          <w:ilvl w:val="0"/>
          <w:numId w:val="6"/>
        </w:numPr>
        <w:spacing w:line="360" w:lineRule="auto"/>
        <w:ind w:firstLineChars="0"/>
        <w:rPr>
          <w:rFonts w:ascii="宋体" w:hAnsi="宋体" w:cs="宋体"/>
          <w:sz w:val="21"/>
          <w:szCs w:val="21"/>
        </w:rPr>
      </w:pPr>
      <w:r>
        <w:rPr>
          <w:rFonts w:hint="eastAsia" w:ascii="宋体" w:hAnsi="宋体" w:cs="宋体"/>
          <w:sz w:val="21"/>
          <w:szCs w:val="21"/>
        </w:rPr>
        <w:t>供应商必须对本项目需要的全部内容进行响应；</w:t>
      </w:r>
    </w:p>
    <w:p>
      <w:pPr>
        <w:pStyle w:val="89"/>
        <w:numPr>
          <w:ilvl w:val="0"/>
          <w:numId w:val="6"/>
        </w:numPr>
        <w:spacing w:line="360" w:lineRule="auto"/>
        <w:ind w:firstLineChars="0"/>
        <w:rPr>
          <w:rFonts w:ascii="宋体" w:hAnsi="宋体" w:cs="宋体"/>
          <w:sz w:val="21"/>
          <w:szCs w:val="21"/>
        </w:rPr>
      </w:pPr>
      <w:r>
        <w:rPr>
          <w:rFonts w:hint="eastAsia" w:ascii="宋体" w:hAnsi="宋体" w:cs="宋体"/>
          <w:sz w:val="21"/>
          <w:szCs w:val="21"/>
        </w:rPr>
        <w:t>供应商报价应包括对竞争性磋商文件中所要求开通功能的所有软硬件费用和集成费用；</w:t>
      </w:r>
    </w:p>
    <w:p>
      <w:pPr>
        <w:pStyle w:val="89"/>
        <w:numPr>
          <w:ilvl w:val="0"/>
          <w:numId w:val="6"/>
        </w:numPr>
        <w:spacing w:line="360" w:lineRule="auto"/>
        <w:ind w:firstLineChars="0"/>
        <w:rPr>
          <w:rFonts w:ascii="宋体" w:hAnsi="宋体" w:cs="宋体"/>
          <w:sz w:val="21"/>
          <w:szCs w:val="21"/>
        </w:rPr>
      </w:pPr>
      <w:r>
        <w:rPr>
          <w:rFonts w:hint="eastAsia" w:ascii="宋体" w:hAnsi="宋体" w:cs="宋体"/>
          <w:sz w:val="21"/>
          <w:szCs w:val="21"/>
        </w:rPr>
        <w:t>供应商必须提供所有模块、软件及零配件的报价、折扣率和最终采购价详细清单；</w:t>
      </w:r>
    </w:p>
    <w:p>
      <w:pPr>
        <w:pStyle w:val="89"/>
        <w:numPr>
          <w:ilvl w:val="0"/>
          <w:numId w:val="6"/>
        </w:numPr>
        <w:spacing w:line="360" w:lineRule="auto"/>
        <w:ind w:firstLineChars="0"/>
        <w:rPr>
          <w:rFonts w:ascii="宋体" w:hAnsi="宋体" w:cs="宋体"/>
          <w:sz w:val="21"/>
          <w:szCs w:val="21"/>
        </w:rPr>
      </w:pPr>
      <w:r>
        <w:rPr>
          <w:rFonts w:hint="eastAsia" w:ascii="宋体" w:hAnsi="宋体" w:cs="宋体"/>
          <w:sz w:val="21"/>
          <w:szCs w:val="21"/>
        </w:rPr>
        <w:t>在设备上线过程中所使用的辅材（包括光纤、网线等）由供应商提供。</w:t>
      </w:r>
    </w:p>
    <w:p>
      <w:pPr>
        <w:spacing w:line="360" w:lineRule="auto"/>
        <w:rPr>
          <w:rFonts w:ascii="宋体" w:hAnsi="宋体" w:cs="宋体"/>
          <w:b/>
          <w:kern w:val="0"/>
          <w:sz w:val="24"/>
        </w:rPr>
      </w:pPr>
      <w:r>
        <w:rPr>
          <w:rFonts w:hint="eastAsia" w:ascii="宋体" w:hAnsi="宋体" w:cs="宋体"/>
          <w:b/>
          <w:kern w:val="0"/>
          <w:sz w:val="24"/>
        </w:rPr>
        <w:t>二、资格审查方式</w:t>
      </w:r>
    </w:p>
    <w:p>
      <w:pPr>
        <w:spacing w:line="360" w:lineRule="auto"/>
        <w:ind w:firstLine="203" w:firstLineChars="97"/>
        <w:rPr>
          <w:rFonts w:ascii="宋体" w:hAnsi="宋体" w:cs="宋体"/>
          <w:kern w:val="0"/>
          <w:szCs w:val="21"/>
        </w:rPr>
      </w:pPr>
      <w:r>
        <w:rPr>
          <w:rFonts w:hint="eastAsia" w:ascii="宋体" w:hAnsi="宋体" w:cs="宋体"/>
          <w:kern w:val="0"/>
          <w:szCs w:val="21"/>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rPr>
          <w:rFonts w:ascii="宋体" w:hAnsi="宋体"/>
          <w:b/>
          <w:sz w:val="24"/>
        </w:rPr>
      </w:pPr>
      <w:r>
        <w:rPr>
          <w:rFonts w:hint="eastAsia" w:ascii="宋体" w:hAnsi="宋体"/>
          <w:b/>
          <w:sz w:val="24"/>
        </w:rPr>
        <w:t>三、合格供应商的基本资格要求</w:t>
      </w:r>
    </w:p>
    <w:p>
      <w:pPr>
        <w:spacing w:line="360" w:lineRule="auto"/>
        <w:jc w:val="left"/>
        <w:rPr>
          <w:rFonts w:ascii="宋体" w:hAnsi="宋体" w:cs="宋体"/>
          <w:kern w:val="0"/>
          <w:szCs w:val="21"/>
        </w:rPr>
      </w:pPr>
      <w:r>
        <w:rPr>
          <w:rFonts w:hint="eastAsia" w:ascii="宋体" w:hAnsi="宋体" w:cs="宋体"/>
          <w:kern w:val="0"/>
          <w:szCs w:val="21"/>
        </w:rPr>
        <w:t>1．供应商须为在中华人民共和国境内合法注册的独立法人，遵守中国有关法律、法规，具有良好的商业信誉（提供营业执照复印件）。</w:t>
      </w:r>
    </w:p>
    <w:p>
      <w:pPr>
        <w:spacing w:line="360" w:lineRule="auto"/>
        <w:jc w:val="left"/>
        <w:rPr>
          <w:rFonts w:ascii="宋体" w:hAnsi="宋体" w:cs="宋体"/>
          <w:kern w:val="0"/>
          <w:szCs w:val="21"/>
        </w:rPr>
      </w:pPr>
      <w:r>
        <w:rPr>
          <w:rFonts w:hint="eastAsia" w:ascii="宋体" w:hAnsi="宋体" w:cs="宋体"/>
          <w:kern w:val="0"/>
          <w:szCs w:val="21"/>
        </w:rPr>
        <w:t>2．供应商须提供针对本项目（包括硬件、软件）直接保修和服务的承诺。</w:t>
      </w:r>
    </w:p>
    <w:p>
      <w:pPr>
        <w:spacing w:line="360" w:lineRule="auto"/>
        <w:jc w:val="left"/>
        <w:rPr>
          <w:rFonts w:ascii="宋体" w:hAnsi="宋体" w:cs="宋体"/>
          <w:kern w:val="0"/>
          <w:szCs w:val="21"/>
        </w:rPr>
      </w:pPr>
      <w:r>
        <w:rPr>
          <w:rFonts w:hint="eastAsia" w:ascii="宋体" w:hAnsi="宋体" w:cs="宋体"/>
          <w:kern w:val="0"/>
          <w:szCs w:val="21"/>
        </w:rPr>
        <w:t>3．软件产品业绩：参加本项目采购的软件产品自2019年1月1日至登记截止日前实施过类似项目，提供合同复印件或验收报告复印件（原件备查）。</w:t>
      </w:r>
    </w:p>
    <w:p>
      <w:pPr>
        <w:spacing w:line="360" w:lineRule="auto"/>
        <w:jc w:val="left"/>
        <w:rPr>
          <w:rFonts w:ascii="宋体" w:hAnsi="宋体" w:cs="宋体"/>
          <w:kern w:val="0"/>
          <w:szCs w:val="21"/>
        </w:rPr>
      </w:pPr>
      <w:r>
        <w:rPr>
          <w:rFonts w:hint="eastAsia" w:ascii="宋体" w:hAnsi="宋体" w:cs="宋体"/>
          <w:kern w:val="0"/>
          <w:szCs w:val="21"/>
        </w:rPr>
        <w:t>4．供应商须具备完整的售后服务体系、具有快速响应维护能力，在江苏须具有较大规模的销售和售后服务的组织机构及完善快捷的技术支持能力，拥有固定可靠的有效服务网点，或承诺中选后</w:t>
      </w:r>
      <w:r>
        <w:rPr>
          <w:rFonts w:ascii="宋体" w:hAnsi="宋体" w:cs="宋体"/>
          <w:kern w:val="0"/>
          <w:szCs w:val="21"/>
        </w:rPr>
        <w:t>30天内在江苏设立售后服务机构（提供证明材料）。</w:t>
      </w:r>
    </w:p>
    <w:p>
      <w:pPr>
        <w:spacing w:line="360" w:lineRule="auto"/>
        <w:jc w:val="left"/>
        <w:rPr>
          <w:rFonts w:ascii="宋体" w:hAnsi="宋体" w:cs="宋体"/>
          <w:kern w:val="0"/>
          <w:szCs w:val="21"/>
        </w:rPr>
      </w:pPr>
      <w:r>
        <w:rPr>
          <w:rFonts w:hint="eastAsia" w:ascii="宋体" w:hAnsi="宋体" w:cs="宋体"/>
          <w:kern w:val="0"/>
          <w:szCs w:val="21"/>
        </w:rPr>
        <w:t>5．供应商须出具经第三方审计的2020年度和2021年度财务报表（至少包括文字性报告及资产负债表、现金流量表、利润表等）。</w:t>
      </w:r>
    </w:p>
    <w:p>
      <w:pPr>
        <w:spacing w:line="360" w:lineRule="auto"/>
        <w:jc w:val="left"/>
        <w:rPr>
          <w:rFonts w:ascii="宋体" w:hAnsi="宋体" w:cs="宋体"/>
          <w:kern w:val="0"/>
          <w:szCs w:val="21"/>
        </w:rPr>
      </w:pPr>
      <w:r>
        <w:rPr>
          <w:rFonts w:hint="eastAsia" w:ascii="宋体" w:hAnsi="宋体" w:cs="宋体"/>
          <w:kern w:val="0"/>
          <w:szCs w:val="21"/>
        </w:rPr>
        <w:t>6．供应商须承诺，采购人在其本国使用供应商提供的货物或服务时，不存在任何已知的不合法的情形，也不存在任何已知的与第三方专利权、著作权、商标权或工业设计权相关的任何争议。如果有任何因采购人使用供应商提供的货物及/或服务而提起的侵权指控，供应商及制造商须依法承担全部责任。</w:t>
      </w:r>
    </w:p>
    <w:p>
      <w:pPr>
        <w:spacing w:line="360" w:lineRule="auto"/>
        <w:jc w:val="left"/>
        <w:rPr>
          <w:rFonts w:ascii="宋体" w:hAnsi="宋体" w:cs="宋体"/>
          <w:kern w:val="0"/>
          <w:szCs w:val="21"/>
        </w:rPr>
      </w:pPr>
      <w:r>
        <w:rPr>
          <w:rFonts w:hint="eastAsia" w:ascii="宋体" w:hAnsi="宋体" w:cs="宋体"/>
          <w:kern w:val="0"/>
          <w:szCs w:val="21"/>
        </w:rPr>
        <w:t>7.供应商单位负责人为同一人或者存在直接控股、管理关系的不同供应商，不得参加同一标段磋商或者未划分标段的同一采购项目磋商。</w:t>
      </w:r>
    </w:p>
    <w:p>
      <w:pPr>
        <w:spacing w:line="360" w:lineRule="auto"/>
        <w:jc w:val="left"/>
        <w:rPr>
          <w:szCs w:val="21"/>
        </w:rPr>
      </w:pPr>
      <w:r>
        <w:rPr>
          <w:rFonts w:hint="eastAsia" w:ascii="宋体" w:hAnsi="宋体" w:cs="宋体"/>
          <w:kern w:val="0"/>
          <w:szCs w:val="21"/>
        </w:rPr>
        <w:t>8.法定代表人为同一个人的两个及两个以上法人，母公司与全资子公司/由其控股的子公司，不得同时参与本项目</w:t>
      </w:r>
      <w:r>
        <w:rPr>
          <w:rFonts w:ascii="宋体" w:hAnsi="宋体" w:cs="宋体"/>
          <w:kern w:val="0"/>
          <w:szCs w:val="21"/>
        </w:rPr>
        <w:t>。</w:t>
      </w:r>
    </w:p>
    <w:p>
      <w:pPr>
        <w:spacing w:line="360" w:lineRule="auto"/>
        <w:jc w:val="left"/>
        <w:rPr>
          <w:rFonts w:ascii="宋体" w:hAnsi="宋体" w:cs="宋体"/>
          <w:kern w:val="0"/>
          <w:szCs w:val="21"/>
        </w:rPr>
      </w:pPr>
      <w:r>
        <w:rPr>
          <w:rFonts w:hint="eastAsia" w:ascii="宋体" w:hAnsi="宋体" w:cs="宋体"/>
          <w:kern w:val="0"/>
          <w:szCs w:val="21"/>
        </w:rPr>
        <w:t>9．本项目不接受联合体响应。</w:t>
      </w:r>
    </w:p>
    <w:p>
      <w:pPr>
        <w:widowControl/>
        <w:spacing w:line="360" w:lineRule="auto"/>
        <w:jc w:val="left"/>
      </w:pPr>
      <w:r>
        <w:rPr>
          <w:rFonts w:hint="eastAsia" w:ascii="宋体" w:hAnsi="宋体" w:cs="宋体"/>
          <w:b/>
          <w:bCs/>
          <w:kern w:val="0"/>
          <w:sz w:val="24"/>
          <w:shd w:val="clear" w:color="auto" w:fill="FFFFFF"/>
        </w:rPr>
        <w:t>四、竞争性磋商文件的获取</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发布及登记时间：</w:t>
      </w:r>
      <w:r>
        <w:rPr>
          <w:rFonts w:ascii="宋体" w:hAnsi="宋体" w:cs="宋体"/>
          <w:kern w:val="0"/>
          <w:szCs w:val="21"/>
          <w:shd w:val="clear" w:color="auto" w:fill="FFFFFF"/>
        </w:rPr>
        <w:t>202</w:t>
      </w:r>
      <w:r>
        <w:rPr>
          <w:rFonts w:hint="eastAsia" w:ascii="宋体" w:hAnsi="宋体" w:cs="宋体"/>
          <w:kern w:val="0"/>
          <w:szCs w:val="21"/>
          <w:shd w:val="clear" w:color="auto" w:fill="FFFFFF"/>
        </w:rPr>
        <w:t>2</w:t>
      </w:r>
      <w:r>
        <w:rPr>
          <w:rFonts w:ascii="宋体" w:hAnsi="宋体" w:cs="宋体"/>
          <w:kern w:val="0"/>
          <w:szCs w:val="21"/>
          <w:shd w:val="clear" w:color="auto" w:fill="FFFFFF"/>
        </w:rPr>
        <w:t>年6</w:t>
      </w:r>
      <w:r>
        <w:rPr>
          <w:rFonts w:hint="eastAsia" w:ascii="宋体" w:hAnsi="宋体" w:cs="宋体"/>
          <w:kern w:val="0"/>
          <w:szCs w:val="21"/>
          <w:shd w:val="clear" w:color="auto" w:fill="FFFFFF"/>
        </w:rPr>
        <w:t>月</w:t>
      </w:r>
      <w:r>
        <w:rPr>
          <w:rFonts w:ascii="宋体" w:hAnsi="宋体" w:cs="宋体"/>
          <w:kern w:val="0"/>
          <w:szCs w:val="21"/>
          <w:shd w:val="clear" w:color="auto" w:fill="FFFFFF"/>
        </w:rPr>
        <w:t>17日至202</w:t>
      </w:r>
      <w:r>
        <w:rPr>
          <w:rFonts w:hint="eastAsia" w:ascii="宋体" w:hAnsi="宋体" w:cs="宋体"/>
          <w:kern w:val="0"/>
          <w:szCs w:val="21"/>
          <w:shd w:val="clear" w:color="auto" w:fill="FFFFFF"/>
        </w:rPr>
        <w:t>2</w:t>
      </w:r>
      <w:r>
        <w:rPr>
          <w:rFonts w:ascii="宋体" w:hAnsi="宋体" w:cs="宋体"/>
          <w:kern w:val="0"/>
          <w:szCs w:val="21"/>
          <w:shd w:val="clear" w:color="auto" w:fill="FFFFFF"/>
        </w:rPr>
        <w:t>年6</w:t>
      </w:r>
      <w:r>
        <w:rPr>
          <w:rFonts w:hint="eastAsia" w:ascii="宋体" w:hAnsi="宋体" w:cs="宋体"/>
          <w:kern w:val="0"/>
          <w:szCs w:val="21"/>
          <w:shd w:val="clear" w:color="auto" w:fill="FFFFFF"/>
        </w:rPr>
        <w:t>月</w:t>
      </w:r>
      <w:r>
        <w:rPr>
          <w:rFonts w:ascii="宋体" w:hAnsi="宋体" w:cs="宋体"/>
          <w:kern w:val="0"/>
          <w:szCs w:val="21"/>
          <w:shd w:val="clear" w:color="auto" w:fill="FFFFFF"/>
        </w:rPr>
        <w:t>21日止，每日上午9：00-12：00，下午14：00-17：00（北京时间）。</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kern w:val="0"/>
          <w:szCs w:val="21"/>
        </w:rPr>
        <w:t>邮箱</w:t>
      </w:r>
      <w:r>
        <w:rPr>
          <w:rFonts w:ascii="宋体" w:hAnsi="宋体" w:cs="宋体"/>
          <w:kern w:val="0"/>
          <w:szCs w:val="21"/>
        </w:rPr>
        <w:t>lijing@jscnnet.com</w:t>
      </w:r>
      <w:r>
        <w:rPr>
          <w:rFonts w:hint="eastAsia" w:ascii="宋体" w:hAnsi="宋体" w:cs="宋体"/>
          <w:kern w:val="0"/>
          <w:szCs w:val="21"/>
          <w:shd w:val="clear" w:color="auto" w:fill="FFFFFF"/>
        </w:rPr>
        <w:t>，未在文件发放日内完成登记的不得参与本项目。</w:t>
      </w:r>
    </w:p>
    <w:p>
      <w:pPr>
        <w:widowControl/>
        <w:spacing w:line="360" w:lineRule="auto"/>
        <w:ind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登记方式：请响应人将该项目负责人姓名、联系电话（手机）、联系信箱发至采购人该项目联系人（参考竞争性磋商文件第七章响应确认信息表），同时附营业执照扫面件和法定代表人授权委托函，超过</w:t>
      </w:r>
      <w:r>
        <w:rPr>
          <w:rFonts w:ascii="宋体" w:hAnsi="宋体" w:cs="宋体"/>
          <w:kern w:val="0"/>
          <w:szCs w:val="21"/>
          <w:shd w:val="clear" w:color="auto" w:fill="FFFFFF"/>
        </w:rPr>
        <w:t>202</w:t>
      </w:r>
      <w:r>
        <w:rPr>
          <w:rFonts w:hint="eastAsia" w:ascii="宋体" w:hAnsi="宋体" w:cs="宋体"/>
          <w:kern w:val="0"/>
          <w:szCs w:val="21"/>
          <w:shd w:val="clear" w:color="auto" w:fill="FFFFFF"/>
        </w:rPr>
        <w:t>2</w:t>
      </w:r>
      <w:r>
        <w:rPr>
          <w:rFonts w:ascii="宋体" w:hAnsi="宋体" w:cs="宋体"/>
          <w:kern w:val="0"/>
          <w:szCs w:val="21"/>
          <w:shd w:val="clear" w:color="auto" w:fill="FFFFFF"/>
        </w:rPr>
        <w:t>年6</w:t>
      </w:r>
      <w:r>
        <w:rPr>
          <w:rFonts w:hint="eastAsia" w:ascii="宋体" w:hAnsi="宋体" w:cs="宋体"/>
          <w:kern w:val="0"/>
          <w:szCs w:val="21"/>
          <w:shd w:val="clear" w:color="auto" w:fill="FFFFFF"/>
        </w:rPr>
        <w:t>月</w:t>
      </w:r>
      <w:r>
        <w:rPr>
          <w:rFonts w:ascii="宋体" w:hAnsi="宋体" w:cs="宋体"/>
          <w:kern w:val="0"/>
          <w:szCs w:val="21"/>
          <w:shd w:val="clear" w:color="auto" w:fill="FFFFFF"/>
        </w:rPr>
        <w:t>21日下午17:00再登记的视为无效。</w:t>
      </w:r>
    </w:p>
    <w:p>
      <w:pPr>
        <w:widowControl/>
        <w:spacing w:line="360" w:lineRule="auto"/>
        <w:ind w:firstLine="420"/>
        <w:jc w:val="left"/>
        <w:rPr>
          <w:rFonts w:ascii="宋体" w:hAnsi="宋体" w:cs="宋体"/>
          <w:kern w:val="0"/>
          <w:sz w:val="24"/>
        </w:rPr>
      </w:pPr>
      <w:r>
        <w:rPr>
          <w:rFonts w:hint="eastAsia" w:ascii="宋体" w:hAnsi="宋体" w:cs="宋体"/>
          <w:kern w:val="0"/>
          <w:szCs w:val="21"/>
          <w:shd w:val="clear" w:color="auto" w:fill="FFFFFF"/>
        </w:rPr>
        <w:t>项目联系人：</w:t>
      </w:r>
      <w:r>
        <w:rPr>
          <w:rFonts w:hint="eastAsia" w:ascii="宋体" w:hAnsi="宋体" w:cs="宋体"/>
          <w:kern w:val="0"/>
          <w:szCs w:val="21"/>
        </w:rPr>
        <w:t>李晶（</w:t>
      </w:r>
      <w:r>
        <w:rPr>
          <w:rFonts w:ascii="宋体" w:hAnsi="宋体" w:cs="宋体"/>
          <w:kern w:val="0"/>
          <w:szCs w:val="21"/>
        </w:rPr>
        <w:t>025-86731692）</w:t>
      </w:r>
    </w:p>
    <w:p>
      <w:pPr>
        <w:widowControl/>
        <w:spacing w:line="360" w:lineRule="auto"/>
        <w:jc w:val="left"/>
      </w:pPr>
      <w:r>
        <w:rPr>
          <w:rFonts w:hint="eastAsia" w:ascii="宋体" w:hAnsi="宋体" w:cs="宋体"/>
          <w:b/>
          <w:bCs/>
          <w:kern w:val="0"/>
          <w:sz w:val="24"/>
          <w:shd w:val="clear" w:color="auto" w:fill="FFFFFF"/>
        </w:rPr>
        <w:t>五、响应文件的递交和磋商</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递交竞争性磋商响应文件截止时间：</w:t>
      </w:r>
      <w:r>
        <w:rPr>
          <w:rFonts w:ascii="宋体" w:hAnsi="宋体"/>
          <w:kern w:val="0"/>
          <w:szCs w:val="21"/>
          <w:shd w:val="clear" w:color="auto" w:fill="FFFFFF"/>
        </w:rPr>
        <w:t>202</w:t>
      </w:r>
      <w:r>
        <w:rPr>
          <w:rFonts w:hint="eastAsia" w:ascii="宋体" w:hAnsi="宋体"/>
          <w:kern w:val="0"/>
          <w:szCs w:val="21"/>
          <w:shd w:val="clear" w:color="auto" w:fill="FFFFFF"/>
        </w:rPr>
        <w:t>2</w:t>
      </w:r>
      <w:r>
        <w:rPr>
          <w:rFonts w:hint="eastAsia" w:ascii="宋体" w:hAnsi="宋体" w:cs="宋体"/>
          <w:kern w:val="0"/>
          <w:szCs w:val="21"/>
          <w:shd w:val="clear" w:color="auto" w:fill="FFFFFF"/>
        </w:rPr>
        <w:t>年</w:t>
      </w:r>
      <w:r>
        <w:rPr>
          <w:rFonts w:ascii="宋体" w:hAnsi="宋体" w:cs="宋体"/>
          <w:kern w:val="0"/>
          <w:szCs w:val="21"/>
          <w:shd w:val="clear" w:color="auto" w:fill="FFFFFF"/>
        </w:rPr>
        <w:t>6</w:t>
      </w:r>
      <w:r>
        <w:rPr>
          <w:rFonts w:hint="eastAsia" w:ascii="宋体" w:hAnsi="宋体" w:cs="宋体"/>
          <w:kern w:val="0"/>
          <w:szCs w:val="21"/>
          <w:shd w:val="clear" w:color="auto" w:fill="FFFFFF"/>
        </w:rPr>
        <w:t>月</w:t>
      </w:r>
      <w:r>
        <w:rPr>
          <w:rFonts w:ascii="宋体" w:hAnsi="宋体" w:cs="宋体"/>
          <w:kern w:val="0"/>
          <w:szCs w:val="21"/>
          <w:shd w:val="clear" w:color="auto" w:fill="FFFFFF"/>
        </w:rPr>
        <w:t>27</w:t>
      </w:r>
      <w:r>
        <w:rPr>
          <w:rFonts w:hint="eastAsia" w:ascii="宋体" w:hAnsi="宋体" w:cs="宋体"/>
          <w:kern w:val="0"/>
          <w:szCs w:val="21"/>
          <w:shd w:val="clear" w:color="auto" w:fill="FFFFFF"/>
        </w:rPr>
        <w:t>日下午</w:t>
      </w:r>
      <w:r>
        <w:rPr>
          <w:rFonts w:ascii="宋体" w:hAnsi="宋体"/>
          <w:kern w:val="0"/>
          <w:szCs w:val="21"/>
          <w:shd w:val="clear" w:color="auto" w:fill="FFFFFF"/>
        </w:rPr>
        <w:t>14:30</w:t>
      </w:r>
      <w:r>
        <w:rPr>
          <w:rFonts w:hint="eastAsia" w:ascii="宋体" w:hAnsi="宋体" w:cs="宋体"/>
          <w:kern w:val="0"/>
          <w:szCs w:val="21"/>
          <w:shd w:val="clear" w:color="auto" w:fill="FFFFFF"/>
        </w:rPr>
        <w:t>，逾期收到或不按照竞争性磋商文件要求密封的响应文件恕不接受。</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递交竞争性磋商响应文件地点：南京市玄武区运粮河西路</w:t>
      </w:r>
      <w:r>
        <w:rPr>
          <w:rFonts w:ascii="宋体" w:hAnsi="宋体"/>
          <w:kern w:val="0"/>
          <w:szCs w:val="21"/>
          <w:shd w:val="clear" w:color="auto" w:fill="FFFFFF"/>
        </w:rPr>
        <w:t>101</w:t>
      </w:r>
      <w:r>
        <w:rPr>
          <w:rFonts w:hint="eastAsia" w:ascii="宋体" w:hAnsi="宋体" w:cs="宋体"/>
          <w:kern w:val="0"/>
          <w:szCs w:val="21"/>
          <w:shd w:val="clear" w:color="auto" w:fill="FFFFFF"/>
        </w:rPr>
        <w:t>号</w:t>
      </w:r>
      <w:r>
        <w:rPr>
          <w:rFonts w:ascii="宋体" w:hAnsi="宋体"/>
          <w:kern w:val="0"/>
          <w:szCs w:val="21"/>
          <w:shd w:val="clear" w:color="auto" w:fill="FFFFFF"/>
        </w:rPr>
        <w:t>2</w:t>
      </w:r>
      <w:r>
        <w:rPr>
          <w:rFonts w:hint="eastAsia" w:ascii="宋体" w:hAnsi="宋体" w:cs="宋体"/>
          <w:kern w:val="0"/>
          <w:szCs w:val="21"/>
          <w:shd w:val="clear" w:color="auto" w:fill="FFFFFF"/>
        </w:rPr>
        <w:t>号楼</w:t>
      </w:r>
      <w:r>
        <w:rPr>
          <w:rFonts w:ascii="宋体" w:hAnsi="宋体"/>
          <w:kern w:val="0"/>
          <w:szCs w:val="21"/>
          <w:shd w:val="clear" w:color="auto" w:fill="FFFFFF"/>
        </w:rPr>
        <w:t>2</w:t>
      </w:r>
      <w:r>
        <w:rPr>
          <w:rFonts w:hint="eastAsia" w:ascii="宋体" w:hAnsi="宋体" w:cs="宋体"/>
          <w:kern w:val="0"/>
          <w:szCs w:val="21"/>
          <w:shd w:val="clear" w:color="auto" w:fill="FFFFFF"/>
        </w:rPr>
        <w:t>楼。</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响应文件接收人：</w:t>
      </w:r>
      <w:r>
        <w:rPr>
          <w:rFonts w:hint="eastAsia" w:ascii="宋体" w:hAnsi="宋体" w:cs="宋体"/>
          <w:kern w:val="0"/>
          <w:szCs w:val="21"/>
        </w:rPr>
        <w:t>李晶，电话：</w:t>
      </w:r>
      <w:r>
        <w:rPr>
          <w:rFonts w:ascii="宋体" w:hAnsi="宋体" w:cs="宋体"/>
          <w:kern w:val="0"/>
          <w:szCs w:val="21"/>
        </w:rPr>
        <w:t>025-86731692。</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竞争性磋商时间：</w:t>
      </w:r>
      <w:r>
        <w:rPr>
          <w:rFonts w:ascii="宋体" w:hAnsi="宋体"/>
          <w:kern w:val="0"/>
          <w:szCs w:val="21"/>
          <w:shd w:val="clear" w:color="auto" w:fill="FFFFFF"/>
        </w:rPr>
        <w:t>202</w:t>
      </w:r>
      <w:r>
        <w:rPr>
          <w:rFonts w:hint="eastAsia" w:ascii="宋体" w:hAnsi="宋体"/>
          <w:kern w:val="0"/>
          <w:szCs w:val="21"/>
          <w:shd w:val="clear" w:color="auto" w:fill="FFFFFF"/>
        </w:rPr>
        <w:t>2</w:t>
      </w:r>
      <w:r>
        <w:rPr>
          <w:rFonts w:hint="eastAsia" w:ascii="宋体" w:hAnsi="宋体" w:cs="宋体"/>
          <w:kern w:val="0"/>
          <w:szCs w:val="21"/>
          <w:shd w:val="clear" w:color="auto" w:fill="FFFFFF"/>
        </w:rPr>
        <w:t>年</w:t>
      </w:r>
      <w:r>
        <w:rPr>
          <w:rFonts w:ascii="宋体" w:hAnsi="宋体" w:cs="宋体"/>
          <w:kern w:val="0"/>
          <w:szCs w:val="21"/>
          <w:shd w:val="clear" w:color="auto" w:fill="FFFFFF"/>
        </w:rPr>
        <w:t>6</w:t>
      </w:r>
      <w:r>
        <w:rPr>
          <w:rFonts w:hint="eastAsia" w:ascii="宋体" w:hAnsi="宋体" w:cs="宋体"/>
          <w:kern w:val="0"/>
          <w:szCs w:val="21"/>
          <w:shd w:val="clear" w:color="auto" w:fill="FFFFFF"/>
        </w:rPr>
        <w:t>月</w:t>
      </w:r>
      <w:r>
        <w:rPr>
          <w:rFonts w:ascii="宋体" w:hAnsi="宋体" w:cs="宋体"/>
          <w:kern w:val="0"/>
          <w:szCs w:val="21"/>
          <w:shd w:val="clear" w:color="auto" w:fill="FFFFFF"/>
        </w:rPr>
        <w:t>27</w:t>
      </w:r>
      <w:r>
        <w:rPr>
          <w:rFonts w:hint="eastAsia" w:ascii="宋体" w:hAnsi="宋体" w:cs="宋体"/>
          <w:kern w:val="0"/>
          <w:szCs w:val="21"/>
          <w:shd w:val="clear" w:color="auto" w:fill="FFFFFF"/>
        </w:rPr>
        <w:t>日下午</w:t>
      </w:r>
      <w:r>
        <w:rPr>
          <w:rFonts w:ascii="宋体" w:hAnsi="宋体"/>
          <w:kern w:val="0"/>
          <w:szCs w:val="21"/>
          <w:shd w:val="clear" w:color="auto" w:fill="FFFFFF"/>
        </w:rPr>
        <w:t>14</w:t>
      </w:r>
      <w:r>
        <w:rPr>
          <w:rFonts w:hint="eastAsia" w:ascii="宋体" w:hAnsi="宋体" w:cs="宋体"/>
          <w:kern w:val="0"/>
          <w:szCs w:val="21"/>
          <w:shd w:val="clear" w:color="auto" w:fill="FFFFFF"/>
        </w:rPr>
        <w:t>点</w:t>
      </w:r>
      <w:r>
        <w:rPr>
          <w:rFonts w:ascii="宋体" w:hAnsi="宋体"/>
          <w:kern w:val="0"/>
          <w:szCs w:val="21"/>
          <w:shd w:val="clear" w:color="auto" w:fill="FFFFFF"/>
        </w:rPr>
        <w:t>30</w:t>
      </w:r>
      <w:r>
        <w:rPr>
          <w:rFonts w:hint="eastAsia" w:ascii="宋体" w:hAnsi="宋体" w:cs="宋体"/>
          <w:kern w:val="0"/>
          <w:szCs w:val="21"/>
          <w:shd w:val="clear" w:color="auto" w:fill="FFFFFF"/>
        </w:rPr>
        <w:t>分。</w:t>
      </w:r>
    </w:p>
    <w:p>
      <w:pPr>
        <w:widowControl/>
        <w:spacing w:line="360" w:lineRule="auto"/>
        <w:ind w:firstLine="420"/>
        <w:jc w:val="left"/>
        <w:rPr>
          <w:rFonts w:ascii="宋体" w:hAnsi="宋体"/>
          <w:sz w:val="18"/>
          <w:szCs w:val="21"/>
        </w:rPr>
      </w:pPr>
      <w:r>
        <w:rPr>
          <w:rFonts w:hint="eastAsia" w:ascii="宋体" w:hAnsi="宋体" w:cs="宋体"/>
          <w:kern w:val="0"/>
          <w:szCs w:val="21"/>
          <w:shd w:val="clear" w:color="auto" w:fill="FFFFFF"/>
        </w:rPr>
        <w:t>竞争性磋商地点：南京市玄武区运粮河西路</w:t>
      </w:r>
      <w:r>
        <w:rPr>
          <w:rFonts w:ascii="宋体" w:hAnsi="宋体"/>
          <w:kern w:val="0"/>
          <w:szCs w:val="21"/>
          <w:shd w:val="clear" w:color="auto" w:fill="FFFFFF"/>
        </w:rPr>
        <w:t>101</w:t>
      </w:r>
      <w:r>
        <w:rPr>
          <w:rFonts w:hint="eastAsia" w:ascii="宋体" w:hAnsi="宋体" w:cs="宋体"/>
          <w:kern w:val="0"/>
          <w:szCs w:val="21"/>
          <w:shd w:val="clear" w:color="auto" w:fill="FFFFFF"/>
        </w:rPr>
        <w:t>号</w:t>
      </w:r>
      <w:r>
        <w:rPr>
          <w:rFonts w:ascii="宋体" w:hAnsi="宋体"/>
          <w:kern w:val="0"/>
          <w:szCs w:val="21"/>
          <w:shd w:val="clear" w:color="auto" w:fill="FFFFFF"/>
        </w:rPr>
        <w:t>2</w:t>
      </w:r>
      <w:r>
        <w:rPr>
          <w:rFonts w:hint="eastAsia" w:ascii="宋体" w:hAnsi="宋体" w:cs="宋体"/>
          <w:kern w:val="0"/>
          <w:szCs w:val="21"/>
          <w:shd w:val="clear" w:color="auto" w:fill="FFFFFF"/>
        </w:rPr>
        <w:t>号楼</w:t>
      </w:r>
      <w:r>
        <w:rPr>
          <w:rFonts w:ascii="宋体" w:hAnsi="宋体"/>
          <w:kern w:val="0"/>
          <w:szCs w:val="21"/>
          <w:shd w:val="clear" w:color="auto" w:fill="FFFFFF"/>
        </w:rPr>
        <w:t>2</w:t>
      </w:r>
      <w:r>
        <w:rPr>
          <w:rFonts w:hint="eastAsia" w:ascii="宋体" w:hAnsi="宋体" w:cs="宋体"/>
          <w:kern w:val="0"/>
          <w:szCs w:val="21"/>
          <w:shd w:val="clear" w:color="auto" w:fill="FFFFFF"/>
        </w:rPr>
        <w:t>楼会议室。</w:t>
      </w:r>
    </w:p>
    <w:p>
      <w:pPr>
        <w:widowControl/>
        <w:spacing w:line="360" w:lineRule="auto"/>
        <w:jc w:val="left"/>
      </w:pPr>
      <w:r>
        <w:rPr>
          <w:rFonts w:hint="eastAsia" w:ascii="宋体" w:hAnsi="宋体" w:cs="宋体"/>
          <w:b/>
          <w:bCs/>
          <w:kern w:val="0"/>
          <w:sz w:val="24"/>
          <w:shd w:val="clear" w:color="auto" w:fill="FFFFFF"/>
        </w:rPr>
        <w:t>六、发布公告的媒介</w:t>
      </w:r>
    </w:p>
    <w:p>
      <w:pPr>
        <w:widowControl/>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本次采购事宜相关公告将在江苏省广电有线信息网络股份有限公司网站（网址：</w:t>
      </w:r>
      <w:r>
        <w:rPr>
          <w:rFonts w:ascii="宋体" w:hAnsi="宋体"/>
          <w:kern w:val="0"/>
          <w:szCs w:val="21"/>
          <w:shd w:val="clear" w:color="auto" w:fill="FFFFFF"/>
        </w:rPr>
        <w:t>http://www.jscnnet.com/zbcg/</w:t>
      </w:r>
      <w:r>
        <w:rPr>
          <w:rFonts w:hint="eastAsia" w:ascii="宋体" w:hAnsi="宋体" w:cs="宋体"/>
          <w:kern w:val="0"/>
          <w:szCs w:val="21"/>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20" w:firstLineChars="200"/>
        <w:jc w:val="left"/>
        <w:rPr>
          <w:rFonts w:ascii="宋体" w:hAnsi="宋体"/>
          <w:sz w:val="24"/>
        </w:rPr>
      </w:pPr>
      <w:r>
        <w:rPr>
          <w:rFonts w:hint="eastAsia" w:ascii="宋体" w:cs="宋体"/>
          <w:bCs/>
          <w:szCs w:val="21"/>
        </w:rPr>
        <w:t>有关本次磋商的事项若存在变动或修改，敬请及时关注网上发布的信息更正公告</w:t>
      </w:r>
      <w:bookmarkStart w:id="5" w:name="bookmark1"/>
      <w:bookmarkEnd w:id="5"/>
      <w:r>
        <w:rPr>
          <w:rFonts w:hint="eastAsia" w:ascii="宋体" w:cs="宋体"/>
          <w:bCs/>
          <w:szCs w:val="21"/>
        </w:rPr>
        <w:t>。</w:t>
      </w:r>
      <w:bookmarkEnd w:id="0"/>
      <w:bookmarkEnd w:id="4"/>
      <w:r>
        <w:rPr>
          <w:rFonts w:ascii="宋体" w:hAnsi="宋体"/>
          <w:sz w:val="24"/>
        </w:rPr>
        <w:br w:type="page"/>
      </w:r>
    </w:p>
    <w:p>
      <w:pPr>
        <w:pStyle w:val="3"/>
        <w:numPr>
          <w:ilvl w:val="0"/>
          <w:numId w:val="0"/>
        </w:numPr>
        <w:spacing w:before="0" w:after="0" w:line="360" w:lineRule="auto"/>
        <w:rPr>
          <w:b/>
          <w:sz w:val="36"/>
          <w:szCs w:val="36"/>
        </w:rPr>
      </w:pPr>
      <w:bookmarkStart w:id="6" w:name="_Toc69378616"/>
      <w:bookmarkStart w:id="7" w:name="_Toc107822483"/>
      <w:bookmarkStart w:id="8" w:name="_Toc227057883"/>
      <w:bookmarkStart w:id="9" w:name="_Toc226969276"/>
      <w:r>
        <w:rPr>
          <w:rFonts w:hint="eastAsia"/>
          <w:b/>
          <w:sz w:val="36"/>
          <w:szCs w:val="36"/>
        </w:rPr>
        <w:t>第二章 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256"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8"/>
        <w:gridCol w:w="910"/>
        <w:gridCol w:w="1351"/>
        <w:gridCol w:w="6025"/>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tcBorders>
              <w:top w:val="single" w:color="auto" w:sz="6" w:space="0"/>
            </w:tcBorders>
            <w:vAlign w:val="center"/>
          </w:tcPr>
          <w:p>
            <w:pPr>
              <w:jc w:val="center"/>
              <w:rPr>
                <w:rFonts w:ascii="宋体" w:hAnsi="宋体"/>
                <w:b/>
                <w:szCs w:val="21"/>
              </w:rPr>
            </w:pPr>
            <w:r>
              <w:rPr>
                <w:rFonts w:hint="eastAsia" w:ascii="宋体" w:hAnsi="宋体"/>
                <w:b/>
                <w:szCs w:val="21"/>
              </w:rPr>
              <w:t>序号</w:t>
            </w:r>
          </w:p>
        </w:tc>
        <w:tc>
          <w:tcPr>
            <w:tcW w:w="514" w:type="pct"/>
            <w:tcBorders>
              <w:top w:val="single" w:color="auto" w:sz="6" w:space="0"/>
            </w:tcBorders>
            <w:vAlign w:val="center"/>
          </w:tcPr>
          <w:p>
            <w:pPr>
              <w:jc w:val="center"/>
              <w:rPr>
                <w:rFonts w:ascii="宋体" w:hAnsi="宋体"/>
                <w:b/>
                <w:szCs w:val="21"/>
              </w:rPr>
            </w:pPr>
            <w:r>
              <w:rPr>
                <w:rFonts w:hint="eastAsia" w:ascii="宋体" w:hAnsi="宋体"/>
                <w:b/>
                <w:szCs w:val="21"/>
              </w:rPr>
              <w:t>条款号</w:t>
            </w:r>
          </w:p>
        </w:tc>
        <w:tc>
          <w:tcPr>
            <w:tcW w:w="763" w:type="pct"/>
            <w:tcBorders>
              <w:top w:val="single" w:color="auto" w:sz="6" w:space="0"/>
            </w:tcBorders>
            <w:vAlign w:val="center"/>
          </w:tcPr>
          <w:p>
            <w:pPr>
              <w:jc w:val="center"/>
              <w:rPr>
                <w:rFonts w:ascii="宋体" w:hAnsi="宋体"/>
                <w:b/>
                <w:szCs w:val="21"/>
              </w:rPr>
            </w:pPr>
            <w:r>
              <w:rPr>
                <w:rFonts w:hint="eastAsia" w:ascii="宋体" w:hAnsi="宋体"/>
                <w:b/>
                <w:szCs w:val="21"/>
              </w:rPr>
              <w:t>内容</w:t>
            </w:r>
          </w:p>
        </w:tc>
        <w:tc>
          <w:tcPr>
            <w:tcW w:w="3402" w:type="pct"/>
            <w:tcBorders>
              <w:top w:val="single" w:color="auto" w:sz="6" w:space="0"/>
            </w:tcBorders>
            <w:vAlign w:val="center"/>
          </w:tcPr>
          <w:p>
            <w:pPr>
              <w:jc w:val="center"/>
              <w:rPr>
                <w:rFonts w:ascii="宋体" w:hAnsi="宋体"/>
                <w:b/>
                <w:szCs w:val="21"/>
              </w:rPr>
            </w:pPr>
            <w:r>
              <w:rPr>
                <w:rFonts w:hint="eastAsia" w:ascii="宋体" w:hAnsi="宋体"/>
                <w:b/>
                <w:szCs w:val="21"/>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1</w:t>
            </w:r>
          </w:p>
        </w:tc>
        <w:tc>
          <w:tcPr>
            <w:tcW w:w="514" w:type="pct"/>
            <w:vAlign w:val="center"/>
          </w:tcPr>
          <w:p>
            <w:pPr>
              <w:jc w:val="center"/>
              <w:rPr>
                <w:rFonts w:ascii="宋体" w:hAnsi="宋体"/>
                <w:szCs w:val="21"/>
              </w:rPr>
            </w:pPr>
            <w:r>
              <w:rPr>
                <w:rFonts w:ascii="宋体" w:hAnsi="宋体"/>
                <w:szCs w:val="21"/>
              </w:rPr>
              <w:t>1.1</w:t>
            </w:r>
          </w:p>
        </w:tc>
        <w:tc>
          <w:tcPr>
            <w:tcW w:w="763" w:type="pct"/>
            <w:vAlign w:val="center"/>
          </w:tcPr>
          <w:p>
            <w:pPr>
              <w:jc w:val="center"/>
              <w:rPr>
                <w:rFonts w:ascii="宋体" w:hAnsi="宋体"/>
                <w:szCs w:val="21"/>
              </w:rPr>
            </w:pPr>
            <w:r>
              <w:rPr>
                <w:rFonts w:hint="eastAsia" w:ascii="宋体" w:hAnsi="宋体"/>
                <w:szCs w:val="21"/>
              </w:rPr>
              <w:t>采购人</w:t>
            </w:r>
          </w:p>
        </w:tc>
        <w:tc>
          <w:tcPr>
            <w:tcW w:w="3402" w:type="pct"/>
            <w:vAlign w:val="center"/>
          </w:tcPr>
          <w:p>
            <w:pPr>
              <w:rPr>
                <w:rFonts w:ascii="宋体" w:hAnsi="宋体"/>
                <w:szCs w:val="21"/>
              </w:rPr>
            </w:pPr>
            <w:r>
              <w:rPr>
                <w:rFonts w:hint="eastAsia" w:ascii="宋体" w:hAnsi="宋体"/>
                <w:szCs w:val="21"/>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2</w:t>
            </w:r>
          </w:p>
        </w:tc>
        <w:tc>
          <w:tcPr>
            <w:tcW w:w="514" w:type="pct"/>
            <w:vAlign w:val="center"/>
          </w:tcPr>
          <w:p>
            <w:pPr>
              <w:jc w:val="center"/>
              <w:rPr>
                <w:rFonts w:ascii="宋体" w:hAnsi="宋体"/>
                <w:szCs w:val="21"/>
              </w:rPr>
            </w:pPr>
            <w:r>
              <w:rPr>
                <w:rFonts w:ascii="宋体" w:hAnsi="宋体"/>
                <w:szCs w:val="21"/>
              </w:rPr>
              <w:t>1.2</w:t>
            </w:r>
          </w:p>
        </w:tc>
        <w:tc>
          <w:tcPr>
            <w:tcW w:w="763" w:type="pct"/>
            <w:vAlign w:val="center"/>
          </w:tcPr>
          <w:p>
            <w:pPr>
              <w:jc w:val="center"/>
              <w:rPr>
                <w:rFonts w:ascii="宋体" w:hAnsi="宋体"/>
                <w:szCs w:val="21"/>
              </w:rPr>
            </w:pPr>
            <w:r>
              <w:rPr>
                <w:rFonts w:hint="eastAsia" w:ascii="宋体" w:hAnsi="宋体"/>
                <w:szCs w:val="21"/>
              </w:rPr>
              <w:t>代理机构</w:t>
            </w:r>
          </w:p>
        </w:tc>
        <w:tc>
          <w:tcPr>
            <w:tcW w:w="3402" w:type="pct"/>
            <w:vAlign w:val="center"/>
          </w:tcPr>
          <w:p>
            <w:pPr>
              <w:rPr>
                <w:rFonts w:ascii="宋体" w:hAnsi="宋体"/>
                <w:szCs w:val="21"/>
              </w:rPr>
            </w:pPr>
            <w:r>
              <w:rPr>
                <w:rFonts w:hint="eastAsia" w:ascii="宋体" w:hAnsi="宋体"/>
                <w:szCs w:val="21"/>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21" w:type="pct"/>
            <w:vAlign w:val="center"/>
          </w:tcPr>
          <w:p>
            <w:pPr>
              <w:jc w:val="center"/>
              <w:rPr>
                <w:rFonts w:ascii="宋体" w:hAnsi="宋体"/>
                <w:szCs w:val="21"/>
              </w:rPr>
            </w:pPr>
            <w:r>
              <w:rPr>
                <w:rFonts w:ascii="宋体" w:hAnsi="宋体"/>
                <w:szCs w:val="21"/>
              </w:rPr>
              <w:t>3</w:t>
            </w:r>
          </w:p>
        </w:tc>
        <w:tc>
          <w:tcPr>
            <w:tcW w:w="514" w:type="pct"/>
            <w:vAlign w:val="center"/>
          </w:tcPr>
          <w:p>
            <w:pPr>
              <w:jc w:val="center"/>
              <w:rPr>
                <w:rFonts w:ascii="宋体" w:hAnsi="宋体"/>
                <w:szCs w:val="21"/>
              </w:rPr>
            </w:pPr>
            <w:r>
              <w:rPr>
                <w:rFonts w:ascii="宋体" w:hAnsi="宋体"/>
                <w:szCs w:val="21"/>
              </w:rPr>
              <w:t>1.3</w:t>
            </w:r>
          </w:p>
        </w:tc>
        <w:tc>
          <w:tcPr>
            <w:tcW w:w="763" w:type="pct"/>
            <w:vAlign w:val="center"/>
          </w:tcPr>
          <w:p>
            <w:pPr>
              <w:jc w:val="center"/>
              <w:rPr>
                <w:rFonts w:ascii="宋体" w:hAnsi="宋体"/>
                <w:szCs w:val="21"/>
              </w:rPr>
            </w:pPr>
            <w:r>
              <w:rPr>
                <w:rFonts w:hint="eastAsia" w:ascii="宋体" w:hAnsi="宋体"/>
                <w:szCs w:val="21"/>
              </w:rPr>
              <w:t>合格的供应商</w:t>
            </w:r>
          </w:p>
        </w:tc>
        <w:tc>
          <w:tcPr>
            <w:tcW w:w="3402" w:type="pct"/>
            <w:vAlign w:val="center"/>
          </w:tcPr>
          <w:p>
            <w:pPr>
              <w:rPr>
                <w:rFonts w:ascii="宋体" w:hAnsi="宋体"/>
                <w:szCs w:val="21"/>
              </w:rPr>
            </w:pPr>
            <w:r>
              <w:rPr>
                <w:rFonts w:hint="eastAsia" w:ascii="宋体" w:hAnsi="宋体"/>
                <w:szCs w:val="21"/>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4</w:t>
            </w:r>
          </w:p>
        </w:tc>
        <w:tc>
          <w:tcPr>
            <w:tcW w:w="514" w:type="pct"/>
            <w:vAlign w:val="center"/>
          </w:tcPr>
          <w:p>
            <w:pPr>
              <w:jc w:val="center"/>
              <w:rPr>
                <w:rFonts w:ascii="宋体" w:hAnsi="宋体"/>
                <w:szCs w:val="21"/>
              </w:rPr>
            </w:pPr>
            <w:r>
              <w:rPr>
                <w:rFonts w:ascii="宋体" w:hAnsi="宋体"/>
                <w:szCs w:val="21"/>
              </w:rPr>
              <w:t>20.1</w:t>
            </w:r>
          </w:p>
        </w:tc>
        <w:tc>
          <w:tcPr>
            <w:tcW w:w="763" w:type="pct"/>
            <w:vAlign w:val="center"/>
          </w:tcPr>
          <w:p>
            <w:pPr>
              <w:jc w:val="center"/>
              <w:rPr>
                <w:rFonts w:ascii="宋体" w:hAnsi="宋体"/>
                <w:szCs w:val="21"/>
              </w:rPr>
            </w:pPr>
            <w:r>
              <w:rPr>
                <w:rFonts w:hint="eastAsia" w:ascii="宋体" w:hAnsi="宋体"/>
                <w:szCs w:val="21"/>
              </w:rPr>
              <w:t>保密</w:t>
            </w:r>
          </w:p>
        </w:tc>
        <w:tc>
          <w:tcPr>
            <w:tcW w:w="3402" w:type="pct"/>
            <w:vAlign w:val="center"/>
          </w:tcPr>
          <w:p>
            <w:pPr>
              <w:rPr>
                <w:rFonts w:ascii="宋体" w:hAnsi="宋体"/>
                <w:szCs w:val="21"/>
              </w:rPr>
            </w:pPr>
            <w:r>
              <w:rPr>
                <w:rFonts w:hint="eastAsia" w:ascii="宋体" w:hAnsi="宋体"/>
                <w:szCs w:val="21"/>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5</w:t>
            </w:r>
          </w:p>
        </w:tc>
        <w:tc>
          <w:tcPr>
            <w:tcW w:w="514"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2）</w:t>
            </w:r>
          </w:p>
        </w:tc>
        <w:tc>
          <w:tcPr>
            <w:tcW w:w="763" w:type="pct"/>
            <w:vAlign w:val="center"/>
          </w:tcPr>
          <w:p>
            <w:pPr>
              <w:jc w:val="center"/>
              <w:rPr>
                <w:rFonts w:ascii="宋体" w:hAnsi="宋体"/>
                <w:szCs w:val="21"/>
              </w:rPr>
            </w:pPr>
            <w:r>
              <w:rPr>
                <w:rFonts w:hint="eastAsia" w:ascii="宋体" w:hAnsi="宋体"/>
                <w:szCs w:val="21"/>
              </w:rPr>
              <w:t>经第三方审计的财务报表</w:t>
            </w:r>
          </w:p>
        </w:tc>
        <w:tc>
          <w:tcPr>
            <w:tcW w:w="3402" w:type="pct"/>
            <w:vAlign w:val="center"/>
          </w:tcPr>
          <w:p>
            <w:pPr>
              <w:rPr>
                <w:rFonts w:ascii="宋体" w:hAnsi="宋体"/>
                <w:szCs w:val="21"/>
              </w:rPr>
            </w:pPr>
            <w:r>
              <w:rPr>
                <w:rFonts w:hint="eastAsia" w:ascii="宋体" w:hAnsi="宋体"/>
                <w:szCs w:val="21"/>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6</w:t>
            </w:r>
          </w:p>
        </w:tc>
        <w:tc>
          <w:tcPr>
            <w:tcW w:w="514"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3）</w:t>
            </w:r>
          </w:p>
        </w:tc>
        <w:tc>
          <w:tcPr>
            <w:tcW w:w="763" w:type="pct"/>
            <w:vAlign w:val="center"/>
          </w:tcPr>
          <w:p>
            <w:pPr>
              <w:jc w:val="center"/>
              <w:rPr>
                <w:rFonts w:ascii="宋体" w:hAnsi="宋体"/>
                <w:szCs w:val="21"/>
              </w:rPr>
            </w:pPr>
            <w:r>
              <w:rPr>
                <w:rFonts w:hint="eastAsia" w:ascii="宋体" w:hAnsi="宋体"/>
                <w:szCs w:val="21"/>
              </w:rPr>
              <w:t>响应文件的技术部分中必须包括的内容</w:t>
            </w:r>
          </w:p>
        </w:tc>
        <w:tc>
          <w:tcPr>
            <w:tcW w:w="3402" w:type="pct"/>
          </w:tcPr>
          <w:p>
            <w:pPr>
              <w:rPr>
                <w:rFonts w:ascii="宋体" w:hAnsi="宋体"/>
                <w:szCs w:val="21"/>
              </w:rPr>
            </w:pPr>
            <w:r>
              <w:rPr>
                <w:rFonts w:hint="eastAsia" w:ascii="宋体" w:hAnsi="宋体"/>
                <w:szCs w:val="21"/>
              </w:rPr>
              <w:t>对第五章《技术需求书》的逐项应答，逐项应答必须按照服务偏离表格式，对照竞争性磋商文件需求，依据供应商本身服务，如实逐条说明所提供产品及</w:t>
            </w:r>
            <w:r>
              <w:rPr>
                <w:rFonts w:ascii="宋体" w:hAnsi="宋体"/>
                <w:szCs w:val="21"/>
              </w:rPr>
              <w:t>/</w:t>
            </w:r>
            <w:r>
              <w:rPr>
                <w:rFonts w:hint="eastAsia" w:ascii="宋体" w:hAnsi="宋体"/>
                <w:szCs w:val="21"/>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7</w:t>
            </w:r>
          </w:p>
        </w:tc>
        <w:tc>
          <w:tcPr>
            <w:tcW w:w="514" w:type="pct"/>
            <w:vAlign w:val="center"/>
          </w:tcPr>
          <w:p>
            <w:pPr>
              <w:jc w:val="center"/>
              <w:rPr>
                <w:rFonts w:ascii="宋体" w:hAnsi="宋体"/>
                <w:szCs w:val="21"/>
              </w:rPr>
            </w:pPr>
            <w:r>
              <w:rPr>
                <w:rFonts w:ascii="宋体" w:hAnsi="宋体"/>
                <w:szCs w:val="21"/>
              </w:rPr>
              <w:t>7.1</w:t>
            </w:r>
          </w:p>
          <w:p>
            <w:pPr>
              <w:jc w:val="center"/>
              <w:rPr>
                <w:rFonts w:ascii="宋体" w:hAnsi="宋体"/>
                <w:szCs w:val="21"/>
              </w:rPr>
            </w:pPr>
            <w:r>
              <w:rPr>
                <w:rFonts w:hint="eastAsia" w:ascii="宋体" w:hAnsi="宋体"/>
                <w:szCs w:val="21"/>
              </w:rPr>
              <w:t>6）</w:t>
            </w:r>
          </w:p>
        </w:tc>
        <w:tc>
          <w:tcPr>
            <w:tcW w:w="763" w:type="pct"/>
            <w:vAlign w:val="center"/>
          </w:tcPr>
          <w:p>
            <w:pPr>
              <w:jc w:val="center"/>
              <w:rPr>
                <w:rFonts w:ascii="宋体" w:hAnsi="宋体"/>
                <w:szCs w:val="21"/>
              </w:rPr>
            </w:pPr>
            <w:r>
              <w:rPr>
                <w:rFonts w:hint="eastAsia" w:ascii="宋体" w:hAnsi="宋体"/>
                <w:szCs w:val="21"/>
              </w:rPr>
              <w:t>合同文本的提供</w:t>
            </w:r>
          </w:p>
        </w:tc>
        <w:tc>
          <w:tcPr>
            <w:tcW w:w="3402" w:type="pct"/>
            <w:vAlign w:val="center"/>
          </w:tcPr>
          <w:p>
            <w:pPr>
              <w:rPr>
                <w:rFonts w:ascii="宋体" w:hAnsi="宋体"/>
                <w:szCs w:val="21"/>
              </w:rPr>
            </w:pPr>
            <w:r>
              <w:rPr>
                <w:rFonts w:hint="eastAsia" w:ascii="宋体" w:hAnsi="宋体"/>
                <w:szCs w:val="21"/>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8</w:t>
            </w:r>
          </w:p>
        </w:tc>
        <w:tc>
          <w:tcPr>
            <w:tcW w:w="514" w:type="pct"/>
            <w:vAlign w:val="center"/>
          </w:tcPr>
          <w:p>
            <w:pPr>
              <w:jc w:val="center"/>
              <w:rPr>
                <w:rFonts w:ascii="宋体" w:hAnsi="宋体"/>
                <w:szCs w:val="21"/>
              </w:rPr>
            </w:pPr>
            <w:r>
              <w:rPr>
                <w:rFonts w:ascii="宋体" w:hAnsi="宋体"/>
                <w:szCs w:val="21"/>
              </w:rPr>
              <w:t>8.1</w:t>
            </w:r>
          </w:p>
        </w:tc>
        <w:tc>
          <w:tcPr>
            <w:tcW w:w="763" w:type="pct"/>
            <w:vAlign w:val="center"/>
          </w:tcPr>
          <w:p>
            <w:pPr>
              <w:jc w:val="center"/>
              <w:rPr>
                <w:rFonts w:ascii="宋体" w:hAnsi="宋体"/>
                <w:szCs w:val="21"/>
              </w:rPr>
            </w:pPr>
            <w:r>
              <w:rPr>
                <w:rFonts w:hint="eastAsia" w:ascii="宋体" w:hAnsi="宋体"/>
                <w:szCs w:val="21"/>
              </w:rPr>
              <w:t>响应文件的式样和签署</w:t>
            </w:r>
          </w:p>
        </w:tc>
        <w:tc>
          <w:tcPr>
            <w:tcW w:w="3402" w:type="pct"/>
            <w:vAlign w:val="center"/>
          </w:tcPr>
          <w:p>
            <w:pPr>
              <w:rPr>
                <w:rFonts w:ascii="宋体" w:hAnsi="宋体"/>
                <w:szCs w:val="21"/>
              </w:rPr>
            </w:pPr>
            <w:r>
              <w:rPr>
                <w:rFonts w:hint="eastAsia" w:ascii="宋体" w:hAnsi="宋体"/>
                <w:szCs w:val="21"/>
              </w:rPr>
              <w:t>响应文件一式</w:t>
            </w:r>
            <w:r>
              <w:rPr>
                <w:rFonts w:ascii="宋体" w:hAnsi="宋体"/>
                <w:szCs w:val="21"/>
              </w:rPr>
              <w:t>3</w:t>
            </w:r>
            <w:r>
              <w:rPr>
                <w:rFonts w:hint="eastAsia" w:ascii="宋体" w:hAnsi="宋体"/>
                <w:szCs w:val="21"/>
              </w:rPr>
              <w:t>份（</w:t>
            </w:r>
            <w:r>
              <w:rPr>
                <w:rFonts w:ascii="宋体" w:hAnsi="宋体"/>
                <w:szCs w:val="21"/>
              </w:rPr>
              <w:t>1</w:t>
            </w:r>
            <w:r>
              <w:rPr>
                <w:rFonts w:hint="eastAsia" w:ascii="宋体" w:hAnsi="宋体"/>
                <w:szCs w:val="21"/>
              </w:rPr>
              <w:t>份正本、</w:t>
            </w:r>
            <w:r>
              <w:rPr>
                <w:rFonts w:ascii="宋体" w:hAnsi="宋体"/>
                <w:szCs w:val="21"/>
              </w:rPr>
              <w:t>2</w:t>
            </w:r>
            <w:r>
              <w:rPr>
                <w:rFonts w:hint="eastAsia" w:ascii="宋体" w:hAnsi="宋体"/>
                <w:szCs w:val="21"/>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9</w:t>
            </w:r>
          </w:p>
        </w:tc>
        <w:tc>
          <w:tcPr>
            <w:tcW w:w="514" w:type="pct"/>
            <w:vAlign w:val="center"/>
          </w:tcPr>
          <w:p>
            <w:pPr>
              <w:jc w:val="center"/>
              <w:rPr>
                <w:rFonts w:ascii="宋体" w:hAnsi="宋体"/>
                <w:szCs w:val="21"/>
              </w:rPr>
            </w:pPr>
            <w:r>
              <w:rPr>
                <w:rFonts w:ascii="宋体" w:hAnsi="宋体"/>
                <w:szCs w:val="21"/>
              </w:rPr>
              <w:t>9.1</w:t>
            </w:r>
          </w:p>
        </w:tc>
        <w:tc>
          <w:tcPr>
            <w:tcW w:w="763" w:type="pct"/>
            <w:vAlign w:val="center"/>
          </w:tcPr>
          <w:p>
            <w:pPr>
              <w:jc w:val="center"/>
              <w:rPr>
                <w:rFonts w:ascii="宋体" w:hAnsi="宋体"/>
                <w:szCs w:val="21"/>
              </w:rPr>
            </w:pPr>
            <w:r>
              <w:rPr>
                <w:rFonts w:hint="eastAsia" w:ascii="宋体" w:hAnsi="宋体"/>
                <w:szCs w:val="21"/>
              </w:rPr>
              <w:t>报价</w:t>
            </w:r>
          </w:p>
        </w:tc>
        <w:tc>
          <w:tcPr>
            <w:tcW w:w="3402" w:type="pct"/>
            <w:vAlign w:val="center"/>
          </w:tcPr>
          <w:p>
            <w:pPr>
              <w:rPr>
                <w:rFonts w:ascii="宋体" w:hAnsi="宋体"/>
                <w:szCs w:val="21"/>
              </w:rPr>
            </w:pPr>
            <w:r>
              <w:rPr>
                <w:rFonts w:hint="eastAsia" w:ascii="宋体" w:hAnsi="宋体"/>
                <w:szCs w:val="21"/>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rFonts w:ascii="宋体" w:hAnsi="宋体"/>
                <w:szCs w:val="21"/>
              </w:rPr>
            </w:pPr>
            <w:r>
              <w:rPr>
                <w:rFonts w:hint="eastAsia" w:ascii="宋体" w:hAnsi="宋体"/>
                <w:szCs w:val="21"/>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10</w:t>
            </w:r>
          </w:p>
        </w:tc>
        <w:tc>
          <w:tcPr>
            <w:tcW w:w="514" w:type="pct"/>
            <w:vAlign w:val="center"/>
          </w:tcPr>
          <w:p>
            <w:pPr>
              <w:jc w:val="center"/>
              <w:rPr>
                <w:rFonts w:ascii="宋体" w:hAnsi="宋体"/>
                <w:szCs w:val="21"/>
              </w:rPr>
            </w:pPr>
          </w:p>
        </w:tc>
        <w:tc>
          <w:tcPr>
            <w:tcW w:w="763" w:type="pct"/>
            <w:vAlign w:val="center"/>
          </w:tcPr>
          <w:p>
            <w:pPr>
              <w:jc w:val="center"/>
              <w:rPr>
                <w:rFonts w:ascii="宋体" w:hAnsi="宋体"/>
                <w:szCs w:val="21"/>
              </w:rPr>
            </w:pPr>
            <w:r>
              <w:rPr>
                <w:rFonts w:hint="eastAsia" w:ascii="宋体" w:hAnsi="宋体"/>
                <w:szCs w:val="21"/>
              </w:rPr>
              <w:t>响应文件的盖章或签字</w:t>
            </w:r>
          </w:p>
        </w:tc>
        <w:tc>
          <w:tcPr>
            <w:tcW w:w="3402" w:type="pct"/>
            <w:vAlign w:val="center"/>
          </w:tcPr>
          <w:p>
            <w:pPr>
              <w:rPr>
                <w:rFonts w:ascii="宋体" w:hAnsi="宋体"/>
                <w:szCs w:val="21"/>
              </w:rPr>
            </w:pPr>
            <w:r>
              <w:rPr>
                <w:rFonts w:hint="eastAsia" w:ascii="宋体" w:hAnsi="宋体"/>
                <w:szCs w:val="21"/>
              </w:rPr>
              <w:t>本条款增加规定：</w:t>
            </w:r>
          </w:p>
          <w:p>
            <w:pPr>
              <w:rPr>
                <w:rFonts w:ascii="宋体" w:hAnsi="宋体"/>
                <w:szCs w:val="21"/>
              </w:rPr>
            </w:pPr>
            <w:r>
              <w:rPr>
                <w:rFonts w:hint="eastAsia" w:ascii="宋体" w:hAnsi="宋体"/>
                <w:szCs w:val="21"/>
              </w:rPr>
              <w:t>（1）竞争性磋商文件第六章“响应文件格式”中有单位名称和法定代表人或其委托代理人签字落款的响应文件必须加盖单位公章。</w:t>
            </w:r>
          </w:p>
          <w:p>
            <w:pPr>
              <w:rPr>
                <w:rFonts w:ascii="宋体" w:hAnsi="宋体"/>
                <w:szCs w:val="21"/>
              </w:rPr>
            </w:pPr>
            <w:r>
              <w:rPr>
                <w:rFonts w:hint="eastAsia" w:ascii="宋体" w:hAnsi="宋体"/>
                <w:szCs w:val="21"/>
              </w:rPr>
              <w:t>（2）除上述文件以外的其他响应文件组成部分必须加盖骑缝章（骑缝章必须覆盖所有响应文件），或由法定代表人或其委托代理人逐页手签。</w:t>
            </w:r>
          </w:p>
          <w:p>
            <w:pPr>
              <w:rPr>
                <w:rFonts w:ascii="宋体" w:hAnsi="宋体"/>
                <w:szCs w:val="21"/>
              </w:rPr>
            </w:pPr>
            <w:r>
              <w:rPr>
                <w:rFonts w:hint="eastAsia" w:ascii="宋体" w:hAnsi="宋体"/>
                <w:szCs w:val="21"/>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11</w:t>
            </w:r>
          </w:p>
        </w:tc>
        <w:tc>
          <w:tcPr>
            <w:tcW w:w="514" w:type="pct"/>
            <w:vAlign w:val="center"/>
          </w:tcPr>
          <w:p>
            <w:pPr>
              <w:jc w:val="center"/>
              <w:rPr>
                <w:rFonts w:ascii="宋体" w:hAnsi="宋体"/>
                <w:szCs w:val="21"/>
              </w:rPr>
            </w:pPr>
            <w:r>
              <w:rPr>
                <w:rFonts w:ascii="宋体" w:hAnsi="宋体"/>
                <w:szCs w:val="21"/>
              </w:rPr>
              <w:t>10.1</w:t>
            </w:r>
          </w:p>
        </w:tc>
        <w:tc>
          <w:tcPr>
            <w:tcW w:w="763" w:type="pct"/>
            <w:vAlign w:val="center"/>
          </w:tcPr>
          <w:p>
            <w:pPr>
              <w:jc w:val="center"/>
              <w:rPr>
                <w:rFonts w:ascii="宋体" w:hAnsi="宋体"/>
                <w:szCs w:val="21"/>
              </w:rPr>
            </w:pPr>
            <w:r>
              <w:rPr>
                <w:rFonts w:hint="eastAsia" w:ascii="宋体" w:hAnsi="宋体"/>
                <w:szCs w:val="21"/>
              </w:rPr>
              <w:t>响应有效期</w:t>
            </w:r>
          </w:p>
        </w:tc>
        <w:tc>
          <w:tcPr>
            <w:tcW w:w="3402" w:type="pct"/>
            <w:vAlign w:val="center"/>
          </w:tcPr>
          <w:p>
            <w:pPr>
              <w:rPr>
                <w:rFonts w:ascii="宋体" w:hAnsi="宋体"/>
                <w:szCs w:val="21"/>
              </w:rPr>
            </w:pPr>
            <w:r>
              <w:rPr>
                <w:rFonts w:hint="eastAsia" w:ascii="宋体" w:hAnsi="宋体"/>
                <w:szCs w:val="21"/>
              </w:rPr>
              <w:t>供应商递交的响应文件应在规定的递交响应文件截止日后的</w:t>
            </w:r>
            <w:r>
              <w:rPr>
                <w:rFonts w:ascii="宋体" w:hAnsi="宋体"/>
                <w:szCs w:val="21"/>
              </w:rPr>
              <w:t>90</w:t>
            </w:r>
            <w:r>
              <w:rPr>
                <w:rFonts w:hint="eastAsia" w:ascii="宋体" w:hAnsi="宋体"/>
                <w:szCs w:val="21"/>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21" w:type="pct"/>
            <w:vAlign w:val="center"/>
          </w:tcPr>
          <w:p>
            <w:pPr>
              <w:jc w:val="center"/>
              <w:rPr>
                <w:rFonts w:ascii="宋体" w:hAnsi="宋体"/>
                <w:szCs w:val="21"/>
              </w:rPr>
            </w:pPr>
            <w:r>
              <w:rPr>
                <w:rFonts w:ascii="宋体" w:hAnsi="宋体"/>
                <w:szCs w:val="21"/>
              </w:rPr>
              <w:t>12</w:t>
            </w:r>
          </w:p>
        </w:tc>
        <w:tc>
          <w:tcPr>
            <w:tcW w:w="514" w:type="pct"/>
            <w:vAlign w:val="center"/>
          </w:tcPr>
          <w:p>
            <w:pPr>
              <w:jc w:val="center"/>
              <w:rPr>
                <w:rFonts w:ascii="宋体" w:hAnsi="宋体"/>
                <w:szCs w:val="21"/>
              </w:rPr>
            </w:pPr>
            <w:r>
              <w:rPr>
                <w:rFonts w:ascii="宋体" w:hAnsi="宋体"/>
                <w:szCs w:val="21"/>
              </w:rPr>
              <w:t>12.1</w:t>
            </w:r>
          </w:p>
        </w:tc>
        <w:tc>
          <w:tcPr>
            <w:tcW w:w="763" w:type="pct"/>
            <w:vAlign w:val="center"/>
          </w:tcPr>
          <w:p>
            <w:pPr>
              <w:jc w:val="center"/>
              <w:rPr>
                <w:rFonts w:ascii="宋体" w:hAnsi="宋体"/>
                <w:szCs w:val="21"/>
              </w:rPr>
            </w:pPr>
            <w:r>
              <w:rPr>
                <w:rFonts w:hint="eastAsia" w:ascii="宋体" w:hAnsi="宋体"/>
                <w:szCs w:val="21"/>
              </w:rPr>
              <w:t>递交响应文件截止时间</w:t>
            </w:r>
          </w:p>
        </w:tc>
        <w:tc>
          <w:tcPr>
            <w:tcW w:w="3402" w:type="pct"/>
            <w:vAlign w:val="center"/>
          </w:tcPr>
          <w:p>
            <w:pPr>
              <w:rPr>
                <w:rFonts w:ascii="宋体" w:hAnsi="宋体"/>
                <w:szCs w:val="21"/>
              </w:rPr>
            </w:pPr>
            <w:r>
              <w:rPr>
                <w:rFonts w:hint="eastAsia" w:ascii="宋体" w:hAnsi="宋体"/>
                <w:szCs w:val="21"/>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21" w:type="pct"/>
            <w:vAlign w:val="center"/>
          </w:tcPr>
          <w:p>
            <w:pPr>
              <w:jc w:val="center"/>
              <w:rPr>
                <w:rFonts w:ascii="宋体" w:hAnsi="宋体"/>
                <w:szCs w:val="21"/>
              </w:rPr>
            </w:pPr>
            <w:r>
              <w:rPr>
                <w:rFonts w:ascii="宋体" w:hAnsi="宋体"/>
                <w:szCs w:val="21"/>
              </w:rPr>
              <w:t>13</w:t>
            </w:r>
          </w:p>
        </w:tc>
        <w:tc>
          <w:tcPr>
            <w:tcW w:w="514" w:type="pct"/>
            <w:vAlign w:val="center"/>
          </w:tcPr>
          <w:p>
            <w:pPr>
              <w:jc w:val="center"/>
              <w:rPr>
                <w:rFonts w:ascii="宋体" w:hAnsi="宋体"/>
                <w:szCs w:val="21"/>
              </w:rPr>
            </w:pPr>
            <w:r>
              <w:rPr>
                <w:rFonts w:ascii="宋体" w:hAnsi="宋体"/>
                <w:szCs w:val="21"/>
              </w:rPr>
              <w:t>12.1</w:t>
            </w:r>
          </w:p>
        </w:tc>
        <w:tc>
          <w:tcPr>
            <w:tcW w:w="763" w:type="pct"/>
            <w:vAlign w:val="center"/>
          </w:tcPr>
          <w:p>
            <w:pPr>
              <w:jc w:val="center"/>
              <w:rPr>
                <w:rFonts w:ascii="宋体" w:hAnsi="宋体"/>
                <w:szCs w:val="21"/>
              </w:rPr>
            </w:pPr>
            <w:r>
              <w:rPr>
                <w:rFonts w:hint="eastAsia" w:ascii="宋体" w:hAnsi="宋体"/>
                <w:szCs w:val="21"/>
              </w:rPr>
              <w:t>递交响应文件地点</w:t>
            </w:r>
          </w:p>
        </w:tc>
        <w:tc>
          <w:tcPr>
            <w:tcW w:w="3402" w:type="pct"/>
            <w:vAlign w:val="center"/>
          </w:tcPr>
          <w:p>
            <w:pPr>
              <w:rPr>
                <w:rFonts w:ascii="宋体" w:hAnsi="宋体"/>
                <w:szCs w:val="21"/>
              </w:rPr>
            </w:pPr>
            <w:r>
              <w:rPr>
                <w:rFonts w:hint="eastAsia" w:ascii="宋体" w:hAnsi="宋体"/>
                <w:szCs w:val="21"/>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21" w:type="pct"/>
            <w:vAlign w:val="center"/>
          </w:tcPr>
          <w:p>
            <w:pPr>
              <w:jc w:val="center"/>
              <w:rPr>
                <w:rFonts w:ascii="宋体" w:hAnsi="宋体"/>
                <w:szCs w:val="21"/>
              </w:rPr>
            </w:pPr>
            <w:r>
              <w:rPr>
                <w:rFonts w:ascii="宋体" w:hAnsi="宋体"/>
                <w:szCs w:val="21"/>
              </w:rPr>
              <w:t>14</w:t>
            </w:r>
          </w:p>
        </w:tc>
        <w:tc>
          <w:tcPr>
            <w:tcW w:w="514" w:type="pct"/>
            <w:vAlign w:val="center"/>
          </w:tcPr>
          <w:p>
            <w:pPr>
              <w:jc w:val="center"/>
              <w:rPr>
                <w:rFonts w:ascii="宋体" w:hAnsi="宋体"/>
                <w:szCs w:val="21"/>
              </w:rPr>
            </w:pPr>
            <w:r>
              <w:rPr>
                <w:rFonts w:ascii="宋体" w:hAnsi="宋体"/>
                <w:szCs w:val="21"/>
              </w:rPr>
              <w:t>17.5</w:t>
            </w:r>
          </w:p>
        </w:tc>
        <w:tc>
          <w:tcPr>
            <w:tcW w:w="763" w:type="pct"/>
            <w:vAlign w:val="center"/>
          </w:tcPr>
          <w:p>
            <w:pPr>
              <w:jc w:val="center"/>
              <w:rPr>
                <w:rFonts w:ascii="宋体" w:hAnsi="宋体"/>
                <w:szCs w:val="21"/>
              </w:rPr>
            </w:pPr>
            <w:r>
              <w:rPr>
                <w:rFonts w:hint="eastAsia" w:ascii="宋体" w:hAnsi="宋体"/>
                <w:szCs w:val="21"/>
              </w:rPr>
              <w:t>如发现下列情况之一的，其响应文件将可能被拒绝</w:t>
            </w:r>
          </w:p>
        </w:tc>
        <w:tc>
          <w:tcPr>
            <w:tcW w:w="3402" w:type="pct"/>
            <w:vAlign w:val="center"/>
          </w:tcPr>
          <w:p>
            <w:pPr>
              <w:rPr>
                <w:rFonts w:ascii="宋体" w:hAnsi="宋体"/>
                <w:szCs w:val="21"/>
              </w:rPr>
            </w:pPr>
            <w:r>
              <w:rPr>
                <w:rFonts w:ascii="宋体" w:hAnsi="宋体"/>
                <w:szCs w:val="21"/>
              </w:rPr>
              <w:t>1</w:t>
            </w:r>
            <w:r>
              <w:rPr>
                <w:rFonts w:hint="eastAsia" w:ascii="宋体" w:hAnsi="宋体"/>
                <w:szCs w:val="21"/>
              </w:rPr>
              <w:t>）不满足竞争性磋商文件对合格供应商的基本资质要求的；</w:t>
            </w:r>
          </w:p>
          <w:p>
            <w:pPr>
              <w:rPr>
                <w:rFonts w:ascii="宋体" w:hAnsi="宋体"/>
                <w:szCs w:val="21"/>
              </w:rPr>
            </w:pPr>
            <w:r>
              <w:rPr>
                <w:rFonts w:hint="eastAsia" w:ascii="宋体" w:hAnsi="宋体"/>
                <w:szCs w:val="21"/>
              </w:rPr>
              <w:t>2）供应商在响应文件中提供的服务内容及质量不能实质性满足竞争性磋商文件要求或不能提供实质性满足证明的；</w:t>
            </w:r>
          </w:p>
          <w:p>
            <w:pPr>
              <w:rPr>
                <w:rFonts w:ascii="宋体" w:hAnsi="宋体"/>
                <w:szCs w:val="21"/>
              </w:rPr>
            </w:pPr>
            <w:r>
              <w:rPr>
                <w:rFonts w:hint="eastAsia" w:ascii="宋体" w:hAnsi="宋体"/>
                <w:szCs w:val="21"/>
              </w:rPr>
              <w:t>3）供应商在响应文件中对于第四章《合同格式》有任何负偏离的；</w:t>
            </w:r>
          </w:p>
          <w:p>
            <w:pPr>
              <w:rPr>
                <w:rFonts w:ascii="宋体" w:hAnsi="宋体"/>
                <w:szCs w:val="21"/>
              </w:rPr>
            </w:pPr>
            <w:r>
              <w:rPr>
                <w:rFonts w:hint="eastAsia" w:ascii="宋体" w:hAnsi="宋体"/>
                <w:szCs w:val="21"/>
              </w:rPr>
              <w:t>4）响应函、法人代表授权书不按照第六章《附件》的格式提供的；</w:t>
            </w:r>
          </w:p>
          <w:p>
            <w:pPr>
              <w:rPr>
                <w:rFonts w:ascii="宋体" w:hAnsi="宋体"/>
                <w:szCs w:val="21"/>
              </w:rPr>
            </w:pPr>
            <w:r>
              <w:rPr>
                <w:rFonts w:hint="eastAsia" w:ascii="宋体" w:hAnsi="宋体"/>
                <w:szCs w:val="21"/>
              </w:rPr>
              <w:t>5）资格证明文件不全、失效或不符合竞争性磋商文件要求的；</w:t>
            </w:r>
          </w:p>
          <w:p>
            <w:pPr>
              <w:rPr>
                <w:rFonts w:ascii="宋体" w:hAnsi="宋体"/>
                <w:szCs w:val="21"/>
              </w:rPr>
            </w:pPr>
            <w:r>
              <w:rPr>
                <w:rFonts w:hint="eastAsia" w:ascii="宋体" w:hAnsi="宋体"/>
                <w:szCs w:val="21"/>
              </w:rPr>
              <w:t>6）响应文件无法定代表人签字，或签字人无法定代表人有效授权的；</w:t>
            </w:r>
          </w:p>
          <w:p>
            <w:pPr>
              <w:rPr>
                <w:rFonts w:ascii="宋体" w:hAnsi="宋体"/>
                <w:szCs w:val="21"/>
              </w:rPr>
            </w:pPr>
            <w:r>
              <w:rPr>
                <w:rFonts w:hint="eastAsia" w:ascii="宋体" w:hAnsi="宋体"/>
                <w:szCs w:val="21"/>
              </w:rPr>
              <w:t>8）响应文件或响应有效期不足的；</w:t>
            </w:r>
          </w:p>
          <w:p>
            <w:pPr>
              <w:rPr>
                <w:rFonts w:ascii="宋体" w:hAnsi="宋体"/>
                <w:szCs w:val="21"/>
              </w:rPr>
            </w:pPr>
            <w:r>
              <w:rPr>
                <w:rFonts w:hint="eastAsia" w:ascii="宋体" w:hAnsi="宋体"/>
                <w:szCs w:val="21"/>
              </w:rPr>
              <w:t>8）响应文件中提供虚假或失实资料的；</w:t>
            </w:r>
          </w:p>
          <w:p>
            <w:pPr>
              <w:rPr>
                <w:rFonts w:ascii="宋体" w:hAnsi="宋体"/>
                <w:szCs w:val="21"/>
              </w:rPr>
            </w:pPr>
            <w:r>
              <w:rPr>
                <w:rFonts w:hint="eastAsia" w:ascii="宋体" w:hAnsi="宋体"/>
                <w:szCs w:val="21"/>
              </w:rPr>
              <w:t>9）未按照竞争性磋商文件规定的方式领取竞争性磋商文件并按要求递交响应文件的；</w:t>
            </w:r>
          </w:p>
          <w:p>
            <w:pPr>
              <w:rPr>
                <w:rFonts w:ascii="宋体" w:hAnsi="宋体"/>
                <w:szCs w:val="21"/>
              </w:rPr>
            </w:pPr>
            <w:r>
              <w:rPr>
                <w:rFonts w:ascii="宋体" w:hAnsi="宋体"/>
                <w:szCs w:val="21"/>
              </w:rPr>
              <w:t>1</w:t>
            </w:r>
            <w:r>
              <w:rPr>
                <w:rFonts w:hint="eastAsia" w:ascii="宋体" w:hAnsi="宋体"/>
                <w:szCs w:val="21"/>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21" w:type="pct"/>
            <w:vAlign w:val="center"/>
          </w:tcPr>
          <w:p>
            <w:pPr>
              <w:jc w:val="center"/>
              <w:rPr>
                <w:rFonts w:ascii="宋体" w:hAnsi="宋体"/>
                <w:szCs w:val="21"/>
              </w:rPr>
            </w:pPr>
            <w:r>
              <w:rPr>
                <w:rFonts w:ascii="宋体" w:hAnsi="宋体"/>
                <w:szCs w:val="21"/>
              </w:rPr>
              <w:t>15</w:t>
            </w:r>
          </w:p>
        </w:tc>
        <w:tc>
          <w:tcPr>
            <w:tcW w:w="514" w:type="pct"/>
            <w:vAlign w:val="center"/>
          </w:tcPr>
          <w:p>
            <w:pPr>
              <w:jc w:val="center"/>
              <w:rPr>
                <w:rFonts w:ascii="宋体" w:hAnsi="宋体"/>
                <w:szCs w:val="21"/>
              </w:rPr>
            </w:pPr>
            <w:r>
              <w:rPr>
                <w:rFonts w:ascii="宋体" w:hAnsi="宋体"/>
                <w:szCs w:val="21"/>
              </w:rPr>
              <w:t>19</w:t>
            </w:r>
          </w:p>
        </w:tc>
        <w:tc>
          <w:tcPr>
            <w:tcW w:w="763" w:type="pct"/>
            <w:vAlign w:val="center"/>
          </w:tcPr>
          <w:p>
            <w:pPr>
              <w:jc w:val="center"/>
              <w:rPr>
                <w:rFonts w:ascii="宋体" w:hAnsi="宋体"/>
                <w:szCs w:val="21"/>
              </w:rPr>
            </w:pPr>
            <w:r>
              <w:rPr>
                <w:rFonts w:hint="eastAsia" w:ascii="宋体" w:hAnsi="宋体"/>
                <w:szCs w:val="21"/>
              </w:rPr>
              <w:t>评审</w:t>
            </w:r>
          </w:p>
        </w:tc>
        <w:tc>
          <w:tcPr>
            <w:tcW w:w="3402" w:type="pct"/>
            <w:vAlign w:val="center"/>
          </w:tcPr>
          <w:p>
            <w:pPr>
              <w:rPr>
                <w:rFonts w:ascii="宋体" w:hAnsi="宋体"/>
                <w:szCs w:val="21"/>
              </w:rPr>
            </w:pPr>
            <w:r>
              <w:rPr>
                <w:rFonts w:ascii="宋体" w:hAnsi="宋体"/>
                <w:szCs w:val="21"/>
              </w:rPr>
              <w:t>1</w:t>
            </w:r>
            <w:r>
              <w:rPr>
                <w:rFonts w:hint="eastAsia" w:ascii="宋体" w:hAnsi="宋体"/>
                <w:szCs w:val="21"/>
              </w:rPr>
              <w:t>）供应商的法定代表人或其授权代理应按采购人规定的时间到达指定的地点，与评审委员会进行磋商并对评审委员会提出的问题作出澄清和答复；</w:t>
            </w:r>
          </w:p>
          <w:p>
            <w:pPr>
              <w:rPr>
                <w:rFonts w:ascii="宋体" w:hAnsi="宋体"/>
                <w:szCs w:val="21"/>
              </w:rPr>
            </w:pPr>
            <w:r>
              <w:rPr>
                <w:rFonts w:hint="eastAsia" w:ascii="宋体" w:hAnsi="宋体"/>
                <w:szCs w:val="21"/>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rFonts w:ascii="宋体" w:hAnsi="宋体"/>
                <w:szCs w:val="21"/>
              </w:rPr>
            </w:pPr>
            <w:r>
              <w:rPr>
                <w:rFonts w:hint="eastAsia" w:ascii="宋体" w:hAnsi="宋体"/>
                <w:szCs w:val="21"/>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rFonts w:ascii="宋体" w:hAnsi="宋体"/>
                <w:szCs w:val="21"/>
              </w:rPr>
            </w:pPr>
            <w:r>
              <w:rPr>
                <w:rFonts w:hint="eastAsia" w:ascii="宋体" w:hAnsi="宋体"/>
                <w:szCs w:val="21"/>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rFonts w:ascii="宋体" w:hAnsi="宋体"/>
                <w:szCs w:val="21"/>
              </w:rPr>
            </w:pPr>
            <w:r>
              <w:rPr>
                <w:rFonts w:ascii="宋体" w:hAnsi="宋体"/>
                <w:szCs w:val="21"/>
              </w:rPr>
              <w:t>5</w:t>
            </w:r>
            <w:r>
              <w:rPr>
                <w:rFonts w:hint="eastAsia" w:ascii="宋体" w:hAnsi="宋体"/>
                <w:szCs w:val="21"/>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21" w:type="pct"/>
            <w:vAlign w:val="center"/>
          </w:tcPr>
          <w:p>
            <w:pPr>
              <w:jc w:val="center"/>
              <w:rPr>
                <w:rFonts w:ascii="宋体" w:hAnsi="宋体"/>
                <w:szCs w:val="21"/>
              </w:rPr>
            </w:pPr>
            <w:r>
              <w:rPr>
                <w:rFonts w:ascii="宋体" w:hAnsi="宋体"/>
                <w:szCs w:val="21"/>
              </w:rPr>
              <w:t>16</w:t>
            </w:r>
          </w:p>
        </w:tc>
        <w:tc>
          <w:tcPr>
            <w:tcW w:w="514" w:type="pct"/>
            <w:vAlign w:val="center"/>
          </w:tcPr>
          <w:p>
            <w:pPr>
              <w:jc w:val="center"/>
              <w:rPr>
                <w:rFonts w:ascii="宋体" w:hAnsi="宋体"/>
                <w:szCs w:val="21"/>
              </w:rPr>
            </w:pPr>
            <w:r>
              <w:rPr>
                <w:rFonts w:ascii="宋体" w:hAnsi="宋体"/>
                <w:szCs w:val="21"/>
              </w:rPr>
              <w:t>22.1</w:t>
            </w:r>
          </w:p>
        </w:tc>
        <w:tc>
          <w:tcPr>
            <w:tcW w:w="763" w:type="pct"/>
            <w:vAlign w:val="center"/>
          </w:tcPr>
          <w:p>
            <w:pPr>
              <w:jc w:val="center"/>
              <w:rPr>
                <w:rFonts w:ascii="宋体" w:hAnsi="宋体"/>
                <w:szCs w:val="21"/>
              </w:rPr>
            </w:pPr>
            <w:r>
              <w:rPr>
                <w:rFonts w:hint="eastAsia" w:ascii="宋体" w:hAnsi="宋体"/>
                <w:szCs w:val="21"/>
              </w:rPr>
              <w:t>成交</w:t>
            </w:r>
          </w:p>
          <w:p>
            <w:pPr>
              <w:jc w:val="center"/>
              <w:rPr>
                <w:rFonts w:ascii="宋体" w:hAnsi="宋体"/>
                <w:szCs w:val="21"/>
              </w:rPr>
            </w:pPr>
            <w:r>
              <w:rPr>
                <w:rFonts w:hint="eastAsia" w:ascii="宋体" w:hAnsi="宋体"/>
                <w:szCs w:val="21"/>
              </w:rPr>
              <w:t>供应商数量</w:t>
            </w:r>
          </w:p>
        </w:tc>
        <w:tc>
          <w:tcPr>
            <w:tcW w:w="3402" w:type="pct"/>
            <w:vAlign w:val="center"/>
          </w:tcPr>
          <w:p>
            <w:pPr>
              <w:rPr>
                <w:rFonts w:ascii="宋体" w:hAnsi="宋体"/>
                <w:szCs w:val="21"/>
              </w:rPr>
            </w:pPr>
            <w:r>
              <w:rPr>
                <w:rFonts w:hint="eastAsia" w:ascii="宋体" w:hAnsi="宋体"/>
                <w:szCs w:val="21"/>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21" w:type="pct"/>
            <w:vAlign w:val="center"/>
          </w:tcPr>
          <w:p>
            <w:pPr>
              <w:jc w:val="center"/>
              <w:rPr>
                <w:rFonts w:ascii="宋体" w:hAnsi="宋体"/>
                <w:szCs w:val="21"/>
              </w:rPr>
            </w:pPr>
            <w:r>
              <w:rPr>
                <w:rFonts w:ascii="宋体" w:hAnsi="宋体"/>
                <w:szCs w:val="21"/>
              </w:rPr>
              <w:t>17</w:t>
            </w:r>
          </w:p>
        </w:tc>
        <w:tc>
          <w:tcPr>
            <w:tcW w:w="514" w:type="pct"/>
            <w:vAlign w:val="center"/>
          </w:tcPr>
          <w:p>
            <w:pPr>
              <w:jc w:val="center"/>
              <w:rPr>
                <w:rFonts w:ascii="宋体" w:hAnsi="宋体"/>
                <w:szCs w:val="21"/>
              </w:rPr>
            </w:pPr>
            <w:r>
              <w:rPr>
                <w:rFonts w:ascii="宋体" w:hAnsi="宋体"/>
                <w:szCs w:val="21"/>
              </w:rPr>
              <w:t>24</w:t>
            </w:r>
          </w:p>
        </w:tc>
        <w:tc>
          <w:tcPr>
            <w:tcW w:w="763" w:type="pct"/>
            <w:vAlign w:val="center"/>
          </w:tcPr>
          <w:p>
            <w:pPr>
              <w:jc w:val="center"/>
              <w:rPr>
                <w:rFonts w:ascii="宋体" w:hAnsi="宋体"/>
                <w:szCs w:val="21"/>
              </w:rPr>
            </w:pPr>
            <w:r>
              <w:rPr>
                <w:rFonts w:hint="eastAsia" w:ascii="宋体" w:hAnsi="宋体"/>
                <w:szCs w:val="21"/>
              </w:rPr>
              <w:t>签约</w:t>
            </w:r>
          </w:p>
        </w:tc>
        <w:tc>
          <w:tcPr>
            <w:tcW w:w="3402" w:type="pct"/>
            <w:vAlign w:val="center"/>
          </w:tcPr>
          <w:p>
            <w:pPr>
              <w:rPr>
                <w:rFonts w:ascii="宋体" w:hAnsi="宋体"/>
                <w:szCs w:val="21"/>
              </w:rPr>
            </w:pPr>
            <w:r>
              <w:rPr>
                <w:rFonts w:hint="eastAsia" w:ascii="宋体" w:hAnsi="宋体"/>
                <w:szCs w:val="21"/>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4"/>
        </w:rPr>
      </w:pPr>
      <w:r>
        <w:rPr>
          <w:rFonts w:hint="eastAsia" w:ascii="宋体" w:hAnsi="宋体"/>
          <w:b/>
          <w:sz w:val="24"/>
        </w:rPr>
        <w:t>一、说明</w:t>
      </w:r>
    </w:p>
    <w:p>
      <w:pPr>
        <w:spacing w:line="360" w:lineRule="auto"/>
        <w:rPr>
          <w:rFonts w:ascii="宋体" w:hAnsi="宋体"/>
          <w:szCs w:val="21"/>
        </w:rPr>
      </w:pPr>
      <w:r>
        <w:rPr>
          <w:rFonts w:ascii="宋体" w:hAnsi="宋体"/>
          <w:szCs w:val="21"/>
        </w:rPr>
        <w:t>1.</w:t>
      </w:r>
      <w:r>
        <w:rPr>
          <w:rFonts w:hint="eastAsia" w:ascii="宋体" w:hAnsi="宋体"/>
          <w:szCs w:val="21"/>
        </w:rPr>
        <w:t>采购人及合格的供应商</w:t>
      </w:r>
    </w:p>
    <w:p>
      <w:pPr>
        <w:spacing w:line="360" w:lineRule="auto"/>
        <w:rPr>
          <w:rFonts w:ascii="宋体" w:hAnsi="宋体"/>
          <w:szCs w:val="21"/>
        </w:rPr>
      </w:pPr>
      <w:r>
        <w:rPr>
          <w:rFonts w:ascii="宋体" w:hAnsi="宋体"/>
          <w:szCs w:val="21"/>
        </w:rPr>
        <w:t xml:space="preserve">1.1 </w:t>
      </w:r>
      <w:r>
        <w:rPr>
          <w:rFonts w:hint="eastAsia" w:ascii="宋体" w:hAnsi="宋体"/>
          <w:szCs w:val="21"/>
        </w:rPr>
        <w:t>采购人是指国内采购产品的国家机关、企业、事业单位或其它组织。本项目采购人（详见《供应商须知前附表》）。</w:t>
      </w:r>
    </w:p>
    <w:p>
      <w:pPr>
        <w:spacing w:line="360" w:lineRule="auto"/>
        <w:rPr>
          <w:rFonts w:ascii="宋体" w:hAnsi="宋体"/>
          <w:szCs w:val="21"/>
        </w:rPr>
      </w:pPr>
      <w:r>
        <w:rPr>
          <w:rFonts w:ascii="宋体" w:hAnsi="宋体"/>
          <w:szCs w:val="21"/>
        </w:rPr>
        <w:t>1.2</w:t>
      </w:r>
      <w:r>
        <w:rPr>
          <w:rFonts w:hint="eastAsia" w:ascii="宋体" w:hAnsi="宋体"/>
          <w:szCs w:val="21"/>
        </w:rPr>
        <w:t>合格的供应商（详见《供应商须知前附表》）。</w:t>
      </w:r>
    </w:p>
    <w:p>
      <w:pPr>
        <w:spacing w:line="360" w:lineRule="auto"/>
        <w:rPr>
          <w:rFonts w:ascii="宋体" w:hAnsi="宋体"/>
          <w:szCs w:val="21"/>
        </w:rPr>
      </w:pPr>
      <w:r>
        <w:rPr>
          <w:rFonts w:ascii="宋体" w:hAnsi="宋体"/>
          <w:szCs w:val="21"/>
        </w:rPr>
        <w:t>2.</w:t>
      </w:r>
      <w:r>
        <w:rPr>
          <w:rFonts w:hint="eastAsia" w:ascii="宋体" w:hAnsi="宋体"/>
          <w:szCs w:val="21"/>
        </w:rPr>
        <w:t>费用</w:t>
      </w:r>
    </w:p>
    <w:p>
      <w:pPr>
        <w:spacing w:line="360" w:lineRule="auto"/>
        <w:rPr>
          <w:rFonts w:ascii="宋体" w:hAnsi="宋体"/>
          <w:sz w:val="24"/>
        </w:rPr>
      </w:pPr>
      <w:r>
        <w:rPr>
          <w:rFonts w:ascii="宋体" w:hAnsi="宋体"/>
          <w:szCs w:val="21"/>
        </w:rPr>
        <w:t xml:space="preserve">2.1  </w:t>
      </w:r>
      <w:r>
        <w:rPr>
          <w:rFonts w:hint="eastAsia" w:ascii="宋体" w:hAnsi="宋体"/>
          <w:szCs w:val="21"/>
        </w:rPr>
        <w:t>供应商应承担所有与准备和参加竞争有关的费用。不论结果如何，采购人均无义务和责任承担这些费用。</w:t>
      </w:r>
    </w:p>
    <w:p>
      <w:pPr>
        <w:spacing w:line="360" w:lineRule="auto"/>
        <w:rPr>
          <w:rFonts w:ascii="宋体" w:hAnsi="宋体"/>
          <w:szCs w:val="21"/>
        </w:rPr>
      </w:pPr>
      <w:r>
        <w:rPr>
          <w:rFonts w:hint="eastAsia" w:ascii="宋体" w:hAnsi="宋体"/>
          <w:b/>
          <w:sz w:val="24"/>
        </w:rPr>
        <w:t>二、竞争性磋商文件</w:t>
      </w:r>
    </w:p>
    <w:p>
      <w:pPr>
        <w:spacing w:line="360" w:lineRule="auto"/>
        <w:rPr>
          <w:rFonts w:ascii="宋体" w:hAnsi="宋体"/>
          <w:szCs w:val="21"/>
        </w:rPr>
      </w:pPr>
      <w:r>
        <w:rPr>
          <w:rFonts w:ascii="宋体" w:hAnsi="宋体"/>
          <w:szCs w:val="21"/>
        </w:rPr>
        <w:t>3.</w:t>
      </w:r>
      <w:r>
        <w:rPr>
          <w:rFonts w:hint="eastAsia" w:ascii="宋体" w:hAnsi="宋体"/>
          <w:szCs w:val="21"/>
        </w:rPr>
        <w:t>竞争性磋商文件构成</w:t>
      </w:r>
    </w:p>
    <w:p>
      <w:pPr>
        <w:spacing w:line="360" w:lineRule="auto"/>
        <w:rPr>
          <w:rFonts w:ascii="宋体" w:hAnsi="宋体"/>
          <w:szCs w:val="21"/>
        </w:rPr>
      </w:pPr>
      <w:r>
        <w:rPr>
          <w:rFonts w:ascii="宋体" w:hAnsi="宋体"/>
          <w:szCs w:val="21"/>
        </w:rPr>
        <w:t xml:space="preserve">3.1 </w:t>
      </w:r>
      <w:r>
        <w:rPr>
          <w:rFonts w:hint="eastAsia" w:ascii="宋体" w:hAnsi="宋体"/>
          <w:szCs w:val="21"/>
        </w:rPr>
        <w:t>竞争性磋商文件共六章，内容如下：</w:t>
      </w:r>
    </w:p>
    <w:p>
      <w:pPr>
        <w:spacing w:line="360" w:lineRule="auto"/>
        <w:rPr>
          <w:rFonts w:ascii="宋体" w:hAnsi="宋体"/>
          <w:szCs w:val="21"/>
        </w:rPr>
      </w:pPr>
      <w:r>
        <w:rPr>
          <w:rFonts w:hint="eastAsia" w:ascii="宋体" w:hAnsi="宋体"/>
          <w:szCs w:val="21"/>
        </w:rPr>
        <w:t>第一章 竞争性磋商</w:t>
      </w:r>
      <w:r>
        <w:rPr>
          <w:rFonts w:ascii="宋体" w:hAnsi="宋体"/>
          <w:szCs w:val="21"/>
        </w:rPr>
        <w:t>公告</w:t>
      </w:r>
    </w:p>
    <w:p>
      <w:pPr>
        <w:spacing w:line="360" w:lineRule="auto"/>
        <w:rPr>
          <w:rFonts w:ascii="宋体" w:hAnsi="宋体"/>
          <w:szCs w:val="21"/>
        </w:rPr>
      </w:pPr>
      <w:r>
        <w:rPr>
          <w:rFonts w:hint="eastAsia" w:ascii="宋体" w:hAnsi="宋体"/>
          <w:szCs w:val="21"/>
        </w:rPr>
        <w:t>第二章 竞争性磋商须知</w:t>
      </w:r>
    </w:p>
    <w:p>
      <w:pPr>
        <w:spacing w:line="360" w:lineRule="auto"/>
        <w:rPr>
          <w:rFonts w:ascii="宋体" w:hAnsi="宋体"/>
          <w:szCs w:val="21"/>
        </w:rPr>
      </w:pPr>
      <w:r>
        <w:rPr>
          <w:rFonts w:hint="eastAsia" w:ascii="宋体" w:hAnsi="宋体"/>
          <w:szCs w:val="21"/>
        </w:rPr>
        <w:t>第三章 评审办法</w:t>
      </w:r>
    </w:p>
    <w:p>
      <w:pPr>
        <w:spacing w:line="360" w:lineRule="auto"/>
        <w:rPr>
          <w:rFonts w:ascii="宋体" w:hAnsi="宋体"/>
          <w:szCs w:val="21"/>
        </w:rPr>
      </w:pPr>
      <w:r>
        <w:rPr>
          <w:rFonts w:hint="eastAsia" w:ascii="宋体" w:hAnsi="宋体"/>
          <w:szCs w:val="21"/>
        </w:rPr>
        <w:t>第四章 合同格式</w:t>
      </w:r>
    </w:p>
    <w:p>
      <w:pPr>
        <w:spacing w:line="360" w:lineRule="auto"/>
        <w:rPr>
          <w:rFonts w:ascii="宋体" w:hAnsi="宋体"/>
          <w:szCs w:val="21"/>
        </w:rPr>
      </w:pPr>
      <w:r>
        <w:rPr>
          <w:rFonts w:hint="eastAsia" w:ascii="宋体" w:hAnsi="宋体"/>
          <w:szCs w:val="21"/>
        </w:rPr>
        <w:t>第五章 技术需求书</w:t>
      </w:r>
    </w:p>
    <w:p>
      <w:pPr>
        <w:spacing w:line="360" w:lineRule="auto"/>
        <w:rPr>
          <w:rFonts w:ascii="宋体" w:hAnsi="宋体"/>
          <w:szCs w:val="21"/>
        </w:rPr>
      </w:pPr>
      <w:r>
        <w:rPr>
          <w:rFonts w:hint="eastAsia" w:ascii="宋体" w:hAnsi="宋体"/>
          <w:szCs w:val="21"/>
        </w:rPr>
        <w:t>第六章 竞争性磋商响应文件格式</w:t>
      </w:r>
    </w:p>
    <w:p>
      <w:pPr>
        <w:spacing w:line="360" w:lineRule="auto"/>
        <w:rPr>
          <w:rFonts w:ascii="宋体" w:hAnsi="宋体"/>
          <w:szCs w:val="21"/>
        </w:rPr>
      </w:pPr>
      <w:r>
        <w:rPr>
          <w:rFonts w:ascii="宋体" w:hAnsi="宋体"/>
          <w:szCs w:val="21"/>
        </w:rPr>
        <w:t xml:space="preserve">3.2 </w:t>
      </w:r>
      <w:r>
        <w:rPr>
          <w:rFonts w:hint="eastAsia" w:ascii="宋体" w:hAnsi="宋体"/>
          <w:szCs w:val="21"/>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Cs w:val="21"/>
        </w:rPr>
      </w:pPr>
      <w:r>
        <w:rPr>
          <w:rFonts w:ascii="宋体" w:hAnsi="宋体"/>
          <w:szCs w:val="21"/>
        </w:rPr>
        <w:t>4.</w:t>
      </w:r>
      <w:r>
        <w:rPr>
          <w:rFonts w:hint="eastAsia" w:ascii="宋体" w:hAnsi="宋体"/>
          <w:szCs w:val="21"/>
        </w:rPr>
        <w:t>竞争性磋商文件的澄清</w:t>
      </w:r>
    </w:p>
    <w:p>
      <w:pPr>
        <w:spacing w:line="360" w:lineRule="auto"/>
        <w:rPr>
          <w:rFonts w:ascii="宋体" w:hAnsi="宋体"/>
          <w:szCs w:val="21"/>
        </w:rPr>
      </w:pPr>
      <w:r>
        <w:rPr>
          <w:rFonts w:ascii="宋体" w:hAnsi="宋体"/>
          <w:szCs w:val="21"/>
        </w:rPr>
        <w:t xml:space="preserve">4.1 </w:t>
      </w:r>
      <w:r>
        <w:rPr>
          <w:rFonts w:hint="eastAsia" w:ascii="宋体" w:hAnsi="宋体"/>
          <w:szCs w:val="21"/>
        </w:rPr>
        <w:t>任何要求对竞争性磋商文件进行澄清的供应商，均应按规定的递交响应文件截止期五（</w:t>
      </w:r>
      <w:r>
        <w:rPr>
          <w:rFonts w:ascii="宋体" w:hAnsi="宋体"/>
          <w:szCs w:val="21"/>
        </w:rPr>
        <w:t>5</w:t>
      </w:r>
      <w:r>
        <w:rPr>
          <w:rFonts w:hint="eastAsia" w:ascii="宋体" w:hAnsi="宋体"/>
          <w:szCs w:val="21"/>
        </w:rPr>
        <w:t>）天前以书面形式通知采购人。逾期的澄清要求将不被接受。</w:t>
      </w:r>
    </w:p>
    <w:p>
      <w:pPr>
        <w:spacing w:line="360" w:lineRule="auto"/>
        <w:rPr>
          <w:rFonts w:ascii="宋体" w:hAnsi="宋体"/>
          <w:szCs w:val="21"/>
        </w:rPr>
      </w:pPr>
      <w:r>
        <w:rPr>
          <w:rFonts w:ascii="宋体" w:hAnsi="宋体"/>
          <w:szCs w:val="21"/>
        </w:rPr>
        <w:t>5.</w:t>
      </w:r>
      <w:r>
        <w:rPr>
          <w:rFonts w:hint="eastAsia" w:ascii="宋体" w:hAnsi="宋体"/>
          <w:szCs w:val="21"/>
        </w:rPr>
        <w:t>竞争性磋商文件的修改</w:t>
      </w:r>
    </w:p>
    <w:p>
      <w:pPr>
        <w:spacing w:line="360" w:lineRule="auto"/>
        <w:rPr>
          <w:rFonts w:ascii="宋体" w:hAnsi="宋体"/>
          <w:szCs w:val="21"/>
        </w:rPr>
      </w:pPr>
      <w:r>
        <w:rPr>
          <w:rFonts w:ascii="宋体" w:hAnsi="宋体"/>
          <w:szCs w:val="21"/>
        </w:rPr>
        <w:t>5.1</w:t>
      </w:r>
      <w:r>
        <w:rPr>
          <w:rFonts w:hint="eastAsia" w:ascii="宋体" w:hAnsi="宋体"/>
          <w:szCs w:val="21"/>
        </w:rPr>
        <w:t>为使供应商准备响应文件时有充分时间对竞争性磋商文件的修改部分进行研究，采购人可自行决定是否延长递交响应文件截止时间。</w:t>
      </w:r>
    </w:p>
    <w:p>
      <w:pPr>
        <w:spacing w:line="360" w:lineRule="auto"/>
        <w:rPr>
          <w:rFonts w:ascii="宋体" w:hAnsi="宋体"/>
          <w:szCs w:val="21"/>
        </w:rPr>
      </w:pPr>
      <w:r>
        <w:rPr>
          <w:rFonts w:ascii="宋体" w:hAnsi="宋体"/>
          <w:szCs w:val="21"/>
        </w:rPr>
        <w:t xml:space="preserve">5.2 </w:t>
      </w:r>
      <w:r>
        <w:rPr>
          <w:rFonts w:hint="eastAsia" w:ascii="宋体" w:hAnsi="宋体"/>
          <w:szCs w:val="21"/>
        </w:rPr>
        <w:t>在递交响应文件截止时间（包含延长了的递交响应文件截止时间）五（</w:t>
      </w:r>
      <w:r>
        <w:rPr>
          <w:rFonts w:ascii="宋体" w:hAnsi="宋体"/>
          <w:szCs w:val="21"/>
        </w:rPr>
        <w:t>5</w:t>
      </w:r>
      <w:r>
        <w:rPr>
          <w:rFonts w:hint="eastAsia" w:ascii="宋体" w:hAnsi="宋体"/>
          <w:szCs w:val="21"/>
        </w:rPr>
        <w:t>）天以前的任何时候，无论出于何种原因，采购人可主动地或在解答供应商提出的澄清问题时对竞争性磋商文件进行修改。</w:t>
      </w:r>
    </w:p>
    <w:p>
      <w:pPr>
        <w:spacing w:line="360" w:lineRule="auto"/>
        <w:rPr>
          <w:rFonts w:ascii="宋体" w:hAnsi="宋体"/>
          <w:szCs w:val="21"/>
        </w:rPr>
      </w:pPr>
      <w:r>
        <w:rPr>
          <w:rFonts w:ascii="宋体" w:hAnsi="宋体"/>
          <w:szCs w:val="21"/>
        </w:rPr>
        <w:t xml:space="preserve">5.3 </w:t>
      </w:r>
      <w:r>
        <w:rPr>
          <w:rFonts w:hint="eastAsia" w:ascii="宋体" w:hAnsi="宋体"/>
          <w:szCs w:val="21"/>
        </w:rPr>
        <w:t>竞争性磋商文件的修改将以书面形式在递交响应文件截止时间（包含延长了的递交响应文件截止时间）五（</w:t>
      </w:r>
      <w:r>
        <w:rPr>
          <w:rFonts w:ascii="宋体" w:hAnsi="宋体"/>
          <w:szCs w:val="21"/>
        </w:rPr>
        <w:t>5</w:t>
      </w:r>
      <w:r>
        <w:rPr>
          <w:rFonts w:hint="eastAsia" w:ascii="宋体" w:hAnsi="宋体"/>
          <w:szCs w:val="21"/>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4"/>
        </w:rPr>
      </w:pPr>
      <w:r>
        <w:rPr>
          <w:rFonts w:hint="eastAsia" w:ascii="宋体" w:hAnsi="宋体"/>
          <w:b/>
          <w:sz w:val="24"/>
        </w:rPr>
        <w:t>三、响应文件的编制</w:t>
      </w:r>
    </w:p>
    <w:p>
      <w:pPr>
        <w:spacing w:line="360" w:lineRule="auto"/>
        <w:rPr>
          <w:rFonts w:ascii="宋体" w:hAnsi="宋体"/>
          <w:szCs w:val="21"/>
        </w:rPr>
      </w:pPr>
      <w:r>
        <w:rPr>
          <w:rFonts w:ascii="宋体" w:hAnsi="宋体"/>
          <w:szCs w:val="21"/>
        </w:rPr>
        <w:t>6.</w:t>
      </w:r>
      <w:r>
        <w:rPr>
          <w:rFonts w:hint="eastAsia" w:ascii="宋体" w:hAnsi="宋体"/>
          <w:szCs w:val="21"/>
        </w:rPr>
        <w:t>响应文件的语言</w:t>
      </w:r>
    </w:p>
    <w:p>
      <w:pPr>
        <w:spacing w:line="360" w:lineRule="auto"/>
        <w:rPr>
          <w:rFonts w:ascii="宋体" w:hAnsi="宋体"/>
          <w:szCs w:val="21"/>
        </w:rPr>
      </w:pPr>
      <w:r>
        <w:rPr>
          <w:rFonts w:ascii="宋体" w:hAnsi="宋体"/>
          <w:szCs w:val="21"/>
        </w:rPr>
        <w:t xml:space="preserve">6.1 </w:t>
      </w:r>
      <w:r>
        <w:rPr>
          <w:rFonts w:hint="eastAsia" w:ascii="宋体" w:hAnsi="宋体"/>
          <w:szCs w:val="21"/>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Cs w:val="21"/>
        </w:rPr>
      </w:pPr>
      <w:r>
        <w:rPr>
          <w:rFonts w:ascii="宋体" w:hAnsi="宋体"/>
          <w:szCs w:val="21"/>
        </w:rPr>
        <w:t>7.</w:t>
      </w:r>
      <w:r>
        <w:rPr>
          <w:rFonts w:hint="eastAsia" w:ascii="宋体" w:hAnsi="宋体"/>
          <w:szCs w:val="21"/>
        </w:rPr>
        <w:t>响应文件构成</w:t>
      </w:r>
    </w:p>
    <w:p>
      <w:pPr>
        <w:spacing w:line="360" w:lineRule="auto"/>
        <w:rPr>
          <w:rFonts w:ascii="宋体" w:hAnsi="宋体"/>
          <w:szCs w:val="21"/>
        </w:rPr>
      </w:pPr>
      <w:r>
        <w:rPr>
          <w:rFonts w:ascii="宋体" w:hAnsi="宋体"/>
          <w:szCs w:val="21"/>
        </w:rPr>
        <w:t xml:space="preserve">7.1 </w:t>
      </w:r>
      <w:r>
        <w:rPr>
          <w:rFonts w:hint="eastAsia" w:ascii="宋体" w:hAnsi="宋体"/>
          <w:szCs w:val="21"/>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Cs w:val="21"/>
        </w:rPr>
        <w:t>/</w:t>
      </w:r>
      <w:r>
        <w:rPr>
          <w:rFonts w:hint="eastAsia" w:ascii="宋体" w:hAnsi="宋体"/>
          <w:szCs w:val="21"/>
        </w:rPr>
        <w:t>或服务的合格性和符合竞争性磋商文件规定的文件；竞争性磋商文件要求的其它文件；供应商认为其它需提供的文件。</w:t>
      </w:r>
    </w:p>
    <w:p>
      <w:pPr>
        <w:spacing w:line="360" w:lineRule="auto"/>
        <w:rPr>
          <w:rFonts w:ascii="宋体" w:hAnsi="宋体"/>
          <w:szCs w:val="21"/>
        </w:rPr>
      </w:pPr>
      <w:r>
        <w:rPr>
          <w:rFonts w:ascii="宋体" w:hAnsi="宋体"/>
          <w:szCs w:val="21"/>
        </w:rPr>
        <w:t>1</w:t>
      </w:r>
      <w:r>
        <w:rPr>
          <w:rFonts w:hint="eastAsia" w:ascii="宋体" w:hAnsi="宋体"/>
          <w:szCs w:val="21"/>
        </w:rPr>
        <w:t>）响应文件基本文件</w:t>
      </w:r>
    </w:p>
    <w:p>
      <w:pPr>
        <w:spacing w:line="360" w:lineRule="auto"/>
        <w:rPr>
          <w:rFonts w:ascii="宋体" w:hAnsi="宋体"/>
          <w:szCs w:val="21"/>
        </w:rPr>
      </w:pPr>
      <w:r>
        <w:rPr>
          <w:rFonts w:hint="eastAsia" w:ascii="宋体" w:hAnsi="宋体"/>
          <w:szCs w:val="21"/>
        </w:rPr>
        <w:t>项目方案</w:t>
      </w:r>
    </w:p>
    <w:p>
      <w:pPr>
        <w:spacing w:line="360" w:lineRule="auto"/>
        <w:rPr>
          <w:rFonts w:ascii="宋体" w:hAnsi="宋体"/>
          <w:szCs w:val="21"/>
        </w:rPr>
      </w:pPr>
      <w:r>
        <w:rPr>
          <w:rFonts w:hint="eastAsia" w:ascii="宋体" w:hAnsi="宋体"/>
          <w:szCs w:val="21"/>
        </w:rPr>
        <w:t>响应函（格式见附件）</w:t>
      </w:r>
    </w:p>
    <w:p>
      <w:pPr>
        <w:spacing w:line="360" w:lineRule="auto"/>
        <w:rPr>
          <w:rFonts w:ascii="宋体" w:hAnsi="宋体"/>
          <w:szCs w:val="21"/>
        </w:rPr>
      </w:pPr>
      <w:r>
        <w:rPr>
          <w:rFonts w:hint="eastAsia" w:ascii="宋体" w:hAnsi="宋体"/>
          <w:szCs w:val="21"/>
        </w:rPr>
        <w:t>报价表（格式见附件）</w:t>
      </w:r>
    </w:p>
    <w:p>
      <w:pPr>
        <w:spacing w:line="360" w:lineRule="auto"/>
        <w:rPr>
          <w:rFonts w:ascii="宋体" w:hAnsi="宋体"/>
          <w:szCs w:val="21"/>
        </w:rPr>
      </w:pPr>
      <w:r>
        <w:rPr>
          <w:rFonts w:ascii="宋体" w:hAnsi="宋体"/>
          <w:szCs w:val="21"/>
        </w:rPr>
        <w:t>2</w:t>
      </w:r>
      <w:r>
        <w:rPr>
          <w:rFonts w:hint="eastAsia" w:ascii="宋体" w:hAnsi="宋体"/>
          <w:szCs w:val="21"/>
        </w:rPr>
        <w:t>）供应商提交的证明其合格且中选后有能力履行合同的资格证明文件（详见《竞争性磋商公告》）以及供应商认为需提供的其它文件和证书</w:t>
      </w:r>
    </w:p>
    <w:p>
      <w:pPr>
        <w:spacing w:line="360" w:lineRule="auto"/>
        <w:rPr>
          <w:rFonts w:ascii="宋体" w:hAnsi="宋体"/>
          <w:szCs w:val="21"/>
        </w:rPr>
      </w:pPr>
      <w:r>
        <w:rPr>
          <w:rFonts w:ascii="宋体" w:hAnsi="宋体"/>
          <w:szCs w:val="21"/>
        </w:rPr>
        <w:t>3</w:t>
      </w:r>
      <w:r>
        <w:rPr>
          <w:rFonts w:hint="eastAsia" w:ascii="宋体" w:hAnsi="宋体"/>
          <w:szCs w:val="21"/>
        </w:rPr>
        <w:t>）证明供应商所提供的产品及</w:t>
      </w:r>
      <w:r>
        <w:rPr>
          <w:rFonts w:ascii="宋体" w:hAnsi="宋体"/>
          <w:szCs w:val="21"/>
        </w:rPr>
        <w:t>/</w:t>
      </w:r>
      <w:r>
        <w:rPr>
          <w:rFonts w:hint="eastAsia" w:ascii="宋体" w:hAnsi="宋体"/>
          <w:szCs w:val="21"/>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Cs w:val="21"/>
        </w:rPr>
      </w:pPr>
      <w:r>
        <w:rPr>
          <w:rFonts w:ascii="宋体" w:hAnsi="宋体"/>
          <w:szCs w:val="21"/>
        </w:rPr>
        <w:t>4</w:t>
      </w:r>
      <w:r>
        <w:rPr>
          <w:rFonts w:hint="eastAsia" w:ascii="宋体" w:hAnsi="宋体"/>
          <w:szCs w:val="21"/>
        </w:rPr>
        <w:t>）竞争性磋商文件要求的其它内容和文件</w:t>
      </w:r>
    </w:p>
    <w:p>
      <w:pPr>
        <w:spacing w:line="360" w:lineRule="auto"/>
        <w:rPr>
          <w:rFonts w:ascii="宋体" w:hAnsi="宋体"/>
          <w:szCs w:val="21"/>
        </w:rPr>
      </w:pPr>
      <w:r>
        <w:rPr>
          <w:rFonts w:ascii="宋体" w:hAnsi="宋体"/>
          <w:szCs w:val="21"/>
        </w:rPr>
        <w:t>5</w:t>
      </w:r>
      <w:r>
        <w:rPr>
          <w:rFonts w:hint="eastAsia" w:ascii="宋体" w:hAnsi="宋体"/>
          <w:szCs w:val="21"/>
        </w:rPr>
        <w:t>）供应商认为其它需提供的文件或证书</w:t>
      </w:r>
    </w:p>
    <w:p>
      <w:pPr>
        <w:spacing w:line="360" w:lineRule="auto"/>
        <w:rPr>
          <w:rFonts w:ascii="宋体" w:hAnsi="宋体"/>
          <w:szCs w:val="21"/>
        </w:rPr>
      </w:pPr>
      <w:r>
        <w:rPr>
          <w:rFonts w:ascii="宋体" w:hAnsi="宋体"/>
          <w:szCs w:val="21"/>
        </w:rPr>
        <w:t>6）合同文本的提供（详见《供应商须知前附表》）</w:t>
      </w:r>
    </w:p>
    <w:p>
      <w:pPr>
        <w:spacing w:line="360" w:lineRule="auto"/>
        <w:rPr>
          <w:rFonts w:ascii="宋体" w:hAnsi="宋体"/>
          <w:szCs w:val="21"/>
        </w:rPr>
      </w:pPr>
      <w:r>
        <w:rPr>
          <w:rFonts w:ascii="宋体" w:hAnsi="宋体"/>
          <w:szCs w:val="21"/>
        </w:rPr>
        <w:t xml:space="preserve">7.2 </w:t>
      </w:r>
      <w:r>
        <w:rPr>
          <w:rFonts w:hint="eastAsia" w:ascii="宋体" w:hAnsi="宋体"/>
          <w:szCs w:val="21"/>
        </w:rPr>
        <w:t>供应商提供的以上材料必须真实有效，任何一项的虚假将导致其响应文件被拒绝。</w:t>
      </w:r>
    </w:p>
    <w:p>
      <w:pPr>
        <w:spacing w:line="360" w:lineRule="auto"/>
        <w:rPr>
          <w:rFonts w:ascii="宋体" w:hAnsi="宋体"/>
          <w:szCs w:val="21"/>
        </w:rPr>
      </w:pPr>
      <w:r>
        <w:rPr>
          <w:rFonts w:ascii="宋体" w:hAnsi="宋体"/>
          <w:szCs w:val="21"/>
        </w:rPr>
        <w:t>8.</w:t>
      </w:r>
      <w:r>
        <w:rPr>
          <w:rFonts w:hint="eastAsia" w:ascii="宋体" w:hAnsi="宋体"/>
          <w:szCs w:val="21"/>
        </w:rPr>
        <w:t>响应文件的式样和签署（详见《供应商须知前附表》）</w:t>
      </w:r>
    </w:p>
    <w:p>
      <w:pPr>
        <w:spacing w:line="360" w:lineRule="auto"/>
        <w:rPr>
          <w:rFonts w:ascii="宋体" w:hAnsi="宋体"/>
          <w:szCs w:val="21"/>
        </w:rPr>
      </w:pPr>
      <w:r>
        <w:rPr>
          <w:rFonts w:ascii="宋体" w:hAnsi="宋体"/>
          <w:szCs w:val="21"/>
        </w:rPr>
        <w:t xml:space="preserve">8.1 </w:t>
      </w:r>
      <w:r>
        <w:rPr>
          <w:rFonts w:hint="eastAsia" w:ascii="宋体" w:hAnsi="宋体"/>
          <w:szCs w:val="21"/>
        </w:rPr>
        <w:t>响应文件一式3份（</w:t>
      </w:r>
      <w:r>
        <w:rPr>
          <w:rFonts w:ascii="宋体" w:hAnsi="宋体"/>
          <w:szCs w:val="21"/>
        </w:rPr>
        <w:t xml:space="preserve">1 </w:t>
      </w:r>
      <w:r>
        <w:rPr>
          <w:rFonts w:hint="eastAsia" w:ascii="宋体" w:hAnsi="宋体"/>
          <w:szCs w:val="21"/>
        </w:rPr>
        <w:t>份正本、2份副本），电子版本一份。响应文件用中文编写，</w:t>
      </w:r>
      <w:r>
        <w:rPr>
          <w:rFonts w:ascii="宋体" w:hAnsi="宋体"/>
          <w:szCs w:val="21"/>
        </w:rPr>
        <w:t>A4</w:t>
      </w:r>
      <w:r>
        <w:rPr>
          <w:rFonts w:hint="eastAsia" w:ascii="宋体" w:hAnsi="宋体"/>
          <w:szCs w:val="21"/>
        </w:rPr>
        <w:t>纸胶装。其中正本必须注明“正本”字样，正、副本及电子版本内容必须保持一致，副本可以用复印件。若正本和副本或电子版本不符，以正本为准。</w:t>
      </w:r>
    </w:p>
    <w:p>
      <w:pPr>
        <w:spacing w:line="360" w:lineRule="auto"/>
        <w:rPr>
          <w:rFonts w:ascii="宋体" w:hAnsi="宋体"/>
          <w:szCs w:val="21"/>
        </w:rPr>
      </w:pPr>
      <w:r>
        <w:rPr>
          <w:rFonts w:ascii="宋体" w:hAnsi="宋体"/>
          <w:szCs w:val="21"/>
        </w:rPr>
        <w:t xml:space="preserve">8.2 </w:t>
      </w:r>
      <w:r>
        <w:rPr>
          <w:rFonts w:hint="eastAsia" w:ascii="宋体" w:hAnsi="宋体"/>
          <w:szCs w:val="21"/>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Cs w:val="21"/>
        </w:rPr>
      </w:pPr>
      <w:r>
        <w:rPr>
          <w:rFonts w:ascii="宋体" w:hAnsi="宋体"/>
          <w:szCs w:val="21"/>
        </w:rPr>
        <w:t xml:space="preserve">8.3 </w:t>
      </w:r>
      <w:r>
        <w:rPr>
          <w:rFonts w:hint="eastAsia" w:ascii="宋体" w:hAnsi="宋体"/>
          <w:szCs w:val="21"/>
        </w:rPr>
        <w:t>如供应商对竞争性磋商文件个别内容不能接受，应在响应文件中另做声明，否则将视为供应商接受竞争性磋商文件全部内容。</w:t>
      </w:r>
    </w:p>
    <w:p>
      <w:pPr>
        <w:spacing w:line="360" w:lineRule="auto"/>
        <w:rPr>
          <w:rFonts w:ascii="宋体" w:hAnsi="宋体"/>
          <w:szCs w:val="21"/>
        </w:rPr>
      </w:pPr>
      <w:r>
        <w:rPr>
          <w:rFonts w:ascii="宋体" w:hAnsi="宋体"/>
          <w:szCs w:val="21"/>
        </w:rPr>
        <w:t xml:space="preserve">8.4 </w:t>
      </w:r>
      <w:r>
        <w:rPr>
          <w:rFonts w:hint="eastAsia" w:ascii="宋体" w:hAnsi="宋体"/>
          <w:szCs w:val="21"/>
        </w:rPr>
        <w:t>任何对响应文件行间插字、涂改和增删，必须由响应文件签字人签字或盖章后才有效。</w:t>
      </w:r>
    </w:p>
    <w:p>
      <w:pPr>
        <w:spacing w:line="360" w:lineRule="auto"/>
        <w:rPr>
          <w:rFonts w:ascii="宋体" w:hAnsi="宋体"/>
          <w:szCs w:val="21"/>
        </w:rPr>
      </w:pPr>
      <w:r>
        <w:rPr>
          <w:rFonts w:ascii="宋体" w:hAnsi="宋体"/>
          <w:szCs w:val="21"/>
        </w:rPr>
        <w:t xml:space="preserve">8.5 </w:t>
      </w:r>
      <w:r>
        <w:rPr>
          <w:rFonts w:hint="eastAsia" w:ascii="宋体" w:hAnsi="宋体"/>
          <w:szCs w:val="21"/>
        </w:rPr>
        <w:t>响应文件因字迹潦草或表达不清所引起的后果由供应商负责。</w:t>
      </w:r>
    </w:p>
    <w:p>
      <w:pPr>
        <w:spacing w:line="360" w:lineRule="auto"/>
        <w:rPr>
          <w:rFonts w:ascii="宋体" w:hAnsi="宋体"/>
          <w:szCs w:val="21"/>
        </w:rPr>
      </w:pPr>
      <w:r>
        <w:rPr>
          <w:rFonts w:ascii="宋体" w:hAnsi="宋体"/>
          <w:szCs w:val="21"/>
        </w:rPr>
        <w:t>9.</w:t>
      </w:r>
      <w:r>
        <w:rPr>
          <w:rFonts w:hint="eastAsia" w:ascii="宋体" w:hAnsi="宋体"/>
          <w:szCs w:val="21"/>
        </w:rPr>
        <w:t>报价</w:t>
      </w:r>
    </w:p>
    <w:p>
      <w:pPr>
        <w:spacing w:line="360" w:lineRule="auto"/>
        <w:rPr>
          <w:rFonts w:ascii="宋体" w:hAnsi="宋体"/>
          <w:szCs w:val="21"/>
        </w:rPr>
      </w:pPr>
      <w:r>
        <w:rPr>
          <w:rFonts w:ascii="宋体" w:hAnsi="宋体"/>
          <w:szCs w:val="21"/>
        </w:rPr>
        <w:t xml:space="preserve">9.1 </w:t>
      </w:r>
      <w:r>
        <w:rPr>
          <w:rFonts w:hint="eastAsia" w:ascii="宋体" w:hAnsi="宋体"/>
          <w:szCs w:val="21"/>
        </w:rPr>
        <w:t>报价：人民币报价。供应商应按照竞争性磋商文件要求，在响应文件中报出本项目包含的所有产品和服务的报价（格式见附件）。</w:t>
      </w:r>
    </w:p>
    <w:p>
      <w:pPr>
        <w:spacing w:line="360" w:lineRule="auto"/>
        <w:rPr>
          <w:rFonts w:ascii="宋体" w:hAnsi="宋体"/>
          <w:szCs w:val="21"/>
        </w:rPr>
      </w:pPr>
      <w:r>
        <w:rPr>
          <w:rFonts w:ascii="宋体" w:hAnsi="宋体"/>
          <w:szCs w:val="21"/>
        </w:rPr>
        <w:t xml:space="preserve">9.2 </w:t>
      </w:r>
      <w:r>
        <w:rPr>
          <w:rFonts w:hint="eastAsia" w:ascii="宋体" w:hAnsi="宋体"/>
          <w:szCs w:val="21"/>
        </w:rPr>
        <w:t>供应商的报价包括供应商为完成采购人的项目建设所发生的一切费用（包括全部产品及相关服务）且已包括与所报产品</w:t>
      </w:r>
      <w:r>
        <w:rPr>
          <w:rFonts w:ascii="宋体" w:hAnsi="宋体"/>
          <w:szCs w:val="21"/>
        </w:rPr>
        <w:t>/</w:t>
      </w:r>
      <w:r>
        <w:rPr>
          <w:rFonts w:hint="eastAsia" w:ascii="宋体" w:hAnsi="宋体"/>
          <w:szCs w:val="21"/>
        </w:rPr>
        <w:t>服务相关的所有税费。供应商估算错误或漏项的风险一律由供应商承担。</w:t>
      </w:r>
    </w:p>
    <w:p>
      <w:pPr>
        <w:spacing w:line="360" w:lineRule="auto"/>
        <w:rPr>
          <w:rFonts w:ascii="宋体" w:hAnsi="宋体"/>
          <w:szCs w:val="21"/>
        </w:rPr>
      </w:pPr>
      <w:r>
        <w:rPr>
          <w:rFonts w:ascii="宋体" w:hAnsi="宋体"/>
          <w:szCs w:val="21"/>
        </w:rPr>
        <w:t xml:space="preserve">9.3 </w:t>
      </w:r>
      <w:r>
        <w:rPr>
          <w:rFonts w:hint="eastAsia" w:ascii="宋体" w:hAnsi="宋体"/>
          <w:szCs w:val="21"/>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Cs w:val="21"/>
        </w:rPr>
      </w:pPr>
      <w:r>
        <w:rPr>
          <w:rFonts w:ascii="宋体" w:hAnsi="宋体"/>
          <w:szCs w:val="21"/>
        </w:rPr>
        <w:t xml:space="preserve">9.4 </w:t>
      </w:r>
      <w:r>
        <w:rPr>
          <w:rFonts w:hint="eastAsia" w:ascii="宋体" w:hAnsi="宋体"/>
          <w:szCs w:val="21"/>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Cs w:val="21"/>
        </w:rPr>
      </w:pPr>
      <w:r>
        <w:rPr>
          <w:rFonts w:ascii="宋体" w:hAnsi="宋体"/>
          <w:szCs w:val="21"/>
        </w:rPr>
        <w:t>10. 响应有效期（详见《供应商须知前附表》）</w:t>
      </w:r>
    </w:p>
    <w:p>
      <w:pPr>
        <w:spacing w:line="360" w:lineRule="auto"/>
        <w:rPr>
          <w:rFonts w:ascii="宋体" w:hAnsi="宋体"/>
          <w:szCs w:val="21"/>
        </w:rPr>
      </w:pPr>
      <w:r>
        <w:rPr>
          <w:rFonts w:ascii="宋体" w:hAnsi="宋体"/>
          <w:szCs w:val="21"/>
        </w:rPr>
        <w:t>10.1</w:t>
      </w:r>
      <w:r>
        <w:rPr>
          <w:rFonts w:hint="eastAsia" w:ascii="宋体" w:hAnsi="宋体"/>
          <w:szCs w:val="21"/>
        </w:rPr>
        <w:t>供应商递交的响应文件应在规定的递交响应文件截止日后的</w:t>
      </w:r>
      <w:r>
        <w:rPr>
          <w:rFonts w:ascii="宋体" w:hAnsi="宋体"/>
          <w:szCs w:val="21"/>
        </w:rPr>
        <w:t>90</w:t>
      </w:r>
      <w:r>
        <w:rPr>
          <w:rFonts w:hint="eastAsia" w:ascii="宋体" w:hAnsi="宋体"/>
          <w:szCs w:val="21"/>
        </w:rPr>
        <w:t>天内保持有效。有效期不满足要求的响应文件将被视为非响应性文件而予以拒绝。</w:t>
      </w:r>
    </w:p>
    <w:p>
      <w:pPr>
        <w:spacing w:line="360" w:lineRule="auto"/>
        <w:rPr>
          <w:rFonts w:ascii="宋体" w:hAnsi="宋体"/>
          <w:szCs w:val="21"/>
        </w:rPr>
      </w:pPr>
      <w:r>
        <w:rPr>
          <w:rFonts w:ascii="宋体" w:hAnsi="宋体"/>
          <w:szCs w:val="21"/>
        </w:rPr>
        <w:t xml:space="preserve">10.2 </w:t>
      </w:r>
      <w:r>
        <w:rPr>
          <w:rFonts w:hint="eastAsia" w:ascii="宋体" w:hAnsi="宋体"/>
          <w:szCs w:val="21"/>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4"/>
        </w:rPr>
      </w:pPr>
      <w:r>
        <w:rPr>
          <w:rFonts w:hint="eastAsia" w:ascii="宋体" w:hAnsi="宋体"/>
          <w:b/>
          <w:sz w:val="24"/>
        </w:rPr>
        <w:t>四、响应文件的递交</w:t>
      </w:r>
    </w:p>
    <w:p>
      <w:pPr>
        <w:spacing w:line="360" w:lineRule="auto"/>
        <w:rPr>
          <w:rFonts w:ascii="宋体" w:hAnsi="宋体"/>
          <w:szCs w:val="21"/>
        </w:rPr>
      </w:pPr>
      <w:r>
        <w:rPr>
          <w:rFonts w:ascii="宋体" w:hAnsi="宋体"/>
          <w:szCs w:val="21"/>
        </w:rPr>
        <w:t>11.</w:t>
      </w:r>
      <w:r>
        <w:rPr>
          <w:rFonts w:hint="eastAsia" w:ascii="宋体" w:hAnsi="宋体"/>
          <w:szCs w:val="21"/>
        </w:rPr>
        <w:t>响应文件的密封和标记</w:t>
      </w:r>
    </w:p>
    <w:p>
      <w:pPr>
        <w:spacing w:line="360" w:lineRule="auto"/>
        <w:rPr>
          <w:rFonts w:ascii="宋体" w:hAnsi="宋体"/>
          <w:szCs w:val="21"/>
        </w:rPr>
      </w:pPr>
      <w:r>
        <w:rPr>
          <w:rFonts w:ascii="宋体" w:hAnsi="宋体"/>
          <w:szCs w:val="21"/>
        </w:rPr>
        <w:t xml:space="preserve">11.1 </w:t>
      </w:r>
      <w:r>
        <w:rPr>
          <w:rFonts w:hint="eastAsia" w:ascii="宋体" w:hAnsi="宋体"/>
          <w:szCs w:val="21"/>
        </w:rPr>
        <w:t>供应商应将响应文件正本和所有的副本、电子文档分开密封装在单独的信封中，且在信封上标明“正本”、“副本”、“电子文档”字样。</w:t>
      </w:r>
    </w:p>
    <w:p>
      <w:pPr>
        <w:spacing w:line="360" w:lineRule="auto"/>
        <w:rPr>
          <w:rFonts w:ascii="宋体" w:hAnsi="宋体"/>
          <w:szCs w:val="21"/>
        </w:rPr>
      </w:pPr>
      <w:r>
        <w:rPr>
          <w:rFonts w:ascii="宋体" w:hAnsi="宋体"/>
          <w:szCs w:val="21"/>
        </w:rPr>
        <w:t>11.2</w:t>
      </w:r>
      <w:r>
        <w:rPr>
          <w:rFonts w:hint="eastAsia" w:ascii="宋体" w:hAnsi="宋体"/>
          <w:szCs w:val="21"/>
        </w:rPr>
        <w:t>内外层信封均应：</w:t>
      </w:r>
    </w:p>
    <w:p>
      <w:pPr>
        <w:spacing w:line="360" w:lineRule="auto"/>
        <w:rPr>
          <w:rFonts w:ascii="宋体" w:hAnsi="宋体"/>
          <w:szCs w:val="21"/>
        </w:rPr>
      </w:pPr>
      <w:r>
        <w:rPr>
          <w:rFonts w:ascii="宋体" w:hAnsi="宋体"/>
          <w:szCs w:val="21"/>
        </w:rPr>
        <w:t>1</w:t>
      </w:r>
      <w:r>
        <w:rPr>
          <w:rFonts w:hint="eastAsia" w:ascii="宋体" w:hAnsi="宋体"/>
          <w:szCs w:val="21"/>
        </w:rPr>
        <w:t>）标明递交至“</w:t>
      </w:r>
      <w:r>
        <w:rPr>
          <w:rFonts w:ascii="宋体" w:hAnsi="宋体"/>
          <w:szCs w:val="21"/>
        </w:rPr>
        <w:t>采购公告</w:t>
      </w:r>
      <w:r>
        <w:rPr>
          <w:rFonts w:hint="eastAsia" w:ascii="宋体" w:hAnsi="宋体"/>
          <w:szCs w:val="21"/>
        </w:rPr>
        <w:t>”中指明的地点。</w:t>
      </w:r>
    </w:p>
    <w:p>
      <w:pPr>
        <w:spacing w:line="360" w:lineRule="auto"/>
        <w:rPr>
          <w:rFonts w:ascii="宋体" w:hAnsi="宋体"/>
          <w:szCs w:val="21"/>
        </w:rPr>
      </w:pPr>
      <w:r>
        <w:rPr>
          <w:rFonts w:ascii="宋体" w:hAnsi="宋体"/>
          <w:szCs w:val="21"/>
        </w:rPr>
        <w:t>2</w:t>
      </w:r>
      <w:r>
        <w:rPr>
          <w:rFonts w:hint="eastAsia" w:ascii="宋体" w:hAnsi="宋体"/>
          <w:szCs w:val="21"/>
        </w:rPr>
        <w:t>）注明“</w:t>
      </w:r>
      <w:r>
        <w:rPr>
          <w:rFonts w:ascii="宋体" w:hAnsi="宋体"/>
          <w:szCs w:val="21"/>
        </w:rPr>
        <w:t>采购公告</w:t>
      </w:r>
      <w:r>
        <w:rPr>
          <w:rFonts w:hint="eastAsia" w:ascii="宋体" w:hAnsi="宋体"/>
          <w:szCs w:val="21"/>
        </w:rPr>
        <w:t>”中指明的项目名称、编号和“在”之前不得启封的字样，并填入“</w:t>
      </w:r>
      <w:r>
        <w:rPr>
          <w:rFonts w:ascii="宋体" w:hAnsi="宋体"/>
          <w:szCs w:val="21"/>
        </w:rPr>
        <w:t>采购公告</w:t>
      </w:r>
      <w:r>
        <w:rPr>
          <w:rFonts w:hint="eastAsia" w:ascii="宋体" w:hAnsi="宋体"/>
          <w:szCs w:val="21"/>
        </w:rPr>
        <w:t>”中规定的日期和时间。</w:t>
      </w:r>
    </w:p>
    <w:p>
      <w:pPr>
        <w:spacing w:line="360" w:lineRule="auto"/>
        <w:rPr>
          <w:rFonts w:ascii="宋体" w:hAnsi="宋体"/>
          <w:szCs w:val="21"/>
        </w:rPr>
      </w:pPr>
      <w:r>
        <w:rPr>
          <w:rFonts w:ascii="宋体" w:hAnsi="宋体"/>
          <w:szCs w:val="21"/>
        </w:rPr>
        <w:t xml:space="preserve">11.3 </w:t>
      </w:r>
      <w:r>
        <w:rPr>
          <w:rFonts w:hint="eastAsia" w:ascii="宋体" w:hAnsi="宋体"/>
          <w:szCs w:val="21"/>
        </w:rPr>
        <w:t>内层信封应写明供应商名称和地址，以便若其响应文件被宣布为“迟到”响应文件时，能原封退回。</w:t>
      </w:r>
    </w:p>
    <w:p>
      <w:pPr>
        <w:spacing w:line="360" w:lineRule="auto"/>
        <w:rPr>
          <w:rFonts w:ascii="宋体" w:hAnsi="宋体"/>
          <w:szCs w:val="21"/>
        </w:rPr>
      </w:pPr>
      <w:r>
        <w:rPr>
          <w:rFonts w:ascii="宋体" w:hAnsi="宋体"/>
          <w:szCs w:val="21"/>
        </w:rPr>
        <w:t xml:space="preserve">11.4 </w:t>
      </w:r>
      <w:r>
        <w:rPr>
          <w:rFonts w:hint="eastAsia" w:ascii="宋体" w:hAnsi="宋体"/>
          <w:szCs w:val="21"/>
        </w:rPr>
        <w:t>如果外层信封未按本须知第</w:t>
      </w:r>
      <w:r>
        <w:rPr>
          <w:rFonts w:ascii="宋体" w:hAnsi="宋体"/>
          <w:szCs w:val="21"/>
        </w:rPr>
        <w:t>12.2</w:t>
      </w:r>
      <w:r>
        <w:rPr>
          <w:rFonts w:hint="eastAsia" w:ascii="宋体" w:hAnsi="宋体"/>
          <w:szCs w:val="21"/>
        </w:rPr>
        <w:t>条要求加写标记和密封，采购人对误投或过早启封概不负责。</w:t>
      </w:r>
    </w:p>
    <w:p>
      <w:pPr>
        <w:spacing w:line="360" w:lineRule="auto"/>
        <w:rPr>
          <w:rFonts w:ascii="宋体" w:hAnsi="宋体"/>
          <w:szCs w:val="21"/>
        </w:rPr>
      </w:pPr>
      <w:r>
        <w:rPr>
          <w:rFonts w:ascii="宋体" w:hAnsi="宋体"/>
          <w:szCs w:val="21"/>
        </w:rPr>
        <w:t xml:space="preserve">11.5 </w:t>
      </w:r>
      <w:r>
        <w:rPr>
          <w:rFonts w:hint="eastAsia" w:ascii="宋体" w:hAnsi="宋体"/>
          <w:szCs w:val="21"/>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Cs w:val="21"/>
        </w:rPr>
      </w:pPr>
      <w:r>
        <w:rPr>
          <w:rFonts w:ascii="宋体" w:hAnsi="宋体"/>
          <w:szCs w:val="21"/>
        </w:rPr>
        <w:t>12.</w:t>
      </w:r>
      <w:r>
        <w:rPr>
          <w:rFonts w:hint="eastAsia" w:ascii="宋体" w:hAnsi="宋体"/>
          <w:szCs w:val="21"/>
        </w:rPr>
        <w:t>递交响应文件截止时间</w:t>
      </w:r>
    </w:p>
    <w:p>
      <w:pPr>
        <w:spacing w:line="360" w:lineRule="auto"/>
        <w:rPr>
          <w:rFonts w:ascii="宋体" w:hAnsi="宋体"/>
          <w:szCs w:val="21"/>
        </w:rPr>
      </w:pPr>
      <w:r>
        <w:rPr>
          <w:rFonts w:ascii="宋体" w:hAnsi="宋体"/>
          <w:szCs w:val="21"/>
        </w:rPr>
        <w:t xml:space="preserve">12.1 </w:t>
      </w:r>
      <w:r>
        <w:rPr>
          <w:rFonts w:hint="eastAsia" w:ascii="宋体" w:hAnsi="宋体"/>
          <w:szCs w:val="21"/>
        </w:rPr>
        <w:t>采购人收到响应文件的时间不迟于（详见《竞争性磋商公告》）</w:t>
      </w:r>
    </w:p>
    <w:p>
      <w:pPr>
        <w:spacing w:line="360" w:lineRule="auto"/>
        <w:rPr>
          <w:rFonts w:ascii="宋体" w:hAnsi="宋体"/>
          <w:szCs w:val="21"/>
        </w:rPr>
      </w:pPr>
      <w:r>
        <w:rPr>
          <w:rFonts w:ascii="宋体" w:hAnsi="宋体"/>
          <w:szCs w:val="21"/>
        </w:rPr>
        <w:t xml:space="preserve">12.2 </w:t>
      </w:r>
      <w:r>
        <w:rPr>
          <w:rFonts w:hint="eastAsia" w:ascii="宋体" w:hAnsi="宋体"/>
          <w:szCs w:val="21"/>
        </w:rPr>
        <w:t>采购人可以按本须知第</w:t>
      </w:r>
      <w:r>
        <w:rPr>
          <w:rFonts w:ascii="宋体" w:hAnsi="宋体"/>
          <w:szCs w:val="21"/>
        </w:rPr>
        <w:t>5</w:t>
      </w:r>
      <w:r>
        <w:rPr>
          <w:rFonts w:hint="eastAsia" w:ascii="宋体" w:hAnsi="宋体"/>
          <w:szCs w:val="21"/>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Cs w:val="21"/>
        </w:rPr>
      </w:pPr>
      <w:r>
        <w:rPr>
          <w:rFonts w:ascii="宋体" w:hAnsi="宋体"/>
          <w:szCs w:val="21"/>
        </w:rPr>
        <w:t>13.</w:t>
      </w:r>
      <w:r>
        <w:rPr>
          <w:rFonts w:hint="eastAsia" w:ascii="宋体" w:hAnsi="宋体"/>
          <w:szCs w:val="21"/>
        </w:rPr>
        <w:t>迟交的响应文件</w:t>
      </w:r>
    </w:p>
    <w:p>
      <w:pPr>
        <w:spacing w:line="360" w:lineRule="auto"/>
        <w:rPr>
          <w:rFonts w:ascii="宋体" w:hAnsi="宋体"/>
          <w:szCs w:val="21"/>
        </w:rPr>
      </w:pPr>
      <w:r>
        <w:rPr>
          <w:rFonts w:ascii="宋体" w:hAnsi="宋体"/>
          <w:szCs w:val="21"/>
        </w:rPr>
        <w:t xml:space="preserve">13.1 </w:t>
      </w:r>
      <w:r>
        <w:rPr>
          <w:rFonts w:hint="eastAsia" w:ascii="宋体" w:hAnsi="宋体"/>
          <w:szCs w:val="21"/>
        </w:rPr>
        <w:t>采购人将拒绝并原封退回在规定的递交响应文件截止时间后收到的任何响应文件。</w:t>
      </w:r>
    </w:p>
    <w:p>
      <w:pPr>
        <w:spacing w:line="360" w:lineRule="auto"/>
        <w:rPr>
          <w:rFonts w:ascii="宋体" w:hAnsi="宋体"/>
          <w:szCs w:val="21"/>
        </w:rPr>
      </w:pPr>
      <w:r>
        <w:rPr>
          <w:rFonts w:ascii="宋体" w:hAnsi="宋体"/>
          <w:szCs w:val="21"/>
        </w:rPr>
        <w:t>14.</w:t>
      </w:r>
      <w:r>
        <w:rPr>
          <w:rFonts w:hint="eastAsia" w:ascii="宋体" w:hAnsi="宋体"/>
          <w:szCs w:val="21"/>
        </w:rPr>
        <w:t>响应文件的修改与撤回</w:t>
      </w:r>
    </w:p>
    <w:p>
      <w:pPr>
        <w:spacing w:line="360" w:lineRule="auto"/>
        <w:rPr>
          <w:rFonts w:ascii="宋体" w:hAnsi="宋体"/>
          <w:szCs w:val="21"/>
        </w:rPr>
      </w:pPr>
      <w:r>
        <w:rPr>
          <w:rFonts w:ascii="宋体" w:hAnsi="宋体"/>
          <w:szCs w:val="21"/>
        </w:rPr>
        <w:t xml:space="preserve">14.1 </w:t>
      </w:r>
      <w:r>
        <w:rPr>
          <w:rFonts w:hint="eastAsia" w:ascii="宋体" w:hAnsi="宋体"/>
          <w:szCs w:val="21"/>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Cs w:val="21"/>
        </w:rPr>
      </w:pPr>
      <w:r>
        <w:rPr>
          <w:rFonts w:ascii="宋体" w:hAnsi="宋体"/>
          <w:szCs w:val="21"/>
        </w:rPr>
        <w:t xml:space="preserve">14.2 </w:t>
      </w:r>
      <w:r>
        <w:rPr>
          <w:rFonts w:hint="eastAsia" w:ascii="宋体" w:hAnsi="宋体"/>
          <w:szCs w:val="21"/>
        </w:rPr>
        <w:t>供应商的修改或撤回通知应按本须知第</w:t>
      </w:r>
      <w:r>
        <w:rPr>
          <w:rFonts w:ascii="宋体" w:hAnsi="宋体"/>
          <w:szCs w:val="21"/>
        </w:rPr>
        <w:t>12</w:t>
      </w:r>
      <w:r>
        <w:rPr>
          <w:rFonts w:hint="eastAsia" w:ascii="宋体" w:hAnsi="宋体"/>
          <w:szCs w:val="21"/>
        </w:rPr>
        <w:t>条规定编制、密封、标记和发送。</w:t>
      </w:r>
    </w:p>
    <w:p>
      <w:pPr>
        <w:spacing w:line="360" w:lineRule="auto"/>
        <w:rPr>
          <w:rFonts w:ascii="宋体" w:hAnsi="宋体"/>
          <w:szCs w:val="21"/>
        </w:rPr>
      </w:pPr>
      <w:r>
        <w:rPr>
          <w:rFonts w:ascii="宋体" w:hAnsi="宋体"/>
          <w:szCs w:val="21"/>
        </w:rPr>
        <w:t xml:space="preserve">14.3 </w:t>
      </w:r>
      <w:r>
        <w:rPr>
          <w:rFonts w:hint="eastAsia" w:ascii="宋体" w:hAnsi="宋体"/>
          <w:szCs w:val="21"/>
        </w:rPr>
        <w:t>在递交响应文件截止时间之后，供应商不得对其响应文件做任何修改。</w:t>
      </w:r>
    </w:p>
    <w:p>
      <w:pPr>
        <w:spacing w:line="360" w:lineRule="auto"/>
        <w:rPr>
          <w:rFonts w:ascii="宋体" w:hAnsi="宋体"/>
          <w:szCs w:val="21"/>
        </w:rPr>
      </w:pPr>
      <w:r>
        <w:rPr>
          <w:rFonts w:ascii="宋体" w:hAnsi="宋体"/>
          <w:szCs w:val="21"/>
        </w:rPr>
        <w:t xml:space="preserve">14.4 </w:t>
      </w:r>
      <w:r>
        <w:rPr>
          <w:rFonts w:hint="eastAsia" w:ascii="宋体" w:hAnsi="宋体"/>
          <w:szCs w:val="21"/>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4"/>
        </w:rPr>
      </w:pPr>
      <w:r>
        <w:rPr>
          <w:rFonts w:hint="eastAsia" w:ascii="宋体" w:hAnsi="宋体"/>
          <w:b/>
          <w:sz w:val="24"/>
        </w:rPr>
        <w:t>五、评审</w:t>
      </w:r>
    </w:p>
    <w:p>
      <w:pPr>
        <w:spacing w:line="360" w:lineRule="auto"/>
        <w:rPr>
          <w:rFonts w:ascii="宋体" w:hAnsi="宋体"/>
          <w:szCs w:val="21"/>
        </w:rPr>
      </w:pPr>
      <w:r>
        <w:rPr>
          <w:rFonts w:ascii="宋体" w:hAnsi="宋体"/>
          <w:szCs w:val="21"/>
        </w:rPr>
        <w:t>15.</w:t>
      </w:r>
      <w:r>
        <w:rPr>
          <w:rFonts w:hint="eastAsia" w:ascii="宋体" w:hAnsi="宋体"/>
          <w:szCs w:val="21"/>
        </w:rPr>
        <w:t>评审委员会</w:t>
      </w:r>
    </w:p>
    <w:p>
      <w:pPr>
        <w:spacing w:line="360" w:lineRule="auto"/>
        <w:rPr>
          <w:rFonts w:ascii="宋体" w:hAnsi="宋体"/>
          <w:szCs w:val="21"/>
        </w:rPr>
      </w:pPr>
      <w:r>
        <w:rPr>
          <w:rFonts w:ascii="宋体" w:hAnsi="宋体"/>
          <w:szCs w:val="21"/>
        </w:rPr>
        <w:t>15.1</w:t>
      </w:r>
      <w:r>
        <w:rPr>
          <w:rFonts w:hint="eastAsia" w:ascii="宋体" w:hAnsi="宋体"/>
          <w:szCs w:val="21"/>
        </w:rPr>
        <w:t>采购人根据要求组建评审委员会。评审委员会负责整个项目的评审工作。</w:t>
      </w:r>
    </w:p>
    <w:p>
      <w:pPr>
        <w:spacing w:line="360" w:lineRule="auto"/>
        <w:rPr>
          <w:rFonts w:ascii="宋体" w:hAnsi="宋体"/>
          <w:szCs w:val="21"/>
        </w:rPr>
      </w:pPr>
      <w:r>
        <w:rPr>
          <w:rFonts w:ascii="宋体" w:hAnsi="宋体"/>
          <w:szCs w:val="21"/>
        </w:rPr>
        <w:t>16.</w:t>
      </w:r>
      <w:r>
        <w:rPr>
          <w:rFonts w:hint="eastAsia" w:ascii="宋体" w:hAnsi="宋体"/>
          <w:szCs w:val="21"/>
        </w:rPr>
        <w:t>响应文件的澄清</w:t>
      </w:r>
    </w:p>
    <w:p>
      <w:pPr>
        <w:spacing w:line="360" w:lineRule="auto"/>
        <w:rPr>
          <w:rFonts w:ascii="宋体" w:hAnsi="宋体"/>
          <w:szCs w:val="21"/>
        </w:rPr>
      </w:pPr>
      <w:r>
        <w:rPr>
          <w:rFonts w:ascii="宋体" w:hAnsi="宋体"/>
          <w:szCs w:val="21"/>
        </w:rPr>
        <w:t xml:space="preserve">16.1 </w:t>
      </w:r>
      <w:r>
        <w:rPr>
          <w:rFonts w:hint="eastAsia" w:ascii="宋体" w:hAnsi="宋体"/>
          <w:szCs w:val="21"/>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Cs w:val="21"/>
        </w:rPr>
      </w:pPr>
      <w:r>
        <w:rPr>
          <w:rFonts w:ascii="宋体" w:hAnsi="宋体"/>
          <w:szCs w:val="21"/>
        </w:rPr>
        <w:t>16.2</w:t>
      </w:r>
      <w:r>
        <w:rPr>
          <w:rFonts w:hint="eastAsia" w:ascii="宋体" w:hAnsi="宋体"/>
          <w:szCs w:val="21"/>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Cs w:val="21"/>
        </w:rPr>
      </w:pPr>
      <w:r>
        <w:rPr>
          <w:rFonts w:ascii="宋体" w:hAnsi="宋体"/>
          <w:szCs w:val="21"/>
        </w:rPr>
        <w:t xml:space="preserve">16.4 </w:t>
      </w:r>
      <w:r>
        <w:rPr>
          <w:rFonts w:hint="eastAsia" w:ascii="宋体" w:hAnsi="宋体"/>
          <w:szCs w:val="21"/>
        </w:rPr>
        <w:t>接到评审委员会澄清要求的供应商如未按规定做出澄清，其风险由供应商自行承担。</w:t>
      </w:r>
    </w:p>
    <w:p>
      <w:pPr>
        <w:spacing w:line="360" w:lineRule="auto"/>
        <w:rPr>
          <w:rFonts w:ascii="宋体" w:hAnsi="宋体"/>
          <w:szCs w:val="21"/>
        </w:rPr>
      </w:pPr>
      <w:r>
        <w:rPr>
          <w:rFonts w:ascii="宋体" w:hAnsi="宋体"/>
          <w:szCs w:val="21"/>
        </w:rPr>
        <w:t>17.</w:t>
      </w:r>
      <w:r>
        <w:rPr>
          <w:rFonts w:hint="eastAsia" w:ascii="宋体" w:hAnsi="宋体"/>
          <w:szCs w:val="21"/>
        </w:rPr>
        <w:t>响应文件的初审</w:t>
      </w:r>
    </w:p>
    <w:p>
      <w:pPr>
        <w:spacing w:line="360" w:lineRule="auto"/>
        <w:rPr>
          <w:rFonts w:ascii="宋体" w:hAnsi="宋体"/>
          <w:szCs w:val="21"/>
        </w:rPr>
      </w:pPr>
      <w:r>
        <w:rPr>
          <w:rFonts w:ascii="宋体" w:hAnsi="宋体"/>
          <w:szCs w:val="21"/>
        </w:rPr>
        <w:t xml:space="preserve">17.1 </w:t>
      </w:r>
      <w:r>
        <w:rPr>
          <w:rFonts w:hint="eastAsia" w:ascii="宋体" w:hAnsi="宋体"/>
          <w:szCs w:val="21"/>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Cs w:val="21"/>
        </w:rPr>
      </w:pPr>
      <w:r>
        <w:rPr>
          <w:rFonts w:ascii="宋体" w:hAnsi="宋体"/>
          <w:szCs w:val="21"/>
        </w:rPr>
        <w:t xml:space="preserve">17.2 </w:t>
      </w:r>
      <w:r>
        <w:rPr>
          <w:rFonts w:hint="eastAsia" w:ascii="宋体" w:hAnsi="宋体"/>
          <w:szCs w:val="21"/>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Cs w:val="21"/>
        </w:rPr>
      </w:pPr>
      <w:r>
        <w:rPr>
          <w:rFonts w:ascii="宋体" w:hAnsi="宋体"/>
          <w:szCs w:val="21"/>
        </w:rPr>
        <w:t xml:space="preserve">17.3 </w:t>
      </w:r>
      <w:r>
        <w:rPr>
          <w:rFonts w:hint="eastAsia" w:ascii="宋体" w:hAnsi="宋体"/>
          <w:szCs w:val="21"/>
        </w:rPr>
        <w:t>对于响应文件中不构成实质性偏差的不正规、不一致或不规则，评审委员会可以接受，但这种接受不能损害或影响任何供应商的相对排序。</w:t>
      </w:r>
    </w:p>
    <w:p>
      <w:pPr>
        <w:spacing w:line="360" w:lineRule="auto"/>
        <w:rPr>
          <w:rFonts w:ascii="宋体" w:hAnsi="宋体"/>
          <w:szCs w:val="21"/>
        </w:rPr>
      </w:pPr>
      <w:r>
        <w:rPr>
          <w:rFonts w:ascii="宋体" w:hAnsi="宋体"/>
          <w:szCs w:val="21"/>
        </w:rPr>
        <w:t xml:space="preserve">17.4 </w:t>
      </w:r>
      <w:r>
        <w:rPr>
          <w:rFonts w:hint="eastAsia" w:ascii="宋体" w:hAnsi="宋体"/>
          <w:szCs w:val="21"/>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Cs w:val="21"/>
        </w:rPr>
      </w:pPr>
      <w:r>
        <w:rPr>
          <w:rFonts w:ascii="宋体" w:hAnsi="宋体"/>
          <w:szCs w:val="21"/>
        </w:rPr>
        <w:t xml:space="preserve">17.5 </w:t>
      </w:r>
      <w:r>
        <w:rPr>
          <w:rFonts w:hint="eastAsia" w:ascii="宋体" w:hAnsi="宋体"/>
          <w:szCs w:val="21"/>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Cs w:val="21"/>
        </w:rPr>
      </w:pPr>
      <w:r>
        <w:rPr>
          <w:rFonts w:ascii="宋体" w:hAnsi="宋体"/>
          <w:szCs w:val="21"/>
        </w:rPr>
        <w:t>17.6</w:t>
      </w:r>
      <w:r>
        <w:rPr>
          <w:rFonts w:hint="eastAsia" w:ascii="宋体" w:hAnsi="宋体"/>
          <w:szCs w:val="21"/>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Cs w:val="21"/>
        </w:rPr>
      </w:pPr>
      <w:r>
        <w:rPr>
          <w:rFonts w:ascii="宋体" w:hAnsi="宋体"/>
          <w:szCs w:val="21"/>
        </w:rPr>
        <w:t xml:space="preserve">17.7 </w:t>
      </w:r>
      <w:r>
        <w:rPr>
          <w:rFonts w:hint="eastAsia" w:ascii="宋体" w:hAnsi="宋体"/>
          <w:szCs w:val="21"/>
        </w:rPr>
        <w:t>采购人保留对通过初审的供应商进行进一步磋商或议价的权利。</w:t>
      </w:r>
    </w:p>
    <w:p>
      <w:pPr>
        <w:spacing w:line="360" w:lineRule="auto"/>
        <w:rPr>
          <w:rFonts w:ascii="宋体" w:hAnsi="宋体"/>
          <w:b/>
          <w:sz w:val="24"/>
        </w:rPr>
      </w:pPr>
      <w:r>
        <w:rPr>
          <w:rFonts w:hint="eastAsia" w:ascii="宋体" w:hAnsi="宋体"/>
          <w:b/>
          <w:sz w:val="24"/>
        </w:rPr>
        <w:t>六、磋商和成交供应商评审</w:t>
      </w:r>
    </w:p>
    <w:p>
      <w:pPr>
        <w:spacing w:line="360" w:lineRule="auto"/>
        <w:rPr>
          <w:rFonts w:ascii="宋体" w:hAnsi="宋体"/>
          <w:szCs w:val="21"/>
        </w:rPr>
      </w:pPr>
      <w:r>
        <w:rPr>
          <w:rFonts w:ascii="宋体" w:hAnsi="宋体"/>
          <w:szCs w:val="21"/>
        </w:rPr>
        <w:t>18.磋商</w:t>
      </w:r>
    </w:p>
    <w:p>
      <w:pPr>
        <w:spacing w:line="360" w:lineRule="auto"/>
        <w:rPr>
          <w:rFonts w:ascii="宋体" w:hAnsi="宋体"/>
          <w:szCs w:val="21"/>
        </w:rPr>
      </w:pPr>
      <w:r>
        <w:rPr>
          <w:rFonts w:ascii="宋体" w:hAnsi="宋体"/>
          <w:szCs w:val="21"/>
        </w:rPr>
        <w:t>18.1</w:t>
      </w:r>
      <w:r>
        <w:rPr>
          <w:rFonts w:hint="eastAsia" w:ascii="宋体" w:hAnsi="宋体"/>
          <w:szCs w:val="21"/>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Cs w:val="21"/>
        </w:rPr>
      </w:pPr>
      <w:r>
        <w:rPr>
          <w:rFonts w:ascii="宋体" w:hAnsi="宋体"/>
          <w:szCs w:val="21"/>
        </w:rPr>
        <w:t>18.2磋商开始时间预计为：递交竞争性磋商响应文件截止时间后当天（包括法定节假日，具体时间以采购人的通知为准），供应商应提前做好磋商准备。</w:t>
      </w:r>
    </w:p>
    <w:p>
      <w:pPr>
        <w:spacing w:line="360" w:lineRule="auto"/>
        <w:rPr>
          <w:rFonts w:ascii="宋体" w:hAnsi="宋体"/>
          <w:szCs w:val="21"/>
        </w:rPr>
      </w:pPr>
      <w:r>
        <w:rPr>
          <w:rFonts w:ascii="宋体" w:hAnsi="宋体"/>
          <w:szCs w:val="21"/>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Cs w:val="21"/>
        </w:rPr>
      </w:pPr>
      <w:r>
        <w:rPr>
          <w:rFonts w:ascii="宋体" w:hAnsi="宋体"/>
          <w:szCs w:val="21"/>
        </w:rPr>
        <w:t xml:space="preserve">18.4 </w:t>
      </w:r>
      <w:r>
        <w:rPr>
          <w:rFonts w:hint="eastAsia" w:ascii="宋体" w:hAnsi="宋体"/>
          <w:szCs w:val="21"/>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Cs w:val="21"/>
        </w:rPr>
      </w:pPr>
      <w:r>
        <w:rPr>
          <w:rFonts w:ascii="宋体" w:hAnsi="宋体"/>
          <w:szCs w:val="21"/>
        </w:rPr>
        <w:t xml:space="preserve">18.5 </w:t>
      </w:r>
      <w:r>
        <w:rPr>
          <w:rFonts w:hint="eastAsia" w:ascii="宋体" w:hAnsi="宋体"/>
          <w:szCs w:val="21"/>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Cs w:val="21"/>
        </w:rPr>
      </w:pPr>
      <w:r>
        <w:rPr>
          <w:rFonts w:ascii="宋体" w:hAnsi="宋体"/>
          <w:szCs w:val="21"/>
        </w:rPr>
        <w:t xml:space="preserve">18.6 </w:t>
      </w:r>
      <w:r>
        <w:rPr>
          <w:rFonts w:hint="eastAsia" w:ascii="宋体" w:hAnsi="宋体"/>
          <w:szCs w:val="21"/>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szCs w:val="21"/>
        </w:rPr>
      </w:pPr>
      <w:r>
        <w:rPr>
          <w:rFonts w:ascii="宋体" w:hAnsi="宋体"/>
          <w:szCs w:val="21"/>
        </w:rPr>
        <w:t xml:space="preserve">18.7 </w:t>
      </w:r>
      <w:r>
        <w:rPr>
          <w:rFonts w:hint="eastAsia" w:ascii="宋体" w:hAnsi="宋体"/>
          <w:szCs w:val="21"/>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Cs w:val="21"/>
        </w:rPr>
      </w:pPr>
      <w:r>
        <w:rPr>
          <w:rFonts w:ascii="宋体" w:hAnsi="宋体"/>
          <w:szCs w:val="21"/>
        </w:rPr>
        <w:t>19.成交供应商的评审</w:t>
      </w:r>
    </w:p>
    <w:p>
      <w:pPr>
        <w:spacing w:line="360" w:lineRule="auto"/>
        <w:rPr>
          <w:rFonts w:ascii="宋体" w:hAnsi="宋体"/>
          <w:szCs w:val="21"/>
        </w:rPr>
      </w:pPr>
      <w:r>
        <w:rPr>
          <w:rFonts w:ascii="宋体" w:hAnsi="宋体"/>
          <w:szCs w:val="21"/>
        </w:rPr>
        <w:t xml:space="preserve">19.1 </w:t>
      </w:r>
      <w:r>
        <w:rPr>
          <w:rFonts w:hint="eastAsia" w:ascii="宋体" w:hAnsi="宋体"/>
          <w:szCs w:val="21"/>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Cs w:val="21"/>
        </w:rPr>
      </w:pPr>
      <w:r>
        <w:rPr>
          <w:rFonts w:ascii="宋体" w:hAnsi="宋体"/>
          <w:szCs w:val="21"/>
        </w:rPr>
        <w:t xml:space="preserve">19.2 </w:t>
      </w:r>
      <w:r>
        <w:rPr>
          <w:rFonts w:hint="eastAsia" w:ascii="宋体" w:hAnsi="宋体"/>
          <w:szCs w:val="21"/>
        </w:rPr>
        <w:t>磋商后，评审委员会将对参加磋商的供应商进行综合评审，采用综合评审法并考虑以下因素：</w:t>
      </w:r>
    </w:p>
    <w:p>
      <w:pPr>
        <w:spacing w:line="360" w:lineRule="auto"/>
        <w:rPr>
          <w:rFonts w:ascii="宋体" w:hAnsi="宋体"/>
          <w:szCs w:val="21"/>
        </w:rPr>
      </w:pPr>
      <w:r>
        <w:rPr>
          <w:rFonts w:hint="eastAsia" w:ascii="宋体" w:hAnsi="宋体"/>
          <w:szCs w:val="21"/>
        </w:rPr>
        <w:t>注：具体评审办法详见第三章评审办法。</w:t>
      </w:r>
    </w:p>
    <w:p>
      <w:pPr>
        <w:spacing w:line="360" w:lineRule="auto"/>
        <w:rPr>
          <w:rFonts w:ascii="宋体" w:hAnsi="宋体"/>
          <w:szCs w:val="21"/>
        </w:rPr>
      </w:pPr>
      <w:r>
        <w:rPr>
          <w:rFonts w:ascii="宋体" w:hAnsi="宋体"/>
          <w:szCs w:val="21"/>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Cs w:val="21"/>
        </w:rPr>
      </w:pPr>
      <w:r>
        <w:rPr>
          <w:rFonts w:ascii="宋体" w:hAnsi="宋体"/>
          <w:szCs w:val="21"/>
        </w:rPr>
        <w:t>19.4评</w:t>
      </w:r>
      <w:r>
        <w:rPr>
          <w:rFonts w:hint="eastAsia" w:ascii="宋体" w:hAnsi="宋体"/>
          <w:szCs w:val="21"/>
        </w:rPr>
        <w:t>审</w:t>
      </w:r>
      <w:r>
        <w:rPr>
          <w:rFonts w:ascii="宋体" w:hAnsi="宋体"/>
          <w:szCs w:val="21"/>
        </w:rPr>
        <w:t>委员会发现</w:t>
      </w:r>
      <w:r>
        <w:rPr>
          <w:rFonts w:hint="eastAsia" w:ascii="宋体" w:hAnsi="宋体"/>
          <w:szCs w:val="21"/>
        </w:rPr>
        <w:t>供应商</w:t>
      </w:r>
      <w:r>
        <w:rPr>
          <w:rFonts w:ascii="宋体" w:hAnsi="宋体"/>
          <w:szCs w:val="21"/>
        </w:rPr>
        <w:t>的报价明显低于其他报价，有可能影响产品质量或者不能诚信履约的，且无法在评</w:t>
      </w:r>
      <w:r>
        <w:rPr>
          <w:rFonts w:hint="eastAsia" w:ascii="宋体" w:hAnsi="宋体"/>
          <w:szCs w:val="21"/>
        </w:rPr>
        <w:t>审</w:t>
      </w:r>
      <w:r>
        <w:rPr>
          <w:rFonts w:ascii="宋体" w:hAnsi="宋体"/>
          <w:szCs w:val="21"/>
        </w:rPr>
        <w:t>现场合理的时间内提供书面说明并在必要时提交相关证明材料，以证明其报价合理性的，评</w:t>
      </w:r>
      <w:r>
        <w:rPr>
          <w:rFonts w:hint="eastAsia" w:ascii="宋体" w:hAnsi="宋体"/>
          <w:szCs w:val="21"/>
        </w:rPr>
        <w:t>审</w:t>
      </w:r>
      <w:r>
        <w:rPr>
          <w:rFonts w:ascii="宋体" w:hAnsi="宋体"/>
          <w:szCs w:val="21"/>
        </w:rPr>
        <w:t>委员会认定该</w:t>
      </w:r>
      <w:r>
        <w:rPr>
          <w:rFonts w:hint="eastAsia" w:ascii="宋体" w:hAnsi="宋体"/>
          <w:szCs w:val="21"/>
        </w:rPr>
        <w:t>供应商</w:t>
      </w:r>
      <w:r>
        <w:rPr>
          <w:rFonts w:ascii="宋体" w:hAnsi="宋体"/>
          <w:szCs w:val="21"/>
        </w:rPr>
        <w:t>以低于成本报价竞标，其</w:t>
      </w:r>
      <w:r>
        <w:rPr>
          <w:rFonts w:hint="eastAsia" w:ascii="宋体" w:hAnsi="宋体"/>
          <w:szCs w:val="21"/>
        </w:rPr>
        <w:t>竞争性磋商响应文件</w:t>
      </w:r>
      <w:r>
        <w:rPr>
          <w:rFonts w:ascii="宋体" w:hAnsi="宋体"/>
          <w:szCs w:val="21"/>
        </w:rPr>
        <w:t>应作为无效处理。</w:t>
      </w:r>
    </w:p>
    <w:p>
      <w:pPr>
        <w:spacing w:line="360" w:lineRule="auto"/>
        <w:rPr>
          <w:rFonts w:ascii="宋体" w:hAnsi="宋体"/>
          <w:b/>
          <w:sz w:val="24"/>
        </w:rPr>
      </w:pPr>
      <w:r>
        <w:rPr>
          <w:rFonts w:hint="eastAsia" w:ascii="宋体" w:hAnsi="宋体"/>
          <w:b/>
          <w:sz w:val="24"/>
        </w:rPr>
        <w:t>七、保密</w:t>
      </w:r>
    </w:p>
    <w:p>
      <w:pPr>
        <w:spacing w:line="360" w:lineRule="auto"/>
        <w:rPr>
          <w:rFonts w:ascii="宋体" w:hAnsi="宋体"/>
          <w:szCs w:val="21"/>
        </w:rPr>
      </w:pPr>
      <w:r>
        <w:rPr>
          <w:rFonts w:ascii="宋体" w:hAnsi="宋体"/>
          <w:szCs w:val="21"/>
        </w:rPr>
        <w:t>20.</w:t>
      </w:r>
      <w:r>
        <w:rPr>
          <w:rFonts w:hint="eastAsia" w:ascii="宋体" w:hAnsi="宋体"/>
          <w:szCs w:val="21"/>
        </w:rPr>
        <w:t>与采购人的接触</w:t>
      </w:r>
    </w:p>
    <w:p>
      <w:pPr>
        <w:spacing w:line="360" w:lineRule="auto"/>
        <w:rPr>
          <w:rFonts w:ascii="宋体" w:hAnsi="宋体"/>
          <w:szCs w:val="21"/>
        </w:rPr>
      </w:pPr>
      <w:r>
        <w:rPr>
          <w:rFonts w:ascii="宋体" w:hAnsi="宋体"/>
          <w:szCs w:val="21"/>
        </w:rPr>
        <w:t>20.1</w:t>
      </w:r>
      <w:r>
        <w:rPr>
          <w:rFonts w:hint="eastAsia" w:ascii="宋体" w:hAnsi="宋体"/>
          <w:szCs w:val="21"/>
        </w:rPr>
        <w:t>除本须知第</w:t>
      </w:r>
      <w:r>
        <w:rPr>
          <w:rFonts w:ascii="宋体" w:hAnsi="宋体"/>
          <w:szCs w:val="21"/>
        </w:rPr>
        <w:t>17条和第19条规定外，从递交竞争性磋商响应文件之日起至授予合同期间，供应商不得就与其竞争性磋商响应文件有关的事项与采购人接触。</w:t>
      </w:r>
    </w:p>
    <w:p>
      <w:pPr>
        <w:spacing w:line="360" w:lineRule="auto"/>
        <w:rPr>
          <w:rFonts w:ascii="宋体" w:hAnsi="宋体"/>
          <w:szCs w:val="21"/>
        </w:rPr>
      </w:pPr>
      <w:r>
        <w:rPr>
          <w:rFonts w:ascii="宋体" w:hAnsi="宋体"/>
          <w:szCs w:val="21"/>
        </w:rPr>
        <w:t xml:space="preserve">20.2 </w:t>
      </w:r>
      <w:r>
        <w:rPr>
          <w:rFonts w:hint="eastAsia" w:ascii="宋体" w:hAnsi="宋体"/>
          <w:szCs w:val="21"/>
        </w:rPr>
        <w:t>供应商试图对评审委员会的评审、比较或授予合同的决定进行影响，都可能导致其响应文件被拒绝。</w:t>
      </w:r>
    </w:p>
    <w:p>
      <w:pPr>
        <w:spacing w:line="360" w:lineRule="auto"/>
        <w:rPr>
          <w:rFonts w:ascii="宋体" w:hAnsi="宋体"/>
          <w:b/>
          <w:sz w:val="24"/>
        </w:rPr>
      </w:pPr>
      <w:r>
        <w:rPr>
          <w:rFonts w:hint="eastAsia" w:ascii="宋体" w:hAnsi="宋体"/>
          <w:b/>
          <w:sz w:val="24"/>
        </w:rPr>
        <w:t>八、合同的签订</w:t>
      </w:r>
    </w:p>
    <w:p>
      <w:pPr>
        <w:spacing w:line="360" w:lineRule="auto"/>
        <w:rPr>
          <w:rFonts w:ascii="宋体" w:hAnsi="宋体"/>
          <w:szCs w:val="21"/>
        </w:rPr>
      </w:pPr>
      <w:r>
        <w:rPr>
          <w:rFonts w:ascii="宋体" w:hAnsi="宋体"/>
          <w:szCs w:val="21"/>
        </w:rPr>
        <w:t xml:space="preserve">21. </w:t>
      </w:r>
      <w:r>
        <w:rPr>
          <w:rFonts w:hint="eastAsia" w:ascii="宋体" w:hAnsi="宋体"/>
          <w:szCs w:val="21"/>
        </w:rPr>
        <w:t>合同的签订（详见《供应商须知前附表》）</w:t>
      </w:r>
    </w:p>
    <w:p>
      <w:pPr>
        <w:spacing w:line="360" w:lineRule="auto"/>
        <w:rPr>
          <w:rFonts w:ascii="宋体" w:hAnsi="宋体"/>
          <w:szCs w:val="21"/>
        </w:rPr>
      </w:pPr>
      <w:r>
        <w:rPr>
          <w:rFonts w:ascii="宋体" w:hAnsi="宋体"/>
          <w:szCs w:val="21"/>
        </w:rPr>
        <w:t>21.1评审委员会将根据供应商综合评估结果，按综合得分排序向采购人推荐本项目的</w:t>
      </w:r>
      <w:r>
        <w:rPr>
          <w:rFonts w:hint="eastAsia" w:ascii="宋体" w:hAnsi="宋体"/>
          <w:szCs w:val="21"/>
        </w:rPr>
        <w:t>成交</w:t>
      </w:r>
      <w:r>
        <w:rPr>
          <w:rFonts w:ascii="宋体" w:hAnsi="宋体"/>
          <w:szCs w:val="21"/>
        </w:rPr>
        <w:t>供应商候选人。</w:t>
      </w:r>
    </w:p>
    <w:p>
      <w:pPr>
        <w:spacing w:line="360" w:lineRule="auto"/>
        <w:rPr>
          <w:rFonts w:ascii="宋体" w:hAnsi="宋体"/>
          <w:szCs w:val="21"/>
        </w:rPr>
      </w:pPr>
      <w:r>
        <w:rPr>
          <w:rFonts w:ascii="宋体" w:hAnsi="宋体"/>
          <w:szCs w:val="21"/>
        </w:rPr>
        <w:t xml:space="preserve">21.2 </w:t>
      </w:r>
      <w:r>
        <w:rPr>
          <w:rFonts w:hint="eastAsia" w:ascii="宋体" w:hAnsi="宋体"/>
          <w:szCs w:val="21"/>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Cs w:val="21"/>
        </w:rPr>
      </w:pPr>
      <w:r>
        <w:rPr>
          <w:rFonts w:ascii="宋体" w:hAnsi="宋体"/>
          <w:szCs w:val="21"/>
        </w:rPr>
        <w:t xml:space="preserve">22. </w:t>
      </w:r>
      <w:r>
        <w:rPr>
          <w:rFonts w:hint="eastAsia" w:ascii="宋体" w:hAnsi="宋体"/>
          <w:szCs w:val="21"/>
        </w:rPr>
        <w:t>接受和拒绝任何或所有响应文件的权力</w:t>
      </w:r>
    </w:p>
    <w:p>
      <w:pPr>
        <w:spacing w:line="360" w:lineRule="auto"/>
        <w:rPr>
          <w:rFonts w:ascii="宋体" w:hAnsi="宋体"/>
          <w:szCs w:val="21"/>
        </w:rPr>
      </w:pPr>
      <w:r>
        <w:rPr>
          <w:rFonts w:ascii="宋体" w:hAnsi="宋体"/>
          <w:szCs w:val="21"/>
        </w:rPr>
        <w:t>22.1</w:t>
      </w:r>
      <w:r>
        <w:rPr>
          <w:rFonts w:hint="eastAsia" w:ascii="宋体" w:hAnsi="宋体"/>
          <w:szCs w:val="21"/>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Cs w:val="21"/>
        </w:rPr>
      </w:pPr>
      <w:r>
        <w:rPr>
          <w:rFonts w:ascii="宋体" w:hAnsi="宋体"/>
          <w:szCs w:val="21"/>
        </w:rPr>
        <w:t>23.</w:t>
      </w:r>
      <w:r>
        <w:rPr>
          <w:rFonts w:hint="eastAsia" w:ascii="宋体" w:hAnsi="宋体"/>
          <w:szCs w:val="21"/>
        </w:rPr>
        <w:t>授予合同通知书</w:t>
      </w:r>
    </w:p>
    <w:p>
      <w:pPr>
        <w:spacing w:line="360" w:lineRule="auto"/>
        <w:rPr>
          <w:rFonts w:ascii="宋体" w:hAnsi="宋体"/>
          <w:szCs w:val="21"/>
        </w:rPr>
      </w:pPr>
      <w:r>
        <w:rPr>
          <w:rFonts w:ascii="宋体" w:hAnsi="宋体"/>
          <w:szCs w:val="21"/>
        </w:rPr>
        <w:t xml:space="preserve">23.1 </w:t>
      </w:r>
      <w:r>
        <w:rPr>
          <w:rFonts w:hint="eastAsia" w:ascii="宋体" w:hAnsi="宋体"/>
          <w:szCs w:val="21"/>
        </w:rPr>
        <w:t>采购人确定供应商后，将向成交供应商发出授予合同通知书。</w:t>
      </w:r>
    </w:p>
    <w:p>
      <w:pPr>
        <w:spacing w:line="360" w:lineRule="auto"/>
        <w:rPr>
          <w:rFonts w:ascii="宋体" w:hAnsi="宋体"/>
          <w:szCs w:val="21"/>
        </w:rPr>
      </w:pPr>
      <w:r>
        <w:rPr>
          <w:rFonts w:ascii="宋体" w:hAnsi="宋体"/>
          <w:szCs w:val="21"/>
        </w:rPr>
        <w:t xml:space="preserve">23.2 </w:t>
      </w:r>
      <w:r>
        <w:rPr>
          <w:rFonts w:hint="eastAsia" w:ascii="宋体" w:hAnsi="宋体"/>
          <w:szCs w:val="21"/>
        </w:rPr>
        <w:t>授予合同通知书是合同的一个组成部分。</w:t>
      </w:r>
    </w:p>
    <w:p>
      <w:pPr>
        <w:spacing w:line="360" w:lineRule="auto"/>
        <w:rPr>
          <w:rFonts w:ascii="宋体" w:hAnsi="宋体"/>
          <w:szCs w:val="21"/>
        </w:rPr>
      </w:pPr>
      <w:r>
        <w:rPr>
          <w:rFonts w:ascii="宋体" w:hAnsi="宋体"/>
          <w:szCs w:val="21"/>
        </w:rPr>
        <w:t>24.</w:t>
      </w:r>
      <w:r>
        <w:rPr>
          <w:rFonts w:hint="eastAsia" w:ascii="宋体" w:hAnsi="宋体"/>
          <w:szCs w:val="21"/>
        </w:rPr>
        <w:t>签订合同</w:t>
      </w:r>
    </w:p>
    <w:p>
      <w:pPr>
        <w:spacing w:line="360" w:lineRule="auto"/>
        <w:rPr>
          <w:rFonts w:ascii="宋体" w:hAnsi="宋体"/>
          <w:szCs w:val="21"/>
        </w:rPr>
      </w:pPr>
      <w:r>
        <w:rPr>
          <w:rFonts w:ascii="宋体" w:hAnsi="宋体"/>
          <w:szCs w:val="21"/>
        </w:rPr>
        <w:t>24.1</w:t>
      </w:r>
      <w:r>
        <w:rPr>
          <w:rFonts w:hint="eastAsia" w:ascii="宋体" w:hAnsi="宋体"/>
          <w:szCs w:val="21"/>
        </w:rPr>
        <w:t>成交供应商应按授予合同通知书规定的时间、地点与采购人签订合同（格式见第四章《合同格式》），否则按响应有效期内撤回响应文件处理。</w:t>
      </w:r>
    </w:p>
    <w:p>
      <w:pPr>
        <w:spacing w:line="360" w:lineRule="auto"/>
        <w:rPr>
          <w:rFonts w:eastAsia="黑体"/>
          <w:bCs/>
          <w:kern w:val="44"/>
          <w:sz w:val="30"/>
          <w:szCs w:val="44"/>
        </w:rPr>
      </w:pPr>
      <w:r>
        <w:rPr>
          <w:rFonts w:ascii="宋体" w:hAnsi="宋体"/>
          <w:szCs w:val="21"/>
        </w:rPr>
        <w:t xml:space="preserve">24.2 </w:t>
      </w:r>
      <w:r>
        <w:rPr>
          <w:rFonts w:hint="eastAsia" w:ascii="宋体" w:hAnsi="宋体"/>
          <w:szCs w:val="21"/>
        </w:rPr>
        <w:t>如果成交供应商没有按照上述规定执行，采购人将有充分理由取消该中选决定。在此情况下，采购人可与下一个候选人签订合同，或重新采购。</w:t>
      </w:r>
      <w:bookmarkEnd w:id="6"/>
      <w:bookmarkEnd w:id="7"/>
      <w:bookmarkEnd w:id="8"/>
      <w:bookmarkEnd w:id="9"/>
      <w:bookmarkStart w:id="10" w:name="_Toc227057922"/>
      <w:bookmarkStart w:id="11" w:name="_Toc226969316"/>
      <w:bookmarkStart w:id="12" w:name="_Toc107822520"/>
      <w:r>
        <w:br w:type="page"/>
      </w:r>
    </w:p>
    <w:bookmarkEnd w:id="10"/>
    <w:bookmarkEnd w:id="11"/>
    <w:bookmarkEnd w:id="12"/>
    <w:p>
      <w:pPr>
        <w:pStyle w:val="3"/>
        <w:numPr>
          <w:ilvl w:val="0"/>
          <w:numId w:val="0"/>
        </w:numPr>
        <w:spacing w:before="0" w:after="0" w:line="360" w:lineRule="auto"/>
        <w:rPr>
          <w:b/>
          <w:sz w:val="36"/>
          <w:szCs w:val="36"/>
        </w:rPr>
      </w:pPr>
      <w:bookmarkStart w:id="13" w:name="_Toc69378617"/>
      <w:bookmarkStart w:id="14" w:name="_Toc227057958"/>
      <w:bookmarkStart w:id="15" w:name="_Toc226969352"/>
      <w:bookmarkStart w:id="16" w:name="_Toc107822556"/>
      <w:r>
        <w:rPr>
          <w:rFonts w:hint="eastAsia"/>
          <w:b/>
          <w:sz w:val="36"/>
          <w:szCs w:val="36"/>
        </w:rPr>
        <w:t>第三章 评审办法</w:t>
      </w:r>
      <w:bookmarkEnd w:id="13"/>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供应商</w:t>
      </w:r>
      <w:r>
        <w:rPr>
          <w:rFonts w:ascii="宋体" w:hAnsi="宋体"/>
          <w:sz w:val="24"/>
        </w:rPr>
        <w:t>须对第三章《</w:t>
      </w:r>
      <w:r>
        <w:rPr>
          <w:rFonts w:hint="eastAsia" w:ascii="宋体" w:hAnsi="宋体"/>
          <w:sz w:val="24"/>
        </w:rPr>
        <w:t>评审</w:t>
      </w:r>
      <w:r>
        <w:rPr>
          <w:rFonts w:ascii="宋体" w:hAnsi="宋体"/>
          <w:sz w:val="24"/>
        </w:rPr>
        <w:t>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r>
              <w:rPr>
                <w:rFonts w:hint="eastAsia"/>
                <w:b/>
                <w:kern w:val="0"/>
                <w:szCs w:val="21"/>
              </w:rPr>
              <w:t>评审</w:t>
            </w:r>
            <w:r>
              <w:rPr>
                <w:b/>
                <w:kern w:val="0"/>
                <w:szCs w:val="21"/>
              </w:rPr>
              <w:t>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kern w:val="0"/>
                <w:szCs w:val="21"/>
              </w:rPr>
            </w:pPr>
            <w:r>
              <w:rPr>
                <w:rFonts w:cs="宋体"/>
                <w:b/>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55分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3、响应文件中如果申报了非竞争性磋商文件所要求的服务和产品，评审时不予以折价降低评审价；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4、供应商的报价经勘误后的值作为该供应商的评审价。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1、供应商评审价=经评审的该供应商含税总价。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磋商基准价：若有效供应商大于等于5家，则去掉一个最低价和一个最高价，以剩余有效供应商评审价的算术平均值为磋商基准价；若有效供应商小于5家，则以所有有效供应商评审价的算术平均值为作为磋商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3、计算价格得分：（磋商基准价/供应商报价）×55，（低于磋商基准价的得55分）。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优良[4，5]分；较好[2，3]分；一般[0，1]分。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根据供应商提供的自201</w:t>
            </w:r>
            <w:r>
              <w:rPr>
                <w:rFonts w:ascii="宋体" w:hAnsi="宋体"/>
                <w:szCs w:val="21"/>
              </w:rPr>
              <w:t>9</w:t>
            </w:r>
            <w:r>
              <w:rPr>
                <w:rFonts w:hint="eastAsia" w:ascii="宋体" w:hAnsi="宋体"/>
                <w:szCs w:val="21"/>
              </w:rPr>
              <w:t>年1月1日以来，本项目采购的软件产品的应用案例打分，案例以合同为准。每有一个案例得1分，本项满分10分。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15</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根据供应商对竞争性磋商文件第五章《技术需求书》的偏离情况打分，基本分15分。</w:t>
            </w:r>
          </w:p>
          <w:p>
            <w:r>
              <w:rPr>
                <w:rFonts w:hint="eastAsia" w:ascii="宋体" w:hAnsi="宋体"/>
                <w:szCs w:val="21"/>
              </w:rPr>
              <w:t>关键条款（“</w:t>
            </w:r>
            <w:r>
              <w:rPr>
                <w:rFonts w:ascii="Segoe UI Symbol" w:hAnsi="Segoe UI Symbol" w:cs="Segoe UI Symbol"/>
                <w:szCs w:val="21"/>
              </w:rPr>
              <w:t>★</w:t>
            </w:r>
            <w:r>
              <w:rPr>
                <w:rFonts w:hint="eastAsia" w:ascii="宋体" w:hAnsi="宋体"/>
                <w:szCs w:val="21"/>
              </w:rPr>
              <w:t>”号条款）不满足的</w:t>
            </w:r>
            <w:r>
              <w:rPr>
                <w:rFonts w:ascii="宋体" w:hAnsi="宋体"/>
                <w:szCs w:val="21"/>
              </w:rPr>
              <w:t>取消评审</w:t>
            </w:r>
            <w:r>
              <w:rPr>
                <w:rFonts w:hint="eastAsia" w:ascii="宋体" w:hAnsi="宋体"/>
                <w:szCs w:val="21"/>
              </w:rPr>
              <w:t>；非关键条款（非“</w:t>
            </w:r>
            <w:r>
              <w:rPr>
                <w:rFonts w:ascii="Segoe UI Symbol" w:hAnsi="Segoe UI Symbol" w:cs="Segoe UI Symbol"/>
                <w:szCs w:val="21"/>
              </w:rPr>
              <w:t>★</w:t>
            </w:r>
            <w:r>
              <w:rPr>
                <w:rFonts w:hint="eastAsia" w:ascii="宋体" w:hAnsi="宋体"/>
                <w:szCs w:val="21"/>
              </w:rPr>
              <w:t>”号条款</w:t>
            </w: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条及以上不满足的</w:t>
            </w:r>
            <w:r>
              <w:rPr>
                <w:rFonts w:ascii="宋体" w:hAnsi="宋体"/>
                <w:szCs w:val="21"/>
              </w:rPr>
              <w:t>取消评审</w:t>
            </w:r>
            <w:r>
              <w:rPr>
                <w:rFonts w:hint="eastAsia" w:ascii="宋体" w:hAnsi="宋体"/>
                <w:szCs w:val="21"/>
              </w:rPr>
              <w:t>，有1条非关键条款不满足扣2分，有2条非关键条款不满足扣4分，扣完为止。</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rPr>
                <w:rFonts w:ascii="宋体" w:hAnsi="宋体"/>
                <w:szCs w:val="21"/>
              </w:rPr>
            </w:pPr>
            <w:r>
              <w:rPr>
                <w:rFonts w:hint="eastAsia" w:ascii="宋体" w:hAnsi="宋体"/>
                <w:szCs w:val="21"/>
              </w:rPr>
              <w:t>技术方案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根据供应商提供的技术方案合理性、能力实现等情况进行评分：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技术方案优良[4，5]分；较好[2，3]分；一般[0，1]分。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1、根据</w:t>
            </w:r>
            <w:r>
              <w:rPr>
                <w:rFonts w:hint="eastAsia" w:ascii="宋体" w:hAnsi="宋体"/>
                <w:szCs w:val="21"/>
              </w:rPr>
              <w:t>供应商</w:t>
            </w:r>
            <w:r>
              <w:rPr>
                <w:rFonts w:hint="eastAsia"/>
                <w:kern w:val="0"/>
                <w:szCs w:val="21"/>
              </w:rPr>
              <w:t>的售后服务机构的实力打分：</w:t>
            </w:r>
            <w:r>
              <w:rPr>
                <w:rFonts w:hint="eastAsia" w:ascii="宋体" w:hAnsi="宋体"/>
                <w:szCs w:val="21"/>
              </w:rPr>
              <w:t>优良(</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]分；一般[0，1]；</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2、根据</w:t>
            </w:r>
            <w:r>
              <w:rPr>
                <w:rFonts w:hint="eastAsia" w:ascii="宋体" w:hAnsi="宋体"/>
                <w:szCs w:val="21"/>
              </w:rPr>
              <w:t>供应商</w:t>
            </w:r>
            <w:r>
              <w:rPr>
                <w:rFonts w:hint="eastAsia"/>
                <w:kern w:val="0"/>
                <w:szCs w:val="21"/>
              </w:rPr>
              <w:t>服务响应时间横向比较打分，满分3分。</w:t>
            </w:r>
          </w:p>
          <w:p>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优良(1，2]分；一般[0，1]；服务响应时间小于2小时，加1分。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kern w:val="0"/>
                <w:szCs w:val="21"/>
              </w:rPr>
            </w:pPr>
            <w:r>
              <w:rPr>
                <w:kern w:val="0"/>
                <w:szCs w:val="21"/>
              </w:rPr>
              <w:t>根据</w:t>
            </w:r>
            <w:r>
              <w:rPr>
                <w:rFonts w:hint="eastAsia" w:ascii="宋体" w:hAnsi="宋体"/>
                <w:szCs w:val="21"/>
              </w:rPr>
              <w:t>供应商</w:t>
            </w:r>
            <w:r>
              <w:rPr>
                <w:rFonts w:hint="eastAsia"/>
                <w:kern w:val="0"/>
                <w:szCs w:val="21"/>
              </w:rPr>
              <w:t>交货期、备品备件支持、免费包修期、免费包修期外服务方案限进行</w:t>
            </w:r>
            <w:r>
              <w:rPr>
                <w:kern w:val="0"/>
                <w:szCs w:val="21"/>
              </w:rPr>
              <w:t>比较打分</w:t>
            </w:r>
            <w:r>
              <w:rPr>
                <w:rFonts w:hint="eastAsia"/>
                <w:kern w:val="0"/>
                <w:szCs w:val="21"/>
              </w:rPr>
              <w:t>，满分5分</w:t>
            </w:r>
            <w:r>
              <w:rPr>
                <w:kern w:val="0"/>
                <w:szCs w:val="21"/>
              </w:rPr>
              <w:t>。</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ascii="宋体" w:hAnsi="宋体"/>
                <w:szCs w:val="21"/>
              </w:rPr>
              <w:t>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免费包修期等于3年不得分，每增加一年得1分，满分</w:t>
            </w:r>
            <w:r>
              <w:rPr>
                <w:kern w:val="0"/>
                <w:szCs w:val="21"/>
              </w:rPr>
              <w:t>2</w:t>
            </w:r>
            <w:r>
              <w:rPr>
                <w:rFonts w:hint="eastAsia"/>
                <w:kern w:val="0"/>
                <w:szCs w:val="21"/>
              </w:rPr>
              <w:t>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sz w:val="36"/>
          <w:szCs w:val="36"/>
        </w:rPr>
      </w:pPr>
      <w:r>
        <w:br w:type="page"/>
      </w:r>
      <w:bookmarkStart w:id="17" w:name="_Toc69378618"/>
      <w:r>
        <w:rPr>
          <w:rFonts w:hint="eastAsia"/>
          <w:b/>
          <w:sz w:val="36"/>
          <w:szCs w:val="36"/>
        </w:rPr>
        <w:t>第四章</w:t>
      </w:r>
      <w:r>
        <w:rPr>
          <w:b/>
          <w:sz w:val="36"/>
          <w:szCs w:val="36"/>
        </w:rPr>
        <w:t>合同格式</w:t>
      </w:r>
      <w:bookmarkEnd w:id="17"/>
    </w:p>
    <w:p>
      <w:pPr>
        <w:widowControl/>
        <w:spacing w:line="360" w:lineRule="auto"/>
        <w:ind w:firstLine="480" w:firstLineChars="200"/>
        <w:jc w:val="left"/>
        <w:rPr>
          <w:sz w:val="24"/>
        </w:rPr>
      </w:pPr>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w:t>
      </w:r>
      <w:r>
        <w:rPr>
          <w:rFonts w:hint="eastAsia"/>
          <w:sz w:val="24"/>
        </w:rPr>
        <w:t>响应文件被拒绝</w:t>
      </w:r>
      <w:r>
        <w:rPr>
          <w:sz w:val="24"/>
        </w:rPr>
        <w:t>。</w:t>
      </w:r>
    </w:p>
    <w:p>
      <w:pPr>
        <w:widowControl/>
        <w:spacing w:line="300" w:lineRule="auto"/>
        <w:jc w:val="left"/>
        <w:rPr>
          <w:b/>
        </w:rPr>
      </w:pPr>
      <w:r>
        <w:rPr>
          <w:rFonts w:eastAsia="黑体"/>
          <w:bCs/>
          <w:sz w:val="52"/>
          <w:szCs w:val="52"/>
        </w:rPr>
        <w:br w:type="page"/>
      </w:r>
    </w:p>
    <w:p>
      <w:pPr>
        <w:spacing w:line="300" w:lineRule="auto"/>
        <w:jc w:val="center"/>
        <w:rPr>
          <w:rFonts w:ascii="黑体" w:hAnsi="宋体" w:eastAsia="黑体"/>
          <w:kern w:val="0"/>
          <w:sz w:val="44"/>
          <w:szCs w:val="44"/>
        </w:rPr>
      </w:pPr>
      <w:r>
        <w:rPr>
          <w:rFonts w:hint="eastAsia" w:eastAsia="黑体"/>
          <w:sz w:val="44"/>
          <w:szCs w:val="44"/>
        </w:rPr>
        <w:t>合同格式</w:t>
      </w:r>
    </w:p>
    <w:p>
      <w:pPr>
        <w:spacing w:line="360" w:lineRule="auto"/>
        <w:ind w:firstLine="422" w:firstLineChars="200"/>
        <w:rPr>
          <w:rFonts w:ascii="宋体" w:hAnsi="宋体"/>
          <w:szCs w:val="21"/>
        </w:rPr>
      </w:pPr>
      <w:r>
        <w:rPr>
          <w:rFonts w:ascii="宋体" w:hAnsi="宋体"/>
          <w:b/>
          <w:szCs w:val="21"/>
          <w:u w:val="single"/>
        </w:rPr>
        <w:t>江苏省广电有线信息网络股份有限公司（以下简称“甲方”）</w:t>
      </w:r>
      <w:r>
        <w:rPr>
          <w:rFonts w:ascii="宋体" w:hAnsi="宋体"/>
          <w:szCs w:val="21"/>
        </w:rPr>
        <w:t>就</w:t>
      </w:r>
      <w:r>
        <w:rPr>
          <w:rFonts w:hint="eastAsia" w:ascii="宋体" w:hAnsi="宋体"/>
          <w:b/>
          <w:szCs w:val="21"/>
          <w:u w:val="single"/>
        </w:rPr>
        <w:t>融合IP视频播出系统备路建设</w:t>
      </w:r>
      <w:r>
        <w:rPr>
          <w:rFonts w:ascii="宋体" w:hAnsi="宋体"/>
          <w:szCs w:val="21"/>
        </w:rPr>
        <w:t>的采购及相关服务组织了</w:t>
      </w:r>
      <w:r>
        <w:rPr>
          <w:rFonts w:hint="eastAsia" w:ascii="宋体" w:hAnsi="宋体"/>
          <w:szCs w:val="21"/>
        </w:rPr>
        <w:t>竞争性磋商</w:t>
      </w:r>
      <w:r>
        <w:rPr>
          <w:rFonts w:ascii="宋体" w:hAnsi="宋体"/>
          <w:szCs w:val="21"/>
        </w:rPr>
        <w:t>，经评委会严格评审，本项目由</w:t>
      </w:r>
      <w:r>
        <w:rPr>
          <w:rFonts w:hint="eastAsia" w:ascii="宋体" w:hAnsi="宋体"/>
          <w:szCs w:val="21"/>
          <w:u w:val="single"/>
        </w:rPr>
        <w:t xml:space="preserve"> </w:t>
      </w:r>
      <w:r>
        <w:rPr>
          <w:rFonts w:ascii="宋体" w:hAnsi="宋体"/>
          <w:szCs w:val="21"/>
          <w:u w:val="single"/>
        </w:rPr>
        <w:t xml:space="preserve">               </w:t>
      </w:r>
      <w:r>
        <w:rPr>
          <w:rFonts w:ascii="宋体" w:hAnsi="宋体"/>
          <w:b/>
          <w:szCs w:val="21"/>
          <w:u w:val="single"/>
        </w:rPr>
        <w:t>公司</w:t>
      </w:r>
      <w:r>
        <w:rPr>
          <w:rFonts w:ascii="宋体" w:hAnsi="宋体"/>
          <w:b/>
          <w:szCs w:val="21"/>
        </w:rPr>
        <w:t>（以下简称“乙方”）</w:t>
      </w:r>
      <w:r>
        <w:rPr>
          <w:rFonts w:hint="eastAsia" w:ascii="宋体" w:hAnsi="宋体"/>
          <w:szCs w:val="21"/>
        </w:rPr>
        <w:t>成交</w:t>
      </w:r>
      <w:r>
        <w:rPr>
          <w:rFonts w:ascii="宋体" w:hAnsi="宋体"/>
          <w:szCs w:val="21"/>
        </w:rPr>
        <w:t>。</w:t>
      </w:r>
    </w:p>
    <w:p>
      <w:pPr>
        <w:spacing w:line="360" w:lineRule="auto"/>
        <w:ind w:firstLine="420" w:firstLineChars="200"/>
        <w:rPr>
          <w:rFonts w:ascii="宋体" w:hAnsi="宋体"/>
          <w:szCs w:val="21"/>
        </w:rPr>
      </w:pPr>
      <w:r>
        <w:rPr>
          <w:rFonts w:hint="eastAsia" w:ascii="宋体" w:hAnsi="宋体"/>
          <w:bCs/>
          <w:szCs w:val="21"/>
        </w:rPr>
        <w:t>甲</w:t>
      </w:r>
      <w:r>
        <w:rPr>
          <w:rFonts w:ascii="宋体" w:hAnsi="宋体"/>
          <w:bCs/>
          <w:szCs w:val="21"/>
        </w:rPr>
        <w:t>、</w:t>
      </w:r>
      <w:r>
        <w:rPr>
          <w:rFonts w:hint="eastAsia" w:ascii="宋体" w:hAnsi="宋体"/>
          <w:bCs/>
          <w:szCs w:val="21"/>
        </w:rPr>
        <w:t>乙</w:t>
      </w:r>
      <w:r>
        <w:rPr>
          <w:rFonts w:ascii="宋体" w:hAnsi="宋体"/>
          <w:bCs/>
          <w:szCs w:val="21"/>
        </w:rPr>
        <w:t>双方根据</w:t>
      </w:r>
      <w:r>
        <w:rPr>
          <w:rFonts w:hint="eastAsia" w:ascii="宋体" w:hAnsi="宋体"/>
          <w:szCs w:val="21"/>
        </w:rPr>
        <w:t>竞争性磋商</w:t>
      </w:r>
      <w:r>
        <w:rPr>
          <w:rFonts w:ascii="宋体" w:hAnsi="宋体"/>
          <w:szCs w:val="21"/>
        </w:rPr>
        <w:t>文件的规定、乙方</w:t>
      </w:r>
      <w:r>
        <w:rPr>
          <w:rFonts w:hint="eastAsia" w:ascii="宋体" w:hAnsi="宋体"/>
          <w:szCs w:val="21"/>
        </w:rPr>
        <w:t>响应</w:t>
      </w:r>
      <w:r>
        <w:rPr>
          <w:rFonts w:ascii="宋体" w:hAnsi="宋体"/>
          <w:szCs w:val="21"/>
        </w:rPr>
        <w:t>文件及</w:t>
      </w:r>
      <w:r>
        <w:rPr>
          <w:rFonts w:hint="eastAsia" w:ascii="宋体" w:hAnsi="宋体"/>
          <w:szCs w:val="21"/>
        </w:rPr>
        <w:t>磋商</w:t>
      </w:r>
      <w:r>
        <w:rPr>
          <w:rFonts w:ascii="宋体" w:hAnsi="宋体"/>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18" w:name="_Toc69378619"/>
      <w:r>
        <w:rPr>
          <w:rFonts w:ascii="宋体" w:hAnsi="宋体" w:eastAsia="宋体" w:cs="宋体"/>
          <w:b/>
          <w:bCs w:val="0"/>
          <w:sz w:val="21"/>
          <w:szCs w:val="21"/>
        </w:rPr>
        <w:t>一、项目标的和内容</w:t>
      </w:r>
      <w:bookmarkEnd w:id="18"/>
    </w:p>
    <w:p>
      <w:pPr>
        <w:spacing w:line="360" w:lineRule="auto"/>
        <w:ind w:firstLine="420" w:firstLineChars="200"/>
        <w:rPr>
          <w:szCs w:val="21"/>
        </w:rPr>
      </w:pPr>
      <w:bookmarkStart w:id="19" w:name="_Toc69378620"/>
      <w:r>
        <w:rPr>
          <w:szCs w:val="21"/>
        </w:rPr>
        <w:t>项目标的内容包括乙方按照甲方具体要求供应</w:t>
      </w:r>
      <w:r>
        <w:rPr>
          <w:rFonts w:hint="eastAsia" w:ascii="Tahoma" w:hAnsi="Tahoma"/>
          <w:sz w:val="24"/>
          <w:u w:val="single"/>
        </w:rPr>
        <w:t>“</w:t>
      </w:r>
      <w:r>
        <w:rPr>
          <w:rFonts w:hint="eastAsia"/>
          <w:szCs w:val="21"/>
          <w:u w:val="single"/>
        </w:rPr>
        <w:t>融合IP视频播出系统备路建设</w:t>
      </w:r>
      <w:r>
        <w:rPr>
          <w:rFonts w:hint="eastAsia" w:ascii="Tahoma" w:hAnsi="Tahoma"/>
          <w:sz w:val="24"/>
          <w:u w:val="single"/>
        </w:rPr>
        <w:t>”</w:t>
      </w:r>
      <w:r>
        <w:rPr>
          <w:szCs w:val="21"/>
        </w:rPr>
        <w:t>相关软</w:t>
      </w:r>
      <w:r>
        <w:rPr>
          <w:rFonts w:hint="eastAsia"/>
          <w:szCs w:val="21"/>
        </w:rPr>
        <w:t>硬</w:t>
      </w:r>
      <w:r>
        <w:rPr>
          <w:szCs w:val="21"/>
        </w:rPr>
        <w:t>件、</w:t>
      </w:r>
      <w:r>
        <w:rPr>
          <w:rFonts w:hint="eastAsia"/>
          <w:szCs w:val="21"/>
        </w:rPr>
        <w:t>授权</w:t>
      </w:r>
      <w:r>
        <w:rPr>
          <w:szCs w:val="21"/>
        </w:rPr>
        <w:t>，并完成所有软、硬件的安装、调试及操作培训工作，同时</w:t>
      </w:r>
      <w:r>
        <w:rPr>
          <w:rFonts w:hint="eastAsia"/>
          <w:szCs w:val="21"/>
        </w:rPr>
        <w:t>乙</w:t>
      </w:r>
      <w:r>
        <w:rPr>
          <w:szCs w:val="21"/>
        </w:rPr>
        <w:t>方承诺配合</w:t>
      </w:r>
      <w:r>
        <w:rPr>
          <w:rFonts w:hint="eastAsia"/>
          <w:szCs w:val="21"/>
        </w:rPr>
        <w:t>甲</w:t>
      </w:r>
      <w:r>
        <w:rPr>
          <w:szCs w:val="21"/>
        </w:rPr>
        <w:t>方及</w:t>
      </w:r>
      <w:r>
        <w:rPr>
          <w:rFonts w:hint="eastAsia"/>
          <w:szCs w:val="21"/>
        </w:rPr>
        <w:t>乙</w:t>
      </w:r>
      <w:r>
        <w:rPr>
          <w:szCs w:val="21"/>
        </w:rPr>
        <w:t>方指定的厂商完成相关的系统集成。具体设备名称、规格型号、配置、数量、价格明细及总价等详见附件一：</w:t>
      </w:r>
      <w:r>
        <w:rPr>
          <w:rFonts w:hint="eastAsia"/>
          <w:szCs w:val="21"/>
        </w:rPr>
        <w:t>价格表</w:t>
      </w:r>
      <w:r>
        <w:rPr>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19"/>
    </w:p>
    <w:p>
      <w:pPr>
        <w:pStyle w:val="89"/>
        <w:numPr>
          <w:ilvl w:val="0"/>
          <w:numId w:val="7"/>
        </w:numPr>
        <w:tabs>
          <w:tab w:val="left" w:pos="0"/>
        </w:tabs>
        <w:spacing w:line="360" w:lineRule="auto"/>
        <w:ind w:firstLineChars="0"/>
        <w:rPr>
          <w:rFonts w:ascii="宋体" w:hAnsi="宋体" w:eastAsia="宋体" w:cs="宋体"/>
          <w:sz w:val="21"/>
          <w:szCs w:val="22"/>
        </w:rPr>
      </w:pPr>
      <w:r>
        <w:rPr>
          <w:rFonts w:ascii="宋体" w:hAnsi="宋体" w:eastAsia="宋体" w:cs="宋体"/>
          <w:sz w:val="21"/>
          <w:szCs w:val="22"/>
        </w:rPr>
        <w:t>合同总价（人民币大写）：</w:t>
      </w:r>
      <w:r>
        <w:rPr>
          <w:rFonts w:ascii="宋体" w:hAnsi="宋体" w:eastAsia="宋体" w:cs="宋体"/>
          <w:sz w:val="21"/>
          <w:szCs w:val="22"/>
          <w:u w:val="single"/>
        </w:rPr>
        <w:t xml:space="preserve">                </w:t>
      </w:r>
      <w:r>
        <w:rPr>
          <w:rFonts w:ascii="宋体" w:hAnsi="宋体" w:eastAsia="宋体" w:cs="宋体"/>
          <w:sz w:val="21"/>
          <w:szCs w:val="22"/>
        </w:rPr>
        <w:t>。</w:t>
      </w:r>
    </w:p>
    <w:p>
      <w:pPr>
        <w:pStyle w:val="89"/>
        <w:tabs>
          <w:tab w:val="left" w:pos="0"/>
        </w:tabs>
        <w:spacing w:line="360" w:lineRule="auto"/>
        <w:ind w:left="420" w:firstLine="0" w:firstLineChars="0"/>
        <w:rPr>
          <w:rFonts w:ascii="宋体" w:hAnsi="宋体" w:eastAsia="宋体" w:cs="宋体"/>
          <w:sz w:val="21"/>
          <w:szCs w:val="22"/>
        </w:rPr>
      </w:pPr>
      <w:r>
        <w:rPr>
          <w:rFonts w:ascii="宋体" w:hAnsi="宋体" w:eastAsia="宋体" w:cs="宋体"/>
          <w:sz w:val="21"/>
          <w:szCs w:val="22"/>
        </w:rPr>
        <w:t>（人民币小写）：￥</w:t>
      </w:r>
      <w:r>
        <w:rPr>
          <w:rFonts w:hint="eastAsia" w:ascii="宋体" w:hAnsi="宋体" w:eastAsia="宋体" w:cs="宋体"/>
          <w:sz w:val="21"/>
          <w:szCs w:val="22"/>
          <w:u w:val="single"/>
        </w:rPr>
        <w:t xml:space="preserve"> </w:t>
      </w:r>
      <w:r>
        <w:rPr>
          <w:rFonts w:ascii="宋体" w:hAnsi="宋体" w:eastAsia="宋体" w:cs="宋体"/>
          <w:sz w:val="21"/>
          <w:szCs w:val="22"/>
          <w:u w:val="single"/>
        </w:rPr>
        <w:t xml:space="preserve">                     </w:t>
      </w:r>
      <w:r>
        <w:rPr>
          <w:rFonts w:ascii="宋体" w:hAnsi="宋体" w:eastAsia="宋体" w:cs="宋体"/>
          <w:sz w:val="21"/>
          <w:szCs w:val="22"/>
        </w:rPr>
        <w:t xml:space="preserve"> 。</w:t>
      </w:r>
    </w:p>
    <w:p>
      <w:pPr>
        <w:pStyle w:val="89"/>
        <w:numPr>
          <w:ilvl w:val="0"/>
          <w:numId w:val="7"/>
        </w:numPr>
        <w:tabs>
          <w:tab w:val="left" w:pos="0"/>
        </w:tabs>
        <w:spacing w:line="360" w:lineRule="auto"/>
        <w:ind w:firstLineChars="0"/>
        <w:rPr>
          <w:rFonts w:ascii="宋体" w:hAnsi="宋体" w:eastAsia="宋体" w:cs="宋体"/>
          <w:sz w:val="21"/>
          <w:szCs w:val="22"/>
        </w:rPr>
      </w:pPr>
      <w:bookmarkStart w:id="20" w:name="_Hlk70610090"/>
      <w:r>
        <w:rPr>
          <w:rFonts w:ascii="宋体" w:hAnsi="宋体" w:eastAsia="宋体" w:cs="宋体"/>
          <w:sz w:val="21"/>
          <w:szCs w:val="22"/>
        </w:rPr>
        <w:t>合同总价系指按本合同的规定，</w:t>
      </w:r>
      <w:r>
        <w:rPr>
          <w:rFonts w:hint="eastAsia" w:ascii="宋体" w:hAnsi="宋体" w:eastAsia="宋体" w:cs="宋体"/>
          <w:sz w:val="21"/>
          <w:szCs w:val="22"/>
        </w:rPr>
        <w:t>乙</w:t>
      </w:r>
      <w:r>
        <w:rPr>
          <w:rFonts w:ascii="宋体" w:hAnsi="宋体" w:eastAsia="宋体" w:cs="宋体"/>
          <w:sz w:val="21"/>
          <w:szCs w:val="22"/>
        </w:rPr>
        <w:t>方在完全履行了合同的义务后，</w:t>
      </w:r>
      <w:r>
        <w:rPr>
          <w:rFonts w:hint="eastAsia" w:ascii="宋体" w:hAnsi="宋体" w:eastAsia="宋体" w:cs="宋体"/>
          <w:sz w:val="21"/>
          <w:szCs w:val="22"/>
        </w:rPr>
        <w:t>甲</w:t>
      </w:r>
      <w:r>
        <w:rPr>
          <w:rFonts w:ascii="宋体" w:hAnsi="宋体" w:eastAsia="宋体" w:cs="宋体"/>
          <w:sz w:val="21"/>
          <w:szCs w:val="22"/>
        </w:rPr>
        <w:t>方支付给</w:t>
      </w:r>
      <w:r>
        <w:rPr>
          <w:rFonts w:hint="eastAsia" w:ascii="宋体" w:hAnsi="宋体" w:eastAsia="宋体" w:cs="宋体"/>
          <w:sz w:val="21"/>
          <w:szCs w:val="22"/>
        </w:rPr>
        <w:t>乙</w:t>
      </w:r>
      <w:r>
        <w:rPr>
          <w:rFonts w:ascii="宋体" w:hAnsi="宋体" w:eastAsia="宋体" w:cs="宋体"/>
          <w:sz w:val="21"/>
          <w:szCs w:val="22"/>
        </w:rPr>
        <w:t>方的总价款，包括但不限于软硬件的采购费、包装费、运输费、保险费、安装调试费、随机提供的备品备件和专用工具费、检测验收费、培训费、售后服务费，以及与所供产品和服务有关的一切税费</w:t>
      </w:r>
      <w:r>
        <w:rPr>
          <w:rFonts w:hint="eastAsia" w:ascii="宋体" w:hAnsi="宋体" w:eastAsia="宋体" w:cs="宋体"/>
          <w:sz w:val="21"/>
          <w:szCs w:val="22"/>
        </w:rPr>
        <w:t>，除此之外，</w:t>
      </w:r>
      <w:r>
        <w:rPr>
          <w:rFonts w:ascii="宋体" w:hAnsi="宋体" w:eastAsia="宋体" w:cs="宋体"/>
          <w:sz w:val="21"/>
          <w:szCs w:val="22"/>
        </w:rPr>
        <w:t>甲</w:t>
      </w:r>
      <w:r>
        <w:rPr>
          <w:rFonts w:hint="eastAsia" w:ascii="宋体" w:hAnsi="宋体" w:eastAsia="宋体" w:cs="宋体"/>
          <w:sz w:val="21"/>
          <w:szCs w:val="22"/>
        </w:rPr>
        <w:t>方不再以任何名义、任何方式向</w:t>
      </w:r>
      <w:r>
        <w:rPr>
          <w:rFonts w:ascii="宋体" w:hAnsi="宋体" w:eastAsia="宋体" w:cs="宋体"/>
          <w:sz w:val="21"/>
          <w:szCs w:val="22"/>
        </w:rPr>
        <w:t>乙</w:t>
      </w:r>
      <w:r>
        <w:rPr>
          <w:rFonts w:hint="eastAsia" w:ascii="宋体" w:hAnsi="宋体" w:eastAsia="宋体" w:cs="宋体"/>
          <w:sz w:val="21"/>
          <w:szCs w:val="22"/>
        </w:rPr>
        <w:t>方支付费用</w:t>
      </w:r>
      <w:r>
        <w:rPr>
          <w:rFonts w:ascii="宋体" w:hAnsi="宋体" w:eastAsia="宋体" w:cs="宋体"/>
          <w:sz w:val="21"/>
          <w:szCs w:val="22"/>
        </w:rPr>
        <w:t>。</w:t>
      </w:r>
    </w:p>
    <w:p>
      <w:pPr>
        <w:pStyle w:val="89"/>
        <w:numPr>
          <w:ilvl w:val="0"/>
          <w:numId w:val="7"/>
        </w:numPr>
        <w:tabs>
          <w:tab w:val="left" w:pos="0"/>
        </w:tabs>
        <w:spacing w:line="360" w:lineRule="auto"/>
        <w:ind w:firstLineChars="0"/>
        <w:rPr>
          <w:rFonts w:ascii="宋体" w:hAnsi="宋体" w:eastAsia="宋体" w:cs="宋体"/>
          <w:sz w:val="21"/>
          <w:szCs w:val="22"/>
        </w:rPr>
      </w:pPr>
      <w:r>
        <w:rPr>
          <w:rFonts w:ascii="宋体" w:hAnsi="宋体" w:eastAsia="宋体" w:cs="宋体"/>
          <w:sz w:val="21"/>
          <w:szCs w:val="22"/>
        </w:rPr>
        <w:t>当国家法定增值税税率发生变更，甲乙双方约定以含税价格不变作为基准，调整增值税税额</w:t>
      </w:r>
      <w:bookmarkEnd w:id="20"/>
      <w:r>
        <w:rPr>
          <w:rFonts w:hint="eastAsia" w:ascii="宋体" w:hAnsi="宋体" w:eastAsia="宋体" w:cs="宋体"/>
          <w:sz w:val="21"/>
          <w:szCs w:val="22"/>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pStyle w:val="89"/>
        <w:numPr>
          <w:ilvl w:val="0"/>
          <w:numId w:val="8"/>
        </w:numPr>
        <w:tabs>
          <w:tab w:val="left" w:pos="0"/>
        </w:tabs>
        <w:spacing w:line="360" w:lineRule="auto"/>
        <w:ind w:firstLineChars="0"/>
        <w:rPr>
          <w:rFonts w:ascii="宋体" w:hAnsi="宋体" w:eastAsia="宋体" w:cs="宋体"/>
          <w:sz w:val="21"/>
          <w:szCs w:val="22"/>
        </w:rPr>
      </w:pPr>
      <w:bookmarkStart w:id="21" w:name="_Toc69378621"/>
      <w:r>
        <w:rPr>
          <w:rFonts w:hint="eastAsia" w:ascii="宋体" w:hAnsi="宋体" w:eastAsia="宋体" w:cs="宋体"/>
          <w:sz w:val="21"/>
          <w:szCs w:val="22"/>
        </w:rPr>
        <w:t>付款方式：</w:t>
      </w:r>
      <w:r>
        <w:rPr>
          <w:rFonts w:ascii="宋体" w:hAnsi="宋体" w:eastAsia="宋体" w:cs="宋体"/>
          <w:sz w:val="21"/>
          <w:szCs w:val="22"/>
        </w:rPr>
        <w:t>合同总价的60%，以半年期银行承兑汇票支付；剩余部分以转账的方式支付</w:t>
      </w:r>
      <w:r>
        <w:rPr>
          <w:rFonts w:hint="eastAsia" w:ascii="宋体" w:hAnsi="宋体" w:eastAsia="宋体" w:cs="宋体"/>
          <w:sz w:val="21"/>
          <w:szCs w:val="22"/>
        </w:rPr>
        <w:t>，禁止将货款划入其他账号或支付现金。如收款方的账号和开户行变更，须及时以书面形式通知付款方，通知上必须同时盖有收款方的公章或财务专用章。</w:t>
      </w:r>
    </w:p>
    <w:p>
      <w:pPr>
        <w:pStyle w:val="89"/>
        <w:numPr>
          <w:ilvl w:val="0"/>
          <w:numId w:val="8"/>
        </w:numPr>
        <w:tabs>
          <w:tab w:val="left" w:pos="0"/>
        </w:tabs>
        <w:spacing w:line="360" w:lineRule="auto"/>
        <w:ind w:firstLineChars="0"/>
        <w:rPr>
          <w:rFonts w:ascii="宋体" w:hAnsi="宋体" w:eastAsia="宋体" w:cs="宋体"/>
          <w:sz w:val="21"/>
          <w:szCs w:val="22"/>
        </w:rPr>
      </w:pPr>
      <w:r>
        <w:rPr>
          <w:rFonts w:hint="eastAsia" w:ascii="宋体" w:hAnsi="宋体" w:eastAsia="宋体" w:cs="宋体"/>
          <w:sz w:val="21"/>
          <w:szCs w:val="22"/>
        </w:rPr>
        <w:t>付款期限：系统通过初验后转账支付合同总额的</w:t>
      </w:r>
      <w:r>
        <w:rPr>
          <w:rFonts w:ascii="宋体" w:hAnsi="宋体" w:eastAsia="宋体" w:cs="宋体"/>
          <w:sz w:val="21"/>
          <w:szCs w:val="22"/>
        </w:rPr>
        <w:t>30%</w:t>
      </w:r>
      <w:r>
        <w:rPr>
          <w:rFonts w:hint="eastAsia" w:ascii="宋体" w:hAnsi="宋体" w:eastAsia="宋体" w:cs="宋体"/>
          <w:sz w:val="21"/>
          <w:szCs w:val="22"/>
        </w:rPr>
        <w:t>，即人民币：</w:t>
      </w:r>
      <w:r>
        <w:rPr>
          <w:rFonts w:ascii="宋体" w:hAnsi="宋体" w:eastAsia="宋体" w:cs="宋体"/>
          <w:sz w:val="21"/>
          <w:szCs w:val="22"/>
        </w:rPr>
        <w:t xml:space="preserve">   </w:t>
      </w:r>
      <w:r>
        <w:rPr>
          <w:rFonts w:hint="eastAsia" w:ascii="宋体" w:hAnsi="宋体" w:eastAsia="宋体" w:cs="宋体"/>
          <w:sz w:val="21"/>
          <w:szCs w:val="22"/>
        </w:rPr>
        <w:t>元，大写：</w:t>
      </w:r>
      <w:r>
        <w:rPr>
          <w:rFonts w:ascii="宋体" w:hAnsi="宋体" w:eastAsia="宋体" w:cs="宋体"/>
          <w:sz w:val="21"/>
          <w:szCs w:val="22"/>
        </w:rPr>
        <w:t xml:space="preserve">   </w:t>
      </w:r>
      <w:r>
        <w:rPr>
          <w:rFonts w:hint="eastAsia" w:ascii="宋体" w:hAnsi="宋体" w:eastAsia="宋体" w:cs="宋体"/>
          <w:sz w:val="21"/>
          <w:szCs w:val="22"/>
        </w:rPr>
        <w:t>元，系统通过终验后支付合同总额的</w:t>
      </w:r>
      <w:r>
        <w:rPr>
          <w:rFonts w:ascii="宋体" w:hAnsi="宋体" w:eastAsia="宋体" w:cs="宋体"/>
          <w:sz w:val="21"/>
          <w:szCs w:val="22"/>
        </w:rPr>
        <w:t>60%</w:t>
      </w:r>
      <w:r>
        <w:rPr>
          <w:rFonts w:hint="eastAsia" w:ascii="宋体" w:hAnsi="宋体" w:eastAsia="宋体" w:cs="宋体"/>
          <w:sz w:val="21"/>
          <w:szCs w:val="22"/>
        </w:rPr>
        <w:t>（以半年期银行承兑汇票支付），即人民币：</w:t>
      </w:r>
      <w:r>
        <w:rPr>
          <w:rFonts w:ascii="宋体" w:hAnsi="宋体" w:eastAsia="宋体" w:cs="宋体"/>
          <w:sz w:val="21"/>
          <w:szCs w:val="22"/>
        </w:rPr>
        <w:t xml:space="preserve">   </w:t>
      </w:r>
      <w:r>
        <w:rPr>
          <w:rFonts w:hint="eastAsia" w:ascii="宋体" w:hAnsi="宋体" w:eastAsia="宋体" w:cs="宋体"/>
          <w:sz w:val="21"/>
          <w:szCs w:val="22"/>
        </w:rPr>
        <w:t>元，大写：</w:t>
      </w:r>
      <w:r>
        <w:rPr>
          <w:rFonts w:ascii="宋体" w:hAnsi="宋体" w:eastAsia="宋体" w:cs="宋体"/>
          <w:sz w:val="21"/>
          <w:szCs w:val="22"/>
        </w:rPr>
        <w:t xml:space="preserve">   </w:t>
      </w:r>
      <w:r>
        <w:rPr>
          <w:rFonts w:hint="eastAsia" w:ascii="宋体" w:hAnsi="宋体" w:eastAsia="宋体" w:cs="宋体"/>
          <w:sz w:val="21"/>
          <w:szCs w:val="22"/>
        </w:rPr>
        <w:t>元，尾款</w:t>
      </w:r>
      <w:r>
        <w:rPr>
          <w:rFonts w:ascii="宋体" w:hAnsi="宋体" w:eastAsia="宋体" w:cs="宋体"/>
          <w:sz w:val="21"/>
          <w:szCs w:val="22"/>
        </w:rPr>
        <w:t>10%</w:t>
      </w:r>
      <w:r>
        <w:rPr>
          <w:rFonts w:hint="eastAsia" w:ascii="宋体" w:hAnsi="宋体" w:eastAsia="宋体" w:cs="宋体"/>
          <w:sz w:val="21"/>
          <w:szCs w:val="22"/>
        </w:rPr>
        <w:t>（转账支付）作为质量保证金，即人民币：</w:t>
      </w:r>
      <w:r>
        <w:rPr>
          <w:rFonts w:ascii="宋体" w:hAnsi="宋体" w:eastAsia="宋体" w:cs="宋体"/>
          <w:sz w:val="21"/>
          <w:szCs w:val="22"/>
        </w:rPr>
        <w:t xml:space="preserve">   </w:t>
      </w:r>
      <w:r>
        <w:rPr>
          <w:rFonts w:hint="eastAsia" w:ascii="宋体" w:hAnsi="宋体" w:eastAsia="宋体" w:cs="宋体"/>
          <w:sz w:val="21"/>
          <w:szCs w:val="22"/>
        </w:rPr>
        <w:t>元，大写：</w:t>
      </w:r>
      <w:r>
        <w:rPr>
          <w:rFonts w:ascii="宋体" w:hAnsi="宋体" w:eastAsia="宋体" w:cs="宋体"/>
          <w:sz w:val="21"/>
          <w:szCs w:val="22"/>
        </w:rPr>
        <w:t xml:space="preserve">   </w:t>
      </w:r>
      <w:r>
        <w:rPr>
          <w:rFonts w:hint="eastAsia" w:ascii="宋体" w:hAnsi="宋体" w:eastAsia="宋体" w:cs="宋体"/>
          <w:sz w:val="21"/>
          <w:szCs w:val="22"/>
        </w:rPr>
        <w:t>元，在终验合格一年后的</w:t>
      </w:r>
      <w:r>
        <w:rPr>
          <w:rFonts w:ascii="宋体" w:hAnsi="宋体" w:eastAsia="宋体" w:cs="宋体"/>
          <w:sz w:val="21"/>
          <w:szCs w:val="22"/>
        </w:rPr>
        <w:t>10</w:t>
      </w:r>
      <w:r>
        <w:rPr>
          <w:rFonts w:hint="eastAsia" w:ascii="宋体" w:hAnsi="宋体" w:eastAsia="宋体" w:cs="宋体"/>
          <w:sz w:val="21"/>
          <w:szCs w:val="22"/>
        </w:rPr>
        <w:t>个工作日之内支付</w:t>
      </w:r>
      <w:r>
        <w:rPr>
          <w:rFonts w:ascii="宋体" w:hAnsi="宋体" w:eastAsia="宋体" w:cs="宋体"/>
          <w:sz w:val="21"/>
          <w:szCs w:val="22"/>
        </w:rPr>
        <w:t>7%</w:t>
      </w:r>
      <w:r>
        <w:rPr>
          <w:rFonts w:hint="eastAsia" w:ascii="宋体" w:hAnsi="宋体" w:eastAsia="宋体" w:cs="宋体"/>
          <w:sz w:val="21"/>
          <w:szCs w:val="22"/>
        </w:rPr>
        <w:t>，如卖方此时向甲方开据</w:t>
      </w:r>
      <w:r>
        <w:rPr>
          <w:rFonts w:ascii="宋体" w:hAnsi="宋体" w:eastAsia="宋体" w:cs="宋体"/>
          <w:sz w:val="21"/>
          <w:szCs w:val="22"/>
        </w:rPr>
        <w:t>3%</w:t>
      </w:r>
      <w:r>
        <w:rPr>
          <w:rFonts w:hint="eastAsia" w:ascii="宋体" w:hAnsi="宋体" w:eastAsia="宋体" w:cs="宋体"/>
          <w:sz w:val="21"/>
          <w:szCs w:val="22"/>
        </w:rPr>
        <w:t>的银行保函（此保函须在免费包修期结束后到期），买方在收到银行保函</w:t>
      </w:r>
      <w:r>
        <w:rPr>
          <w:rFonts w:ascii="宋体" w:hAnsi="宋体" w:eastAsia="宋体" w:cs="宋体"/>
          <w:sz w:val="21"/>
          <w:szCs w:val="22"/>
        </w:rPr>
        <w:t>30</w:t>
      </w:r>
      <w:r>
        <w:rPr>
          <w:rFonts w:hint="eastAsia" w:ascii="宋体" w:hAnsi="宋体" w:eastAsia="宋体" w:cs="宋体"/>
          <w:sz w:val="21"/>
          <w:szCs w:val="22"/>
        </w:rPr>
        <w:t>日内将尾款结清（即合同总价的</w:t>
      </w:r>
      <w:r>
        <w:rPr>
          <w:rFonts w:ascii="宋体" w:hAnsi="宋体" w:eastAsia="宋体" w:cs="宋体"/>
          <w:sz w:val="21"/>
          <w:szCs w:val="22"/>
        </w:rPr>
        <w:t>10%</w:t>
      </w:r>
      <w:r>
        <w:rPr>
          <w:rFonts w:hint="eastAsia" w:ascii="宋体" w:hAnsi="宋体" w:eastAsia="宋体" w:cs="宋体"/>
          <w:sz w:val="21"/>
          <w:szCs w:val="22"/>
        </w:rPr>
        <w:t>），否则买方将在免费保修期结束后的</w:t>
      </w:r>
      <w:r>
        <w:rPr>
          <w:rFonts w:ascii="宋体" w:hAnsi="宋体" w:eastAsia="宋体" w:cs="宋体"/>
          <w:sz w:val="21"/>
          <w:szCs w:val="22"/>
        </w:rPr>
        <w:t>10</w:t>
      </w:r>
      <w:r>
        <w:rPr>
          <w:rFonts w:hint="eastAsia" w:ascii="宋体" w:hAnsi="宋体" w:eastAsia="宋体" w:cs="宋体"/>
          <w:sz w:val="21"/>
          <w:szCs w:val="22"/>
        </w:rPr>
        <w:t>个工作日之内支付剩余的</w:t>
      </w:r>
      <w:r>
        <w:rPr>
          <w:rFonts w:ascii="宋体" w:hAnsi="宋体" w:eastAsia="宋体" w:cs="宋体"/>
          <w:sz w:val="21"/>
          <w:szCs w:val="22"/>
        </w:rPr>
        <w:t>3%</w:t>
      </w:r>
      <w:r>
        <w:rPr>
          <w:rFonts w:hint="eastAsia" w:ascii="宋体" w:hAnsi="宋体" w:eastAsia="宋体" w:cs="宋体"/>
          <w:sz w:val="21"/>
          <w:szCs w:val="22"/>
        </w:rPr>
        <w:t>给卖方。如乙方违反本合同第十五条廉洁条款第二点，甲方有权全部扣除合同总额的</w:t>
      </w:r>
      <w:r>
        <w:rPr>
          <w:rFonts w:ascii="宋体" w:hAnsi="宋体" w:eastAsia="宋体" w:cs="宋体"/>
          <w:sz w:val="21"/>
          <w:szCs w:val="22"/>
        </w:rPr>
        <w:t>10%</w:t>
      </w:r>
      <w:r>
        <w:rPr>
          <w:rFonts w:hint="eastAsia" w:ascii="宋体" w:hAnsi="宋体" w:eastAsia="宋体" w:cs="宋体"/>
          <w:sz w:val="21"/>
          <w:szCs w:val="22"/>
        </w:rPr>
        <w:t>，若此时合同总额已经全部支付或余款不足</w:t>
      </w:r>
      <w:r>
        <w:rPr>
          <w:rFonts w:ascii="宋体" w:hAnsi="宋体" w:eastAsia="宋体" w:cs="宋体"/>
          <w:sz w:val="21"/>
          <w:szCs w:val="22"/>
        </w:rPr>
        <w:t>10%</w:t>
      </w:r>
      <w:r>
        <w:rPr>
          <w:rFonts w:hint="eastAsia" w:ascii="宋体" w:hAnsi="宋体" w:eastAsia="宋体" w:cs="宋体"/>
          <w:sz w:val="21"/>
          <w:szCs w:val="22"/>
        </w:rPr>
        <w:t>的，甲方有权根据此合同向乙方进一步追诉。</w:t>
      </w:r>
    </w:p>
    <w:p>
      <w:pPr>
        <w:pStyle w:val="89"/>
        <w:numPr>
          <w:ilvl w:val="0"/>
          <w:numId w:val="8"/>
        </w:numPr>
        <w:tabs>
          <w:tab w:val="left" w:pos="0"/>
        </w:tabs>
        <w:spacing w:line="360" w:lineRule="auto"/>
        <w:ind w:firstLineChars="0"/>
        <w:rPr>
          <w:rFonts w:ascii="宋体" w:hAnsi="宋体" w:eastAsia="宋体" w:cs="宋体"/>
          <w:sz w:val="21"/>
          <w:szCs w:val="22"/>
        </w:rPr>
      </w:pPr>
      <w:r>
        <w:rPr>
          <w:rFonts w:hint="eastAsia" w:ascii="宋体" w:hAnsi="宋体" w:eastAsia="宋体" w:cs="宋体"/>
          <w:sz w:val="21"/>
          <w:szCs w:val="22"/>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pPr>
        <w:pStyle w:val="89"/>
        <w:numPr>
          <w:ilvl w:val="0"/>
          <w:numId w:val="8"/>
        </w:numPr>
        <w:tabs>
          <w:tab w:val="left" w:pos="0"/>
        </w:tabs>
        <w:spacing w:line="360" w:lineRule="auto"/>
        <w:ind w:firstLineChars="0"/>
        <w:rPr>
          <w:rFonts w:ascii="宋体" w:hAnsi="宋体" w:eastAsia="宋体" w:cs="宋体"/>
          <w:sz w:val="21"/>
          <w:szCs w:val="22"/>
        </w:rPr>
      </w:pPr>
      <w:r>
        <w:rPr>
          <w:rFonts w:hint="eastAsia" w:ascii="宋体" w:hAnsi="宋体" w:eastAsia="宋体" w:cs="宋体"/>
          <w:sz w:val="21"/>
          <w:szCs w:val="22"/>
        </w:rPr>
        <w:t>付款前，乙方必须按照国家有关发票管理规定，向甲方一次性提供合同总额的增值税专用发票，由甲方审核无误后再支付货款，否则甲方有权拒绝或迟延支付货款，且不影响乙方履行本合同项下的义务，给甲方造成的损失由乙方承担。</w:t>
      </w:r>
    </w:p>
    <w:p>
      <w:pPr>
        <w:pStyle w:val="89"/>
        <w:numPr>
          <w:ilvl w:val="0"/>
          <w:numId w:val="8"/>
        </w:numPr>
        <w:tabs>
          <w:tab w:val="left" w:pos="0"/>
        </w:tabs>
        <w:spacing w:line="360" w:lineRule="auto"/>
        <w:ind w:firstLineChars="0"/>
        <w:rPr>
          <w:rFonts w:ascii="宋体" w:hAnsi="宋体" w:eastAsia="宋体" w:cs="宋体"/>
          <w:sz w:val="21"/>
          <w:szCs w:val="22"/>
        </w:rPr>
      </w:pPr>
      <w:r>
        <w:rPr>
          <w:rFonts w:hint="eastAsia" w:ascii="宋体" w:hAnsi="宋体" w:eastAsia="宋体" w:cs="宋体"/>
          <w:sz w:val="21"/>
          <w:szCs w:val="22"/>
        </w:rPr>
        <w:t>扣款细则</w:t>
      </w:r>
    </w:p>
    <w:p>
      <w:pPr>
        <w:spacing w:line="360" w:lineRule="auto"/>
        <w:rPr>
          <w:szCs w:val="21"/>
        </w:rPr>
      </w:pPr>
      <w:r>
        <w:rPr>
          <w:rFonts w:hint="eastAsia"/>
          <w:szCs w:val="21"/>
        </w:rPr>
        <w:t>乙方履行义务期间，存在以下情况时，甲方可视情况进行相应的扣款。</w:t>
      </w:r>
    </w:p>
    <w:tbl>
      <w:tblPr>
        <w:tblStyle w:val="53"/>
        <w:tblW w:w="958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135" w:type="dxa"/>
            <w:vAlign w:val="center"/>
          </w:tcPr>
          <w:p>
            <w:pPr>
              <w:jc w:val="center"/>
              <w:rPr>
                <w:rFonts w:ascii="宋体" w:hAnsi="宋体"/>
                <w:b/>
                <w:szCs w:val="21"/>
              </w:rPr>
            </w:pPr>
            <w:r>
              <w:rPr>
                <w:rFonts w:hint="eastAsia" w:ascii="宋体" w:hAnsi="宋体"/>
                <w:b/>
                <w:szCs w:val="21"/>
              </w:rPr>
              <w:t>费用类别</w:t>
            </w:r>
          </w:p>
        </w:tc>
        <w:tc>
          <w:tcPr>
            <w:tcW w:w="2552" w:type="dxa"/>
            <w:vAlign w:val="center"/>
          </w:tcPr>
          <w:p>
            <w:pPr>
              <w:jc w:val="center"/>
              <w:rPr>
                <w:rFonts w:ascii="宋体" w:hAnsi="宋体"/>
                <w:b/>
                <w:szCs w:val="21"/>
              </w:rPr>
            </w:pPr>
            <w:r>
              <w:rPr>
                <w:rFonts w:hint="eastAsia" w:ascii="宋体" w:hAnsi="宋体"/>
                <w:b/>
                <w:szCs w:val="21"/>
              </w:rPr>
              <w:t>适用状况</w:t>
            </w:r>
          </w:p>
        </w:tc>
        <w:tc>
          <w:tcPr>
            <w:tcW w:w="1938"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1</w:t>
            </w:r>
          </w:p>
        </w:tc>
        <w:tc>
          <w:tcPr>
            <w:tcW w:w="1135" w:type="dxa"/>
            <w:vAlign w:val="center"/>
          </w:tcPr>
          <w:p>
            <w:pPr>
              <w:rPr>
                <w:rFonts w:ascii="宋体" w:hAnsi="宋体"/>
                <w:szCs w:val="21"/>
              </w:rPr>
            </w:pPr>
            <w:r>
              <w:rPr>
                <w:rFonts w:hint="eastAsia" w:ascii="宋体" w:hAnsi="宋体"/>
                <w:szCs w:val="21"/>
              </w:rPr>
              <w:t>项目人员缺勤费用</w:t>
            </w:r>
          </w:p>
        </w:tc>
        <w:tc>
          <w:tcPr>
            <w:tcW w:w="2552"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2</w:t>
            </w:r>
          </w:p>
        </w:tc>
        <w:tc>
          <w:tcPr>
            <w:tcW w:w="1135" w:type="dxa"/>
            <w:vAlign w:val="center"/>
          </w:tcPr>
          <w:p>
            <w:pPr>
              <w:rPr>
                <w:rFonts w:ascii="宋体" w:hAnsi="宋体"/>
                <w:szCs w:val="21"/>
              </w:rPr>
            </w:pPr>
            <w:r>
              <w:rPr>
                <w:rFonts w:hint="eastAsia" w:ascii="宋体" w:hAnsi="宋体"/>
                <w:szCs w:val="21"/>
              </w:rPr>
              <w:t>项目进度滞后费用</w:t>
            </w:r>
          </w:p>
        </w:tc>
        <w:tc>
          <w:tcPr>
            <w:tcW w:w="2552" w:type="dxa"/>
            <w:vAlign w:val="center"/>
          </w:tcPr>
          <w:p>
            <w:pPr>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3</w:t>
            </w:r>
          </w:p>
        </w:tc>
        <w:tc>
          <w:tcPr>
            <w:tcW w:w="1135" w:type="dxa"/>
            <w:vAlign w:val="center"/>
          </w:tcPr>
          <w:p>
            <w:pPr>
              <w:rPr>
                <w:rFonts w:ascii="宋体" w:hAnsi="宋体"/>
                <w:szCs w:val="21"/>
              </w:rPr>
            </w:pPr>
            <w:r>
              <w:rPr>
                <w:rFonts w:hint="eastAsia" w:ascii="宋体" w:hAnsi="宋体"/>
                <w:szCs w:val="21"/>
              </w:rPr>
              <w:t>服务质量不合格</w:t>
            </w:r>
          </w:p>
        </w:tc>
        <w:tc>
          <w:tcPr>
            <w:tcW w:w="2552" w:type="dxa"/>
            <w:vAlign w:val="center"/>
          </w:tcPr>
          <w:p>
            <w:pPr>
              <w:rPr>
                <w:rFonts w:ascii="宋体" w:hAnsi="宋体"/>
                <w:szCs w:val="21"/>
              </w:rPr>
            </w:pPr>
            <w:r>
              <w:rPr>
                <w:rFonts w:hint="eastAsia" w:ascii="宋体" w:hAnsi="宋体"/>
                <w:szCs w:val="21"/>
              </w:rPr>
              <w:t>乙方提供的服务不满足事先约定的质量要求。</w:t>
            </w:r>
          </w:p>
        </w:tc>
        <w:tc>
          <w:tcPr>
            <w:tcW w:w="1938"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4</w:t>
            </w:r>
          </w:p>
        </w:tc>
        <w:tc>
          <w:tcPr>
            <w:tcW w:w="1135" w:type="dxa"/>
            <w:vAlign w:val="center"/>
          </w:tcPr>
          <w:p>
            <w:pPr>
              <w:rPr>
                <w:rFonts w:ascii="宋体" w:hAnsi="宋体"/>
                <w:szCs w:val="21"/>
              </w:rPr>
            </w:pPr>
            <w:r>
              <w:rPr>
                <w:rFonts w:hint="eastAsia" w:ascii="宋体" w:hAnsi="宋体"/>
                <w:szCs w:val="21"/>
              </w:rPr>
              <w:t>技术支持延迟或售后不合格</w:t>
            </w:r>
          </w:p>
        </w:tc>
        <w:tc>
          <w:tcPr>
            <w:tcW w:w="2552"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hint="eastAsia" w:ascii="宋体" w:hAnsi="宋体"/>
                <w:szCs w:val="21"/>
              </w:rPr>
              <w:t>5</w:t>
            </w:r>
          </w:p>
        </w:tc>
        <w:tc>
          <w:tcPr>
            <w:tcW w:w="1135" w:type="dxa"/>
            <w:vAlign w:val="center"/>
          </w:tcPr>
          <w:p>
            <w:pPr>
              <w:rPr>
                <w:rFonts w:ascii="宋体" w:hAnsi="宋体"/>
                <w:szCs w:val="21"/>
              </w:rPr>
            </w:pPr>
            <w:r>
              <w:rPr>
                <w:rFonts w:hint="eastAsia" w:ascii="宋体" w:hAnsi="宋体"/>
                <w:szCs w:val="21"/>
              </w:rPr>
              <w:t>文档缺失或质量不合格</w:t>
            </w:r>
          </w:p>
        </w:tc>
        <w:tc>
          <w:tcPr>
            <w:tcW w:w="2552" w:type="dxa"/>
            <w:vAlign w:val="center"/>
          </w:tcPr>
          <w:p>
            <w:pPr>
              <w:rPr>
                <w:rFonts w:ascii="宋体" w:hAnsi="宋体"/>
                <w:szCs w:val="21"/>
              </w:rPr>
            </w:pPr>
            <w:r>
              <w:rPr>
                <w:rFonts w:hint="eastAsia" w:ascii="宋体" w:hAnsi="宋体"/>
                <w:szCs w:val="21"/>
              </w:rPr>
              <w:t>乙方未提供或提供的技术规范、培训材料等文档</w:t>
            </w:r>
          </w:p>
        </w:tc>
        <w:tc>
          <w:tcPr>
            <w:tcW w:w="1938" w:type="dxa"/>
            <w:vAlign w:val="center"/>
          </w:tcPr>
          <w:p>
            <w:pPr>
              <w:rPr>
                <w:rFonts w:ascii="宋体" w:hAnsi="宋体"/>
                <w:szCs w:val="21"/>
              </w:rPr>
            </w:pPr>
            <w:r>
              <w:rPr>
                <w:rFonts w:hint="eastAsia" w:ascii="宋体" w:hAnsi="宋体"/>
                <w:szCs w:val="21"/>
              </w:rPr>
              <w:t>由甲方项目经理确认文档条目，提交财务部扣款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视文档重要性</w:t>
            </w:r>
          </w:p>
        </w:tc>
      </w:tr>
    </w:tbl>
    <w:p/>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融合IP视频播出系统备路建设”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1"/>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五</w:t>
      </w:r>
      <w:r>
        <w:rPr>
          <w:rFonts w:ascii="宋体" w:hAnsi="宋体" w:eastAsia="宋体" w:cs="宋体"/>
          <w:b/>
          <w:bCs w:val="0"/>
          <w:sz w:val="21"/>
          <w:szCs w:val="21"/>
        </w:rPr>
        <w:t>、</w:t>
      </w:r>
      <w:r>
        <w:rPr>
          <w:rFonts w:hint="eastAsia" w:ascii="宋体" w:hAnsi="宋体" w:eastAsia="宋体" w:cs="宋体"/>
          <w:b/>
          <w:bCs w:val="0"/>
          <w:sz w:val="21"/>
          <w:szCs w:val="21"/>
        </w:rPr>
        <w:t>产品的包装</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2" w:name="_Toc69378622"/>
      <w:r>
        <w:rPr>
          <w:rFonts w:hint="eastAsia" w:ascii="宋体" w:hAnsi="宋体" w:eastAsia="宋体" w:cs="宋体"/>
          <w:b/>
          <w:bCs w:val="0"/>
          <w:sz w:val="21"/>
          <w:szCs w:val="21"/>
        </w:rPr>
        <w:t>六、产品交付</w:t>
      </w:r>
    </w:p>
    <w:p>
      <w:pPr>
        <w:numPr>
          <w:ilvl w:val="0"/>
          <w:numId w:val="10"/>
        </w:numPr>
        <w:tabs>
          <w:tab w:val="left" w:pos="0"/>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pPr>
        <w:numPr>
          <w:ilvl w:val="0"/>
          <w:numId w:val="10"/>
        </w:numPr>
        <w:tabs>
          <w:tab w:val="left" w:pos="0"/>
        </w:tabs>
        <w:spacing w:line="360" w:lineRule="auto"/>
        <w:ind w:left="0" w:firstLine="0"/>
        <w:rPr>
          <w:rFonts w:ascii="宋体" w:hAnsi="宋体" w:cs="宋体"/>
          <w:szCs w:val="21"/>
        </w:rPr>
      </w:pPr>
      <w:r>
        <w:rPr>
          <w:rFonts w:hint="eastAsia" w:ascii="宋体" w:hAnsi="宋体" w:cs="宋体"/>
          <w:szCs w:val="21"/>
        </w:rPr>
        <w:t>乙方交货时应提供下列技术资料：</w:t>
      </w:r>
    </w:p>
    <w:p>
      <w:pPr>
        <w:spacing w:line="360" w:lineRule="auto"/>
        <w:rPr>
          <w:rFonts w:ascii="宋体" w:hAnsi="宋体" w:cs="宋体"/>
          <w:szCs w:val="21"/>
        </w:rPr>
      </w:pPr>
      <w:r>
        <w:rPr>
          <w:rFonts w:hint="eastAsia" w:ascii="宋体" w:hAnsi="宋体" w:cs="宋体"/>
          <w:szCs w:val="21"/>
        </w:rPr>
        <w:t>（1）产品原厂或原产地证明；</w:t>
      </w:r>
    </w:p>
    <w:p>
      <w:pPr>
        <w:spacing w:line="360" w:lineRule="auto"/>
        <w:rPr>
          <w:rFonts w:ascii="宋体" w:hAnsi="宋体" w:cs="宋体"/>
          <w:szCs w:val="21"/>
        </w:rPr>
      </w:pPr>
      <w:r>
        <w:rPr>
          <w:rFonts w:hint="eastAsia" w:ascii="宋体" w:hAnsi="宋体" w:cs="宋体"/>
          <w:szCs w:val="21"/>
        </w:rPr>
        <w:t>（2）产品出厂检验报告和产品合格证；</w:t>
      </w:r>
    </w:p>
    <w:p>
      <w:pPr>
        <w:spacing w:line="360" w:lineRule="auto"/>
        <w:rPr>
          <w:rFonts w:ascii="宋体" w:hAnsi="宋体" w:cs="宋体"/>
          <w:szCs w:val="21"/>
        </w:rPr>
      </w:pPr>
      <w:r>
        <w:rPr>
          <w:rFonts w:hint="eastAsia" w:ascii="宋体" w:hAnsi="宋体" w:cs="宋体"/>
          <w:szCs w:val="21"/>
        </w:rPr>
        <w:t>（3）竞争性磋商文件中所要求提交的资料。</w:t>
      </w:r>
    </w:p>
    <w:p>
      <w:pPr>
        <w:numPr>
          <w:ilvl w:val="0"/>
          <w:numId w:val="10"/>
        </w:numPr>
        <w:tabs>
          <w:tab w:val="left" w:pos="0"/>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pPr>
        <w:numPr>
          <w:ilvl w:val="255"/>
          <w:numId w:val="0"/>
        </w:numPr>
        <w:tabs>
          <w:tab w:val="left" w:pos="0"/>
        </w:tabs>
        <w:spacing w:line="360" w:lineRule="auto"/>
        <w:ind w:firstLine="420" w:firstLineChars="200"/>
        <w:rPr>
          <w:szCs w:val="21"/>
        </w:rPr>
      </w:pPr>
      <w:r>
        <w:rPr>
          <w:rFonts w:hint="eastAsia" w:ascii="宋体" w:hAnsi="宋体" w:cs="宋体"/>
          <w:szCs w:val="21"/>
        </w:rPr>
        <w:t>甲方有权拒收运抵现场的被损坏或有缺陷的或不符合竞争性磋商文件、乙方响应文件和磋商时乙方做出的书面承诺的任何产品。</w:t>
      </w:r>
    </w:p>
    <w:bookmarkEnd w:id="22"/>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3" w:name="_Toc69378629"/>
      <w:r>
        <w:rPr>
          <w:rFonts w:hint="eastAsia" w:ascii="宋体" w:hAnsi="宋体" w:eastAsia="宋体" w:cs="宋体"/>
          <w:b/>
          <w:bCs w:val="0"/>
          <w:sz w:val="21"/>
          <w:szCs w:val="21"/>
        </w:rPr>
        <w:t>七、</w:t>
      </w:r>
      <w:bookmarkEnd w:id="23"/>
      <w:bookmarkStart w:id="24" w:name="_Toc69378632"/>
      <w:r>
        <w:rPr>
          <w:rFonts w:hint="eastAsia" w:ascii="宋体" w:hAnsi="宋体" w:eastAsia="宋体" w:cs="宋体"/>
          <w:b/>
          <w:bCs w:val="0"/>
          <w:sz w:val="21"/>
          <w:szCs w:val="21"/>
        </w:rPr>
        <w:t>运输费用</w:t>
      </w:r>
    </w:p>
    <w:p>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八、供货周期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所有货物在合同生效后</w:t>
      </w:r>
      <w:r>
        <w:rPr>
          <w:rFonts w:ascii="宋体" w:hAnsi="宋体" w:cs="宋体"/>
          <w:szCs w:val="21"/>
          <w:u w:val="single"/>
        </w:rPr>
        <w:t xml:space="preserve">   </w:t>
      </w:r>
      <w:r>
        <w:rPr>
          <w:rFonts w:hint="eastAsia" w:ascii="宋体" w:hAnsi="宋体" w:cs="宋体"/>
          <w:szCs w:val="21"/>
        </w:rPr>
        <w:t>天内（不超过3</w:t>
      </w:r>
      <w:r>
        <w:rPr>
          <w:rFonts w:ascii="宋体" w:hAnsi="宋体" w:cs="宋体"/>
          <w:szCs w:val="21"/>
        </w:rPr>
        <w:t>0</w:t>
      </w:r>
      <w:r>
        <w:rPr>
          <w:rFonts w:hint="eastAsia" w:ascii="宋体" w:hAnsi="宋体" w:cs="宋体"/>
          <w:szCs w:val="21"/>
        </w:rPr>
        <w:t>天）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szCs w:val="21"/>
        </w:rPr>
      </w:pPr>
      <w:r>
        <w:rPr>
          <w:rFonts w:hint="eastAsia" w:ascii="宋体" w:hAnsi="宋体" w:cs="宋体"/>
          <w:szCs w:val="21"/>
        </w:rPr>
        <w:t>乙方逾期交货，甲方接受的，不影响甲方追究乙方逾期交货的违约责任。</w:t>
      </w:r>
      <w:bookmarkEnd w:id="24"/>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5" w:name="_Toc69378633"/>
      <w:r>
        <w:rPr>
          <w:rFonts w:hint="eastAsia" w:ascii="宋体" w:hAnsi="宋体" w:eastAsia="宋体" w:cs="宋体"/>
          <w:b/>
          <w:bCs w:val="0"/>
          <w:sz w:val="21"/>
          <w:szCs w:val="21"/>
        </w:rPr>
        <w:t>九、验收标准</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省融合IP视频播出系统备路建设”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磋商文件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11"/>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11"/>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ascii="宋体" w:hAnsi="宋体"/>
          <w:szCs w:val="21"/>
          <w:u w:val="single"/>
        </w:rPr>
        <w:t xml:space="preserve">    </w:t>
      </w:r>
      <w:r>
        <w:rPr>
          <w:rFonts w:hint="eastAsia" w:ascii="宋体" w:hAnsi="宋体"/>
          <w:szCs w:val="21"/>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26" w:name="_Toc72326302"/>
      <w:r>
        <w:rPr>
          <w:rFonts w:hint="eastAsia" w:ascii="宋体" w:hAnsi="宋体" w:eastAsia="宋体"/>
          <w:b/>
          <w:kern w:val="2"/>
          <w:sz w:val="21"/>
          <w:szCs w:val="21"/>
        </w:rPr>
        <w:t>十、售后服务</w:t>
      </w:r>
      <w:bookmarkEnd w:id="26"/>
    </w:p>
    <w:p>
      <w:pPr>
        <w:numPr>
          <w:ilvl w:val="0"/>
          <w:numId w:val="12"/>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numPr>
          <w:ilvl w:val="0"/>
          <w:numId w:val="12"/>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szCs w:val="21"/>
        </w:rPr>
        <w:t>价格不得高于需要保修设备成交价的</w:t>
      </w:r>
      <w:r>
        <w:rPr>
          <w:szCs w:val="21"/>
          <w:u w:val="single"/>
        </w:rPr>
        <w:t xml:space="preserve">   </w:t>
      </w:r>
      <w:r>
        <w:rPr>
          <w:rFonts w:hint="eastAsia"/>
          <w:szCs w:val="21"/>
        </w:rPr>
        <w:t>%（不高于5%）。</w:t>
      </w:r>
    </w:p>
    <w:p>
      <w:pPr>
        <w:numPr>
          <w:ilvl w:val="0"/>
          <w:numId w:val="12"/>
        </w:numPr>
        <w:adjustRightInd w:val="0"/>
        <w:snapToGrid w:val="0"/>
        <w:spacing w:line="360" w:lineRule="auto"/>
        <w:ind w:left="0" w:firstLine="0"/>
        <w:rPr>
          <w:rFonts w:ascii="宋体" w:hAnsi="宋体"/>
          <w:szCs w:val="21"/>
        </w:rPr>
      </w:pPr>
      <w:r>
        <w:rPr>
          <w:rFonts w:hint="eastAsia" w:ascii="宋体" w:hAnsi="宋体"/>
          <w:szCs w:val="21"/>
        </w:rPr>
        <w:t>培训：包括响应文件和磋商时做出的书面承诺的培训。乙方另行提供的其它培训，往返路程费用、住宿及餐饮等费用由乙方承担。</w:t>
      </w:r>
    </w:p>
    <w:p>
      <w:pPr>
        <w:numPr>
          <w:ilvl w:val="0"/>
          <w:numId w:val="12"/>
        </w:numPr>
        <w:adjustRightInd w:val="0"/>
        <w:snapToGrid w:val="0"/>
        <w:spacing w:line="360" w:lineRule="auto"/>
        <w:ind w:left="0" w:firstLine="0"/>
        <w:rPr>
          <w:rFonts w:ascii="宋体" w:hAnsi="宋体"/>
          <w:szCs w:val="21"/>
        </w:rPr>
      </w:pPr>
      <w:r>
        <w:rPr>
          <w:rFonts w:hint="eastAsia" w:ascii="宋体" w:hAnsi="宋体"/>
          <w:szCs w:val="21"/>
        </w:rPr>
        <w:t>原厂</w:t>
      </w:r>
      <w:r>
        <w:rPr>
          <w:rFonts w:hint="eastAsia" w:ascii="宋体" w:hAnsi="宋体"/>
          <w:szCs w:val="18"/>
        </w:rPr>
        <w:t>服务：</w:t>
      </w:r>
      <w:r>
        <w:rPr>
          <w:rFonts w:hint="eastAsia" w:ascii="宋体" w:hAnsi="宋体"/>
          <w:szCs w:val="21"/>
        </w:rPr>
        <w:t>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2"/>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12"/>
        </w:numPr>
        <w:adjustRightInd w:val="0"/>
        <w:snapToGrid w:val="0"/>
        <w:spacing w:line="360" w:lineRule="auto"/>
        <w:ind w:left="0" w:firstLine="0"/>
        <w:rPr>
          <w:rFonts w:ascii="宋体" w:hAnsi="宋体"/>
          <w:szCs w:val="21"/>
        </w:rPr>
      </w:pPr>
      <w:r>
        <w:rPr>
          <w:rFonts w:hint="eastAsia" w:ascii="宋体" w:hAnsi="宋体"/>
          <w:szCs w:val="21"/>
        </w:rPr>
        <w:t>乙方保证立即响应并至少通过电话做远程诊断，尝试排除故障或进行紧急处理。</w:t>
      </w:r>
    </w:p>
    <w:p>
      <w:pPr>
        <w:numPr>
          <w:ilvl w:val="0"/>
          <w:numId w:val="12"/>
        </w:numPr>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乙方保证提供完善的备件支持服务，用以保障甲方应急替换。若某部件发生故障，乙方承诺在6小时内为甲方替换部件。</w:t>
      </w:r>
    </w:p>
    <w:p>
      <w:pPr>
        <w:numPr>
          <w:ilvl w:val="0"/>
          <w:numId w:val="12"/>
        </w:numPr>
        <w:adjustRightInd w:val="0"/>
        <w:snapToGrid w:val="0"/>
        <w:spacing w:line="360" w:lineRule="auto"/>
        <w:ind w:left="0" w:firstLine="0"/>
        <w:rPr>
          <w:rFonts w:ascii="宋体" w:hAnsi="宋体"/>
          <w:szCs w:val="21"/>
        </w:rPr>
      </w:pPr>
      <w:r>
        <w:rPr>
          <w:rFonts w:hint="eastAsia" w:ascii="宋体" w:hAnsi="宋体"/>
          <w:szCs w:val="21"/>
        </w:rPr>
        <w:t>乙方在甲方工地安装、调试期间，一切费用由乙方自理。</w:t>
      </w:r>
    </w:p>
    <w:p>
      <w:pPr>
        <w:numPr>
          <w:ilvl w:val="0"/>
          <w:numId w:val="12"/>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7" w:name="_Toc72326303"/>
      <w:r>
        <w:rPr>
          <w:rFonts w:hint="eastAsia" w:ascii="宋体" w:hAnsi="宋体" w:eastAsia="宋体"/>
          <w:b/>
          <w:kern w:val="2"/>
          <w:sz w:val="21"/>
          <w:szCs w:val="21"/>
        </w:rPr>
        <w:t>十一、技术升级和优惠条件</w:t>
      </w:r>
      <w:bookmarkEnd w:id="27"/>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hint="eastAsia" w:ascii="宋体" w:hAnsi="宋体" w:cs="宋体"/>
          <w:szCs w:val="21"/>
        </w:rPr>
        <w:t>融合IP视频播出系统备路建设</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3"/>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w:t>
      </w:r>
      <w:r>
        <w:rPr>
          <w:rFonts w:hint="eastAsia" w:ascii="宋体" w:hAnsi="宋体"/>
          <w:szCs w:val="21"/>
        </w:rPr>
        <w:t>成交</w:t>
      </w:r>
      <w:r>
        <w:rPr>
          <w:rFonts w:ascii="宋体" w:hAnsi="宋体"/>
          <w:szCs w:val="21"/>
        </w:rPr>
        <w:t>价格、折扣，且不高于当时市场价格。</w:t>
      </w:r>
    </w:p>
    <w:p>
      <w:pPr>
        <w:numPr>
          <w:ilvl w:val="255"/>
          <w:numId w:val="0"/>
        </w:numPr>
        <w:adjustRightInd w:val="0"/>
        <w:snapToGrid w:val="0"/>
        <w:spacing w:line="360" w:lineRule="auto"/>
        <w:rPr>
          <w:rFonts w:ascii="宋体" w:hAnsi="宋体"/>
          <w:b/>
          <w:szCs w:val="21"/>
        </w:rPr>
      </w:pPr>
      <w:bookmarkStart w:id="28" w:name="_Toc72326304"/>
      <w:r>
        <w:rPr>
          <w:rFonts w:hint="eastAsia" w:ascii="宋体" w:hAnsi="宋体"/>
          <w:b/>
          <w:bCs/>
          <w:szCs w:val="21"/>
        </w:rPr>
        <w:t>十二</w:t>
      </w:r>
      <w:r>
        <w:rPr>
          <w:rFonts w:hint="eastAsia" w:ascii="宋体" w:hAnsi="宋体"/>
          <w:szCs w:val="21"/>
        </w:rPr>
        <w:t>、</w:t>
      </w:r>
      <w:bookmarkEnd w:id="28"/>
      <w:bookmarkStart w:id="29" w:name="_Toc72326305"/>
      <w:r>
        <w:rPr>
          <w:rFonts w:hint="eastAsia" w:ascii="宋体" w:hAnsi="宋体"/>
          <w:b/>
          <w:bCs/>
          <w:szCs w:val="21"/>
        </w:rPr>
        <w:t>双方责任</w:t>
      </w:r>
      <w:bookmarkEnd w:id="29"/>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4"/>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4"/>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4"/>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乙方承诺：除响应文件及后续书面承诺标明的偏离外，乙方提供的产品和服务均满足竞争性磋商文件要求。</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乙方应按照竞争性磋商文件、响应文件、乙方后续书面承诺的技术要求以及甲乙双方协定补充文件，提供合格的产品，并保证通过甲方的验收。</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5"/>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pPr>
        <w:numPr>
          <w:ilvl w:val="0"/>
          <w:numId w:val="15"/>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5"/>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5"/>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本合同所有产品的制造，都必须由响应文件和磋商时做出的书面承诺中明确的制造商承担，否则将按乙方不履行合同处理。</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0" w:name="_Toc72326306"/>
      <w:r>
        <w:rPr>
          <w:rFonts w:hint="eastAsia" w:ascii="宋体" w:hAnsi="宋体" w:eastAsia="宋体"/>
          <w:b/>
          <w:kern w:val="2"/>
          <w:sz w:val="21"/>
          <w:szCs w:val="21"/>
        </w:rPr>
        <w:t>十三、违约责任</w:t>
      </w:r>
      <w:bookmarkEnd w:id="30"/>
    </w:p>
    <w:p>
      <w:pPr>
        <w:numPr>
          <w:ilvl w:val="0"/>
          <w:numId w:val="16"/>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7"/>
      <w:r>
        <w:rPr>
          <w:rFonts w:hint="eastAsia" w:ascii="宋体" w:hAnsi="宋体" w:eastAsia="宋体"/>
          <w:b/>
          <w:kern w:val="2"/>
          <w:sz w:val="21"/>
          <w:szCs w:val="21"/>
        </w:rPr>
        <w:t>十四、廉洁条款</w:t>
      </w:r>
      <w:bookmarkEnd w:id="31"/>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72326308"/>
      <w:r>
        <w:rPr>
          <w:rFonts w:hint="eastAsia" w:ascii="宋体" w:hAnsi="宋体" w:eastAsia="宋体"/>
          <w:b/>
          <w:kern w:val="2"/>
          <w:sz w:val="21"/>
          <w:szCs w:val="21"/>
        </w:rPr>
        <w:t>十五、不可抗力</w:t>
      </w:r>
      <w:bookmarkEnd w:id="32"/>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3" w:name="_Toc72326309"/>
      <w:r>
        <w:rPr>
          <w:rFonts w:hint="eastAsia" w:ascii="宋体" w:hAnsi="宋体" w:eastAsia="宋体"/>
          <w:b/>
          <w:kern w:val="2"/>
          <w:sz w:val="21"/>
          <w:szCs w:val="21"/>
        </w:rPr>
        <w:t>十六、解决纠纷的方式</w:t>
      </w:r>
      <w:bookmarkEnd w:id="33"/>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9"/>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9"/>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4" w:name="_Toc72326310"/>
      <w:r>
        <w:rPr>
          <w:rFonts w:hint="eastAsia" w:ascii="宋体" w:hAnsi="宋体" w:eastAsia="宋体"/>
          <w:b/>
          <w:kern w:val="2"/>
          <w:sz w:val="21"/>
          <w:szCs w:val="21"/>
        </w:rPr>
        <w:t>十七、合同生效及其他</w:t>
      </w:r>
      <w:bookmarkEnd w:id="34"/>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20"/>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5" w:name="_Toc72326311"/>
      <w:r>
        <w:rPr>
          <w:rFonts w:hint="eastAsia" w:ascii="宋体" w:hAnsi="宋体" w:eastAsia="宋体"/>
          <w:b/>
          <w:kern w:val="2"/>
          <w:sz w:val="21"/>
          <w:szCs w:val="21"/>
        </w:rPr>
        <w:t>十九、附件列表</w:t>
      </w:r>
      <w:bookmarkEnd w:id="35"/>
    </w:p>
    <w:p>
      <w:pPr>
        <w:adjustRightInd w:val="0"/>
        <w:snapToGrid w:val="0"/>
        <w:spacing w:line="360" w:lineRule="auto"/>
        <w:rPr>
          <w:rFonts w:ascii="宋体" w:hAnsi="宋体"/>
          <w:szCs w:val="21"/>
        </w:rPr>
      </w:pPr>
      <w:r>
        <w:rPr>
          <w:rFonts w:hint="eastAsia" w:ascii="宋体" w:hAnsi="宋体"/>
          <w:szCs w:val="21"/>
        </w:rPr>
        <w:t>相关文件的优先支配地位的次序如下：</w:t>
      </w:r>
    </w:p>
    <w:p>
      <w:pPr>
        <w:adjustRightInd w:val="0"/>
        <w:snapToGrid w:val="0"/>
        <w:spacing w:line="360" w:lineRule="auto"/>
        <w:rPr>
          <w:rFonts w:ascii="宋体"/>
          <w:szCs w:val="21"/>
        </w:rPr>
      </w:pPr>
      <w:r>
        <w:rPr>
          <w:rFonts w:hint="eastAsia" w:ascii="宋体" w:hAnsi="宋体"/>
          <w:szCs w:val="21"/>
        </w:rPr>
        <w:t>附件一供货清单（包含产品名称、规格型号和配置、数量和总价）</w:t>
      </w:r>
    </w:p>
    <w:p>
      <w:pPr>
        <w:adjustRightInd w:val="0"/>
        <w:snapToGrid w:val="0"/>
        <w:spacing w:line="360" w:lineRule="auto"/>
        <w:rPr>
          <w:rFonts w:ascii="宋体"/>
          <w:szCs w:val="21"/>
        </w:rPr>
      </w:pPr>
      <w:r>
        <w:rPr>
          <w:rFonts w:hint="eastAsia" w:ascii="宋体" w:hAnsi="宋体"/>
          <w:szCs w:val="21"/>
        </w:rPr>
        <w:t>附件二成交通知书</w:t>
      </w:r>
    </w:p>
    <w:p>
      <w:pPr>
        <w:adjustRightInd w:val="0"/>
        <w:snapToGrid w:val="0"/>
        <w:spacing w:line="360" w:lineRule="auto"/>
        <w:rPr>
          <w:rFonts w:ascii="宋体"/>
          <w:szCs w:val="21"/>
        </w:rPr>
      </w:pPr>
      <w:r>
        <w:rPr>
          <w:rFonts w:hint="eastAsia" w:ascii="宋体" w:hAnsi="宋体"/>
          <w:szCs w:val="21"/>
        </w:rPr>
        <w:t>附件三响应文件</w:t>
      </w:r>
      <w:r>
        <w:rPr>
          <w:rFonts w:ascii="宋体" w:hAnsi="宋体"/>
          <w:szCs w:val="21"/>
        </w:rPr>
        <w:t>(</w:t>
      </w:r>
      <w:r>
        <w:rPr>
          <w:rFonts w:hint="eastAsia" w:ascii="宋体" w:hAnsi="宋体"/>
          <w:szCs w:val="21"/>
        </w:rPr>
        <w:t>包括澄清文件</w:t>
      </w:r>
      <w:r>
        <w:rPr>
          <w:rFonts w:ascii="宋体" w:hAnsi="宋体"/>
          <w:szCs w:val="21"/>
        </w:rPr>
        <w:t>)</w:t>
      </w:r>
    </w:p>
    <w:p>
      <w:pPr>
        <w:adjustRightInd w:val="0"/>
        <w:snapToGrid w:val="0"/>
        <w:spacing w:line="360" w:lineRule="auto"/>
        <w:rPr>
          <w:rFonts w:ascii="宋体"/>
          <w:szCs w:val="21"/>
        </w:rPr>
      </w:pPr>
      <w:r>
        <w:rPr>
          <w:rFonts w:hint="eastAsia" w:ascii="宋体" w:hAnsi="宋体"/>
          <w:szCs w:val="21"/>
        </w:rPr>
        <w:t>附件四竞争性磋商文件</w:t>
      </w:r>
      <w:r>
        <w:rPr>
          <w:rFonts w:ascii="宋体" w:hAnsi="宋体"/>
          <w:szCs w:val="21"/>
        </w:rPr>
        <w:t>(</w:t>
      </w:r>
      <w:r>
        <w:rPr>
          <w:rFonts w:hint="eastAsia" w:ascii="宋体" w:hAnsi="宋体"/>
          <w:szCs w:val="21"/>
        </w:rPr>
        <w:t>含竞争性磋商文件补充通知</w:t>
      </w:r>
      <w:r>
        <w:rPr>
          <w:rFonts w:ascii="宋体" w:hAnsi="宋体"/>
          <w:szCs w:val="21"/>
        </w:rPr>
        <w:t>)</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 xml:space="preserve"> </w:t>
      </w:r>
      <w:r>
        <w:rPr>
          <w:szCs w:val="21"/>
        </w:rPr>
        <w:t xml:space="preserve">  </w:t>
      </w:r>
      <w:r>
        <w:rPr>
          <w:rFonts w:hint="eastAsia"/>
          <w:szCs w:val="21"/>
        </w:rPr>
        <w:t>乙方</w:t>
      </w:r>
      <w:r>
        <w:rPr>
          <w:szCs w:val="21"/>
        </w:rPr>
        <w:t>：</w:t>
      </w:r>
      <w:r>
        <w:rPr>
          <w:szCs w:val="21"/>
          <w:u w:val="single"/>
        </w:rPr>
        <w:t xml:space="preserve">                       </w:t>
      </w:r>
      <w:r>
        <w:rPr>
          <w:rFonts w:hint="eastAsia"/>
          <w:szCs w:val="21"/>
          <w:u w:val="single"/>
        </w:rPr>
        <w:t xml:space="preserve"> </w:t>
      </w:r>
      <w:r>
        <w:rPr>
          <w:szCs w:val="21"/>
          <w:u w:val="single"/>
        </w:rPr>
        <w:t xml:space="preserve">      </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rPr>
          <w:szCs w:val="21"/>
        </w:rPr>
      </w:pPr>
      <w:r>
        <w:rPr>
          <w:szCs w:val="21"/>
        </w:rPr>
        <w:t>法人代表或授权代表：____________           法人代表或授权代表：_______________</w:t>
      </w:r>
    </w:p>
    <w:p>
      <w:pPr>
        <w:adjustRightInd w:val="0"/>
        <w:snapToGrid w:val="0"/>
        <w:spacing w:line="360" w:lineRule="auto"/>
        <w:rPr>
          <w:szCs w:val="21"/>
        </w:rPr>
      </w:pPr>
      <w:r>
        <w:rPr>
          <w:szCs w:val="21"/>
        </w:rPr>
        <w:t>地址：___________________                  地址：____________________</w:t>
      </w:r>
    </w:p>
    <w:p>
      <w:pPr>
        <w:adjustRightInd w:val="0"/>
        <w:snapToGrid w:val="0"/>
        <w:spacing w:line="360" w:lineRule="auto"/>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rFonts w:ascii="宋体" w:hAnsi="宋体" w:cs="宋体"/>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5"/>
      <w:r>
        <w:rPr>
          <w:rFonts w:ascii="宋体" w:hAnsi="宋体" w:cs="宋体"/>
        </w:rPr>
        <w:br w:type="page"/>
      </w:r>
    </w:p>
    <w:p>
      <w:pPr>
        <w:pStyle w:val="3"/>
        <w:numPr>
          <w:ilvl w:val="0"/>
          <w:numId w:val="0"/>
        </w:numPr>
        <w:spacing w:before="0" w:after="0" w:line="360" w:lineRule="auto"/>
        <w:rPr>
          <w:b/>
          <w:sz w:val="36"/>
          <w:szCs w:val="36"/>
        </w:rPr>
      </w:pPr>
      <w:bookmarkStart w:id="36" w:name="_Toc69378637"/>
      <w:r>
        <w:rPr>
          <w:rFonts w:hint="eastAsia"/>
          <w:b/>
          <w:sz w:val="36"/>
          <w:szCs w:val="36"/>
        </w:rPr>
        <w:t>第五章 技术需求书</w:t>
      </w:r>
      <w:bookmarkEnd w:id="36"/>
    </w:p>
    <w:p/>
    <w:p>
      <w:pPr>
        <w:pStyle w:val="89"/>
        <w:numPr>
          <w:ilvl w:val="0"/>
          <w:numId w:val="21"/>
        </w:numPr>
        <w:spacing w:line="300" w:lineRule="auto"/>
        <w:ind w:left="0" w:firstLine="426" w:firstLineChars="0"/>
        <w:jc w:val="left"/>
        <w:rPr>
          <w:rFonts w:ascii="宋体" w:hAnsi="宋体"/>
          <w:sz w:val="21"/>
          <w:szCs w:val="21"/>
        </w:rPr>
      </w:pPr>
      <w:r>
        <w:rPr>
          <w:rFonts w:ascii="宋体" w:hAnsi="宋体"/>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w:t>
      </w:r>
      <w:r>
        <w:rPr>
          <w:rFonts w:hint="eastAsia" w:ascii="宋体" w:hAnsi="宋体"/>
          <w:sz w:val="21"/>
          <w:szCs w:val="21"/>
        </w:rPr>
        <w:t>成交后</w:t>
      </w:r>
      <w:r>
        <w:rPr>
          <w:rFonts w:ascii="宋体" w:hAnsi="宋体"/>
          <w:sz w:val="21"/>
          <w:szCs w:val="21"/>
        </w:rPr>
        <w:t>供应商在合同签订中的任何偏差都不得超越技术偏离表中已被</w:t>
      </w:r>
      <w:r>
        <w:rPr>
          <w:rFonts w:hint="eastAsia" w:ascii="宋体" w:hAnsi="宋体"/>
          <w:sz w:val="21"/>
          <w:szCs w:val="21"/>
        </w:rPr>
        <w:t>采购人</w:t>
      </w:r>
      <w:r>
        <w:rPr>
          <w:rFonts w:ascii="宋体" w:hAnsi="宋体"/>
          <w:sz w:val="21"/>
          <w:szCs w:val="21"/>
        </w:rPr>
        <w:t>确认的条款。</w:t>
      </w:r>
    </w:p>
    <w:p>
      <w:pPr>
        <w:pStyle w:val="89"/>
        <w:numPr>
          <w:ilvl w:val="0"/>
          <w:numId w:val="21"/>
        </w:numPr>
        <w:spacing w:line="300" w:lineRule="auto"/>
        <w:ind w:left="0" w:firstLine="426" w:firstLineChars="0"/>
        <w:rPr>
          <w:rFonts w:ascii="宋体" w:hAnsi="宋体"/>
          <w:sz w:val="21"/>
          <w:szCs w:val="21"/>
        </w:rPr>
      </w:pPr>
      <w:r>
        <w:rPr>
          <w:rFonts w:hint="eastAsia" w:ascii="宋体" w:hAnsi="宋体"/>
          <w:sz w:val="21"/>
          <w:szCs w:val="21"/>
        </w:rPr>
        <w:t>竞争性磋商文件技术要求中所</w:t>
      </w:r>
      <w:r>
        <w:rPr>
          <w:rFonts w:ascii="宋体" w:hAnsi="宋体"/>
          <w:sz w:val="21"/>
          <w:szCs w:val="21"/>
        </w:rPr>
        <w:t>描述的内容为本项目的基本技术要求，不应作为完整的详细要求。对于为满足正常运行所需的设备材料的供应、安装、调试、验收及质量保证的内容请供应商自行考虑。供应商应满足本技术需求书中未描述的，但为保证设备能正常有效运行所需要的其它要求和所需的设备与附件。</w:t>
      </w:r>
    </w:p>
    <w:p>
      <w:pPr>
        <w:pStyle w:val="89"/>
        <w:numPr>
          <w:ilvl w:val="0"/>
          <w:numId w:val="21"/>
        </w:numPr>
        <w:spacing w:line="300" w:lineRule="auto"/>
        <w:ind w:left="0" w:firstLine="426" w:firstLineChars="0"/>
        <w:rPr>
          <w:rFonts w:ascii="宋体" w:hAnsi="宋体"/>
          <w:sz w:val="21"/>
          <w:szCs w:val="21"/>
        </w:rPr>
      </w:pPr>
      <w:r>
        <w:rPr>
          <w:rFonts w:hint="eastAsia" w:ascii="宋体" w:hAnsi="宋体" w:eastAsia="宋体" w:cs="宋体"/>
          <w:sz w:val="21"/>
          <w:szCs w:val="21"/>
        </w:rPr>
        <w:t>技术需求书中</w:t>
      </w:r>
      <w:r>
        <w:rPr>
          <w:rFonts w:ascii="宋体" w:hAnsi="宋体"/>
          <w:sz w:val="21"/>
          <w:szCs w:val="21"/>
        </w:rPr>
        <w:t>带“</w:t>
      </w:r>
      <w:r>
        <w:rPr>
          <w:rFonts w:ascii="宋体" w:hAnsi="宋体" w:cs="宋体"/>
          <w:szCs w:val="21"/>
        </w:rPr>
        <w:t>★</w:t>
      </w:r>
      <w:r>
        <w:rPr>
          <w:rFonts w:hint="eastAsia" w:ascii="宋体" w:hAnsi="宋体"/>
          <w:sz w:val="21"/>
          <w:szCs w:val="21"/>
        </w:rPr>
        <w:t>”</w:t>
      </w:r>
      <w:r>
        <w:rPr>
          <w:rFonts w:ascii="宋体" w:hAnsi="宋体"/>
          <w:sz w:val="21"/>
          <w:szCs w:val="21"/>
        </w:rPr>
        <w:t>部分为必须保证满足要求的条款。</w:t>
      </w:r>
    </w:p>
    <w:p>
      <w:pPr>
        <w:pStyle w:val="89"/>
        <w:numPr>
          <w:ilvl w:val="0"/>
          <w:numId w:val="21"/>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7" w:name="_Toc30212"/>
      <w:bookmarkStart w:id="38" w:name="_Toc76996580"/>
      <w:bookmarkStart w:id="39" w:name="_Toc51053569"/>
      <w:bookmarkStart w:id="40" w:name="_Toc76856250"/>
      <w:bookmarkStart w:id="41" w:name="_Toc31826"/>
    </w:p>
    <w:bookmarkEnd w:id="14"/>
    <w:bookmarkEnd w:id="15"/>
    <w:bookmarkEnd w:id="16"/>
    <w:bookmarkEnd w:id="37"/>
    <w:bookmarkEnd w:id="38"/>
    <w:bookmarkEnd w:id="39"/>
    <w:bookmarkEnd w:id="40"/>
    <w:bookmarkEnd w:id="41"/>
    <w:p>
      <w:pPr>
        <w:keepNext/>
        <w:keepLines/>
        <w:spacing w:before="120" w:after="120" w:line="413" w:lineRule="auto"/>
        <w:jc w:val="center"/>
        <w:outlineLvl w:val="1"/>
        <w:rPr>
          <w:rFonts w:ascii="宋体" w:hAnsi="宋体"/>
          <w:b/>
          <w:bCs/>
          <w:szCs w:val="21"/>
        </w:rPr>
      </w:pPr>
      <w:bookmarkStart w:id="42" w:name="_Toc77285820"/>
      <w:bookmarkStart w:id="43" w:name="_Toc69378657"/>
      <w:bookmarkStart w:id="44" w:name="_Toc502914229"/>
      <w:r>
        <w:rPr>
          <w:rFonts w:hint="eastAsia" w:ascii="Tahoma" w:hAnsi="Tahoma"/>
          <w:b/>
          <w:bCs/>
          <w:sz w:val="24"/>
        </w:rPr>
        <w:t>技术需</w:t>
      </w:r>
      <w:r>
        <w:rPr>
          <w:rFonts w:ascii="Tahoma" w:hAnsi="Tahoma"/>
          <w:b/>
          <w:bCs/>
          <w:sz w:val="24"/>
        </w:rPr>
        <w:t>求书</w:t>
      </w:r>
    </w:p>
    <w:p>
      <w:pPr>
        <w:keepNext/>
        <w:keepLines/>
        <w:spacing w:before="120" w:after="120" w:line="413" w:lineRule="auto"/>
        <w:outlineLvl w:val="1"/>
        <w:rPr>
          <w:rFonts w:ascii="宋体" w:hAnsi="宋体"/>
          <w:b/>
          <w:bCs/>
          <w:szCs w:val="21"/>
        </w:rPr>
      </w:pPr>
      <w:r>
        <w:rPr>
          <w:rFonts w:hint="eastAsia" w:ascii="宋体" w:hAnsi="宋体"/>
          <w:b/>
          <w:bCs/>
          <w:szCs w:val="21"/>
        </w:rPr>
        <w:t>一、</w:t>
      </w:r>
      <w:bookmarkEnd w:id="42"/>
      <w:r>
        <w:rPr>
          <w:rFonts w:hint="eastAsia" w:ascii="宋体" w:hAnsi="宋体"/>
          <w:b/>
          <w:bCs/>
          <w:sz w:val="24"/>
        </w:rPr>
        <w:t>项目概述</w:t>
      </w:r>
    </w:p>
    <w:p>
      <w:pPr>
        <w:spacing w:line="400" w:lineRule="exact"/>
        <w:ind w:firstLine="420" w:firstLineChars="200"/>
        <w:rPr>
          <w:rFonts w:ascii="宋体" w:hAnsi="宋体"/>
          <w:szCs w:val="21"/>
        </w:rPr>
      </w:pPr>
      <w:r>
        <w:rPr>
          <w:rFonts w:hint="eastAsia" w:ascii="宋体" w:hAnsi="宋体"/>
          <w:szCs w:val="21"/>
        </w:rPr>
        <w:t>在现有融合IP视频播出系统主路基础上进行备路建设，采用IP输入输出，支持MPEG2、H.264、H.265编码格式的标清、高清、超高清4K与8K的节目播出，具备不低于900Mbps的播出带宽，不低于1路8K、5路4K、13路高清、10路标清的播出能力；具备用户权限管理，直播频道规划，节目入库，节目单编排，节目上载，节目单发送，节目单导入导出，节目单、文件格式审核等功能。系统需与云转码平台、CDN平台实现对接，实现现有终端及后续IP化系统终端的业务支持。本次采购内容包括：</w:t>
      </w:r>
    </w:p>
    <w:p>
      <w:pPr>
        <w:rPr>
          <w:rFonts w:ascii="宋体" w:hAnsi="宋体"/>
          <w:szCs w:val="21"/>
        </w:rPr>
      </w:pPr>
    </w:p>
    <w:tbl>
      <w:tblPr>
        <w:tblStyle w:val="5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127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09" w:type="dxa"/>
            <w:vAlign w:val="center"/>
          </w:tcPr>
          <w:p>
            <w:pPr>
              <w:jc w:val="center"/>
              <w:rPr>
                <w:szCs w:val="21"/>
              </w:rPr>
            </w:pPr>
            <w:r>
              <w:rPr>
                <w:szCs w:val="21"/>
              </w:rPr>
              <w:t>序号</w:t>
            </w:r>
          </w:p>
        </w:tc>
        <w:tc>
          <w:tcPr>
            <w:tcW w:w="2835" w:type="dxa"/>
            <w:vAlign w:val="center"/>
          </w:tcPr>
          <w:p>
            <w:pPr>
              <w:jc w:val="center"/>
              <w:rPr>
                <w:szCs w:val="21"/>
              </w:rPr>
            </w:pPr>
            <w:r>
              <w:rPr>
                <w:szCs w:val="21"/>
              </w:rPr>
              <w:t>采购设备名称</w:t>
            </w:r>
          </w:p>
        </w:tc>
        <w:tc>
          <w:tcPr>
            <w:tcW w:w="1276" w:type="dxa"/>
            <w:vAlign w:val="center"/>
          </w:tcPr>
          <w:p>
            <w:pPr>
              <w:jc w:val="center"/>
              <w:rPr>
                <w:szCs w:val="21"/>
              </w:rPr>
            </w:pPr>
            <w:r>
              <w:rPr>
                <w:szCs w:val="21"/>
              </w:rPr>
              <w:t>数量</w:t>
            </w:r>
          </w:p>
        </w:tc>
        <w:tc>
          <w:tcPr>
            <w:tcW w:w="3544"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szCs w:val="21"/>
              </w:rPr>
            </w:pPr>
            <w:r>
              <w:rPr>
                <w:szCs w:val="21"/>
              </w:rPr>
              <w:t>1</w:t>
            </w:r>
          </w:p>
        </w:tc>
        <w:tc>
          <w:tcPr>
            <w:tcW w:w="2835" w:type="dxa"/>
            <w:vAlign w:val="center"/>
          </w:tcPr>
          <w:p>
            <w:pPr>
              <w:jc w:val="center"/>
              <w:rPr>
                <w:szCs w:val="21"/>
              </w:rPr>
            </w:pPr>
            <w:r>
              <w:rPr>
                <w:rFonts w:hint="eastAsia" w:asciiTheme="minorEastAsia" w:hAnsiTheme="minorEastAsia" w:eastAsiaTheme="minorEastAsia"/>
                <w:szCs w:val="21"/>
              </w:rPr>
              <w:t>融合IP视频播出服务器</w:t>
            </w:r>
          </w:p>
        </w:tc>
        <w:tc>
          <w:tcPr>
            <w:tcW w:w="1276" w:type="dxa"/>
            <w:vAlign w:val="center"/>
          </w:tcPr>
          <w:p>
            <w:pPr>
              <w:jc w:val="center"/>
              <w:rPr>
                <w:szCs w:val="21"/>
              </w:rPr>
            </w:pPr>
            <w:r>
              <w:rPr>
                <w:rFonts w:hint="eastAsia" w:asciiTheme="minorEastAsia" w:hAnsiTheme="minorEastAsia" w:eastAsiaTheme="minorEastAsia"/>
                <w:szCs w:val="21"/>
              </w:rPr>
              <w:t>1台</w:t>
            </w:r>
          </w:p>
        </w:tc>
        <w:tc>
          <w:tcPr>
            <w:tcW w:w="3544" w:type="dxa"/>
            <w:vAlign w:val="center"/>
          </w:tcPr>
          <w:p>
            <w:pPr>
              <w:rPr>
                <w:szCs w:val="20"/>
              </w:rPr>
            </w:pPr>
            <w:r>
              <w:rPr>
                <w:szCs w:val="21"/>
              </w:rPr>
              <w:t>用于</w:t>
            </w:r>
            <w:r>
              <w:rPr>
                <w:rFonts w:hint="eastAsia" w:ascii="宋体" w:hAnsi="宋体" w:cs="宋体"/>
                <w:kern w:val="0"/>
                <w:szCs w:val="21"/>
              </w:rPr>
              <w:t>融合IP视频播出系统备路建设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szCs w:val="21"/>
              </w:rPr>
            </w:pPr>
            <w:r>
              <w:rPr>
                <w:rFonts w:hint="eastAsia"/>
                <w:szCs w:val="21"/>
              </w:rPr>
              <w:t>2</w:t>
            </w:r>
          </w:p>
        </w:tc>
        <w:tc>
          <w:tcPr>
            <w:tcW w:w="2835" w:type="dxa"/>
            <w:vAlign w:val="center"/>
          </w:tcPr>
          <w:p>
            <w:pPr>
              <w:jc w:val="center"/>
              <w:rPr>
                <w:rFonts w:ascii="宋体" w:hAnsi="宋体" w:cs="宋体"/>
                <w:kern w:val="0"/>
                <w:szCs w:val="21"/>
              </w:rPr>
            </w:pPr>
            <w:r>
              <w:rPr>
                <w:rFonts w:hint="eastAsia" w:asciiTheme="minorEastAsia" w:hAnsiTheme="minorEastAsia" w:eastAsiaTheme="minorEastAsia"/>
                <w:szCs w:val="21"/>
              </w:rPr>
              <w:t>融合IP视频播出软件</w:t>
            </w:r>
          </w:p>
        </w:tc>
        <w:tc>
          <w:tcPr>
            <w:tcW w:w="1276" w:type="dxa"/>
            <w:vAlign w:val="center"/>
          </w:tcPr>
          <w:p>
            <w:pPr>
              <w:jc w:val="center"/>
              <w:rPr>
                <w:szCs w:val="21"/>
              </w:rPr>
            </w:pPr>
            <w:r>
              <w:rPr>
                <w:rFonts w:hint="eastAsia" w:asciiTheme="minorEastAsia" w:hAnsiTheme="minorEastAsia" w:eastAsiaTheme="minorEastAsia"/>
                <w:szCs w:val="21"/>
              </w:rPr>
              <w:t>1套</w:t>
            </w:r>
          </w:p>
        </w:tc>
        <w:tc>
          <w:tcPr>
            <w:tcW w:w="3544" w:type="dxa"/>
            <w:vAlign w:val="center"/>
          </w:tcPr>
          <w:p>
            <w:pPr>
              <w:rPr>
                <w:szCs w:val="21"/>
              </w:rPr>
            </w:pPr>
            <w:r>
              <w:rPr>
                <w:szCs w:val="21"/>
              </w:rPr>
              <w:t>用于</w:t>
            </w:r>
            <w:r>
              <w:rPr>
                <w:rFonts w:hint="eastAsia" w:ascii="宋体" w:hAnsi="宋体" w:cs="宋体"/>
                <w:kern w:val="0"/>
                <w:szCs w:val="21"/>
              </w:rPr>
              <w:t>融合IP视频播出系统备路建设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jc w:val="center"/>
              <w:rPr>
                <w:szCs w:val="21"/>
              </w:rPr>
            </w:pPr>
            <w:r>
              <w:rPr>
                <w:rFonts w:hint="eastAsia"/>
                <w:szCs w:val="21"/>
              </w:rPr>
              <w:t>3</w:t>
            </w:r>
          </w:p>
        </w:tc>
        <w:tc>
          <w:tcPr>
            <w:tcW w:w="2835" w:type="dxa"/>
            <w:vAlign w:val="center"/>
          </w:tcPr>
          <w:p>
            <w:pPr>
              <w:jc w:val="center"/>
              <w:rPr>
                <w:rFonts w:ascii="宋体" w:hAnsi="宋体" w:cs="宋体"/>
                <w:kern w:val="0"/>
                <w:szCs w:val="21"/>
              </w:rPr>
            </w:pPr>
            <w:r>
              <w:rPr>
                <w:rFonts w:hint="eastAsia" w:asciiTheme="minorEastAsia" w:hAnsiTheme="minorEastAsia" w:eastAsiaTheme="minorEastAsia"/>
                <w:szCs w:val="21"/>
              </w:rPr>
              <w:t>融合IP视频播出工作站</w:t>
            </w:r>
          </w:p>
        </w:tc>
        <w:tc>
          <w:tcPr>
            <w:tcW w:w="1276" w:type="dxa"/>
            <w:vAlign w:val="center"/>
          </w:tcPr>
          <w:p>
            <w:pPr>
              <w:jc w:val="center"/>
              <w:rPr>
                <w:szCs w:val="21"/>
              </w:rPr>
            </w:pPr>
            <w:r>
              <w:rPr>
                <w:rFonts w:hint="eastAsia" w:asciiTheme="minorEastAsia" w:hAnsiTheme="minorEastAsia" w:eastAsiaTheme="minorEastAsia"/>
                <w:szCs w:val="21"/>
              </w:rPr>
              <w:t>1台</w:t>
            </w:r>
          </w:p>
        </w:tc>
        <w:tc>
          <w:tcPr>
            <w:tcW w:w="3544" w:type="dxa"/>
            <w:vAlign w:val="center"/>
          </w:tcPr>
          <w:p>
            <w:pPr>
              <w:rPr>
                <w:szCs w:val="21"/>
              </w:rPr>
            </w:pPr>
            <w:r>
              <w:rPr>
                <w:szCs w:val="21"/>
              </w:rPr>
              <w:t>用于</w:t>
            </w:r>
            <w:r>
              <w:rPr>
                <w:rFonts w:hint="eastAsia" w:ascii="宋体" w:hAnsi="宋体" w:cs="宋体"/>
                <w:kern w:val="0"/>
                <w:szCs w:val="21"/>
              </w:rPr>
              <w:t>融合IP视频播出系统备路建设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09" w:type="dxa"/>
            <w:vAlign w:val="center"/>
          </w:tcPr>
          <w:p>
            <w:pPr>
              <w:tabs>
                <w:tab w:val="left" w:pos="7740"/>
              </w:tabs>
              <w:jc w:val="center"/>
              <w:rPr>
                <w:rFonts w:hAnsi="宋体"/>
                <w:bCs/>
                <w:szCs w:val="21"/>
              </w:rPr>
            </w:pPr>
            <w:r>
              <w:rPr>
                <w:rFonts w:hint="eastAsia" w:hAnsi="宋体"/>
                <w:bCs/>
                <w:szCs w:val="21"/>
              </w:rPr>
              <w:t>备注</w:t>
            </w:r>
          </w:p>
        </w:tc>
        <w:tc>
          <w:tcPr>
            <w:tcW w:w="7655" w:type="dxa"/>
            <w:gridSpan w:val="3"/>
            <w:vAlign w:val="center"/>
          </w:tcPr>
          <w:p>
            <w:pPr>
              <w:tabs>
                <w:tab w:val="left" w:pos="7740"/>
              </w:tabs>
              <w:rPr>
                <w:rFonts w:hAnsi="宋体"/>
                <w:bCs/>
                <w:szCs w:val="21"/>
              </w:rPr>
            </w:pPr>
            <w:r>
              <w:rPr>
                <w:rFonts w:hint="eastAsia" w:hAnsi="宋体"/>
                <w:bCs/>
                <w:szCs w:val="21"/>
              </w:rPr>
              <w:t>1、包括与现有融合IP视频播出系统主路的集成适配工作；</w:t>
            </w:r>
          </w:p>
          <w:p>
            <w:pPr>
              <w:tabs>
                <w:tab w:val="left" w:pos="7740"/>
              </w:tabs>
              <w:rPr>
                <w:rFonts w:hAnsi="宋体"/>
                <w:bCs/>
                <w:szCs w:val="21"/>
              </w:rPr>
            </w:pPr>
            <w:r>
              <w:rPr>
                <w:rFonts w:hint="eastAsia" w:hAnsi="宋体"/>
                <w:bCs/>
                <w:szCs w:val="21"/>
              </w:rPr>
              <w:t>2、包修期结束后每年维保费用不超过成交价的5%；</w:t>
            </w:r>
          </w:p>
          <w:p>
            <w:pPr>
              <w:tabs>
                <w:tab w:val="left" w:pos="7740"/>
              </w:tabs>
              <w:rPr>
                <w:rFonts w:hAnsi="宋体"/>
                <w:bCs/>
                <w:szCs w:val="21"/>
              </w:rPr>
            </w:pPr>
            <w:r>
              <w:rPr>
                <w:rFonts w:hint="eastAsia" w:hAnsi="宋体"/>
                <w:bCs/>
                <w:szCs w:val="21"/>
              </w:rPr>
              <w:t>3、</w:t>
            </w:r>
            <w:r>
              <w:rPr>
                <w:rFonts w:hAnsi="宋体"/>
                <w:bCs/>
                <w:szCs w:val="21"/>
              </w:rPr>
              <w:t>报价应包括对</w:t>
            </w:r>
            <w:r>
              <w:rPr>
                <w:rFonts w:hint="eastAsia" w:hAnsi="宋体"/>
                <w:bCs/>
                <w:szCs w:val="21"/>
              </w:rPr>
              <w:t>磋商</w:t>
            </w:r>
            <w:r>
              <w:rPr>
                <w:rFonts w:hAnsi="宋体"/>
                <w:bCs/>
                <w:szCs w:val="21"/>
              </w:rPr>
              <w:t>文件中所要求开通功能的所有软硬件费用、Licence和集成费用</w:t>
            </w:r>
            <w:r>
              <w:rPr>
                <w:rFonts w:hint="eastAsia" w:hAnsi="宋体"/>
                <w:bCs/>
                <w:szCs w:val="21"/>
              </w:rPr>
              <w:t>。</w:t>
            </w:r>
          </w:p>
        </w:tc>
      </w:tr>
    </w:tbl>
    <w:p>
      <w:pPr>
        <w:keepNext/>
        <w:keepLines/>
        <w:spacing w:before="120" w:after="120" w:line="413" w:lineRule="auto"/>
        <w:outlineLvl w:val="1"/>
        <w:rPr>
          <w:rFonts w:ascii="宋体" w:hAnsi="宋体"/>
          <w:b/>
          <w:bCs/>
          <w:sz w:val="24"/>
        </w:rPr>
      </w:pPr>
      <w:r>
        <w:rPr>
          <w:rFonts w:hint="eastAsia" w:ascii="宋体" w:hAnsi="宋体"/>
          <w:b/>
          <w:bCs/>
          <w:sz w:val="24"/>
        </w:rPr>
        <w:t>二</w:t>
      </w:r>
      <w:r>
        <w:rPr>
          <w:rFonts w:hint="eastAsia" w:ascii="宋体" w:hAnsi="宋体"/>
          <w:b/>
          <w:bCs/>
          <w:szCs w:val="21"/>
        </w:rPr>
        <w:t>、</w:t>
      </w:r>
      <w:r>
        <w:rPr>
          <w:rFonts w:hint="eastAsia" w:ascii="宋体" w:hAnsi="宋体"/>
          <w:b/>
          <w:bCs/>
          <w:sz w:val="24"/>
        </w:rPr>
        <w:t>系统总体要求</w:t>
      </w:r>
    </w:p>
    <w:p>
      <w:pPr>
        <w:spacing w:line="400" w:lineRule="exact"/>
        <w:ind w:firstLine="420" w:firstLineChars="200"/>
        <w:rPr>
          <w:rFonts w:ascii="宋体" w:hAnsi="宋体"/>
          <w:szCs w:val="21"/>
        </w:rPr>
      </w:pPr>
      <w:r>
        <w:rPr>
          <w:rFonts w:hint="eastAsia" w:ascii="宋体" w:hAnsi="宋体"/>
          <w:szCs w:val="21"/>
        </w:rPr>
        <w:t>系统设计必须遵循规范化、标准化的开放兼容的原则，立足需求、以技术为基础，以运营为目的，总体规划、分步实施</w:t>
      </w:r>
      <w:r>
        <w:rPr>
          <w:rFonts w:ascii="宋体" w:hAnsi="宋体"/>
          <w:szCs w:val="21"/>
        </w:rPr>
        <w:t>。</w:t>
      </w:r>
    </w:p>
    <w:p>
      <w:pPr>
        <w:numPr>
          <w:ilvl w:val="255"/>
          <w:numId w:val="0"/>
        </w:numPr>
        <w:spacing w:line="360" w:lineRule="auto"/>
        <w:rPr>
          <w:rFonts w:ascii="宋体" w:hAnsi="宋体"/>
          <w:szCs w:val="21"/>
        </w:rPr>
      </w:pPr>
      <w:r>
        <w:rPr>
          <w:rFonts w:hint="eastAsia"/>
        </w:rPr>
        <w:t>2</w:t>
      </w:r>
      <w:r>
        <w:t>.1</w:t>
      </w:r>
      <w:r>
        <w:rPr>
          <w:rFonts w:hint="eastAsia" w:ascii="宋体" w:hAnsi="宋体" w:cs="宋体"/>
          <w:b/>
          <w:szCs w:val="21"/>
        </w:rPr>
        <w:t>标准性和开放性</w:t>
      </w:r>
      <w:r>
        <w:rPr>
          <w:rFonts w:hint="eastAsia" w:ascii="宋体" w:hAnsi="宋体" w:cs="宋体"/>
          <w:szCs w:val="21"/>
        </w:rPr>
        <w:t>：</w:t>
      </w:r>
      <w:r>
        <w:rPr>
          <w:rFonts w:hint="eastAsia" w:ascii="宋体" w:hAnsi="宋体"/>
          <w:szCs w:val="21"/>
        </w:rPr>
        <w:t>供应商提供的系统的各项技术和设备应当符合国际、国内或者行业内有关标准以及目前江苏省网制定的数字电视相关规范：整个系统应符合数字电视的主流架构标准，同时必须保证系统按照国内视频播出系统技术规范制定的标准设计开发。要求供应商提供的系统具备良好的开放性及扩展性，支持与不同厂家设备的对接集成。供应商应在响应文件中系统对所使用标准具体说明，并提供详细的技术资料。若供应商提供的设备和系统中（自有模块）包含自己的专用标准，应在建议书中具体说明，并附上相应的详细技术资料，同时可提供给第三方接入的接口文档。</w:t>
      </w:r>
    </w:p>
    <w:p>
      <w:pPr>
        <w:spacing w:line="360" w:lineRule="auto"/>
        <w:rPr>
          <w:rFonts w:ascii="宋体" w:hAnsi="宋体" w:cs="宋体"/>
          <w:szCs w:val="21"/>
        </w:rPr>
      </w:pPr>
      <w:r>
        <w:rPr>
          <w:rFonts w:ascii="宋体" w:hAnsi="宋体" w:cs="宋体"/>
          <w:b/>
          <w:szCs w:val="21"/>
        </w:rPr>
        <w:t>2</w:t>
      </w:r>
      <w:r>
        <w:rPr>
          <w:rFonts w:hint="eastAsia" w:ascii="宋体" w:hAnsi="宋体" w:cs="宋体"/>
          <w:b/>
          <w:szCs w:val="21"/>
        </w:rPr>
        <w:t>.</w:t>
      </w:r>
      <w:r>
        <w:rPr>
          <w:rFonts w:ascii="宋体" w:hAnsi="宋体" w:cs="宋体"/>
          <w:b/>
          <w:szCs w:val="21"/>
        </w:rPr>
        <w:t>2</w:t>
      </w:r>
      <w:r>
        <w:rPr>
          <w:rFonts w:hint="eastAsia" w:ascii="宋体" w:hAnsi="宋体" w:cs="宋体"/>
          <w:b/>
          <w:szCs w:val="21"/>
        </w:rPr>
        <w:t>可靠性：</w:t>
      </w:r>
      <w:r>
        <w:rPr>
          <w:rFonts w:hint="eastAsia" w:ascii="宋体" w:hAnsi="宋体"/>
          <w:szCs w:val="21"/>
        </w:rPr>
        <w:t>供应商提供的系统的各项技术和设备应当</w:t>
      </w:r>
      <w:r>
        <w:rPr>
          <w:rFonts w:hint="eastAsia" w:ascii="宋体" w:hAnsi="宋体" w:cs="宋体"/>
          <w:szCs w:val="21"/>
        </w:rPr>
        <w:t>数字电视</w:t>
      </w:r>
      <w:r>
        <w:rPr>
          <w:rFonts w:hint="eastAsia" w:ascii="宋体" w:hAnsi="宋体"/>
          <w:szCs w:val="21"/>
        </w:rPr>
        <w:t>平台的可靠性和稳定性，需保证足够的设备冗余即保证在单台设备或端口发生故障时，系统的整体播出能力依旧达到本磋商文件要求的播出能力，满足平台整体安全可靠。</w:t>
      </w:r>
    </w:p>
    <w:p>
      <w:pPr>
        <w:numPr>
          <w:ilvl w:val="255"/>
          <w:numId w:val="0"/>
        </w:numPr>
        <w:spacing w:line="360" w:lineRule="auto"/>
        <w:rPr>
          <w:rFonts w:ascii="宋体" w:hAnsi="宋体" w:cs="宋体"/>
          <w:szCs w:val="21"/>
        </w:rPr>
      </w:pPr>
      <w:r>
        <w:rPr>
          <w:rFonts w:ascii="宋体" w:hAnsi="宋体" w:cs="宋体"/>
          <w:b/>
          <w:szCs w:val="21"/>
        </w:rPr>
        <w:t>2</w:t>
      </w:r>
      <w:r>
        <w:rPr>
          <w:rFonts w:hint="eastAsia" w:ascii="宋体" w:hAnsi="宋体" w:cs="宋体"/>
          <w:b/>
          <w:szCs w:val="21"/>
        </w:rPr>
        <w:t>.</w:t>
      </w:r>
      <w:r>
        <w:rPr>
          <w:rFonts w:ascii="宋体" w:hAnsi="宋体" w:cs="宋体"/>
          <w:b/>
          <w:szCs w:val="21"/>
        </w:rPr>
        <w:t>3</w:t>
      </w:r>
      <w:r>
        <w:rPr>
          <w:rFonts w:hint="eastAsia" w:ascii="宋体" w:hAnsi="宋体" w:cs="宋体"/>
          <w:b/>
          <w:szCs w:val="21"/>
        </w:rPr>
        <w:t>可升级及可扩展性：</w:t>
      </w:r>
      <w:r>
        <w:rPr>
          <w:rFonts w:hint="eastAsia" w:ascii="宋体" w:hAnsi="宋体" w:cs="宋体"/>
          <w:szCs w:val="21"/>
        </w:rPr>
        <w:t>系统必须具有良好的可扩展性和可升级性，支持简单的系统部署和扩展，要保证在业务范围和网络规模上能够实现可预见的平滑升级。</w:t>
      </w:r>
    </w:p>
    <w:p>
      <w:pPr>
        <w:spacing w:line="400" w:lineRule="exact"/>
        <w:rPr>
          <w:szCs w:val="20"/>
        </w:rPr>
      </w:pPr>
      <w:r>
        <w:rPr>
          <w:rFonts w:ascii="宋体" w:hAnsi="宋体"/>
          <w:b/>
          <w:bCs/>
          <w:szCs w:val="21"/>
        </w:rPr>
        <w:t>2</w:t>
      </w:r>
      <w:r>
        <w:rPr>
          <w:rFonts w:hint="eastAsia" w:ascii="宋体" w:hAnsi="宋体"/>
          <w:b/>
          <w:bCs/>
          <w:szCs w:val="21"/>
        </w:rPr>
        <w:t>.</w:t>
      </w:r>
      <w:r>
        <w:rPr>
          <w:rFonts w:ascii="宋体" w:hAnsi="宋体"/>
          <w:b/>
          <w:bCs/>
          <w:szCs w:val="21"/>
        </w:rPr>
        <w:t>4</w:t>
      </w:r>
      <w:r>
        <w:rPr>
          <w:rFonts w:hint="eastAsia" w:ascii="宋体" w:hAnsi="宋体"/>
          <w:b/>
          <w:bCs/>
          <w:szCs w:val="21"/>
        </w:rPr>
        <w:t>兼容性：</w:t>
      </w:r>
      <w:r>
        <w:rPr>
          <w:rFonts w:hint="eastAsia" w:ascii="宋体" w:hAnsi="宋体"/>
          <w:szCs w:val="21"/>
        </w:rPr>
        <w:t>供应商所投软件、硬件须遵循国内外技术标准和规范，以及目前江苏省网制定的数字电视相关技术规范；必须兼容目前系统支持的机顶盒、节目格式内容；必须兼容现有的视频播出系统，完成与原有视频播出系统编单、播控、调度等模块的集成和适配；供应商需提供严谨完整的集成方案和接口标准规范以及项目实施方案，承诺在项目实施上线运行的时间周期内实现平台原有全部功能的重新开发和对接工作；必须支持分布式部署，对接江苏有线现有CDN网络，通过CDN将播出内容分发至各个地市，实现全省视频播出能力共享。</w:t>
      </w:r>
    </w:p>
    <w:p>
      <w:pPr>
        <w:rPr>
          <w:szCs w:val="20"/>
        </w:rPr>
      </w:pPr>
    </w:p>
    <w:p>
      <w:pPr>
        <w:keepNext/>
        <w:keepLines/>
        <w:spacing w:before="120" w:after="120" w:line="413" w:lineRule="auto"/>
        <w:outlineLvl w:val="1"/>
        <w:rPr>
          <w:rFonts w:ascii="宋体" w:hAnsi="宋体"/>
          <w:b/>
          <w:bCs/>
          <w:sz w:val="24"/>
        </w:rPr>
      </w:pPr>
      <w:r>
        <w:rPr>
          <w:rFonts w:hint="eastAsia" w:ascii="宋体" w:hAnsi="宋体"/>
          <w:b/>
          <w:bCs/>
          <w:sz w:val="24"/>
        </w:rPr>
        <w:t>三、技术要求</w:t>
      </w:r>
    </w:p>
    <w:p>
      <w:pPr>
        <w:keepNext/>
        <w:keepLines/>
        <w:spacing w:before="120" w:after="120" w:line="413" w:lineRule="auto"/>
        <w:outlineLvl w:val="2"/>
        <w:rPr>
          <w:rFonts w:ascii="宋体" w:hAnsi="宋体"/>
          <w:b/>
          <w:bCs/>
          <w:sz w:val="24"/>
        </w:rPr>
      </w:pPr>
      <w:bookmarkStart w:id="45" w:name="_Toc77285824"/>
      <w:r>
        <w:rPr>
          <w:rFonts w:ascii="宋体" w:hAnsi="宋体"/>
          <w:b/>
          <w:bCs/>
          <w:sz w:val="24"/>
        </w:rPr>
        <w:t>3.</w:t>
      </w:r>
      <w:r>
        <w:rPr>
          <w:rFonts w:hint="eastAsia" w:ascii="宋体" w:hAnsi="宋体"/>
          <w:b/>
          <w:bCs/>
          <w:sz w:val="24"/>
        </w:rPr>
        <w:t>1 平台硬件要求</w:t>
      </w:r>
      <w:bookmarkEnd w:id="45"/>
    </w:p>
    <w:p>
      <w:pPr>
        <w:spacing w:line="400" w:lineRule="exact"/>
        <w:rPr>
          <w:rFonts w:ascii="宋体" w:hAnsi="宋体"/>
          <w:szCs w:val="21"/>
        </w:rPr>
      </w:pPr>
      <w:r>
        <w:rPr>
          <w:rFonts w:ascii="宋体" w:hAnsi="宋体"/>
          <w:szCs w:val="21"/>
        </w:rPr>
        <w:t>3.1.</w:t>
      </w:r>
      <w:r>
        <w:rPr>
          <w:rFonts w:hint="eastAsia" w:ascii="宋体" w:hAnsi="宋体"/>
          <w:szCs w:val="21"/>
        </w:rPr>
        <w:t>1平台硬件总体要求</w:t>
      </w:r>
    </w:p>
    <w:p>
      <w:pPr>
        <w:spacing w:line="400" w:lineRule="exact"/>
        <w:ind w:firstLine="420" w:firstLineChars="200"/>
        <w:rPr>
          <w:rFonts w:ascii="宋体" w:hAnsi="宋体"/>
          <w:szCs w:val="21"/>
        </w:rPr>
      </w:pPr>
      <w:r>
        <w:rPr>
          <w:rFonts w:hint="eastAsia" w:ascii="宋体" w:hAnsi="宋体"/>
          <w:szCs w:val="21"/>
        </w:rPr>
        <w:t>硬件以稳定性为第一原则，选择广泛应用、成熟的硬件设备。必须满足平台的近期功能要求和远期发展要求。充分考虑计算机技术的发展，硬件厂家的产品扩展、升级、技术支撑和维保能力，选用业界成熟、广泛使用的产品和技术。在选型上应采用国内外著名品牌设备，充分考虑设备的先进性和兼容性。要求系统稳定、可靠，保证有良好的可扩充性，支持未来 2-3年业务增长的需求。</w:t>
      </w:r>
    </w:p>
    <w:p>
      <w:pPr>
        <w:spacing w:line="400" w:lineRule="exact"/>
        <w:rPr>
          <w:rFonts w:ascii="宋体" w:hAnsi="宋体"/>
          <w:szCs w:val="21"/>
        </w:rPr>
      </w:pPr>
      <w:r>
        <w:rPr>
          <w:rFonts w:ascii="宋体" w:hAnsi="宋体"/>
          <w:szCs w:val="21"/>
        </w:rPr>
        <w:t>3.1.2</w:t>
      </w:r>
      <w:r>
        <w:rPr>
          <w:rFonts w:hint="eastAsia" w:ascii="宋体" w:hAnsi="宋体"/>
          <w:szCs w:val="21"/>
        </w:rPr>
        <w:t>平台硬件设备要求</w:t>
      </w:r>
    </w:p>
    <w:p>
      <w:pPr>
        <w:spacing w:line="400" w:lineRule="exact"/>
        <w:rPr>
          <w:rFonts w:ascii="宋体" w:hAnsi="宋体"/>
          <w:szCs w:val="21"/>
        </w:rPr>
      </w:pPr>
      <w:r>
        <w:rPr>
          <w:rFonts w:ascii="宋体" w:hAnsi="宋体"/>
          <w:szCs w:val="21"/>
        </w:rPr>
        <w:t xml:space="preserve">3.1.2.1 </w:t>
      </w:r>
      <w:r>
        <w:rPr>
          <w:rFonts w:hint="eastAsia" w:ascii="宋体" w:hAnsi="宋体"/>
          <w:szCs w:val="21"/>
        </w:rPr>
        <w:t>融合IP视频播出服务器性能参数</w:t>
      </w:r>
      <w:r>
        <w:rPr>
          <w:rFonts w:ascii="宋体" w:hAnsi="宋体"/>
          <w:szCs w:val="21"/>
        </w:rPr>
        <w:t>要求</w:t>
      </w:r>
      <w:r>
        <w:rPr>
          <w:rFonts w:hint="eastAsia" w:ascii="宋体" w:hAnsi="宋体"/>
          <w:szCs w:val="21"/>
        </w:rPr>
        <w:t>不低于</w:t>
      </w:r>
      <w:r>
        <w:rPr>
          <w:rFonts w:ascii="宋体" w:hAnsi="宋体"/>
          <w:szCs w:val="21"/>
        </w:rPr>
        <w:t>如下</w:t>
      </w:r>
      <w:r>
        <w:rPr>
          <w:rFonts w:hint="eastAsia" w:ascii="宋体" w:hAnsi="宋体"/>
          <w:szCs w:val="21"/>
        </w:rPr>
        <w:t>配置</w:t>
      </w:r>
      <w:r>
        <w:rPr>
          <w:rFonts w:ascii="宋体" w:hAnsi="宋体"/>
          <w:szCs w:val="21"/>
        </w:rPr>
        <w:t>：</w:t>
      </w:r>
    </w:p>
    <w:tbl>
      <w:tblPr>
        <w:tblStyle w:val="53"/>
        <w:tblW w:w="921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szCs w:val="21"/>
              </w:rPr>
            </w:pPr>
            <w:r>
              <w:rPr>
                <w:rFonts w:ascii="宋体" w:hAnsi="宋体"/>
                <w:b/>
                <w:bCs/>
                <w:szCs w:val="21"/>
              </w:rPr>
              <w:t>指标项</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2" w:firstLineChars="200"/>
              <w:jc w:val="center"/>
              <w:rPr>
                <w:rFonts w:ascii="宋体" w:hAnsi="宋体"/>
                <w:b/>
                <w:bCs/>
                <w:szCs w:val="21"/>
              </w:rPr>
            </w:pPr>
            <w:r>
              <w:rPr>
                <w:rFonts w:ascii="宋体" w:hAnsi="宋体"/>
                <w:b/>
                <w:bCs/>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架构要求</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通用架构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处理器配置</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CPU*2；</w:t>
            </w:r>
            <w:r>
              <w:rPr>
                <w:rFonts w:hint="eastAsia" w:ascii="宋体" w:hAnsi="宋体"/>
                <w:szCs w:val="21"/>
              </w:rPr>
              <w:t>单处理器基本频率≥2.7Ghz,最大频率≥3.9Ghz，内核数≥28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内存配置</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w:t>
            </w:r>
            <w:r>
              <w:rPr>
                <w:rFonts w:ascii="宋体" w:hAnsi="宋体"/>
                <w:szCs w:val="21"/>
              </w:rPr>
              <w:t>12</w:t>
            </w:r>
            <w:r>
              <w:rPr>
                <w:rFonts w:hint="eastAsia" w:ascii="宋体" w:hAnsi="宋体"/>
                <w:szCs w:val="21"/>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内存插槽</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w:t>
            </w:r>
            <w:r>
              <w:rPr>
                <w:rFonts w:ascii="宋体" w:hAnsi="宋体"/>
                <w:szCs w:val="21"/>
              </w:rPr>
              <w:t>8个内存插槽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硬盘配置</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操作系统盘S</w:t>
            </w:r>
            <w:r>
              <w:rPr>
                <w:szCs w:val="21"/>
              </w:rPr>
              <w:t>SD</w:t>
            </w:r>
            <w:r>
              <w:rPr>
                <w:rFonts w:hint="eastAsia"/>
                <w:szCs w:val="21"/>
              </w:rPr>
              <w:t>*2≥6</w:t>
            </w:r>
            <w:r>
              <w:rPr>
                <w:szCs w:val="21"/>
              </w:rPr>
              <w:t>0</w:t>
            </w:r>
            <w:r>
              <w:rPr>
                <w:rFonts w:hint="eastAsia"/>
                <w:szCs w:val="21"/>
              </w:rPr>
              <w:t>0GB</w:t>
            </w:r>
            <w:r>
              <w:rPr>
                <w:szCs w:val="21"/>
              </w:rPr>
              <w:t xml:space="preserve"> </w:t>
            </w:r>
            <w:r>
              <w:rPr>
                <w:rFonts w:hint="eastAsia"/>
                <w:szCs w:val="21"/>
              </w:rPr>
              <w:t>（RAID1）</w:t>
            </w:r>
          </w:p>
          <w:p>
            <w:pPr>
              <w:spacing w:line="400" w:lineRule="exact"/>
              <w:rPr>
                <w:rFonts w:ascii="宋体" w:hAnsi="宋体"/>
                <w:szCs w:val="21"/>
              </w:rPr>
            </w:pPr>
            <w:r>
              <w:rPr>
                <w:rFonts w:hint="eastAsia"/>
                <w:szCs w:val="21"/>
              </w:rPr>
              <w:t>数据盘≥6，配置RIAD5后总容量  ≥18TB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RAID卡配置</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≥512MB</w:t>
            </w:r>
            <w:r>
              <w:rPr>
                <w:rFonts w:ascii="宋体" w:hAnsi="宋体"/>
                <w:szCs w:val="21"/>
              </w:rPr>
              <w:t>缓存，支持RAID 0、1、10、5</w:t>
            </w: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Segoe UI Symbol" w:hAnsi="Segoe UI Symbol" w:cs="Segoe UI Symbol"/>
                <w:szCs w:val="21"/>
              </w:rPr>
              <w:t>★</w:t>
            </w:r>
            <w:r>
              <w:rPr>
                <w:rFonts w:hint="eastAsia" w:ascii="宋体" w:hAnsi="宋体"/>
                <w:szCs w:val="21"/>
              </w:rPr>
              <w:t>光纤网络适配器</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≥两块双口万兆</w:t>
            </w:r>
            <w:r>
              <w:rPr>
                <w:rFonts w:ascii="宋体" w:hAnsi="宋体"/>
                <w:szCs w:val="21"/>
              </w:rPr>
              <w:t>光纤</w:t>
            </w:r>
            <w:r>
              <w:rPr>
                <w:rFonts w:hint="eastAsia" w:ascii="宋体" w:hAnsi="宋体"/>
                <w:szCs w:val="21"/>
              </w:rPr>
              <w:t xml:space="preserve">IP播出板卡；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RJ45网络适配器</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电源配置</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热插拔全冗余220V交流电源</w:t>
            </w:r>
            <w:r>
              <w:rPr>
                <w:rFonts w:hint="eastAsia" w:ascii="宋体" w:hAnsi="宋体"/>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风扇配置</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满配热插拔全冗余风扇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操作系统</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支持Microsoft Windows Server 2012 R2, 2008 R2</w:t>
            </w:r>
            <w:r>
              <w:rPr>
                <w:rFonts w:hint="eastAsia" w:ascii="宋体" w:hAnsi="宋体"/>
                <w:szCs w:val="21"/>
              </w:rPr>
              <w:t>,</w:t>
            </w:r>
            <w:r>
              <w:rPr>
                <w:rFonts w:ascii="宋体" w:hAnsi="宋体"/>
                <w:szCs w:val="21"/>
              </w:rPr>
              <w:t>Red Hat Enterprise Linux 6</w:t>
            </w:r>
            <w:r>
              <w:rPr>
                <w:rFonts w:hint="eastAsia" w:ascii="宋体" w:hAnsi="宋体"/>
                <w:szCs w:val="21"/>
              </w:rPr>
              <w:t>及以上版本</w:t>
            </w:r>
            <w:r>
              <w:rPr>
                <w:rFonts w:hint="eastAsia" w:ascii="宋体" w:hAnsi="宋体"/>
                <w:szCs w:val="20"/>
              </w:rPr>
              <w:t>或Unix操作系统，正版或自有版权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外观要求</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机架式服务器，高度</w:t>
            </w:r>
            <w:r>
              <w:rPr>
                <w:rFonts w:hint="eastAsia" w:ascii="宋体" w:hAnsi="宋体"/>
                <w:szCs w:val="21"/>
              </w:rPr>
              <w:t>≤</w:t>
            </w:r>
            <w:r>
              <w:rPr>
                <w:rFonts w:ascii="宋体" w:hAnsi="宋体"/>
                <w:szCs w:val="21"/>
              </w:rPr>
              <w:t>4U，宽度</w:t>
            </w:r>
            <w:r>
              <w:rPr>
                <w:rFonts w:hint="eastAsia" w:ascii="宋体" w:hAnsi="宋体"/>
                <w:szCs w:val="21"/>
              </w:rPr>
              <w:t>≤50厘米</w:t>
            </w:r>
            <w:r>
              <w:rPr>
                <w:rFonts w:ascii="宋体" w:hAnsi="宋体"/>
                <w:szCs w:val="21"/>
              </w:rPr>
              <w:t>，长度</w:t>
            </w:r>
            <w:r>
              <w:rPr>
                <w:rFonts w:hint="eastAsia" w:ascii="宋体" w:hAnsi="宋体"/>
                <w:szCs w:val="21"/>
              </w:rPr>
              <w:t>≤11</w:t>
            </w:r>
            <w:r>
              <w:rPr>
                <w:rFonts w:ascii="宋体" w:hAnsi="宋体"/>
                <w:szCs w:val="21"/>
              </w:rPr>
              <w:t>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宋体" w:hAnsi="宋体"/>
                <w:szCs w:val="21"/>
              </w:rPr>
              <w:t>安装要求</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相关缆线（电源线、接地线等）必须齐全并满足机房实际布局连接要求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服务要求</w:t>
            </w:r>
          </w:p>
        </w:tc>
        <w:tc>
          <w:tcPr>
            <w:tcW w:w="680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三年原厂质保，提供7*24小时服务</w:t>
            </w:r>
          </w:p>
        </w:tc>
      </w:tr>
    </w:tbl>
    <w:p>
      <w:pPr>
        <w:spacing w:line="400" w:lineRule="exact"/>
        <w:ind w:firstLine="420" w:firstLineChars="200"/>
        <w:rPr>
          <w:rFonts w:ascii="宋体" w:hAnsi="宋体"/>
          <w:szCs w:val="21"/>
        </w:rPr>
      </w:pPr>
    </w:p>
    <w:p>
      <w:pPr>
        <w:spacing w:line="400" w:lineRule="exact"/>
        <w:rPr>
          <w:rFonts w:ascii="宋体" w:hAnsi="宋体"/>
          <w:szCs w:val="21"/>
        </w:rPr>
      </w:pPr>
      <w:r>
        <w:rPr>
          <w:rFonts w:ascii="宋体" w:hAnsi="宋体"/>
          <w:szCs w:val="21"/>
        </w:rPr>
        <w:t xml:space="preserve">3.1.2.2 </w:t>
      </w:r>
      <w:r>
        <w:rPr>
          <w:rFonts w:hint="eastAsia" w:ascii="宋体" w:hAnsi="宋体"/>
          <w:szCs w:val="21"/>
        </w:rPr>
        <w:t>融合IP视频播出系统工作站性能参数</w:t>
      </w:r>
      <w:r>
        <w:rPr>
          <w:rFonts w:ascii="宋体" w:hAnsi="宋体"/>
          <w:szCs w:val="21"/>
        </w:rPr>
        <w:t>要求</w:t>
      </w:r>
      <w:r>
        <w:rPr>
          <w:rFonts w:hint="eastAsia" w:ascii="宋体" w:hAnsi="宋体"/>
          <w:szCs w:val="21"/>
        </w:rPr>
        <w:t>不低于</w:t>
      </w:r>
      <w:r>
        <w:rPr>
          <w:rFonts w:ascii="宋体" w:hAnsi="宋体"/>
          <w:szCs w:val="21"/>
        </w:rPr>
        <w:t>如下</w:t>
      </w:r>
      <w:r>
        <w:rPr>
          <w:rFonts w:hint="eastAsia" w:ascii="宋体" w:hAnsi="宋体"/>
          <w:szCs w:val="21"/>
        </w:rPr>
        <w:t>配置</w:t>
      </w:r>
      <w:r>
        <w:rPr>
          <w:rFonts w:ascii="宋体" w:hAnsi="宋体"/>
          <w:szCs w:val="21"/>
        </w:rPr>
        <w:t>：</w:t>
      </w:r>
    </w:p>
    <w:tbl>
      <w:tblPr>
        <w:tblStyle w:val="53"/>
        <w:tblW w:w="921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shd w:val="clear" w:color="auto" w:fill="FFFFFF"/>
            <w:vAlign w:val="center"/>
          </w:tcPr>
          <w:p>
            <w:pPr>
              <w:spacing w:line="400" w:lineRule="exact"/>
              <w:jc w:val="center"/>
              <w:rPr>
                <w:rFonts w:ascii="宋体" w:hAnsi="宋体"/>
                <w:b/>
                <w:bCs/>
                <w:szCs w:val="21"/>
              </w:rPr>
            </w:pPr>
            <w:r>
              <w:rPr>
                <w:rFonts w:ascii="宋体" w:hAnsi="宋体"/>
                <w:b/>
                <w:bCs/>
                <w:szCs w:val="21"/>
              </w:rPr>
              <w:t>名称</w:t>
            </w:r>
          </w:p>
        </w:tc>
        <w:tc>
          <w:tcPr>
            <w:tcW w:w="6803" w:type="dxa"/>
            <w:shd w:val="clear" w:color="auto" w:fill="FFFFFF"/>
            <w:vAlign w:val="center"/>
          </w:tcPr>
          <w:p>
            <w:pPr>
              <w:spacing w:line="400" w:lineRule="exact"/>
              <w:jc w:val="center"/>
              <w:rPr>
                <w:rFonts w:ascii="宋体" w:hAnsi="宋体"/>
                <w:b/>
                <w:bCs/>
                <w:szCs w:val="21"/>
              </w:rPr>
            </w:pPr>
            <w:r>
              <w:rPr>
                <w:rFonts w:ascii="宋体" w:hAnsi="宋体"/>
                <w:b/>
                <w:bCs/>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CPU</w:t>
            </w:r>
          </w:p>
        </w:tc>
        <w:tc>
          <w:tcPr>
            <w:tcW w:w="6803" w:type="dxa"/>
            <w:vAlign w:val="center"/>
          </w:tcPr>
          <w:p>
            <w:pPr>
              <w:spacing w:line="400" w:lineRule="exact"/>
              <w:rPr>
                <w:rFonts w:ascii="宋体" w:hAnsi="宋体"/>
                <w:szCs w:val="21"/>
              </w:rPr>
            </w:pPr>
            <w:r>
              <w:rPr>
                <w:rFonts w:hint="eastAsia" w:ascii="宋体" w:hAnsi="宋体"/>
                <w:szCs w:val="21"/>
              </w:rPr>
              <w:t>不低于</w:t>
            </w:r>
            <w:r>
              <w:rPr>
                <w:rFonts w:ascii="Calibri" w:hAnsi="Calibri"/>
                <w:szCs w:val="20"/>
              </w:rPr>
              <w:t>8核，不低于16线程，基础频率</w:t>
            </w:r>
            <w:r>
              <w:rPr>
                <w:rFonts w:hint="eastAsia" w:ascii="Calibri" w:hAnsi="Calibri"/>
                <w:szCs w:val="20"/>
              </w:rPr>
              <w:t>不低于</w:t>
            </w:r>
            <w:r>
              <w:rPr>
                <w:rFonts w:ascii="Calibri" w:hAnsi="Calibri"/>
                <w:szCs w:val="20"/>
              </w:rPr>
              <w:t>2.2GHz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内存</w:t>
            </w:r>
          </w:p>
        </w:tc>
        <w:tc>
          <w:tcPr>
            <w:tcW w:w="6803" w:type="dxa"/>
            <w:vAlign w:val="center"/>
          </w:tcPr>
          <w:p>
            <w:pPr>
              <w:spacing w:line="400" w:lineRule="exact"/>
              <w:rPr>
                <w:rFonts w:ascii="宋体" w:hAnsi="宋体"/>
                <w:szCs w:val="21"/>
              </w:rPr>
            </w:pPr>
            <w:r>
              <w:rPr>
                <w:rFonts w:hint="eastAsia"/>
                <w:szCs w:val="21"/>
              </w:rPr>
              <w:t>≥</w:t>
            </w:r>
            <w:r>
              <w:rPr>
                <w:rFonts w:ascii="宋体" w:hAnsi="宋体"/>
                <w:szCs w:val="21"/>
              </w:rPr>
              <w:t>32</w:t>
            </w:r>
            <w:r>
              <w:rPr>
                <w:rFonts w:hint="eastAsia" w:ascii="宋体" w:hAnsi="宋体"/>
                <w:szCs w:val="21"/>
              </w:rPr>
              <w:t xml:space="preserve">GB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系统硬盘</w:t>
            </w:r>
          </w:p>
        </w:tc>
        <w:tc>
          <w:tcPr>
            <w:tcW w:w="6803" w:type="dxa"/>
            <w:vAlign w:val="center"/>
          </w:tcPr>
          <w:p>
            <w:pPr>
              <w:spacing w:line="400" w:lineRule="exact"/>
              <w:rPr>
                <w:rFonts w:ascii="宋体" w:hAnsi="宋体"/>
                <w:szCs w:val="21"/>
              </w:rPr>
            </w:pPr>
            <w:r>
              <w:rPr>
                <w:rFonts w:hint="eastAsia" w:ascii="宋体" w:hAnsi="宋体"/>
                <w:szCs w:val="21"/>
              </w:rPr>
              <w:t>S</w:t>
            </w:r>
            <w:r>
              <w:rPr>
                <w:rFonts w:ascii="宋体" w:hAnsi="宋体"/>
                <w:szCs w:val="21"/>
              </w:rPr>
              <w:t>SD</w:t>
            </w:r>
            <w:r>
              <w:rPr>
                <w:rFonts w:hint="eastAsia" w:ascii="宋体" w:hAnsi="宋体"/>
                <w:szCs w:val="21"/>
              </w:rPr>
              <w:t>，≥480GB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vAlign w:val="center"/>
          </w:tcPr>
          <w:p>
            <w:pPr>
              <w:spacing w:line="400" w:lineRule="exact"/>
              <w:jc w:val="center"/>
              <w:rPr>
                <w:rFonts w:ascii="宋体" w:hAnsi="宋体"/>
                <w:szCs w:val="21"/>
              </w:rPr>
            </w:pPr>
            <w:r>
              <w:rPr>
                <w:rFonts w:ascii="宋体" w:hAnsi="宋体"/>
                <w:szCs w:val="21"/>
              </w:rPr>
              <w:t>数据盘</w:t>
            </w:r>
          </w:p>
        </w:tc>
        <w:tc>
          <w:tcPr>
            <w:tcW w:w="6803" w:type="dxa"/>
            <w:vAlign w:val="center"/>
          </w:tcPr>
          <w:p>
            <w:pPr>
              <w:spacing w:line="400" w:lineRule="exact"/>
              <w:rPr>
                <w:rFonts w:ascii="宋体" w:hAnsi="宋体"/>
                <w:szCs w:val="21"/>
              </w:rPr>
            </w:pPr>
            <w:r>
              <w:rPr>
                <w:rFonts w:ascii="宋体" w:hAnsi="宋体"/>
                <w:szCs w:val="21"/>
              </w:rPr>
              <w:t>SATA*2，Raid1，容量不低于6T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1" w:type="dxa"/>
            <w:vAlign w:val="center"/>
          </w:tcPr>
          <w:p>
            <w:pPr>
              <w:spacing w:line="400" w:lineRule="exact"/>
              <w:jc w:val="center"/>
              <w:rPr>
                <w:rFonts w:ascii="宋体" w:hAnsi="宋体"/>
                <w:szCs w:val="21"/>
              </w:rPr>
            </w:pPr>
            <w:r>
              <w:rPr>
                <w:rFonts w:ascii="Segoe UI Symbol" w:hAnsi="Segoe UI Symbol" w:cs="Segoe UI Symbol"/>
                <w:szCs w:val="21"/>
              </w:rPr>
              <w:t>★</w:t>
            </w:r>
            <w:r>
              <w:rPr>
                <w:rFonts w:ascii="Calibri" w:hAnsi="Calibri"/>
                <w:szCs w:val="20"/>
              </w:rPr>
              <w:t>显示处理</w:t>
            </w:r>
          </w:p>
        </w:tc>
        <w:tc>
          <w:tcPr>
            <w:tcW w:w="6803" w:type="dxa"/>
            <w:vAlign w:val="center"/>
          </w:tcPr>
          <w:p>
            <w:pPr>
              <w:spacing w:line="400" w:lineRule="exact"/>
              <w:rPr>
                <w:rFonts w:ascii="宋体" w:hAnsi="宋体"/>
                <w:szCs w:val="21"/>
              </w:rPr>
            </w:pPr>
            <w:r>
              <w:rPr>
                <w:rFonts w:ascii="宋体" w:hAnsi="宋体"/>
                <w:szCs w:val="21"/>
              </w:rPr>
              <w:t>显存不低于</w:t>
            </w:r>
            <w:r>
              <w:rPr>
                <w:rFonts w:hint="eastAsia" w:ascii="宋体" w:hAnsi="宋体"/>
                <w:szCs w:val="21"/>
              </w:rPr>
              <w:t>6</w:t>
            </w:r>
            <w:r>
              <w:rPr>
                <w:rFonts w:ascii="宋体" w:hAnsi="宋体"/>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Segoe UI Symbol" w:hAnsi="Segoe UI Symbol" w:cs="Segoe UI Symbol"/>
                <w:szCs w:val="21"/>
              </w:rPr>
              <w:t>★</w:t>
            </w:r>
            <w:r>
              <w:rPr>
                <w:rFonts w:hint="eastAsia" w:ascii="宋体" w:hAnsi="宋体"/>
                <w:szCs w:val="21"/>
              </w:rPr>
              <w:t>光纤网络适配器</w:t>
            </w:r>
          </w:p>
        </w:tc>
        <w:tc>
          <w:tcPr>
            <w:tcW w:w="6803" w:type="dxa"/>
            <w:vAlign w:val="center"/>
          </w:tcPr>
          <w:p>
            <w:pPr>
              <w:spacing w:line="400" w:lineRule="exact"/>
              <w:rPr>
                <w:rFonts w:ascii="宋体" w:hAnsi="宋体"/>
                <w:szCs w:val="21"/>
              </w:rPr>
            </w:pPr>
            <w:r>
              <w:rPr>
                <w:rFonts w:hint="eastAsia" w:ascii="宋体" w:hAnsi="宋体"/>
                <w:szCs w:val="21"/>
              </w:rPr>
              <w:t>≥1块双口万兆</w:t>
            </w:r>
            <w:r>
              <w:rPr>
                <w:rFonts w:ascii="宋体" w:hAnsi="宋体"/>
                <w:szCs w:val="21"/>
              </w:rPr>
              <w:t>光纤</w:t>
            </w:r>
            <w:r>
              <w:rPr>
                <w:rFonts w:hint="eastAsia" w:ascii="宋体" w:hAnsi="宋体"/>
                <w:szCs w:val="21"/>
              </w:rPr>
              <w:t xml:space="preserve">IP播出板卡；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Segoe UI Symbol" w:hAnsi="Segoe UI Symbol" w:cs="Segoe UI Symbol"/>
                <w:szCs w:val="21"/>
              </w:rPr>
            </w:pPr>
            <w:r>
              <w:rPr>
                <w:rFonts w:ascii="Segoe UI Symbol" w:hAnsi="Segoe UI Symbol" w:cs="Segoe UI Symbol"/>
                <w:szCs w:val="21"/>
              </w:rPr>
              <w:t>★</w:t>
            </w:r>
            <w:r>
              <w:rPr>
                <w:rFonts w:ascii="宋体" w:hAnsi="宋体"/>
                <w:szCs w:val="21"/>
              </w:rPr>
              <w:t>RJ45网络适配器</w:t>
            </w:r>
          </w:p>
        </w:tc>
        <w:tc>
          <w:tcPr>
            <w:tcW w:w="6803" w:type="dxa"/>
            <w:vAlign w:val="center"/>
          </w:tcPr>
          <w:p>
            <w:pPr>
              <w:spacing w:line="400" w:lineRule="exact"/>
              <w:rPr>
                <w:rFonts w:ascii="宋体" w:hAnsi="宋体"/>
                <w:szCs w:val="21"/>
              </w:rPr>
            </w:pPr>
            <w:r>
              <w:rPr>
                <w:rFonts w:hint="eastAsia" w:ascii="宋体" w:hAnsi="宋体"/>
                <w:szCs w:val="21"/>
              </w:rPr>
              <w:t>≥2个千兆网口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电源配置</w:t>
            </w:r>
          </w:p>
        </w:tc>
        <w:tc>
          <w:tcPr>
            <w:tcW w:w="6803" w:type="dxa"/>
            <w:vAlign w:val="center"/>
          </w:tcPr>
          <w:p>
            <w:pPr>
              <w:spacing w:line="400" w:lineRule="exact"/>
              <w:rPr>
                <w:rFonts w:ascii="宋体" w:hAnsi="宋体"/>
                <w:szCs w:val="21"/>
              </w:rPr>
            </w:pPr>
            <w:r>
              <w:rPr>
                <w:rFonts w:ascii="宋体" w:hAnsi="宋体"/>
                <w:szCs w:val="21"/>
              </w:rPr>
              <w:t>热插拔全冗余220V交流电源</w:t>
            </w:r>
            <w:r>
              <w:rPr>
                <w:rFonts w:hint="eastAsia" w:ascii="宋体" w:hAnsi="宋体"/>
                <w:szCs w:val="21"/>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宋体" w:hAnsi="宋体"/>
                <w:szCs w:val="21"/>
              </w:rPr>
              <w:t>风扇配置</w:t>
            </w:r>
          </w:p>
        </w:tc>
        <w:tc>
          <w:tcPr>
            <w:tcW w:w="6803" w:type="dxa"/>
            <w:vAlign w:val="center"/>
          </w:tcPr>
          <w:p>
            <w:pPr>
              <w:spacing w:line="400" w:lineRule="exact"/>
              <w:rPr>
                <w:rFonts w:ascii="宋体" w:hAnsi="宋体"/>
                <w:szCs w:val="21"/>
              </w:rPr>
            </w:pPr>
            <w:r>
              <w:rPr>
                <w:rFonts w:ascii="宋体" w:hAnsi="宋体"/>
                <w:szCs w:val="21"/>
              </w:rPr>
              <w:t>满配热插拔全冗余风扇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hint="eastAsia" w:ascii="宋体" w:hAnsi="宋体"/>
                <w:szCs w:val="21"/>
              </w:rPr>
              <w:t>键鼠</w:t>
            </w:r>
          </w:p>
        </w:tc>
        <w:tc>
          <w:tcPr>
            <w:tcW w:w="6803" w:type="dxa"/>
            <w:vAlign w:val="center"/>
          </w:tcPr>
          <w:p>
            <w:pPr>
              <w:spacing w:line="400" w:lineRule="exact"/>
              <w:rPr>
                <w:rFonts w:ascii="宋体" w:hAnsi="宋体"/>
                <w:szCs w:val="21"/>
              </w:rPr>
            </w:pPr>
            <w:r>
              <w:rPr>
                <w:rFonts w:hint="eastAsia" w:ascii="宋体" w:hAnsi="宋体"/>
                <w:szCs w:val="21"/>
              </w:rPr>
              <w:t>品牌无线键鼠套装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宋体" w:hAnsi="宋体"/>
                <w:szCs w:val="21"/>
              </w:rPr>
              <w:t>操作系统</w:t>
            </w:r>
          </w:p>
        </w:tc>
        <w:tc>
          <w:tcPr>
            <w:tcW w:w="6803" w:type="dxa"/>
            <w:vAlign w:val="center"/>
          </w:tcPr>
          <w:p>
            <w:pPr>
              <w:spacing w:line="400" w:lineRule="exact"/>
              <w:rPr>
                <w:rFonts w:ascii="宋体" w:hAnsi="宋体"/>
                <w:szCs w:val="21"/>
              </w:rPr>
            </w:pPr>
            <w:r>
              <w:rPr>
                <w:rFonts w:ascii="宋体" w:hAnsi="宋体"/>
                <w:szCs w:val="21"/>
              </w:rPr>
              <w:t xml:space="preserve">支持Microsoft Windows </w:t>
            </w:r>
            <w:r>
              <w:rPr>
                <w:rFonts w:hint="eastAsia" w:ascii="宋体" w:hAnsi="宋体"/>
                <w:szCs w:val="21"/>
              </w:rPr>
              <w:t>7及以上版本</w:t>
            </w:r>
            <w:r>
              <w:rPr>
                <w:rFonts w:hint="eastAsia" w:ascii="宋体" w:hAnsi="宋体"/>
                <w:szCs w:val="20"/>
              </w:rPr>
              <w:t>，正版或自有版权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宋体" w:hAnsi="宋体"/>
                <w:szCs w:val="21"/>
              </w:rPr>
              <w:t>外观要求</w:t>
            </w:r>
          </w:p>
        </w:tc>
        <w:tc>
          <w:tcPr>
            <w:tcW w:w="6803" w:type="dxa"/>
            <w:vAlign w:val="center"/>
          </w:tcPr>
          <w:p>
            <w:pPr>
              <w:spacing w:line="400" w:lineRule="exact"/>
              <w:rPr>
                <w:rFonts w:ascii="宋体" w:hAnsi="宋体"/>
                <w:szCs w:val="21"/>
              </w:rPr>
            </w:pPr>
            <w:r>
              <w:rPr>
                <w:rFonts w:ascii="宋体" w:hAnsi="宋体"/>
                <w:szCs w:val="21"/>
              </w:rPr>
              <w:t>机架式服务器，高度</w:t>
            </w:r>
            <w:r>
              <w:rPr>
                <w:rFonts w:hint="eastAsia" w:ascii="宋体" w:hAnsi="宋体"/>
                <w:szCs w:val="21"/>
              </w:rPr>
              <w:t>≤</w:t>
            </w:r>
            <w:r>
              <w:rPr>
                <w:rFonts w:ascii="宋体" w:hAnsi="宋体"/>
                <w:szCs w:val="21"/>
              </w:rPr>
              <w:t>4U，宽度</w:t>
            </w:r>
            <w:r>
              <w:rPr>
                <w:rFonts w:hint="eastAsia" w:ascii="宋体" w:hAnsi="宋体"/>
                <w:szCs w:val="21"/>
              </w:rPr>
              <w:t>≤50厘米</w:t>
            </w:r>
            <w:r>
              <w:rPr>
                <w:rFonts w:ascii="宋体" w:hAnsi="宋体"/>
                <w:szCs w:val="21"/>
              </w:rPr>
              <w:t>，长度</w:t>
            </w:r>
            <w:r>
              <w:rPr>
                <w:rFonts w:hint="eastAsia" w:ascii="宋体" w:hAnsi="宋体"/>
                <w:szCs w:val="21"/>
              </w:rPr>
              <w:t>≤11</w:t>
            </w:r>
            <w:r>
              <w:rPr>
                <w:rFonts w:ascii="宋体" w:hAnsi="宋体"/>
                <w:szCs w:val="21"/>
              </w:rPr>
              <w:t>0厘米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宋体" w:hAnsi="宋体"/>
                <w:szCs w:val="21"/>
              </w:rPr>
              <w:t>安装要求</w:t>
            </w:r>
          </w:p>
        </w:tc>
        <w:tc>
          <w:tcPr>
            <w:tcW w:w="6803" w:type="dxa"/>
            <w:vAlign w:val="center"/>
          </w:tcPr>
          <w:p>
            <w:pPr>
              <w:spacing w:line="400" w:lineRule="exact"/>
              <w:rPr>
                <w:rFonts w:ascii="宋体" w:hAnsi="宋体"/>
                <w:szCs w:val="21"/>
              </w:rPr>
            </w:pPr>
            <w:r>
              <w:rPr>
                <w:rFonts w:ascii="宋体" w:hAnsi="宋体"/>
                <w:szCs w:val="21"/>
              </w:rPr>
              <w:t>相关缆线（电源线、接地线等）必须齐全并满足机房实际布局连接要求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szCs w:val="21"/>
              </w:rPr>
            </w:pPr>
            <w:r>
              <w:rPr>
                <w:rFonts w:ascii="Segoe UI Symbol" w:hAnsi="Segoe UI Symbol" w:cs="Segoe UI Symbol"/>
                <w:szCs w:val="21"/>
              </w:rPr>
              <w:t>★</w:t>
            </w:r>
            <w:r>
              <w:rPr>
                <w:rFonts w:ascii="宋体" w:hAnsi="宋体"/>
                <w:szCs w:val="21"/>
              </w:rPr>
              <w:t>服务要求</w:t>
            </w:r>
          </w:p>
        </w:tc>
        <w:tc>
          <w:tcPr>
            <w:tcW w:w="6803" w:type="dxa"/>
            <w:vAlign w:val="center"/>
          </w:tcPr>
          <w:p>
            <w:pPr>
              <w:spacing w:line="400" w:lineRule="exact"/>
              <w:rPr>
                <w:rFonts w:ascii="宋体" w:hAnsi="宋体"/>
                <w:szCs w:val="21"/>
              </w:rPr>
            </w:pPr>
            <w:r>
              <w:rPr>
                <w:rFonts w:ascii="宋体" w:hAnsi="宋体"/>
                <w:szCs w:val="21"/>
              </w:rPr>
              <w:t>三年原厂质保，提供7*24小时服务</w:t>
            </w:r>
          </w:p>
        </w:tc>
      </w:tr>
    </w:tbl>
    <w:p>
      <w:pPr>
        <w:spacing w:line="400" w:lineRule="exact"/>
        <w:ind w:firstLine="420" w:firstLineChars="200"/>
        <w:rPr>
          <w:rFonts w:ascii="宋体" w:hAnsi="宋体"/>
          <w:szCs w:val="21"/>
        </w:rPr>
      </w:pPr>
    </w:p>
    <w:p>
      <w:pPr>
        <w:keepNext/>
        <w:keepLines/>
        <w:spacing w:before="120" w:after="120" w:line="413" w:lineRule="auto"/>
        <w:outlineLvl w:val="2"/>
        <w:rPr>
          <w:rFonts w:ascii="宋体" w:hAnsi="宋体"/>
          <w:b/>
          <w:bCs/>
          <w:szCs w:val="21"/>
        </w:rPr>
      </w:pPr>
      <w:bookmarkStart w:id="46" w:name="_Toc77285825"/>
      <w:r>
        <w:rPr>
          <w:rFonts w:ascii="宋体" w:hAnsi="宋体"/>
          <w:b/>
          <w:bCs/>
          <w:sz w:val="24"/>
        </w:rPr>
        <w:t xml:space="preserve">3.2 </w:t>
      </w:r>
      <w:r>
        <w:rPr>
          <w:rFonts w:hint="eastAsia" w:ascii="宋体" w:hAnsi="宋体"/>
          <w:b/>
          <w:bCs/>
          <w:sz w:val="24"/>
        </w:rPr>
        <w:t>平台基本功能需求</w:t>
      </w:r>
      <w:bookmarkEnd w:id="46"/>
    </w:p>
    <w:p>
      <w:pPr>
        <w:spacing w:line="400" w:lineRule="exact"/>
        <w:ind w:firstLine="420" w:firstLineChars="200"/>
        <w:rPr>
          <w:rFonts w:ascii="Segoe UI Symbol" w:hAnsi="Segoe UI Symbol" w:cs="Segoe UI Symbol"/>
          <w:szCs w:val="21"/>
        </w:rPr>
      </w:pPr>
      <w:r>
        <w:rPr>
          <w:rFonts w:ascii="Segoe UI Symbol" w:hAnsi="Segoe UI Symbol" w:cs="Segoe UI Symbol"/>
          <w:szCs w:val="21"/>
        </w:rPr>
        <w:t>★</w:t>
      </w:r>
      <w:r>
        <w:rPr>
          <w:rFonts w:hint="eastAsia" w:ascii="宋体" w:hAnsi="宋体"/>
          <w:szCs w:val="21"/>
        </w:rPr>
        <w:t>系统需与现有融合IP视频播出系统对接集成，互为主备，无论是数据库层面还是业务层面实现完全意义上的主备，无单一故障点，主备数据库和素材库互联互通，实现素材统一管理上传，支持节点统一增删改查，实现用户管理权限统一分发，保障播出不受意外影响。</w:t>
      </w:r>
    </w:p>
    <w:p>
      <w:pPr>
        <w:spacing w:line="400" w:lineRule="exact"/>
        <w:rPr>
          <w:rFonts w:ascii="宋体" w:hAnsi="宋体"/>
          <w:szCs w:val="21"/>
        </w:rPr>
      </w:pPr>
      <w:r>
        <w:rPr>
          <w:rFonts w:ascii="Segoe UI Symbol" w:hAnsi="Segoe UI Symbol" w:cs="Segoe UI Symbol"/>
          <w:szCs w:val="21"/>
        </w:rPr>
        <w:t>★</w:t>
      </w:r>
      <w:r>
        <w:rPr>
          <w:rFonts w:ascii="宋体" w:hAnsi="宋体"/>
          <w:szCs w:val="21"/>
        </w:rPr>
        <w:t>3</w:t>
      </w:r>
      <w:r>
        <w:rPr>
          <w:rFonts w:hint="eastAsia" w:ascii="宋体" w:hAnsi="宋体"/>
          <w:szCs w:val="21"/>
        </w:rPr>
        <w:t>.</w:t>
      </w:r>
      <w:r>
        <w:rPr>
          <w:rFonts w:ascii="宋体" w:hAnsi="宋体"/>
          <w:szCs w:val="21"/>
        </w:rPr>
        <w:t>2.1</w:t>
      </w:r>
      <w:r>
        <w:rPr>
          <w:rFonts w:hint="eastAsia" w:ascii="宋体" w:hAnsi="宋体"/>
          <w:szCs w:val="21"/>
        </w:rPr>
        <w:t xml:space="preserve"> 平台须支持不低于1</w:t>
      </w:r>
      <w:r>
        <w:rPr>
          <w:rFonts w:ascii="宋体" w:hAnsi="宋体"/>
          <w:szCs w:val="21"/>
        </w:rPr>
        <w:t>0</w:t>
      </w:r>
      <w:r>
        <w:rPr>
          <w:rFonts w:hint="eastAsia" w:ascii="宋体" w:hAnsi="宋体"/>
          <w:szCs w:val="21"/>
        </w:rPr>
        <w:t>路标清、1</w:t>
      </w:r>
      <w:r>
        <w:rPr>
          <w:rFonts w:ascii="宋体" w:hAnsi="宋体"/>
          <w:szCs w:val="21"/>
        </w:rPr>
        <w:t>3</w:t>
      </w:r>
      <w:r>
        <w:rPr>
          <w:rFonts w:hint="eastAsia" w:ascii="宋体" w:hAnsi="宋体"/>
          <w:szCs w:val="21"/>
        </w:rPr>
        <w:t>路高清、5路4</w:t>
      </w:r>
      <w:r>
        <w:rPr>
          <w:rFonts w:ascii="宋体" w:hAnsi="宋体"/>
          <w:szCs w:val="21"/>
        </w:rPr>
        <w:t>K</w:t>
      </w:r>
      <w:r>
        <w:rPr>
          <w:rFonts w:hint="eastAsia" w:ascii="宋体" w:hAnsi="宋体"/>
          <w:szCs w:val="21"/>
        </w:rPr>
        <w:t>、1路8</w:t>
      </w:r>
      <w:r>
        <w:rPr>
          <w:rFonts w:ascii="宋体" w:hAnsi="宋体"/>
          <w:szCs w:val="21"/>
        </w:rPr>
        <w:t>K</w:t>
      </w:r>
      <w:r>
        <w:rPr>
          <w:rFonts w:hint="eastAsia" w:ascii="宋体" w:hAnsi="宋体"/>
          <w:szCs w:val="21"/>
        </w:rPr>
        <w:t>共</w:t>
      </w:r>
      <w:r>
        <w:rPr>
          <w:rFonts w:ascii="宋体" w:hAnsi="宋体"/>
          <w:szCs w:val="21"/>
        </w:rPr>
        <w:t>29</w:t>
      </w:r>
      <w:r>
        <w:rPr>
          <w:rFonts w:hint="eastAsia" w:ascii="宋体" w:hAnsi="宋体"/>
          <w:szCs w:val="21"/>
        </w:rPr>
        <w:t>路播出能力，且视频流输出稳定无卡顿，画面质量良好，无TR101</w:t>
      </w:r>
      <w:r>
        <w:rPr>
          <w:rFonts w:ascii="宋体" w:hAnsi="宋体"/>
          <w:szCs w:val="21"/>
        </w:rPr>
        <w:t xml:space="preserve"> </w:t>
      </w:r>
      <w:r>
        <w:rPr>
          <w:rFonts w:hint="eastAsia" w:ascii="宋体" w:hAnsi="宋体"/>
          <w:szCs w:val="21"/>
        </w:rPr>
        <w:t>290第一、二优先级报错。在播出总带宽不变的前提下，播出通道相关联的播出授权可根据业务实际情况进行相应授权，保证通道调度编排的灵活性。</w:t>
      </w:r>
    </w:p>
    <w:p>
      <w:pPr>
        <w:spacing w:line="400" w:lineRule="exact"/>
        <w:rPr>
          <w:rFonts w:ascii="宋体" w:hAnsi="宋体"/>
          <w:szCs w:val="21"/>
        </w:rPr>
      </w:pPr>
      <w:r>
        <w:rPr>
          <w:rFonts w:ascii="Segoe UI Symbol" w:hAnsi="Segoe UI Symbol" w:cs="Segoe UI Symbol"/>
          <w:szCs w:val="21"/>
        </w:rPr>
        <w:t>★</w:t>
      </w:r>
      <w:r>
        <w:rPr>
          <w:rFonts w:ascii="宋体" w:hAnsi="宋体"/>
          <w:szCs w:val="21"/>
        </w:rPr>
        <w:t>3</w:t>
      </w:r>
      <w:r>
        <w:rPr>
          <w:rFonts w:hint="eastAsia" w:ascii="宋体" w:hAnsi="宋体"/>
          <w:szCs w:val="21"/>
        </w:rPr>
        <w:t>.2</w:t>
      </w:r>
      <w:r>
        <w:rPr>
          <w:rFonts w:ascii="宋体" w:hAnsi="宋体"/>
          <w:szCs w:val="21"/>
        </w:rPr>
        <w:t>.2</w:t>
      </w:r>
      <w:r>
        <w:rPr>
          <w:rFonts w:hint="eastAsia" w:ascii="宋体" w:hAnsi="宋体"/>
          <w:szCs w:val="21"/>
        </w:rPr>
        <w:t xml:space="preserve"> 平台支持新一代视频编码标准H.265（HEVC）,</w:t>
      </w:r>
      <w:r>
        <w:rPr>
          <w:rFonts w:ascii="宋体" w:hAnsi="宋体"/>
          <w:szCs w:val="21"/>
        </w:rPr>
        <w:t xml:space="preserve"> </w:t>
      </w:r>
      <w:r>
        <w:rPr>
          <w:rFonts w:hint="eastAsia" w:ascii="宋体" w:hAnsi="宋体"/>
          <w:szCs w:val="21"/>
        </w:rPr>
        <w:t>可</w:t>
      </w:r>
      <w:r>
        <w:rPr>
          <w:rFonts w:ascii="宋体" w:hAnsi="宋体"/>
          <w:szCs w:val="21"/>
        </w:rPr>
        <w:t>在有限带宽下传输更高质量的视频</w:t>
      </w:r>
      <w:r>
        <w:rPr>
          <w:rFonts w:hint="eastAsia" w:ascii="宋体" w:hAnsi="宋体"/>
          <w:szCs w:val="21"/>
        </w:rPr>
        <w:t>，同时向下兼容H.264/AVC以及MPEG-2编码方式的视频播出。</w:t>
      </w:r>
    </w:p>
    <w:p>
      <w:pPr>
        <w:spacing w:line="400" w:lineRule="exact"/>
        <w:rPr>
          <w:rFonts w:ascii="宋体" w:hAnsi="宋体"/>
          <w:szCs w:val="21"/>
        </w:rPr>
      </w:pPr>
      <w:r>
        <w:rPr>
          <w:rFonts w:ascii="Segoe UI Symbol" w:hAnsi="Segoe UI Symbol" w:cs="Segoe UI Symbol"/>
          <w:szCs w:val="21"/>
        </w:rPr>
        <w:t>★</w:t>
      </w:r>
      <w:r>
        <w:rPr>
          <w:rFonts w:ascii="宋体" w:hAnsi="宋体"/>
          <w:szCs w:val="21"/>
        </w:rPr>
        <w:t>3</w:t>
      </w:r>
      <w:r>
        <w:rPr>
          <w:rFonts w:hint="eastAsia" w:ascii="宋体" w:hAnsi="宋体"/>
          <w:szCs w:val="21"/>
        </w:rPr>
        <w:t>.2.3 平台支持</w:t>
      </w:r>
      <w:r>
        <w:rPr>
          <w:rFonts w:ascii="宋体" w:hAnsi="宋体"/>
          <w:szCs w:val="21"/>
        </w:rPr>
        <w:t>IP</w:t>
      </w:r>
      <w:r>
        <w:rPr>
          <w:rFonts w:hint="eastAsia" w:ascii="宋体" w:hAnsi="宋体"/>
          <w:szCs w:val="21"/>
        </w:rPr>
        <w:t>或者ASI播出方式，支持不低于</w:t>
      </w:r>
      <w:r>
        <w:rPr>
          <w:rFonts w:ascii="宋体" w:hAnsi="宋体"/>
          <w:szCs w:val="21"/>
        </w:rPr>
        <w:t>9</w:t>
      </w:r>
      <w:r>
        <w:rPr>
          <w:rFonts w:hint="eastAsia" w:ascii="宋体" w:hAnsi="宋体"/>
          <w:szCs w:val="21"/>
        </w:rPr>
        <w:t>00Mbps的播出带宽，即默认开通设备最大可用带宽，</w:t>
      </w:r>
      <w:r>
        <w:rPr>
          <w:rFonts w:ascii="宋体" w:hAnsi="宋体"/>
          <w:szCs w:val="21"/>
        </w:rPr>
        <w:t>lisence</w:t>
      </w:r>
      <w:r>
        <w:rPr>
          <w:rFonts w:hint="eastAsia" w:ascii="宋体" w:hAnsi="宋体"/>
          <w:szCs w:val="21"/>
        </w:rPr>
        <w:t>一次性开放</w:t>
      </w:r>
      <w:r>
        <w:rPr>
          <w:rFonts w:ascii="宋体" w:hAnsi="宋体"/>
          <w:szCs w:val="21"/>
        </w:rPr>
        <w:t>。</w:t>
      </w:r>
      <w:r>
        <w:rPr>
          <w:rFonts w:hint="eastAsia" w:ascii="宋体" w:hAnsi="宋体"/>
          <w:szCs w:val="21"/>
        </w:rPr>
        <w:t>支持每路8K</w:t>
      </w:r>
      <w:r>
        <w:rPr>
          <w:rFonts w:ascii="宋体" w:hAnsi="宋体"/>
          <w:szCs w:val="21"/>
        </w:rPr>
        <w:t>频道播出带宽不低于1</w:t>
      </w:r>
      <w:r>
        <w:rPr>
          <w:rFonts w:hint="eastAsia" w:ascii="宋体" w:hAnsi="宋体"/>
          <w:szCs w:val="21"/>
        </w:rPr>
        <w:t>5</w:t>
      </w:r>
      <w:r>
        <w:rPr>
          <w:rFonts w:ascii="宋体" w:hAnsi="宋体"/>
          <w:szCs w:val="21"/>
        </w:rPr>
        <w:t>0Mbps，</w:t>
      </w:r>
      <w:r>
        <w:rPr>
          <w:rFonts w:hint="eastAsia" w:ascii="宋体" w:hAnsi="宋体"/>
          <w:szCs w:val="21"/>
        </w:rPr>
        <w:t>支持每路</w:t>
      </w:r>
      <w:r>
        <w:rPr>
          <w:rFonts w:ascii="宋体" w:hAnsi="宋体"/>
          <w:szCs w:val="21"/>
        </w:rPr>
        <w:t>4</w:t>
      </w:r>
      <w:r>
        <w:rPr>
          <w:rFonts w:hint="eastAsia" w:ascii="宋体" w:hAnsi="宋体"/>
          <w:szCs w:val="21"/>
        </w:rPr>
        <w:t>K</w:t>
      </w:r>
      <w:r>
        <w:rPr>
          <w:rFonts w:ascii="宋体" w:hAnsi="宋体"/>
          <w:szCs w:val="21"/>
        </w:rPr>
        <w:t>频道播出带宽不低于45Mbps，</w:t>
      </w:r>
      <w:r>
        <w:rPr>
          <w:rFonts w:hint="eastAsia" w:ascii="宋体" w:hAnsi="宋体"/>
          <w:szCs w:val="21"/>
        </w:rPr>
        <w:t>每路</w:t>
      </w:r>
      <w:r>
        <w:rPr>
          <w:rFonts w:ascii="宋体" w:hAnsi="宋体"/>
          <w:szCs w:val="21"/>
        </w:rPr>
        <w:t>高清频道播出带宽不低于</w:t>
      </w:r>
      <w:r>
        <w:rPr>
          <w:rFonts w:hint="eastAsia" w:ascii="宋体" w:hAnsi="宋体"/>
          <w:szCs w:val="21"/>
        </w:rPr>
        <w:t>9</w:t>
      </w:r>
      <w:r>
        <w:rPr>
          <w:rFonts w:ascii="宋体" w:hAnsi="宋体"/>
          <w:szCs w:val="21"/>
        </w:rPr>
        <w:t>Mbps，</w:t>
      </w:r>
      <w:r>
        <w:rPr>
          <w:rFonts w:hint="eastAsia" w:ascii="宋体" w:hAnsi="宋体"/>
          <w:szCs w:val="21"/>
        </w:rPr>
        <w:t>每路</w:t>
      </w:r>
      <w:r>
        <w:rPr>
          <w:rFonts w:ascii="宋体" w:hAnsi="宋体"/>
          <w:szCs w:val="21"/>
        </w:rPr>
        <w:t>标清频道播出带宽不低于5Mbps</w:t>
      </w:r>
      <w:r>
        <w:rPr>
          <w:rFonts w:hint="eastAsia" w:ascii="宋体" w:hAnsi="宋体"/>
          <w:szCs w:val="21"/>
        </w:rPr>
        <w:t>。系统在线播控存储需满足所有频道7天的素材存储播出，存储容量不少于1</w:t>
      </w:r>
      <w:r>
        <w:rPr>
          <w:rFonts w:ascii="宋体" w:hAnsi="宋体"/>
          <w:szCs w:val="21"/>
        </w:rPr>
        <w:t>8T</w:t>
      </w:r>
      <w:r>
        <w:rPr>
          <w:rFonts w:hint="eastAsia" w:ascii="宋体" w:hAnsi="宋体"/>
          <w:szCs w:val="21"/>
        </w:rPr>
        <w:t>。8</w:t>
      </w:r>
      <w:r>
        <w:rPr>
          <w:rFonts w:ascii="宋体" w:hAnsi="宋体"/>
          <w:szCs w:val="21"/>
        </w:rPr>
        <w:t>K频道每天</w:t>
      </w:r>
      <w:r>
        <w:rPr>
          <w:rFonts w:hint="eastAsia" w:ascii="宋体" w:hAnsi="宋体"/>
          <w:szCs w:val="21"/>
        </w:rPr>
        <w:t>4小时正片内容，4</w:t>
      </w:r>
      <w:r>
        <w:rPr>
          <w:rFonts w:ascii="宋体" w:hAnsi="宋体"/>
          <w:szCs w:val="21"/>
        </w:rPr>
        <w:t>K频道每天8小时正片内容，高清频道每天</w:t>
      </w:r>
      <w:r>
        <w:rPr>
          <w:rFonts w:hint="eastAsia" w:ascii="宋体" w:hAnsi="宋体"/>
          <w:szCs w:val="21"/>
        </w:rPr>
        <w:t>1</w:t>
      </w:r>
      <w:r>
        <w:rPr>
          <w:rFonts w:ascii="宋体" w:hAnsi="宋体"/>
          <w:szCs w:val="21"/>
        </w:rPr>
        <w:t>2小时正片内容，标清频道每天</w:t>
      </w:r>
      <w:r>
        <w:rPr>
          <w:rFonts w:hint="eastAsia" w:ascii="宋体" w:hAnsi="宋体"/>
          <w:szCs w:val="21"/>
        </w:rPr>
        <w:t>1</w:t>
      </w:r>
      <w:r>
        <w:rPr>
          <w:rFonts w:ascii="宋体" w:hAnsi="宋体"/>
          <w:szCs w:val="21"/>
        </w:rPr>
        <w:t>2小时正片内容。</w:t>
      </w:r>
      <w:r>
        <w:rPr>
          <w:rFonts w:hint="eastAsia" w:ascii="宋体" w:hAnsi="宋体"/>
          <w:szCs w:val="21"/>
        </w:rPr>
        <w:t>设备和系统可靠性高,稳定性强,具备全年7×24小时不间断正常工作的安全级别。</w:t>
      </w:r>
    </w:p>
    <w:p>
      <w:pPr>
        <w:spacing w:line="400" w:lineRule="exact"/>
        <w:rPr>
          <w:rFonts w:ascii="宋体" w:hAnsi="宋体"/>
          <w:szCs w:val="21"/>
        </w:rPr>
      </w:pPr>
      <w:r>
        <w:rPr>
          <w:rFonts w:ascii="Segoe UI Symbol" w:hAnsi="Segoe UI Symbol" w:cs="Segoe UI Symbol"/>
          <w:szCs w:val="21"/>
        </w:rPr>
        <w:t>★</w:t>
      </w:r>
      <w:r>
        <w:rPr>
          <w:rFonts w:ascii="宋体" w:hAnsi="宋体"/>
          <w:szCs w:val="21"/>
        </w:rPr>
        <w:t>3</w:t>
      </w:r>
      <w:r>
        <w:rPr>
          <w:rFonts w:hint="eastAsia" w:ascii="宋体" w:hAnsi="宋体"/>
          <w:szCs w:val="21"/>
        </w:rPr>
        <w:t>.2</w:t>
      </w:r>
      <w:r>
        <w:rPr>
          <w:rFonts w:ascii="宋体" w:hAnsi="宋体"/>
          <w:szCs w:val="21"/>
        </w:rPr>
        <w:t>.</w:t>
      </w:r>
      <w:r>
        <w:rPr>
          <w:rFonts w:hint="eastAsia" w:ascii="宋体" w:hAnsi="宋体"/>
          <w:szCs w:val="21"/>
        </w:rPr>
        <w:t>4 平台所包含的核心器件如电源、系统硬盘等具备冗余备份设计。</w:t>
      </w:r>
    </w:p>
    <w:p>
      <w:pPr>
        <w:spacing w:line="400" w:lineRule="exact"/>
        <w:rPr>
          <w:rFonts w:ascii="宋体" w:hAnsi="宋体"/>
          <w:szCs w:val="21"/>
        </w:rPr>
      </w:pPr>
      <w:r>
        <w:rPr>
          <w:rFonts w:ascii="宋体" w:hAnsi="宋体"/>
          <w:szCs w:val="21"/>
        </w:rPr>
        <w:t>3</w:t>
      </w:r>
      <w:r>
        <w:rPr>
          <w:rFonts w:hint="eastAsia" w:ascii="宋体" w:hAnsi="宋体"/>
          <w:szCs w:val="21"/>
        </w:rPr>
        <w:t>.2</w:t>
      </w:r>
      <w:r>
        <w:rPr>
          <w:rFonts w:ascii="宋体" w:hAnsi="宋体"/>
          <w:szCs w:val="21"/>
        </w:rPr>
        <w:t>.</w:t>
      </w:r>
      <w:r>
        <w:rPr>
          <w:rFonts w:hint="eastAsia" w:ascii="宋体" w:hAnsi="宋体"/>
          <w:szCs w:val="21"/>
        </w:rPr>
        <w:t>5 平台应采用编播分离机制，以确保节目播出的安全性。</w:t>
      </w:r>
    </w:p>
    <w:p>
      <w:pPr>
        <w:spacing w:line="400" w:lineRule="exact"/>
        <w:rPr>
          <w:rFonts w:ascii="宋体" w:hAnsi="宋体"/>
          <w:szCs w:val="21"/>
        </w:rPr>
      </w:pPr>
      <w:r>
        <w:rPr>
          <w:rFonts w:ascii="Segoe UI Symbol" w:hAnsi="Segoe UI Symbol" w:cs="Segoe UI Symbol"/>
          <w:szCs w:val="21"/>
        </w:rPr>
        <w:t>★</w:t>
      </w:r>
      <w:r>
        <w:rPr>
          <w:rFonts w:ascii="宋体" w:hAnsi="宋体"/>
          <w:szCs w:val="21"/>
        </w:rPr>
        <w:t>3</w:t>
      </w:r>
      <w:r>
        <w:rPr>
          <w:rFonts w:hint="eastAsia" w:ascii="宋体" w:hAnsi="宋体"/>
          <w:szCs w:val="21"/>
        </w:rPr>
        <w:t>.2</w:t>
      </w:r>
      <w:r>
        <w:rPr>
          <w:rFonts w:ascii="宋体" w:hAnsi="宋体"/>
          <w:szCs w:val="21"/>
        </w:rPr>
        <w:t>.</w:t>
      </w:r>
      <w:r>
        <w:rPr>
          <w:rFonts w:hint="eastAsia" w:ascii="宋体" w:hAnsi="宋体"/>
          <w:szCs w:val="21"/>
        </w:rPr>
        <w:t>6 平台中所有设备时钟要统一，保证播出系统中所有设备时钟的同步，完全实现0秒准时播出；</w:t>
      </w:r>
    </w:p>
    <w:p>
      <w:pPr>
        <w:spacing w:line="400" w:lineRule="exact"/>
        <w:rPr>
          <w:rFonts w:ascii="宋体" w:hAnsi="宋体"/>
          <w:szCs w:val="21"/>
        </w:rPr>
      </w:pPr>
      <w:r>
        <w:rPr>
          <w:rFonts w:ascii="Segoe UI Symbol" w:hAnsi="Segoe UI Symbol" w:cs="Segoe UI Symbol"/>
          <w:szCs w:val="21"/>
        </w:rPr>
        <w:t>★</w:t>
      </w:r>
      <w:r>
        <w:rPr>
          <w:rFonts w:ascii="宋体" w:hAnsi="宋体"/>
          <w:szCs w:val="21"/>
        </w:rPr>
        <w:t>3</w:t>
      </w:r>
      <w:r>
        <w:rPr>
          <w:rFonts w:hint="eastAsia" w:ascii="宋体" w:hAnsi="宋体"/>
          <w:szCs w:val="21"/>
        </w:rPr>
        <w:t>.2</w:t>
      </w:r>
      <w:r>
        <w:rPr>
          <w:rFonts w:ascii="宋体" w:hAnsi="宋体"/>
          <w:szCs w:val="21"/>
        </w:rPr>
        <w:t>.</w:t>
      </w:r>
      <w:r>
        <w:rPr>
          <w:rFonts w:hint="eastAsia" w:ascii="宋体" w:hAnsi="宋体"/>
          <w:szCs w:val="21"/>
        </w:rPr>
        <w:t>7 平台需</w:t>
      </w:r>
      <w:r>
        <w:rPr>
          <w:rFonts w:ascii="宋体" w:hAnsi="宋体"/>
          <w:szCs w:val="21"/>
        </w:rPr>
        <w:t>满足</w:t>
      </w:r>
      <w:r>
        <w:rPr>
          <w:rFonts w:hint="eastAsia" w:ascii="宋体" w:hAnsi="宋体"/>
          <w:szCs w:val="21"/>
        </w:rPr>
        <w:t>节目切换时视频无马赛克、定帧、抖动和黑屏，声音无噪声、失真等现象，无切换间隙自动切至应急垫片现象，保证节目之间切换的平滑过渡；节目播出时图像切换无延时、无抖动、无静帧、无黑场等现象；</w:t>
      </w:r>
    </w:p>
    <w:p>
      <w:pPr>
        <w:spacing w:line="400" w:lineRule="exact"/>
        <w:rPr>
          <w:rFonts w:ascii="宋体" w:hAnsi="宋体"/>
          <w:szCs w:val="21"/>
        </w:rPr>
      </w:pPr>
      <w:r>
        <w:rPr>
          <w:rFonts w:ascii="宋体" w:hAnsi="宋体"/>
          <w:szCs w:val="21"/>
        </w:rPr>
        <w:t>3</w:t>
      </w:r>
      <w:r>
        <w:rPr>
          <w:rFonts w:hint="eastAsia" w:ascii="宋体" w:hAnsi="宋体"/>
          <w:szCs w:val="21"/>
        </w:rPr>
        <w:t>.2</w:t>
      </w:r>
      <w:r>
        <w:rPr>
          <w:rFonts w:ascii="宋体" w:hAnsi="宋体"/>
          <w:szCs w:val="21"/>
        </w:rPr>
        <w:t>.</w:t>
      </w:r>
      <w:r>
        <w:rPr>
          <w:rFonts w:hint="eastAsia" w:ascii="宋体" w:hAnsi="宋体"/>
          <w:szCs w:val="21"/>
        </w:rPr>
        <w:t>8 平台支持播发帧率</w:t>
      </w:r>
      <w:r>
        <w:rPr>
          <w:rFonts w:ascii="宋体" w:hAnsi="宋体"/>
          <w:szCs w:val="21"/>
        </w:rPr>
        <w:t>6</w:t>
      </w:r>
      <w:r>
        <w:rPr>
          <w:rFonts w:hint="eastAsia" w:ascii="宋体" w:hAnsi="宋体"/>
          <w:szCs w:val="21"/>
        </w:rPr>
        <w:t>0fps，色深 10-bit，支持HDR,支持WCG(BT.2020)的视频码流，4</w:t>
      </w:r>
      <w:r>
        <w:rPr>
          <w:rFonts w:ascii="宋体" w:hAnsi="宋体"/>
          <w:szCs w:val="21"/>
        </w:rPr>
        <w:t>K频道播出</w:t>
      </w:r>
      <w:r>
        <w:rPr>
          <w:rFonts w:hint="eastAsia" w:ascii="宋体" w:hAnsi="宋体"/>
          <w:szCs w:val="21"/>
        </w:rPr>
        <w:t>支持单路至少45Mbps的视频码流；8</w:t>
      </w:r>
      <w:r>
        <w:rPr>
          <w:rFonts w:ascii="宋体" w:hAnsi="宋体"/>
          <w:szCs w:val="21"/>
        </w:rPr>
        <w:t>K频道播出支持</w:t>
      </w:r>
      <w:r>
        <w:rPr>
          <w:rFonts w:hint="eastAsia" w:ascii="宋体" w:hAnsi="宋体"/>
          <w:szCs w:val="21"/>
        </w:rPr>
        <w:t>单路</w:t>
      </w:r>
      <w:r>
        <w:rPr>
          <w:rFonts w:ascii="宋体" w:hAnsi="宋体"/>
          <w:szCs w:val="21"/>
        </w:rPr>
        <w:t>至少</w:t>
      </w:r>
      <w:r>
        <w:rPr>
          <w:rFonts w:hint="eastAsia" w:ascii="宋体" w:hAnsi="宋体"/>
          <w:szCs w:val="21"/>
        </w:rPr>
        <w:t>15</w:t>
      </w:r>
      <w:r>
        <w:rPr>
          <w:rFonts w:ascii="宋体" w:hAnsi="宋体"/>
          <w:szCs w:val="21"/>
        </w:rPr>
        <w:t>0Mbps的</w:t>
      </w:r>
      <w:r>
        <w:rPr>
          <w:rFonts w:hint="eastAsia" w:ascii="宋体" w:hAnsi="宋体"/>
          <w:szCs w:val="21"/>
        </w:rPr>
        <w:t>视频码流；</w:t>
      </w:r>
    </w:p>
    <w:p>
      <w:pPr>
        <w:spacing w:line="400" w:lineRule="exact"/>
        <w:rPr>
          <w:rFonts w:ascii="宋体" w:hAnsi="宋体"/>
          <w:szCs w:val="21"/>
        </w:rPr>
      </w:pPr>
      <w:r>
        <w:rPr>
          <w:rFonts w:ascii="宋体" w:hAnsi="宋体"/>
          <w:szCs w:val="21"/>
        </w:rPr>
        <w:t>3</w:t>
      </w:r>
      <w:r>
        <w:rPr>
          <w:rFonts w:hint="eastAsia" w:ascii="宋体" w:hAnsi="宋体"/>
          <w:szCs w:val="21"/>
        </w:rPr>
        <w:t>.2</w:t>
      </w:r>
      <w:r>
        <w:rPr>
          <w:rFonts w:ascii="宋体" w:hAnsi="宋体"/>
          <w:szCs w:val="21"/>
        </w:rPr>
        <w:t>.</w:t>
      </w:r>
      <w:r>
        <w:rPr>
          <w:rFonts w:hint="eastAsia" w:ascii="宋体" w:hAnsi="宋体"/>
          <w:szCs w:val="21"/>
        </w:rPr>
        <w:t>9 平台输出的TS流遵循DVB关于PSI/SI处理的标准，与传输流有关的所有参数要求均以国标为准。播出设备支持丰富的输入输出接口，包括ASI和IP的接口，以方便用户的灵活使用；</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w:t>
      </w:r>
      <w:r>
        <w:rPr>
          <w:rFonts w:ascii="宋体" w:hAnsi="宋体"/>
          <w:szCs w:val="21"/>
        </w:rPr>
        <w:t>.2.10 平台采用</w:t>
      </w:r>
      <w:r>
        <w:rPr>
          <w:rFonts w:hint="eastAsia" w:ascii="宋体" w:hAnsi="宋体"/>
          <w:szCs w:val="21"/>
        </w:rPr>
        <w:t>B</w:t>
      </w:r>
      <w:r>
        <w:rPr>
          <w:rFonts w:ascii="宋体" w:hAnsi="宋体"/>
          <w:szCs w:val="21"/>
        </w:rPr>
        <w:t>/S架构，</w:t>
      </w:r>
      <w:r>
        <w:rPr>
          <w:rFonts w:hint="eastAsia" w:ascii="宋体" w:hAnsi="宋体"/>
          <w:szCs w:val="21"/>
        </w:rPr>
        <w:t>支持分布式部署，总体结构由省中心节点与各个地市节点组成，且平台具备严格的权限分配机制，具有良好的权限边界，省中心管理员权限，各个地市权限隔离；</w:t>
      </w:r>
    </w:p>
    <w:p>
      <w:pPr>
        <w:spacing w:line="400" w:lineRule="exact"/>
        <w:rPr>
          <w:rFonts w:ascii="宋体" w:hAnsi="宋体"/>
          <w:szCs w:val="21"/>
        </w:rPr>
      </w:pPr>
      <w:r>
        <w:rPr>
          <w:rFonts w:ascii="Segoe UI Symbol" w:hAnsi="Segoe UI Symbol" w:cs="Segoe UI Symbol"/>
          <w:szCs w:val="21"/>
        </w:rPr>
        <w:t>★</w:t>
      </w:r>
      <w:r>
        <w:rPr>
          <w:rFonts w:ascii="宋体" w:hAnsi="宋体"/>
          <w:szCs w:val="21"/>
        </w:rPr>
        <w:t xml:space="preserve">3.2.11 </w:t>
      </w:r>
      <w:r>
        <w:rPr>
          <w:rFonts w:hint="eastAsia" w:ascii="宋体" w:hAnsi="宋体"/>
          <w:szCs w:val="21"/>
        </w:rPr>
        <w:t>平台输出的视频流支持CDN分发，须完全支持对接江苏有线现有CDN网络，可完全做到直接嵌入CDN网络，且江苏有线现有CDN网络无需与平台做额外的个性化开发；</w:t>
      </w:r>
    </w:p>
    <w:p>
      <w:pPr>
        <w:spacing w:line="400" w:lineRule="exact"/>
        <w:rPr>
          <w:rFonts w:ascii="宋体" w:hAnsi="宋体"/>
          <w:szCs w:val="21"/>
        </w:rPr>
      </w:pPr>
      <w:r>
        <w:rPr>
          <w:rFonts w:ascii="Segoe UI Symbol" w:hAnsi="Segoe UI Symbol" w:cs="Segoe UI Symbol"/>
          <w:szCs w:val="21"/>
        </w:rPr>
        <w:t>★</w:t>
      </w:r>
      <w:r>
        <w:rPr>
          <w:rFonts w:ascii="宋体" w:hAnsi="宋体"/>
          <w:szCs w:val="21"/>
        </w:rPr>
        <w:t>3</w:t>
      </w:r>
      <w:r>
        <w:rPr>
          <w:rFonts w:hint="eastAsia" w:ascii="宋体" w:hAnsi="宋体"/>
          <w:szCs w:val="21"/>
        </w:rPr>
        <w:t>.</w:t>
      </w:r>
      <w:r>
        <w:rPr>
          <w:rFonts w:ascii="宋体" w:hAnsi="宋体"/>
          <w:szCs w:val="21"/>
        </w:rPr>
        <w:t>2.12支持直播流与直播流、直播流与硬盘文件、文件与文件之间的混排播出切换，支持同一频道内的不同编码（如</w:t>
      </w:r>
      <w:r>
        <w:rPr>
          <w:rFonts w:hint="eastAsia" w:ascii="宋体" w:hAnsi="宋体"/>
          <w:szCs w:val="21"/>
        </w:rPr>
        <w:t>M</w:t>
      </w:r>
      <w:r>
        <w:rPr>
          <w:rFonts w:ascii="宋体" w:hAnsi="宋体"/>
          <w:szCs w:val="21"/>
        </w:rPr>
        <w:t>PEG-2、</w:t>
      </w:r>
      <w:r>
        <w:rPr>
          <w:rFonts w:hint="eastAsia" w:ascii="宋体" w:hAnsi="宋体"/>
          <w:szCs w:val="21"/>
        </w:rPr>
        <w:t>H</w:t>
      </w:r>
      <w:r>
        <w:rPr>
          <w:rFonts w:ascii="宋体" w:hAnsi="宋体"/>
          <w:szCs w:val="21"/>
        </w:rPr>
        <w:t>.264、AVS、</w:t>
      </w:r>
      <w:r>
        <w:rPr>
          <w:rFonts w:hint="eastAsia" w:ascii="宋体" w:hAnsi="宋体"/>
          <w:szCs w:val="21"/>
        </w:rPr>
        <w:t>H.</w:t>
      </w:r>
      <w:r>
        <w:rPr>
          <w:rFonts w:ascii="宋体" w:hAnsi="宋体"/>
          <w:szCs w:val="21"/>
        </w:rPr>
        <w:t>265等）内容的混排，支持应急垫播</w:t>
      </w:r>
      <w:r>
        <w:rPr>
          <w:rFonts w:hint="eastAsia" w:ascii="宋体" w:hAnsi="宋体"/>
          <w:szCs w:val="21"/>
        </w:rPr>
        <w:t>；</w:t>
      </w:r>
    </w:p>
    <w:p>
      <w:pPr>
        <w:spacing w:line="360" w:lineRule="auto"/>
        <w:rPr>
          <w:rFonts w:ascii="宋体" w:hAnsi="宋体"/>
          <w:szCs w:val="21"/>
        </w:rPr>
      </w:pPr>
      <w:r>
        <w:rPr>
          <w:rFonts w:ascii="Segoe UI Symbol" w:hAnsi="Segoe UI Symbol" w:cs="Segoe UI Symbol"/>
          <w:szCs w:val="21"/>
        </w:rPr>
        <w:t>★</w:t>
      </w:r>
      <w:r>
        <w:rPr>
          <w:rFonts w:ascii="宋体" w:hAnsi="宋体"/>
          <w:szCs w:val="21"/>
        </w:rPr>
        <w:t>3</w:t>
      </w:r>
      <w:r>
        <w:rPr>
          <w:rFonts w:hint="eastAsia" w:ascii="宋体" w:hAnsi="宋体"/>
          <w:szCs w:val="21"/>
        </w:rPr>
        <w:t>.</w:t>
      </w:r>
      <w:r>
        <w:rPr>
          <w:rFonts w:ascii="宋体" w:hAnsi="宋体"/>
          <w:szCs w:val="21"/>
        </w:rPr>
        <w:t xml:space="preserve">2.13 </w:t>
      </w:r>
      <w:r>
        <w:rPr>
          <w:rFonts w:hint="eastAsia" w:ascii="宋体" w:hAnsi="宋体"/>
          <w:szCs w:val="21"/>
        </w:rPr>
        <w:t>平台支持UDP与HLS切片的输出方式，且支持生成切片文件与推流系统及转码系统对接。</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3.2.14 支持IP实时节目流输入输出，支持光口及网口接入；</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3.2.15 支持万兆网络接入及节目上载，上载速度不低于</w:t>
      </w:r>
      <w:r>
        <w:rPr>
          <w:rFonts w:ascii="宋体" w:hAnsi="宋体" w:cs="Segoe UI Symbol"/>
          <w:szCs w:val="21"/>
        </w:rPr>
        <w:t>6</w:t>
      </w:r>
      <w:r>
        <w:rPr>
          <w:rFonts w:hint="eastAsia" w:ascii="宋体" w:hAnsi="宋体" w:cs="Segoe UI Symbol"/>
          <w:szCs w:val="21"/>
        </w:rPr>
        <w:t>Gbps；</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3.2.16 支持MPEG-2 over IP信号输入；</w:t>
      </w:r>
    </w:p>
    <w:p>
      <w:pPr>
        <w:spacing w:line="400" w:lineRule="exact"/>
        <w:rPr>
          <w:rFonts w:ascii="宋体" w:hAnsi="宋体" w:cs="Segoe UI Symbol"/>
          <w:szCs w:val="21"/>
        </w:rPr>
      </w:pPr>
      <w:r>
        <w:rPr>
          <w:rFonts w:hint="eastAsia" w:ascii="宋体" w:hAnsi="宋体" w:cs="Segoe UI Symbol"/>
          <w:szCs w:val="21"/>
        </w:rPr>
        <w:t>3.2.17 支持MPEG-2/H.264/H.265/AVS+编码格式的SPTS直播信源；</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3.2.18 播出软件兼容linux和windows系统；</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3.2.19 支持轮播系统一体机播出架构；</w:t>
      </w:r>
    </w:p>
    <w:p>
      <w:pPr>
        <w:spacing w:line="400" w:lineRule="exact"/>
        <w:rPr>
          <w:rFonts w:ascii="宋体" w:hAnsi="宋体" w:cs="Segoe UI Symbol"/>
          <w:szCs w:val="21"/>
        </w:rPr>
      </w:pPr>
      <w:r>
        <w:rPr>
          <w:rFonts w:hint="eastAsia" w:ascii="宋体" w:hAnsi="宋体" w:cs="Segoe UI Symbol"/>
          <w:szCs w:val="21"/>
        </w:rPr>
        <w:t>3.2.20 支持主备系统，保障播出不受意外影响；　</w:t>
      </w:r>
    </w:p>
    <w:p>
      <w:pPr>
        <w:keepNext/>
        <w:keepLines/>
        <w:spacing w:before="120" w:after="120" w:line="413" w:lineRule="auto"/>
        <w:outlineLvl w:val="2"/>
        <w:rPr>
          <w:rFonts w:ascii="宋体" w:hAnsi="宋体"/>
          <w:b/>
          <w:bCs/>
          <w:sz w:val="24"/>
        </w:rPr>
      </w:pPr>
      <w:r>
        <w:rPr>
          <w:rFonts w:ascii="宋体" w:hAnsi="宋体"/>
          <w:b/>
          <w:bCs/>
          <w:sz w:val="24"/>
        </w:rPr>
        <w:t xml:space="preserve">3.3 </w:t>
      </w:r>
      <w:r>
        <w:rPr>
          <w:rFonts w:hint="eastAsia" w:ascii="宋体" w:hAnsi="宋体"/>
          <w:b/>
          <w:bCs/>
          <w:sz w:val="24"/>
        </w:rPr>
        <w:t>平台系统功能配置需求</w:t>
      </w:r>
    </w:p>
    <w:p>
      <w:pPr>
        <w:spacing w:line="400" w:lineRule="exact"/>
        <w:rPr>
          <w:rFonts w:ascii="宋体" w:hAnsi="宋体" w:cs="Segoe UI Symbol"/>
          <w:szCs w:val="21"/>
        </w:rPr>
      </w:pPr>
      <w:r>
        <w:rPr>
          <w:rFonts w:hint="eastAsia" w:ascii="宋体" w:hAnsi="宋体" w:cs="Segoe UI Symbol"/>
          <w:szCs w:val="21"/>
        </w:rPr>
        <w:t>3.3.1 权限管理</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3.3.1.1支持建立不同管理权限的角色，支持建立用户，且可以实现角色与用户之间的映射；</w:t>
      </w:r>
    </w:p>
    <w:p>
      <w:pPr>
        <w:spacing w:line="400" w:lineRule="exact"/>
        <w:rPr>
          <w:rFonts w:ascii="宋体" w:hAnsi="宋体" w:cs="Segoe UI Symbol"/>
          <w:szCs w:val="21"/>
        </w:rPr>
      </w:pPr>
      <w:r>
        <w:rPr>
          <w:rFonts w:hint="eastAsia" w:ascii="宋体" w:hAnsi="宋体" w:cs="Segoe UI Symbol"/>
          <w:szCs w:val="21"/>
        </w:rPr>
        <w:t>3.3.1.2 支持不同地市用户所辖业务及配置之间相互独立，且中心管理员用户具备统一管理权限；</w:t>
      </w:r>
    </w:p>
    <w:p>
      <w:pPr>
        <w:spacing w:line="400" w:lineRule="exact"/>
        <w:rPr>
          <w:rFonts w:ascii="宋体" w:hAnsi="宋体" w:cs="Segoe UI Symbol"/>
          <w:szCs w:val="21"/>
        </w:rPr>
      </w:pPr>
      <w:r>
        <w:rPr>
          <w:rFonts w:hint="eastAsia" w:ascii="宋体" w:hAnsi="宋体" w:cs="Segoe UI Symbol"/>
          <w:szCs w:val="21"/>
        </w:rPr>
        <w:t>3.3.1.3 支持中心管理员用户单线程登录，支持各个地市可拥有多个平级用户 (方便地市操作员同时进行编排工作)；</w:t>
      </w:r>
    </w:p>
    <w:p>
      <w:pPr>
        <w:spacing w:line="400" w:lineRule="exact"/>
        <w:rPr>
          <w:rFonts w:ascii="宋体" w:hAnsi="宋体" w:cs="Segoe UI Symbol"/>
          <w:szCs w:val="21"/>
        </w:rPr>
      </w:pPr>
      <w:r>
        <w:rPr>
          <w:rFonts w:hint="eastAsia" w:ascii="宋体" w:hAnsi="宋体" w:cs="Segoe UI Symbol"/>
          <w:szCs w:val="21"/>
        </w:rPr>
        <w:t>3.3.1.4 支持按照节点，频道，栏目，实现操作按钮级的权限细化；</w:t>
      </w:r>
    </w:p>
    <w:p>
      <w:pPr>
        <w:spacing w:line="400" w:lineRule="exact"/>
        <w:rPr>
          <w:rFonts w:ascii="宋体" w:hAnsi="宋体" w:cs="Segoe UI Symbol"/>
          <w:szCs w:val="21"/>
        </w:rPr>
      </w:pPr>
      <w:r>
        <w:rPr>
          <w:rFonts w:hint="eastAsia" w:ascii="宋体" w:hAnsi="宋体" w:cs="Segoe UI Symbol"/>
          <w:szCs w:val="21"/>
        </w:rPr>
        <w:t>3.3.1.5 支持对栏目或者用户的可用存储空间进行配置；</w:t>
      </w:r>
    </w:p>
    <w:p>
      <w:pPr>
        <w:spacing w:line="400" w:lineRule="exact"/>
        <w:rPr>
          <w:rFonts w:ascii="宋体" w:hAnsi="宋体" w:cs="Segoe UI Symbol"/>
          <w:szCs w:val="21"/>
        </w:rPr>
      </w:pPr>
      <w:r>
        <w:rPr>
          <w:rFonts w:hint="eastAsia" w:ascii="宋体" w:hAnsi="宋体" w:cs="Segoe UI Symbol"/>
          <w:szCs w:val="21"/>
        </w:rPr>
        <w:t>3.3.2 分布式管理</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3.3.2.1 支持B/S架构部署方式，各个地市无需特别部署硬件设备，在网络联通情况下直接通过浏览器方式登录平台；</w:t>
      </w:r>
    </w:p>
    <w:p>
      <w:pPr>
        <w:spacing w:line="400" w:lineRule="exact"/>
        <w:rPr>
          <w:rFonts w:ascii="宋体" w:hAnsi="宋体" w:cs="Segoe UI Symbol"/>
          <w:szCs w:val="21"/>
        </w:rPr>
      </w:pPr>
      <w:r>
        <w:rPr>
          <w:rFonts w:hint="eastAsia" w:ascii="宋体" w:hAnsi="宋体" w:cs="Segoe UI Symbol"/>
          <w:szCs w:val="21"/>
        </w:rPr>
        <w:t>3.3.2.2 支持各个地市接入硬件子节点、子存储等物理设备，且支持节点的增删改查；</w:t>
      </w:r>
    </w:p>
    <w:p>
      <w:pPr>
        <w:spacing w:line="400" w:lineRule="exact"/>
        <w:rPr>
          <w:rFonts w:ascii="宋体" w:hAnsi="宋体" w:cs="Segoe UI Symbol"/>
          <w:szCs w:val="21"/>
        </w:rPr>
      </w:pPr>
      <w:r>
        <w:rPr>
          <w:rFonts w:hint="eastAsia" w:ascii="宋体" w:hAnsi="宋体" w:cs="Segoe UI Symbol"/>
          <w:szCs w:val="21"/>
        </w:rPr>
        <w:t>3.3.3 通道频道配置</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3.3.3.1 支持通道中传输流透传、传输流参数重映射、通道带宽阈值设置，支持通道自定义名称，支持不限制通道数量，支持不收取通道增加授权费用；</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3.3.3.2 支持播出通道一键应急关闭及恢复；</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3.3.3.3 支持频道名称、开始与结束时间、时长、播放类型、当前与下一条节目名称、节目类型、节目信息、操作员名称、一键应急操作；</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3.3.3.4 支持直播频道模板化导入，如：模板具备通用性，可从平台中下载，常见办公软件可打开编辑，模板包含直播频道名称、ServiceID、TSID、视音频ID、分辨率等信息；</w:t>
      </w:r>
    </w:p>
    <w:p>
      <w:pPr>
        <w:spacing w:line="400" w:lineRule="exact"/>
        <w:rPr>
          <w:rFonts w:ascii="Segoe UI Symbol" w:hAnsi="Segoe UI Symbol" w:cs="Segoe UI Symbol"/>
          <w:szCs w:val="21"/>
        </w:rPr>
      </w:pPr>
      <w:r>
        <w:rPr>
          <w:rFonts w:ascii="Segoe UI Symbol" w:hAnsi="Segoe UI Symbol" w:cs="Segoe UI Symbol"/>
          <w:szCs w:val="21"/>
        </w:rPr>
        <w:t>★</w:t>
      </w:r>
      <w:r>
        <w:rPr>
          <w:rFonts w:hint="eastAsia" w:ascii="宋体" w:hAnsi="宋体" w:cs="Segoe UI Symbol"/>
          <w:szCs w:val="21"/>
        </w:rPr>
        <w:t xml:space="preserve">3.3.3.5 </w:t>
      </w:r>
      <w:r>
        <w:rPr>
          <w:rFonts w:hint="eastAsia" w:ascii="Segoe UI Symbol" w:hAnsi="Segoe UI Symbol" w:cs="Segoe UI Symbol"/>
          <w:szCs w:val="21"/>
        </w:rPr>
        <w:t>对频道的增加和修改立即生效，且不影响设备其他频道的正常播出。</w:t>
      </w:r>
    </w:p>
    <w:p>
      <w:pPr>
        <w:keepNext/>
        <w:keepLines/>
        <w:spacing w:before="120" w:after="120" w:line="413" w:lineRule="auto"/>
        <w:outlineLvl w:val="2"/>
        <w:rPr>
          <w:rFonts w:ascii="宋体" w:hAnsi="宋体"/>
          <w:b/>
          <w:bCs/>
          <w:szCs w:val="21"/>
        </w:rPr>
      </w:pPr>
      <w:bookmarkStart w:id="47" w:name="_Toc77285826"/>
      <w:r>
        <w:rPr>
          <w:rFonts w:hint="eastAsia" w:ascii="宋体" w:hAnsi="宋体"/>
          <w:b/>
          <w:bCs/>
          <w:sz w:val="24"/>
        </w:rPr>
        <w:t>3</w:t>
      </w:r>
      <w:r>
        <w:rPr>
          <w:rFonts w:ascii="宋体" w:hAnsi="宋体"/>
          <w:b/>
          <w:bCs/>
          <w:sz w:val="24"/>
        </w:rPr>
        <w:t>.</w:t>
      </w:r>
      <w:r>
        <w:rPr>
          <w:rFonts w:hint="eastAsia" w:ascii="宋体" w:hAnsi="宋体"/>
          <w:b/>
          <w:bCs/>
          <w:sz w:val="24"/>
        </w:rPr>
        <w:t>4</w:t>
      </w:r>
      <w:r>
        <w:rPr>
          <w:rFonts w:ascii="宋体" w:hAnsi="宋体"/>
          <w:b/>
          <w:bCs/>
          <w:sz w:val="24"/>
        </w:rPr>
        <w:t xml:space="preserve"> 编播功能</w:t>
      </w:r>
      <w:r>
        <w:rPr>
          <w:rFonts w:hint="eastAsia" w:ascii="宋体" w:hAnsi="宋体"/>
          <w:b/>
          <w:bCs/>
          <w:sz w:val="24"/>
        </w:rPr>
        <w:t>要求</w:t>
      </w:r>
      <w:bookmarkEnd w:id="47"/>
    </w:p>
    <w:p>
      <w:pPr>
        <w:spacing w:line="400" w:lineRule="exact"/>
        <w:rPr>
          <w:rFonts w:ascii="宋体" w:hAnsi="宋体"/>
          <w:szCs w:val="21"/>
        </w:rPr>
      </w:pPr>
      <w:r>
        <w:rPr>
          <w:rFonts w:ascii="宋体" w:hAnsi="宋体"/>
          <w:szCs w:val="21"/>
        </w:rPr>
        <w:t>3</w:t>
      </w:r>
      <w:r>
        <w:rPr>
          <w:rFonts w:hint="eastAsia" w:ascii="宋体" w:hAnsi="宋体"/>
          <w:szCs w:val="21"/>
        </w:rPr>
        <w:t>.4</w:t>
      </w:r>
      <w:r>
        <w:rPr>
          <w:rFonts w:ascii="宋体" w:hAnsi="宋体"/>
          <w:szCs w:val="21"/>
        </w:rPr>
        <w:t>.</w:t>
      </w:r>
      <w:r>
        <w:rPr>
          <w:rFonts w:hint="eastAsia" w:ascii="宋体" w:hAnsi="宋体"/>
          <w:szCs w:val="21"/>
        </w:rPr>
        <w:t>1 平台针对调度上载软件，须实现以下功能要求：</w:t>
      </w:r>
    </w:p>
    <w:p>
      <w:pPr>
        <w:spacing w:line="400" w:lineRule="exact"/>
        <w:rPr>
          <w:rFonts w:ascii="宋体" w:hAnsi="宋体"/>
          <w:szCs w:val="21"/>
        </w:rPr>
      </w:pPr>
      <w:r>
        <w:rPr>
          <w:rFonts w:ascii="宋体" w:hAnsi="宋体"/>
          <w:szCs w:val="21"/>
        </w:rPr>
        <w:t>3</w:t>
      </w:r>
      <w:r>
        <w:rPr>
          <w:rFonts w:hint="eastAsia" w:ascii="宋体" w:hAnsi="宋体"/>
          <w:szCs w:val="21"/>
        </w:rPr>
        <w:t>.4</w:t>
      </w:r>
      <w:r>
        <w:rPr>
          <w:rFonts w:ascii="宋体" w:hAnsi="宋体"/>
          <w:szCs w:val="21"/>
        </w:rPr>
        <w:t>.</w:t>
      </w:r>
      <w:r>
        <w:rPr>
          <w:rFonts w:hint="eastAsia" w:ascii="宋体" w:hAnsi="宋体"/>
          <w:szCs w:val="21"/>
        </w:rPr>
        <w:t>1.1具有节目导入的管理界面，显示即将导入的文件列表；</w:t>
      </w:r>
    </w:p>
    <w:p>
      <w:pPr>
        <w:spacing w:line="400" w:lineRule="exact"/>
        <w:rPr>
          <w:rFonts w:ascii="宋体" w:hAnsi="宋体"/>
          <w:szCs w:val="21"/>
        </w:rPr>
      </w:pPr>
      <w:r>
        <w:rPr>
          <w:rFonts w:ascii="宋体" w:hAnsi="宋体"/>
          <w:szCs w:val="21"/>
        </w:rPr>
        <w:t>3</w:t>
      </w:r>
      <w:r>
        <w:rPr>
          <w:rFonts w:hint="eastAsia" w:ascii="宋体" w:hAnsi="宋体"/>
          <w:szCs w:val="21"/>
        </w:rPr>
        <w:t>.4</w:t>
      </w:r>
      <w:r>
        <w:rPr>
          <w:rFonts w:ascii="宋体" w:hAnsi="宋体"/>
          <w:szCs w:val="21"/>
        </w:rPr>
        <w:t>.</w:t>
      </w:r>
      <w:r>
        <w:rPr>
          <w:rFonts w:hint="eastAsia" w:ascii="宋体" w:hAnsi="宋体"/>
          <w:szCs w:val="21"/>
        </w:rPr>
        <w:t>1.2可进行分类修改、文件名校验、视频格式校验等；</w:t>
      </w:r>
    </w:p>
    <w:p>
      <w:pPr>
        <w:spacing w:line="400" w:lineRule="exact"/>
        <w:rPr>
          <w:rFonts w:ascii="宋体" w:hAnsi="宋体"/>
          <w:szCs w:val="21"/>
        </w:rPr>
      </w:pPr>
      <w:r>
        <w:rPr>
          <w:rFonts w:ascii="宋体" w:hAnsi="宋体"/>
          <w:szCs w:val="21"/>
        </w:rPr>
        <w:t>3</w:t>
      </w:r>
      <w:r>
        <w:rPr>
          <w:rFonts w:hint="eastAsia" w:ascii="宋体" w:hAnsi="宋体"/>
          <w:szCs w:val="21"/>
        </w:rPr>
        <w:t>.4</w:t>
      </w:r>
      <w:r>
        <w:rPr>
          <w:rFonts w:ascii="宋体" w:hAnsi="宋体"/>
          <w:szCs w:val="21"/>
        </w:rPr>
        <w:t>.</w:t>
      </w:r>
      <w:r>
        <w:rPr>
          <w:rFonts w:hint="eastAsia" w:ascii="宋体" w:hAnsi="宋体"/>
          <w:szCs w:val="21"/>
        </w:rPr>
        <w:t>1.3</w:t>
      </w:r>
      <w:r>
        <w:rPr>
          <w:rFonts w:hint="eastAsia"/>
          <w:szCs w:val="20"/>
        </w:rPr>
        <w:t>支持</w:t>
      </w:r>
      <w:r>
        <w:rPr>
          <w:rFonts w:hint="eastAsia" w:ascii="宋体" w:hAnsi="宋体"/>
          <w:szCs w:val="21"/>
        </w:rPr>
        <w:t>省中心可对各个地市进行审核干预管理；</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3.4.1.4 支持建立栏目，可进行分类修改、文件名校验、视频格式校验等，以便对节目进行分类、查询、迁移及复制操作，如：电影、电视剧、宣传片/片花、直播频道等；</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3.4.1.5 支持手动上载节目，人工进行栏目匹配。支持批量导入节目，平台可根据导入节目名称自动进行栏目匹配，且可支持人工修改操作；</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3.4.1.6 多种方式上传素材（媒体注入和本地上传）。支持解析输入组播流从而获取直播频道信息，最大程度上降低人工配置的工作量，且可监测连接状态；</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3.4.1.7 支持第三方媒资系统内容注入，支持当前主流离线编转码器，并提供对接接口，实现素材自动转码、自动入库功能；</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3.4.1.8 支持内容库管理，支持按节目不同属性进行查询筛选，可自定义配置自动删除素材规则。中心管理员具有最大管理权限，地市操作员仅可对</w:t>
      </w:r>
      <w:r>
        <w:rPr>
          <w:rFonts w:ascii="宋体" w:hAnsi="宋体"/>
          <w:szCs w:val="21"/>
        </w:rPr>
        <w:t>本权限</w:t>
      </w:r>
      <w:r>
        <w:rPr>
          <w:rFonts w:hint="eastAsia" w:ascii="宋体" w:hAnsi="宋体"/>
          <w:szCs w:val="21"/>
        </w:rPr>
        <w:t>已上传节目进行操作；</w:t>
      </w:r>
    </w:p>
    <w:p>
      <w:pPr>
        <w:spacing w:line="400" w:lineRule="exact"/>
        <w:rPr>
          <w:rFonts w:ascii="宋体" w:hAnsi="宋体"/>
          <w:szCs w:val="21"/>
        </w:rPr>
      </w:pPr>
      <w:r>
        <w:rPr>
          <w:rFonts w:hint="eastAsia" w:ascii="宋体" w:hAnsi="宋体"/>
          <w:szCs w:val="21"/>
        </w:rPr>
        <w:t>3.4.1.9 支持编排、上传任意日期的节目单，并能正常播放；</w:t>
      </w:r>
    </w:p>
    <w:p>
      <w:pPr>
        <w:spacing w:line="400" w:lineRule="exact"/>
        <w:rPr>
          <w:rFonts w:ascii="宋体" w:hAnsi="宋体"/>
          <w:szCs w:val="21"/>
        </w:rPr>
      </w:pPr>
      <w:r>
        <w:rPr>
          <w:rFonts w:hint="eastAsia" w:ascii="宋体" w:hAnsi="宋体"/>
          <w:szCs w:val="21"/>
        </w:rPr>
        <w:t>3.4.1.10 支持能够正确上传当日以及当日之前的节目单内容（视频文件）；</w:t>
      </w:r>
    </w:p>
    <w:p>
      <w:pPr>
        <w:spacing w:line="400" w:lineRule="exact"/>
        <w:rPr>
          <w:rFonts w:ascii="宋体" w:hAnsi="宋体"/>
          <w:szCs w:val="21"/>
        </w:rPr>
      </w:pPr>
      <w:r>
        <w:rPr>
          <w:rFonts w:hint="eastAsia" w:ascii="宋体" w:hAnsi="宋体"/>
          <w:szCs w:val="21"/>
        </w:rPr>
        <w:t>3.4.1.11 支持正确预检出未上传节目；</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3.4.1.12 支持断点续传，保证上载内容的完整性；</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3.4.1.13 支持系统因故障重启恢复后仍然可以重新续传视频文件；</w:t>
      </w:r>
    </w:p>
    <w:p>
      <w:pPr>
        <w:spacing w:line="400" w:lineRule="exact"/>
        <w:rPr>
          <w:rFonts w:ascii="宋体" w:hAnsi="宋体"/>
          <w:szCs w:val="21"/>
        </w:rPr>
      </w:pPr>
      <w:r>
        <w:rPr>
          <w:rFonts w:hint="eastAsia" w:ascii="宋体" w:hAnsi="宋体"/>
          <w:szCs w:val="21"/>
        </w:rPr>
        <w:t>3.4.1.14 支持素材增删改查功能。且针对已上载的素材，支持修改素材名称、播放时长、素材属性等内容。支持素材自动迁移/删除设置；</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3.4.1.15 支持批量上传，上载速度可支持6G</w:t>
      </w:r>
      <w:r>
        <w:rPr>
          <w:rFonts w:ascii="宋体" w:hAnsi="宋体"/>
          <w:szCs w:val="21"/>
        </w:rPr>
        <w:t>bps</w:t>
      </w:r>
      <w:r>
        <w:rPr>
          <w:rFonts w:hint="eastAsia" w:ascii="宋体" w:hAnsi="宋体"/>
          <w:szCs w:val="21"/>
        </w:rPr>
        <w:t>：</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3.4.1.16 支持素材入库时重名覆盖提示;</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3.4.1.17 支持</w:t>
      </w:r>
      <w:r>
        <w:rPr>
          <w:rFonts w:ascii="宋体" w:hAnsi="宋体"/>
          <w:szCs w:val="21"/>
        </w:rPr>
        <w:t>VBR/CBR节目注入，</w:t>
      </w:r>
      <w:r>
        <w:rPr>
          <w:rFonts w:hint="eastAsia" w:ascii="宋体" w:hAnsi="宋体"/>
          <w:szCs w:val="21"/>
        </w:rPr>
        <w:t>支持多种码率的节目注入；</w:t>
      </w:r>
    </w:p>
    <w:p>
      <w:pPr>
        <w:spacing w:line="400" w:lineRule="exact"/>
        <w:rPr>
          <w:rFonts w:ascii="宋体" w:hAnsi="宋体"/>
          <w:szCs w:val="21"/>
        </w:rPr>
      </w:pPr>
      <w:r>
        <w:rPr>
          <w:rFonts w:hint="eastAsia" w:ascii="宋体" w:hAnsi="宋体"/>
          <w:szCs w:val="21"/>
        </w:rPr>
        <w:t>3.4.1.18 支持修改素材的名称，时长，素材属性；</w:t>
      </w:r>
    </w:p>
    <w:p>
      <w:pPr>
        <w:spacing w:line="400" w:lineRule="exact"/>
        <w:rPr>
          <w:rFonts w:ascii="宋体" w:hAnsi="宋体"/>
          <w:szCs w:val="21"/>
        </w:rPr>
      </w:pPr>
      <w:r>
        <w:rPr>
          <w:rFonts w:hint="eastAsia" w:ascii="宋体" w:hAnsi="宋体"/>
          <w:szCs w:val="21"/>
        </w:rPr>
        <w:t>3.4.1.19 支持添加/修改/删除/查看入库素材的属性；</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3.4.1.20 支持按照素材属性/入库时间/素材名称/类型/素材时长等条件进行素材查询；</w:t>
      </w:r>
    </w:p>
    <w:p>
      <w:pPr>
        <w:spacing w:line="400" w:lineRule="exact"/>
        <w:rPr>
          <w:rFonts w:ascii="宋体" w:hAnsi="宋体"/>
          <w:szCs w:val="21"/>
        </w:rPr>
      </w:pPr>
      <w:r>
        <w:rPr>
          <w:rFonts w:hint="eastAsia" w:ascii="宋体" w:hAnsi="宋体"/>
          <w:szCs w:val="21"/>
        </w:rPr>
        <w:t>3.4.1.21 支持素材组管理（增删改查），支持对素材组内的内容进行管理；</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3.4.1.22 支持入库时自动获取媒体信息</w:t>
      </w:r>
      <w:r>
        <w:rPr>
          <w:rFonts w:ascii="宋体" w:hAnsi="宋体"/>
          <w:szCs w:val="21"/>
        </w:rPr>
        <w:t>，如大小、编码格式、码率、分辨率、时长等</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3.4.1.23 支持播放预览硬盘素材与直播流，支持预览界面内的出入点打点选择及提交，；</w:t>
      </w:r>
    </w:p>
    <w:p>
      <w:pPr>
        <w:spacing w:line="400" w:lineRule="exact"/>
        <w:rPr>
          <w:rFonts w:ascii="宋体" w:hAnsi="宋体"/>
          <w:szCs w:val="21"/>
        </w:rPr>
      </w:pPr>
      <w:r>
        <w:rPr>
          <w:rFonts w:hint="eastAsia" w:ascii="宋体" w:hAnsi="宋体"/>
          <w:szCs w:val="21"/>
        </w:rPr>
        <w:t>3.4.1.24 支持查看入库节目的ftp路径及文件大小；</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3.4.1.25 支持web端下载已经入库的节目；</w:t>
      </w:r>
    </w:p>
    <w:p>
      <w:pPr>
        <w:spacing w:line="400" w:lineRule="exact"/>
        <w:rPr>
          <w:rFonts w:ascii="宋体" w:hAnsi="宋体"/>
          <w:szCs w:val="21"/>
        </w:rPr>
      </w:pPr>
      <w:r>
        <w:rPr>
          <w:rFonts w:hint="eastAsia" w:ascii="宋体" w:hAnsi="宋体"/>
          <w:szCs w:val="21"/>
        </w:rPr>
        <w:t>3.4.1.26 支持查看节目的最近编单使用时间；</w:t>
      </w:r>
    </w:p>
    <w:p>
      <w:pPr>
        <w:spacing w:line="400" w:lineRule="exact"/>
        <w:rPr>
          <w:rFonts w:ascii="宋体" w:hAnsi="宋体"/>
          <w:szCs w:val="21"/>
        </w:rPr>
      </w:pPr>
      <w:r>
        <w:rPr>
          <w:rFonts w:hint="eastAsia" w:ascii="宋体" w:hAnsi="宋体"/>
          <w:szCs w:val="21"/>
        </w:rPr>
        <w:t>3.4.1.27 支持查看节目的编单使用次数；</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3.4.1.28 支持可以在网络上指定任意一个文件目录，并监控该目录，当发现有视频文件时，自动将其入库。支持对特定栏目进行文件夹扫描入库。</w:t>
      </w:r>
    </w:p>
    <w:p>
      <w:pPr>
        <w:pStyle w:val="2"/>
      </w:pPr>
    </w:p>
    <w:p>
      <w:pPr>
        <w:spacing w:line="400" w:lineRule="exact"/>
        <w:rPr>
          <w:rFonts w:ascii="宋体" w:hAnsi="宋体"/>
          <w:szCs w:val="21"/>
        </w:rPr>
      </w:pPr>
      <w:r>
        <w:rPr>
          <w:rFonts w:ascii="宋体" w:hAnsi="宋体"/>
          <w:szCs w:val="21"/>
        </w:rPr>
        <w:t>3</w:t>
      </w:r>
      <w:r>
        <w:rPr>
          <w:rFonts w:hint="eastAsia" w:ascii="宋体" w:hAnsi="宋体"/>
          <w:szCs w:val="21"/>
        </w:rPr>
        <w:t>.4</w:t>
      </w:r>
      <w:r>
        <w:rPr>
          <w:rFonts w:ascii="宋体" w:hAnsi="宋体"/>
          <w:szCs w:val="21"/>
        </w:rPr>
        <w:t>.2</w:t>
      </w:r>
      <w:r>
        <w:rPr>
          <w:rFonts w:hint="eastAsia" w:ascii="宋体" w:hAnsi="宋体"/>
          <w:szCs w:val="21"/>
        </w:rPr>
        <w:t xml:space="preserve"> 平台针对编单软件，须实现以下功能要求：</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3.4.2.1 支持节目替换、插入、删除、复制、黏贴，节目上载顺序可调，时间自动计算，支持时效性节目即时上载及播出，EPG可自动同步更新；</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3.4.2.2已经编入节目单的节目无法删除，具备控制节目被误删的机制；</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3.4.2.3主备播出系统数据自动同步，编单操作员只需进行一次操作，主备系统中的数据同步更新，且并行运行，任何一套系统出现问题时，不影响其他系统的数据操作；</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3.4.2.4支持中文名称，英文名称以及中英文符号混合名称的视频上载（特殊符号除外）；支持视频文件批量上载；</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3.4.2.5播出区和媒资区出现网络互联异常无法正常上载内容时，可以通过移动介质应急上载，保证节目正常播出；支持对特定的上载失败节目的手动重新上载操作；</w:t>
      </w:r>
    </w:p>
    <w:p>
      <w:pPr>
        <w:spacing w:line="400" w:lineRule="exact"/>
        <w:rPr>
          <w:rFonts w:ascii="宋体" w:hAnsi="宋体"/>
          <w:szCs w:val="21"/>
        </w:rPr>
      </w:pPr>
      <w:r>
        <w:rPr>
          <w:rFonts w:hint="eastAsia" w:ascii="宋体" w:hAnsi="宋体"/>
          <w:szCs w:val="21"/>
        </w:rPr>
        <w:t>3.4.2.6支持一键替换指定节目；</w:t>
      </w:r>
    </w:p>
    <w:p>
      <w:pPr>
        <w:spacing w:line="400" w:lineRule="exact"/>
        <w:rPr>
          <w:rFonts w:ascii="宋体" w:hAnsi="宋体"/>
          <w:szCs w:val="21"/>
        </w:rPr>
      </w:pPr>
      <w:r>
        <w:rPr>
          <w:rFonts w:hint="eastAsia" w:ascii="宋体" w:hAnsi="宋体"/>
          <w:szCs w:val="21"/>
        </w:rPr>
        <w:t>3.4.2.7平台的编排支持分级编排方式，各地市拥有编排权限，省中心可以进行审核校对；</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3.4.2.8 支持节目单保存为模板、修改模板，以及调用应用模板；</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3.4.2.9 支持节目单生成、分发以及对应EPG文件生成，支持多路分发并可下载至本地，支持EPG文件生成的格式兼容江苏有线现有直播业务EPG播发系统（永新同方、天柏）；</w:t>
      </w:r>
    </w:p>
    <w:p>
      <w:pPr>
        <w:spacing w:line="400" w:lineRule="exact"/>
        <w:rPr>
          <w:rFonts w:ascii="宋体" w:hAnsi="宋体"/>
          <w:szCs w:val="21"/>
        </w:rPr>
      </w:pPr>
      <w:r>
        <w:rPr>
          <w:rFonts w:hint="eastAsia" w:ascii="宋体" w:hAnsi="宋体"/>
          <w:szCs w:val="21"/>
        </w:rPr>
        <w:t>3.4.2.10 针对节目单编排，支持模版导入编排，如：当天导入昨日节目单进行相应不同节目的编排。支持节目单查询，包含已播出和未播出。支持节目单提交校验机制，如：校验是否有时间空隙、是否节目素材缺失、节目素材与播出通道属性是否一致等。支持原始节目单文件与编单比对；</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3.4.2.11 支持正确预检出未上传节目；</w:t>
      </w:r>
    </w:p>
    <w:p>
      <w:pPr>
        <w:spacing w:line="400" w:lineRule="exact"/>
        <w:rPr>
          <w:rFonts w:ascii="宋体" w:hAnsi="宋体"/>
          <w:szCs w:val="21"/>
        </w:rPr>
      </w:pPr>
      <w:r>
        <w:rPr>
          <w:rFonts w:hint="eastAsia" w:ascii="宋体" w:hAnsi="宋体"/>
          <w:szCs w:val="21"/>
        </w:rPr>
        <w:t>3.4.2.12 支持节目单的增删改查功能;</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3.4.2.13 支持素材，素材组、实况信号选择播出方式制作播表；</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3.4.2.14 支持多种节目播放方式，如：定时，顺序等；</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3.4.2.15 支持在播列表中多种方式查找替换，方便编单操作；</w:t>
      </w:r>
    </w:p>
    <w:p>
      <w:pPr>
        <w:spacing w:line="400" w:lineRule="exact"/>
        <w:rPr>
          <w:rFonts w:ascii="宋体" w:hAnsi="宋体"/>
          <w:szCs w:val="21"/>
        </w:rPr>
      </w:pPr>
      <w:r>
        <w:rPr>
          <w:rFonts w:hint="eastAsia" w:ascii="宋体" w:hAnsi="宋体"/>
          <w:szCs w:val="21"/>
        </w:rPr>
        <w:t>3.4.2.16 支持多种编单方式，如：可使用素材及素材组的方式进行编单；</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3.4.2.17 异常警告，如：某一条播出类型循环结束后，下一条必须是定时；</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3.4.2.18 支持文件、直播流混合编单；</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3.4.2.19 支持对已经编好的单进行导入导出，导入导出格式支持TXT、XML及CSV方式；</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3.4.2.20 支持复制、剪切、粘贴、上移下移、拖动等操作来调整节目顺序；</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3.4.2.21 能够对已经编排发布到播出服务器的信息列表，进行重新编排并再次提交播出服务器；</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3.4.2.22 支持编单时对文件入、出点选择，并在播表时会自动按入、出点时长计算时间；</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3.4.2.23 支持任意时间段修改播表信息，能够对信息列表进行自动时间计算并进行相关的逻辑检查和纠错；</w:t>
      </w:r>
    </w:p>
    <w:p>
      <w:pPr>
        <w:spacing w:line="400" w:lineRule="exact"/>
        <w:rPr>
          <w:rFonts w:ascii="宋体" w:hAnsi="宋体"/>
          <w:szCs w:val="21"/>
        </w:rPr>
      </w:pPr>
      <w:r>
        <w:rPr>
          <w:rFonts w:hint="eastAsia" w:ascii="宋体" w:hAnsi="宋体"/>
          <w:szCs w:val="21"/>
        </w:rPr>
        <w:t>3.4.2.24 支持媒体库中素材总时长计算；</w:t>
      </w:r>
    </w:p>
    <w:p>
      <w:pPr>
        <w:spacing w:line="360" w:lineRule="auto"/>
        <w:rPr>
          <w:rFonts w:ascii="宋体" w:hAnsi="宋体"/>
          <w:szCs w:val="21"/>
        </w:rPr>
      </w:pPr>
      <w:r>
        <w:rPr>
          <w:rFonts w:ascii="Segoe UI Symbol" w:hAnsi="Segoe UI Symbol" w:cs="Segoe UI Symbol"/>
          <w:szCs w:val="21"/>
        </w:rPr>
        <w:t>★</w:t>
      </w:r>
      <w:r>
        <w:rPr>
          <w:rFonts w:hint="eastAsia" w:ascii="宋体" w:hAnsi="宋体"/>
          <w:szCs w:val="21"/>
        </w:rPr>
        <w:t>3.4.2.25 支持对直播信号的添加和配置，配置后，关联特定频道用于编单</w:t>
      </w:r>
      <w:r>
        <w:rPr>
          <w:rFonts w:ascii="宋体" w:hAnsi="宋体"/>
          <w:szCs w:val="21"/>
        </w:rPr>
        <w:t>；</w:t>
      </w:r>
    </w:p>
    <w:p>
      <w:pPr>
        <w:spacing w:line="400" w:lineRule="exact"/>
        <w:rPr>
          <w:rFonts w:ascii="宋体" w:hAnsi="宋体" w:cs="Segoe UI Symbol"/>
          <w:szCs w:val="21"/>
        </w:rPr>
      </w:pPr>
      <w:r>
        <w:rPr>
          <w:rFonts w:hint="eastAsia" w:ascii="宋体" w:hAnsi="宋体" w:cs="Segoe UI Symbol"/>
          <w:szCs w:val="21"/>
        </w:rPr>
        <w:t>3.4.3 平台针对审核功能，须实现以下功能要求：</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3.4.3.1 支持通道编辑、节目单编排、权限与用户管理等操作具备分级审核功能；</w:t>
      </w:r>
    </w:p>
    <w:p>
      <w:pPr>
        <w:spacing w:line="400" w:lineRule="exact"/>
        <w:rPr>
          <w:rFonts w:ascii="宋体" w:hAnsi="宋体" w:cs="Segoe UI Symbol"/>
          <w:szCs w:val="21"/>
        </w:rPr>
      </w:pPr>
      <w:r>
        <w:rPr>
          <w:rFonts w:hint="eastAsia" w:ascii="宋体" w:hAnsi="宋体" w:cs="Segoe UI Symbol"/>
          <w:szCs w:val="21"/>
        </w:rPr>
        <w:t>3.4.3.2 支持分布式分级审核功能，可以根据应用场景需要，在经过中心管理员审核过后，各个地市操作员的请求方可执行；</w:t>
      </w:r>
    </w:p>
    <w:p>
      <w:pPr>
        <w:spacing w:line="400" w:lineRule="exact"/>
        <w:rPr>
          <w:rFonts w:ascii="宋体" w:hAnsi="宋体" w:cs="Segoe UI Symbol"/>
          <w:szCs w:val="21"/>
        </w:rPr>
      </w:pPr>
      <w:r>
        <w:rPr>
          <w:rFonts w:hint="eastAsia" w:ascii="宋体" w:hAnsi="宋体" w:cs="Segoe UI Symbol"/>
          <w:szCs w:val="21"/>
        </w:rPr>
        <w:t>3.4.3.3 节目单审核功能；</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3.4.3.4 审核完成后自动下发功能；</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3.4.3.5 审核不通过回退到编单功能；</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3.4.3.6 支持播表素材下发全流程监控；</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3.4.3.7 支持两种播表下发方式可选a、先下发素材再下发播单b、先下发播单，然后播出端根据需要拉取指定时段的素材</w:t>
      </w:r>
    </w:p>
    <w:p>
      <w:pPr>
        <w:spacing w:line="400" w:lineRule="exact"/>
        <w:rPr>
          <w:rFonts w:ascii="宋体" w:hAnsi="宋体" w:cs="Segoe UI Symbol"/>
          <w:szCs w:val="21"/>
        </w:rPr>
      </w:pPr>
      <w:r>
        <w:rPr>
          <w:rFonts w:ascii="宋体" w:hAnsi="宋体" w:cs="Segoe UI Symbol"/>
          <w:szCs w:val="21"/>
        </w:rPr>
        <w:t>3</w:t>
      </w:r>
      <w:r>
        <w:rPr>
          <w:rFonts w:hint="eastAsia" w:ascii="宋体" w:hAnsi="宋体" w:cs="Segoe UI Symbol"/>
          <w:szCs w:val="21"/>
        </w:rPr>
        <w:t>.4</w:t>
      </w:r>
      <w:r>
        <w:rPr>
          <w:rFonts w:ascii="宋体" w:hAnsi="宋体" w:cs="Segoe UI Symbol"/>
          <w:szCs w:val="21"/>
        </w:rPr>
        <w:t>.</w:t>
      </w:r>
      <w:r>
        <w:rPr>
          <w:rFonts w:hint="eastAsia" w:ascii="宋体" w:hAnsi="宋体" w:cs="Segoe UI Symbol"/>
          <w:szCs w:val="21"/>
        </w:rPr>
        <w:t>4 平台针对播控软件，须实现以下功能要求：</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3.4.4.1支持节目顺播、插播、垫片播出等功能；</w:t>
      </w:r>
    </w:p>
    <w:p>
      <w:pPr>
        <w:spacing w:line="400" w:lineRule="exact"/>
        <w:rPr>
          <w:rFonts w:ascii="Segoe UI Symbol" w:hAnsi="Segoe UI Symbol" w:cs="Segoe UI Symbol"/>
          <w:szCs w:val="21"/>
        </w:rPr>
      </w:pPr>
      <w:r>
        <w:rPr>
          <w:rFonts w:ascii="Segoe UI Symbol" w:hAnsi="Segoe UI Symbol" w:cs="Segoe UI Symbol"/>
          <w:szCs w:val="21"/>
        </w:rPr>
        <w:t>★</w:t>
      </w:r>
      <w:r>
        <w:rPr>
          <w:rFonts w:hint="eastAsia" w:ascii="宋体" w:hAnsi="宋体" w:cs="Segoe UI Symbol"/>
          <w:szCs w:val="21"/>
        </w:rPr>
        <w:t>3.4.4.2 支持一键垫播和自动垫片功能；</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3.4.4.3支持顺序播出：在之前的节目播出完成后自动开始播出，开始时间由上一条节目长度确定；</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3.4.4.4支持节目插播：在播出节目编排完成后，能在当前播出的节目之后；支持不同编码格式/不同码率/不同分辨率的实时切播/插播，输入包长188/204自适应；</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3.4.4.5支持自动垫播：因片源故障（码率、格式等问题），时长与实际编单不一致，无法播出等情况，系统能自动通过节目播控软件播出系统指定的垫片文件，当垫片播放结束后检测节目单，若下一条节目播出正常则自动恢复节目单播出；</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3.4.4.6支持自动根据节目单对待播节目进行校验并报警提示；对不能正确导入的节目报警提示，包括节目格式异常、码率异常、分辨率一场等，校验通过后自动识别文件时长并入库；</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3.4.4.7支持对上载播出系统进行实时监控，支持显示频道名称、显示在播节目名称、显示在播节目播出时间及时长、显示下一节目名称及开始播出时间、显示完整的播出列表等信息；</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3.4.4.8支持手动配置垫片，支持循环播放垫片；</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3.4.4.9支持显示节目单更新时间；</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3.4.4.10支持播放垫片时同步报警；</w:t>
      </w:r>
    </w:p>
    <w:p>
      <w:pPr>
        <w:spacing w:line="400" w:lineRule="exact"/>
        <w:rPr>
          <w:rFonts w:ascii="宋体" w:hAnsi="宋体"/>
          <w:szCs w:val="21"/>
        </w:rPr>
      </w:pPr>
      <w:r>
        <w:rPr>
          <w:rFonts w:hint="eastAsia" w:ascii="宋体" w:hAnsi="宋体"/>
          <w:szCs w:val="21"/>
        </w:rPr>
        <w:t>3.4.4.11省中心对各个地市的播控软件进行管理，必要时可进行应急操作；</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3.4.4.12 支持根据编排的节目单正确播放节目单中内容；</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3.4.4.13 支持能够在任意时间点修改节目单；</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3.4.4.14 支持在预览播放器中对节目单中的节目时长进行修改；</w:t>
      </w:r>
    </w:p>
    <w:p>
      <w:pPr>
        <w:spacing w:line="400" w:lineRule="exact"/>
        <w:rPr>
          <w:rFonts w:ascii="宋体" w:hAnsi="宋体"/>
          <w:szCs w:val="21"/>
        </w:rPr>
      </w:pPr>
      <w:r>
        <w:rPr>
          <w:rFonts w:hint="eastAsia" w:ascii="宋体" w:hAnsi="宋体"/>
          <w:szCs w:val="21"/>
        </w:rPr>
        <w:t>3.4.4.15 支持中心管理员可同时对所有地市播出列表进行管理，且UI呈现方式为标签化、直观、简洁；</w:t>
      </w:r>
    </w:p>
    <w:p>
      <w:pPr>
        <w:spacing w:line="400" w:lineRule="exact"/>
        <w:rPr>
          <w:rFonts w:ascii="宋体" w:hAnsi="宋体"/>
          <w:szCs w:val="21"/>
        </w:rPr>
      </w:pPr>
      <w:r>
        <w:rPr>
          <w:rFonts w:hint="eastAsia" w:ascii="宋体" w:hAnsi="宋体"/>
          <w:szCs w:val="21"/>
        </w:rPr>
        <w:t>3.4.4.16 支持频道名称、开始与结束时间、时长、播放类型、当前与下一条节目名称、节目类型、节目信息、操作员名称、一键应急操作；</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3.4.4.17 支持一键应急操作，中心管理员及各地市用户可对权限范围内的播表当前播出的节目进行一键节目替换操作，亦可进行一键还原；</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3.4.4.18 支持对各播出频道实时监控，并能提供告警日志信息、以颜色区分播出状态；</w:t>
      </w:r>
    </w:p>
    <w:p>
      <w:pPr>
        <w:spacing w:line="400" w:lineRule="exact"/>
        <w:rPr>
          <w:rFonts w:ascii="宋体" w:hAnsi="宋体"/>
          <w:szCs w:val="21"/>
        </w:rPr>
      </w:pPr>
      <w:r>
        <w:rPr>
          <w:rFonts w:hint="eastAsia" w:ascii="宋体" w:hAnsi="宋体"/>
          <w:szCs w:val="21"/>
        </w:rPr>
        <w:t>3.4.4.19 支持分类监控下可控制播表的播出状态；</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3.4.4.20 支持立即播出待播条、立即播出当前条、停止播出、应急切换至垫播、切换到播表播出等功能；</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3.4.4.21 支持应急切换到指定的直播信号，切换时可指定直播信号的播放时间（播完后自动切回到播表），也可无限播放（无限播放模式下需要手动切回播表）；</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3.4.4.22 支持单通道可以实现具有不同编码方式、码率以及分辨率等的素材混合播出，且输出为透传方式，不进行实时编码/转码；</w:t>
      </w:r>
    </w:p>
    <w:p>
      <w:pPr>
        <w:spacing w:line="400" w:lineRule="exact"/>
        <w:rPr>
          <w:rFonts w:ascii="宋体" w:hAnsi="宋体"/>
          <w:szCs w:val="21"/>
        </w:rPr>
      </w:pPr>
      <w:r>
        <w:rPr>
          <w:rFonts w:hint="eastAsia" w:ascii="宋体" w:hAnsi="宋体"/>
          <w:szCs w:val="21"/>
        </w:rPr>
        <w:t>3.4.4.23 支持播出系统在播控系统不在线情况下的独立工作；</w:t>
      </w:r>
    </w:p>
    <w:p>
      <w:pPr>
        <w:spacing w:line="360" w:lineRule="auto"/>
        <w:rPr>
          <w:rFonts w:ascii="宋体" w:hAnsi="宋体"/>
          <w:szCs w:val="21"/>
        </w:rPr>
      </w:pPr>
      <w:r>
        <w:rPr>
          <w:rFonts w:ascii="Segoe UI Symbol" w:hAnsi="Segoe UI Symbol" w:cs="Segoe UI Symbol"/>
          <w:szCs w:val="21"/>
        </w:rPr>
        <w:t>★</w:t>
      </w:r>
      <w:r>
        <w:rPr>
          <w:rFonts w:hint="eastAsia" w:ascii="宋体" w:hAnsi="宋体"/>
          <w:szCs w:val="21"/>
        </w:rPr>
        <w:t>3.4.4.24 支持CBR模式下，输出码流的波动率范围可控。</w:t>
      </w:r>
    </w:p>
    <w:p>
      <w:pPr>
        <w:keepNext/>
        <w:keepLines/>
        <w:spacing w:before="120" w:after="120" w:line="360" w:lineRule="auto"/>
        <w:outlineLvl w:val="2"/>
        <w:rPr>
          <w:rFonts w:ascii="宋体" w:hAnsi="宋体"/>
          <w:b/>
          <w:bCs/>
          <w:sz w:val="24"/>
        </w:rPr>
      </w:pPr>
      <w:r>
        <w:rPr>
          <w:rFonts w:ascii="宋体" w:hAnsi="宋体"/>
          <w:b/>
          <w:bCs/>
          <w:sz w:val="24"/>
        </w:rPr>
        <w:t xml:space="preserve">3.5 </w:t>
      </w:r>
      <w:r>
        <w:rPr>
          <w:rFonts w:hint="eastAsia" w:ascii="宋体" w:hAnsi="宋体"/>
          <w:b/>
          <w:bCs/>
          <w:sz w:val="24"/>
        </w:rPr>
        <w:t>平台运行稳定性要求</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3.5.1 可通过播控软件，实时监测节目单内容及播发进度；</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3.5.2 直播信号中断、硬盘节目无法播放等信号中断情况下，系统可自行应急垫播；</w:t>
      </w:r>
    </w:p>
    <w:p>
      <w:pPr>
        <w:spacing w:line="400" w:lineRule="exact"/>
        <w:rPr>
          <w:rFonts w:ascii="宋体" w:hAnsi="宋体" w:cs="Segoe UI Symbol"/>
          <w:szCs w:val="21"/>
        </w:rPr>
      </w:pPr>
      <w:r>
        <w:rPr>
          <w:rFonts w:ascii="Segoe UI Symbol" w:hAnsi="Segoe UI Symbol" w:cs="Segoe UI Symbol"/>
          <w:szCs w:val="21"/>
        </w:rPr>
        <w:t>★</w:t>
      </w:r>
      <w:r>
        <w:rPr>
          <w:rFonts w:hint="eastAsia" w:ascii="宋体" w:hAnsi="宋体" w:cs="Segoe UI Symbol"/>
          <w:szCs w:val="21"/>
        </w:rPr>
        <w:t>3.5.3 可以手动应急进行单个节目的循环播出；</w:t>
      </w:r>
    </w:p>
    <w:p>
      <w:pPr>
        <w:spacing w:line="400" w:lineRule="exact"/>
        <w:rPr>
          <w:rFonts w:ascii="宋体" w:hAnsi="宋体" w:cs="Segoe UI Symbol"/>
          <w:szCs w:val="21"/>
        </w:rPr>
      </w:pPr>
      <w:r>
        <w:rPr>
          <w:rFonts w:hint="eastAsia" w:ascii="宋体" w:hAnsi="宋体" w:cs="Segoe UI Symbol"/>
          <w:szCs w:val="21"/>
        </w:rPr>
        <w:t>3.5.4 对直播信号丢失、硬盘节目未上传，视频服务器错误等相关故障应有完善的监测机制，提供声光报警。</w:t>
      </w:r>
    </w:p>
    <w:p>
      <w:pPr>
        <w:keepNext/>
        <w:keepLines/>
        <w:spacing w:before="120" w:after="120" w:line="360" w:lineRule="auto"/>
        <w:outlineLvl w:val="2"/>
        <w:rPr>
          <w:rFonts w:ascii="宋体" w:hAnsi="宋体"/>
          <w:b/>
          <w:bCs/>
          <w:sz w:val="24"/>
        </w:rPr>
      </w:pPr>
      <w:bookmarkStart w:id="48" w:name="_Toc77285827"/>
      <w:r>
        <w:rPr>
          <w:rFonts w:hint="eastAsia" w:ascii="宋体" w:hAnsi="宋体"/>
          <w:b/>
          <w:bCs/>
          <w:sz w:val="24"/>
        </w:rPr>
        <w:t>3</w:t>
      </w:r>
      <w:r>
        <w:rPr>
          <w:rFonts w:ascii="宋体" w:hAnsi="宋体"/>
          <w:b/>
          <w:bCs/>
          <w:sz w:val="24"/>
        </w:rPr>
        <w:t>.</w:t>
      </w:r>
      <w:r>
        <w:rPr>
          <w:rFonts w:hint="eastAsia" w:ascii="宋体" w:hAnsi="宋体"/>
          <w:b/>
          <w:bCs/>
          <w:sz w:val="24"/>
        </w:rPr>
        <w:t>6</w:t>
      </w:r>
      <w:r>
        <w:rPr>
          <w:rFonts w:ascii="宋体" w:hAnsi="宋体"/>
          <w:b/>
          <w:bCs/>
          <w:sz w:val="24"/>
        </w:rPr>
        <w:t xml:space="preserve"> </w:t>
      </w:r>
      <w:r>
        <w:rPr>
          <w:rFonts w:hint="eastAsia" w:ascii="宋体" w:hAnsi="宋体"/>
          <w:b/>
          <w:bCs/>
          <w:sz w:val="24"/>
        </w:rPr>
        <w:t>平台管理维护要求</w:t>
      </w:r>
      <w:bookmarkEnd w:id="48"/>
    </w:p>
    <w:p>
      <w:pPr>
        <w:spacing w:line="400" w:lineRule="exact"/>
        <w:rPr>
          <w:rFonts w:ascii="宋体" w:hAnsi="宋体"/>
          <w:szCs w:val="21"/>
        </w:rPr>
      </w:pPr>
      <w:r>
        <w:rPr>
          <w:rFonts w:ascii="宋体" w:hAnsi="宋体"/>
          <w:szCs w:val="21"/>
        </w:rPr>
        <w:t>3</w:t>
      </w:r>
      <w:r>
        <w:rPr>
          <w:rFonts w:hint="eastAsia" w:ascii="宋体" w:hAnsi="宋体"/>
          <w:szCs w:val="21"/>
        </w:rPr>
        <w:t>.6</w:t>
      </w:r>
      <w:r>
        <w:rPr>
          <w:rFonts w:ascii="宋体" w:hAnsi="宋体"/>
          <w:szCs w:val="21"/>
        </w:rPr>
        <w:t>.</w:t>
      </w:r>
      <w:r>
        <w:rPr>
          <w:rFonts w:hint="eastAsia" w:ascii="宋体" w:hAnsi="宋体"/>
          <w:szCs w:val="21"/>
        </w:rPr>
        <w:t>1 平台具备完善的系统管理、编单管理、内容管理、播出管理及操作权限管理，以及远程管理能力。此外，系统具备完善的系统管理、编单管理、内容管理、播出管理及操作权限管理，以及远程管理能力。此外，系统管理须具备相应管理软件，可实时监测但不局限于系统硬件状态、任务管理、网络状态等，最大最全呈现系统当前运行状态。</w:t>
      </w:r>
    </w:p>
    <w:p>
      <w:pPr>
        <w:spacing w:line="400" w:lineRule="exact"/>
        <w:rPr>
          <w:rFonts w:ascii="宋体" w:hAnsi="宋体"/>
          <w:szCs w:val="21"/>
        </w:rPr>
      </w:pPr>
      <w:r>
        <w:rPr>
          <w:rFonts w:hint="eastAsia" w:ascii="宋体" w:hAnsi="宋体"/>
          <w:szCs w:val="21"/>
        </w:rPr>
        <w:t>3.6</w:t>
      </w:r>
      <w:r>
        <w:rPr>
          <w:rFonts w:ascii="宋体" w:hAnsi="宋体"/>
          <w:szCs w:val="21"/>
        </w:rPr>
        <w:t>.2</w:t>
      </w:r>
      <w:r>
        <w:rPr>
          <w:rFonts w:hint="eastAsia" w:ascii="宋体" w:hAnsi="宋体"/>
          <w:szCs w:val="21"/>
        </w:rPr>
        <w:t xml:space="preserve"> 平台部署过程中，其它合理的新增需求；</w:t>
      </w:r>
    </w:p>
    <w:p>
      <w:pPr>
        <w:spacing w:line="400" w:lineRule="exact"/>
        <w:rPr>
          <w:rFonts w:ascii="宋体" w:hAnsi="宋体"/>
          <w:szCs w:val="21"/>
        </w:rPr>
      </w:pPr>
      <w:r>
        <w:rPr>
          <w:rFonts w:hint="eastAsia" w:ascii="宋体" w:hAnsi="宋体"/>
          <w:szCs w:val="21"/>
        </w:rPr>
        <w:t>3.6.3 支持7×24小时监测全平台硬件、网络、播出通道实时带宽、上下游系统对接情况、内容库剩余存储空间等信息，并且能够提供告警信息；</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3.6.4 支持日志记录及查询备案，如：用户账号操作记录、节目注入情况统计、告警信息及处理结果记录等；</w:t>
      </w:r>
    </w:p>
    <w:p>
      <w:pPr>
        <w:spacing w:line="400" w:lineRule="exact"/>
        <w:rPr>
          <w:rFonts w:ascii="宋体" w:hAnsi="宋体"/>
          <w:szCs w:val="21"/>
        </w:rPr>
      </w:pPr>
      <w:r>
        <w:rPr>
          <w:rFonts w:hint="eastAsia" w:ascii="宋体" w:hAnsi="宋体"/>
          <w:szCs w:val="21"/>
        </w:rPr>
        <w:t>3.6.5 支持集成网络问题诊断工具，如：支持telnet、ssh、FTP、TFTP、ICMP等协议的工具软件，可第一时间快速进行故障排查及恢复；</w:t>
      </w:r>
    </w:p>
    <w:p>
      <w:pPr>
        <w:spacing w:line="400" w:lineRule="exact"/>
        <w:rPr>
          <w:rFonts w:ascii="宋体" w:hAnsi="宋体"/>
          <w:szCs w:val="21"/>
        </w:rPr>
      </w:pPr>
      <w:r>
        <w:rPr>
          <w:rFonts w:ascii="Segoe UI Symbol" w:hAnsi="Segoe UI Symbol" w:cs="Segoe UI Symbol"/>
          <w:szCs w:val="21"/>
        </w:rPr>
        <w:t>★</w:t>
      </w:r>
      <w:r>
        <w:rPr>
          <w:rFonts w:hint="eastAsia" w:ascii="宋体" w:hAnsi="宋体"/>
          <w:szCs w:val="21"/>
        </w:rPr>
        <w:t>3.6.6 支持通道预览监看，可以多画面形式呈现已选择通道实时视频流播出情况；</w:t>
      </w:r>
    </w:p>
    <w:p>
      <w:pPr>
        <w:spacing w:line="400" w:lineRule="exact"/>
        <w:rPr>
          <w:rFonts w:ascii="宋体" w:hAnsi="宋体"/>
          <w:szCs w:val="21"/>
        </w:rPr>
      </w:pPr>
      <w:r>
        <w:rPr>
          <w:rFonts w:hint="eastAsia" w:ascii="宋体" w:hAnsi="宋体"/>
          <w:szCs w:val="21"/>
        </w:rPr>
        <w:t>3.6.7 支持节目单到期告警，提前一周或自定义天数提醒用户节目单即将到期情况；</w:t>
      </w:r>
    </w:p>
    <w:p>
      <w:pPr>
        <w:spacing w:line="400" w:lineRule="exact"/>
        <w:rPr>
          <w:rFonts w:ascii="宋体" w:hAnsi="宋体"/>
          <w:szCs w:val="21"/>
        </w:rPr>
      </w:pPr>
      <w:r>
        <w:rPr>
          <w:rFonts w:hint="eastAsia" w:ascii="宋体" w:hAnsi="宋体"/>
          <w:szCs w:val="21"/>
        </w:rPr>
        <w:t>3.6.8 支持通道视频流播出异常告警。</w:t>
      </w:r>
    </w:p>
    <w:p>
      <w:pPr>
        <w:autoSpaceDE w:val="0"/>
        <w:autoSpaceDN w:val="0"/>
        <w:spacing w:line="240" w:lineRule="atLeast"/>
        <w:jc w:val="center"/>
        <w:outlineLvl w:val="0"/>
        <w:rPr>
          <w:rFonts w:eastAsia="黑体"/>
          <w:b/>
          <w:bCs/>
          <w:kern w:val="44"/>
          <w:sz w:val="36"/>
          <w:szCs w:val="36"/>
        </w:rPr>
      </w:pPr>
    </w:p>
    <w:p>
      <w:pPr>
        <w:autoSpaceDE w:val="0"/>
        <w:autoSpaceDN w:val="0"/>
        <w:spacing w:line="240" w:lineRule="atLeast"/>
        <w:jc w:val="center"/>
        <w:outlineLvl w:val="0"/>
        <w:rPr>
          <w:rFonts w:eastAsia="黑体"/>
          <w:b/>
          <w:bCs/>
          <w:kern w:val="44"/>
          <w:sz w:val="36"/>
          <w:szCs w:val="36"/>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autoSpaceDE w:val="0"/>
        <w:autoSpaceDN w:val="0"/>
        <w:spacing w:line="240" w:lineRule="atLeast"/>
        <w:jc w:val="center"/>
        <w:outlineLvl w:val="0"/>
        <w:rPr>
          <w:rFonts w:eastAsia="黑体"/>
          <w:b/>
          <w:bCs/>
          <w:kern w:val="44"/>
          <w:sz w:val="36"/>
          <w:szCs w:val="36"/>
        </w:rPr>
      </w:pPr>
    </w:p>
    <w:p>
      <w:pPr>
        <w:widowControl/>
        <w:jc w:val="left"/>
        <w:rPr>
          <w:rFonts w:eastAsia="黑体"/>
          <w:b/>
          <w:bCs/>
          <w:kern w:val="44"/>
          <w:sz w:val="36"/>
          <w:szCs w:val="36"/>
        </w:rPr>
      </w:pPr>
      <w:r>
        <w:rPr>
          <w:rFonts w:eastAsia="黑体"/>
          <w:b/>
          <w:bCs/>
          <w:kern w:val="44"/>
          <w:sz w:val="36"/>
          <w:szCs w:val="36"/>
        </w:rP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 竞争性磋商响应文件格式</w:t>
      </w:r>
      <w:bookmarkEnd w:id="43"/>
    </w:p>
    <w:p/>
    <w:p/>
    <w:p/>
    <w:p/>
    <w:p/>
    <w:p/>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p>
    <w:p>
      <w:pPr>
        <w:spacing w:line="360" w:lineRule="auto"/>
        <w:jc w:val="right"/>
        <w:rPr>
          <w:rFonts w:ascii="黑体" w:hAnsi="黑体" w:eastAsia="黑体" w:cs="宋体"/>
          <w:sz w:val="36"/>
          <w:szCs w:val="36"/>
          <w:lang w:val="zh-TW"/>
        </w:rPr>
      </w:pPr>
    </w:p>
    <w:p>
      <w:pPr>
        <w:spacing w:line="360" w:lineRule="auto"/>
        <w:jc w:val="right"/>
        <w:rPr>
          <w:rFonts w:ascii="黑体" w:hAnsi="黑体" w:eastAsia="黑体" w:cs="宋体"/>
          <w:sz w:val="36"/>
          <w:szCs w:val="36"/>
          <w:lang w:val="zh-TW"/>
        </w:rPr>
      </w:pPr>
      <w:r>
        <w:rPr>
          <w:rFonts w:hint="eastAsia" w:ascii="黑体" w:hAnsi="黑体" w:eastAsia="黑体" w:cs="宋体"/>
          <w:sz w:val="36"/>
          <w:szCs w:val="36"/>
          <w:lang w:val="zh-TW"/>
        </w:rPr>
        <w:t>正</w:t>
      </w:r>
      <w:r>
        <w:rPr>
          <w:rFonts w:ascii="黑体" w:hAnsi="黑体" w:eastAsia="黑体" w:cs="宋体"/>
          <w:sz w:val="36"/>
          <w:szCs w:val="36"/>
          <w:lang w:val="zh-TW"/>
        </w:rPr>
        <w:t>本</w:t>
      </w:r>
      <w:r>
        <w:rPr>
          <w:rFonts w:hint="eastAsia" w:ascii="黑体" w:hAnsi="黑体" w:eastAsia="黑体" w:cs="宋体"/>
          <w:sz w:val="36"/>
          <w:szCs w:val="36"/>
          <w:lang w:val="zh-TW"/>
        </w:rPr>
        <w:t>/副本</w:t>
      </w:r>
    </w:p>
    <w:p>
      <w:pPr>
        <w:spacing w:line="360" w:lineRule="auto"/>
        <w:ind w:firstLine="560"/>
        <w:jc w:val="center"/>
        <w:rPr>
          <w:rFonts w:ascii="微软雅黑" w:hAnsi="微软雅黑" w:eastAsia="微软雅黑"/>
          <w:b/>
          <w:bCs/>
          <w:sz w:val="44"/>
          <w:szCs w:val="44"/>
        </w:rPr>
      </w:pPr>
    </w:p>
    <w:p>
      <w:pPr>
        <w:spacing w:line="360" w:lineRule="auto"/>
        <w:ind w:firstLine="560"/>
        <w:jc w:val="center"/>
        <w:rPr>
          <w:rFonts w:ascii="微软雅黑" w:hAnsi="微软雅黑" w:eastAsia="微软雅黑"/>
          <w:b/>
          <w:bCs/>
          <w:sz w:val="44"/>
          <w:szCs w:val="44"/>
        </w:rPr>
      </w:pPr>
      <w:r>
        <w:rPr>
          <w:rFonts w:hint="eastAsia" w:ascii="微软雅黑" w:hAnsi="微软雅黑" w:eastAsia="微软雅黑"/>
          <w:b/>
          <w:bCs/>
          <w:sz w:val="44"/>
          <w:szCs w:val="44"/>
        </w:rPr>
        <w:t>江苏省广电有线信息网络股份有限公司</w:t>
      </w:r>
    </w:p>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融合IP视频播出系统备路建设</w:t>
      </w:r>
    </w:p>
    <w:p>
      <w:pPr>
        <w:spacing w:after="120" w:line="360" w:lineRule="auto"/>
        <w:jc w:val="center"/>
        <w:rPr>
          <w:rFonts w:ascii="微软雅黑" w:hAnsi="微软雅黑" w:eastAsia="微软雅黑"/>
          <w:b/>
          <w:bCs/>
          <w:sz w:val="44"/>
          <w:szCs w:val="44"/>
        </w:rPr>
      </w:pPr>
      <w:r>
        <w:rPr>
          <w:rFonts w:hint="eastAsia" w:ascii="微软雅黑" w:hAnsi="微软雅黑" w:eastAsia="微软雅黑"/>
          <w:b/>
          <w:bCs/>
          <w:sz w:val="44"/>
          <w:szCs w:val="44"/>
        </w:rPr>
        <w:t>竞争性磋商响应文件</w:t>
      </w:r>
    </w:p>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2" w:firstLineChars="200"/>
        <w:jc w:val="left"/>
        <w:rPr>
          <w:b/>
          <w:bCs/>
          <w:szCs w:val="28"/>
        </w:rPr>
      </w:pPr>
      <w:r>
        <w:rPr>
          <w:rFonts w:hint="eastAsia"/>
          <w:b/>
          <w:bCs/>
          <w:szCs w:val="28"/>
        </w:rPr>
        <w:t>供应商：</w:t>
      </w:r>
      <w:r>
        <w:rPr>
          <w:rFonts w:hint="eastAsia"/>
          <w:b/>
          <w:bCs/>
          <w:szCs w:val="28"/>
          <w:u w:val="single"/>
        </w:rPr>
        <w:t xml:space="preserve">                       </w:t>
      </w:r>
      <w:r>
        <w:rPr>
          <w:rFonts w:hint="eastAsia"/>
          <w:b/>
          <w:bCs/>
          <w:szCs w:val="28"/>
        </w:rPr>
        <w:t>（盖单位公章）</w:t>
      </w:r>
    </w:p>
    <w:p>
      <w:pPr>
        <w:pStyle w:val="21"/>
        <w:adjustRightInd w:val="0"/>
        <w:snapToGrid w:val="0"/>
        <w:spacing w:before="312" w:beforeLines="100" w:after="312" w:afterLines="100"/>
        <w:ind w:left="210" w:leftChars="100" w:right="210" w:rightChars="100" w:firstLine="562" w:firstLineChars="200"/>
        <w:jc w:val="left"/>
        <w:rPr>
          <w:b/>
          <w:bCs/>
          <w:szCs w:val="28"/>
        </w:rPr>
      </w:pPr>
      <w:r>
        <w:rPr>
          <w:rFonts w:hint="eastAsia"/>
          <w:b/>
          <w:bCs/>
          <w:szCs w:val="28"/>
        </w:rPr>
        <w:t>法定代表人或其委托代理人：</w:t>
      </w:r>
      <w:r>
        <w:rPr>
          <w:rFonts w:hint="eastAsia"/>
          <w:b/>
          <w:bCs/>
          <w:szCs w:val="28"/>
          <w:u w:val="single"/>
        </w:rPr>
        <w:t xml:space="preserve">      </w:t>
      </w:r>
      <w:r>
        <w:rPr>
          <w:b/>
          <w:bCs/>
          <w:szCs w:val="28"/>
          <w:u w:val="single"/>
        </w:rPr>
        <w:t xml:space="preserve">  </w:t>
      </w:r>
      <w:r>
        <w:rPr>
          <w:rFonts w:hint="eastAsia"/>
          <w:b/>
          <w:bCs/>
          <w:szCs w:val="28"/>
          <w:u w:val="single"/>
        </w:rPr>
        <w:t xml:space="preserve">   </w:t>
      </w:r>
      <w:r>
        <w:rPr>
          <w:rFonts w:hint="eastAsia"/>
          <w:b/>
          <w:bCs/>
          <w:szCs w:val="28"/>
        </w:rPr>
        <w:t>（签字）</w:t>
      </w:r>
    </w:p>
    <w:p>
      <w:pPr>
        <w:pStyle w:val="21"/>
        <w:adjustRightInd w:val="0"/>
        <w:snapToGrid w:val="0"/>
        <w:spacing w:before="312" w:beforeLines="100" w:after="312" w:afterLines="100"/>
        <w:ind w:left="210" w:leftChars="100" w:right="210" w:rightChars="100" w:firstLine="1968" w:firstLineChars="700"/>
        <w:jc w:val="left"/>
        <w:rPr>
          <w:b/>
          <w:bCs/>
          <w:szCs w:val="28"/>
        </w:rPr>
      </w:pPr>
      <w:r>
        <w:rPr>
          <w:rFonts w:hint="eastAsia"/>
          <w:b/>
          <w:bCs/>
          <w:szCs w:val="28"/>
          <w:u w:val="single"/>
        </w:rPr>
        <w:t xml:space="preserve">        </w:t>
      </w:r>
      <w:r>
        <w:rPr>
          <w:rFonts w:hint="eastAsia"/>
          <w:b/>
          <w:bCs/>
          <w:szCs w:val="28"/>
        </w:rPr>
        <w:t>年</w:t>
      </w:r>
      <w:r>
        <w:rPr>
          <w:rFonts w:hint="eastAsia"/>
          <w:b/>
          <w:bCs/>
          <w:szCs w:val="28"/>
          <w:u w:val="single"/>
        </w:rPr>
        <w:t xml:space="preserve">   </w:t>
      </w:r>
      <w:r>
        <w:rPr>
          <w:rFonts w:hint="eastAsia"/>
          <w:b/>
          <w:bCs/>
          <w:szCs w:val="28"/>
        </w:rPr>
        <w:t>月</w:t>
      </w:r>
      <w:r>
        <w:rPr>
          <w:rFonts w:hint="eastAsia"/>
          <w:b/>
          <w:bCs/>
          <w:szCs w:val="28"/>
          <w:u w:val="single"/>
        </w:rPr>
        <w:t xml:space="preserve">  </w:t>
      </w:r>
      <w:r>
        <w:rPr>
          <w:rFonts w:hint="eastAsia"/>
          <w:b/>
          <w:bCs/>
          <w:szCs w:val="28"/>
        </w:rPr>
        <w:t>日</w:t>
      </w:r>
    </w:p>
    <w:p>
      <w:pPr>
        <w:pStyle w:val="21"/>
        <w:adjustRightInd w:val="0"/>
        <w:snapToGrid w:val="0"/>
        <w:spacing w:before="312" w:beforeLines="100" w:after="312" w:afterLines="100"/>
        <w:ind w:left="210" w:leftChars="100" w:right="210" w:rightChars="100" w:firstLine="562" w:firstLineChars="200"/>
        <w:jc w:val="left"/>
        <w:rPr>
          <w:rFonts w:ascii="Arial" w:hAnsi="Arial" w:eastAsia="黑体" w:cs="Arial"/>
        </w:rPr>
      </w:pPr>
      <w:r>
        <w:rPr>
          <w:b/>
          <w:bCs/>
          <w:szCs w:val="28"/>
        </w:rPr>
        <w:t> </w:t>
      </w:r>
      <w:r>
        <w:rPr>
          <w:rFonts w:ascii="Arial" w:hAnsi="Arial" w:eastAsia="黑体" w:cs="Arial"/>
        </w:rPr>
        <w:br w:type="page"/>
      </w:r>
    </w:p>
    <w:p>
      <w:pPr>
        <w:pStyle w:val="4"/>
        <w:numPr>
          <w:ilvl w:val="0"/>
          <w:numId w:val="0"/>
        </w:numPr>
        <w:jc w:val="center"/>
      </w:pPr>
      <w:bookmarkStart w:id="49" w:name="_Toc26260030"/>
      <w:bookmarkStart w:id="50" w:name="_Toc69378658"/>
      <w:bookmarkStart w:id="51" w:name="_Toc472689687"/>
      <w:bookmarkStart w:id="52" w:name="_Toc529538374"/>
      <w:bookmarkStart w:id="53" w:name="_Toc26259737"/>
      <w:bookmarkStart w:id="54" w:name="_Toc447265603"/>
      <w:bookmarkStart w:id="55" w:name="_Toc447265317"/>
      <w:bookmarkStart w:id="56" w:name="_Toc438052118"/>
      <w:r>
        <w:rPr>
          <w:rFonts w:hint="eastAsia"/>
        </w:rPr>
        <w:t>评审索引表</w:t>
      </w:r>
      <w:bookmarkEnd w:id="49"/>
      <w:bookmarkEnd w:id="50"/>
      <w:bookmarkEnd w:id="51"/>
      <w:bookmarkEnd w:id="52"/>
      <w:bookmarkEnd w:id="53"/>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57" w:name="_Toc529538375"/>
      <w:bookmarkStart w:id="58" w:name="_Toc26260031"/>
      <w:bookmarkStart w:id="59" w:name="_Toc485737092"/>
      <w:bookmarkStart w:id="60" w:name="_Toc26259738"/>
      <w:bookmarkStart w:id="61" w:name="_Toc401151285"/>
      <w:bookmarkStart w:id="62" w:name="_Toc401133270"/>
      <w:bookmarkStart w:id="63" w:name="_Toc429954241"/>
      <w:bookmarkStart w:id="64" w:name="_Toc401216443"/>
      <w:bookmarkStart w:id="65" w:name="_Toc427071030"/>
    </w:p>
    <w:p>
      <w:pPr>
        <w:pStyle w:val="5"/>
        <w:spacing w:before="260" w:after="260" w:line="416" w:lineRule="auto"/>
        <w:jc w:val="center"/>
        <w:rPr>
          <w:rFonts w:ascii="宋体" w:hAnsi="宋体" w:eastAsia="宋体"/>
          <w:b/>
          <w:bCs/>
          <w:sz w:val="22"/>
          <w:szCs w:val="28"/>
        </w:rPr>
      </w:pPr>
      <w:bookmarkStart w:id="66" w:name="_Toc69378659"/>
      <w:r>
        <w:rPr>
          <w:rFonts w:hint="eastAsia" w:ascii="宋体" w:hAnsi="宋体" w:eastAsia="宋体"/>
          <w:b/>
          <w:bCs/>
          <w:sz w:val="22"/>
          <w:szCs w:val="28"/>
        </w:rPr>
        <w:t>初步</w:t>
      </w:r>
      <w:r>
        <w:rPr>
          <w:rFonts w:ascii="宋体" w:hAnsi="宋体" w:eastAsia="宋体"/>
          <w:b/>
          <w:bCs/>
          <w:sz w:val="22"/>
          <w:szCs w:val="28"/>
        </w:rPr>
        <w:t>评审索引表</w:t>
      </w:r>
      <w:bookmarkEnd w:id="57"/>
      <w:bookmarkEnd w:id="58"/>
      <w:bookmarkEnd w:id="59"/>
      <w:bookmarkEnd w:id="60"/>
      <w:bookmarkEnd w:id="61"/>
      <w:bookmarkEnd w:id="62"/>
      <w:bookmarkEnd w:id="63"/>
      <w:bookmarkEnd w:id="64"/>
      <w:bookmarkEnd w:id="65"/>
      <w:bookmarkEnd w:id="66"/>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771"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650" w:type="pct"/>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kern w:val="0"/>
              </w:rPr>
            </w:pPr>
          </w:p>
        </w:tc>
        <w:tc>
          <w:tcPr>
            <w:tcW w:w="650" w:type="pct"/>
            <w:vAlign w:val="center"/>
          </w:tcPr>
          <w:p>
            <w:pPr>
              <w:widowControl/>
              <w:rPr>
                <w:rFonts w:ascii="宋体" w:hAnsi="宋体" w:cs="宋体"/>
                <w:kern w:val="0"/>
                <w:szCs w:val="21"/>
              </w:rPr>
            </w:pPr>
          </w:p>
        </w:tc>
      </w:tr>
    </w:tbl>
    <w:p/>
    <w:p>
      <w:pPr>
        <w:pStyle w:val="52"/>
        <w:ind w:firstLine="560"/>
      </w:pPr>
    </w:p>
    <w:p>
      <w:pPr>
        <w:pStyle w:val="5"/>
        <w:spacing w:before="260" w:after="260" w:line="416" w:lineRule="auto"/>
        <w:jc w:val="center"/>
        <w:rPr>
          <w:rFonts w:ascii="宋体" w:hAnsi="宋体" w:eastAsia="宋体"/>
          <w:b/>
          <w:bCs/>
          <w:sz w:val="22"/>
          <w:szCs w:val="28"/>
        </w:rPr>
      </w:pPr>
      <w:bookmarkStart w:id="67" w:name="_Toc69378660"/>
      <w:bookmarkStart w:id="68" w:name="_Toc26259739"/>
      <w:bookmarkStart w:id="69" w:name="_Toc26260032"/>
      <w:r>
        <w:rPr>
          <w:rFonts w:hint="eastAsia" w:ascii="宋体" w:hAnsi="宋体" w:eastAsia="宋体"/>
          <w:b/>
          <w:bCs/>
          <w:sz w:val="22"/>
          <w:szCs w:val="28"/>
        </w:rPr>
        <w:t>详细</w:t>
      </w:r>
      <w:r>
        <w:rPr>
          <w:rFonts w:ascii="宋体" w:hAnsi="宋体" w:eastAsia="宋体"/>
          <w:b/>
          <w:bCs/>
          <w:sz w:val="22"/>
          <w:szCs w:val="28"/>
        </w:rPr>
        <w:t>评审索引表</w:t>
      </w:r>
      <w:bookmarkEnd w:id="67"/>
      <w:bookmarkEnd w:id="68"/>
      <w:bookmarkEnd w:id="69"/>
    </w:p>
    <w:tbl>
      <w:tblPr>
        <w:tblStyle w:val="53"/>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86"/>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gridSpan w:val="2"/>
            <w:vAlign w:val="center"/>
          </w:tcPr>
          <w:p>
            <w:pPr>
              <w:widowControl/>
              <w:spacing w:line="300" w:lineRule="auto"/>
              <w:jc w:val="center"/>
              <w:rPr>
                <w:b/>
                <w:kern w:val="0"/>
                <w:szCs w:val="21"/>
              </w:rPr>
            </w:pPr>
            <w:r>
              <w:rPr>
                <w:rFonts w:hint="eastAsia"/>
                <w:b/>
                <w:kern w:val="0"/>
                <w:szCs w:val="21"/>
              </w:rPr>
              <w:t>评审</w:t>
            </w:r>
            <w:r>
              <w:rPr>
                <w:b/>
                <w:kern w:val="0"/>
                <w:szCs w:val="21"/>
              </w:rPr>
              <w:t>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对应页码</w:t>
            </w:r>
          </w:p>
        </w:tc>
      </w:tr>
      <w:tr>
        <w:tblPrEx>
          <w:tblCellMar>
            <w:top w:w="0" w:type="dxa"/>
            <w:left w:w="108" w:type="dxa"/>
            <w:bottom w:w="0" w:type="dxa"/>
            <w:right w:w="108" w:type="dxa"/>
          </w:tblCellMar>
        </w:tblPrEx>
        <w:trPr>
          <w:trHeight w:val="1624" w:hRule="atLeast"/>
          <w:jc w:val="center"/>
        </w:trPr>
        <w:tc>
          <w:tcPr>
            <w:tcW w:w="416" w:type="dxa"/>
            <w:vAlign w:val="center"/>
          </w:tcPr>
          <w:p>
            <w:pPr>
              <w:widowControl/>
              <w:spacing w:line="300" w:lineRule="auto"/>
              <w:jc w:val="center"/>
              <w:rPr>
                <w:kern w:val="0"/>
                <w:szCs w:val="21"/>
              </w:rPr>
            </w:pPr>
            <w:r>
              <w:rPr>
                <w:kern w:val="0"/>
                <w:szCs w:val="21"/>
              </w:rPr>
              <w:t>1</w:t>
            </w:r>
          </w:p>
        </w:tc>
        <w:tc>
          <w:tcPr>
            <w:tcW w:w="1086" w:type="dxa"/>
            <w:vAlign w:val="center"/>
          </w:tcPr>
          <w:p>
            <w:pPr>
              <w:widowControl/>
              <w:spacing w:line="300" w:lineRule="auto"/>
              <w:jc w:val="center"/>
              <w:rPr>
                <w:kern w:val="0"/>
                <w:szCs w:val="21"/>
              </w:rPr>
            </w:pPr>
          </w:p>
        </w:tc>
        <w:tc>
          <w:tcPr>
            <w:tcW w:w="6778" w:type="dxa"/>
            <w:vAlign w:val="center"/>
          </w:tcPr>
          <w:p>
            <w:pPr>
              <w:widowControl/>
              <w:tabs>
                <w:tab w:val="left" w:pos="402"/>
              </w:tabs>
              <w:ind w:left="420"/>
              <w:rPr>
                <w:kern w:val="0"/>
                <w:szCs w:val="21"/>
              </w:rPr>
            </w:pPr>
          </w:p>
        </w:tc>
        <w:tc>
          <w:tcPr>
            <w:tcW w:w="1141" w:type="dxa"/>
            <w:vAlign w:val="center"/>
          </w:tcPr>
          <w:p>
            <w:pPr>
              <w:widowControl/>
              <w:tabs>
                <w:tab w:val="left" w:pos="0"/>
                <w:tab w:val="left" w:pos="402"/>
              </w:tabs>
              <w:spacing w:line="300" w:lineRule="auto"/>
              <w:ind w:firstLine="210" w:firstLineChars="100"/>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6" w:type="dxa"/>
            <w:vAlign w:val="center"/>
          </w:tcPr>
          <w:p>
            <w:pPr>
              <w:jc w:val="center"/>
            </w:pPr>
            <w:r>
              <w:rPr>
                <w:rFonts w:hint="eastAsia"/>
                <w:kern w:val="0"/>
                <w:szCs w:val="21"/>
              </w:rPr>
              <w:t>2</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416" w:type="dxa"/>
            <w:vAlign w:val="center"/>
          </w:tcPr>
          <w:p>
            <w:pPr>
              <w:jc w:val="center"/>
              <w:rPr>
                <w:kern w:val="0"/>
                <w:szCs w:val="21"/>
              </w:rPr>
            </w:pPr>
            <w:r>
              <w:rPr>
                <w:rFonts w:hint="eastAsia"/>
                <w:kern w:val="0"/>
                <w:szCs w:val="21"/>
              </w:rPr>
              <w:t>3</w:t>
            </w:r>
          </w:p>
        </w:tc>
        <w:tc>
          <w:tcPr>
            <w:tcW w:w="1086"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416" w:type="dxa"/>
            <w:vAlign w:val="center"/>
          </w:tcPr>
          <w:p>
            <w:pPr>
              <w:jc w:val="center"/>
            </w:pPr>
            <w:r>
              <w:rPr>
                <w:rFonts w:hint="eastAsia"/>
              </w:rPr>
              <w:t>4</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416" w:type="dxa"/>
            <w:vAlign w:val="center"/>
          </w:tcPr>
          <w:p>
            <w:pPr>
              <w:widowControl/>
              <w:jc w:val="center"/>
              <w:rPr>
                <w:kern w:val="0"/>
                <w:szCs w:val="21"/>
              </w:rPr>
            </w:pPr>
            <w:r>
              <w:rPr>
                <w:rFonts w:hint="eastAsia"/>
                <w:kern w:val="0"/>
                <w:szCs w:val="21"/>
              </w:rPr>
              <w:t>5</w:t>
            </w:r>
          </w:p>
        </w:tc>
        <w:tc>
          <w:tcPr>
            <w:tcW w:w="1086" w:type="dxa"/>
            <w:vAlign w:val="center"/>
          </w:tcPr>
          <w:p>
            <w:pPr>
              <w:jc w:val="center"/>
              <w:rPr>
                <w:kern w:val="0"/>
                <w:szCs w:val="21"/>
              </w:rPr>
            </w:pPr>
          </w:p>
        </w:tc>
        <w:tc>
          <w:tcPr>
            <w:tcW w:w="6778" w:type="dxa"/>
            <w:vAlign w:val="center"/>
          </w:tcPr>
          <w:p>
            <w:pPr>
              <w:widowControl/>
              <w:jc w:val="left"/>
              <w:rPr>
                <w:kern w:val="0"/>
                <w:szCs w:val="21"/>
              </w:rPr>
            </w:pPr>
          </w:p>
        </w:tc>
        <w:tc>
          <w:tcPr>
            <w:tcW w:w="1141" w:type="dxa"/>
            <w:vAlign w:val="center"/>
          </w:tcPr>
          <w:p>
            <w:pPr>
              <w:widowControl/>
              <w:ind w:firstLine="210" w:firstLineChars="100"/>
              <w:jc w:val="left"/>
              <w:rPr>
                <w:kern w:val="0"/>
                <w:szCs w:val="21"/>
              </w:rPr>
            </w:pPr>
            <w:r>
              <w:rPr>
                <w:rFonts w:hint="eastAsia"/>
                <w:kern w:val="0"/>
                <w:szCs w:val="21"/>
                <w:u w:val="single"/>
              </w:rPr>
              <w:t xml:space="preserve"> </w:t>
            </w:r>
            <w:r>
              <w:rPr>
                <w:kern w:val="0"/>
                <w:szCs w:val="21"/>
                <w:u w:val="single"/>
              </w:rPr>
              <w:t xml:space="preserve">   </w:t>
            </w:r>
            <w:r>
              <w:rPr>
                <w:rFonts w:hint="eastAsia"/>
                <w:kern w:val="0"/>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416" w:type="dxa"/>
            <w:vAlign w:val="center"/>
          </w:tcPr>
          <w:p>
            <w:pPr>
              <w:rPr>
                <w:kern w:val="0"/>
                <w:szCs w:val="21"/>
              </w:rPr>
            </w:pPr>
            <w:r>
              <w:rPr>
                <w:rFonts w:hint="eastAsia"/>
                <w:kern w:val="0"/>
                <w:szCs w:val="21"/>
              </w:rPr>
              <w:t>6</w:t>
            </w:r>
          </w:p>
        </w:tc>
        <w:tc>
          <w:tcPr>
            <w:tcW w:w="1086" w:type="dxa"/>
            <w:vAlign w:val="center"/>
          </w:tcPr>
          <w:p>
            <w:pPr>
              <w:jc w:val="center"/>
              <w:rPr>
                <w:kern w:val="0"/>
                <w:szCs w:val="21"/>
              </w:rPr>
            </w:pPr>
          </w:p>
        </w:tc>
        <w:tc>
          <w:tcPr>
            <w:tcW w:w="6778" w:type="dxa"/>
            <w:vAlign w:val="center"/>
          </w:tcPr>
          <w:p/>
        </w:tc>
        <w:tc>
          <w:tcPr>
            <w:tcW w:w="1141" w:type="dxa"/>
            <w:vAlign w:val="center"/>
          </w:tcPr>
          <w:p>
            <w:pPr>
              <w:ind w:firstLine="210" w:firstLineChars="100"/>
            </w:pPr>
            <w:r>
              <w:rPr>
                <w:rFonts w:hint="eastAsia"/>
                <w:kern w:val="0"/>
                <w:szCs w:val="21"/>
                <w:u w:val="single"/>
              </w:rPr>
              <w:t xml:space="preserve"> </w:t>
            </w:r>
            <w:r>
              <w:rPr>
                <w:kern w:val="0"/>
                <w:szCs w:val="21"/>
                <w:u w:val="single"/>
              </w:rPr>
              <w:t xml:space="preserve">   </w:t>
            </w:r>
            <w:r>
              <w:rPr>
                <w:rFonts w:hint="eastAsia"/>
                <w:kern w:val="0"/>
                <w:szCs w:val="21"/>
              </w:rPr>
              <w:t>页</w:t>
            </w:r>
          </w:p>
        </w:tc>
      </w:tr>
    </w:tbl>
    <w:p>
      <w:pPr>
        <w:pStyle w:val="6"/>
      </w:pPr>
    </w:p>
    <w:bookmarkEnd w:id="54"/>
    <w:bookmarkEnd w:id="55"/>
    <w:bookmarkEnd w:id="56"/>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70" w:name="_Toc135999006"/>
      <w:bookmarkStart w:id="71" w:name="_Toc161767428"/>
      <w:bookmarkStart w:id="72" w:name="_Toc69378663"/>
      <w:bookmarkStart w:id="73" w:name="_Toc26260033"/>
      <w:bookmarkStart w:id="74" w:name="_Toc472689688"/>
      <w:bookmarkStart w:id="75" w:name="_Toc529538377"/>
      <w:bookmarkStart w:id="76" w:name="_Toc438052120"/>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0"/>
      <w:bookmarkEnd w:id="71"/>
      <w:r>
        <w:rPr>
          <w:rStyle w:val="106"/>
          <w:rFonts w:hint="eastAsia" w:hAnsi="宋体"/>
          <w:b w:val="0"/>
          <w:bCs w:val="0"/>
          <w:sz w:val="24"/>
          <w:szCs w:val="24"/>
        </w:rPr>
        <w:t>响应函</w:t>
      </w:r>
      <w:bookmarkEnd w:id="72"/>
      <w:bookmarkEnd w:id="73"/>
    </w:p>
    <w:p>
      <w:pPr>
        <w:snapToGrid w:val="0"/>
        <w:spacing w:before="312" w:beforeLines="100" w:after="312" w:afterLines="100"/>
        <w:ind w:left="210" w:leftChars="100" w:right="210" w:rightChars="100" w:firstLine="643" w:firstLineChars="200"/>
        <w:jc w:val="center"/>
        <w:rPr>
          <w:rFonts w:ascii="宋体" w:hAnsi="宋体" w:eastAsia="黑体"/>
          <w:b/>
          <w:bCs/>
          <w:sz w:val="32"/>
          <w:szCs w:val="32"/>
        </w:rPr>
      </w:pPr>
      <w:r>
        <w:rPr>
          <w:rStyle w:val="106"/>
          <w:rFonts w:hint="eastAsia" w:ascii="宋体" w:hAnsi="宋体"/>
        </w:rPr>
        <w:t>响应函</w:t>
      </w:r>
    </w:p>
    <w:p>
      <w:pPr>
        <w:spacing w:line="360" w:lineRule="auto"/>
        <w:rPr>
          <w:rFonts w:ascii="宋体" w:hAnsi="宋体"/>
          <w:szCs w:val="21"/>
        </w:rPr>
      </w:pPr>
      <w:r>
        <w:rPr>
          <w:rFonts w:hint="eastAsia" w:ascii="宋体" w:hAnsi="宋体"/>
          <w:szCs w:val="21"/>
        </w:rPr>
        <w:t>江苏省广电有线信息网络股份有限公司：</w:t>
      </w:r>
    </w:p>
    <w:p>
      <w:pPr>
        <w:spacing w:line="360" w:lineRule="auto"/>
        <w:rPr>
          <w:rFonts w:ascii="宋体" w:hAnsi="宋体"/>
          <w:szCs w:val="21"/>
        </w:rPr>
      </w:pPr>
      <w:r>
        <w:rPr>
          <w:rFonts w:hint="eastAsia" w:ascii="宋体" w:hAnsi="宋体"/>
          <w:szCs w:val="21"/>
        </w:rPr>
        <w:t>（供应商全称）授权（全权代表姓名、职务、职称）为全权代表，参加贵方组织的（采购编号、项目名称）的有关活动，为此：</w:t>
      </w:r>
    </w:p>
    <w:p>
      <w:pPr>
        <w:spacing w:line="360" w:lineRule="auto"/>
        <w:rPr>
          <w:rFonts w:ascii="宋体" w:hAnsi="宋体"/>
          <w:szCs w:val="21"/>
        </w:rPr>
      </w:pPr>
      <w:r>
        <w:rPr>
          <w:rFonts w:hint="eastAsia" w:ascii="宋体" w:hAnsi="宋体"/>
          <w:szCs w:val="21"/>
        </w:rPr>
        <w:t>（1）提供供应商须知规定的全部响应文件（正本</w:t>
      </w:r>
      <w:r>
        <w:rPr>
          <w:rFonts w:ascii="宋体" w:hAnsi="宋体"/>
          <w:szCs w:val="21"/>
        </w:rPr>
        <w:t>[ 1 ]</w:t>
      </w:r>
      <w:r>
        <w:rPr>
          <w:rFonts w:hint="eastAsia" w:ascii="宋体" w:hAnsi="宋体"/>
          <w:szCs w:val="21"/>
        </w:rPr>
        <w:t>份，副本</w:t>
      </w:r>
      <w:r>
        <w:rPr>
          <w:rFonts w:ascii="宋体" w:hAnsi="宋体"/>
          <w:szCs w:val="21"/>
        </w:rPr>
        <w:t>[2]</w:t>
      </w:r>
      <w:r>
        <w:rPr>
          <w:rFonts w:hint="eastAsia" w:ascii="宋体" w:hAnsi="宋体"/>
          <w:szCs w:val="21"/>
        </w:rPr>
        <w:t>份、电子版</w:t>
      </w:r>
      <w:r>
        <w:rPr>
          <w:rFonts w:ascii="宋体" w:hAnsi="宋体"/>
          <w:szCs w:val="21"/>
        </w:rPr>
        <w:t>[1]</w:t>
      </w:r>
      <w:r>
        <w:rPr>
          <w:rFonts w:hint="eastAsia" w:ascii="宋体" w:hAnsi="宋体"/>
          <w:szCs w:val="21"/>
        </w:rPr>
        <w:t>份）。</w:t>
      </w:r>
    </w:p>
    <w:p>
      <w:pPr>
        <w:spacing w:line="360" w:lineRule="auto"/>
        <w:rPr>
          <w:rFonts w:ascii="宋体" w:hAnsi="宋体"/>
          <w:szCs w:val="21"/>
        </w:rPr>
      </w:pPr>
      <w:r>
        <w:rPr>
          <w:rFonts w:hint="eastAsia" w:ascii="宋体" w:hAnsi="宋体"/>
          <w:szCs w:val="21"/>
        </w:rPr>
        <w:t>（2）提供按竞争性磋商文件要求的产品</w:t>
      </w:r>
      <w:r>
        <w:rPr>
          <w:rFonts w:ascii="宋体" w:hAnsi="宋体"/>
          <w:szCs w:val="21"/>
        </w:rPr>
        <w:t>/</w:t>
      </w:r>
      <w:r>
        <w:rPr>
          <w:rFonts w:hint="eastAsia" w:ascii="宋体" w:hAnsi="宋体"/>
          <w:szCs w:val="21"/>
        </w:rPr>
        <w:t>服务的报价。（</w:t>
      </w:r>
      <w:r>
        <w:rPr>
          <w:rFonts w:hint="eastAsia" w:ascii="宋体" w:hAnsi="宋体"/>
          <w:szCs w:val="21"/>
          <w:u w:val="single"/>
        </w:rPr>
        <w:t>详见附件：报价表</w:t>
      </w:r>
      <w:r>
        <w:rPr>
          <w:rFonts w:hint="eastAsia" w:ascii="宋体" w:hAnsi="宋体"/>
          <w:szCs w:val="21"/>
        </w:rPr>
        <w:t>）。</w:t>
      </w:r>
    </w:p>
    <w:p>
      <w:pPr>
        <w:spacing w:line="360" w:lineRule="auto"/>
        <w:rPr>
          <w:rFonts w:ascii="宋体" w:hAnsi="宋体"/>
          <w:szCs w:val="21"/>
        </w:rPr>
      </w:pPr>
      <w:r>
        <w:rPr>
          <w:rFonts w:hint="eastAsia" w:ascii="宋体" w:hAnsi="宋体"/>
          <w:szCs w:val="21"/>
        </w:rPr>
        <w:t>（3）供应商将按竞争性磋商文件的规定履行全部责任和义务。</w:t>
      </w:r>
    </w:p>
    <w:p>
      <w:pPr>
        <w:spacing w:line="360" w:lineRule="auto"/>
        <w:rPr>
          <w:rFonts w:ascii="宋体" w:hAnsi="宋体"/>
          <w:szCs w:val="21"/>
        </w:rPr>
      </w:pPr>
      <w:r>
        <w:rPr>
          <w:rFonts w:hint="eastAsia" w:ascii="宋体" w:hAnsi="宋体"/>
          <w:szCs w:val="21"/>
        </w:rPr>
        <w:t>（4）供应商已详细审查全部竞争性磋商文件，我们完全理解并同意放弃对竞争性磋商文件提出质疑及</w:t>
      </w:r>
      <w:r>
        <w:rPr>
          <w:rFonts w:ascii="宋体" w:hAnsi="宋体"/>
          <w:szCs w:val="21"/>
        </w:rPr>
        <w:t>/</w:t>
      </w:r>
      <w:r>
        <w:rPr>
          <w:rFonts w:hint="eastAsia" w:ascii="宋体" w:hAnsi="宋体"/>
          <w:szCs w:val="21"/>
        </w:rPr>
        <w:t>或争议的权利。</w:t>
      </w:r>
    </w:p>
    <w:p>
      <w:pPr>
        <w:spacing w:line="360" w:lineRule="auto"/>
        <w:rPr>
          <w:rFonts w:ascii="宋体" w:hAnsi="宋体"/>
          <w:szCs w:val="21"/>
        </w:rPr>
      </w:pPr>
      <w:r>
        <w:rPr>
          <w:rFonts w:hint="eastAsia" w:ascii="宋体" w:hAnsi="宋体"/>
          <w:szCs w:val="21"/>
        </w:rPr>
        <w:t>（5）本供应商递交响应文件的有效期为自递交响应文件截止日起</w:t>
      </w:r>
      <w:r>
        <w:rPr>
          <w:rFonts w:hint="eastAsia" w:ascii="宋体" w:hAnsi="宋体"/>
          <w:szCs w:val="21"/>
          <w:u w:val="single"/>
        </w:rPr>
        <w:t>90个</w:t>
      </w:r>
      <w:r>
        <w:rPr>
          <w:rFonts w:hint="eastAsia" w:ascii="宋体" w:hAnsi="宋体"/>
          <w:szCs w:val="21"/>
        </w:rPr>
        <w:t>日历日。</w:t>
      </w:r>
    </w:p>
    <w:p>
      <w:pPr>
        <w:spacing w:line="360" w:lineRule="auto"/>
        <w:rPr>
          <w:rFonts w:ascii="宋体" w:hAnsi="宋体"/>
          <w:szCs w:val="21"/>
        </w:rPr>
      </w:pPr>
      <w:r>
        <w:rPr>
          <w:rFonts w:hint="eastAsia" w:ascii="宋体" w:hAnsi="宋体"/>
          <w:szCs w:val="21"/>
        </w:rPr>
        <w:t>（6）如果在规定的递交响应文件截止时间后，供应商在谈判有效期内撤回响应文件，将取消供应商参与本项目资格。</w:t>
      </w:r>
    </w:p>
    <w:p>
      <w:pPr>
        <w:spacing w:line="360" w:lineRule="auto"/>
        <w:rPr>
          <w:rFonts w:ascii="宋体" w:hAnsi="宋体"/>
          <w:szCs w:val="21"/>
        </w:rPr>
      </w:pPr>
      <w:r>
        <w:rPr>
          <w:rFonts w:hint="eastAsia" w:ascii="宋体" w:hAnsi="宋体"/>
          <w:szCs w:val="21"/>
        </w:rPr>
        <w:t>（7）愿意向贵方提供任何与该项响应文件有关的数据、情况和技术资料，完全理解贵方不一定接受最低价的响应文件或收到的任何响应文件。</w:t>
      </w:r>
    </w:p>
    <w:p>
      <w:pPr>
        <w:spacing w:line="360" w:lineRule="auto"/>
        <w:rPr>
          <w:rFonts w:ascii="宋体" w:hAnsi="宋体"/>
          <w:szCs w:val="21"/>
        </w:rPr>
      </w:pPr>
      <w:r>
        <w:rPr>
          <w:rFonts w:hint="eastAsia" w:ascii="宋体" w:hAnsi="宋体"/>
          <w:szCs w:val="21"/>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Cs w:val="21"/>
        </w:rPr>
      </w:pPr>
      <w:r>
        <w:rPr>
          <w:rFonts w:hint="eastAsia" w:ascii="宋体" w:hAnsi="宋体"/>
          <w:szCs w:val="21"/>
        </w:rPr>
        <w:t>（9）我方在法律和财务上独立、合法运作并独立于采购人。</w:t>
      </w:r>
    </w:p>
    <w:p>
      <w:pPr>
        <w:spacing w:line="360" w:lineRule="auto"/>
        <w:rPr>
          <w:rFonts w:ascii="宋体" w:hAnsi="宋体"/>
          <w:szCs w:val="21"/>
        </w:rPr>
      </w:pPr>
      <w:r>
        <w:rPr>
          <w:rFonts w:hint="eastAsia" w:ascii="宋体" w:hAnsi="宋体"/>
          <w:szCs w:val="21"/>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）我方具有较大规模的销售和售后服务的组织机构及完善快捷的技术支持能力，承诺在南京地区拥有固定可靠的有效服务网点。</w:t>
      </w:r>
    </w:p>
    <w:p>
      <w:pPr>
        <w:spacing w:line="360" w:lineRule="auto"/>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）根据本项目要求，我单位委派（姓名）（身份证号）作为本项目的项目负责人。</w:t>
      </w:r>
    </w:p>
    <w:p>
      <w:pPr>
        <w:spacing w:line="360" w:lineRule="auto"/>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）与本响应文件有关的一切往来通讯请寄：</w:t>
      </w:r>
    </w:p>
    <w:p>
      <w:pPr>
        <w:spacing w:line="360" w:lineRule="auto"/>
        <w:rPr>
          <w:rFonts w:ascii="宋体" w:hAnsi="宋体"/>
          <w:szCs w:val="21"/>
        </w:rPr>
      </w:pPr>
      <w:r>
        <w:rPr>
          <w:rFonts w:hint="eastAsia" w:ascii="宋体" w:hAnsi="宋体"/>
          <w:szCs w:val="21"/>
        </w:rPr>
        <w:t xml:space="preserve">地址 </w:t>
      </w:r>
      <w:r>
        <w:rPr>
          <w:rFonts w:ascii="宋体" w:hAnsi="宋体"/>
          <w:szCs w:val="21"/>
        </w:rPr>
        <w:t xml:space="preserve">                                  </w:t>
      </w:r>
      <w:r>
        <w:rPr>
          <w:rFonts w:hint="eastAsia" w:ascii="宋体" w:hAnsi="宋体"/>
          <w:szCs w:val="21"/>
        </w:rPr>
        <w:t>传真：</w:t>
      </w:r>
    </w:p>
    <w:p>
      <w:pPr>
        <w:spacing w:line="360" w:lineRule="auto"/>
        <w:rPr>
          <w:rFonts w:ascii="宋体" w:hAnsi="宋体"/>
          <w:szCs w:val="21"/>
        </w:rPr>
      </w:pPr>
      <w:r>
        <w:rPr>
          <w:rFonts w:hint="eastAsia" w:ascii="宋体" w:hAnsi="宋体"/>
          <w:szCs w:val="21"/>
        </w:rPr>
        <w:t xml:space="preserve">电话 </w:t>
      </w:r>
      <w:r>
        <w:rPr>
          <w:rFonts w:ascii="宋体" w:hAnsi="宋体"/>
          <w:szCs w:val="21"/>
        </w:rPr>
        <w:t xml:space="preserve">                                  </w:t>
      </w:r>
      <w:r>
        <w:rPr>
          <w:rFonts w:hint="eastAsia" w:ascii="宋体" w:hAnsi="宋体"/>
          <w:szCs w:val="21"/>
        </w:rPr>
        <w:t>电子函件：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供应商代表（签字）：</w:t>
      </w:r>
    </w:p>
    <w:p>
      <w:pPr>
        <w:spacing w:line="360" w:lineRule="auto"/>
        <w:rPr>
          <w:sz w:val="18"/>
          <w:szCs w:val="21"/>
        </w:rPr>
      </w:pPr>
      <w:r>
        <w:rPr>
          <w:rFonts w:hint="eastAsia" w:ascii="宋体" w:hAnsi="宋体"/>
          <w:szCs w:val="21"/>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77" w:name="_Toc69378664"/>
      <w:bookmarkStart w:id="78" w:name="_Toc26260034"/>
      <w:bookmarkStart w:id="79" w:name="_Toc26259740"/>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7"/>
      <w:bookmarkEnd w:id="78"/>
      <w:bookmarkEnd w:id="79"/>
    </w:p>
    <w:p>
      <w:pPr>
        <w:spacing w:line="360" w:lineRule="auto"/>
      </w:pPr>
      <w:r>
        <w:t>项目名称：</w:t>
      </w:r>
      <w:r>
        <w:rPr>
          <w:rFonts w:hint="eastAsia" w:ascii="宋体" w:hAnsi="宋体"/>
          <w:szCs w:val="21"/>
        </w:rPr>
        <w:t>融合IP视频播出系统备路建设</w:t>
      </w:r>
    </w:p>
    <w:tbl>
      <w:tblPr>
        <w:tblStyle w:val="53"/>
        <w:tblpPr w:leftFromText="180" w:rightFromText="180" w:vertAnchor="text" w:horzAnchor="page" w:tblpX="1601" w:tblpY="45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3086"/>
        <w:gridCol w:w="850"/>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42" w:type="dxa"/>
            <w:vAlign w:val="center"/>
          </w:tcPr>
          <w:p>
            <w:pPr>
              <w:jc w:val="center"/>
              <w:rPr>
                <w:rFonts w:ascii="宋体" w:hAnsi="宋体" w:cs="宋体"/>
                <w:b/>
                <w:szCs w:val="21"/>
              </w:rPr>
            </w:pPr>
            <w:r>
              <w:rPr>
                <w:rFonts w:hint="eastAsia" w:ascii="宋体" w:hAnsi="宋体" w:cs="宋体"/>
                <w:b/>
                <w:szCs w:val="21"/>
              </w:rPr>
              <w:t>产品名称</w:t>
            </w:r>
          </w:p>
        </w:tc>
        <w:tc>
          <w:tcPr>
            <w:tcW w:w="3086"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1560" w:type="dxa"/>
            <w:vAlign w:val="center"/>
          </w:tcPr>
          <w:p>
            <w:pPr>
              <w:jc w:val="center"/>
              <w:rPr>
                <w:rFonts w:ascii="宋体" w:hAnsi="宋体" w:cs="宋体"/>
                <w:b/>
                <w:szCs w:val="21"/>
              </w:rPr>
            </w:pPr>
            <w:r>
              <w:rPr>
                <w:rFonts w:hint="eastAsia" w:ascii="宋体" w:hAnsi="宋体" w:cs="宋体"/>
                <w:b/>
                <w:szCs w:val="21"/>
              </w:rPr>
              <w:t>含税单价（元）</w:t>
            </w:r>
          </w:p>
        </w:tc>
        <w:tc>
          <w:tcPr>
            <w:tcW w:w="1559"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s="宋体"/>
                <w:kern w:val="0"/>
                <w:szCs w:val="21"/>
              </w:rPr>
            </w:pPr>
            <w:r>
              <w:rPr>
                <w:rFonts w:hint="eastAsia" w:asciiTheme="minorEastAsia" w:hAnsiTheme="minorEastAsia" w:eastAsiaTheme="minorEastAsia"/>
                <w:szCs w:val="21"/>
              </w:rPr>
              <w:t>融合IP视频播出服务器</w:t>
            </w:r>
          </w:p>
        </w:tc>
        <w:tc>
          <w:tcPr>
            <w:tcW w:w="3086" w:type="dxa"/>
            <w:vAlign w:val="center"/>
          </w:tcPr>
          <w:p>
            <w:pPr>
              <w:jc w:val="center"/>
              <w:rPr>
                <w:sz w:val="18"/>
                <w:szCs w:val="18"/>
              </w:rPr>
            </w:pPr>
          </w:p>
        </w:tc>
        <w:tc>
          <w:tcPr>
            <w:tcW w:w="850" w:type="dxa"/>
            <w:vAlign w:val="center"/>
          </w:tcPr>
          <w:p>
            <w:pPr>
              <w:jc w:val="center"/>
              <w:rPr>
                <w:szCs w:val="21"/>
              </w:rPr>
            </w:pPr>
            <w:r>
              <w:rPr>
                <w:rFonts w:hint="eastAsia" w:asciiTheme="minorEastAsia" w:hAnsiTheme="minorEastAsia" w:eastAsiaTheme="minorEastAsia"/>
                <w:szCs w:val="21"/>
              </w:rPr>
              <w:t>1台</w:t>
            </w:r>
          </w:p>
        </w:tc>
        <w:tc>
          <w:tcPr>
            <w:tcW w:w="1560"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s="宋体"/>
                <w:kern w:val="0"/>
                <w:szCs w:val="21"/>
              </w:rPr>
            </w:pPr>
            <w:r>
              <w:rPr>
                <w:rFonts w:hint="eastAsia" w:asciiTheme="minorEastAsia" w:hAnsiTheme="minorEastAsia" w:eastAsiaTheme="minorEastAsia"/>
                <w:szCs w:val="21"/>
              </w:rPr>
              <w:t>融合IP视频播出软件</w:t>
            </w:r>
          </w:p>
        </w:tc>
        <w:tc>
          <w:tcPr>
            <w:tcW w:w="3086" w:type="dxa"/>
            <w:vAlign w:val="center"/>
          </w:tcPr>
          <w:p>
            <w:pPr>
              <w:jc w:val="center"/>
              <w:rPr>
                <w:sz w:val="18"/>
                <w:szCs w:val="18"/>
              </w:rPr>
            </w:pPr>
          </w:p>
        </w:tc>
        <w:tc>
          <w:tcPr>
            <w:tcW w:w="850" w:type="dxa"/>
            <w:vAlign w:val="center"/>
          </w:tcPr>
          <w:p>
            <w:pPr>
              <w:jc w:val="center"/>
              <w:rPr>
                <w:szCs w:val="21"/>
              </w:rPr>
            </w:pPr>
            <w:r>
              <w:rPr>
                <w:rFonts w:hint="eastAsia" w:asciiTheme="minorEastAsia" w:hAnsiTheme="minorEastAsia" w:eastAsiaTheme="minorEastAsia"/>
                <w:szCs w:val="21"/>
              </w:rPr>
              <w:t>1套</w:t>
            </w:r>
          </w:p>
        </w:tc>
        <w:tc>
          <w:tcPr>
            <w:tcW w:w="1560"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before="120"/>
              <w:jc w:val="center"/>
              <w:rPr>
                <w:rFonts w:ascii="宋体" w:hAnsi="宋体" w:cs="宋体"/>
                <w:kern w:val="0"/>
                <w:szCs w:val="21"/>
              </w:rPr>
            </w:pPr>
            <w:r>
              <w:rPr>
                <w:rFonts w:hint="eastAsia" w:asciiTheme="minorEastAsia" w:hAnsiTheme="minorEastAsia" w:eastAsiaTheme="minorEastAsia"/>
                <w:szCs w:val="21"/>
              </w:rPr>
              <w:t>融合IP视频播出工作站</w:t>
            </w:r>
          </w:p>
        </w:tc>
        <w:tc>
          <w:tcPr>
            <w:tcW w:w="3086" w:type="dxa"/>
            <w:vAlign w:val="center"/>
          </w:tcPr>
          <w:p>
            <w:pPr>
              <w:jc w:val="center"/>
              <w:rPr>
                <w:sz w:val="18"/>
                <w:szCs w:val="18"/>
              </w:rPr>
            </w:pPr>
          </w:p>
        </w:tc>
        <w:tc>
          <w:tcPr>
            <w:tcW w:w="850" w:type="dxa"/>
            <w:vAlign w:val="center"/>
          </w:tcPr>
          <w:p>
            <w:pPr>
              <w:jc w:val="center"/>
              <w:rPr>
                <w:szCs w:val="21"/>
              </w:rPr>
            </w:pPr>
            <w:r>
              <w:rPr>
                <w:rFonts w:hint="eastAsia" w:asciiTheme="minorEastAsia" w:hAnsiTheme="minorEastAsia" w:eastAsiaTheme="minorEastAsia"/>
                <w:szCs w:val="21"/>
              </w:rPr>
              <w:t>1台</w:t>
            </w:r>
          </w:p>
        </w:tc>
        <w:tc>
          <w:tcPr>
            <w:tcW w:w="1560" w:type="dxa"/>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line="360" w:lineRule="auto"/>
              <w:jc w:val="center"/>
              <w:rPr>
                <w:rFonts w:ascii="宋体" w:hAnsi="宋体" w:cs="宋体"/>
              </w:rPr>
            </w:pPr>
            <w:r>
              <w:rPr>
                <w:rFonts w:hint="eastAsia" w:ascii="宋体" w:hAnsi="宋体" w:cs="宋体"/>
              </w:rPr>
              <w:t>交货期</w:t>
            </w:r>
          </w:p>
        </w:tc>
        <w:tc>
          <w:tcPr>
            <w:tcW w:w="7055"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szCs w:val="21"/>
              </w:rPr>
              <w:t>3</w:t>
            </w:r>
            <w:r>
              <w:rPr>
                <w:rFonts w:ascii="宋体" w:hAnsi="宋体"/>
                <w:szCs w:val="21"/>
              </w:rPr>
              <w:t>0</w:t>
            </w:r>
            <w:r>
              <w:rPr>
                <w:rFonts w:hint="eastAsia" w:ascii="宋体" w:hAnsi="宋体"/>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line="360" w:lineRule="auto"/>
              <w:jc w:val="center"/>
              <w:rPr>
                <w:rFonts w:ascii="宋体" w:hAnsi="宋体" w:cs="宋体"/>
              </w:rPr>
            </w:pPr>
            <w:r>
              <w:rPr>
                <w:rFonts w:hint="eastAsia" w:ascii="宋体" w:hAnsi="宋体" w:cs="宋体"/>
              </w:rPr>
              <w:t>交货地点</w:t>
            </w:r>
          </w:p>
        </w:tc>
        <w:tc>
          <w:tcPr>
            <w:tcW w:w="7055" w:type="dxa"/>
            <w:gridSpan w:val="4"/>
            <w:vAlign w:val="center"/>
          </w:tcPr>
          <w:p>
            <w:pPr>
              <w:spacing w:line="360" w:lineRule="auto"/>
              <w:rPr>
                <w:rFonts w:ascii="宋体" w:hAnsi="宋体"/>
                <w:szCs w:val="21"/>
              </w:rPr>
            </w:pPr>
            <w:r>
              <w:rPr>
                <w:rFonts w:hint="eastAsia" w:ascii="宋体" w:hAnsi="宋体" w:cs="宋体"/>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842" w:type="dxa"/>
            <w:vAlign w:val="center"/>
          </w:tcPr>
          <w:p>
            <w:pPr>
              <w:spacing w:line="360" w:lineRule="auto"/>
              <w:jc w:val="center"/>
              <w:rPr>
                <w:rFonts w:ascii="宋体" w:hAnsi="宋体" w:cs="宋体"/>
              </w:rPr>
            </w:pPr>
            <w:r>
              <w:rPr>
                <w:rFonts w:hint="eastAsia" w:ascii="宋体" w:hAnsi="宋体" w:cs="宋体"/>
              </w:rPr>
              <w:t>免费包修期</w:t>
            </w:r>
          </w:p>
        </w:tc>
        <w:tc>
          <w:tcPr>
            <w:tcW w:w="7055"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line="360" w:lineRule="auto"/>
              <w:jc w:val="center"/>
              <w:rPr>
                <w:rFonts w:ascii="宋体" w:hAnsi="宋体" w:cs="宋体"/>
              </w:rPr>
            </w:pPr>
            <w:r>
              <w:rPr>
                <w:rFonts w:hint="eastAsia" w:ascii="宋体" w:hAnsi="宋体" w:cs="宋体"/>
              </w:rPr>
              <w:t>包修期内的服务内容</w:t>
            </w:r>
          </w:p>
        </w:tc>
        <w:tc>
          <w:tcPr>
            <w:tcW w:w="7055" w:type="dxa"/>
            <w:gridSpan w:val="4"/>
            <w:vAlign w:val="center"/>
          </w:tcPr>
          <w:p>
            <w:pPr>
              <w:spacing w:line="360" w:lineRule="auto"/>
              <w:rPr>
                <w:rFonts w:ascii="宋体" w:hAnsi="宋体" w:cs="宋体"/>
              </w:rPr>
            </w:pPr>
            <w:r>
              <w:rPr>
                <w:rFonts w:hint="eastAsia"/>
              </w:rPr>
              <w:t>竞争性磋商文件</w:t>
            </w:r>
            <w: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2" w:type="dxa"/>
            <w:vAlign w:val="center"/>
          </w:tcPr>
          <w:p>
            <w:pPr>
              <w:spacing w:line="400" w:lineRule="exact"/>
              <w:jc w:val="center"/>
              <w:rPr>
                <w:rFonts w:ascii="宋体" w:hAnsi="宋体" w:cs="宋体"/>
              </w:rPr>
            </w:pPr>
            <w:r>
              <w:t>包修期满后的服务价格</w:t>
            </w:r>
          </w:p>
        </w:tc>
        <w:tc>
          <w:tcPr>
            <w:tcW w:w="7055" w:type="dxa"/>
            <w:gridSpan w:val="4"/>
            <w:vAlign w:val="center"/>
          </w:tcPr>
          <w:p>
            <w:pPr>
              <w:spacing w:line="400" w:lineRule="exact"/>
            </w:pPr>
            <w:r>
              <w:t>维保价格：</w:t>
            </w:r>
            <w:r>
              <w:rPr>
                <w:u w:val="single"/>
              </w:rPr>
              <w:t xml:space="preserve">    </w:t>
            </w:r>
            <w:r>
              <w:t>元/年（</w:t>
            </w:r>
            <w:r>
              <w:rPr>
                <w:szCs w:val="21"/>
              </w:rPr>
              <w:t>年维保费用不得高于合同价格的</w:t>
            </w:r>
            <w:r>
              <w:rPr>
                <w:rFonts w:hint="eastAsia"/>
                <w:szCs w:val="21"/>
              </w:rPr>
              <w:t>5</w:t>
            </w:r>
            <w:r>
              <w:rPr>
                <w:szCs w:val="21"/>
              </w:rPr>
              <w:t>%</w:t>
            </w:r>
            <w:r>
              <w:t>）</w:t>
            </w:r>
          </w:p>
          <w:p>
            <w:pPr>
              <w:spacing w:line="400" w:lineRule="exact"/>
              <w:rPr>
                <w:rFonts w:ascii="宋体" w:hAnsi="宋体" w:cs="宋体"/>
              </w:rPr>
            </w:pPr>
            <w:r>
              <w:t>包含内容：</w:t>
            </w:r>
            <w:r>
              <w:rPr>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842" w:type="dxa"/>
            <w:vAlign w:val="center"/>
          </w:tcPr>
          <w:p>
            <w:pPr>
              <w:jc w:val="center"/>
              <w:rPr>
                <w:rFonts w:ascii="宋体" w:hAnsi="宋体" w:cs="宋体"/>
              </w:rPr>
            </w:pPr>
            <w:r>
              <w:rPr>
                <w:rFonts w:hint="eastAsia" w:ascii="宋体" w:hAnsi="宋体" w:cs="宋体"/>
              </w:rPr>
              <w:t>备注</w:t>
            </w:r>
          </w:p>
        </w:tc>
        <w:tc>
          <w:tcPr>
            <w:tcW w:w="7055" w:type="dxa"/>
            <w:gridSpan w:val="4"/>
          </w:tcPr>
          <w:p>
            <w:pPr>
              <w:rPr>
                <w:rFonts w:ascii="宋体" w:hAnsi="宋体" w:cs="宋体"/>
              </w:rPr>
            </w:pPr>
          </w:p>
        </w:tc>
      </w:tr>
    </w:tbl>
    <w:p/>
    <w:p/>
    <w:p>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竞争性磋商文件</w:t>
      </w:r>
      <w:r>
        <w:rPr>
          <w:szCs w:val="21"/>
        </w:rPr>
        <w:t>要求，提供货到用户指定现场（到楼层）并提供全部服务的含税</w:t>
      </w:r>
      <w:r>
        <w:rPr>
          <w:rFonts w:hint="eastAsia"/>
          <w:szCs w:val="21"/>
        </w:rPr>
        <w:t>价。</w:t>
      </w:r>
    </w:p>
    <w:p>
      <w:pPr>
        <w:snapToGrid w:val="0"/>
        <w:spacing w:line="360" w:lineRule="auto"/>
        <w:rPr>
          <w:szCs w:val="21"/>
        </w:rPr>
      </w:pPr>
      <w:r>
        <w:rPr>
          <w:rFonts w:hint="eastAsia"/>
          <w:szCs w:val="21"/>
        </w:rPr>
        <w:t>2.报价时请仔细阅读竞争性磋商文件《竞争性磋商须知》中关于报价的要求。</w:t>
      </w:r>
    </w:p>
    <w:p>
      <w:pPr>
        <w:snapToGrid w:val="0"/>
        <w:spacing w:line="360" w:lineRule="auto"/>
        <w:rPr>
          <w:szCs w:val="21"/>
        </w:rPr>
      </w:pPr>
      <w:r>
        <w:rPr>
          <w:rFonts w:hint="eastAsia"/>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80" w:name="_Toc69378666"/>
      <w:bookmarkStart w:id="81" w:name="_Toc26260036"/>
      <w:bookmarkStart w:id="82" w:name="_Toc135999010"/>
      <w:bookmarkStart w:id="83" w:name="_Toc26259742"/>
      <w:bookmarkStart w:id="84" w:name="_Toc161767431"/>
      <w:bookmarkStart w:id="85" w:name="_Toc26260035"/>
      <w:bookmarkStart w:id="86" w:name="_Toc69378665"/>
      <w:bookmarkStart w:id="87" w:name="_Toc26259741"/>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80"/>
      <w:bookmarkEnd w:id="81"/>
      <w:bookmarkEnd w:id="82"/>
      <w:bookmarkEnd w:id="83"/>
      <w:bookmarkEnd w:id="84"/>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85"/>
      <w:bookmarkEnd w:id="86"/>
      <w:bookmarkEnd w:id="87"/>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-694690</wp:posOffset>
                </wp:positionH>
                <wp:positionV relativeFrom="paragraph">
                  <wp:posOffset>269240</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54.7pt;margin-top:21.2pt;height:166.45pt;width:259.65pt;z-index:251659264;mso-width-relative:page;mso-height-relative:page;" fillcolor="#FFFFFF" filled="t" stroked="t" coordsize="21600,21600" o:gfxdata="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3tK2gAAAAsBAAAPAAAAAAAAAAEAIAAAACIA&#10;AABkcnMvZG93bnJldi54bWxQSwECFAAUAAAACACHTuJAeSACA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2677160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0.8pt;margin-top:21.75pt;height:166.45pt;width:259.65pt;z-index:251660288;mso-width-relative:page;mso-height-relative:page;" fillcolor="#FFFFFF" filled="t" stroked="t" coordsize="21600,21600" o:gfxdata="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I2BtkAAAAKAQAADwAAAAAAAAABACAAAAAiAAAA&#10;ZHJzL2Rvd25yZXYueG1sUEsBAhQAFAAAAAgAh07iQOywA/s/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-694690</wp:posOffset>
                </wp:positionH>
                <wp:positionV relativeFrom="paragraph">
                  <wp:posOffset>269240</wp:posOffset>
                </wp:positionV>
                <wp:extent cx="3297555" cy="2113915"/>
                <wp:effectExtent l="0" t="0" r="17145" b="19685"/>
                <wp:wrapNone/>
                <wp:docPr id="7"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54.7pt;margin-top:21.2pt;height:166.45pt;width:259.65pt;z-index:251661312;mso-width-relative:page;mso-height-relative:page;" fillcolor="#FFFFFF" filled="t" stroked="t" coordsize="21600,21600" o:gfxdata="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w83tK2gAAAAsBAAAPAAAAAAAAAAEAIAAAACIA&#10;AABkcnMvZG93bnJldi54bWxQSwECFAAUAAAACACHTuJAh5dx0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2677160</wp:posOffset>
                </wp:positionH>
                <wp:positionV relativeFrom="paragraph">
                  <wp:posOffset>276225</wp:posOffset>
                </wp:positionV>
                <wp:extent cx="3297555" cy="2113915"/>
                <wp:effectExtent l="0" t="0" r="17145" b="19685"/>
                <wp:wrapNone/>
                <wp:docPr id="8"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0.8pt;margin-top:21.75pt;height:166.45pt;width:259.65pt;z-index:251662336;mso-width-relative:page;mso-height-relative:page;" fillcolor="#FFFFFF" filled="t" stroked="t" coordsize="21600,21600" o:gfxdata="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&#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iI2BtkAAAAKAQAADwAAAAAAAAABACAAAAAiAAAA&#10;ZHJzL2Rvd25yZXYueG1sUEsBAhQAFAAAAAgAh07iQAPzLvU/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rStyle w:val="106"/>
          <w:rFonts w:ascii="Times New Roman" w:hAnsi="Times New Roman" w:eastAsia="宋体"/>
          <w:b w:val="0"/>
          <w:bCs w:val="0"/>
          <w:sz w:val="21"/>
          <w:szCs w:val="21"/>
        </w:rPr>
      </w:pPr>
      <w:r>
        <w:rPr>
          <w:rFonts w:hint="eastAsia" w:ascii="宋体" w:hAnsi="宋体"/>
          <w:szCs w:val="21"/>
        </w:rPr>
        <w:t>被授权人签字：</w:t>
      </w:r>
      <w:r>
        <w:rPr>
          <w:u w:val="single"/>
        </w:rPr>
        <w:br w:type="page"/>
      </w:r>
      <w:bookmarkStart w:id="88" w:name="_Toc26259743"/>
      <w:bookmarkStart w:id="89" w:name="_Toc26260037"/>
      <w:bookmarkStart w:id="90"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88"/>
      <w:bookmarkEnd w:id="89"/>
      <w:bookmarkEnd w:id="90"/>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91" w:name="_Toc26259744"/>
      <w:bookmarkStart w:id="92" w:name="_Toc161767433"/>
      <w:bookmarkStart w:id="93" w:name="_Toc69378668"/>
      <w:bookmarkStart w:id="94" w:name="_Toc135999012"/>
      <w:bookmarkStart w:id="95" w:name="_Toc2626003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91"/>
      <w:bookmarkEnd w:id="92"/>
      <w:bookmarkEnd w:id="93"/>
      <w:bookmarkEnd w:id="94"/>
      <w:bookmarkEnd w:id="95"/>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2"/>
        </w:numPr>
        <w:spacing w:line="360" w:lineRule="auto"/>
        <w:rPr>
          <w:rFonts w:ascii="宋体"/>
          <w:szCs w:val="21"/>
        </w:rPr>
      </w:pPr>
      <w:r>
        <w:rPr>
          <w:rFonts w:hint="eastAsia" w:ascii="宋体"/>
          <w:szCs w:val="21"/>
        </w:rPr>
        <w:t>供应商应填写和提交下述规定的全部格式以及其它有关资料。</w:t>
      </w:r>
    </w:p>
    <w:p>
      <w:pPr>
        <w:numPr>
          <w:ilvl w:val="0"/>
          <w:numId w:val="22"/>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2"/>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2"/>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2"/>
        </w:numPr>
        <w:spacing w:line="360" w:lineRule="auto"/>
        <w:rPr>
          <w:rFonts w:ascii="宋体"/>
          <w:szCs w:val="21"/>
        </w:rPr>
      </w:pPr>
      <w:r>
        <w:rPr>
          <w:rFonts w:hint="eastAsia" w:ascii="宋体"/>
          <w:szCs w:val="21"/>
        </w:rPr>
        <w:t>供应商提交的材料将被保密，但不退还。</w:t>
      </w:r>
    </w:p>
    <w:p>
      <w:pPr>
        <w:numPr>
          <w:ilvl w:val="0"/>
          <w:numId w:val="22"/>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3"/>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3"/>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3"/>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4"/>
        </w:numPr>
        <w:spacing w:line="360" w:lineRule="auto"/>
        <w:rPr>
          <w:rFonts w:ascii="宋体" w:hAnsi="宋体"/>
          <w:szCs w:val="21"/>
          <w:u w:val="single"/>
        </w:rPr>
      </w:pPr>
      <w:r>
        <w:rPr>
          <w:rFonts w:hint="eastAsia" w:ascii="宋体" w:hAnsi="宋体"/>
          <w:szCs w:val="21"/>
        </w:rPr>
        <w:t>供应商名称：</w:t>
      </w:r>
    </w:p>
    <w:p>
      <w:pPr>
        <w:numPr>
          <w:ilvl w:val="0"/>
          <w:numId w:val="24"/>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4"/>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4"/>
        </w:numPr>
        <w:spacing w:line="360" w:lineRule="auto"/>
        <w:rPr>
          <w:rFonts w:ascii="宋体" w:hAnsi="宋体"/>
          <w:szCs w:val="21"/>
        </w:rPr>
      </w:pPr>
      <w:r>
        <w:rPr>
          <w:rFonts w:hint="eastAsia" w:ascii="宋体" w:hAnsi="宋体"/>
          <w:szCs w:val="21"/>
        </w:rPr>
        <w:t>实收资本：</w:t>
      </w:r>
    </w:p>
    <w:p>
      <w:pPr>
        <w:numPr>
          <w:ilvl w:val="0"/>
          <w:numId w:val="24"/>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4"/>
        </w:numPr>
        <w:spacing w:line="360" w:lineRule="auto"/>
        <w:rPr>
          <w:rFonts w:ascii="宋体" w:hAnsi="宋体"/>
          <w:szCs w:val="21"/>
          <w:u w:val="single"/>
        </w:rPr>
      </w:pPr>
      <w:r>
        <w:rPr>
          <w:rFonts w:hint="eastAsia" w:ascii="宋体" w:hAnsi="宋体"/>
          <w:szCs w:val="21"/>
        </w:rPr>
        <w:t>主要负责人名称：（可选填）</w:t>
      </w:r>
    </w:p>
    <w:p>
      <w:pPr>
        <w:numPr>
          <w:ilvl w:val="0"/>
          <w:numId w:val="24"/>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4"/>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4"/>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4"/>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96" w:name="_Toc26259745"/>
      <w:bookmarkStart w:id="97" w:name="_Toc26260039"/>
      <w:bookmarkStart w:id="98" w:name="_Toc6937866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96"/>
      <w:bookmarkEnd w:id="97"/>
      <w:bookmarkEnd w:id="98"/>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w:t>
            </w:r>
          </w:p>
          <w:p>
            <w:pPr>
              <w:jc w:val="center"/>
              <w:rPr>
                <w:rFonts w:ascii="宋体" w:hAnsi="宋体" w:cs="宋体"/>
                <w:b/>
                <w:bCs/>
                <w:szCs w:val="21"/>
              </w:rPr>
            </w:pPr>
            <w:r>
              <w:rPr>
                <w:rFonts w:hint="eastAsia" w:ascii="宋体" w:hAnsi="宋体" w:cs="宋体"/>
                <w:b/>
                <w:bCs/>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项目规模</w:t>
            </w:r>
          </w:p>
          <w:p>
            <w:pPr>
              <w:jc w:val="center"/>
              <w:rPr>
                <w:rFonts w:ascii="宋体" w:hAnsi="宋体" w:cs="宋体"/>
                <w:b/>
                <w:bCs/>
                <w:szCs w:val="21"/>
              </w:rPr>
            </w:pPr>
            <w:r>
              <w:rPr>
                <w:rFonts w:hint="eastAsia" w:ascii="宋体" w:hAnsi="宋体" w:cs="宋体"/>
                <w:b/>
                <w:bCs/>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szCs w:val="21"/>
              </w:rPr>
            </w:pPr>
            <w:r>
              <w:rPr>
                <w:rFonts w:hint="eastAsia" w:ascii="宋体" w:hAnsi="宋体" w:cs="宋体"/>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szCs w:val="21"/>
              </w:rPr>
            </w:pPr>
            <w:r>
              <w:rPr>
                <w:rFonts w:hint="eastAsia" w:ascii="宋体" w:hAnsi="宋体" w:cs="宋体"/>
                <w:b/>
                <w:bCs/>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r>
              <w:rPr>
                <w:rFonts w:hint="eastAsia" w:ascii="宋体" w:hAnsi="宋体" w:cs="宋体"/>
                <w:b/>
                <w:bCs/>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44"/>
      <w:bookmarkEnd w:id="74"/>
      <w:bookmarkEnd w:id="75"/>
      <w:bookmarkEnd w:id="76"/>
    </w:p>
    <w:p>
      <w:pPr>
        <w:widowControl/>
        <w:jc w:val="left"/>
        <w:rPr>
          <w:rFonts w:eastAsia="黑体"/>
          <w:b/>
          <w:bCs/>
          <w:kern w:val="44"/>
          <w:sz w:val="36"/>
          <w:szCs w:val="36"/>
        </w:rPr>
      </w:pPr>
      <w:r>
        <w:rPr>
          <w:b/>
          <w:sz w:val="36"/>
          <w:szCs w:val="36"/>
        </w:rPr>
        <w:br w:type="page"/>
      </w:r>
    </w:p>
    <w:p>
      <w:pPr>
        <w:pStyle w:val="3"/>
        <w:numPr>
          <w:ilvl w:val="0"/>
          <w:numId w:val="0"/>
        </w:numPr>
        <w:spacing w:line="360" w:lineRule="auto"/>
        <w:rPr>
          <w:sz w:val="52"/>
          <w:szCs w:val="52"/>
        </w:rPr>
      </w:pPr>
      <w:bookmarkStart w:id="99" w:name="_Hlk104374920"/>
      <w:r>
        <w:rPr>
          <w:rFonts w:hint="eastAsia"/>
          <w:b/>
          <w:sz w:val="36"/>
          <w:szCs w:val="36"/>
        </w:rPr>
        <w:t>第七章  其他</w:t>
      </w:r>
    </w:p>
    <w:p>
      <w:pPr>
        <w:widowControl/>
        <w:jc w:val="left"/>
        <w:rPr>
          <w:b/>
          <w:sz w:val="24"/>
        </w:rPr>
      </w:pPr>
      <w:bookmarkStart w:id="100" w:name="_Toc15025"/>
      <w:r>
        <w:rPr>
          <w:rFonts w:hint="eastAsia"/>
          <w:b/>
          <w:sz w:val="24"/>
        </w:rPr>
        <w:t>响应</w:t>
      </w:r>
      <w:r>
        <w:rPr>
          <w:b/>
          <w:sz w:val="24"/>
        </w:rPr>
        <w:t>文件</w:t>
      </w:r>
      <w:r>
        <w:rPr>
          <w:b/>
          <w:kern w:val="11"/>
          <w:sz w:val="24"/>
        </w:rPr>
        <w:t>封套格式</w:t>
      </w:r>
      <w:r>
        <w:rPr>
          <w:b/>
          <w:sz w:val="24"/>
        </w:rPr>
        <w:t>如下：</w:t>
      </w:r>
      <w:bookmarkEnd w:id="100"/>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spacing w:before="312" w:beforeLines="100" w:after="312" w:afterLines="100"/>
              <w:jc w:val="center"/>
              <w:rPr>
                <w:rFonts w:eastAsia="黑体"/>
                <w:sz w:val="28"/>
                <w:szCs w:val="28"/>
              </w:rPr>
            </w:pPr>
          </w:p>
          <w:p>
            <w:pPr>
              <w:pStyle w:val="2"/>
              <w:spacing w:before="312" w:beforeLines="100" w:after="312" w:afterLines="100"/>
              <w:jc w:val="center"/>
              <w:rPr>
                <w:rFonts w:eastAsia="黑体"/>
                <w:szCs w:val="28"/>
              </w:rPr>
            </w:pPr>
          </w:p>
          <w:p>
            <w:pPr>
              <w:pStyle w:val="2"/>
            </w:pPr>
          </w:p>
          <w:p/>
          <w:p>
            <w:pPr>
              <w:jc w:val="center"/>
              <w:rPr>
                <w:rFonts w:eastAsia="黑体"/>
                <w:sz w:val="52"/>
                <w:szCs w:val="36"/>
              </w:rPr>
            </w:pPr>
            <w:r>
              <w:rPr>
                <w:rFonts w:hint="eastAsia" w:eastAsia="黑体"/>
                <w:sz w:val="52"/>
                <w:szCs w:val="36"/>
              </w:rPr>
              <w:t>响应文件</w:t>
            </w:r>
          </w:p>
          <w:p>
            <w:pPr>
              <w:spacing w:after="120"/>
              <w:jc w:val="center"/>
              <w:rPr>
                <w:rFonts w:eastAsia="PMingLiU"/>
                <w:sz w:val="36"/>
                <w:szCs w:val="36"/>
                <w:lang w:val="zh-TW" w:eastAsia="zh-TW"/>
              </w:rPr>
            </w:pPr>
            <w:r>
              <w:rPr>
                <w:rFonts w:hint="eastAsia" w:eastAsia="黑体"/>
                <w:sz w:val="28"/>
                <w:szCs w:val="28"/>
              </w:rPr>
              <w:t>（开标时间以前不得开封）</w:t>
            </w:r>
          </w:p>
          <w:p>
            <w:pPr>
              <w:spacing w:before="312" w:beforeLines="100" w:after="312" w:afterLines="100"/>
              <w:jc w:val="center"/>
              <w:rPr>
                <w:rFonts w:eastAsia="黑体"/>
                <w:sz w:val="52"/>
                <w:szCs w:val="36"/>
              </w:rPr>
            </w:pPr>
          </w:p>
          <w:p>
            <w:pPr>
              <w:pStyle w:val="2"/>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pPr>
    </w:p>
    <w:p>
      <w:pPr>
        <w:widowControl/>
        <w:spacing w:line="360" w:lineRule="auto"/>
        <w:jc w:val="left"/>
        <w:rPr>
          <w:kern w:val="11"/>
          <w:sz w:val="24"/>
        </w:rPr>
      </w:pPr>
    </w:p>
    <w:p>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sz w:val="32"/>
                <w:szCs w:val="32"/>
                <w:u w:val="single"/>
              </w:rPr>
            </w:pPr>
          </w:p>
          <w:p>
            <w:pPr>
              <w:jc w:val="center"/>
              <w:rPr>
                <w:rFonts w:eastAsia="黑体"/>
                <w:sz w:val="32"/>
                <w:szCs w:val="32"/>
              </w:rPr>
            </w:pPr>
            <w:r>
              <w:rPr>
                <w:rFonts w:hint="eastAsia" w:eastAsia="黑体"/>
                <w:sz w:val="32"/>
                <w:szCs w:val="32"/>
              </w:rPr>
              <w:t>江苏省广电有线信息网络股份有限公司</w:t>
            </w:r>
          </w:p>
          <w:p>
            <w:pPr>
              <w:jc w:val="center"/>
              <w:rPr>
                <w:rFonts w:eastAsia="黑体"/>
                <w:sz w:val="32"/>
                <w:szCs w:val="32"/>
              </w:rPr>
            </w:pPr>
            <w:r>
              <w:rPr>
                <w:rFonts w:hint="eastAsia" w:eastAsia="黑体"/>
                <w:sz w:val="32"/>
                <w:szCs w:val="32"/>
              </w:rPr>
              <w:t>XXX项目</w:t>
            </w:r>
          </w:p>
          <w:p>
            <w:pPr>
              <w:jc w:val="center"/>
              <w:rPr>
                <w:rFonts w:eastAsia="黑体"/>
                <w:sz w:val="28"/>
                <w:szCs w:val="28"/>
              </w:rPr>
            </w:pPr>
          </w:p>
          <w:p>
            <w:pPr>
              <w:pStyle w:val="2"/>
              <w:jc w:val="center"/>
              <w:rPr>
                <w:rFonts w:eastAsia="黑体"/>
                <w:szCs w:val="28"/>
                <w:u w:val="single"/>
              </w:rPr>
            </w:pPr>
          </w:p>
          <w:p>
            <w:pPr>
              <w:spacing w:before="312" w:beforeLines="100" w:after="312" w:afterLines="100"/>
              <w:jc w:val="center"/>
              <w:rPr>
                <w:rFonts w:eastAsia="黑体"/>
                <w:sz w:val="52"/>
                <w:szCs w:val="36"/>
              </w:rPr>
            </w:pPr>
          </w:p>
          <w:p>
            <w:pPr>
              <w:jc w:val="center"/>
              <w:rPr>
                <w:rFonts w:eastAsia="黑体"/>
                <w:sz w:val="52"/>
                <w:szCs w:val="36"/>
              </w:rPr>
            </w:pPr>
            <w:r>
              <w:rPr>
                <w:rFonts w:hint="eastAsia" w:eastAsia="黑体"/>
                <w:sz w:val="52"/>
                <w:szCs w:val="36"/>
              </w:rPr>
              <w:t>响应文件电子版</w:t>
            </w:r>
          </w:p>
          <w:p>
            <w:pPr>
              <w:spacing w:after="120"/>
              <w:jc w:val="center"/>
              <w:rPr>
                <w:rFonts w:eastAsia="PMingLiU"/>
                <w:sz w:val="36"/>
                <w:szCs w:val="36"/>
                <w:lang w:val="zh-TW" w:eastAsia="zh-TW"/>
              </w:rPr>
            </w:pPr>
            <w:r>
              <w:rPr>
                <w:rFonts w:hint="eastAsia" w:eastAsia="黑体"/>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sz w:val="52"/>
                <w:szCs w:val="36"/>
              </w:rPr>
            </w:pPr>
          </w:p>
          <w:p>
            <w:pPr>
              <w:spacing w:line="360" w:lineRule="auto"/>
              <w:jc w:val="center"/>
              <w:rPr>
                <w:rFonts w:eastAsia="黑体"/>
                <w:sz w:val="24"/>
              </w:rPr>
            </w:pPr>
            <w:r>
              <w:rPr>
                <w:rFonts w:hint="eastAsia" w:eastAsia="黑体"/>
                <w:sz w:val="24"/>
              </w:rPr>
              <w:t>供应商</w:t>
            </w:r>
            <w:r>
              <w:rPr>
                <w:rFonts w:eastAsia="黑体"/>
                <w:sz w:val="24"/>
              </w:rPr>
              <w:t>：</w:t>
            </w:r>
            <w:r>
              <w:rPr>
                <w:rFonts w:eastAsia="黑体"/>
                <w:sz w:val="24"/>
                <w:u w:val="single"/>
              </w:rPr>
              <w:t xml:space="preserve">                         </w:t>
            </w:r>
            <w:r>
              <w:rPr>
                <w:rFonts w:eastAsia="黑体"/>
                <w:sz w:val="24"/>
              </w:rPr>
              <w:t>（盖单位章）</w:t>
            </w:r>
          </w:p>
          <w:p>
            <w:pPr>
              <w:spacing w:line="360" w:lineRule="auto"/>
              <w:jc w:val="center"/>
              <w:rPr>
                <w:rFonts w:eastAsia="黑体"/>
                <w:sz w:val="24"/>
              </w:rPr>
            </w:pPr>
            <w:r>
              <w:rPr>
                <w:rFonts w:eastAsia="黑体"/>
                <w:sz w:val="24"/>
              </w:rPr>
              <w:t>法定代表人或其委托的代理人：</w:t>
            </w:r>
            <w:r>
              <w:rPr>
                <w:rFonts w:eastAsia="黑体"/>
                <w:sz w:val="24"/>
                <w:u w:val="single"/>
              </w:rPr>
              <w:t xml:space="preserve">             </w:t>
            </w:r>
            <w:r>
              <w:rPr>
                <w:rFonts w:eastAsia="黑体"/>
                <w:sz w:val="24"/>
              </w:rPr>
              <w:t>（签字）</w:t>
            </w:r>
          </w:p>
          <w:p>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r>
              <w:rPr>
                <w:rFonts w:eastAsia="黑体"/>
                <w:sz w:val="24"/>
                <w:u w:val="single"/>
              </w:rPr>
              <w:t xml:space="preserve">                            </w:t>
            </w:r>
          </w:p>
          <w:p>
            <w:pPr>
              <w:spacing w:after="624" w:afterLines="200"/>
              <w:ind w:firstLine="3000" w:firstLineChars="1250"/>
              <w:rPr>
                <w:kern w:val="11"/>
              </w:rPr>
            </w:pPr>
            <w:r>
              <w:rPr>
                <w:rFonts w:hint="eastAsia" w:eastAsia="黑体"/>
                <w:sz w:val="24"/>
              </w:rPr>
              <w:t xml:space="preserve"> </w:t>
            </w:r>
            <w:r>
              <w:rPr>
                <w:rFonts w:hint="eastAsia" w:eastAsia="黑体"/>
                <w:sz w:val="24"/>
                <w:u w:val="single"/>
              </w:rPr>
              <w:t xml:space="preserve">       </w:t>
            </w:r>
            <w:r>
              <w:rPr>
                <w:rFonts w:eastAsia="黑体"/>
                <w:sz w:val="24"/>
              </w:rPr>
              <w:t>年</w:t>
            </w:r>
            <w:r>
              <w:rPr>
                <w:rFonts w:eastAsia="黑体"/>
                <w:sz w:val="24"/>
                <w:u w:val="single"/>
              </w:rPr>
              <w:t xml:space="preserve">    </w:t>
            </w:r>
            <w:r>
              <w:rPr>
                <w:rFonts w:eastAsia="黑体"/>
                <w:sz w:val="24"/>
              </w:rPr>
              <w:t>月</w:t>
            </w:r>
            <w:r>
              <w:rPr>
                <w:rFonts w:eastAsia="黑体"/>
                <w:sz w:val="24"/>
                <w:u w:val="single"/>
              </w:rPr>
              <w:t xml:space="preserve">    </w:t>
            </w:r>
            <w:r>
              <w:rPr>
                <w:rFonts w:eastAsia="黑体"/>
                <w:sz w:val="24"/>
              </w:rPr>
              <w:t>日</w:t>
            </w:r>
          </w:p>
        </w:tc>
      </w:tr>
    </w:tbl>
    <w:p>
      <w:pPr>
        <w:rPr>
          <w:kern w:val="11"/>
          <w:sz w:val="24"/>
        </w:rPr>
      </w:pPr>
    </w:p>
    <w:p>
      <w:pPr>
        <w:widowControl/>
        <w:jc w:val="left"/>
        <w:rPr>
          <w:kern w:val="11"/>
          <w:sz w:val="24"/>
        </w:rPr>
      </w:pPr>
      <w:r>
        <w:rPr>
          <w:kern w:val="11"/>
          <w:sz w:val="24"/>
        </w:rPr>
        <w:br w:type="page"/>
      </w:r>
    </w:p>
    <w:p>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p>
      <w:pPr>
        <w:pStyle w:val="2"/>
        <w:jc w:val="center"/>
      </w:pPr>
      <w:r>
        <w:br w:type="page"/>
      </w:r>
    </w:p>
    <w:p>
      <w:pPr>
        <w:pStyle w:val="2"/>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2"/>
      </w:pPr>
      <w:r>
        <w:rPr>
          <w:rFonts w:hint="eastAsia"/>
        </w:rPr>
        <w:t>江苏省广电有线信息网络股份有限公司：</w:t>
      </w:r>
    </w:p>
    <w:p>
      <w:pPr>
        <w:pStyle w:val="2"/>
      </w:pPr>
      <w:r>
        <w:rPr>
          <w:rFonts w:hint="eastAsia"/>
        </w:rPr>
        <w:t xml:space="preserve">    我单位申请参与贵单位</w:t>
      </w:r>
      <w:r>
        <w:rPr>
          <w:rFonts w:hint="eastAsia"/>
          <w:u w:val="single"/>
        </w:rPr>
        <w:t xml:space="preserve">              </w:t>
      </w:r>
      <w:r>
        <w:rPr>
          <w:rFonts w:hint="eastAsia"/>
        </w:rPr>
        <w:t>项目。</w:t>
      </w:r>
    </w:p>
    <w:p>
      <w:pPr>
        <w:pStyle w:val="2"/>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2"/>
        <w:ind w:firstLine="420" w:firstLineChars="150"/>
      </w:pPr>
      <w:r>
        <w:rPr>
          <w:rFonts w:hint="eastAsia"/>
        </w:rPr>
        <w:t xml:space="preserve"> 1.姓名：</w:t>
      </w:r>
    </w:p>
    <w:p>
      <w:pPr>
        <w:pStyle w:val="2"/>
        <w:ind w:firstLine="420" w:firstLineChars="150"/>
      </w:pPr>
      <w:r>
        <w:rPr>
          <w:rFonts w:hint="eastAsia"/>
        </w:rPr>
        <w:t xml:space="preserve"> 2.身份证号：</w:t>
      </w:r>
    </w:p>
    <w:p>
      <w:pPr>
        <w:pStyle w:val="2"/>
        <w:ind w:firstLine="420" w:firstLineChars="150"/>
      </w:pPr>
      <w:r>
        <w:rPr>
          <w:rFonts w:hint="eastAsia"/>
        </w:rPr>
        <w:t xml:space="preserve"> 3.职位：</w:t>
      </w:r>
    </w:p>
    <w:p>
      <w:pPr>
        <w:pStyle w:val="2"/>
        <w:ind w:firstLine="420" w:firstLineChars="150"/>
      </w:pPr>
      <w:r>
        <w:rPr>
          <w:rFonts w:hint="eastAsia"/>
        </w:rPr>
        <w:t xml:space="preserve"> 4.联系电话（手机）：</w:t>
      </w:r>
    </w:p>
    <w:p>
      <w:pPr>
        <w:pStyle w:val="2"/>
        <w:ind w:firstLine="420" w:firstLineChars="150"/>
      </w:pPr>
      <w:r>
        <w:rPr>
          <w:rFonts w:hint="eastAsia"/>
        </w:rPr>
        <w:t xml:space="preserve"> 5.联系电子邮箱：</w:t>
      </w:r>
    </w:p>
    <w:p>
      <w:pPr>
        <w:pStyle w:val="2"/>
        <w:ind w:firstLine="420" w:firstLineChars="150"/>
      </w:pPr>
      <w:r>
        <w:rPr>
          <w:rFonts w:hint="eastAsia"/>
        </w:rPr>
        <w:t xml:space="preserve"> 6.微信号:</w:t>
      </w:r>
    </w:p>
    <w:p>
      <w:pPr>
        <w:pStyle w:val="2"/>
        <w:ind w:firstLine="420" w:firstLineChars="150"/>
      </w:pPr>
      <w:r>
        <w:rPr>
          <w:rFonts w:hint="eastAsia"/>
        </w:rPr>
        <w:t xml:space="preserve"> 7.响应文件递送方式：</w:t>
      </w:r>
    </w:p>
    <w:p>
      <w:pPr>
        <w:pStyle w:val="26"/>
        <w:ind w:firstLine="200"/>
      </w:pPr>
    </w:p>
    <w:p>
      <w:pPr>
        <w:pStyle w:val="26"/>
        <w:ind w:firstLine="200"/>
      </w:pPr>
    </w:p>
    <w:p>
      <w:pPr>
        <w:pStyle w:val="26"/>
        <w:ind w:firstLine="200"/>
      </w:pPr>
    </w:p>
    <w:p>
      <w:pPr>
        <w:pStyle w:val="2"/>
        <w:ind w:firstLine="560" w:firstLineChars="200"/>
      </w:pPr>
      <w:r>
        <w:rPr>
          <w:rFonts w:hint="eastAsia"/>
        </w:rPr>
        <w:t>供应商：</w:t>
      </w:r>
      <w:r>
        <w:rPr>
          <w:rFonts w:hint="eastAsia"/>
          <w:u w:val="single"/>
        </w:rPr>
        <w:t xml:space="preserve">                     </w:t>
      </w:r>
      <w:r>
        <w:rPr>
          <w:rFonts w:hint="eastAsia"/>
        </w:rPr>
        <w:t>（盖章）</w:t>
      </w:r>
    </w:p>
    <w:p>
      <w:pPr>
        <w:pStyle w:val="2"/>
        <w:ind w:firstLine="560" w:firstLineChars="200"/>
      </w:pPr>
      <w:r>
        <w:rPr>
          <w:rFonts w:hint="eastAsia"/>
        </w:rPr>
        <w:t>日期：</w:t>
      </w:r>
    </w:p>
    <w:p>
      <w:pPr>
        <w:pStyle w:val="26"/>
        <w:ind w:firstLine="200"/>
      </w:pPr>
      <w:r>
        <w:rPr>
          <w:rFonts w:hint="eastAsia"/>
        </w:rPr>
        <w:t xml:space="preserve">  </w:t>
      </w:r>
    </w:p>
    <w:p>
      <w:pPr>
        <w:pStyle w:val="2"/>
        <w:adjustRightInd w:val="0"/>
        <w:snapToGrid w:val="0"/>
        <w:spacing w:line="440" w:lineRule="exact"/>
        <w:jc w:val="center"/>
        <w:rPr>
          <w:rFonts w:ascii="宋体" w:hAnsi="宋体"/>
          <w:sz w:val="44"/>
          <w:szCs w:val="44"/>
        </w:rPr>
      </w:pPr>
      <w:r>
        <w:br w:type="page"/>
      </w:r>
    </w:p>
    <w:p>
      <w:pPr>
        <w:pStyle w:val="26"/>
        <w:snapToGrid w:val="0"/>
        <w:spacing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26"/>
        <w:snapToGrid w:val="0"/>
        <w:spacing w:line="520" w:lineRule="exact"/>
        <w:ind w:firstLine="1100" w:firstLineChars="250"/>
        <w:jc w:val="center"/>
        <w:rPr>
          <w:rFonts w:ascii="宋体" w:hAnsi="宋体"/>
          <w:sz w:val="44"/>
          <w:szCs w:val="44"/>
        </w:rPr>
      </w:pPr>
    </w:p>
    <w:p>
      <w:pPr>
        <w:pStyle w:val="26"/>
        <w:snapToGrid w:val="0"/>
        <w:spacing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6"/>
        <w:snapToGrid w:val="0"/>
        <w:spacing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2．</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6"/>
        <w:snapToGrid w:val="0"/>
        <w:spacing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p/>
    <w:bookmarkEnd w:id="99"/>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35</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735"/>
        </w:tabs>
        <w:ind w:left="73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6">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3C06031E"/>
    <w:multiLevelType w:val="multilevel"/>
    <w:tmpl w:val="3C06031E"/>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23D2E30"/>
    <w:multiLevelType w:val="multilevel"/>
    <w:tmpl w:val="523D2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84E2006"/>
    <w:multiLevelType w:val="multilevel"/>
    <w:tmpl w:val="784E20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18"/>
  </w:num>
  <w:num w:numId="3">
    <w:abstractNumId w:val="6"/>
  </w:num>
  <w:num w:numId="4">
    <w:abstractNumId w:val="3"/>
  </w:num>
  <w:num w:numId="5">
    <w:abstractNumId w:val="16"/>
  </w:num>
  <w:num w:numId="6">
    <w:abstractNumId w:val="17"/>
  </w:num>
  <w:num w:numId="7">
    <w:abstractNumId w:val="21"/>
  </w:num>
  <w:num w:numId="8">
    <w:abstractNumId w:val="23"/>
  </w:num>
  <w:num w:numId="9">
    <w:abstractNumId w:val="1"/>
  </w:num>
  <w:num w:numId="10">
    <w:abstractNumId w:val="0"/>
  </w:num>
  <w:num w:numId="11">
    <w:abstractNumId w:val="5"/>
  </w:num>
  <w:num w:numId="12">
    <w:abstractNumId w:val="2"/>
  </w:num>
  <w:num w:numId="13">
    <w:abstractNumId w:val="4"/>
  </w:num>
  <w:num w:numId="14">
    <w:abstractNumId w:val="19"/>
  </w:num>
  <w:num w:numId="15">
    <w:abstractNumId w:val="7"/>
  </w:num>
  <w:num w:numId="16">
    <w:abstractNumId w:val="11"/>
  </w:num>
  <w:num w:numId="17">
    <w:abstractNumId w:val="9"/>
  </w:num>
  <w:num w:numId="18">
    <w:abstractNumId w:val="10"/>
  </w:num>
  <w:num w:numId="19">
    <w:abstractNumId w:val="8"/>
  </w:num>
  <w:num w:numId="20">
    <w:abstractNumId w:val="12"/>
  </w:num>
  <w:num w:numId="21">
    <w:abstractNumId w:val="13"/>
  </w:num>
  <w:num w:numId="22">
    <w:abstractNumId w:val="14"/>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9DD"/>
    <w:rsid w:val="00024C77"/>
    <w:rsid w:val="0003066C"/>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A14"/>
    <w:rsid w:val="0005189A"/>
    <w:rsid w:val="00053058"/>
    <w:rsid w:val="00053A52"/>
    <w:rsid w:val="00053E94"/>
    <w:rsid w:val="0005497F"/>
    <w:rsid w:val="00056D8B"/>
    <w:rsid w:val="00056FD5"/>
    <w:rsid w:val="000577B3"/>
    <w:rsid w:val="000578CD"/>
    <w:rsid w:val="0005799E"/>
    <w:rsid w:val="000618EA"/>
    <w:rsid w:val="000619DA"/>
    <w:rsid w:val="00061F51"/>
    <w:rsid w:val="00062477"/>
    <w:rsid w:val="00064583"/>
    <w:rsid w:val="00064913"/>
    <w:rsid w:val="00066324"/>
    <w:rsid w:val="00067FDF"/>
    <w:rsid w:val="00070964"/>
    <w:rsid w:val="00071DBA"/>
    <w:rsid w:val="00072029"/>
    <w:rsid w:val="000728EA"/>
    <w:rsid w:val="0007389F"/>
    <w:rsid w:val="0007445B"/>
    <w:rsid w:val="000749D9"/>
    <w:rsid w:val="000760C6"/>
    <w:rsid w:val="0007666E"/>
    <w:rsid w:val="00076700"/>
    <w:rsid w:val="00076D4E"/>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59B3"/>
    <w:rsid w:val="00096080"/>
    <w:rsid w:val="00096339"/>
    <w:rsid w:val="000A28DA"/>
    <w:rsid w:val="000A3669"/>
    <w:rsid w:val="000A5155"/>
    <w:rsid w:val="000A688C"/>
    <w:rsid w:val="000A7250"/>
    <w:rsid w:val="000A7D58"/>
    <w:rsid w:val="000B02BC"/>
    <w:rsid w:val="000B11A0"/>
    <w:rsid w:val="000B15B5"/>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4A0F"/>
    <w:rsid w:val="000E5C95"/>
    <w:rsid w:val="000E6277"/>
    <w:rsid w:val="000E7497"/>
    <w:rsid w:val="000F1443"/>
    <w:rsid w:val="000F2031"/>
    <w:rsid w:val="000F2D35"/>
    <w:rsid w:val="000F38BD"/>
    <w:rsid w:val="000F53CB"/>
    <w:rsid w:val="000F5FE5"/>
    <w:rsid w:val="000F6FE1"/>
    <w:rsid w:val="00100B22"/>
    <w:rsid w:val="001014D5"/>
    <w:rsid w:val="001015D1"/>
    <w:rsid w:val="00105AA5"/>
    <w:rsid w:val="00105B57"/>
    <w:rsid w:val="001060EC"/>
    <w:rsid w:val="00106A2A"/>
    <w:rsid w:val="001077D6"/>
    <w:rsid w:val="00110461"/>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82A"/>
    <w:rsid w:val="00171FDA"/>
    <w:rsid w:val="00172446"/>
    <w:rsid w:val="001730DF"/>
    <w:rsid w:val="001738F1"/>
    <w:rsid w:val="001759B2"/>
    <w:rsid w:val="00175A52"/>
    <w:rsid w:val="00176D2C"/>
    <w:rsid w:val="00177676"/>
    <w:rsid w:val="00177E3C"/>
    <w:rsid w:val="00181462"/>
    <w:rsid w:val="0018189F"/>
    <w:rsid w:val="0018438A"/>
    <w:rsid w:val="00187F26"/>
    <w:rsid w:val="00190285"/>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496A"/>
    <w:rsid w:val="001D6C53"/>
    <w:rsid w:val="001D73F4"/>
    <w:rsid w:val="001E16C1"/>
    <w:rsid w:val="001E371B"/>
    <w:rsid w:val="001E56B6"/>
    <w:rsid w:val="001E653F"/>
    <w:rsid w:val="001E7EBA"/>
    <w:rsid w:val="001F19AA"/>
    <w:rsid w:val="001F1C2F"/>
    <w:rsid w:val="001F292B"/>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5226"/>
    <w:rsid w:val="00225478"/>
    <w:rsid w:val="00226F02"/>
    <w:rsid w:val="00227DB7"/>
    <w:rsid w:val="002322AB"/>
    <w:rsid w:val="00233899"/>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6B29"/>
    <w:rsid w:val="00267B75"/>
    <w:rsid w:val="00267CA7"/>
    <w:rsid w:val="00270E79"/>
    <w:rsid w:val="00273181"/>
    <w:rsid w:val="002735D8"/>
    <w:rsid w:val="00273970"/>
    <w:rsid w:val="0027507D"/>
    <w:rsid w:val="002753B6"/>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5292"/>
    <w:rsid w:val="00296281"/>
    <w:rsid w:val="00296FB0"/>
    <w:rsid w:val="002977C3"/>
    <w:rsid w:val="002A09B2"/>
    <w:rsid w:val="002A18B6"/>
    <w:rsid w:val="002A20BE"/>
    <w:rsid w:val="002A31A6"/>
    <w:rsid w:val="002A398F"/>
    <w:rsid w:val="002A57B4"/>
    <w:rsid w:val="002A5B00"/>
    <w:rsid w:val="002A63D6"/>
    <w:rsid w:val="002A77CF"/>
    <w:rsid w:val="002B07CB"/>
    <w:rsid w:val="002B1713"/>
    <w:rsid w:val="002B271D"/>
    <w:rsid w:val="002B274E"/>
    <w:rsid w:val="002C0317"/>
    <w:rsid w:val="002C1A9F"/>
    <w:rsid w:val="002C1F7C"/>
    <w:rsid w:val="002C4538"/>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6CC"/>
    <w:rsid w:val="002F5C10"/>
    <w:rsid w:val="002F65C2"/>
    <w:rsid w:val="00300063"/>
    <w:rsid w:val="00300124"/>
    <w:rsid w:val="00300CA0"/>
    <w:rsid w:val="003018A3"/>
    <w:rsid w:val="003020BC"/>
    <w:rsid w:val="00302EBB"/>
    <w:rsid w:val="003035C2"/>
    <w:rsid w:val="003044CF"/>
    <w:rsid w:val="0030460F"/>
    <w:rsid w:val="00304BAC"/>
    <w:rsid w:val="00304D7F"/>
    <w:rsid w:val="0030539C"/>
    <w:rsid w:val="003066EF"/>
    <w:rsid w:val="003109D7"/>
    <w:rsid w:val="00311B3A"/>
    <w:rsid w:val="00311FBD"/>
    <w:rsid w:val="00312C46"/>
    <w:rsid w:val="0031392C"/>
    <w:rsid w:val="0031567C"/>
    <w:rsid w:val="003171D7"/>
    <w:rsid w:val="003179F8"/>
    <w:rsid w:val="00317C08"/>
    <w:rsid w:val="0032052D"/>
    <w:rsid w:val="003225E3"/>
    <w:rsid w:val="00323914"/>
    <w:rsid w:val="00324A2F"/>
    <w:rsid w:val="00325CE2"/>
    <w:rsid w:val="003305F0"/>
    <w:rsid w:val="00331D34"/>
    <w:rsid w:val="00332EBF"/>
    <w:rsid w:val="003336F4"/>
    <w:rsid w:val="0033591B"/>
    <w:rsid w:val="00340248"/>
    <w:rsid w:val="00340AEA"/>
    <w:rsid w:val="003411C2"/>
    <w:rsid w:val="00342CA6"/>
    <w:rsid w:val="00343793"/>
    <w:rsid w:val="0034452F"/>
    <w:rsid w:val="00344A08"/>
    <w:rsid w:val="00345331"/>
    <w:rsid w:val="0034674C"/>
    <w:rsid w:val="0034677A"/>
    <w:rsid w:val="00350958"/>
    <w:rsid w:val="00352C45"/>
    <w:rsid w:val="00352D6D"/>
    <w:rsid w:val="00352DC2"/>
    <w:rsid w:val="00354782"/>
    <w:rsid w:val="00355E15"/>
    <w:rsid w:val="0035600E"/>
    <w:rsid w:val="00356959"/>
    <w:rsid w:val="00356B6A"/>
    <w:rsid w:val="003574EF"/>
    <w:rsid w:val="00361CD2"/>
    <w:rsid w:val="00363BAE"/>
    <w:rsid w:val="0036480C"/>
    <w:rsid w:val="003653EE"/>
    <w:rsid w:val="0036572F"/>
    <w:rsid w:val="00367C42"/>
    <w:rsid w:val="00370088"/>
    <w:rsid w:val="00372E2F"/>
    <w:rsid w:val="00374FD7"/>
    <w:rsid w:val="00375173"/>
    <w:rsid w:val="00375782"/>
    <w:rsid w:val="00377BF9"/>
    <w:rsid w:val="00380A80"/>
    <w:rsid w:val="0038135C"/>
    <w:rsid w:val="00381F8E"/>
    <w:rsid w:val="003825FC"/>
    <w:rsid w:val="003827BD"/>
    <w:rsid w:val="0038337F"/>
    <w:rsid w:val="00384CFA"/>
    <w:rsid w:val="00385258"/>
    <w:rsid w:val="00385698"/>
    <w:rsid w:val="0038661B"/>
    <w:rsid w:val="00387449"/>
    <w:rsid w:val="00387BE1"/>
    <w:rsid w:val="003949FF"/>
    <w:rsid w:val="003953E6"/>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41C"/>
    <w:rsid w:val="003B5605"/>
    <w:rsid w:val="003B5EB6"/>
    <w:rsid w:val="003B6D44"/>
    <w:rsid w:val="003B7A81"/>
    <w:rsid w:val="003C04AD"/>
    <w:rsid w:val="003C16C9"/>
    <w:rsid w:val="003C1A34"/>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0F0"/>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27AFA"/>
    <w:rsid w:val="0043002B"/>
    <w:rsid w:val="00433F5D"/>
    <w:rsid w:val="00435B2D"/>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33B"/>
    <w:rsid w:val="0048667A"/>
    <w:rsid w:val="004874E7"/>
    <w:rsid w:val="00487D08"/>
    <w:rsid w:val="00490BA9"/>
    <w:rsid w:val="004917CD"/>
    <w:rsid w:val="0049216E"/>
    <w:rsid w:val="00492A51"/>
    <w:rsid w:val="00492CA0"/>
    <w:rsid w:val="00493168"/>
    <w:rsid w:val="0049373E"/>
    <w:rsid w:val="00494435"/>
    <w:rsid w:val="00494AEA"/>
    <w:rsid w:val="0049501E"/>
    <w:rsid w:val="00495459"/>
    <w:rsid w:val="0049606A"/>
    <w:rsid w:val="0049659C"/>
    <w:rsid w:val="004A0AAD"/>
    <w:rsid w:val="004A2717"/>
    <w:rsid w:val="004A2DF6"/>
    <w:rsid w:val="004A47C0"/>
    <w:rsid w:val="004A4E12"/>
    <w:rsid w:val="004A51B2"/>
    <w:rsid w:val="004A5E4E"/>
    <w:rsid w:val="004A68B0"/>
    <w:rsid w:val="004A6A4D"/>
    <w:rsid w:val="004A6F10"/>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7389"/>
    <w:rsid w:val="004D7421"/>
    <w:rsid w:val="004E486F"/>
    <w:rsid w:val="004E5746"/>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533"/>
    <w:rsid w:val="00512BEF"/>
    <w:rsid w:val="00513F36"/>
    <w:rsid w:val="00515427"/>
    <w:rsid w:val="00516300"/>
    <w:rsid w:val="00516A5B"/>
    <w:rsid w:val="00516F8D"/>
    <w:rsid w:val="00516F9D"/>
    <w:rsid w:val="00517D26"/>
    <w:rsid w:val="00520B2D"/>
    <w:rsid w:val="00522632"/>
    <w:rsid w:val="0052284F"/>
    <w:rsid w:val="00523030"/>
    <w:rsid w:val="00524463"/>
    <w:rsid w:val="00524DA0"/>
    <w:rsid w:val="005253A2"/>
    <w:rsid w:val="00525620"/>
    <w:rsid w:val="00525AB8"/>
    <w:rsid w:val="00527238"/>
    <w:rsid w:val="005311D5"/>
    <w:rsid w:val="00531FB3"/>
    <w:rsid w:val="00532A82"/>
    <w:rsid w:val="00532CA9"/>
    <w:rsid w:val="00532F29"/>
    <w:rsid w:val="00533254"/>
    <w:rsid w:val="0053395D"/>
    <w:rsid w:val="0053413A"/>
    <w:rsid w:val="00534811"/>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5707"/>
    <w:rsid w:val="00566416"/>
    <w:rsid w:val="0056716D"/>
    <w:rsid w:val="0057081A"/>
    <w:rsid w:val="0057148D"/>
    <w:rsid w:val="00571A6D"/>
    <w:rsid w:val="00571F7D"/>
    <w:rsid w:val="00573B44"/>
    <w:rsid w:val="00573DFD"/>
    <w:rsid w:val="00575725"/>
    <w:rsid w:val="00575A46"/>
    <w:rsid w:val="00576E20"/>
    <w:rsid w:val="005774B5"/>
    <w:rsid w:val="00581791"/>
    <w:rsid w:val="00581B38"/>
    <w:rsid w:val="00585F0B"/>
    <w:rsid w:val="00586787"/>
    <w:rsid w:val="00587B7E"/>
    <w:rsid w:val="00590759"/>
    <w:rsid w:val="00591493"/>
    <w:rsid w:val="00592E90"/>
    <w:rsid w:val="0059326F"/>
    <w:rsid w:val="005943C3"/>
    <w:rsid w:val="005956FD"/>
    <w:rsid w:val="00596569"/>
    <w:rsid w:val="0059660B"/>
    <w:rsid w:val="00596A81"/>
    <w:rsid w:val="005A0EB9"/>
    <w:rsid w:val="005A3404"/>
    <w:rsid w:val="005A39CD"/>
    <w:rsid w:val="005A53F6"/>
    <w:rsid w:val="005A66CB"/>
    <w:rsid w:val="005A732E"/>
    <w:rsid w:val="005B0C52"/>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56BF"/>
    <w:rsid w:val="0062665F"/>
    <w:rsid w:val="006272D3"/>
    <w:rsid w:val="00627729"/>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091"/>
    <w:rsid w:val="00652DE7"/>
    <w:rsid w:val="006534DB"/>
    <w:rsid w:val="00655CF6"/>
    <w:rsid w:val="0065606C"/>
    <w:rsid w:val="00656628"/>
    <w:rsid w:val="006609AE"/>
    <w:rsid w:val="006617C2"/>
    <w:rsid w:val="006620D5"/>
    <w:rsid w:val="00662A9F"/>
    <w:rsid w:val="00662C91"/>
    <w:rsid w:val="00663485"/>
    <w:rsid w:val="00664E16"/>
    <w:rsid w:val="00665858"/>
    <w:rsid w:val="00665C66"/>
    <w:rsid w:val="006663B5"/>
    <w:rsid w:val="00671145"/>
    <w:rsid w:val="006732E4"/>
    <w:rsid w:val="00674D19"/>
    <w:rsid w:val="006753BA"/>
    <w:rsid w:val="006755DF"/>
    <w:rsid w:val="00676697"/>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6420"/>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B77A7"/>
    <w:rsid w:val="006C236D"/>
    <w:rsid w:val="006C28CE"/>
    <w:rsid w:val="006C3531"/>
    <w:rsid w:val="006C5446"/>
    <w:rsid w:val="006C5828"/>
    <w:rsid w:val="006C6482"/>
    <w:rsid w:val="006C65C2"/>
    <w:rsid w:val="006C75C7"/>
    <w:rsid w:val="006C7D48"/>
    <w:rsid w:val="006D0F80"/>
    <w:rsid w:val="006D10CF"/>
    <w:rsid w:val="006D11FE"/>
    <w:rsid w:val="006D13F8"/>
    <w:rsid w:val="006D15BA"/>
    <w:rsid w:val="006D16E4"/>
    <w:rsid w:val="006D19BC"/>
    <w:rsid w:val="006D22B8"/>
    <w:rsid w:val="006D410F"/>
    <w:rsid w:val="006D66F4"/>
    <w:rsid w:val="006D7210"/>
    <w:rsid w:val="006E06C0"/>
    <w:rsid w:val="006E230F"/>
    <w:rsid w:val="006E32DB"/>
    <w:rsid w:val="006E43A2"/>
    <w:rsid w:val="006E4B41"/>
    <w:rsid w:val="006E7D5D"/>
    <w:rsid w:val="006F0B9C"/>
    <w:rsid w:val="006F0D0A"/>
    <w:rsid w:val="006F34DE"/>
    <w:rsid w:val="006F7226"/>
    <w:rsid w:val="006F7AB0"/>
    <w:rsid w:val="00700BFB"/>
    <w:rsid w:val="0070141E"/>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0C3"/>
    <w:rsid w:val="007132E7"/>
    <w:rsid w:val="00714276"/>
    <w:rsid w:val="007150CD"/>
    <w:rsid w:val="0071650C"/>
    <w:rsid w:val="00716D73"/>
    <w:rsid w:val="00721317"/>
    <w:rsid w:val="00721429"/>
    <w:rsid w:val="00721AFA"/>
    <w:rsid w:val="007238D5"/>
    <w:rsid w:val="007244BC"/>
    <w:rsid w:val="00726076"/>
    <w:rsid w:val="007275F8"/>
    <w:rsid w:val="00727962"/>
    <w:rsid w:val="00727BC4"/>
    <w:rsid w:val="00727BFE"/>
    <w:rsid w:val="0073257C"/>
    <w:rsid w:val="007333EB"/>
    <w:rsid w:val="007349E8"/>
    <w:rsid w:val="00735E97"/>
    <w:rsid w:val="007365B8"/>
    <w:rsid w:val="00736CC6"/>
    <w:rsid w:val="00736D87"/>
    <w:rsid w:val="00737C7F"/>
    <w:rsid w:val="00737CB1"/>
    <w:rsid w:val="00740DA3"/>
    <w:rsid w:val="0074209F"/>
    <w:rsid w:val="0074255B"/>
    <w:rsid w:val="00742826"/>
    <w:rsid w:val="007431B7"/>
    <w:rsid w:val="00747804"/>
    <w:rsid w:val="007522AE"/>
    <w:rsid w:val="007537A3"/>
    <w:rsid w:val="00753B98"/>
    <w:rsid w:val="007554FA"/>
    <w:rsid w:val="00755A5D"/>
    <w:rsid w:val="007571D2"/>
    <w:rsid w:val="00761197"/>
    <w:rsid w:val="00762DA6"/>
    <w:rsid w:val="007632BA"/>
    <w:rsid w:val="00764923"/>
    <w:rsid w:val="00765DD7"/>
    <w:rsid w:val="00765FD8"/>
    <w:rsid w:val="00767AAC"/>
    <w:rsid w:val="0077014F"/>
    <w:rsid w:val="00770312"/>
    <w:rsid w:val="007707C0"/>
    <w:rsid w:val="00770E3A"/>
    <w:rsid w:val="00772E19"/>
    <w:rsid w:val="00774A4B"/>
    <w:rsid w:val="00775C64"/>
    <w:rsid w:val="007766B9"/>
    <w:rsid w:val="00776B76"/>
    <w:rsid w:val="007801B9"/>
    <w:rsid w:val="0078061D"/>
    <w:rsid w:val="007819BB"/>
    <w:rsid w:val="00782301"/>
    <w:rsid w:val="00783925"/>
    <w:rsid w:val="007842B2"/>
    <w:rsid w:val="007853CA"/>
    <w:rsid w:val="00786CF4"/>
    <w:rsid w:val="00786E0B"/>
    <w:rsid w:val="00787E47"/>
    <w:rsid w:val="00787F31"/>
    <w:rsid w:val="00790301"/>
    <w:rsid w:val="007917A5"/>
    <w:rsid w:val="00791C53"/>
    <w:rsid w:val="007924EF"/>
    <w:rsid w:val="00793ADF"/>
    <w:rsid w:val="00793EA0"/>
    <w:rsid w:val="00793ECA"/>
    <w:rsid w:val="00794E01"/>
    <w:rsid w:val="00796145"/>
    <w:rsid w:val="007977A5"/>
    <w:rsid w:val="00797849"/>
    <w:rsid w:val="007A0B2F"/>
    <w:rsid w:val="007A1017"/>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6B4E"/>
    <w:rsid w:val="007C73A6"/>
    <w:rsid w:val="007C7554"/>
    <w:rsid w:val="007C7834"/>
    <w:rsid w:val="007D2A8B"/>
    <w:rsid w:val="007D4A9B"/>
    <w:rsid w:val="007D5BCD"/>
    <w:rsid w:val="007D67FF"/>
    <w:rsid w:val="007D6890"/>
    <w:rsid w:val="007E0E71"/>
    <w:rsid w:val="007E1C82"/>
    <w:rsid w:val="007E1CAC"/>
    <w:rsid w:val="007E1D38"/>
    <w:rsid w:val="007E2972"/>
    <w:rsid w:val="007E7526"/>
    <w:rsid w:val="007E7DC1"/>
    <w:rsid w:val="007F10CC"/>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07EC0"/>
    <w:rsid w:val="0081060F"/>
    <w:rsid w:val="008128A7"/>
    <w:rsid w:val="00812920"/>
    <w:rsid w:val="00813548"/>
    <w:rsid w:val="00813801"/>
    <w:rsid w:val="008144DF"/>
    <w:rsid w:val="00815478"/>
    <w:rsid w:val="0082056C"/>
    <w:rsid w:val="00820819"/>
    <w:rsid w:val="008208E5"/>
    <w:rsid w:val="00820E95"/>
    <w:rsid w:val="0082104F"/>
    <w:rsid w:val="00821191"/>
    <w:rsid w:val="00821445"/>
    <w:rsid w:val="00821D94"/>
    <w:rsid w:val="00826875"/>
    <w:rsid w:val="00826F7D"/>
    <w:rsid w:val="0083009A"/>
    <w:rsid w:val="00830949"/>
    <w:rsid w:val="00831D23"/>
    <w:rsid w:val="00831F41"/>
    <w:rsid w:val="008324F1"/>
    <w:rsid w:val="00832831"/>
    <w:rsid w:val="008333E3"/>
    <w:rsid w:val="00833841"/>
    <w:rsid w:val="00834E70"/>
    <w:rsid w:val="00835214"/>
    <w:rsid w:val="00836263"/>
    <w:rsid w:val="008366A6"/>
    <w:rsid w:val="008403F7"/>
    <w:rsid w:val="008436EC"/>
    <w:rsid w:val="00843D33"/>
    <w:rsid w:val="00844BE9"/>
    <w:rsid w:val="00845EAA"/>
    <w:rsid w:val="00846CEF"/>
    <w:rsid w:val="00850E67"/>
    <w:rsid w:val="008512C3"/>
    <w:rsid w:val="00852D1F"/>
    <w:rsid w:val="00855112"/>
    <w:rsid w:val="00855542"/>
    <w:rsid w:val="00860306"/>
    <w:rsid w:val="00860871"/>
    <w:rsid w:val="00860FBE"/>
    <w:rsid w:val="008612F0"/>
    <w:rsid w:val="00861937"/>
    <w:rsid w:val="00862F88"/>
    <w:rsid w:val="008638A2"/>
    <w:rsid w:val="00866679"/>
    <w:rsid w:val="00866B6D"/>
    <w:rsid w:val="00870253"/>
    <w:rsid w:val="008703F6"/>
    <w:rsid w:val="00871AB9"/>
    <w:rsid w:val="00874CD3"/>
    <w:rsid w:val="008759DE"/>
    <w:rsid w:val="00877089"/>
    <w:rsid w:val="008845F6"/>
    <w:rsid w:val="0088504D"/>
    <w:rsid w:val="0088577C"/>
    <w:rsid w:val="008860AA"/>
    <w:rsid w:val="008862AB"/>
    <w:rsid w:val="00892B6D"/>
    <w:rsid w:val="0089322E"/>
    <w:rsid w:val="00893D17"/>
    <w:rsid w:val="00893DF8"/>
    <w:rsid w:val="008947A2"/>
    <w:rsid w:val="008968CC"/>
    <w:rsid w:val="00896CDF"/>
    <w:rsid w:val="008974DB"/>
    <w:rsid w:val="008A0212"/>
    <w:rsid w:val="008A3020"/>
    <w:rsid w:val="008A315D"/>
    <w:rsid w:val="008A4346"/>
    <w:rsid w:val="008A4A45"/>
    <w:rsid w:val="008A5CCB"/>
    <w:rsid w:val="008A63DF"/>
    <w:rsid w:val="008A64FB"/>
    <w:rsid w:val="008A6678"/>
    <w:rsid w:val="008A687B"/>
    <w:rsid w:val="008A78FF"/>
    <w:rsid w:val="008B016E"/>
    <w:rsid w:val="008B081C"/>
    <w:rsid w:val="008B16A1"/>
    <w:rsid w:val="008B1FE0"/>
    <w:rsid w:val="008B240E"/>
    <w:rsid w:val="008B3C50"/>
    <w:rsid w:val="008B3E16"/>
    <w:rsid w:val="008B791B"/>
    <w:rsid w:val="008C02A0"/>
    <w:rsid w:val="008C0F60"/>
    <w:rsid w:val="008C2482"/>
    <w:rsid w:val="008C41AE"/>
    <w:rsid w:val="008C7458"/>
    <w:rsid w:val="008D1089"/>
    <w:rsid w:val="008D123E"/>
    <w:rsid w:val="008D1D1D"/>
    <w:rsid w:val="008D32F6"/>
    <w:rsid w:val="008D532F"/>
    <w:rsid w:val="008D5892"/>
    <w:rsid w:val="008D68B3"/>
    <w:rsid w:val="008D6BF3"/>
    <w:rsid w:val="008D7264"/>
    <w:rsid w:val="008D79B8"/>
    <w:rsid w:val="008E0285"/>
    <w:rsid w:val="008E18CA"/>
    <w:rsid w:val="008E22E5"/>
    <w:rsid w:val="008E40DA"/>
    <w:rsid w:val="008E4215"/>
    <w:rsid w:val="008E5067"/>
    <w:rsid w:val="008E65A4"/>
    <w:rsid w:val="008F1C28"/>
    <w:rsid w:val="008F1C58"/>
    <w:rsid w:val="008F2B66"/>
    <w:rsid w:val="008F3460"/>
    <w:rsid w:val="008F49E2"/>
    <w:rsid w:val="008F6F63"/>
    <w:rsid w:val="0090066A"/>
    <w:rsid w:val="00900E57"/>
    <w:rsid w:val="00900FD8"/>
    <w:rsid w:val="0090118F"/>
    <w:rsid w:val="00901489"/>
    <w:rsid w:val="00903353"/>
    <w:rsid w:val="00903A91"/>
    <w:rsid w:val="009046D8"/>
    <w:rsid w:val="00904E8A"/>
    <w:rsid w:val="0090784E"/>
    <w:rsid w:val="00907876"/>
    <w:rsid w:val="0091169B"/>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3E9"/>
    <w:rsid w:val="00941771"/>
    <w:rsid w:val="00941966"/>
    <w:rsid w:val="00941E41"/>
    <w:rsid w:val="00942A0B"/>
    <w:rsid w:val="009430D5"/>
    <w:rsid w:val="00943675"/>
    <w:rsid w:val="009440A6"/>
    <w:rsid w:val="009442CC"/>
    <w:rsid w:val="00944AF3"/>
    <w:rsid w:val="00944B37"/>
    <w:rsid w:val="00945997"/>
    <w:rsid w:val="00946CFA"/>
    <w:rsid w:val="00947D8F"/>
    <w:rsid w:val="009505BC"/>
    <w:rsid w:val="009540B2"/>
    <w:rsid w:val="0095523A"/>
    <w:rsid w:val="00955636"/>
    <w:rsid w:val="009565F7"/>
    <w:rsid w:val="009577FB"/>
    <w:rsid w:val="00960216"/>
    <w:rsid w:val="00960257"/>
    <w:rsid w:val="009603FE"/>
    <w:rsid w:val="00961795"/>
    <w:rsid w:val="00962378"/>
    <w:rsid w:val="0096244C"/>
    <w:rsid w:val="00963201"/>
    <w:rsid w:val="00963DEF"/>
    <w:rsid w:val="00964591"/>
    <w:rsid w:val="0096591F"/>
    <w:rsid w:val="0096693D"/>
    <w:rsid w:val="0097009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3093"/>
    <w:rsid w:val="00993130"/>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6DF"/>
    <w:rsid w:val="009C3D7A"/>
    <w:rsid w:val="009C4EAE"/>
    <w:rsid w:val="009C4F5A"/>
    <w:rsid w:val="009C60B7"/>
    <w:rsid w:val="009C6B36"/>
    <w:rsid w:val="009D2126"/>
    <w:rsid w:val="009D23A2"/>
    <w:rsid w:val="009D28C8"/>
    <w:rsid w:val="009D30D8"/>
    <w:rsid w:val="009D39E8"/>
    <w:rsid w:val="009D6A68"/>
    <w:rsid w:val="009D7CF9"/>
    <w:rsid w:val="009D7D0A"/>
    <w:rsid w:val="009E013E"/>
    <w:rsid w:val="009E116B"/>
    <w:rsid w:val="009E19FE"/>
    <w:rsid w:val="009E28EC"/>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4242"/>
    <w:rsid w:val="00A05147"/>
    <w:rsid w:val="00A06AF7"/>
    <w:rsid w:val="00A104A6"/>
    <w:rsid w:val="00A12A9D"/>
    <w:rsid w:val="00A14670"/>
    <w:rsid w:val="00A15149"/>
    <w:rsid w:val="00A1588D"/>
    <w:rsid w:val="00A17446"/>
    <w:rsid w:val="00A2162A"/>
    <w:rsid w:val="00A221CB"/>
    <w:rsid w:val="00A222DA"/>
    <w:rsid w:val="00A223D3"/>
    <w:rsid w:val="00A2305E"/>
    <w:rsid w:val="00A24522"/>
    <w:rsid w:val="00A24F8D"/>
    <w:rsid w:val="00A305E5"/>
    <w:rsid w:val="00A320B6"/>
    <w:rsid w:val="00A32ABB"/>
    <w:rsid w:val="00A33D1D"/>
    <w:rsid w:val="00A379FF"/>
    <w:rsid w:val="00A40251"/>
    <w:rsid w:val="00A4235A"/>
    <w:rsid w:val="00A42EC4"/>
    <w:rsid w:val="00A43A60"/>
    <w:rsid w:val="00A448CA"/>
    <w:rsid w:val="00A44DA7"/>
    <w:rsid w:val="00A50397"/>
    <w:rsid w:val="00A50D1D"/>
    <w:rsid w:val="00A518D5"/>
    <w:rsid w:val="00A528D3"/>
    <w:rsid w:val="00A54E9E"/>
    <w:rsid w:val="00A5683C"/>
    <w:rsid w:val="00A57914"/>
    <w:rsid w:val="00A60395"/>
    <w:rsid w:val="00A6086E"/>
    <w:rsid w:val="00A62733"/>
    <w:rsid w:val="00A62E39"/>
    <w:rsid w:val="00A63A54"/>
    <w:rsid w:val="00A6438F"/>
    <w:rsid w:val="00A65340"/>
    <w:rsid w:val="00A655D7"/>
    <w:rsid w:val="00A656CC"/>
    <w:rsid w:val="00A65FEE"/>
    <w:rsid w:val="00A6644B"/>
    <w:rsid w:val="00A66D95"/>
    <w:rsid w:val="00A67F8A"/>
    <w:rsid w:val="00A7000B"/>
    <w:rsid w:val="00A720E0"/>
    <w:rsid w:val="00A729CB"/>
    <w:rsid w:val="00A75BB6"/>
    <w:rsid w:val="00A75C4E"/>
    <w:rsid w:val="00A75E3C"/>
    <w:rsid w:val="00A76790"/>
    <w:rsid w:val="00A768C5"/>
    <w:rsid w:val="00A77142"/>
    <w:rsid w:val="00A7766D"/>
    <w:rsid w:val="00A77688"/>
    <w:rsid w:val="00A80D48"/>
    <w:rsid w:val="00A80E24"/>
    <w:rsid w:val="00A8109B"/>
    <w:rsid w:val="00A8161F"/>
    <w:rsid w:val="00A81F65"/>
    <w:rsid w:val="00A8386D"/>
    <w:rsid w:val="00A84AAE"/>
    <w:rsid w:val="00A8537F"/>
    <w:rsid w:val="00A90116"/>
    <w:rsid w:val="00A91266"/>
    <w:rsid w:val="00A9230E"/>
    <w:rsid w:val="00A92FD3"/>
    <w:rsid w:val="00A93DD0"/>
    <w:rsid w:val="00A95655"/>
    <w:rsid w:val="00A95D80"/>
    <w:rsid w:val="00A96736"/>
    <w:rsid w:val="00A96C60"/>
    <w:rsid w:val="00A97216"/>
    <w:rsid w:val="00AA2E42"/>
    <w:rsid w:val="00AA4380"/>
    <w:rsid w:val="00AA4774"/>
    <w:rsid w:val="00AA4DD6"/>
    <w:rsid w:val="00AA5311"/>
    <w:rsid w:val="00AA64DA"/>
    <w:rsid w:val="00AA693B"/>
    <w:rsid w:val="00AA7BA6"/>
    <w:rsid w:val="00AA7FF7"/>
    <w:rsid w:val="00AB3874"/>
    <w:rsid w:val="00AB3E9A"/>
    <w:rsid w:val="00AB4640"/>
    <w:rsid w:val="00AB4EBB"/>
    <w:rsid w:val="00AB6417"/>
    <w:rsid w:val="00AB7849"/>
    <w:rsid w:val="00AC1D79"/>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5EF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42F"/>
    <w:rsid w:val="00B17803"/>
    <w:rsid w:val="00B17968"/>
    <w:rsid w:val="00B203C6"/>
    <w:rsid w:val="00B209FE"/>
    <w:rsid w:val="00B20AFF"/>
    <w:rsid w:val="00B232C2"/>
    <w:rsid w:val="00B2443F"/>
    <w:rsid w:val="00B3059B"/>
    <w:rsid w:val="00B32C50"/>
    <w:rsid w:val="00B3314B"/>
    <w:rsid w:val="00B36610"/>
    <w:rsid w:val="00B36880"/>
    <w:rsid w:val="00B36A21"/>
    <w:rsid w:val="00B37CF6"/>
    <w:rsid w:val="00B412A6"/>
    <w:rsid w:val="00B4510D"/>
    <w:rsid w:val="00B45887"/>
    <w:rsid w:val="00B47AA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3931"/>
    <w:rsid w:val="00B74090"/>
    <w:rsid w:val="00B76468"/>
    <w:rsid w:val="00B764D5"/>
    <w:rsid w:val="00B76C86"/>
    <w:rsid w:val="00B77704"/>
    <w:rsid w:val="00B80ED8"/>
    <w:rsid w:val="00B82CCF"/>
    <w:rsid w:val="00B836A4"/>
    <w:rsid w:val="00B8428C"/>
    <w:rsid w:val="00B85EB6"/>
    <w:rsid w:val="00B863BC"/>
    <w:rsid w:val="00B8656B"/>
    <w:rsid w:val="00B86E01"/>
    <w:rsid w:val="00B879F1"/>
    <w:rsid w:val="00B900BE"/>
    <w:rsid w:val="00B91B0D"/>
    <w:rsid w:val="00B9281A"/>
    <w:rsid w:val="00B9283A"/>
    <w:rsid w:val="00B92C50"/>
    <w:rsid w:val="00B94251"/>
    <w:rsid w:val="00B942FF"/>
    <w:rsid w:val="00B9479E"/>
    <w:rsid w:val="00B956F6"/>
    <w:rsid w:val="00B95DA9"/>
    <w:rsid w:val="00B96F48"/>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2EB7"/>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0F7"/>
    <w:rsid w:val="00BE3108"/>
    <w:rsid w:val="00BE320A"/>
    <w:rsid w:val="00BE3C86"/>
    <w:rsid w:val="00BE5398"/>
    <w:rsid w:val="00BE6786"/>
    <w:rsid w:val="00BE7242"/>
    <w:rsid w:val="00BF1F53"/>
    <w:rsid w:val="00BF25AF"/>
    <w:rsid w:val="00BF2ABC"/>
    <w:rsid w:val="00BF55D9"/>
    <w:rsid w:val="00BF6253"/>
    <w:rsid w:val="00BF6277"/>
    <w:rsid w:val="00BF72E6"/>
    <w:rsid w:val="00BF77DD"/>
    <w:rsid w:val="00C022FB"/>
    <w:rsid w:val="00C04EE3"/>
    <w:rsid w:val="00C05160"/>
    <w:rsid w:val="00C06549"/>
    <w:rsid w:val="00C06CB7"/>
    <w:rsid w:val="00C111F9"/>
    <w:rsid w:val="00C1241A"/>
    <w:rsid w:val="00C12D5A"/>
    <w:rsid w:val="00C138E9"/>
    <w:rsid w:val="00C14BF7"/>
    <w:rsid w:val="00C1524B"/>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3275"/>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471"/>
    <w:rsid w:val="00C527C1"/>
    <w:rsid w:val="00C53738"/>
    <w:rsid w:val="00C53915"/>
    <w:rsid w:val="00C5543A"/>
    <w:rsid w:val="00C55F2D"/>
    <w:rsid w:val="00C577AE"/>
    <w:rsid w:val="00C61B66"/>
    <w:rsid w:val="00C61CF0"/>
    <w:rsid w:val="00C625CB"/>
    <w:rsid w:val="00C654BF"/>
    <w:rsid w:val="00C67FD0"/>
    <w:rsid w:val="00C703FE"/>
    <w:rsid w:val="00C70483"/>
    <w:rsid w:val="00C7065B"/>
    <w:rsid w:val="00C70DBB"/>
    <w:rsid w:val="00C72176"/>
    <w:rsid w:val="00C72B19"/>
    <w:rsid w:val="00C745A7"/>
    <w:rsid w:val="00C74BF9"/>
    <w:rsid w:val="00C77881"/>
    <w:rsid w:val="00C77E1E"/>
    <w:rsid w:val="00C80BD4"/>
    <w:rsid w:val="00C82080"/>
    <w:rsid w:val="00C833BA"/>
    <w:rsid w:val="00C83A12"/>
    <w:rsid w:val="00C84C1D"/>
    <w:rsid w:val="00C85E2D"/>
    <w:rsid w:val="00C86304"/>
    <w:rsid w:val="00C90494"/>
    <w:rsid w:val="00C9053F"/>
    <w:rsid w:val="00C919D4"/>
    <w:rsid w:val="00C927E2"/>
    <w:rsid w:val="00C93141"/>
    <w:rsid w:val="00C9460D"/>
    <w:rsid w:val="00C948C3"/>
    <w:rsid w:val="00C9497A"/>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093F"/>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7192"/>
    <w:rsid w:val="00CE1DC1"/>
    <w:rsid w:val="00CE2706"/>
    <w:rsid w:val="00CE4BF6"/>
    <w:rsid w:val="00CE6037"/>
    <w:rsid w:val="00CE7AFD"/>
    <w:rsid w:val="00CE7CF5"/>
    <w:rsid w:val="00CF0C6F"/>
    <w:rsid w:val="00CF1EC5"/>
    <w:rsid w:val="00CF20CE"/>
    <w:rsid w:val="00CF3811"/>
    <w:rsid w:val="00CF4298"/>
    <w:rsid w:val="00CF72EF"/>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8A5"/>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037"/>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067C"/>
    <w:rsid w:val="00D827EF"/>
    <w:rsid w:val="00D83E47"/>
    <w:rsid w:val="00D85ECE"/>
    <w:rsid w:val="00D86A7E"/>
    <w:rsid w:val="00D86EB9"/>
    <w:rsid w:val="00D87450"/>
    <w:rsid w:val="00D87A3B"/>
    <w:rsid w:val="00D914A9"/>
    <w:rsid w:val="00D91AD5"/>
    <w:rsid w:val="00D92BB1"/>
    <w:rsid w:val="00D92CDF"/>
    <w:rsid w:val="00D93431"/>
    <w:rsid w:val="00D93F9F"/>
    <w:rsid w:val="00D94AC3"/>
    <w:rsid w:val="00D95F7A"/>
    <w:rsid w:val="00D968E9"/>
    <w:rsid w:val="00D96AE9"/>
    <w:rsid w:val="00D96D65"/>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DF7006"/>
    <w:rsid w:val="00E0027D"/>
    <w:rsid w:val="00E00DC3"/>
    <w:rsid w:val="00E01973"/>
    <w:rsid w:val="00E03B30"/>
    <w:rsid w:val="00E04413"/>
    <w:rsid w:val="00E05BD4"/>
    <w:rsid w:val="00E05E79"/>
    <w:rsid w:val="00E067E5"/>
    <w:rsid w:val="00E0771B"/>
    <w:rsid w:val="00E07C23"/>
    <w:rsid w:val="00E07D76"/>
    <w:rsid w:val="00E10D0A"/>
    <w:rsid w:val="00E1125B"/>
    <w:rsid w:val="00E1166D"/>
    <w:rsid w:val="00E1430C"/>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07F"/>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4AA8"/>
    <w:rsid w:val="00E55E07"/>
    <w:rsid w:val="00E56755"/>
    <w:rsid w:val="00E56A61"/>
    <w:rsid w:val="00E56AE2"/>
    <w:rsid w:val="00E5738A"/>
    <w:rsid w:val="00E57ADB"/>
    <w:rsid w:val="00E6188E"/>
    <w:rsid w:val="00E61CF3"/>
    <w:rsid w:val="00E6204E"/>
    <w:rsid w:val="00E63619"/>
    <w:rsid w:val="00E64D91"/>
    <w:rsid w:val="00E654F9"/>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1B4B"/>
    <w:rsid w:val="00E93F11"/>
    <w:rsid w:val="00E94D41"/>
    <w:rsid w:val="00E96AB6"/>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D82"/>
    <w:rsid w:val="00ED0F26"/>
    <w:rsid w:val="00ED1D17"/>
    <w:rsid w:val="00ED1D3A"/>
    <w:rsid w:val="00EE0996"/>
    <w:rsid w:val="00EE0EFD"/>
    <w:rsid w:val="00EE13DE"/>
    <w:rsid w:val="00EE1743"/>
    <w:rsid w:val="00EE1809"/>
    <w:rsid w:val="00EE1D0B"/>
    <w:rsid w:val="00EE21B0"/>
    <w:rsid w:val="00EE2C34"/>
    <w:rsid w:val="00EE30DF"/>
    <w:rsid w:val="00EE39D5"/>
    <w:rsid w:val="00EE3D6E"/>
    <w:rsid w:val="00EE42A7"/>
    <w:rsid w:val="00EE6DEF"/>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3DF"/>
    <w:rsid w:val="00F15F34"/>
    <w:rsid w:val="00F1711B"/>
    <w:rsid w:val="00F17645"/>
    <w:rsid w:val="00F17D57"/>
    <w:rsid w:val="00F21662"/>
    <w:rsid w:val="00F22E26"/>
    <w:rsid w:val="00F240C7"/>
    <w:rsid w:val="00F249BF"/>
    <w:rsid w:val="00F25613"/>
    <w:rsid w:val="00F25AE6"/>
    <w:rsid w:val="00F27D43"/>
    <w:rsid w:val="00F30966"/>
    <w:rsid w:val="00F30BAE"/>
    <w:rsid w:val="00F31777"/>
    <w:rsid w:val="00F31C86"/>
    <w:rsid w:val="00F3224A"/>
    <w:rsid w:val="00F3377A"/>
    <w:rsid w:val="00F348CA"/>
    <w:rsid w:val="00F3567F"/>
    <w:rsid w:val="00F3594E"/>
    <w:rsid w:val="00F363A3"/>
    <w:rsid w:val="00F36602"/>
    <w:rsid w:val="00F403BA"/>
    <w:rsid w:val="00F410A7"/>
    <w:rsid w:val="00F4185A"/>
    <w:rsid w:val="00F42AE8"/>
    <w:rsid w:val="00F42E25"/>
    <w:rsid w:val="00F45016"/>
    <w:rsid w:val="00F47DE8"/>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4B60"/>
    <w:rsid w:val="00F65CC2"/>
    <w:rsid w:val="00F71905"/>
    <w:rsid w:val="00F71F8F"/>
    <w:rsid w:val="00F72335"/>
    <w:rsid w:val="00F727DF"/>
    <w:rsid w:val="00F72AE7"/>
    <w:rsid w:val="00F733A7"/>
    <w:rsid w:val="00F73E63"/>
    <w:rsid w:val="00F74852"/>
    <w:rsid w:val="00F7512B"/>
    <w:rsid w:val="00F7594A"/>
    <w:rsid w:val="00F76A45"/>
    <w:rsid w:val="00F76CAA"/>
    <w:rsid w:val="00F76E95"/>
    <w:rsid w:val="00F77FC8"/>
    <w:rsid w:val="00F80261"/>
    <w:rsid w:val="00F8107C"/>
    <w:rsid w:val="00F813E2"/>
    <w:rsid w:val="00F8151A"/>
    <w:rsid w:val="00F82E42"/>
    <w:rsid w:val="00F84B59"/>
    <w:rsid w:val="00F84F8C"/>
    <w:rsid w:val="00F8539C"/>
    <w:rsid w:val="00F85DBB"/>
    <w:rsid w:val="00F909A0"/>
    <w:rsid w:val="00F90DAF"/>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352"/>
    <w:rsid w:val="00FC6743"/>
    <w:rsid w:val="00FC6786"/>
    <w:rsid w:val="00FC6E2A"/>
    <w:rsid w:val="00FC7E62"/>
    <w:rsid w:val="00FD1D90"/>
    <w:rsid w:val="00FD3D5C"/>
    <w:rsid w:val="00FD50A0"/>
    <w:rsid w:val="00FD5EF3"/>
    <w:rsid w:val="00FD5F9F"/>
    <w:rsid w:val="00FD68C2"/>
    <w:rsid w:val="00FD7AE2"/>
    <w:rsid w:val="00FE1761"/>
    <w:rsid w:val="00FE2225"/>
    <w:rsid w:val="00FE2E59"/>
    <w:rsid w:val="00FE3332"/>
    <w:rsid w:val="00FE455A"/>
    <w:rsid w:val="00FE4EB5"/>
    <w:rsid w:val="00FF3AC0"/>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A613EBE"/>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61</Pages>
  <Words>28886</Words>
  <Characters>31094</Characters>
  <Lines>242</Lines>
  <Paragraphs>68</Paragraphs>
  <TotalTime>1731</TotalTime>
  <ScaleCrop>false</ScaleCrop>
  <LinksUpToDate>false</LinksUpToDate>
  <CharactersWithSpaces>32274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2022-02-18T03:07:00Z</dcterms:created>
  <dc:creator>Administrator</dc:creator>
  <cp:lastModifiedBy>Ccyu.</cp:lastModifiedBy>
  <cp:lastPrinted>2017-04-10T13:36:00Z</cp:lastPrinted>
  <dcterms:modified xsi:type="dcterms:W3CDTF">2022-06-17T02:14:44Z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CBBBFFF017034B0A90E1FBFE06D55AD3</vt:lpwstr>
  </property>
</Properties>
</file>