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jc w:val="center"/>
        <w:rPr>
          <w:b/>
          <w:bCs/>
          <w:sz w:val="44"/>
          <w:szCs w:val="44"/>
        </w:rPr>
      </w:pPr>
    </w:p>
    <w:p>
      <w:pPr>
        <w:spacing w:line="360" w:lineRule="auto"/>
        <w:jc w:val="center"/>
        <w:rPr>
          <w:rFonts w:ascii="黑体" w:eastAsia="黑体"/>
          <w:sz w:val="44"/>
        </w:rPr>
      </w:pPr>
      <w:r>
        <w:rPr>
          <w:rFonts w:hint="eastAsia" w:ascii="黑体" w:eastAsia="黑体"/>
          <w:sz w:val="44"/>
        </w:rPr>
        <w:t>江苏省广电有线信息网络股份有限公司</w:t>
      </w:r>
    </w:p>
    <w:p>
      <w:pPr>
        <w:spacing w:before="100" w:beforeAutospacing="1" w:after="100" w:afterAutospacing="1"/>
        <w:jc w:val="center"/>
        <w:rPr>
          <w:rFonts w:ascii="宋体" w:hAnsi="宋体"/>
          <w:b/>
          <w:sz w:val="48"/>
        </w:rPr>
      </w:pPr>
      <w:r>
        <w:rPr>
          <w:rFonts w:hint="eastAsia" w:ascii="黑体" w:eastAsia="黑体"/>
          <w:sz w:val="44"/>
        </w:rPr>
        <w:t>江苏有线双向核心网络系统融合建设交换机板卡采购</w:t>
      </w:r>
      <w:bookmarkStart w:id="26" w:name="_GoBack"/>
      <w:bookmarkEnd w:id="26"/>
    </w:p>
    <w:p>
      <w:pPr>
        <w:spacing w:before="100" w:beforeAutospacing="1" w:after="100" w:afterAutospacing="1"/>
        <w:ind w:right="32"/>
        <w:jc w:val="center"/>
        <w:rPr>
          <w:rFonts w:ascii="宋体" w:hAnsi="宋体"/>
          <w:b/>
          <w:bCs/>
          <w:sz w:val="32"/>
          <w:szCs w:val="32"/>
        </w:rPr>
      </w:pPr>
    </w:p>
    <w:p>
      <w:pPr>
        <w:spacing w:before="100" w:beforeAutospacing="1" w:after="100" w:afterAutospacing="1"/>
        <w:ind w:right="32"/>
        <w:jc w:val="center"/>
        <w:rPr>
          <w:rFonts w:ascii="宋体" w:hAnsi="宋体"/>
          <w:b/>
          <w:bCs/>
          <w:sz w:val="32"/>
          <w:szCs w:val="32"/>
        </w:rPr>
      </w:pPr>
    </w:p>
    <w:p>
      <w:pPr>
        <w:spacing w:before="100" w:beforeAutospacing="1" w:after="100" w:afterAutospacing="1"/>
        <w:jc w:val="center"/>
        <w:rPr>
          <w:rFonts w:ascii="宋体" w:hAnsi="宋体"/>
          <w:b/>
          <w:sz w:val="24"/>
        </w:rPr>
      </w:pPr>
    </w:p>
    <w:p>
      <w:pPr>
        <w:spacing w:before="100" w:beforeAutospacing="1" w:after="100" w:afterAutospacing="1"/>
        <w:jc w:val="center"/>
        <w:rPr>
          <w:rFonts w:ascii="宋体" w:hAnsi="宋体"/>
          <w:b/>
          <w:sz w:val="72"/>
          <w:szCs w:val="72"/>
        </w:rPr>
      </w:pPr>
      <w:r>
        <w:rPr>
          <w:rFonts w:hint="eastAsia" w:ascii="宋体" w:hAnsi="宋体"/>
          <w:b/>
          <w:sz w:val="72"/>
          <w:szCs w:val="72"/>
        </w:rPr>
        <w:t>询价文件</w:t>
      </w:r>
    </w:p>
    <w:p>
      <w:pPr>
        <w:spacing w:before="100" w:beforeAutospacing="1" w:after="100" w:afterAutospacing="1"/>
        <w:jc w:val="center"/>
        <w:rPr>
          <w:rFonts w:ascii="宋体" w:hAnsi="宋体"/>
          <w:b/>
          <w:sz w:val="36"/>
          <w:szCs w:val="36"/>
        </w:rPr>
      </w:pPr>
    </w:p>
    <w:p>
      <w:pPr>
        <w:spacing w:before="100" w:beforeAutospacing="1" w:after="100" w:afterAutospacing="1"/>
        <w:ind w:firstLine="1838" w:firstLineChars="416"/>
        <w:jc w:val="left"/>
        <w:rPr>
          <w:rFonts w:ascii="宋体" w:hAnsi="宋体"/>
          <w:b/>
          <w:sz w:val="44"/>
          <w:szCs w:val="44"/>
        </w:rPr>
      </w:pPr>
      <w:r>
        <w:rPr>
          <w:rFonts w:hint="eastAsia" w:ascii="宋体" w:hAnsi="宋体"/>
          <w:b/>
          <w:bCs/>
          <w:sz w:val="44"/>
          <w:szCs w:val="44"/>
        </w:rPr>
        <w:t xml:space="preserve">采购编号：*** </w:t>
      </w: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sz w:val="24"/>
        </w:rPr>
      </w:pPr>
    </w:p>
    <w:p>
      <w:pPr>
        <w:spacing w:before="100" w:beforeAutospacing="1" w:after="100" w:afterAutospacing="1"/>
        <w:jc w:val="center"/>
        <w:rPr>
          <w:rFonts w:ascii="宋体" w:hAnsi="宋体"/>
          <w:b/>
          <w:sz w:val="36"/>
          <w:szCs w:val="21"/>
          <w:shd w:val="clear" w:color="auto" w:fill="FFFFFF"/>
        </w:rPr>
      </w:pPr>
      <w:r>
        <w:rPr>
          <w:rFonts w:hint="eastAsia" w:ascii="宋体" w:hAnsi="宋体"/>
          <w:b/>
          <w:sz w:val="44"/>
          <w:shd w:val="clear" w:color="auto" w:fill="FFFFFF"/>
        </w:rPr>
        <w:t>采购人：</w:t>
      </w:r>
      <w:r>
        <w:rPr>
          <w:rFonts w:hint="eastAsia" w:ascii="宋体" w:hAnsi="宋体"/>
          <w:b/>
          <w:sz w:val="36"/>
          <w:szCs w:val="21"/>
          <w:shd w:val="clear" w:color="auto" w:fill="FFFFFF"/>
        </w:rPr>
        <w:t>江苏省广电有线信息网络股份有限公司</w:t>
      </w:r>
    </w:p>
    <w:p>
      <w:pPr>
        <w:spacing w:before="100" w:beforeAutospacing="1" w:after="100" w:afterAutospacing="1"/>
        <w:jc w:val="center"/>
        <w:rPr>
          <w:rFonts w:ascii="宋体" w:hAnsi="宋体"/>
          <w:b/>
          <w:sz w:val="44"/>
          <w:szCs w:val="36"/>
        </w:rPr>
      </w:pPr>
    </w:p>
    <w:p>
      <w:pPr>
        <w:spacing w:before="100" w:beforeAutospacing="1" w:after="100" w:afterAutospacing="1"/>
        <w:jc w:val="center"/>
        <w:rPr>
          <w:rFonts w:ascii="宋体" w:hAnsi="宋体"/>
          <w:b/>
          <w:sz w:val="52"/>
        </w:rPr>
      </w:pPr>
      <w:r>
        <w:rPr>
          <w:rFonts w:ascii="宋体" w:hAnsi="宋体"/>
          <w:b/>
          <w:sz w:val="44"/>
          <w:szCs w:val="36"/>
        </w:rPr>
        <w:t>2022</w:t>
      </w:r>
      <w:r>
        <w:rPr>
          <w:rFonts w:hint="eastAsia" w:ascii="宋体" w:hAnsi="宋体"/>
          <w:b/>
          <w:sz w:val="44"/>
          <w:szCs w:val="36"/>
        </w:rPr>
        <w:t>年</w:t>
      </w:r>
      <w:r>
        <w:rPr>
          <w:rFonts w:ascii="宋体" w:hAnsi="宋体"/>
          <w:b/>
          <w:sz w:val="44"/>
          <w:szCs w:val="36"/>
        </w:rPr>
        <w:t>6</w:t>
      </w:r>
      <w:r>
        <w:rPr>
          <w:rFonts w:hint="eastAsia" w:ascii="宋体" w:hAnsi="宋体"/>
          <w:b/>
          <w:sz w:val="44"/>
          <w:szCs w:val="36"/>
        </w:rPr>
        <w:t>月</w:t>
      </w:r>
    </w:p>
    <w:p>
      <w:pPr>
        <w:spacing w:before="100" w:beforeAutospacing="1" w:after="100" w:afterAutospacing="1"/>
        <w:jc w:val="center"/>
        <w:rPr>
          <w:rFonts w:ascii="宋体" w:hAnsi="宋体"/>
          <w:b/>
          <w:sz w:val="24"/>
        </w:rPr>
      </w:pPr>
    </w:p>
    <w:p>
      <w:pPr>
        <w:spacing w:before="100" w:beforeAutospacing="1" w:after="100" w:afterAutospacing="1"/>
        <w:jc w:val="center"/>
        <w:rPr>
          <w:rFonts w:ascii="宋体" w:hAnsi="宋体"/>
          <w:b/>
          <w:sz w:val="36"/>
        </w:rPr>
      </w:pPr>
      <w:r>
        <w:rPr>
          <w:rFonts w:hint="eastAsia" w:ascii="宋体" w:hAnsi="宋体"/>
          <w:b/>
          <w:sz w:val="36"/>
        </w:rPr>
        <w:t>目  录</w:t>
      </w:r>
    </w:p>
    <w:p>
      <w:pPr>
        <w:widowControl/>
        <w:jc w:val="left"/>
        <w:rPr>
          <w:rFonts w:ascii="宋体" w:hAnsi="宋体"/>
          <w:sz w:val="32"/>
        </w:rPr>
      </w:pPr>
      <w:r>
        <w:rPr>
          <w:rFonts w:hint="eastAsia" w:ascii="宋体" w:hAnsi="宋体"/>
          <w:sz w:val="32"/>
        </w:rPr>
        <w:t>第一部分  询价通知书</w:t>
      </w:r>
    </w:p>
    <w:p>
      <w:pPr>
        <w:widowControl/>
        <w:jc w:val="left"/>
        <w:rPr>
          <w:rFonts w:ascii="宋体" w:hAnsi="宋体"/>
          <w:sz w:val="32"/>
        </w:rPr>
      </w:pPr>
      <w:r>
        <w:rPr>
          <w:rFonts w:hint="eastAsia" w:ascii="宋体" w:hAnsi="宋体"/>
          <w:sz w:val="32"/>
        </w:rPr>
        <w:t>第二部分  供应商须知</w:t>
      </w:r>
    </w:p>
    <w:p>
      <w:pPr>
        <w:widowControl/>
        <w:jc w:val="left"/>
        <w:rPr>
          <w:rFonts w:ascii="宋体" w:hAnsi="宋体"/>
          <w:sz w:val="32"/>
        </w:rPr>
      </w:pPr>
      <w:r>
        <w:rPr>
          <w:rFonts w:hint="eastAsia" w:ascii="宋体" w:hAnsi="宋体"/>
          <w:sz w:val="32"/>
        </w:rPr>
        <w:t>第三部分  合同</w:t>
      </w:r>
    </w:p>
    <w:p>
      <w:pPr>
        <w:widowControl/>
        <w:jc w:val="left"/>
        <w:rPr>
          <w:rFonts w:ascii="宋体" w:hAnsi="宋体"/>
          <w:sz w:val="32"/>
        </w:rPr>
      </w:pPr>
      <w:r>
        <w:rPr>
          <w:rFonts w:hint="eastAsia" w:ascii="宋体" w:hAnsi="宋体"/>
          <w:sz w:val="32"/>
        </w:rPr>
        <w:t>第四部分  响应文件格式</w:t>
      </w:r>
    </w:p>
    <w:p>
      <w:pPr>
        <w:widowControl/>
        <w:jc w:val="left"/>
        <w:rPr>
          <w:rFonts w:ascii="宋体" w:hAnsi="宋体"/>
          <w:sz w:val="32"/>
        </w:rPr>
      </w:pPr>
      <w:r>
        <w:rPr>
          <w:rFonts w:hint="eastAsia" w:ascii="宋体" w:hAnsi="宋体"/>
          <w:sz w:val="32"/>
        </w:rPr>
        <w:t xml:space="preserve">第五部分 </w:t>
      </w:r>
      <w:r>
        <w:rPr>
          <w:rFonts w:ascii="宋体" w:hAnsi="宋体"/>
          <w:sz w:val="32"/>
        </w:rPr>
        <w:t xml:space="preserve"> </w:t>
      </w:r>
      <w:r>
        <w:rPr>
          <w:rFonts w:hint="eastAsia" w:ascii="宋体" w:hAnsi="宋体"/>
          <w:sz w:val="32"/>
        </w:rPr>
        <w:t>技术（服务）规范</w:t>
      </w:r>
    </w:p>
    <w:p>
      <w:pPr>
        <w:widowControl/>
        <w:jc w:val="left"/>
      </w:pPr>
      <w:r>
        <w:br w:type="page"/>
      </w:r>
    </w:p>
    <w:p>
      <w:pPr>
        <w:jc w:val="center"/>
        <w:rPr>
          <w:rFonts w:ascii="宋体" w:hAnsi="宋体"/>
          <w:b/>
          <w:sz w:val="28"/>
          <w:szCs w:val="28"/>
        </w:rPr>
      </w:pPr>
      <w:bookmarkStart w:id="0" w:name="_Hlk106265822"/>
      <w:r>
        <w:rPr>
          <w:rFonts w:hint="eastAsia" w:ascii="宋体" w:hAnsi="宋体"/>
          <w:b/>
          <w:sz w:val="28"/>
          <w:szCs w:val="28"/>
        </w:rPr>
        <w:t>第一部分  询价通知书</w:t>
      </w:r>
    </w:p>
    <w:p>
      <w:pPr>
        <w:widowControl/>
        <w:spacing w:line="360" w:lineRule="auto"/>
        <w:ind w:firstLine="480" w:firstLineChars="200"/>
        <w:rPr>
          <w:rFonts w:ascii="宋体" w:hAnsi="宋体"/>
          <w:sz w:val="24"/>
        </w:rPr>
      </w:pPr>
      <w:r>
        <w:rPr>
          <w:rFonts w:ascii="宋体" w:hAnsi="宋体"/>
          <w:sz w:val="24"/>
        </w:rPr>
        <w:t>1.江苏省广电有线信息网络股份有限公司安播运维部</w:t>
      </w:r>
      <w:r>
        <w:rPr>
          <w:rFonts w:hint="eastAsia" w:ascii="宋体" w:hAnsi="宋体"/>
          <w:sz w:val="24"/>
        </w:rPr>
        <w:t>（以下简称“采购人”），拟就“江苏有线双向核心网络系统融合建设交换机板卡采购”</w:t>
      </w:r>
      <w:r>
        <w:rPr>
          <w:rFonts w:ascii="宋体" w:hAnsi="宋体"/>
          <w:sz w:val="24"/>
        </w:rPr>
        <w:t>(采购编号：***)项目的服务以询价方式进行采购，现邀请合格供应商参与询价。</w:t>
      </w:r>
    </w:p>
    <w:p>
      <w:pPr>
        <w:widowControl/>
        <w:spacing w:line="360" w:lineRule="auto"/>
        <w:ind w:firstLine="480" w:firstLineChars="200"/>
        <w:rPr>
          <w:rFonts w:ascii="宋体" w:hAnsi="宋体"/>
          <w:sz w:val="24"/>
        </w:rPr>
      </w:pPr>
      <w:r>
        <w:rPr>
          <w:rFonts w:ascii="宋体" w:hAnsi="宋体"/>
          <w:sz w:val="24"/>
        </w:rPr>
        <w:t>2.概述：</w:t>
      </w:r>
      <w:r>
        <w:rPr>
          <w:rFonts w:hint="eastAsia" w:ascii="宋体" w:hAnsi="宋体"/>
          <w:sz w:val="24"/>
        </w:rPr>
        <w:t>目前双向业务视频流核心交换机已在线持续运行超1</w:t>
      </w:r>
      <w:r>
        <w:rPr>
          <w:rFonts w:ascii="宋体" w:hAnsi="宋体"/>
          <w:sz w:val="24"/>
        </w:rPr>
        <w:t>0</w:t>
      </w:r>
      <w:r>
        <w:rPr>
          <w:rFonts w:hint="eastAsia" w:ascii="宋体" w:hAnsi="宋体"/>
          <w:sz w:val="24"/>
        </w:rPr>
        <w:t>年，存在架构老旧、端口密度低、单板带宽有限（仅8</w:t>
      </w:r>
      <w:r>
        <w:rPr>
          <w:rFonts w:ascii="宋体" w:hAnsi="宋体"/>
          <w:sz w:val="24"/>
        </w:rPr>
        <w:t>0</w:t>
      </w:r>
      <w:r>
        <w:rPr>
          <w:rFonts w:hint="eastAsia" w:ascii="宋体" w:hAnsi="宋体"/>
          <w:sz w:val="24"/>
        </w:rPr>
        <w:t>G）、故障率增高等弊端，已无法适应公司业务IP化、融合化发展要求。拟依托2</w:t>
      </w:r>
      <w:r>
        <w:rPr>
          <w:rFonts w:ascii="宋体" w:hAnsi="宋体"/>
          <w:sz w:val="24"/>
        </w:rPr>
        <w:t>021</w:t>
      </w:r>
      <w:r>
        <w:rPr>
          <w:rFonts w:hint="eastAsia" w:ascii="宋体" w:hAnsi="宋体"/>
          <w:sz w:val="24"/>
        </w:rPr>
        <w:t>年新扩容的核心交换机的先进架构及大带宽端口、高密度板卡优势，进行板卡扩容，共扩容6块万兆板卡。实现原视频流核心交换机负载业务的整体迁移，同时具备IPCDN核心网络接入及各地市分前端分发接入能力，最终实现双向业务核心网络的融合、架构的升级及能力的扩容。本项目要求供应商提供采购设备的上线安装及网络接入，提供不少于</w:t>
      </w:r>
      <w:r>
        <w:rPr>
          <w:rFonts w:ascii="宋体" w:hAnsi="宋体"/>
          <w:sz w:val="24"/>
        </w:rPr>
        <w:t>200</w:t>
      </w:r>
      <w:r>
        <w:rPr>
          <w:rFonts w:hint="eastAsia" w:ascii="宋体" w:hAnsi="宋体"/>
          <w:sz w:val="24"/>
        </w:rPr>
        <w:t>对光纤布放，所需辅材由供应商提供。</w:t>
      </w:r>
    </w:p>
    <w:p>
      <w:pPr>
        <w:widowControl/>
        <w:spacing w:line="360" w:lineRule="auto"/>
        <w:ind w:firstLine="480" w:firstLineChars="200"/>
        <w:rPr>
          <w:rFonts w:ascii="宋体" w:hAnsi="宋体"/>
          <w:sz w:val="24"/>
        </w:rPr>
      </w:pPr>
      <w:r>
        <w:rPr>
          <w:rFonts w:ascii="宋体" w:hAnsi="宋体"/>
          <w:sz w:val="24"/>
        </w:rPr>
        <w:t>3.询价内容：</w:t>
      </w:r>
    </w:p>
    <w:tbl>
      <w:tblPr>
        <w:tblStyle w:val="14"/>
        <w:tblW w:w="7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739"/>
        <w:gridCol w:w="2292"/>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80" w:type="dxa"/>
            <w:tcBorders>
              <w:bottom w:val="single" w:color="auto" w:sz="4" w:space="0"/>
            </w:tcBorders>
            <w:vAlign w:val="center"/>
          </w:tcPr>
          <w:p>
            <w:pPr>
              <w:jc w:val="center"/>
              <w:rPr>
                <w:rFonts w:ascii="宋体" w:hAnsi="宋体" w:cs="宋体"/>
                <w:sz w:val="24"/>
              </w:rPr>
            </w:pPr>
            <w:r>
              <w:rPr>
                <w:rFonts w:hint="eastAsia" w:ascii="宋体" w:hAnsi="宋体" w:cs="宋体"/>
                <w:sz w:val="24"/>
              </w:rPr>
              <w:t>序号</w:t>
            </w:r>
          </w:p>
        </w:tc>
        <w:tc>
          <w:tcPr>
            <w:tcW w:w="2739" w:type="dxa"/>
            <w:tcBorders>
              <w:bottom w:val="single" w:color="auto" w:sz="4" w:space="0"/>
            </w:tcBorders>
            <w:vAlign w:val="center"/>
          </w:tcPr>
          <w:p>
            <w:pPr>
              <w:jc w:val="center"/>
              <w:rPr>
                <w:rFonts w:ascii="宋体" w:hAnsi="宋体" w:cs="宋体"/>
                <w:sz w:val="24"/>
              </w:rPr>
            </w:pPr>
            <w:r>
              <w:rPr>
                <w:rFonts w:hint="eastAsia" w:ascii="宋体" w:hAnsi="宋体" w:cs="宋体"/>
                <w:sz w:val="24"/>
              </w:rPr>
              <w:t>名称</w:t>
            </w:r>
          </w:p>
        </w:tc>
        <w:tc>
          <w:tcPr>
            <w:tcW w:w="2292" w:type="dxa"/>
            <w:tcBorders>
              <w:bottom w:val="single" w:color="auto" w:sz="4" w:space="0"/>
            </w:tcBorders>
            <w:vAlign w:val="center"/>
          </w:tcPr>
          <w:p>
            <w:pPr>
              <w:jc w:val="center"/>
              <w:rPr>
                <w:rFonts w:ascii="宋体" w:hAnsi="宋体" w:cs="宋体"/>
                <w:sz w:val="24"/>
              </w:rPr>
            </w:pPr>
            <w:r>
              <w:rPr>
                <w:rFonts w:hint="eastAsia" w:ascii="宋体" w:hAnsi="宋体" w:cs="宋体"/>
                <w:sz w:val="24"/>
              </w:rPr>
              <w:t>品牌型号及规格</w:t>
            </w:r>
          </w:p>
        </w:tc>
        <w:tc>
          <w:tcPr>
            <w:tcW w:w="1495" w:type="dxa"/>
            <w:tcBorders>
              <w:bottom w:val="single" w:color="auto" w:sz="4" w:space="0"/>
            </w:tcBorders>
            <w:vAlign w:val="center"/>
          </w:tcPr>
          <w:p>
            <w:pPr>
              <w:jc w:val="center"/>
              <w:rPr>
                <w:rFonts w:ascii="宋体" w:hAnsi="宋体" w:cs="宋体"/>
                <w:sz w:val="24"/>
              </w:rPr>
            </w:pPr>
            <w:r>
              <w:rPr>
                <w:rFonts w:hint="eastAsia" w:ascii="宋体" w:hAnsi="宋体" w:cs="宋体"/>
                <w:sz w:val="24"/>
              </w:rPr>
              <w:t>设备数量/单位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p>
        </w:tc>
        <w:tc>
          <w:tcPr>
            <w:tcW w:w="2739" w:type="dxa"/>
            <w:tcBorders>
              <w:top w:val="single" w:color="auto" w:sz="4" w:space="0"/>
              <w:left w:val="single" w:color="auto" w:sz="4" w:space="0"/>
              <w:bottom w:val="single" w:color="auto" w:sz="4" w:space="0"/>
              <w:right w:val="single" w:color="auto" w:sz="4" w:space="0"/>
            </w:tcBorders>
            <w:vAlign w:val="center"/>
          </w:tcPr>
          <w:p>
            <w:pPr>
              <w:tabs>
                <w:tab w:val="left" w:pos="2282"/>
              </w:tabs>
              <w:spacing w:line="320" w:lineRule="exact"/>
              <w:jc w:val="center"/>
              <w:rPr>
                <w:rFonts w:ascii="宋体" w:hAnsi="宋体" w:cs="宋体"/>
                <w:sz w:val="24"/>
              </w:rPr>
            </w:pPr>
            <w:r>
              <w:rPr>
                <w:rFonts w:hint="eastAsia" w:ascii="宋体" w:hAnsi="宋体"/>
                <w:sz w:val="24"/>
              </w:rPr>
              <w:t>双向业务核心交换机万兆板卡</w:t>
            </w:r>
          </w:p>
        </w:tc>
        <w:tc>
          <w:tcPr>
            <w:tcW w:w="229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rPr>
            </w:pPr>
            <w:r>
              <w:rPr>
                <w:sz w:val="24"/>
              </w:rPr>
              <w:t>H3C-S12508</w:t>
            </w:r>
            <w:r>
              <w:rPr>
                <w:rFonts w:hint="eastAsia"/>
                <w:sz w:val="24"/>
              </w:rPr>
              <w:t>G</w:t>
            </w:r>
            <w:r>
              <w:rPr>
                <w:sz w:val="24"/>
              </w:rPr>
              <w:t>-AF</w:t>
            </w:r>
            <w:r>
              <w:rPr>
                <w:rFonts w:hint="eastAsia"/>
                <w:sz w:val="24"/>
              </w:rPr>
              <w:t>交换机用</w:t>
            </w:r>
            <w:r>
              <w:rPr>
                <w:rFonts w:hint="eastAsia" w:ascii="宋体" w:hAnsi="宋体" w:cs="宋体"/>
                <w:sz w:val="24"/>
              </w:rPr>
              <w:t>4</w:t>
            </w:r>
            <w:r>
              <w:rPr>
                <w:rFonts w:ascii="宋体" w:hAnsi="宋体" w:cs="宋体"/>
                <w:sz w:val="24"/>
              </w:rPr>
              <w:t>8</w:t>
            </w:r>
            <w:r>
              <w:rPr>
                <w:rFonts w:hint="eastAsia" w:ascii="宋体" w:hAnsi="宋体" w:cs="宋体"/>
                <w:sz w:val="24"/>
              </w:rPr>
              <w:t>端口万兆板卡</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ascii="宋体" w:hAnsi="宋体" w:cs="宋体"/>
                <w:sz w:val="24"/>
              </w:rPr>
              <w:t>6</w:t>
            </w:r>
            <w:r>
              <w:rPr>
                <w:rFonts w:hint="eastAsia" w:ascii="宋体" w:hAnsi="宋体" w:cs="宋体"/>
                <w:sz w:val="24"/>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2</w:t>
            </w:r>
          </w:p>
        </w:tc>
        <w:tc>
          <w:tcPr>
            <w:tcW w:w="2739" w:type="dxa"/>
            <w:tcBorders>
              <w:top w:val="single" w:color="auto" w:sz="4" w:space="0"/>
              <w:left w:val="single" w:color="auto" w:sz="4" w:space="0"/>
              <w:bottom w:val="single" w:color="auto" w:sz="4" w:space="0"/>
              <w:right w:val="single" w:color="auto" w:sz="4" w:space="0"/>
            </w:tcBorders>
            <w:vAlign w:val="center"/>
          </w:tcPr>
          <w:p>
            <w:pPr>
              <w:tabs>
                <w:tab w:val="left" w:pos="2282"/>
              </w:tabs>
              <w:spacing w:line="320" w:lineRule="exact"/>
              <w:jc w:val="center"/>
              <w:rPr>
                <w:rFonts w:ascii="宋体" w:hAnsi="宋体"/>
                <w:sz w:val="24"/>
              </w:rPr>
            </w:pPr>
            <w:r>
              <w:rPr>
                <w:rFonts w:hAnsi="宋体"/>
                <w:bCs/>
                <w:sz w:val="24"/>
              </w:rPr>
              <w:t>1</w:t>
            </w:r>
            <w:r>
              <w:rPr>
                <w:rFonts w:hint="eastAsia" w:hAnsi="宋体"/>
                <w:bCs/>
                <w:sz w:val="24"/>
              </w:rPr>
              <w:t>0GE多模光模块</w:t>
            </w:r>
          </w:p>
        </w:tc>
        <w:tc>
          <w:tcPr>
            <w:tcW w:w="229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H</w:t>
            </w:r>
            <w:r>
              <w:rPr>
                <w:sz w:val="24"/>
              </w:rPr>
              <w:t>3</w:t>
            </w:r>
            <w:r>
              <w:rPr>
                <w:rFonts w:hint="eastAsia"/>
                <w:sz w:val="24"/>
              </w:rPr>
              <w:t>C</w:t>
            </w:r>
            <w:r>
              <w:rPr>
                <w:sz w:val="24"/>
              </w:rPr>
              <w:t xml:space="preserve"> </w:t>
            </w:r>
            <w:r>
              <w:rPr>
                <w:rFonts w:hAnsi="宋体"/>
                <w:bCs/>
                <w:sz w:val="24"/>
              </w:rPr>
              <w:t>1</w:t>
            </w:r>
            <w:r>
              <w:rPr>
                <w:rFonts w:hint="eastAsia" w:hAnsi="宋体"/>
                <w:bCs/>
                <w:sz w:val="24"/>
              </w:rPr>
              <w:t>0GE多模光模块</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1</w:t>
            </w:r>
            <w:r>
              <w:rPr>
                <w:rFonts w:ascii="宋体" w:hAnsi="宋体" w:cs="宋体"/>
                <w:sz w:val="24"/>
              </w:rPr>
              <w:t>92</w:t>
            </w:r>
            <w:r>
              <w:rPr>
                <w:rFonts w:hint="eastAsia" w:ascii="宋体" w:hAnsi="宋体" w:cs="宋体"/>
                <w:sz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6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3</w:t>
            </w:r>
          </w:p>
        </w:tc>
        <w:tc>
          <w:tcPr>
            <w:tcW w:w="2739" w:type="dxa"/>
            <w:tcBorders>
              <w:top w:val="single" w:color="auto" w:sz="4" w:space="0"/>
              <w:left w:val="single" w:color="auto" w:sz="4" w:space="0"/>
              <w:bottom w:val="single" w:color="auto" w:sz="4" w:space="0"/>
              <w:right w:val="single" w:color="auto" w:sz="4" w:space="0"/>
            </w:tcBorders>
            <w:vAlign w:val="center"/>
          </w:tcPr>
          <w:p>
            <w:pPr>
              <w:tabs>
                <w:tab w:val="left" w:pos="2282"/>
              </w:tabs>
              <w:spacing w:line="320" w:lineRule="exact"/>
              <w:jc w:val="center"/>
              <w:rPr>
                <w:rFonts w:ascii="宋体" w:hAnsi="宋体"/>
                <w:sz w:val="24"/>
              </w:rPr>
            </w:pPr>
            <w:r>
              <w:rPr>
                <w:rFonts w:hAnsi="宋体"/>
                <w:bCs/>
                <w:sz w:val="24"/>
              </w:rPr>
              <w:t>1</w:t>
            </w:r>
            <w:r>
              <w:rPr>
                <w:rFonts w:hint="eastAsia" w:hAnsi="宋体"/>
                <w:bCs/>
                <w:sz w:val="24"/>
              </w:rPr>
              <w:t>0GE单模光模块</w:t>
            </w:r>
          </w:p>
        </w:tc>
        <w:tc>
          <w:tcPr>
            <w:tcW w:w="2292" w:type="dxa"/>
            <w:tcBorders>
              <w:top w:val="single" w:color="auto" w:sz="4" w:space="0"/>
              <w:left w:val="single" w:color="auto" w:sz="4" w:space="0"/>
              <w:bottom w:val="single" w:color="auto" w:sz="4" w:space="0"/>
              <w:right w:val="single" w:color="auto" w:sz="4" w:space="0"/>
            </w:tcBorders>
            <w:vAlign w:val="center"/>
          </w:tcPr>
          <w:p>
            <w:pPr>
              <w:jc w:val="left"/>
              <w:rPr>
                <w:sz w:val="24"/>
              </w:rPr>
            </w:pPr>
            <w:r>
              <w:rPr>
                <w:rFonts w:hint="eastAsia"/>
                <w:sz w:val="24"/>
              </w:rPr>
              <w:t>H</w:t>
            </w:r>
            <w:r>
              <w:rPr>
                <w:sz w:val="24"/>
              </w:rPr>
              <w:t>3</w:t>
            </w:r>
            <w:r>
              <w:rPr>
                <w:rFonts w:hint="eastAsia"/>
                <w:sz w:val="24"/>
              </w:rPr>
              <w:t>C</w:t>
            </w:r>
            <w:r>
              <w:rPr>
                <w:sz w:val="24"/>
              </w:rPr>
              <w:t xml:space="preserve"> </w:t>
            </w:r>
            <w:r>
              <w:rPr>
                <w:rFonts w:hAnsi="宋体"/>
                <w:bCs/>
                <w:sz w:val="24"/>
              </w:rPr>
              <w:t>1</w:t>
            </w:r>
            <w:r>
              <w:rPr>
                <w:rFonts w:hint="eastAsia" w:hAnsi="宋体"/>
                <w:bCs/>
                <w:sz w:val="24"/>
              </w:rPr>
              <w:t>0GE单模光模块</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rPr>
            </w:pPr>
            <w:r>
              <w:rPr>
                <w:rFonts w:hint="eastAsia" w:ascii="宋体" w:hAnsi="宋体" w:cs="宋体"/>
                <w:sz w:val="24"/>
              </w:rPr>
              <w:t>9</w:t>
            </w:r>
            <w:r>
              <w:rPr>
                <w:rFonts w:ascii="宋体" w:hAnsi="宋体" w:cs="宋体"/>
                <w:sz w:val="24"/>
              </w:rPr>
              <w:t>6</w:t>
            </w:r>
            <w:r>
              <w:rPr>
                <w:rFonts w:hint="eastAsia" w:ascii="宋体" w:hAnsi="宋体" w:cs="宋体"/>
                <w:sz w:val="24"/>
              </w:rPr>
              <w:t>个</w:t>
            </w:r>
          </w:p>
        </w:tc>
      </w:tr>
    </w:tbl>
    <w:p>
      <w:pPr>
        <w:widowControl/>
        <w:tabs>
          <w:tab w:val="left" w:pos="540"/>
        </w:tabs>
        <w:autoSpaceDE w:val="0"/>
        <w:autoSpaceDN w:val="0"/>
        <w:adjustRightInd w:val="0"/>
        <w:snapToGrid w:val="0"/>
        <w:spacing w:line="360" w:lineRule="auto"/>
        <w:ind w:left="420" w:leftChars="200" w:firstLine="560" w:firstLineChars="200"/>
        <w:textAlignment w:val="bottom"/>
        <w:rPr>
          <w:rFonts w:ascii="宋体" w:hAnsi="宋体"/>
          <w:sz w:val="28"/>
          <w:szCs w:val="28"/>
        </w:rPr>
      </w:pPr>
    </w:p>
    <w:p>
      <w:pPr>
        <w:widowControl/>
        <w:spacing w:line="360" w:lineRule="auto"/>
        <w:ind w:firstLine="480" w:firstLineChars="200"/>
        <w:jc w:val="left"/>
        <w:rPr>
          <w:rFonts w:ascii="宋体" w:hAnsi="宋体" w:cs="宋体"/>
          <w:kern w:val="0"/>
          <w:sz w:val="24"/>
          <w:szCs w:val="22"/>
        </w:rPr>
      </w:pPr>
      <w:r>
        <w:rPr>
          <w:rFonts w:ascii="宋体" w:hAnsi="宋体" w:cs="宋体"/>
          <w:kern w:val="0"/>
          <w:sz w:val="24"/>
          <w:szCs w:val="22"/>
        </w:rPr>
        <w:t>4.供应商资格条件：</w:t>
      </w:r>
    </w:p>
    <w:p>
      <w:pPr>
        <w:spacing w:line="360" w:lineRule="auto"/>
        <w:ind w:firstLine="480" w:firstLineChars="200"/>
        <w:jc w:val="left"/>
        <w:rPr>
          <w:rFonts w:ascii="宋体" w:hAnsi="宋体" w:cs="宋体"/>
          <w:kern w:val="0"/>
          <w:sz w:val="24"/>
          <w:szCs w:val="22"/>
        </w:rPr>
      </w:pPr>
      <w:bookmarkStart w:id="1" w:name="_Hlk74838219"/>
      <w:r>
        <w:rPr>
          <w:rFonts w:hint="eastAsia" w:ascii="宋体" w:hAnsi="宋体" w:cs="宋体"/>
          <w:kern w:val="0"/>
          <w:sz w:val="24"/>
          <w:szCs w:val="22"/>
        </w:rPr>
        <w:t>4.1供应商须为在中华人民共和国境内合法注册的独立法人或其他组织，遵守中国有关法律、法规，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1"/>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4.2供应商须出具经第三方审计20</w:t>
      </w:r>
      <w:r>
        <w:rPr>
          <w:rFonts w:ascii="宋体" w:hAnsi="宋体" w:cs="宋体"/>
          <w:kern w:val="0"/>
          <w:sz w:val="24"/>
          <w:szCs w:val="22"/>
        </w:rPr>
        <w:t>19</w:t>
      </w:r>
      <w:r>
        <w:rPr>
          <w:rFonts w:hint="eastAsia" w:ascii="宋体" w:hAnsi="宋体" w:cs="宋体"/>
          <w:kern w:val="0"/>
          <w:sz w:val="24"/>
          <w:szCs w:val="22"/>
        </w:rPr>
        <w:t>年度和20</w:t>
      </w:r>
      <w:r>
        <w:rPr>
          <w:rFonts w:ascii="宋体" w:hAnsi="宋体" w:cs="宋体"/>
          <w:kern w:val="0"/>
          <w:sz w:val="24"/>
          <w:szCs w:val="22"/>
        </w:rPr>
        <w:t>20</w:t>
      </w:r>
      <w:r>
        <w:rPr>
          <w:rFonts w:hint="eastAsia" w:ascii="宋体" w:hAnsi="宋体" w:cs="宋体"/>
          <w:kern w:val="0"/>
          <w:sz w:val="24"/>
          <w:szCs w:val="22"/>
        </w:rPr>
        <w:t>年度的财务报表，至少包括文字性报告及资产负债表、现金流量表、利润表。</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3</w:t>
      </w:r>
      <w:r>
        <w:rPr>
          <w:rFonts w:hint="eastAsia" w:ascii="宋体" w:hAnsi="宋体" w:cs="宋体"/>
          <w:kern w:val="0"/>
          <w:sz w:val="24"/>
          <w:szCs w:val="22"/>
        </w:rPr>
        <w:t>供应商须具有良好的业绩和经验，自2018年1月1日至响应截止日前在国内相关行业实施过类似项目。（提供合同复印件，原件备查）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4</w:t>
      </w:r>
      <w:r>
        <w:rPr>
          <w:rFonts w:hint="eastAsia" w:ascii="宋体" w:hAnsi="宋体" w:cs="宋体"/>
          <w:kern w:val="0"/>
          <w:sz w:val="24"/>
          <w:szCs w:val="22"/>
        </w:rPr>
        <w:t>供应商须是本次询价货物的制造商或获得所投货物制造商针对本项目的授权代理商，制造商和授权代理商不得同时参与本项目。（代理商提供授权书原件并加盖公章）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w:t>
      </w:r>
      <w:r>
        <w:rPr>
          <w:rFonts w:ascii="宋体" w:hAnsi="宋体" w:cs="宋体"/>
          <w:color w:val="191919"/>
          <w:kern w:val="0"/>
          <w:sz w:val="24"/>
          <w:shd w:val="clear" w:color="auto" w:fill="FFFFFF"/>
        </w:rPr>
        <w:t>5</w:t>
      </w:r>
      <w:r>
        <w:rPr>
          <w:rFonts w:hint="eastAsia" w:ascii="宋体" w:hAnsi="宋体" w:cs="宋体"/>
          <w:color w:val="191919"/>
          <w:kern w:val="0"/>
          <w:sz w:val="24"/>
          <w:shd w:val="clear" w:color="auto" w:fill="FFFFFF"/>
        </w:rPr>
        <w:t>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6</w:t>
      </w:r>
      <w:r>
        <w:rPr>
          <w:rFonts w:hint="eastAsia" w:ascii="宋体" w:hAnsi="宋体" w:cs="宋体"/>
          <w:kern w:val="0"/>
          <w:sz w:val="24"/>
          <w:szCs w:val="22"/>
        </w:rPr>
        <w:t>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7</w:t>
      </w:r>
      <w:r>
        <w:rPr>
          <w:rFonts w:hint="eastAsia" w:ascii="宋体" w:hAnsi="宋体" w:cs="宋体"/>
          <w:kern w:val="0"/>
          <w:sz w:val="24"/>
          <w:szCs w:val="22"/>
        </w:rPr>
        <w:t>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8</w:t>
      </w:r>
      <w:r>
        <w:rPr>
          <w:rFonts w:hint="eastAsia" w:ascii="宋体" w:hAnsi="宋体" w:cs="宋体"/>
          <w:kern w:val="0"/>
          <w:sz w:val="24"/>
          <w:szCs w:val="22"/>
        </w:rPr>
        <w:t>供应商单位负责人为同一人或者存在直接控股、管理关系的不同供应商，不得参加同一标段询价或者未划分标段的同一采购项目询价。</w:t>
      </w:r>
    </w:p>
    <w:p>
      <w:pPr>
        <w:spacing w:line="360" w:lineRule="auto"/>
        <w:ind w:firstLine="480" w:firstLineChars="200"/>
        <w:jc w:val="left"/>
      </w:pPr>
      <w:r>
        <w:rPr>
          <w:rFonts w:hint="eastAsia" w:ascii="宋体" w:hAnsi="宋体" w:cs="宋体"/>
          <w:kern w:val="0"/>
          <w:sz w:val="24"/>
          <w:szCs w:val="22"/>
        </w:rPr>
        <w:t>4.</w:t>
      </w:r>
      <w:r>
        <w:rPr>
          <w:rFonts w:ascii="宋体" w:hAnsi="宋体" w:cs="宋体"/>
          <w:kern w:val="0"/>
          <w:sz w:val="24"/>
          <w:szCs w:val="22"/>
        </w:rPr>
        <w:t>9</w:t>
      </w:r>
      <w:r>
        <w:rPr>
          <w:rFonts w:hint="eastAsia" w:ascii="宋体" w:hAnsi="宋体" w:cs="宋体"/>
          <w:kern w:val="0"/>
          <w:sz w:val="24"/>
          <w:szCs w:val="22"/>
        </w:rPr>
        <w:t>法定代表人为同一个人的两个及两个以上法人，母公司与全资子公司/由其控股的子公司，不得同时参与本项目</w:t>
      </w:r>
      <w:r>
        <w:rPr>
          <w:rFonts w:ascii="宋体" w:hAnsi="宋体" w:cs="宋体"/>
          <w:kern w:val="0"/>
          <w:sz w:val="24"/>
          <w:szCs w:val="22"/>
        </w:rPr>
        <w:t>。</w:t>
      </w:r>
    </w:p>
    <w:p>
      <w:pPr>
        <w:ind w:firstLine="420"/>
        <w:rPr>
          <w:rFonts w:ascii="宋体" w:hAnsi="宋体" w:cs="宋体"/>
          <w:kern w:val="0"/>
          <w:sz w:val="24"/>
          <w:szCs w:val="22"/>
        </w:rPr>
      </w:pPr>
      <w:r>
        <w:rPr>
          <w:rFonts w:hint="eastAsia" w:ascii="宋体" w:hAnsi="宋体" w:cs="宋体"/>
          <w:kern w:val="0"/>
          <w:sz w:val="24"/>
          <w:szCs w:val="22"/>
        </w:rPr>
        <w:t>4.</w:t>
      </w:r>
      <w:r>
        <w:rPr>
          <w:rFonts w:ascii="宋体" w:hAnsi="宋体" w:cs="宋体"/>
          <w:kern w:val="0"/>
          <w:sz w:val="24"/>
          <w:szCs w:val="22"/>
        </w:rPr>
        <w:t>10</w:t>
      </w:r>
      <w:r>
        <w:rPr>
          <w:rFonts w:hint="eastAsia" w:ascii="宋体" w:hAnsi="宋体" w:cs="宋体"/>
          <w:kern w:val="0"/>
          <w:sz w:val="24"/>
          <w:szCs w:val="22"/>
        </w:rPr>
        <w:t>本项目不接受联合体响应。</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5.</w:t>
      </w:r>
      <w:r>
        <w:rPr>
          <w:rFonts w:hint="eastAsia" w:ascii="宋体" w:hAnsi="宋体"/>
          <w:sz w:val="24"/>
        </w:rPr>
        <w:t>询价文件的获取方式：</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5.1 询价文件获取时间：202</w:t>
      </w:r>
      <w:r>
        <w:rPr>
          <w:rFonts w:ascii="宋体" w:hAnsi="宋体"/>
          <w:sz w:val="24"/>
        </w:rPr>
        <w:t>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17</w:t>
      </w:r>
      <w:r>
        <w:rPr>
          <w:rFonts w:hint="eastAsia" w:ascii="宋体" w:hAnsi="宋体"/>
          <w:sz w:val="24"/>
        </w:rPr>
        <w:t>日9时00分至202</w:t>
      </w:r>
      <w:r>
        <w:rPr>
          <w:rFonts w:ascii="宋体" w:hAnsi="宋体"/>
          <w:sz w:val="24"/>
        </w:rPr>
        <w:t>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21</w:t>
      </w:r>
      <w:r>
        <w:rPr>
          <w:rFonts w:hint="eastAsia" w:ascii="宋体" w:hAnsi="宋体"/>
          <w:sz w:val="24"/>
        </w:rPr>
        <w:t>日17时00分（北京时间，下同）。</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5.2 询价文件获取地点：</w:t>
      </w:r>
      <w:r>
        <w:rPr>
          <w:rFonts w:hint="eastAsia" w:ascii="宋体" w:hAnsi="宋体"/>
          <w:sz w:val="24"/>
          <w:u w:val="single"/>
        </w:rPr>
        <w:t>江苏省南京市玄武区运粮河西路101号；</w:t>
      </w:r>
    </w:p>
    <w:p>
      <w:pPr>
        <w:widowControl/>
        <w:autoSpaceDE w:val="0"/>
        <w:autoSpaceDN w:val="0"/>
        <w:adjustRightInd w:val="0"/>
        <w:snapToGrid w:val="0"/>
        <w:spacing w:line="360" w:lineRule="auto"/>
        <w:ind w:firstLine="480" w:firstLineChars="200"/>
        <w:textAlignment w:val="bottom"/>
        <w:rPr>
          <w:rFonts w:ascii="宋体" w:hAnsi="宋体"/>
          <w:b/>
          <w:bCs/>
          <w:sz w:val="24"/>
        </w:rPr>
      </w:pPr>
      <w:r>
        <w:rPr>
          <w:rFonts w:hint="eastAsia" w:ascii="宋体" w:hAnsi="宋体"/>
          <w:sz w:val="24"/>
        </w:rPr>
        <w:t>5.3询价文件获取方式：</w:t>
      </w:r>
      <w:r>
        <w:rPr>
          <w:rFonts w:hint="eastAsia" w:ascii="宋体" w:hAnsi="宋体" w:cs="宋体"/>
          <w:color w:val="565656"/>
          <w:sz w:val="24"/>
        </w:rPr>
        <w:t>供应商</w:t>
      </w:r>
      <w:r>
        <w:rPr>
          <w:rFonts w:hint="eastAsia" w:ascii="宋体" w:hAnsi="宋体"/>
          <w:sz w:val="24"/>
        </w:rPr>
        <w:t>向采购人了解有关信息并有意购买询价文件的，应将以下材料（报名登记表须单独列WORD）发送至邮箱</w:t>
      </w:r>
      <w:r>
        <w:rPr>
          <w:rFonts w:hint="eastAsia" w:ascii="宋体" w:hAnsi="宋体"/>
          <w:b/>
          <w:bCs/>
          <w:sz w:val="24"/>
        </w:rPr>
        <w:t>：</w:t>
      </w:r>
      <w:r>
        <w:rPr>
          <w:rFonts w:hint="eastAsia" w:ascii="宋体" w:hAnsi="宋体"/>
          <w:sz w:val="24"/>
        </w:rPr>
        <w:t>jsc</w:t>
      </w:r>
      <w:r>
        <w:rPr>
          <w:rFonts w:hint="eastAsia" w:ascii="宋体" w:hAnsi="宋体"/>
          <w:sz w:val="24"/>
          <w:u w:val="dotted"/>
        </w:rPr>
        <w:t>n</w:t>
      </w:r>
      <w:r>
        <w:rPr>
          <w:rFonts w:hint="eastAsia" w:ascii="宋体" w:hAnsi="宋体"/>
          <w:sz w:val="24"/>
        </w:rPr>
        <w:t>_zbzy@163.com</w:t>
      </w:r>
      <w:r>
        <w:rPr>
          <w:rFonts w:hint="eastAsia" w:ascii="宋体" w:hAnsi="宋体"/>
          <w:b/>
          <w:bCs/>
          <w:sz w:val="24"/>
        </w:rPr>
        <w:t>（发完邮件请电话确认）</w:t>
      </w:r>
    </w:p>
    <w:p>
      <w:pPr>
        <w:widowControl/>
        <w:numPr>
          <w:ilvl w:val="0"/>
          <w:numId w:val="1"/>
        </w:numPr>
        <w:autoSpaceDE w:val="0"/>
        <w:autoSpaceDN w:val="0"/>
        <w:adjustRightInd w:val="0"/>
        <w:snapToGrid w:val="0"/>
        <w:spacing w:line="360" w:lineRule="auto"/>
        <w:ind w:hanging="5"/>
        <w:textAlignment w:val="bottom"/>
        <w:rPr>
          <w:rFonts w:ascii="宋体" w:hAnsi="宋体"/>
          <w:sz w:val="24"/>
        </w:rPr>
      </w:pPr>
      <w:r>
        <w:rPr>
          <w:rFonts w:hint="eastAsia" w:ascii="宋体" w:hAnsi="宋体"/>
          <w:sz w:val="24"/>
        </w:rPr>
        <w:t>法定代表人授权委托书、营业执照副本复印件（并加盖公章）。</w:t>
      </w:r>
    </w:p>
    <w:p>
      <w:pPr>
        <w:widowControl/>
        <w:numPr>
          <w:ilvl w:val="0"/>
          <w:numId w:val="1"/>
        </w:numPr>
        <w:autoSpaceDE w:val="0"/>
        <w:autoSpaceDN w:val="0"/>
        <w:adjustRightInd w:val="0"/>
        <w:snapToGrid w:val="0"/>
        <w:spacing w:line="360" w:lineRule="auto"/>
        <w:ind w:hanging="5"/>
        <w:textAlignment w:val="bottom"/>
        <w:rPr>
          <w:rFonts w:ascii="宋体" w:hAnsi="宋体"/>
          <w:sz w:val="24"/>
        </w:rPr>
      </w:pPr>
      <w:r>
        <w:rPr>
          <w:rFonts w:hint="eastAsia" w:ascii="宋体" w:hAnsi="宋体"/>
          <w:sz w:val="24"/>
        </w:rPr>
        <w:t>经办人身份证复印件（并加盖公章）。</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6.</w:t>
      </w:r>
      <w:r>
        <w:rPr>
          <w:rFonts w:hint="eastAsia" w:ascii="宋体" w:hAnsi="宋体"/>
          <w:sz w:val="24"/>
        </w:rPr>
        <w:t>响应文件递交时间：</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6.1  纸质响应文件的递交：递交纸质响应文件的截止时间（即响应截止时间）为：202</w:t>
      </w:r>
      <w:r>
        <w:rPr>
          <w:rFonts w:ascii="宋体" w:hAnsi="宋体"/>
          <w:sz w:val="24"/>
        </w:rPr>
        <w:t>2</w:t>
      </w:r>
      <w:r>
        <w:rPr>
          <w:rFonts w:hint="eastAsia" w:ascii="宋体" w:hAnsi="宋体"/>
          <w:sz w:val="24"/>
        </w:rPr>
        <w:t>年</w:t>
      </w:r>
      <w:r>
        <w:rPr>
          <w:rFonts w:ascii="宋体" w:hAnsi="宋体"/>
          <w:sz w:val="24"/>
        </w:rPr>
        <w:t>6</w:t>
      </w:r>
      <w:r>
        <w:rPr>
          <w:rFonts w:hint="eastAsia" w:ascii="宋体" w:hAnsi="宋体"/>
          <w:sz w:val="24"/>
        </w:rPr>
        <w:t>月</w:t>
      </w:r>
      <w:r>
        <w:rPr>
          <w:rFonts w:ascii="宋体" w:hAnsi="宋体"/>
          <w:sz w:val="24"/>
        </w:rPr>
        <w:t>24</w:t>
      </w:r>
      <w:r>
        <w:rPr>
          <w:rFonts w:hint="eastAsia" w:ascii="宋体" w:hAnsi="宋体"/>
          <w:sz w:val="24"/>
        </w:rPr>
        <w:t>日</w:t>
      </w:r>
      <w:r>
        <w:rPr>
          <w:rFonts w:ascii="宋体" w:hAnsi="宋体"/>
          <w:sz w:val="24"/>
        </w:rPr>
        <w:t>14</w:t>
      </w:r>
      <w:r>
        <w:rPr>
          <w:rFonts w:hint="eastAsia" w:ascii="宋体" w:hAnsi="宋体"/>
          <w:sz w:val="24"/>
        </w:rPr>
        <w:t>时30分，响应文件递交地点：江苏省南京市玄武区运粮河西路101号江苏有线1号楼4楼。</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6.2  本项目将于上述同一时间、地点进行询价，采购人邀请供应商的法定代表人或者其委托的代理人准时参加。</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  出现以下情形之一时，采购人不予接收响应文件：</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6.3.1  逾期送达或者未送达指定地点的；</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6.3.2  未按照询价文件要求密封的；</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6.3.3  未按照本公告要求获得本项目询价文件的。：</w:t>
      </w:r>
    </w:p>
    <w:p>
      <w:pPr>
        <w:widowControl/>
        <w:tabs>
          <w:tab w:val="left" w:pos="540"/>
        </w:tabs>
        <w:autoSpaceDE w:val="0"/>
        <w:autoSpaceDN w:val="0"/>
        <w:spacing w:line="360" w:lineRule="auto"/>
        <w:ind w:right="-20" w:firstLine="360" w:firstLineChars="150"/>
        <w:textAlignment w:val="bottom"/>
        <w:rPr>
          <w:rFonts w:ascii="宋体" w:hAnsi="宋体"/>
          <w:sz w:val="24"/>
        </w:rPr>
      </w:pPr>
      <w:r>
        <w:rPr>
          <w:rFonts w:ascii="宋体" w:hAnsi="宋体"/>
          <w:sz w:val="24"/>
        </w:rPr>
        <w:t>7.</w:t>
      </w:r>
      <w:r>
        <w:rPr>
          <w:rFonts w:hint="eastAsia" w:ascii="宋体" w:hAnsi="宋体"/>
          <w:sz w:val="24"/>
        </w:rPr>
        <w:t>联系方式</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询价人：江苏省广电有线信息网络股份有限公司</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地    址：江苏省南京市运粮河西路101号麒麟科技创新园</w:t>
      </w:r>
    </w:p>
    <w:p>
      <w:pPr>
        <w:widowControl/>
        <w:autoSpaceDE w:val="0"/>
        <w:autoSpaceDN w:val="0"/>
        <w:adjustRightInd w:val="0"/>
        <w:snapToGrid w:val="0"/>
        <w:spacing w:line="360" w:lineRule="auto"/>
        <w:ind w:firstLine="480" w:firstLineChars="200"/>
        <w:textAlignment w:val="bottom"/>
        <w:rPr>
          <w:rFonts w:ascii="宋体" w:hAnsi="宋体"/>
          <w:sz w:val="24"/>
        </w:rPr>
      </w:pPr>
      <w:r>
        <w:rPr>
          <w:rFonts w:hint="eastAsia" w:ascii="宋体" w:hAnsi="宋体"/>
          <w:sz w:val="24"/>
        </w:rPr>
        <w:t>联 系 人：秦晋（采购部门） 李潍（需求部门）</w:t>
      </w:r>
    </w:p>
    <w:p>
      <w:pPr>
        <w:widowControl/>
        <w:autoSpaceDE w:val="0"/>
        <w:autoSpaceDN w:val="0"/>
        <w:adjustRightInd w:val="0"/>
        <w:snapToGrid w:val="0"/>
        <w:spacing w:line="360" w:lineRule="auto"/>
        <w:ind w:firstLine="480" w:firstLineChars="200"/>
        <w:jc w:val="left"/>
        <w:textAlignment w:val="bottom"/>
      </w:pPr>
      <w:r>
        <w:rPr>
          <w:rFonts w:hint="eastAsia" w:ascii="宋体" w:hAnsi="宋体"/>
          <w:sz w:val="24"/>
        </w:rPr>
        <w:t>电    话：025-86731524   025-86731</w:t>
      </w:r>
      <w:r>
        <w:rPr>
          <w:rFonts w:ascii="宋体" w:hAnsi="宋体"/>
          <w:sz w:val="24"/>
        </w:rPr>
        <w:t>689</w:t>
      </w:r>
      <w:r>
        <w:rPr>
          <w:rFonts w:hint="eastAsia" w:ascii="宋体" w:hAnsi="宋体"/>
          <w:sz w:val="24"/>
        </w:rPr>
        <w:t xml:space="preserve">  </w:t>
      </w:r>
      <w:bookmarkEnd w:id="0"/>
      <w:r>
        <w:rPr>
          <w:rFonts w:hint="eastAsia"/>
        </w:rPr>
        <w:br w:type="page"/>
      </w:r>
    </w:p>
    <w:p>
      <w:pPr>
        <w:widowControl/>
        <w:autoSpaceDE w:val="0"/>
        <w:autoSpaceDN w:val="0"/>
        <w:adjustRightInd w:val="0"/>
        <w:snapToGrid w:val="0"/>
        <w:spacing w:line="360" w:lineRule="auto"/>
        <w:ind w:firstLine="643" w:firstLineChars="200"/>
        <w:jc w:val="center"/>
        <w:textAlignment w:val="bottom"/>
        <w:rPr>
          <w:b/>
          <w:sz w:val="32"/>
        </w:rPr>
      </w:pPr>
      <w:r>
        <w:rPr>
          <w:rFonts w:hint="eastAsia"/>
          <w:b/>
          <w:sz w:val="32"/>
        </w:rPr>
        <w:t>第二部分 供应商须知</w:t>
      </w:r>
    </w:p>
    <w:p>
      <w:pPr>
        <w:tabs>
          <w:tab w:val="left" w:pos="540"/>
        </w:tabs>
        <w:adjustRightInd w:val="0"/>
        <w:snapToGrid w:val="0"/>
        <w:spacing w:before="100" w:beforeAutospacing="1" w:after="100" w:afterAutospacing="1"/>
        <w:rPr>
          <w:rFonts w:ascii="宋体" w:hAnsi="宋体"/>
          <w:b/>
          <w:sz w:val="28"/>
          <w:szCs w:val="28"/>
        </w:rPr>
      </w:pPr>
      <w:r>
        <w:rPr>
          <w:rFonts w:hint="eastAsia" w:ascii="宋体" w:hAnsi="宋体"/>
          <w:b/>
          <w:sz w:val="28"/>
          <w:szCs w:val="28"/>
        </w:rPr>
        <w:t>1. 响应文件</w:t>
      </w:r>
    </w:p>
    <w:p>
      <w:pPr>
        <w:adjustRightInd w:val="0"/>
        <w:snapToGrid w:val="0"/>
        <w:spacing w:line="360" w:lineRule="auto"/>
        <w:ind w:firstLine="420" w:firstLineChars="175"/>
        <w:rPr>
          <w:rFonts w:ascii="宋体" w:hAnsi="宋体"/>
          <w:sz w:val="24"/>
        </w:rPr>
      </w:pPr>
      <w:r>
        <w:rPr>
          <w:rFonts w:ascii="宋体" w:hAnsi="宋体"/>
          <w:sz w:val="24"/>
        </w:rPr>
        <w:t>1</w:t>
      </w:r>
      <w:r>
        <w:rPr>
          <w:rFonts w:hint="eastAsia" w:ascii="宋体" w:hAnsi="宋体"/>
          <w:sz w:val="24"/>
        </w:rPr>
        <w:t>.1响应文件组成包括但不限于：</w:t>
      </w:r>
    </w:p>
    <w:p>
      <w:pPr>
        <w:pStyle w:val="28"/>
        <w:adjustRightInd w:val="0"/>
        <w:snapToGrid w:val="0"/>
        <w:spacing w:line="360" w:lineRule="auto"/>
        <w:ind w:left="403" w:leftChars="192" w:firstLine="434" w:firstLineChars="181"/>
        <w:rPr>
          <w:rFonts w:ascii="宋体" w:hAnsi="宋体"/>
          <w:sz w:val="24"/>
        </w:rPr>
      </w:pPr>
      <w:r>
        <w:rPr>
          <w:rFonts w:hint="eastAsia" w:ascii="宋体" w:hAnsi="宋体"/>
          <w:sz w:val="24"/>
        </w:rPr>
        <w:t>1.1.1报价表；</w:t>
      </w:r>
    </w:p>
    <w:p>
      <w:pPr>
        <w:pStyle w:val="28"/>
        <w:adjustRightInd w:val="0"/>
        <w:snapToGrid w:val="0"/>
        <w:spacing w:line="360" w:lineRule="auto"/>
        <w:ind w:left="403" w:leftChars="192" w:firstLine="434" w:firstLineChars="181"/>
        <w:rPr>
          <w:rFonts w:ascii="宋体" w:hAnsi="宋体"/>
          <w:sz w:val="24"/>
        </w:rPr>
      </w:pPr>
      <w:r>
        <w:rPr>
          <w:rFonts w:hint="eastAsia" w:ascii="宋体" w:hAnsi="宋体"/>
          <w:sz w:val="24"/>
        </w:rPr>
        <w:t>1.1.2供应商资格条件要求的资质、授权书或证明材料；</w:t>
      </w:r>
    </w:p>
    <w:p>
      <w:pPr>
        <w:pStyle w:val="28"/>
        <w:adjustRightInd w:val="0"/>
        <w:snapToGrid w:val="0"/>
        <w:spacing w:line="360" w:lineRule="auto"/>
        <w:ind w:left="403" w:leftChars="192" w:firstLine="434" w:firstLineChars="181"/>
        <w:rPr>
          <w:rFonts w:ascii="宋体" w:hAnsi="宋体"/>
          <w:sz w:val="24"/>
        </w:rPr>
      </w:pPr>
      <w:r>
        <w:rPr>
          <w:rFonts w:hint="eastAsia" w:ascii="宋体" w:hAnsi="宋体"/>
          <w:sz w:val="24"/>
        </w:rPr>
        <w:t>1.1.3技术（服务）规范应答书，按照技术（服务）规范要求逐条应答，必须满足询价文件的全部技术和商务要求；</w:t>
      </w:r>
    </w:p>
    <w:p>
      <w:pPr>
        <w:pStyle w:val="28"/>
        <w:adjustRightInd w:val="0"/>
        <w:snapToGrid w:val="0"/>
        <w:spacing w:line="360" w:lineRule="auto"/>
        <w:ind w:left="403" w:leftChars="192" w:firstLine="434" w:firstLineChars="181"/>
        <w:rPr>
          <w:rFonts w:ascii="宋体" w:hAnsi="宋体"/>
          <w:sz w:val="24"/>
        </w:rPr>
      </w:pPr>
      <w:r>
        <w:rPr>
          <w:rFonts w:hint="eastAsia" w:ascii="宋体" w:hAnsi="宋体"/>
          <w:sz w:val="24"/>
        </w:rPr>
        <w:t>1.1.4其他供应商认为有必要的证明材料等。</w:t>
      </w:r>
    </w:p>
    <w:p>
      <w:pPr>
        <w:adjustRightInd w:val="0"/>
        <w:snapToGrid w:val="0"/>
        <w:spacing w:line="360" w:lineRule="auto"/>
        <w:ind w:left="403" w:leftChars="192" w:firstLine="434" w:firstLineChars="181"/>
        <w:rPr>
          <w:rFonts w:ascii="宋体" w:hAnsi="宋体"/>
          <w:sz w:val="24"/>
        </w:rPr>
      </w:pPr>
      <w:r>
        <w:rPr>
          <w:rFonts w:ascii="宋体" w:hAnsi="宋体"/>
          <w:sz w:val="24"/>
        </w:rPr>
        <w:t>1</w:t>
      </w:r>
      <w:r>
        <w:rPr>
          <w:rFonts w:hint="eastAsia" w:ascii="宋体" w:hAnsi="宋体"/>
          <w:sz w:val="24"/>
        </w:rPr>
        <w:t>.2响应文件份数：一份正本</w:t>
      </w:r>
      <w:r>
        <w:rPr>
          <w:rFonts w:hint="eastAsia" w:ascii="宋体" w:hAnsi="宋体"/>
          <w:sz w:val="24"/>
          <w:highlight w:val="yellow"/>
        </w:rPr>
        <w:t>一份</w:t>
      </w:r>
      <w:r>
        <w:rPr>
          <w:rFonts w:hint="eastAsia" w:ascii="宋体" w:hAnsi="宋体"/>
          <w:sz w:val="24"/>
        </w:rPr>
        <w:t>副本，</w:t>
      </w:r>
      <w:r>
        <w:rPr>
          <w:rFonts w:hint="eastAsia" w:ascii="宋体" w:hAnsi="宋体"/>
          <w:sz w:val="24"/>
          <w:highlight w:val="yellow"/>
        </w:rPr>
        <w:t>一份</w:t>
      </w:r>
      <w:r>
        <w:rPr>
          <w:rFonts w:hint="eastAsia" w:ascii="宋体" w:hAnsi="宋体"/>
          <w:sz w:val="24"/>
        </w:rPr>
        <w:t>电子版。一旦正本和副本或电子版本发现差异，以正本书面响应文件为准。</w:t>
      </w:r>
    </w:p>
    <w:p>
      <w:pPr>
        <w:numPr>
          <w:ilvl w:val="0"/>
          <w:numId w:val="2"/>
        </w:numPr>
        <w:tabs>
          <w:tab w:val="left" w:pos="540"/>
        </w:tabs>
        <w:adjustRightInd w:val="0"/>
        <w:snapToGrid w:val="0"/>
        <w:spacing w:line="360" w:lineRule="auto"/>
        <w:rPr>
          <w:rFonts w:ascii="宋体" w:hAnsi="宋体"/>
          <w:b/>
          <w:sz w:val="28"/>
          <w:szCs w:val="28"/>
          <w:highlight w:val="yellow"/>
        </w:rPr>
      </w:pPr>
      <w:r>
        <w:rPr>
          <w:rFonts w:hint="eastAsia" w:ascii="宋体" w:hAnsi="宋体"/>
          <w:b/>
          <w:sz w:val="28"/>
          <w:szCs w:val="28"/>
          <w:highlight w:val="yellow"/>
        </w:rPr>
        <w:t>响应文件的递交</w:t>
      </w:r>
    </w:p>
    <w:p>
      <w:pPr>
        <w:tabs>
          <w:tab w:val="left" w:pos="60"/>
        </w:tabs>
        <w:adjustRightInd w:val="0"/>
        <w:snapToGrid w:val="0"/>
        <w:spacing w:line="360" w:lineRule="auto"/>
        <w:ind w:firstLine="420" w:firstLineChars="175"/>
        <w:rPr>
          <w:rFonts w:ascii="宋体" w:hAnsi="宋体"/>
          <w:b/>
          <w:sz w:val="24"/>
          <w:highlight w:val="yellow"/>
        </w:rPr>
      </w:pPr>
      <w:r>
        <w:rPr>
          <w:rFonts w:hint="eastAsia" w:ascii="宋体" w:hAnsi="宋体"/>
          <w:sz w:val="24"/>
        </w:rPr>
        <w:t>供应商超过递交截止时间的响应文件将被拒收，响应文件应密封在一个包装中递交。</w:t>
      </w:r>
    </w:p>
    <w:p>
      <w:pPr>
        <w:numPr>
          <w:ilvl w:val="0"/>
          <w:numId w:val="2"/>
        </w:numPr>
        <w:tabs>
          <w:tab w:val="left" w:pos="540"/>
        </w:tabs>
        <w:adjustRightInd w:val="0"/>
        <w:snapToGrid w:val="0"/>
        <w:spacing w:line="360" w:lineRule="auto"/>
        <w:rPr>
          <w:rFonts w:ascii="宋体" w:hAnsi="宋体"/>
          <w:b/>
          <w:sz w:val="28"/>
          <w:szCs w:val="28"/>
          <w:highlight w:val="yellow"/>
        </w:rPr>
      </w:pPr>
      <w:r>
        <w:rPr>
          <w:rFonts w:hint="eastAsia" w:ascii="宋体" w:hAnsi="宋体"/>
          <w:b/>
          <w:sz w:val="28"/>
          <w:szCs w:val="28"/>
          <w:highlight w:val="yellow"/>
        </w:rPr>
        <w:t>报价有效期</w:t>
      </w:r>
    </w:p>
    <w:p>
      <w:pPr>
        <w:tabs>
          <w:tab w:val="left" w:pos="60"/>
        </w:tabs>
        <w:adjustRightInd w:val="0"/>
        <w:snapToGrid w:val="0"/>
        <w:spacing w:line="360" w:lineRule="auto"/>
        <w:ind w:firstLine="420" w:firstLineChars="175"/>
        <w:rPr>
          <w:rFonts w:ascii="宋体" w:hAnsi="宋体"/>
          <w:b/>
          <w:sz w:val="24"/>
          <w:highlight w:val="yellow"/>
        </w:rPr>
      </w:pPr>
      <w:r>
        <w:rPr>
          <w:rFonts w:hint="eastAsia" w:ascii="宋体" w:hAnsi="宋体"/>
          <w:sz w:val="24"/>
        </w:rPr>
        <w:t>本项目报价有效期为响应文件递交截止时间起</w:t>
      </w:r>
      <w:r>
        <w:rPr>
          <w:rFonts w:hint="eastAsia" w:ascii="宋体" w:hAnsi="宋体"/>
          <w:sz w:val="24"/>
          <w:highlight w:val="yellow"/>
          <w:u w:val="single"/>
        </w:rPr>
        <w:t>90</w:t>
      </w:r>
      <w:r>
        <w:rPr>
          <w:rFonts w:hint="eastAsia" w:ascii="宋体" w:hAnsi="宋体"/>
          <w:sz w:val="24"/>
          <w:highlight w:val="yellow"/>
        </w:rPr>
        <w:t>天</w:t>
      </w:r>
      <w:r>
        <w:rPr>
          <w:rFonts w:hint="eastAsia" w:ascii="宋体" w:hAnsi="宋体"/>
          <w:sz w:val="24"/>
        </w:rPr>
        <w:t>。</w:t>
      </w:r>
    </w:p>
    <w:p>
      <w:pPr>
        <w:numPr>
          <w:ilvl w:val="0"/>
          <w:numId w:val="2"/>
        </w:numPr>
        <w:tabs>
          <w:tab w:val="left" w:pos="540"/>
        </w:tabs>
        <w:adjustRightInd w:val="0"/>
        <w:snapToGrid w:val="0"/>
        <w:spacing w:line="360" w:lineRule="auto"/>
        <w:rPr>
          <w:rFonts w:ascii="宋体" w:hAnsi="宋体"/>
          <w:b/>
          <w:sz w:val="28"/>
          <w:szCs w:val="28"/>
          <w:highlight w:val="yellow"/>
        </w:rPr>
      </w:pPr>
      <w:r>
        <w:rPr>
          <w:rFonts w:hint="eastAsia" w:ascii="宋体" w:hAnsi="宋体"/>
          <w:b/>
          <w:sz w:val="28"/>
          <w:szCs w:val="28"/>
          <w:highlight w:val="yellow"/>
        </w:rPr>
        <w:t>响应文件的修改和撤回</w:t>
      </w:r>
    </w:p>
    <w:p>
      <w:pPr>
        <w:tabs>
          <w:tab w:val="left" w:pos="60"/>
          <w:tab w:val="left" w:pos="675"/>
        </w:tabs>
        <w:adjustRightInd w:val="0"/>
        <w:snapToGrid w:val="0"/>
        <w:spacing w:line="360" w:lineRule="auto"/>
        <w:ind w:firstLine="420" w:firstLineChars="175"/>
        <w:rPr>
          <w:rFonts w:ascii="宋体" w:hAnsi="宋体"/>
          <w:sz w:val="24"/>
        </w:rPr>
      </w:pPr>
      <w:r>
        <w:rPr>
          <w:rFonts w:ascii="宋体" w:hAnsi="宋体"/>
          <w:sz w:val="24"/>
        </w:rPr>
        <w:t>4</w:t>
      </w:r>
      <w:r>
        <w:rPr>
          <w:rFonts w:hint="eastAsia" w:ascii="宋体" w:hAnsi="宋体"/>
          <w:sz w:val="24"/>
        </w:rPr>
        <w:t>.1</w:t>
      </w:r>
      <w:r>
        <w:rPr>
          <w:rFonts w:hint="eastAsia" w:ascii="宋体" w:hAnsi="宋体"/>
          <w:sz w:val="24"/>
        </w:rPr>
        <w:tab/>
      </w:r>
      <w:r>
        <w:rPr>
          <w:rFonts w:hint="eastAsia" w:ascii="宋体" w:hAnsi="宋体"/>
          <w:sz w:val="24"/>
        </w:rPr>
        <w:t>供应商在递交响应文件后可对其响应文件进行修改或撤回，但采购方须在响应文件递交截止时间前收到该修改或撤回的书面通知，该通知须由供应商法定代表人或其正式授权的代表签字。</w:t>
      </w:r>
    </w:p>
    <w:p>
      <w:pPr>
        <w:tabs>
          <w:tab w:val="left" w:pos="60"/>
          <w:tab w:val="left" w:pos="675"/>
        </w:tabs>
        <w:adjustRightInd w:val="0"/>
        <w:snapToGrid w:val="0"/>
        <w:spacing w:line="360" w:lineRule="auto"/>
        <w:ind w:firstLine="420" w:firstLineChars="175"/>
        <w:rPr>
          <w:rFonts w:ascii="宋体" w:hAnsi="宋体"/>
          <w:sz w:val="24"/>
        </w:rPr>
      </w:pPr>
      <w:r>
        <w:rPr>
          <w:rFonts w:ascii="宋体" w:hAnsi="宋体"/>
          <w:sz w:val="24"/>
        </w:rPr>
        <w:t>4</w:t>
      </w:r>
      <w:r>
        <w:rPr>
          <w:rFonts w:hint="eastAsia" w:ascii="宋体" w:hAnsi="宋体"/>
          <w:sz w:val="24"/>
        </w:rPr>
        <w:t>.2</w:t>
      </w:r>
      <w:r>
        <w:rPr>
          <w:rFonts w:hint="eastAsia" w:ascii="宋体" w:hAnsi="宋体"/>
          <w:sz w:val="24"/>
        </w:rPr>
        <w:tab/>
      </w:r>
      <w:r>
        <w:rPr>
          <w:rFonts w:hint="eastAsia" w:ascii="宋体" w:hAnsi="宋体"/>
          <w:sz w:val="24"/>
        </w:rPr>
        <w:t>供应商对响应文件的修改或撤回的通知应按第</w:t>
      </w:r>
      <w:r>
        <w:rPr>
          <w:rFonts w:ascii="宋体" w:hAnsi="宋体"/>
          <w:sz w:val="24"/>
        </w:rPr>
        <w:t>2</w:t>
      </w:r>
      <w:r>
        <w:rPr>
          <w:rFonts w:hint="eastAsia" w:ascii="宋体" w:hAnsi="宋体"/>
          <w:sz w:val="24"/>
        </w:rPr>
        <w:t>条规定进行密封，标注和递送，并注明“修改响应文件”或“撤回响应”字样。</w:t>
      </w:r>
    </w:p>
    <w:p>
      <w:pPr>
        <w:tabs>
          <w:tab w:val="left" w:pos="60"/>
          <w:tab w:val="left" w:pos="675"/>
        </w:tabs>
        <w:adjustRightInd w:val="0"/>
        <w:snapToGrid w:val="0"/>
        <w:spacing w:line="360" w:lineRule="auto"/>
        <w:ind w:firstLine="420" w:firstLineChars="175"/>
        <w:rPr>
          <w:rFonts w:ascii="宋体" w:hAnsi="宋体"/>
          <w:sz w:val="24"/>
          <w:highlight w:val="yellow"/>
        </w:rPr>
      </w:pPr>
      <w:r>
        <w:rPr>
          <w:rFonts w:ascii="宋体" w:hAnsi="宋体"/>
          <w:sz w:val="24"/>
        </w:rPr>
        <w:t>4</w:t>
      </w:r>
      <w:r>
        <w:rPr>
          <w:rFonts w:hint="eastAsia" w:ascii="宋体" w:hAnsi="宋体"/>
          <w:sz w:val="24"/>
        </w:rPr>
        <w:t>.3</w:t>
      </w:r>
      <w:r>
        <w:rPr>
          <w:rFonts w:hint="eastAsia" w:ascii="宋体" w:hAnsi="宋体"/>
          <w:sz w:val="24"/>
        </w:rPr>
        <w:tab/>
      </w:r>
      <w:r>
        <w:rPr>
          <w:rFonts w:hint="eastAsia" w:ascii="宋体" w:hAnsi="宋体"/>
          <w:sz w:val="24"/>
        </w:rPr>
        <w:t>响应文件递交截止时间后供应商不得修改其响应文件。</w:t>
      </w:r>
    </w:p>
    <w:p>
      <w:pPr>
        <w:numPr>
          <w:ilvl w:val="0"/>
          <w:numId w:val="2"/>
        </w:numPr>
        <w:tabs>
          <w:tab w:val="left" w:pos="540"/>
        </w:tabs>
        <w:adjustRightInd w:val="0"/>
        <w:snapToGrid w:val="0"/>
        <w:spacing w:line="360" w:lineRule="auto"/>
        <w:rPr>
          <w:rFonts w:ascii="宋体" w:hAnsi="宋体"/>
          <w:b/>
          <w:sz w:val="28"/>
          <w:szCs w:val="28"/>
          <w:highlight w:val="yellow"/>
        </w:rPr>
      </w:pPr>
      <w:r>
        <w:rPr>
          <w:rFonts w:hint="eastAsia" w:ascii="宋体" w:hAnsi="宋体"/>
          <w:b/>
          <w:sz w:val="28"/>
          <w:szCs w:val="28"/>
          <w:highlight w:val="yellow"/>
        </w:rPr>
        <w:t>报价</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报价包括供应商为完成本项目所发生的一切费用，不允许有选择性报价。供应商估算错误或漏项的风险一律由供应商承担。</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确定成交候选人</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6.1根据满足询价文件的全部技术和商务要求且</w:t>
      </w:r>
      <w:r>
        <w:rPr>
          <w:rFonts w:hint="eastAsia" w:ascii="宋体" w:hAnsi="宋体"/>
          <w:b/>
          <w:sz w:val="24"/>
        </w:rPr>
        <w:t>报价由低到高的顺序</w:t>
      </w:r>
      <w:r>
        <w:rPr>
          <w:rFonts w:hint="eastAsia" w:ascii="宋体" w:hAnsi="宋体"/>
          <w:sz w:val="24"/>
        </w:rPr>
        <w:t>确定成交候选人名单。</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合同的授予</w:t>
      </w:r>
    </w:p>
    <w:p>
      <w:pPr>
        <w:tabs>
          <w:tab w:val="left" w:pos="220"/>
        </w:tabs>
        <w:adjustRightInd w:val="0"/>
        <w:snapToGrid w:val="0"/>
        <w:spacing w:line="360" w:lineRule="auto"/>
        <w:ind w:firstLine="420" w:firstLineChars="175"/>
        <w:rPr>
          <w:rFonts w:ascii="宋体" w:hAnsi="宋体"/>
          <w:sz w:val="24"/>
        </w:rPr>
      </w:pPr>
      <w:r>
        <w:rPr>
          <w:rFonts w:hint="eastAsia" w:ascii="宋体" w:hAnsi="宋体" w:cs="Arial"/>
          <w:sz w:val="24"/>
        </w:rPr>
        <w:t>合同将授予</w:t>
      </w:r>
      <w:r>
        <w:rPr>
          <w:rFonts w:hint="eastAsia" w:ascii="宋体" w:hAnsi="宋体" w:cs="Arial"/>
          <w:sz w:val="24"/>
          <w:highlight w:val="yellow"/>
        </w:rPr>
        <w:t>排名第一成交候选人</w:t>
      </w:r>
      <w:r>
        <w:rPr>
          <w:rFonts w:hint="eastAsia" w:ascii="宋体" w:hAnsi="宋体" w:cs="Arial"/>
          <w:sz w:val="24"/>
        </w:rPr>
        <w:t>。如排名第一成交候选人放弃成交、或因不可抗力提出不能履行合同</w:t>
      </w:r>
      <w:r>
        <w:rPr>
          <w:rFonts w:hint="eastAsia" w:ascii="宋体" w:hAnsi="宋体" w:cs="Arial"/>
          <w:sz w:val="24"/>
          <w:highlight w:val="yellow"/>
        </w:rPr>
        <w:t>，或者询价文件规定应当提交履约保证金而在规定的期限内未能提交的</w:t>
      </w:r>
      <w:r>
        <w:rPr>
          <w:rFonts w:hint="eastAsia" w:ascii="宋体" w:hAnsi="宋体" w:cs="Arial"/>
          <w:sz w:val="24"/>
        </w:rPr>
        <w:t>，</w:t>
      </w:r>
      <w:r>
        <w:rPr>
          <w:rFonts w:hint="eastAsia" w:ascii="宋体" w:hAnsi="宋体"/>
          <w:sz w:val="24"/>
        </w:rPr>
        <w:t>采购人可以与排序其后一位的成交候选人签订合同，以此类推。</w:t>
      </w:r>
    </w:p>
    <w:p>
      <w:pPr>
        <w:numPr>
          <w:ilvl w:val="0"/>
          <w:numId w:val="2"/>
        </w:numPr>
        <w:tabs>
          <w:tab w:val="left" w:pos="540"/>
        </w:tabs>
        <w:adjustRightInd w:val="0"/>
        <w:snapToGrid w:val="0"/>
        <w:spacing w:line="360" w:lineRule="auto"/>
        <w:rPr>
          <w:rFonts w:ascii="宋体" w:hAnsi="宋体"/>
          <w:b/>
          <w:sz w:val="28"/>
          <w:szCs w:val="28"/>
        </w:rPr>
      </w:pPr>
      <w:r>
        <w:rPr>
          <w:rFonts w:hint="eastAsia" w:ascii="宋体" w:hAnsi="宋体"/>
          <w:b/>
          <w:sz w:val="28"/>
          <w:szCs w:val="28"/>
        </w:rPr>
        <w:t>签订合同</w:t>
      </w:r>
    </w:p>
    <w:p>
      <w:pPr>
        <w:tabs>
          <w:tab w:val="left" w:pos="220"/>
        </w:tabs>
        <w:adjustRightInd w:val="0"/>
        <w:snapToGrid w:val="0"/>
        <w:spacing w:line="360" w:lineRule="auto"/>
        <w:ind w:firstLine="420" w:firstLineChars="175"/>
        <w:rPr>
          <w:rFonts w:ascii="宋体" w:hAnsi="宋体"/>
          <w:sz w:val="24"/>
        </w:rPr>
      </w:pPr>
      <w:r>
        <w:rPr>
          <w:rFonts w:hint="eastAsia" w:ascii="宋体" w:hAnsi="宋体"/>
          <w:sz w:val="24"/>
        </w:rPr>
        <w:t>应按要求与</w:t>
      </w:r>
      <w:r>
        <w:rPr>
          <w:rFonts w:hint="eastAsia" w:ascii="宋体" w:hAnsi="宋体"/>
          <w:sz w:val="24"/>
          <w:highlight w:val="yellow"/>
        </w:rPr>
        <w:t>采购人</w:t>
      </w:r>
      <w:r>
        <w:rPr>
          <w:rFonts w:hint="eastAsia" w:ascii="宋体" w:hAnsi="宋体"/>
          <w:sz w:val="24"/>
        </w:rPr>
        <w:t>签署合同。</w:t>
      </w:r>
    </w:p>
    <w:p>
      <w:pPr>
        <w:widowControl/>
        <w:jc w:val="left"/>
        <w:rPr>
          <w:b/>
          <w:sz w:val="32"/>
        </w:rPr>
      </w:pPr>
      <w:r>
        <w:rPr>
          <w:b/>
          <w:sz w:val="32"/>
        </w:rPr>
        <w:br w:type="page"/>
      </w:r>
    </w:p>
    <w:p>
      <w:pPr>
        <w:jc w:val="center"/>
        <w:rPr>
          <w:b/>
          <w:sz w:val="32"/>
        </w:rPr>
      </w:pPr>
      <w:r>
        <w:rPr>
          <w:rFonts w:hint="eastAsia"/>
          <w:b/>
          <w:sz w:val="32"/>
        </w:rPr>
        <w:t>第三部分  合同</w:t>
      </w:r>
    </w:p>
    <w:p>
      <w:pPr>
        <w:tabs>
          <w:tab w:val="left" w:pos="540"/>
        </w:tabs>
        <w:adjustRightInd w:val="0"/>
        <w:snapToGrid w:val="0"/>
        <w:spacing w:line="360" w:lineRule="auto"/>
        <w:jc w:val="center"/>
      </w:pPr>
      <w:r>
        <w:rPr>
          <w:rFonts w:hint="eastAsia"/>
        </w:rPr>
        <w:t xml:space="preserve"> </w:t>
      </w:r>
    </w:p>
    <w:p>
      <w:pPr>
        <w:jc w:val="center"/>
        <w:rPr>
          <w:rStyle w:val="31"/>
          <w:rFonts w:hAnsi="华文中宋" w:eastAsia="华文中宋" w:cs="Arial"/>
          <w:b w:val="0"/>
          <w:sz w:val="34"/>
          <w:szCs w:val="34"/>
        </w:rPr>
      </w:pPr>
      <w:r>
        <w:rPr>
          <w:rStyle w:val="31"/>
          <w:rFonts w:hAnsi="华文中宋" w:eastAsia="华文中宋" w:cs="Arial"/>
          <w:b w:val="0"/>
          <w:sz w:val="34"/>
          <w:szCs w:val="34"/>
        </w:rPr>
        <w:t>江苏省广电</w:t>
      </w:r>
      <w:r>
        <w:rPr>
          <w:rStyle w:val="31"/>
          <w:rFonts w:hint="eastAsia" w:hAnsi="华文中宋" w:eastAsia="华文中宋" w:cs="Arial"/>
          <w:b w:val="0"/>
          <w:sz w:val="34"/>
          <w:szCs w:val="34"/>
        </w:rPr>
        <w:t>有线</w:t>
      </w:r>
      <w:r>
        <w:rPr>
          <w:rStyle w:val="31"/>
          <w:rFonts w:hAnsi="华文中宋" w:eastAsia="华文中宋" w:cs="Arial"/>
          <w:b w:val="0"/>
          <w:sz w:val="34"/>
          <w:szCs w:val="34"/>
        </w:rPr>
        <w:t>信息网络股份有限公司</w:t>
      </w:r>
    </w:p>
    <w:p>
      <w:pPr>
        <w:jc w:val="center"/>
        <w:rPr>
          <w:rStyle w:val="31"/>
          <w:rFonts w:hAnsi="华文中宋" w:eastAsia="华文中宋" w:cs="Arial"/>
          <w:b w:val="0"/>
          <w:sz w:val="34"/>
          <w:szCs w:val="34"/>
        </w:rPr>
      </w:pPr>
      <w:r>
        <w:rPr>
          <w:rFonts w:hint="eastAsia" w:ascii="Arial" w:hAnsi="华文中宋" w:eastAsia="华文中宋" w:cs="Arial"/>
          <w:bCs/>
          <w:sz w:val="34"/>
          <w:szCs w:val="34"/>
        </w:rPr>
        <w:t>江苏有线双向核心网络系统融合建设交换机板卡采购</w:t>
      </w:r>
    </w:p>
    <w:p>
      <w:pPr>
        <w:jc w:val="left"/>
        <w:rPr>
          <w:rStyle w:val="31"/>
          <w:rFonts w:cs="Arial"/>
          <w:sz w:val="36"/>
          <w:szCs w:val="36"/>
        </w:rPr>
      </w:pPr>
    </w:p>
    <w:p>
      <w:pPr>
        <w:spacing w:line="360" w:lineRule="auto"/>
        <w:jc w:val="left"/>
        <w:rPr>
          <w:rFonts w:ascii="宋体" w:hAnsi="宋体"/>
          <w:color w:val="000000"/>
          <w:szCs w:val="21"/>
        </w:rPr>
      </w:pPr>
      <w:r>
        <w:rPr>
          <w:rFonts w:hint="eastAsia" w:ascii="宋体" w:hAnsi="宋体"/>
          <w:b/>
          <w:sz w:val="24"/>
        </w:rPr>
        <w:t xml:space="preserve"> </w:t>
      </w:r>
      <w:r>
        <w:rPr>
          <w:rFonts w:ascii="宋体" w:hAnsi="宋体"/>
          <w:b/>
          <w:sz w:val="24"/>
        </w:rPr>
        <w:t xml:space="preserve">   </w:t>
      </w:r>
      <w:r>
        <w:rPr>
          <w:rFonts w:hint="eastAsia" w:ascii="宋体" w:hAnsi="宋体"/>
          <w:b/>
          <w:sz w:val="24"/>
        </w:rPr>
        <w:t>江苏省广电有线信息网络股份有限公司（以下简称“甲方”）</w:t>
      </w:r>
      <w:r>
        <w:rPr>
          <w:rFonts w:hint="eastAsia" w:ascii="宋体" w:hAnsi="宋体"/>
          <w:sz w:val="24"/>
        </w:rPr>
        <w:t>就</w:t>
      </w:r>
      <w:r>
        <w:rPr>
          <w:rFonts w:hint="eastAsia" w:ascii="宋体" w:hAnsi="宋体"/>
          <w:sz w:val="24"/>
          <w:u w:val="single"/>
        </w:rPr>
        <w:t>“江苏有线双向核心网络系统融合建设交换机板卡采购”</w:t>
      </w:r>
      <w:r>
        <w:rPr>
          <w:rFonts w:hint="eastAsia" w:ascii="宋体" w:hAnsi="宋体" w:cs="宋体"/>
          <w:bCs/>
          <w:sz w:val="24"/>
        </w:rPr>
        <w:t>项目</w:t>
      </w:r>
      <w:r>
        <w:rPr>
          <w:rFonts w:hint="eastAsia" w:ascii="宋体" w:hAnsi="宋体"/>
          <w:sz w:val="24"/>
        </w:rPr>
        <w:t>，组织了询价，经评定，</w:t>
      </w:r>
      <w:r>
        <w:rPr>
          <w:rFonts w:hint="eastAsia" w:ascii="宋体" w:hAnsi="宋体"/>
          <w:b/>
          <w:sz w:val="24"/>
          <w:u w:val="single"/>
        </w:rPr>
        <w:t>江苏有线双向核心网络系统融合建设交换机板卡采购</w:t>
      </w:r>
      <w:r>
        <w:rPr>
          <w:rFonts w:hint="eastAsia" w:ascii="宋体" w:hAnsi="宋体"/>
          <w:sz w:val="24"/>
        </w:rPr>
        <w:t>项目最终由</w:t>
      </w:r>
      <w:r>
        <w:rPr>
          <w:rFonts w:hint="eastAsia"/>
          <w:sz w:val="24"/>
          <w:u w:val="single"/>
        </w:rPr>
        <w:t xml:space="preserve">                     </w:t>
      </w:r>
      <w:r>
        <w:rPr>
          <w:rFonts w:hint="eastAsia" w:ascii="宋体" w:hAnsi="宋体"/>
          <w:sz w:val="24"/>
        </w:rPr>
        <w:t>（以下简称“乙方”）中选。甲、乙双方根据询价文件的规定，依法签订本合同。</w:t>
      </w:r>
    </w:p>
    <w:p>
      <w:pPr>
        <w:pStyle w:val="3"/>
        <w:spacing w:before="0" w:after="0" w:line="360" w:lineRule="auto"/>
        <w:ind w:left="432" w:hanging="432"/>
        <w:rPr>
          <w:rFonts w:ascii="宋体" w:hAnsi="宋体"/>
          <w:color w:val="000000"/>
          <w:sz w:val="24"/>
        </w:rPr>
      </w:pPr>
      <w:r>
        <w:rPr>
          <w:rFonts w:ascii="宋体" w:hAnsi="宋体"/>
          <w:color w:val="000000"/>
          <w:sz w:val="24"/>
        </w:rPr>
        <w:t>一、项目标的和内容</w:t>
      </w:r>
    </w:p>
    <w:p>
      <w:pPr>
        <w:spacing w:line="360" w:lineRule="auto"/>
        <w:ind w:firstLine="480" w:firstLineChars="200"/>
        <w:rPr>
          <w:rFonts w:ascii="宋体" w:hAnsi="宋体"/>
          <w:color w:val="000000"/>
          <w:sz w:val="24"/>
        </w:rPr>
      </w:pPr>
      <w:r>
        <w:rPr>
          <w:rFonts w:hint="eastAsia" w:ascii="宋体" w:hAnsi="宋体"/>
          <w:sz w:val="24"/>
        </w:rPr>
        <w:t>该项目为交钥匙工程。</w:t>
      </w:r>
      <w:r>
        <w:rPr>
          <w:rFonts w:ascii="宋体" w:hAnsi="宋体"/>
          <w:color w:val="000000"/>
          <w:sz w:val="24"/>
        </w:rPr>
        <w:t>项目标的内容包括乙方按照甲方具体要求供应“</w:t>
      </w:r>
      <w:r>
        <w:rPr>
          <w:rFonts w:hint="eastAsia" w:ascii="宋体" w:hAnsi="宋体"/>
          <w:b/>
          <w:sz w:val="24"/>
          <w:u w:val="single"/>
        </w:rPr>
        <w:t>江苏有线双向核心网络系统融合建设交换机板卡采购</w:t>
      </w:r>
      <w:r>
        <w:rPr>
          <w:rFonts w:ascii="宋体" w:hAnsi="宋体"/>
          <w:color w:val="000000"/>
          <w:sz w:val="24"/>
        </w:rPr>
        <w:t>”相关</w:t>
      </w:r>
      <w:r>
        <w:rPr>
          <w:rFonts w:hint="eastAsia" w:ascii="宋体" w:hAnsi="宋体"/>
          <w:color w:val="000000"/>
          <w:sz w:val="24"/>
        </w:rPr>
        <w:t>软、硬件</w:t>
      </w:r>
      <w:r>
        <w:rPr>
          <w:rFonts w:ascii="宋体" w:hAnsi="宋体"/>
          <w:color w:val="000000"/>
          <w:sz w:val="24"/>
        </w:rPr>
        <w:t>设备、辅材，并完成所有软、硬件的安装、调试及操作培训工作，同时乙方承诺配合甲方及甲方指定的厂商完成相关的系统集成。具体详见附件一：供货清单。</w:t>
      </w:r>
    </w:p>
    <w:p>
      <w:pPr>
        <w:pStyle w:val="3"/>
        <w:spacing w:before="0" w:after="0" w:line="360" w:lineRule="auto"/>
        <w:ind w:left="432" w:hanging="432"/>
        <w:rPr>
          <w:rFonts w:ascii="宋体" w:hAnsi="宋体"/>
          <w:color w:val="000000"/>
          <w:sz w:val="24"/>
        </w:rPr>
      </w:pPr>
      <w:r>
        <w:rPr>
          <w:rFonts w:ascii="宋体" w:hAnsi="宋体"/>
          <w:color w:val="000000"/>
          <w:sz w:val="24"/>
        </w:rPr>
        <w:t>二、合同总价</w:t>
      </w:r>
    </w:p>
    <w:p>
      <w:pPr>
        <w:tabs>
          <w:tab w:val="left" w:pos="0"/>
        </w:tabs>
        <w:spacing w:line="360" w:lineRule="auto"/>
        <w:jc w:val="left"/>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1 \* GB1</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⒈</w:t>
      </w:r>
      <w:r>
        <w:rPr>
          <w:rFonts w:ascii="宋体" w:hAnsi="宋体"/>
          <w:color w:val="000000"/>
          <w:sz w:val="24"/>
        </w:rPr>
        <w:fldChar w:fldCharType="end"/>
      </w:r>
      <w:r>
        <w:rPr>
          <w:rFonts w:ascii="宋体" w:hAnsi="宋体"/>
          <w:color w:val="000000"/>
          <w:sz w:val="24"/>
        </w:rPr>
        <w:t>合同总价</w:t>
      </w:r>
      <w:r>
        <w:rPr>
          <w:rFonts w:ascii="宋体" w:hAnsi="宋体"/>
          <w:b/>
          <w:color w:val="000000"/>
          <w:sz w:val="24"/>
        </w:rPr>
        <w:t>（人民币大写）：</w:t>
      </w:r>
      <w:r>
        <w:rPr>
          <w:rFonts w:hint="eastAsia" w:ascii="宋体" w:hAnsi="宋体"/>
          <w:b/>
          <w:color w:val="000000"/>
          <w:sz w:val="24"/>
          <w:u w:val="single"/>
        </w:rPr>
        <w:t xml:space="preserve"> </w:t>
      </w:r>
      <w:r>
        <w:rPr>
          <w:rFonts w:ascii="宋体" w:hAnsi="宋体"/>
          <w:b/>
          <w:color w:val="000000"/>
          <w:sz w:val="24"/>
          <w:u w:val="single"/>
        </w:rPr>
        <w:t xml:space="preserve">              </w:t>
      </w:r>
      <w:r>
        <w:rPr>
          <w:rFonts w:ascii="宋体" w:hAnsi="宋体"/>
          <w:color w:val="000000"/>
          <w:sz w:val="24"/>
        </w:rPr>
        <w:t>。</w:t>
      </w:r>
    </w:p>
    <w:p>
      <w:pPr>
        <w:spacing w:line="360" w:lineRule="auto"/>
        <w:ind w:firstLine="1205" w:firstLineChars="500"/>
        <w:jc w:val="left"/>
        <w:rPr>
          <w:rFonts w:ascii="宋体" w:hAnsi="宋体"/>
          <w:color w:val="000000"/>
          <w:sz w:val="24"/>
        </w:rPr>
      </w:pPr>
      <w:r>
        <w:rPr>
          <w:rFonts w:ascii="宋体" w:hAnsi="宋体"/>
          <w:b/>
          <w:color w:val="000000"/>
          <w:sz w:val="24"/>
        </w:rPr>
        <w:t>（人民币小写）：</w:t>
      </w:r>
      <w:r>
        <w:rPr>
          <w:rFonts w:hint="eastAsia" w:ascii="宋体" w:hAnsi="宋体"/>
          <w:b/>
          <w:color w:val="000000"/>
          <w:sz w:val="24"/>
          <w:u w:val="single"/>
        </w:rPr>
        <w:t xml:space="preserve"> </w:t>
      </w:r>
      <w:r>
        <w:rPr>
          <w:rFonts w:ascii="宋体" w:hAnsi="宋体"/>
          <w:b/>
          <w:color w:val="000000"/>
          <w:sz w:val="24"/>
          <w:u w:val="single"/>
        </w:rPr>
        <w:t xml:space="preserve">              </w:t>
      </w:r>
      <w:r>
        <w:rPr>
          <w:rFonts w:ascii="宋体" w:hAnsi="宋体"/>
          <w:color w:val="000000"/>
          <w:sz w:val="24"/>
        </w:rPr>
        <w:t>。</w:t>
      </w:r>
    </w:p>
    <w:p>
      <w:pPr>
        <w:tabs>
          <w:tab w:val="left" w:pos="0"/>
        </w:tabs>
        <w:spacing w:line="360" w:lineRule="auto"/>
        <w:jc w:val="left"/>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2 \* GB1</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⒉</w:t>
      </w:r>
      <w:r>
        <w:rPr>
          <w:rFonts w:ascii="宋体" w:hAnsi="宋体"/>
          <w:color w:val="000000"/>
          <w:sz w:val="24"/>
        </w:rPr>
        <w:fldChar w:fldCharType="end"/>
      </w:r>
      <w:r>
        <w:rPr>
          <w:rFonts w:ascii="宋体" w:hAnsi="宋体"/>
          <w:color w:val="000000"/>
          <w:sz w:val="24"/>
        </w:rPr>
        <w:t>合同总价系指按本合同的规定，乙方在完全履行了合同的义务后，甲方支付给乙方的总价款，包括但不限于软、硬件系统的采购费、包装费、运输费、保险费、安装调试费（含所有电缆及接头、使用的工具、硬件等）、随机提供的备品备件和专用工具费、检测验收费、培训费、售后服务费，以及与所供产品和服务有关的一切税费。除此以外，甲方不再以任何名义、任何方式向乙方或</w:t>
      </w:r>
      <w:r>
        <w:rPr>
          <w:rFonts w:hint="eastAsia" w:ascii="宋体" w:hAnsi="宋体"/>
          <w:color w:val="000000"/>
          <w:sz w:val="24"/>
        </w:rPr>
        <w:t>/及第三方支付费用。</w:t>
      </w:r>
    </w:p>
    <w:p>
      <w:pPr>
        <w:tabs>
          <w:tab w:val="left" w:pos="0"/>
        </w:tabs>
        <w:spacing w:line="360" w:lineRule="auto"/>
        <w:jc w:val="left"/>
        <w:rPr>
          <w:rFonts w:ascii="宋体" w:hAnsi="宋体"/>
          <w:color w:val="000000"/>
          <w:sz w:val="24"/>
        </w:rPr>
      </w:pPr>
      <w:r>
        <w:rPr>
          <w:rFonts w:ascii="宋体" w:hAnsi="宋体"/>
          <w:color w:val="000000"/>
          <w:sz w:val="24"/>
        </w:rPr>
        <w:fldChar w:fldCharType="begin"/>
      </w:r>
      <w:r>
        <w:rPr>
          <w:rFonts w:ascii="宋体" w:hAnsi="宋体"/>
          <w:color w:val="000000"/>
          <w:sz w:val="24"/>
        </w:rPr>
        <w:instrText xml:space="preserve"> </w:instrText>
      </w:r>
      <w:r>
        <w:rPr>
          <w:rFonts w:hint="eastAsia" w:ascii="宋体" w:hAnsi="宋体"/>
          <w:color w:val="000000"/>
          <w:sz w:val="24"/>
        </w:rPr>
        <w:instrText xml:space="preserve">= 3 \* GB1</w:instrText>
      </w:r>
      <w:r>
        <w:rPr>
          <w:rFonts w:ascii="宋体" w:hAnsi="宋体"/>
          <w:color w:val="000000"/>
          <w:sz w:val="24"/>
        </w:rPr>
        <w:instrText xml:space="preserve"> </w:instrText>
      </w:r>
      <w:r>
        <w:rPr>
          <w:rFonts w:ascii="宋体" w:hAnsi="宋体"/>
          <w:color w:val="000000"/>
          <w:sz w:val="24"/>
        </w:rPr>
        <w:fldChar w:fldCharType="separate"/>
      </w:r>
      <w:r>
        <w:rPr>
          <w:rFonts w:hint="eastAsia" w:ascii="宋体" w:hAnsi="宋体"/>
          <w:color w:val="000000"/>
          <w:sz w:val="24"/>
        </w:rPr>
        <w:t>⒊</w:t>
      </w:r>
      <w:r>
        <w:rPr>
          <w:rFonts w:ascii="宋体" w:hAnsi="宋体"/>
          <w:color w:val="000000"/>
          <w:sz w:val="24"/>
        </w:rPr>
        <w:fldChar w:fldCharType="end"/>
      </w:r>
      <w:r>
        <w:rPr>
          <w:rFonts w:hint="eastAsia" w:ascii="宋体" w:hAnsi="宋体"/>
          <w:color w:val="000000"/>
          <w:sz w:val="24"/>
        </w:rPr>
        <w:t>当国家法定增值税税率发生变更，甲乙双方约定以含税价格不变作为基础，调整增值税税额。</w:t>
      </w:r>
    </w:p>
    <w:p>
      <w:pPr>
        <w:pStyle w:val="3"/>
        <w:spacing w:before="0" w:after="0" w:line="360" w:lineRule="auto"/>
        <w:ind w:left="432" w:hanging="432"/>
        <w:rPr>
          <w:rFonts w:ascii="宋体" w:hAnsi="宋体"/>
          <w:color w:val="000000"/>
          <w:sz w:val="24"/>
        </w:rPr>
      </w:pPr>
      <w:r>
        <w:rPr>
          <w:rFonts w:ascii="宋体" w:hAnsi="宋体"/>
          <w:color w:val="000000"/>
          <w:sz w:val="24"/>
        </w:rPr>
        <w:t>三、产品的质量要求</w:t>
      </w:r>
    </w:p>
    <w:p>
      <w:pPr>
        <w:spacing w:line="360" w:lineRule="auto"/>
        <w:ind w:firstLine="480" w:firstLineChars="200"/>
        <w:rPr>
          <w:rFonts w:ascii="宋体" w:hAnsi="宋体"/>
          <w:color w:val="000000"/>
          <w:sz w:val="24"/>
        </w:rPr>
      </w:pPr>
      <w:r>
        <w:rPr>
          <w:rFonts w:ascii="宋体" w:hAnsi="宋体"/>
          <w:color w:val="000000"/>
          <w:sz w:val="24"/>
        </w:rPr>
        <w:t>乙方所提供产品的技术指标和生产工艺必须完全满足甲方在“</w:t>
      </w:r>
      <w:r>
        <w:rPr>
          <w:rFonts w:hint="eastAsia" w:ascii="宋体" w:hAnsi="宋体"/>
          <w:b/>
          <w:sz w:val="24"/>
          <w:u w:val="single"/>
        </w:rPr>
        <w:t>江苏有线双向核心网络系统融合建设交换机板卡采购</w:t>
      </w:r>
      <w:r>
        <w:rPr>
          <w:rFonts w:ascii="宋体" w:hAnsi="宋体"/>
          <w:color w:val="000000"/>
          <w:sz w:val="24"/>
        </w:rPr>
        <w:t>”询价文件中提出的技术要求，乙方所提供产品的功能与服务实现必须完全遵守响应文件和询标时做出的书面承诺；乙方保证所提供的商品是原厂原装产品，提供原厂或原产地证明，且系崭新的、未使用过的产品，没有任何版权或其他权属争议；乙方须提供产品的出厂检测报告和产品质量合格证明书，且符合相应技术规定的品质和规格要求；若产品技术性能无相应说明，则按国家或国际有关部门最新颁布的标准及规范为准。乙方保证提供的所有产品是现阶段主流产品，没有停产的计划。</w:t>
      </w:r>
    </w:p>
    <w:p>
      <w:pPr>
        <w:pStyle w:val="3"/>
        <w:snapToGrid w:val="0"/>
        <w:spacing w:before="0" w:after="0" w:line="360" w:lineRule="auto"/>
        <w:ind w:left="6" w:hanging="6"/>
        <w:rPr>
          <w:rFonts w:ascii="宋体" w:hAnsi="宋体"/>
          <w:sz w:val="24"/>
        </w:rPr>
      </w:pPr>
      <w:r>
        <w:rPr>
          <w:rFonts w:ascii="宋体" w:hAnsi="宋体"/>
          <w:color w:val="000000"/>
          <w:sz w:val="24"/>
        </w:rPr>
        <w:t>四、</w:t>
      </w:r>
      <w:r>
        <w:rPr>
          <w:rFonts w:hint="eastAsia" w:ascii="宋体" w:hAnsi="宋体"/>
          <w:color w:val="000000"/>
          <w:sz w:val="24"/>
        </w:rPr>
        <w:t>产品的包装</w:t>
      </w:r>
    </w:p>
    <w:p>
      <w:pPr>
        <w:pStyle w:val="28"/>
        <w:widowControl/>
        <w:numPr>
          <w:ilvl w:val="0"/>
          <w:numId w:val="3"/>
        </w:numPr>
        <w:snapToGrid w:val="0"/>
        <w:spacing w:line="360" w:lineRule="auto"/>
        <w:ind w:left="0" w:firstLine="420" w:firstLineChars="0"/>
        <w:jc w:val="left"/>
        <w:rPr>
          <w:rFonts w:ascii="宋体" w:hAnsi="宋体"/>
          <w:color w:val="000000"/>
          <w:sz w:val="24"/>
        </w:rPr>
      </w:pPr>
      <w:r>
        <w:rPr>
          <w:rFonts w:ascii="宋体" w:hAnsi="宋体"/>
          <w:color w:val="000000"/>
          <w:sz w:val="24"/>
        </w:rPr>
        <w:t>所有产品由乙方负责妥善包装，附件、清单完整齐全，注明储运标志，并适合于长途运输。</w:t>
      </w:r>
      <w:r>
        <w:rPr>
          <w:rFonts w:hint="eastAsia" w:ascii="宋体" w:hAnsi="宋体"/>
          <w:color w:val="000000"/>
          <w:sz w:val="24"/>
        </w:rPr>
        <w:t>由此不当</w:t>
      </w:r>
      <w:r>
        <w:rPr>
          <w:rFonts w:ascii="宋体" w:hAnsi="宋体"/>
          <w:color w:val="000000"/>
          <w:sz w:val="24"/>
        </w:rPr>
        <w:t>而引起的所有损失和责任由乙方承担。</w:t>
      </w:r>
    </w:p>
    <w:p>
      <w:pPr>
        <w:pStyle w:val="28"/>
        <w:widowControl/>
        <w:numPr>
          <w:ilvl w:val="0"/>
          <w:numId w:val="3"/>
        </w:numPr>
        <w:tabs>
          <w:tab w:val="left" w:pos="0"/>
        </w:tabs>
        <w:spacing w:line="360" w:lineRule="auto"/>
        <w:ind w:left="0" w:firstLine="420" w:firstLineChars="0"/>
        <w:jc w:val="left"/>
        <w:rPr>
          <w:rFonts w:ascii="宋体" w:hAnsi="宋体"/>
          <w:color w:val="000000"/>
          <w:sz w:val="24"/>
        </w:rPr>
      </w:pPr>
      <w:r>
        <w:rPr>
          <w:rFonts w:ascii="宋体" w:hAnsi="宋体"/>
          <w:color w:val="000000"/>
          <w:sz w:val="24"/>
        </w:rPr>
        <w:t>每件包装外面应清楚地打上记号，这些记号或标志应在运单上说明。</w:t>
      </w:r>
    </w:p>
    <w:p>
      <w:pPr>
        <w:pStyle w:val="11"/>
        <w:numPr>
          <w:ilvl w:val="0"/>
          <w:numId w:val="3"/>
        </w:numPr>
        <w:spacing w:after="120" w:line="360" w:lineRule="auto"/>
        <w:ind w:left="0" w:firstLine="420"/>
        <w:rPr>
          <w:rFonts w:ascii="宋体" w:hAnsi="宋体"/>
          <w:color w:val="000000"/>
          <w:sz w:val="24"/>
          <w:szCs w:val="24"/>
        </w:rPr>
      </w:pPr>
      <w:r>
        <w:rPr>
          <w:rFonts w:ascii="宋体" w:hAnsi="宋体"/>
          <w:color w:val="000000"/>
          <w:sz w:val="24"/>
          <w:szCs w:val="24"/>
        </w:rPr>
        <w:t>备品备件及专用工具应在箱内运送并与产品分别包装，这些包装应适合储存，在它们的整个储存年限内不会损坏，储存年限应在包装上说明，所有备件应加上标签，以示区别。</w:t>
      </w:r>
    </w:p>
    <w:p>
      <w:pPr>
        <w:pStyle w:val="11"/>
        <w:numPr>
          <w:ilvl w:val="0"/>
          <w:numId w:val="3"/>
        </w:numPr>
        <w:spacing w:after="120" w:line="360" w:lineRule="auto"/>
        <w:ind w:left="0" w:firstLine="420"/>
        <w:rPr>
          <w:rFonts w:ascii="宋体" w:hAnsi="宋体"/>
          <w:color w:val="000000"/>
          <w:sz w:val="24"/>
          <w:szCs w:val="24"/>
        </w:rPr>
      </w:pPr>
      <w:r>
        <w:rPr>
          <w:rFonts w:ascii="宋体" w:hAnsi="宋体"/>
          <w:color w:val="000000"/>
          <w:sz w:val="24"/>
          <w:szCs w:val="24"/>
        </w:rPr>
        <w:t>乙方应提前3天通知甲方负责收货的联系人，告知产品运送到项目现场的具体日期。</w:t>
      </w:r>
    </w:p>
    <w:p>
      <w:pPr>
        <w:pStyle w:val="3"/>
        <w:spacing w:before="0" w:after="0" w:line="360" w:lineRule="auto"/>
        <w:ind w:left="432" w:hanging="432"/>
        <w:rPr>
          <w:rFonts w:ascii="宋体" w:hAnsi="宋体"/>
          <w:color w:val="000000"/>
          <w:sz w:val="24"/>
        </w:rPr>
      </w:pPr>
      <w:r>
        <w:rPr>
          <w:rFonts w:hint="eastAsia" w:ascii="宋体" w:hAnsi="宋体"/>
          <w:color w:val="000000"/>
          <w:sz w:val="24"/>
        </w:rPr>
        <w:t>五</w:t>
      </w:r>
      <w:r>
        <w:rPr>
          <w:rFonts w:ascii="宋体" w:hAnsi="宋体"/>
          <w:color w:val="000000"/>
          <w:sz w:val="24"/>
        </w:rPr>
        <w:t>、</w:t>
      </w:r>
      <w:r>
        <w:rPr>
          <w:rFonts w:ascii="宋体" w:hAnsi="宋体"/>
          <w:sz w:val="24"/>
        </w:rPr>
        <w:t>产品交付</w:t>
      </w:r>
    </w:p>
    <w:p>
      <w:pPr>
        <w:pStyle w:val="28"/>
        <w:widowControl/>
        <w:numPr>
          <w:ilvl w:val="0"/>
          <w:numId w:val="4"/>
        </w:numPr>
        <w:spacing w:line="360" w:lineRule="auto"/>
        <w:ind w:left="0" w:firstLine="426" w:firstLineChars="0"/>
        <w:jc w:val="left"/>
        <w:rPr>
          <w:rFonts w:ascii="宋体" w:hAnsi="宋体"/>
          <w:color w:val="000000"/>
          <w:sz w:val="24"/>
        </w:rPr>
      </w:pPr>
      <w:r>
        <w:rPr>
          <w:rFonts w:ascii="宋体" w:hAnsi="宋体"/>
          <w:color w:val="000000"/>
          <w:sz w:val="24"/>
        </w:rPr>
        <w:t>产品的交货地点为甲方指定地点、指定楼层。</w:t>
      </w:r>
    </w:p>
    <w:p>
      <w:pPr>
        <w:pStyle w:val="28"/>
        <w:widowControl/>
        <w:numPr>
          <w:ilvl w:val="0"/>
          <w:numId w:val="4"/>
        </w:numPr>
        <w:snapToGrid w:val="0"/>
        <w:spacing w:line="360" w:lineRule="auto"/>
        <w:ind w:left="0" w:firstLine="426" w:firstLineChars="0"/>
        <w:jc w:val="left"/>
        <w:rPr>
          <w:rFonts w:ascii="宋体" w:hAnsi="宋体"/>
          <w:color w:val="000000"/>
          <w:sz w:val="24"/>
        </w:rPr>
      </w:pPr>
      <w:r>
        <w:rPr>
          <w:rFonts w:ascii="宋体" w:hAnsi="宋体"/>
          <w:color w:val="000000"/>
          <w:sz w:val="24"/>
        </w:rPr>
        <w:t>乙方交货时应提供下列技术资料：</w:t>
      </w:r>
    </w:p>
    <w:p>
      <w:pPr>
        <w:snapToGrid w:val="0"/>
        <w:spacing w:line="360" w:lineRule="auto"/>
        <w:ind w:firstLine="480" w:firstLineChars="200"/>
        <w:rPr>
          <w:rFonts w:ascii="宋体" w:hAnsi="宋体"/>
          <w:color w:val="000000"/>
          <w:sz w:val="24"/>
        </w:rPr>
      </w:pPr>
      <w:r>
        <w:rPr>
          <w:rFonts w:ascii="宋体" w:hAnsi="宋体"/>
          <w:color w:val="000000"/>
          <w:sz w:val="24"/>
        </w:rPr>
        <w:t>（1）产品原厂或原产地证明；</w:t>
      </w:r>
    </w:p>
    <w:p>
      <w:pPr>
        <w:snapToGrid w:val="0"/>
        <w:spacing w:line="360" w:lineRule="auto"/>
        <w:ind w:firstLine="480" w:firstLineChars="200"/>
        <w:rPr>
          <w:rFonts w:ascii="宋体" w:hAnsi="宋体"/>
          <w:color w:val="000000"/>
          <w:sz w:val="24"/>
        </w:rPr>
      </w:pPr>
      <w:r>
        <w:rPr>
          <w:rFonts w:ascii="宋体" w:hAnsi="宋体"/>
          <w:color w:val="000000"/>
          <w:sz w:val="24"/>
        </w:rPr>
        <w:t>（2）产品出厂检验报告和产品合格证；</w:t>
      </w:r>
    </w:p>
    <w:p>
      <w:pPr>
        <w:snapToGrid w:val="0"/>
        <w:spacing w:line="360" w:lineRule="auto"/>
        <w:ind w:firstLine="480" w:firstLineChars="200"/>
        <w:rPr>
          <w:rFonts w:ascii="宋体" w:hAnsi="宋体"/>
          <w:color w:val="000000"/>
          <w:sz w:val="24"/>
        </w:rPr>
      </w:pPr>
      <w:r>
        <w:rPr>
          <w:rFonts w:ascii="宋体" w:hAnsi="宋体"/>
          <w:color w:val="000000"/>
          <w:sz w:val="24"/>
        </w:rPr>
        <w:t>（3）询价文件中所要求提交的资料。</w:t>
      </w:r>
    </w:p>
    <w:p>
      <w:pPr>
        <w:pStyle w:val="28"/>
        <w:widowControl/>
        <w:numPr>
          <w:ilvl w:val="0"/>
          <w:numId w:val="4"/>
        </w:numPr>
        <w:snapToGrid w:val="0"/>
        <w:spacing w:line="360" w:lineRule="auto"/>
        <w:ind w:left="0" w:firstLine="426" w:firstLineChars="0"/>
        <w:jc w:val="left"/>
        <w:rPr>
          <w:rFonts w:ascii="宋体" w:hAnsi="宋体"/>
          <w:color w:val="000000"/>
          <w:sz w:val="24"/>
        </w:rPr>
      </w:pPr>
      <w:r>
        <w:rPr>
          <w:rFonts w:ascii="宋体" w:hAnsi="宋体"/>
          <w:color w:val="000000"/>
          <w:sz w:val="24"/>
        </w:rPr>
        <w:t>设备到货后，甲方负责清点货物包装箱件数。在设备安装调试前，甲乙双方代表在施工现场共同开箱清点验收货物。若一方因故无法抵达施工现场，则无条件接受另一方开箱清点验收结果。</w:t>
      </w:r>
    </w:p>
    <w:p>
      <w:pPr>
        <w:pStyle w:val="11"/>
        <w:numPr>
          <w:ilvl w:val="0"/>
          <w:numId w:val="4"/>
        </w:numPr>
        <w:spacing w:after="120" w:line="360" w:lineRule="auto"/>
        <w:ind w:left="0" w:firstLine="426"/>
        <w:rPr>
          <w:color w:val="000000"/>
          <w:sz w:val="24"/>
          <w:szCs w:val="24"/>
        </w:rPr>
      </w:pPr>
      <w:r>
        <w:rPr>
          <w:rFonts w:ascii="宋体" w:hAnsi="宋体"/>
          <w:color w:val="000000"/>
          <w:sz w:val="24"/>
          <w:szCs w:val="24"/>
        </w:rPr>
        <w:t>甲方有权拒收运抵现场的被损坏或有缺陷的或不符合询价文件、乙方响应文件和询标时乙方做出的书面承诺的任何产品。</w:t>
      </w:r>
    </w:p>
    <w:p>
      <w:pPr>
        <w:pStyle w:val="3"/>
        <w:snapToGrid w:val="0"/>
        <w:spacing w:before="0" w:after="0" w:line="360" w:lineRule="auto"/>
        <w:ind w:left="4"/>
        <w:rPr>
          <w:rFonts w:ascii="宋体" w:hAnsi="宋体"/>
          <w:sz w:val="24"/>
        </w:rPr>
      </w:pPr>
      <w:r>
        <w:rPr>
          <w:rFonts w:hint="eastAsia" w:ascii="宋体" w:hAnsi="宋体"/>
          <w:color w:val="000000"/>
          <w:sz w:val="24"/>
        </w:rPr>
        <w:t>六</w:t>
      </w:r>
      <w:r>
        <w:rPr>
          <w:rFonts w:ascii="宋体" w:hAnsi="宋体"/>
          <w:color w:val="000000"/>
          <w:sz w:val="24"/>
        </w:rPr>
        <w:t>、</w:t>
      </w:r>
      <w:r>
        <w:rPr>
          <w:rFonts w:ascii="宋体" w:hAnsi="宋体"/>
          <w:sz w:val="24"/>
        </w:rPr>
        <w:t>运输费用</w:t>
      </w:r>
    </w:p>
    <w:p>
      <w:pPr>
        <w:ind w:firstLine="480" w:firstLineChars="200"/>
        <w:rPr>
          <w:sz w:val="24"/>
        </w:rPr>
      </w:pPr>
      <w:r>
        <w:rPr>
          <w:rFonts w:ascii="宋体" w:hAnsi="宋体"/>
          <w:color w:val="000000"/>
          <w:sz w:val="24"/>
        </w:rPr>
        <w:t>乙方承担所有产品的运输、装卸和保险等费用。</w:t>
      </w:r>
    </w:p>
    <w:p>
      <w:pPr>
        <w:pStyle w:val="3"/>
        <w:spacing w:before="0" w:after="0" w:line="360" w:lineRule="auto"/>
        <w:ind w:left="432" w:hanging="432"/>
        <w:rPr>
          <w:rFonts w:ascii="宋体" w:hAnsi="宋体"/>
          <w:color w:val="000000"/>
          <w:sz w:val="24"/>
        </w:rPr>
      </w:pPr>
      <w:r>
        <w:rPr>
          <w:rFonts w:hint="eastAsia" w:ascii="宋体" w:hAnsi="宋体"/>
          <w:color w:val="000000"/>
          <w:sz w:val="24"/>
        </w:rPr>
        <w:t>七、</w:t>
      </w:r>
      <w:r>
        <w:rPr>
          <w:rFonts w:ascii="宋体" w:hAnsi="宋体"/>
          <w:sz w:val="24"/>
        </w:rPr>
        <w:t>供货周期</w:t>
      </w:r>
    </w:p>
    <w:p>
      <w:pPr>
        <w:spacing w:line="360" w:lineRule="auto"/>
        <w:ind w:firstLine="480" w:firstLineChars="200"/>
        <w:rPr>
          <w:rFonts w:ascii="宋体" w:hAnsi="宋体"/>
          <w:color w:val="000000"/>
          <w:sz w:val="24"/>
        </w:rPr>
      </w:pPr>
      <w:r>
        <w:rPr>
          <w:rFonts w:hint="eastAsia" w:ascii="宋体" w:hAnsi="宋体" w:cs="宋体"/>
          <w:sz w:val="24"/>
        </w:rPr>
        <w:t>所有货物在合同生效后</w:t>
      </w:r>
      <w:r>
        <w:rPr>
          <w:rFonts w:ascii="宋体" w:hAnsi="宋体" w:cs="宋体"/>
          <w:sz w:val="24"/>
          <w:u w:val="single"/>
        </w:rPr>
        <w:t xml:space="preserve">   </w:t>
      </w:r>
      <w:r>
        <w:rPr>
          <w:rFonts w:hint="eastAsia" w:ascii="宋体" w:hAnsi="宋体" w:cs="宋体"/>
          <w:sz w:val="24"/>
        </w:rPr>
        <w:t>天内（不超过3</w:t>
      </w:r>
      <w:r>
        <w:rPr>
          <w:rFonts w:ascii="宋体" w:hAnsi="宋体" w:cs="宋体"/>
          <w:sz w:val="24"/>
        </w:rPr>
        <w:t>0</w:t>
      </w:r>
      <w:r>
        <w:rPr>
          <w:rFonts w:hint="eastAsia" w:ascii="宋体" w:hAnsi="宋体" w:cs="宋体"/>
          <w:sz w:val="24"/>
        </w:rPr>
        <w:t>天）运抵甲方工地现场并安装、调试结束，验收合格。现场集成对接时间不得超过四周。</w:t>
      </w:r>
      <w:r>
        <w:rPr>
          <w:rFonts w:ascii="宋体" w:hAnsi="宋体"/>
          <w:color w:val="000000"/>
          <w:sz w:val="24"/>
        </w:rPr>
        <w:t>乙方每逾期一</w:t>
      </w:r>
      <w:r>
        <w:rPr>
          <w:rFonts w:hint="eastAsia" w:ascii="宋体" w:hAnsi="宋体"/>
          <w:color w:val="000000"/>
          <w:sz w:val="24"/>
        </w:rPr>
        <w:t>天</w:t>
      </w:r>
      <w:r>
        <w:rPr>
          <w:rFonts w:ascii="宋体" w:hAnsi="宋体"/>
          <w:color w:val="000000"/>
          <w:sz w:val="24"/>
        </w:rPr>
        <w:t>交货（不足一</w:t>
      </w:r>
      <w:r>
        <w:rPr>
          <w:rFonts w:hint="eastAsia" w:ascii="宋体" w:hAnsi="宋体"/>
          <w:color w:val="000000"/>
          <w:sz w:val="24"/>
        </w:rPr>
        <w:t>天</w:t>
      </w:r>
      <w:r>
        <w:rPr>
          <w:rFonts w:ascii="宋体" w:hAnsi="宋体"/>
          <w:color w:val="000000"/>
          <w:sz w:val="24"/>
        </w:rPr>
        <w:t>按一</w:t>
      </w:r>
      <w:r>
        <w:rPr>
          <w:rFonts w:hint="eastAsia" w:ascii="宋体" w:hAnsi="宋体"/>
          <w:color w:val="000000"/>
          <w:sz w:val="24"/>
        </w:rPr>
        <w:t>天</w:t>
      </w:r>
      <w:r>
        <w:rPr>
          <w:rFonts w:ascii="宋体" w:hAnsi="宋体"/>
          <w:color w:val="000000"/>
          <w:sz w:val="24"/>
        </w:rPr>
        <w:t>计算），按设备总价的5‰收取滞纳金，滞纳金从合同款中扣除。如逾期时间超过6周仍未能交付全部或部分设备（软件），在不妨碍甲方其他救济手段的情况下，甲方可以向乙方发出书面违约通知从而全部或部分地终止合同，并向乙方索赔。</w:t>
      </w:r>
    </w:p>
    <w:p>
      <w:pPr>
        <w:spacing w:line="360" w:lineRule="auto"/>
        <w:ind w:firstLine="480" w:firstLineChars="200"/>
        <w:rPr>
          <w:rFonts w:ascii="宋体" w:hAnsi="宋体"/>
          <w:color w:val="000000"/>
          <w:sz w:val="24"/>
        </w:rPr>
      </w:pPr>
      <w:r>
        <w:rPr>
          <w:rFonts w:ascii="宋体" w:hAnsi="宋体"/>
          <w:color w:val="000000"/>
          <w:sz w:val="24"/>
        </w:rPr>
        <w:t>乙方逾期交货，甲方接受的，不影响甲方追究乙方逾期交货的违约责任。</w:t>
      </w:r>
    </w:p>
    <w:p>
      <w:pPr>
        <w:pStyle w:val="3"/>
        <w:spacing w:before="0" w:after="0" w:line="360" w:lineRule="auto"/>
        <w:ind w:left="432" w:hanging="432"/>
        <w:rPr>
          <w:rFonts w:ascii="宋体" w:hAnsi="宋体"/>
          <w:sz w:val="24"/>
        </w:rPr>
      </w:pPr>
      <w:r>
        <w:rPr>
          <w:rFonts w:hint="eastAsia" w:ascii="宋体" w:hAnsi="宋体"/>
          <w:color w:val="000000"/>
          <w:sz w:val="24"/>
        </w:rPr>
        <w:t>八</w:t>
      </w:r>
      <w:r>
        <w:rPr>
          <w:rFonts w:ascii="宋体" w:hAnsi="宋体"/>
          <w:color w:val="000000"/>
          <w:sz w:val="24"/>
        </w:rPr>
        <w:t>、</w:t>
      </w:r>
      <w:r>
        <w:rPr>
          <w:rFonts w:ascii="宋体" w:hAnsi="宋体"/>
          <w:sz w:val="24"/>
        </w:rPr>
        <w:t>验收标准</w:t>
      </w:r>
    </w:p>
    <w:p>
      <w:pPr>
        <w:numPr>
          <w:ilvl w:val="0"/>
          <w:numId w:val="5"/>
        </w:numPr>
        <w:tabs>
          <w:tab w:val="left" w:pos="0"/>
          <w:tab w:val="clear" w:pos="1155"/>
        </w:tabs>
        <w:spacing w:line="360" w:lineRule="auto"/>
        <w:ind w:left="0" w:firstLine="484" w:firstLineChars="202"/>
        <w:rPr>
          <w:sz w:val="24"/>
        </w:rPr>
      </w:pPr>
      <w:r>
        <w:rPr>
          <w:rFonts w:hint="eastAsia"/>
          <w:sz w:val="24"/>
        </w:rPr>
        <w:t>设备到货后，甲方对设备数量进行核对，并进行设备上架安装、开机试运行及配置验证，确定设备与合同内容无误后视为到货合格。</w:t>
      </w:r>
    </w:p>
    <w:p>
      <w:pPr>
        <w:numPr>
          <w:ilvl w:val="0"/>
          <w:numId w:val="5"/>
        </w:numPr>
        <w:tabs>
          <w:tab w:val="left" w:pos="0"/>
          <w:tab w:val="clear" w:pos="1155"/>
        </w:tabs>
        <w:spacing w:line="360" w:lineRule="auto"/>
        <w:ind w:left="0" w:firstLine="484" w:firstLineChars="202"/>
        <w:rPr>
          <w:sz w:val="24"/>
        </w:rPr>
      </w:pPr>
      <w:r>
        <w:rPr>
          <w:rFonts w:ascii="宋体" w:hAnsi="宋体"/>
          <w:sz w:val="24"/>
        </w:rPr>
        <w:t>乙方需免费提供验收所需的测试工具、并搭建测试环境，按甲方询价文件、乙方响应文件、询标时乙方做出的书面承诺以及买、卖双方共同签订的补充协议的要求进行验收。乙方在货到安装调试完毕、系统达到技术要求规定的指标并开通业务后，向甲方提交“</w:t>
      </w:r>
      <w:r>
        <w:rPr>
          <w:rFonts w:hint="eastAsia" w:ascii="宋体" w:hAnsi="宋体"/>
          <w:b/>
          <w:sz w:val="24"/>
          <w:u w:val="single"/>
        </w:rPr>
        <w:t xml:space="preserve">   </w:t>
      </w:r>
      <w:r>
        <w:rPr>
          <w:rFonts w:ascii="宋体" w:hAnsi="宋体"/>
          <w:sz w:val="24"/>
        </w:rPr>
        <w:t>”系统初验申请报告，甲方应在接到乙方提供的系统初验申请报告后10个工作日内组织有关部门进行初验。初验合格的，买、卖双方确定系统试运行开始日期、试运行方案及终验方案。试运行期为初验通过后的3个月。在试运行期结束后，如系统的设备性能和业务功能满足询价文件及合同要求，乙方应提交终验申请报告和试运行报告，试运行报告应包括所有数据记录和故障处理过程。甲方应在收到终验申请报告及全部文件后的10个工作日内组织有关部门验收，并在验收后10个工作日内给予验收结果或提出修改意见。</w:t>
      </w:r>
    </w:p>
    <w:p>
      <w:pPr>
        <w:numPr>
          <w:ilvl w:val="0"/>
          <w:numId w:val="5"/>
        </w:numPr>
        <w:tabs>
          <w:tab w:val="left" w:pos="0"/>
          <w:tab w:val="clear" w:pos="1155"/>
        </w:tabs>
        <w:spacing w:line="360" w:lineRule="auto"/>
        <w:ind w:left="0" w:firstLine="484" w:firstLineChars="202"/>
        <w:rPr>
          <w:sz w:val="24"/>
        </w:rPr>
      </w:pPr>
      <w:r>
        <w:rPr>
          <w:sz w:val="24"/>
        </w:rPr>
        <w:t>如第一次</w:t>
      </w:r>
      <w:r>
        <w:rPr>
          <w:rFonts w:ascii="宋体" w:hAnsi="宋体"/>
          <w:sz w:val="24"/>
        </w:rPr>
        <w:t>初验或终验</w:t>
      </w:r>
      <w:r>
        <w:rPr>
          <w:sz w:val="24"/>
        </w:rPr>
        <w:t>未通过，甲方应将有关不符合要求的情况书面通知乙方，乙方应在收到甲方书面通知后20天内完成对系统的调整，使系统达到验收标准，并再次向甲方提出验收申请。甲方应在接到调整后的系统验收申请报告10个工作日内组织第二次验收。如系统仍未通过验收，则视为系统不合格，甲方有权按照本合同的相关条款追究乙方的责任。</w:t>
      </w:r>
    </w:p>
    <w:p>
      <w:pPr>
        <w:numPr>
          <w:ilvl w:val="0"/>
          <w:numId w:val="5"/>
        </w:numPr>
        <w:tabs>
          <w:tab w:val="left" w:pos="0"/>
          <w:tab w:val="clear" w:pos="1155"/>
        </w:tabs>
        <w:spacing w:line="360" w:lineRule="auto"/>
        <w:ind w:left="0" w:firstLine="484" w:firstLineChars="202"/>
        <w:rPr>
          <w:sz w:val="24"/>
        </w:rPr>
      </w:pPr>
      <w:r>
        <w:rPr>
          <w:sz w:val="24"/>
        </w:rPr>
        <w:t>因甲方原因未能及时组织</w:t>
      </w:r>
      <w:r>
        <w:rPr>
          <w:rFonts w:hint="eastAsia"/>
          <w:sz w:val="24"/>
        </w:rPr>
        <w:t>验收</w:t>
      </w:r>
      <w:r>
        <w:rPr>
          <w:sz w:val="24"/>
        </w:rPr>
        <w:t>，甲方应在乙方的协助下尽快解决问题。在乙方提出书面申请后，如甲方无正当理由在一个月内不予响应的，则视为系统验收通过。</w:t>
      </w:r>
    </w:p>
    <w:p>
      <w:pPr>
        <w:numPr>
          <w:ilvl w:val="0"/>
          <w:numId w:val="5"/>
        </w:numPr>
        <w:tabs>
          <w:tab w:val="left" w:pos="0"/>
          <w:tab w:val="clear" w:pos="1155"/>
        </w:tabs>
        <w:spacing w:line="360" w:lineRule="auto"/>
        <w:ind w:left="0" w:firstLine="484" w:firstLineChars="202"/>
        <w:rPr>
          <w:sz w:val="24"/>
        </w:rPr>
      </w:pPr>
      <w:r>
        <w:rPr>
          <w:sz w:val="24"/>
        </w:rPr>
        <w:t>买、卖双方应按合同规定的时间进行</w:t>
      </w:r>
      <w:r>
        <w:rPr>
          <w:rFonts w:hint="eastAsia"/>
          <w:sz w:val="24"/>
        </w:rPr>
        <w:t>验收</w:t>
      </w:r>
      <w:r>
        <w:rPr>
          <w:sz w:val="24"/>
        </w:rPr>
        <w:t>，验收时间因各种原因需要更改的，买、卖双方应共同商定修改验收日期。</w:t>
      </w:r>
    </w:p>
    <w:p>
      <w:pPr>
        <w:numPr>
          <w:ilvl w:val="0"/>
          <w:numId w:val="5"/>
        </w:numPr>
        <w:tabs>
          <w:tab w:val="left" w:pos="0"/>
          <w:tab w:val="clear" w:pos="1155"/>
        </w:tabs>
        <w:spacing w:line="360" w:lineRule="auto"/>
        <w:ind w:left="0" w:firstLine="484" w:firstLineChars="202"/>
        <w:rPr>
          <w:sz w:val="24"/>
        </w:rPr>
      </w:pPr>
      <w:r>
        <w:rPr>
          <w:sz w:val="24"/>
        </w:rPr>
        <w:t>在</w:t>
      </w:r>
      <w:r>
        <w:rPr>
          <w:rFonts w:hint="eastAsia"/>
          <w:sz w:val="24"/>
        </w:rPr>
        <w:t>验收</w:t>
      </w:r>
      <w:r>
        <w:rPr>
          <w:sz w:val="24"/>
        </w:rPr>
        <w:t>过程中，若一方对验收过程或结果提出质疑，且经协商不成的，可由甲方选择法定检验机构进行检验，检验费用由乙方承担。</w:t>
      </w:r>
    </w:p>
    <w:p>
      <w:pPr>
        <w:numPr>
          <w:ilvl w:val="0"/>
          <w:numId w:val="5"/>
        </w:numPr>
        <w:tabs>
          <w:tab w:val="left" w:pos="0"/>
          <w:tab w:val="clear" w:pos="1155"/>
        </w:tabs>
        <w:spacing w:line="360" w:lineRule="auto"/>
        <w:ind w:left="0" w:firstLine="484" w:firstLineChars="202"/>
        <w:rPr>
          <w:sz w:val="24"/>
        </w:rPr>
      </w:pPr>
      <w:r>
        <w:rPr>
          <w:sz w:val="24"/>
        </w:rPr>
        <w:t>买、卖双方约定合同产品检验期自交货日起至终验通过之日止。买、卖双方约定合同产品免费包修期为</w:t>
      </w:r>
      <w:r>
        <w:rPr>
          <w:sz w:val="24"/>
          <w:u w:val="single"/>
        </w:rPr>
        <w:t xml:space="preserve">   </w:t>
      </w:r>
      <w:r>
        <w:rPr>
          <w:sz w:val="24"/>
        </w:rPr>
        <w:t>年</w:t>
      </w:r>
      <w:r>
        <w:rPr>
          <w:rFonts w:hint="eastAsia"/>
          <w:sz w:val="24"/>
        </w:rPr>
        <w:t>（不少于3年）</w:t>
      </w:r>
      <w:r>
        <w:rPr>
          <w:sz w:val="24"/>
        </w:rPr>
        <w:t>，自</w:t>
      </w:r>
      <w:r>
        <w:rPr>
          <w:rFonts w:hint="eastAsia"/>
          <w:sz w:val="24"/>
        </w:rPr>
        <w:t>终验通过</w:t>
      </w:r>
      <w:r>
        <w:rPr>
          <w:sz w:val="24"/>
        </w:rPr>
        <w:t>之日起计算。</w:t>
      </w:r>
    </w:p>
    <w:p>
      <w:pPr>
        <w:pStyle w:val="3"/>
        <w:spacing w:before="0" w:after="0" w:line="360" w:lineRule="auto"/>
        <w:ind w:left="432" w:hanging="432"/>
        <w:rPr>
          <w:rFonts w:ascii="宋体" w:hAnsi="宋体"/>
          <w:sz w:val="24"/>
        </w:rPr>
      </w:pPr>
      <w:r>
        <w:rPr>
          <w:rFonts w:hint="eastAsia" w:ascii="宋体" w:hAnsi="宋体"/>
          <w:color w:val="000000"/>
          <w:sz w:val="24"/>
        </w:rPr>
        <w:t>九</w:t>
      </w:r>
      <w:r>
        <w:rPr>
          <w:rFonts w:ascii="宋体" w:hAnsi="宋体"/>
          <w:color w:val="000000"/>
          <w:sz w:val="24"/>
        </w:rPr>
        <w:t>、</w:t>
      </w:r>
      <w:r>
        <w:rPr>
          <w:rFonts w:ascii="宋体" w:hAnsi="宋体"/>
          <w:sz w:val="24"/>
        </w:rPr>
        <w:t>付款方式及期限</w:t>
      </w:r>
    </w:p>
    <w:p>
      <w:pPr>
        <w:pStyle w:val="28"/>
        <w:widowControl/>
        <w:numPr>
          <w:ilvl w:val="0"/>
          <w:numId w:val="6"/>
        </w:numPr>
        <w:spacing w:line="360" w:lineRule="auto"/>
        <w:ind w:left="0" w:firstLine="426" w:firstLineChars="0"/>
        <w:jc w:val="left"/>
        <w:rPr>
          <w:color w:val="000000"/>
          <w:sz w:val="24"/>
        </w:rPr>
      </w:pPr>
      <w:r>
        <w:rPr>
          <w:sz w:val="24"/>
        </w:rPr>
        <w:t>付款方式：</w:t>
      </w:r>
      <w:r>
        <w:rPr>
          <w:rFonts w:hint="eastAsia"/>
          <w:sz w:val="24"/>
        </w:rPr>
        <w:t>合同总价的</w:t>
      </w:r>
      <w:r>
        <w:rPr>
          <w:sz w:val="24"/>
        </w:rPr>
        <w:t>6</w:t>
      </w:r>
      <w:r>
        <w:rPr>
          <w:rFonts w:hint="eastAsia"/>
          <w:sz w:val="24"/>
        </w:rPr>
        <w:t>0%，以半年期汇票支付；剩余部分，以转账的方式支付。</w:t>
      </w:r>
      <w:r>
        <w:rPr>
          <w:sz w:val="24"/>
        </w:rPr>
        <w:t>禁止将货款划入其他账号或支付现金。如收款方的账号和开户行变更，须及时以书面形式通知付款方，通知上必须同时盖有收款方的</w:t>
      </w:r>
      <w:r>
        <w:rPr>
          <w:rFonts w:hint="eastAsia"/>
          <w:sz w:val="24"/>
        </w:rPr>
        <w:t>公</w:t>
      </w:r>
      <w:r>
        <w:rPr>
          <w:sz w:val="24"/>
        </w:rPr>
        <w:t>章</w:t>
      </w:r>
      <w:r>
        <w:rPr>
          <w:rFonts w:hint="eastAsia"/>
          <w:sz w:val="24"/>
        </w:rPr>
        <w:t>或</w:t>
      </w:r>
      <w:r>
        <w:rPr>
          <w:sz w:val="24"/>
        </w:rPr>
        <w:t>财务</w:t>
      </w:r>
      <w:r>
        <w:rPr>
          <w:rFonts w:hint="eastAsia"/>
          <w:sz w:val="24"/>
        </w:rPr>
        <w:t>专用章，乙方须按甲方要求提供增值税专用发票。</w:t>
      </w:r>
    </w:p>
    <w:p>
      <w:pPr>
        <w:pStyle w:val="28"/>
        <w:widowControl/>
        <w:numPr>
          <w:ilvl w:val="0"/>
          <w:numId w:val="6"/>
        </w:numPr>
        <w:spacing w:line="360" w:lineRule="auto"/>
        <w:ind w:left="0" w:firstLine="426" w:firstLineChars="0"/>
        <w:jc w:val="left"/>
        <w:rPr>
          <w:color w:val="000000"/>
          <w:sz w:val="24"/>
        </w:rPr>
      </w:pPr>
      <w:r>
        <w:rPr>
          <w:rFonts w:hint="eastAsia"/>
          <w:color w:val="000000"/>
          <w:sz w:val="24"/>
        </w:rPr>
        <w:t>付款期限：系统通过初验后15天内甲方转账</w:t>
      </w:r>
      <w:r>
        <w:rPr>
          <w:color w:val="000000"/>
          <w:sz w:val="24"/>
        </w:rPr>
        <w:t>支付乙方</w:t>
      </w:r>
      <w:r>
        <w:rPr>
          <w:rFonts w:hint="eastAsia"/>
          <w:color w:val="000000"/>
          <w:sz w:val="24"/>
        </w:rPr>
        <w:t>合同总额的30%，即人民币</w:t>
      </w:r>
      <w:r>
        <w:rPr>
          <w:rFonts w:hint="eastAsia"/>
          <w:b/>
          <w:color w:val="000000"/>
          <w:sz w:val="24"/>
          <w:u w:val="single"/>
        </w:rPr>
        <w:t xml:space="preserve"> </w:t>
      </w:r>
      <w:r>
        <w:rPr>
          <w:b/>
          <w:color w:val="000000"/>
          <w:sz w:val="24"/>
          <w:u w:val="single"/>
        </w:rPr>
        <w:t xml:space="preserve">              </w:t>
      </w:r>
      <w:r>
        <w:rPr>
          <w:rFonts w:hint="eastAsia"/>
          <w:color w:val="000000"/>
          <w:sz w:val="24"/>
        </w:rPr>
        <w:t>；通过系统终验合格后甲方以半年期银行承兑汇票</w:t>
      </w:r>
      <w:r>
        <w:rPr>
          <w:color w:val="000000"/>
          <w:sz w:val="24"/>
        </w:rPr>
        <w:t>支付乙方</w:t>
      </w:r>
      <w:r>
        <w:rPr>
          <w:rFonts w:hint="eastAsia"/>
          <w:color w:val="000000"/>
          <w:sz w:val="24"/>
        </w:rPr>
        <w:t>合同总额的60%，即人民币</w:t>
      </w:r>
      <w:r>
        <w:rPr>
          <w:rFonts w:hint="eastAsia"/>
          <w:b/>
          <w:color w:val="000000"/>
          <w:sz w:val="24"/>
          <w:u w:val="single"/>
        </w:rPr>
        <w:t xml:space="preserve"> </w:t>
      </w:r>
      <w:r>
        <w:rPr>
          <w:b/>
          <w:color w:val="000000"/>
          <w:sz w:val="24"/>
          <w:u w:val="single"/>
        </w:rPr>
        <w:t xml:space="preserve">                 </w:t>
      </w:r>
      <w:r>
        <w:rPr>
          <w:rFonts w:hint="eastAsia"/>
          <w:color w:val="000000"/>
          <w:sz w:val="24"/>
        </w:rPr>
        <w:t>；10%余款（转账支付）即人民币</w:t>
      </w:r>
      <w:r>
        <w:rPr>
          <w:rFonts w:hint="eastAsia"/>
          <w:b/>
          <w:color w:val="000000"/>
          <w:sz w:val="24"/>
          <w:u w:val="single"/>
        </w:rPr>
        <w:t xml:space="preserve"> </w:t>
      </w:r>
      <w:r>
        <w:rPr>
          <w:b/>
          <w:color w:val="000000"/>
          <w:sz w:val="24"/>
          <w:u w:val="single"/>
        </w:rPr>
        <w:t xml:space="preserve">                   </w:t>
      </w:r>
      <w:r>
        <w:rPr>
          <w:rFonts w:hint="eastAsia"/>
          <w:color w:val="000000"/>
          <w:sz w:val="24"/>
        </w:rPr>
        <w:t>，作为质量保证金，在终验合格一年后的10个工作日之内支付7%，如乙方此时向甲方开据合同总额3%的银行保函（此保函须在免费包修期结束后到期），甲方在收到银行保函后30个工作日内将尾款结清（即合同总价的10%），否则甲方将在免费保修期结束后的10个工作日之内支付剩余的3%给乙方。</w:t>
      </w:r>
    </w:p>
    <w:p>
      <w:pPr>
        <w:pStyle w:val="28"/>
        <w:widowControl/>
        <w:numPr>
          <w:ilvl w:val="0"/>
          <w:numId w:val="6"/>
        </w:numPr>
        <w:spacing w:line="360" w:lineRule="auto"/>
        <w:ind w:left="0" w:firstLine="426" w:firstLineChars="0"/>
        <w:jc w:val="left"/>
        <w:rPr>
          <w:color w:val="000000"/>
          <w:sz w:val="24"/>
        </w:rPr>
      </w:pPr>
      <w:r>
        <w:rPr>
          <w:rFonts w:hint="eastAsia"/>
          <w:color w:val="000000"/>
          <w:sz w:val="24"/>
        </w:rPr>
        <w:t>质量保证金：质量保证金包含对履约的保证、对质量的保证。在合同履行过程中，如乙方应承担履约保证、质量保证中约定的保证责任，甲方有权直接在质量保证金中扣除；扣除后保证金不足的，乙方应在五个工作日内补足，或由甲方直接在应付账款中扣除。</w:t>
      </w:r>
    </w:p>
    <w:p>
      <w:pPr>
        <w:pStyle w:val="3"/>
        <w:spacing w:before="0" w:after="0" w:line="360" w:lineRule="auto"/>
        <w:rPr>
          <w:rFonts w:ascii="宋体" w:hAnsi="宋体"/>
          <w:color w:val="000000"/>
          <w:sz w:val="24"/>
        </w:rPr>
      </w:pPr>
      <w:r>
        <w:rPr>
          <w:rFonts w:hint="eastAsia" w:ascii="宋体" w:hAnsi="宋体"/>
          <w:color w:val="000000"/>
          <w:sz w:val="24"/>
        </w:rPr>
        <w:t>十</w:t>
      </w:r>
      <w:r>
        <w:rPr>
          <w:rFonts w:ascii="宋体" w:hAnsi="宋体"/>
          <w:color w:val="000000"/>
          <w:sz w:val="24"/>
        </w:rPr>
        <w:t>、售后服务</w:t>
      </w:r>
    </w:p>
    <w:p>
      <w:pPr>
        <w:pStyle w:val="28"/>
        <w:widowControl/>
        <w:numPr>
          <w:ilvl w:val="0"/>
          <w:numId w:val="7"/>
        </w:numPr>
        <w:spacing w:line="360" w:lineRule="auto"/>
        <w:ind w:left="0" w:firstLine="426" w:firstLineChars="0"/>
        <w:jc w:val="left"/>
        <w:rPr>
          <w:rFonts w:ascii="宋体" w:hAnsi="宋体"/>
          <w:sz w:val="24"/>
        </w:rPr>
      </w:pPr>
      <w:r>
        <w:rPr>
          <w:rFonts w:ascii="宋体" w:hAnsi="宋体"/>
          <w:sz w:val="24"/>
        </w:rPr>
        <w:t>服务响应时间：</w:t>
      </w:r>
      <w:r>
        <w:rPr>
          <w:rFonts w:hint="eastAsia" w:ascii="宋体" w:hAnsi="宋体"/>
          <w:sz w:val="24"/>
        </w:rPr>
        <w:t>乙方提供每周</w:t>
      </w:r>
      <w:r>
        <w:rPr>
          <w:rFonts w:ascii="宋体" w:hAnsi="宋体"/>
          <w:sz w:val="24"/>
        </w:rPr>
        <w:t>7</w:t>
      </w:r>
      <w:r>
        <w:rPr>
          <w:rFonts w:hint="eastAsia" w:ascii="宋体" w:hAnsi="宋体"/>
          <w:sz w:val="24"/>
        </w:rPr>
        <w:t>天×</w:t>
      </w:r>
      <w:r>
        <w:rPr>
          <w:rFonts w:ascii="宋体" w:hAnsi="宋体"/>
          <w:sz w:val="24"/>
        </w:rPr>
        <w:t>24</w:t>
      </w:r>
      <w:r>
        <w:rPr>
          <w:rFonts w:hint="eastAsia" w:ascii="宋体" w:hAnsi="宋体"/>
          <w:sz w:val="24"/>
        </w:rPr>
        <w:t>小时的技术支持和服务。如果出现技术问题或故障，乙方应按响应文件和磋商时做出的书面承诺提供相应的服务和技术支持。</w:t>
      </w:r>
      <w:r>
        <w:rPr>
          <w:rFonts w:ascii="宋体" w:hAnsi="宋体"/>
          <w:sz w:val="24"/>
        </w:rPr>
        <w:t>在接到通知后1小时内应答，6小时内派出代表到达现场进行处理。在得到</w:t>
      </w:r>
      <w:r>
        <w:rPr>
          <w:rFonts w:hint="eastAsia" w:ascii="宋体" w:hAnsi="宋体"/>
          <w:sz w:val="24"/>
        </w:rPr>
        <w:t>乙方</w:t>
      </w:r>
      <w:r>
        <w:rPr>
          <w:rFonts w:ascii="宋体" w:hAnsi="宋体"/>
          <w:sz w:val="24"/>
        </w:rPr>
        <w:t>同意后，或在规定期限内，</w:t>
      </w:r>
      <w:r>
        <w:rPr>
          <w:rFonts w:hint="eastAsia" w:ascii="宋体" w:hAnsi="宋体"/>
          <w:sz w:val="24"/>
        </w:rPr>
        <w:t>乙方</w:t>
      </w:r>
      <w:r>
        <w:rPr>
          <w:rFonts w:ascii="宋体" w:hAnsi="宋体"/>
          <w:sz w:val="24"/>
        </w:rPr>
        <w:t>代表仍未到达现场，</w:t>
      </w:r>
      <w:r>
        <w:rPr>
          <w:rFonts w:hint="eastAsia" w:ascii="宋体" w:hAnsi="宋体"/>
          <w:sz w:val="24"/>
        </w:rPr>
        <w:t>甲方</w:t>
      </w:r>
      <w:r>
        <w:rPr>
          <w:rFonts w:ascii="宋体" w:hAnsi="宋体"/>
          <w:sz w:val="24"/>
        </w:rPr>
        <w:t>可以自己进行故障处理，并要求</w:t>
      </w:r>
      <w:r>
        <w:rPr>
          <w:rFonts w:hint="eastAsia" w:ascii="宋体" w:hAnsi="宋体"/>
          <w:sz w:val="24"/>
        </w:rPr>
        <w:t>乙方</w:t>
      </w:r>
      <w:r>
        <w:rPr>
          <w:rFonts w:ascii="宋体" w:hAnsi="宋体"/>
          <w:sz w:val="24"/>
        </w:rPr>
        <w:t>承担相应费用。重大技术故障</w:t>
      </w:r>
      <w:r>
        <w:rPr>
          <w:rFonts w:hint="eastAsia" w:ascii="宋体" w:hAnsi="宋体"/>
          <w:sz w:val="24"/>
        </w:rPr>
        <w:t>乙方</w:t>
      </w:r>
      <w:r>
        <w:rPr>
          <w:rFonts w:ascii="宋体" w:hAnsi="宋体"/>
          <w:sz w:val="24"/>
        </w:rPr>
        <w:t>需要明确处理的时间。</w:t>
      </w:r>
    </w:p>
    <w:p>
      <w:pPr>
        <w:pStyle w:val="28"/>
        <w:widowControl/>
        <w:numPr>
          <w:ilvl w:val="0"/>
          <w:numId w:val="7"/>
        </w:numPr>
        <w:spacing w:line="360" w:lineRule="auto"/>
        <w:ind w:left="0" w:firstLine="426" w:firstLineChars="0"/>
        <w:jc w:val="left"/>
        <w:rPr>
          <w:rFonts w:ascii="宋体" w:hAnsi="宋体"/>
          <w:sz w:val="24"/>
        </w:rPr>
      </w:pPr>
      <w:r>
        <w:rPr>
          <w:rFonts w:ascii="宋体" w:hAnsi="宋体"/>
          <w:sz w:val="24"/>
        </w:rPr>
        <w:t>包修期：</w:t>
      </w:r>
      <w:r>
        <w:rPr>
          <w:rFonts w:hint="eastAsia" w:ascii="宋体" w:hAnsi="宋体"/>
          <w:sz w:val="24"/>
        </w:rPr>
        <w:t>免费包修期为</w:t>
      </w:r>
      <w:r>
        <w:rPr>
          <w:rFonts w:ascii="宋体" w:hAnsi="宋体"/>
          <w:sz w:val="24"/>
          <w:u w:val="single"/>
        </w:rPr>
        <w:t xml:space="preserve">  </w:t>
      </w:r>
      <w:r>
        <w:rPr>
          <w:rFonts w:hint="eastAsia" w:ascii="宋体" w:hAnsi="宋体"/>
          <w:sz w:val="24"/>
        </w:rPr>
        <w:t>年（不少于3年），自初验通过之日起计算。免费包修期</w:t>
      </w:r>
      <w:r>
        <w:rPr>
          <w:rFonts w:ascii="宋体" w:hAnsi="宋体"/>
          <w:sz w:val="24"/>
        </w:rPr>
        <w:t>，故障设备</w:t>
      </w:r>
      <w:r>
        <w:rPr>
          <w:rFonts w:hint="eastAsia" w:ascii="宋体" w:hAnsi="宋体"/>
          <w:sz w:val="24"/>
        </w:rPr>
        <w:t>卖方</w:t>
      </w:r>
      <w:r>
        <w:rPr>
          <w:rFonts w:ascii="宋体" w:hAnsi="宋体"/>
          <w:sz w:val="24"/>
        </w:rPr>
        <w:t>应在6小时内予以更换，更换故障部件的</w:t>
      </w:r>
      <w:r>
        <w:rPr>
          <w:rFonts w:hint="eastAsia" w:ascii="宋体" w:hAnsi="宋体"/>
          <w:sz w:val="24"/>
        </w:rPr>
        <w:t>免费包修期</w:t>
      </w:r>
      <w:r>
        <w:rPr>
          <w:rFonts w:ascii="宋体" w:hAnsi="宋体"/>
          <w:sz w:val="24"/>
        </w:rPr>
        <w:t>从更换日期起重新计算。</w:t>
      </w:r>
      <w:r>
        <w:rPr>
          <w:rFonts w:hint="eastAsia" w:ascii="宋体" w:hAnsi="宋体"/>
          <w:sz w:val="24"/>
        </w:rPr>
        <w:t>超过免费质保期后，乙方对其提供的产品在设备寿命期内提供有偿保修服务。每年价格不得高于需要保修设备成交价的</w:t>
      </w:r>
      <w:r>
        <w:rPr>
          <w:rFonts w:ascii="宋体" w:hAnsi="宋体"/>
          <w:sz w:val="24"/>
          <w:u w:val="single"/>
        </w:rPr>
        <w:t xml:space="preserve">  </w:t>
      </w:r>
      <w:r>
        <w:rPr>
          <w:rFonts w:hint="eastAsia" w:ascii="宋体" w:hAnsi="宋体"/>
          <w:sz w:val="24"/>
        </w:rPr>
        <w:t>%（不高于</w:t>
      </w:r>
      <w:r>
        <w:rPr>
          <w:rFonts w:ascii="宋体" w:hAnsi="宋体"/>
          <w:sz w:val="24"/>
        </w:rPr>
        <w:t>3</w:t>
      </w:r>
      <w:r>
        <w:rPr>
          <w:rFonts w:hint="eastAsia" w:ascii="宋体" w:hAnsi="宋体"/>
          <w:sz w:val="24"/>
        </w:rPr>
        <w:t>%）。</w:t>
      </w:r>
    </w:p>
    <w:p>
      <w:pPr>
        <w:pStyle w:val="28"/>
        <w:widowControl/>
        <w:numPr>
          <w:ilvl w:val="0"/>
          <w:numId w:val="7"/>
        </w:numPr>
        <w:spacing w:line="360" w:lineRule="auto"/>
        <w:ind w:left="0" w:firstLine="426" w:firstLineChars="0"/>
        <w:jc w:val="left"/>
        <w:rPr>
          <w:color w:val="000000"/>
          <w:sz w:val="24"/>
        </w:rPr>
      </w:pPr>
      <w:r>
        <w:rPr>
          <w:rFonts w:ascii="宋体" w:hAnsi="宋体"/>
          <w:sz w:val="24"/>
        </w:rPr>
        <w:t>培训：包括响应文件和询标时做出的书面承诺的培训。乙方另行提供的其它培训，往返路程费用、住宿及餐饮等费用由乙方承担。</w:t>
      </w:r>
    </w:p>
    <w:p>
      <w:pPr>
        <w:pStyle w:val="28"/>
        <w:widowControl/>
        <w:numPr>
          <w:ilvl w:val="0"/>
          <w:numId w:val="7"/>
        </w:numPr>
        <w:spacing w:line="360" w:lineRule="auto"/>
        <w:ind w:left="0" w:firstLine="426" w:firstLineChars="0"/>
        <w:jc w:val="left"/>
        <w:rPr>
          <w:rFonts w:ascii="宋体" w:hAnsi="宋体"/>
          <w:color w:val="000000"/>
          <w:sz w:val="24"/>
        </w:rPr>
      </w:pPr>
      <w:r>
        <w:rPr>
          <w:rFonts w:ascii="宋体" w:hAnsi="宋体"/>
          <w:sz w:val="24"/>
        </w:rPr>
        <w:t>原厂服务：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系统集成：乙方负责提供设备的上线安装及网络接入，提供不少于</w:t>
      </w:r>
      <w:r>
        <w:rPr>
          <w:rFonts w:ascii="宋体" w:hAnsi="宋体"/>
          <w:sz w:val="24"/>
        </w:rPr>
        <w:t>200</w:t>
      </w:r>
      <w:r>
        <w:rPr>
          <w:rFonts w:hint="eastAsia" w:ascii="宋体" w:hAnsi="宋体"/>
          <w:sz w:val="24"/>
        </w:rPr>
        <w:t>对光纤布放，所需辅材由乙方提供。</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如果在系统发生故障后，乙方未能按照要求时间排除系统故障，甲方有权请第三方解决问题，由此产生的费用由乙方承担。造成甲方业务损失的，由乙方承担相应责任。</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乙方保证立即响应并至少通过电话做远程诊断，尝试排除故障或进行紧急处理。</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乙方保证提供完善的备件支持服务，用以保障甲方应急替换。若某部件发生故障，乙方承诺在6小时内为甲方替换部件。</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乙方在采购人工地安装、调试期间，一切费用由乙方自理。</w:t>
      </w:r>
    </w:p>
    <w:p>
      <w:pPr>
        <w:pStyle w:val="28"/>
        <w:widowControl/>
        <w:numPr>
          <w:ilvl w:val="0"/>
          <w:numId w:val="7"/>
        </w:numPr>
        <w:spacing w:line="360" w:lineRule="auto"/>
        <w:ind w:left="0" w:firstLine="426" w:firstLineChars="0"/>
        <w:jc w:val="left"/>
        <w:rPr>
          <w:rFonts w:ascii="宋体" w:hAnsi="宋体"/>
          <w:sz w:val="24"/>
        </w:rPr>
      </w:pPr>
      <w:r>
        <w:rPr>
          <w:rFonts w:hint="eastAsia" w:ascii="宋体" w:hAnsi="宋体"/>
          <w:sz w:val="24"/>
        </w:rPr>
        <w:t>乙方所供货物要求实行终身维保；乙方应提供货物最低使用年限，在此期间内，不应发生非人为操作原因的重大故障，否则甲方有权追溯乙方的责任。</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一</w:t>
      </w:r>
      <w:r>
        <w:rPr>
          <w:rFonts w:ascii="宋体" w:hAnsi="宋体"/>
          <w:color w:val="000000"/>
          <w:sz w:val="24"/>
        </w:rPr>
        <w:t>、</w:t>
      </w:r>
      <w:r>
        <w:rPr>
          <w:rFonts w:ascii="宋体" w:hAnsi="宋体"/>
          <w:sz w:val="24"/>
        </w:rPr>
        <w:t>技术升级和优惠条件</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乙方对所供硬件及第三方软件在设备寿命期内提供免费的软件升级服务（包括设备模板），并在升级后为甲方提供免费的培训。</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乙方承诺升级后的软件没有版权及权属争议等其它问题，并且保证到下次升级时可正常使用。</w:t>
      </w:r>
    </w:p>
    <w:p>
      <w:pPr>
        <w:numPr>
          <w:ilvl w:val="0"/>
          <w:numId w:val="8"/>
        </w:numPr>
        <w:tabs>
          <w:tab w:val="left" w:pos="0"/>
        </w:tabs>
        <w:spacing w:line="360" w:lineRule="auto"/>
        <w:ind w:left="0" w:firstLine="484" w:firstLineChars="202"/>
        <w:rPr>
          <w:rFonts w:ascii="宋体" w:hAnsi="宋体"/>
          <w:sz w:val="24"/>
        </w:rPr>
      </w:pPr>
      <w:r>
        <w:rPr>
          <w:rFonts w:ascii="宋体" w:hAnsi="宋体"/>
          <w:sz w:val="24"/>
        </w:rPr>
        <w:t>甲方在本系统扩容时，乙方提供的同类设备、配件、软件及相关服务等报价应不高于本“</w:t>
      </w:r>
      <w:r>
        <w:rPr>
          <w:rFonts w:hint="eastAsia" w:ascii="宋体" w:hAnsi="宋体"/>
          <w:b/>
          <w:sz w:val="24"/>
          <w:u w:val="single"/>
        </w:rPr>
        <w:t>江苏有线双向核心网络系统融合建设交换机板卡</w:t>
      </w:r>
      <w:r>
        <w:rPr>
          <w:rFonts w:ascii="宋体" w:hAnsi="宋体"/>
          <w:sz w:val="24"/>
        </w:rPr>
        <w:t>”</w:t>
      </w:r>
      <w:r>
        <w:rPr>
          <w:rFonts w:hint="eastAsia" w:ascii="宋体" w:hAnsi="宋体"/>
          <w:sz w:val="24"/>
        </w:rPr>
        <w:t>采购</w:t>
      </w:r>
      <w:r>
        <w:rPr>
          <w:rFonts w:ascii="宋体" w:hAnsi="宋体"/>
          <w:sz w:val="24"/>
        </w:rPr>
        <w:t>项目的中选价格、折扣，且不高于当时市场价格。</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二</w:t>
      </w:r>
      <w:r>
        <w:rPr>
          <w:rFonts w:ascii="宋体" w:hAnsi="宋体"/>
          <w:color w:val="000000"/>
          <w:sz w:val="24"/>
        </w:rPr>
        <w:t>、技术和资料的保密事项</w:t>
      </w:r>
    </w:p>
    <w:p>
      <w:pPr>
        <w:pStyle w:val="28"/>
        <w:widowControl/>
        <w:numPr>
          <w:ilvl w:val="1"/>
          <w:numId w:val="9"/>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买、卖双方同意，在任何时候，不论是合同有效期内还是合同终止以后，对任何一方提供的秘密信息或双方共有的秘密信息均实行严格保密。</w:t>
      </w:r>
    </w:p>
    <w:p>
      <w:pPr>
        <w:pStyle w:val="28"/>
        <w:widowControl/>
        <w:numPr>
          <w:ilvl w:val="1"/>
          <w:numId w:val="9"/>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甲方在未得到乙方许可前提下，不得向任何第三方透露乙方提供的软件及所附全部文档和资料的商业秘密和技术秘密。</w:t>
      </w:r>
    </w:p>
    <w:p>
      <w:pPr>
        <w:pStyle w:val="28"/>
        <w:widowControl/>
        <w:numPr>
          <w:ilvl w:val="1"/>
          <w:numId w:val="9"/>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乙方有责任对技术开发中涉及的甲方商业情报、技术情报及相关文档资料保密。未得到甲方书面许可前提下，不得向任何第三方透露软件开发或使用过程中所涉及的甲方的商业秘密和技术秘密。</w:t>
      </w:r>
    </w:p>
    <w:p>
      <w:pPr>
        <w:pStyle w:val="3"/>
        <w:spacing w:before="0" w:after="0" w:line="360" w:lineRule="auto"/>
        <w:ind w:left="432" w:hanging="432"/>
        <w:rPr>
          <w:bCs/>
        </w:rPr>
      </w:pPr>
      <w:r>
        <w:rPr>
          <w:rFonts w:ascii="宋体" w:hAnsi="宋体"/>
          <w:color w:val="000000"/>
          <w:sz w:val="24"/>
        </w:rPr>
        <w:t>十</w:t>
      </w:r>
      <w:r>
        <w:rPr>
          <w:rFonts w:hint="eastAsia" w:ascii="宋体" w:hAnsi="宋体"/>
          <w:color w:val="000000"/>
          <w:sz w:val="24"/>
        </w:rPr>
        <w:t>三</w:t>
      </w:r>
      <w:r>
        <w:rPr>
          <w:rFonts w:ascii="宋体" w:hAnsi="宋体"/>
          <w:color w:val="000000"/>
          <w:sz w:val="24"/>
        </w:rPr>
        <w:t>、双方责任</w:t>
      </w:r>
    </w:p>
    <w:p>
      <w:pPr>
        <w:rPr>
          <w:sz w:val="24"/>
        </w:rPr>
      </w:pPr>
      <w:r>
        <w:rPr>
          <w:sz w:val="24"/>
        </w:rPr>
        <w:t>甲方责任</w:t>
      </w:r>
    </w:p>
    <w:p>
      <w:pPr>
        <w:pStyle w:val="28"/>
        <w:widowControl/>
        <w:numPr>
          <w:ilvl w:val="1"/>
          <w:numId w:val="10"/>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甲方需为乙方提供项目实施便利，积极配合乙方进行项目实施安装及调试。</w:t>
      </w:r>
    </w:p>
    <w:p>
      <w:pPr>
        <w:pStyle w:val="28"/>
        <w:widowControl/>
        <w:numPr>
          <w:ilvl w:val="1"/>
          <w:numId w:val="10"/>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甲方需为乙方协调各方关系提供便利。</w:t>
      </w:r>
    </w:p>
    <w:p>
      <w:pPr>
        <w:pStyle w:val="28"/>
        <w:widowControl/>
        <w:numPr>
          <w:ilvl w:val="1"/>
          <w:numId w:val="10"/>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甲方应指派管理人员、技术人员参加项目系统安装、系统测试和其它工作。</w:t>
      </w:r>
    </w:p>
    <w:p>
      <w:pPr>
        <w:pStyle w:val="28"/>
        <w:widowControl/>
        <w:numPr>
          <w:ilvl w:val="1"/>
          <w:numId w:val="10"/>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因乙方未按合同质量或要求交付产品，甲方有权拒收，甲方的该项权利不因产品在启运前通过甲方的验收而受到任何限制或影响。</w:t>
      </w:r>
    </w:p>
    <w:p>
      <w:pPr>
        <w:rPr>
          <w:sz w:val="24"/>
        </w:rPr>
      </w:pPr>
      <w:r>
        <w:rPr>
          <w:sz w:val="24"/>
        </w:rPr>
        <w:t>乙方责任</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乙方承诺：除响应文件及后续书面承诺标明的偏离外，乙方提供的产品和服务均满足询价文件要求。</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乙方应按照询价文件、响应文件、乙方后续书面承诺的技术要求以及买、卖双方协定补充文件，提供合格的产品，并保证通过甲方的验收。</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在系统安装、调试、开发过程中，乙方须保证不影响甲方现有系统的正常运行和现有业务的正常发展。</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乙方保证在系统安装、调试、开发过程中不非法使用第三方软件</w:t>
      </w:r>
      <w:r>
        <w:rPr>
          <w:rFonts w:hint="eastAsia" w:ascii="宋体" w:hAnsi="宋体"/>
          <w:sz w:val="24"/>
        </w:rPr>
        <w:t>，否则由此产生的纠纷由乙方自行负责</w:t>
      </w:r>
      <w:r>
        <w:rPr>
          <w:rFonts w:ascii="宋体" w:hAnsi="宋体"/>
          <w:color w:val="000000"/>
          <w:sz w:val="24"/>
        </w:rPr>
        <w:t>。</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乙方在产品安装、调试、开发过程中须派驻足够的有经验的工程技术人员到施工现场进行安装指导，在甲方的组织安排下负责完成系统调试、现场性能试验和验收，服从甲方的现场安排。</w:t>
      </w:r>
      <w:r>
        <w:rPr>
          <w:rFonts w:hint="eastAsia" w:ascii="宋体" w:hAnsi="宋体"/>
          <w:sz w:val="24"/>
        </w:rPr>
        <w:t>非因甲方原因，乙方人员遭受人身、财产损害，或乙方人员造成甲方、第三人人身财产损害的，由乙方承担全部责任。</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乙方按照要求提供产品合格证书、产品检测记录、调试记录等技术资料。</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乙方负责与硬件设备相配套的软件厂家、其它设备的制造商、第三方软件厂家和售后服务部门等联系沟通，完成安装、调试，配置相关的产品。</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乙方负责配合相关厂家，定期检查产品、及时排查硬件故障。</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乙方未按合同规定的质量要求交付产品，甲方拒收时，乙方应承担合同的违约责任。</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迟延履行，甲方书面确定一个合理的期限，如乙方仍不能履行，按乙方不履行合同处理。</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本合同所有产品的制造，都必须由响应文件和询标时做出的书面承诺中明确的制造商承担，否则将按乙方不履行合同处理。</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乙方保证不在软件中对功能、性能、容量进行人为限制，不得含有陷阱、逻辑炸弹、后门等非法程序代码。</w:t>
      </w:r>
    </w:p>
    <w:p>
      <w:pPr>
        <w:pStyle w:val="28"/>
        <w:widowControl/>
        <w:numPr>
          <w:ilvl w:val="1"/>
          <w:numId w:val="11"/>
        </w:numPr>
        <w:tabs>
          <w:tab w:val="left" w:pos="0"/>
        </w:tabs>
        <w:spacing w:line="360" w:lineRule="auto"/>
        <w:ind w:left="0" w:firstLine="484" w:firstLineChars="202"/>
        <w:jc w:val="left"/>
        <w:rPr>
          <w:rFonts w:ascii="宋体" w:hAnsi="宋体"/>
          <w:color w:val="000000"/>
          <w:sz w:val="24"/>
        </w:rPr>
      </w:pPr>
      <w:r>
        <w:rPr>
          <w:rFonts w:ascii="宋体" w:hAnsi="宋体"/>
          <w:color w:val="000000"/>
          <w:sz w:val="24"/>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pStyle w:val="11"/>
        <w:numPr>
          <w:ilvl w:val="1"/>
          <w:numId w:val="11"/>
        </w:numPr>
        <w:spacing w:after="120" w:line="360" w:lineRule="auto"/>
        <w:ind w:left="0" w:firstLine="484" w:firstLineChars="202"/>
        <w:rPr>
          <w:color w:val="000000"/>
          <w:sz w:val="24"/>
          <w:szCs w:val="24"/>
        </w:rPr>
      </w:pPr>
      <w:r>
        <w:rPr>
          <w:rFonts w:hint="eastAsia" w:ascii="宋体" w:hAnsi="宋体"/>
          <w:color w:val="000000"/>
          <w:sz w:val="24"/>
          <w:szCs w:val="24"/>
        </w:rPr>
        <w:t>乙方须承诺，甲方在其本国使用乙方提供的产品时，不存在任何已知的不合法的情形，也不存在任何已知的与第三方专利权、著作权、商标权或工业设计权相关的任何争议。如果有任何因采购人使用乙方提供的货物而提起的侵权指控，乙方须依法承担全部责任。</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四</w:t>
      </w:r>
      <w:r>
        <w:rPr>
          <w:rFonts w:ascii="宋体" w:hAnsi="宋体"/>
          <w:color w:val="000000"/>
          <w:sz w:val="24"/>
        </w:rPr>
        <w:t>、违约责任</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乙方承担本合同约定事项的违约责任，且不因设备或软件是由第三方制造或开发设计等因素而受到影响。</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hint="eastAsia" w:ascii="宋体" w:hAnsi="宋体"/>
          <w:color w:val="000000"/>
          <w:sz w:val="24"/>
        </w:rPr>
        <w:t>由于</w:t>
      </w:r>
      <w:r>
        <w:rPr>
          <w:rFonts w:ascii="宋体" w:hAnsi="宋体"/>
          <w:color w:val="000000"/>
          <w:sz w:val="24"/>
        </w:rPr>
        <w:t>乙方</w:t>
      </w:r>
      <w:r>
        <w:rPr>
          <w:rFonts w:hint="eastAsia" w:ascii="宋体" w:hAnsi="宋体"/>
          <w:color w:val="000000"/>
          <w:sz w:val="24"/>
        </w:rPr>
        <w:t>提供的产品不符合</w:t>
      </w:r>
      <w:r>
        <w:rPr>
          <w:rFonts w:ascii="宋体" w:hAnsi="宋体"/>
          <w:color w:val="000000"/>
          <w:sz w:val="24"/>
        </w:rPr>
        <w:t>竞争性</w:t>
      </w:r>
      <w:r>
        <w:rPr>
          <w:rFonts w:hint="eastAsia" w:ascii="宋体" w:hAnsi="宋体"/>
          <w:color w:val="000000"/>
          <w:sz w:val="24"/>
        </w:rPr>
        <w:t>谈判文件及本合同第三条所规定的要求时，甲方有权要求</w:t>
      </w:r>
      <w:r>
        <w:rPr>
          <w:rFonts w:ascii="宋体" w:hAnsi="宋体"/>
          <w:color w:val="000000"/>
          <w:sz w:val="24"/>
        </w:rPr>
        <w:t>乙方</w:t>
      </w:r>
      <w:r>
        <w:rPr>
          <w:rFonts w:hint="eastAsia" w:ascii="宋体" w:hAnsi="宋体"/>
          <w:color w:val="000000"/>
          <w:sz w:val="24"/>
        </w:rPr>
        <w:t>更换，如果</w:t>
      </w:r>
      <w:r>
        <w:rPr>
          <w:rFonts w:ascii="宋体" w:hAnsi="宋体"/>
          <w:color w:val="000000"/>
          <w:sz w:val="24"/>
        </w:rPr>
        <w:t>乙方</w:t>
      </w:r>
      <w:r>
        <w:rPr>
          <w:rFonts w:hint="eastAsia" w:ascii="宋体" w:hAnsi="宋体"/>
          <w:color w:val="000000"/>
          <w:sz w:val="24"/>
        </w:rPr>
        <w:t>产品在更换后仍不符合要求，同时甲方有权终止合同。</w:t>
      </w:r>
      <w:r>
        <w:rPr>
          <w:rFonts w:ascii="宋体" w:hAnsi="宋体"/>
          <w:color w:val="000000"/>
          <w:sz w:val="24"/>
        </w:rPr>
        <w:t>乙方</w:t>
      </w:r>
      <w:r>
        <w:rPr>
          <w:rFonts w:hint="eastAsia" w:ascii="宋体" w:hAnsi="宋体"/>
          <w:color w:val="000000"/>
          <w:sz w:val="24"/>
        </w:rPr>
        <w:t>应支付合同总额20%的违约金给甲方。</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若甲方已有系统是由乙方提供的，则乙方应按甲方要求进行技术服务，保证业务的正常运营和系统的正常运行，否则甲方有权终止本合同。</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在合同规定的包修期内，如果乙方维修售后服务不及时，产品质量不稳定，则甲方有权酌情扣除质量保证金，并追究乙方赔偿损失的责任。</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在合同规定的包修期内，如因乙方原因造成甲方其他经济损失的，乙方须承担赔偿损失的责任。</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甲方有权根据当地质检部门出具的检验报告，就乙方提供的产品及系统质量问题向乙方提出索赔，检测费用由乙方承担。</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如果在甲方发出索赔通知后20日内，乙方未作书面答复，视为乙方接受索赔要求，乙方应当立即支付赔偿金。</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hint="eastAsia" w:ascii="宋体" w:hAnsi="宋体"/>
          <w:color w:val="000000"/>
          <w:sz w:val="24"/>
        </w:rPr>
        <w:t>因</w:t>
      </w:r>
      <w:r>
        <w:rPr>
          <w:rFonts w:ascii="宋体" w:hAnsi="宋体"/>
          <w:color w:val="000000"/>
          <w:sz w:val="24"/>
        </w:rPr>
        <w:t>乙方</w:t>
      </w:r>
      <w:r>
        <w:rPr>
          <w:rFonts w:hint="eastAsia" w:ascii="宋体" w:hAnsi="宋体"/>
          <w:color w:val="000000"/>
          <w:sz w:val="24"/>
        </w:rPr>
        <w:t>违约导致甲方终止合同的，</w:t>
      </w:r>
      <w:r>
        <w:rPr>
          <w:rFonts w:ascii="宋体" w:hAnsi="宋体"/>
          <w:color w:val="000000"/>
          <w:sz w:val="24"/>
        </w:rPr>
        <w:t>乙方</w:t>
      </w:r>
      <w:r>
        <w:rPr>
          <w:rFonts w:hint="eastAsia" w:ascii="宋体" w:hAnsi="宋体"/>
          <w:color w:val="000000"/>
          <w:sz w:val="24"/>
        </w:rPr>
        <w:t>应将甲方已付的所有合同价款及利息退还甲方后，此后甲方将相关软硬件设备及资料退还</w:t>
      </w:r>
      <w:r>
        <w:rPr>
          <w:rFonts w:ascii="宋体" w:hAnsi="宋体"/>
          <w:color w:val="000000"/>
          <w:sz w:val="24"/>
        </w:rPr>
        <w:t>乙方</w:t>
      </w:r>
      <w:r>
        <w:rPr>
          <w:rFonts w:hint="eastAsia" w:ascii="宋体" w:hAnsi="宋体"/>
          <w:color w:val="000000"/>
          <w:sz w:val="24"/>
        </w:rPr>
        <w:t>，要求乙方承担本合同约定的违约责任，并追究</w:t>
      </w:r>
      <w:r>
        <w:rPr>
          <w:rFonts w:ascii="宋体" w:hAnsi="宋体"/>
          <w:color w:val="000000"/>
          <w:sz w:val="24"/>
        </w:rPr>
        <w:t>乙方</w:t>
      </w:r>
      <w:r>
        <w:rPr>
          <w:rFonts w:hint="eastAsia" w:ascii="宋体" w:hAnsi="宋体"/>
          <w:color w:val="000000"/>
          <w:sz w:val="24"/>
        </w:rPr>
        <w:t>赔偿损失的责任</w:t>
      </w:r>
      <w:r>
        <w:rPr>
          <w:rFonts w:ascii="宋体" w:hAnsi="宋体"/>
          <w:color w:val="000000"/>
          <w:sz w:val="24"/>
        </w:rPr>
        <w:t>。</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由于</w:t>
      </w:r>
      <w:r>
        <w:rPr>
          <w:rFonts w:hint="eastAsia" w:ascii="宋体" w:hAnsi="宋体"/>
          <w:color w:val="000000"/>
          <w:sz w:val="24"/>
        </w:rPr>
        <w:t>乙方</w:t>
      </w:r>
      <w:r>
        <w:rPr>
          <w:rFonts w:ascii="宋体" w:hAnsi="宋体"/>
          <w:color w:val="000000"/>
          <w:sz w:val="24"/>
        </w:rPr>
        <w:t>的原因导致</w:t>
      </w:r>
      <w:r>
        <w:rPr>
          <w:rFonts w:hint="eastAsia" w:ascii="宋体" w:hAnsi="宋体"/>
          <w:color w:val="000000"/>
          <w:sz w:val="24"/>
        </w:rPr>
        <w:t>甲方</w:t>
      </w:r>
      <w:r>
        <w:rPr>
          <w:rFonts w:ascii="宋体" w:hAnsi="宋体"/>
          <w:color w:val="000000"/>
          <w:sz w:val="24"/>
        </w:rPr>
        <w:t>业务数据错误或业务数据丢失，给</w:t>
      </w:r>
      <w:r>
        <w:rPr>
          <w:rFonts w:hint="eastAsia" w:ascii="宋体" w:hAnsi="宋体"/>
          <w:color w:val="000000"/>
          <w:sz w:val="24"/>
        </w:rPr>
        <w:t>甲方</w:t>
      </w:r>
      <w:r>
        <w:rPr>
          <w:rFonts w:ascii="宋体" w:hAnsi="宋体"/>
          <w:color w:val="000000"/>
          <w:sz w:val="24"/>
        </w:rPr>
        <w:t>造成损失的，</w:t>
      </w:r>
      <w:r>
        <w:rPr>
          <w:rFonts w:hint="eastAsia" w:ascii="宋体" w:hAnsi="宋体"/>
          <w:color w:val="000000"/>
          <w:sz w:val="24"/>
        </w:rPr>
        <w:t>乙方</w:t>
      </w:r>
      <w:r>
        <w:rPr>
          <w:rFonts w:ascii="宋体" w:hAnsi="宋体"/>
          <w:color w:val="000000"/>
          <w:sz w:val="24"/>
        </w:rPr>
        <w:t>应赔偿</w:t>
      </w:r>
      <w:r>
        <w:rPr>
          <w:rFonts w:hint="eastAsia" w:ascii="宋体" w:hAnsi="宋体"/>
          <w:color w:val="000000"/>
          <w:sz w:val="24"/>
        </w:rPr>
        <w:t>甲方</w:t>
      </w:r>
      <w:r>
        <w:rPr>
          <w:rFonts w:ascii="宋体" w:hAnsi="宋体"/>
          <w:color w:val="000000"/>
          <w:sz w:val="24"/>
        </w:rPr>
        <w:t>因此遭受的直接损失，如出现一次业务数据错误或业务数据丢失，</w:t>
      </w:r>
      <w:r>
        <w:rPr>
          <w:rFonts w:hint="eastAsia" w:ascii="宋体" w:hAnsi="宋体"/>
          <w:color w:val="000000"/>
          <w:sz w:val="24"/>
        </w:rPr>
        <w:t>甲方</w:t>
      </w:r>
      <w:r>
        <w:rPr>
          <w:rFonts w:ascii="宋体" w:hAnsi="宋体"/>
          <w:color w:val="000000"/>
          <w:sz w:val="24"/>
        </w:rPr>
        <w:t>有权开据处罚单给</w:t>
      </w:r>
      <w:r>
        <w:rPr>
          <w:rFonts w:hint="eastAsia" w:ascii="宋体" w:hAnsi="宋体"/>
          <w:color w:val="000000"/>
          <w:sz w:val="24"/>
        </w:rPr>
        <w:t>乙方</w:t>
      </w:r>
      <w:r>
        <w:rPr>
          <w:rFonts w:ascii="宋体" w:hAnsi="宋体"/>
          <w:color w:val="000000"/>
          <w:sz w:val="24"/>
        </w:rPr>
        <w:t>，并直接从合同款中扣除尾款的10%作为违约金。</w:t>
      </w:r>
    </w:p>
    <w:p>
      <w:pPr>
        <w:pStyle w:val="28"/>
        <w:widowControl/>
        <w:numPr>
          <w:ilvl w:val="1"/>
          <w:numId w:val="12"/>
        </w:numPr>
        <w:tabs>
          <w:tab w:val="left" w:pos="0"/>
        </w:tabs>
        <w:spacing w:line="360" w:lineRule="auto"/>
        <w:ind w:left="0" w:firstLine="426" w:firstLineChars="0"/>
        <w:jc w:val="left"/>
        <w:rPr>
          <w:rFonts w:ascii="宋体" w:hAnsi="宋体"/>
          <w:color w:val="000000"/>
          <w:sz w:val="24"/>
        </w:rPr>
      </w:pPr>
      <w:r>
        <w:rPr>
          <w:rFonts w:hint="eastAsia" w:ascii="宋体" w:hAnsi="宋体"/>
          <w:color w:val="000000"/>
          <w:sz w:val="24"/>
        </w:rPr>
        <w:t>无论本合同其他条款如何规定，因乙方违约（包括但不限于：违反对系统、软件性能、功能的担保等）需对甲方承担的违约责任和违约金总额累计不超过合同总额（但此赔偿不能解除乙方相关责任、义务的继续履行，如修正、更换）。</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五</w:t>
      </w:r>
      <w:r>
        <w:rPr>
          <w:rFonts w:ascii="宋体" w:hAnsi="宋体"/>
          <w:color w:val="000000"/>
          <w:sz w:val="24"/>
        </w:rPr>
        <w:t>、廉洁条款</w:t>
      </w:r>
    </w:p>
    <w:p>
      <w:pPr>
        <w:pStyle w:val="28"/>
        <w:widowControl/>
        <w:numPr>
          <w:ilvl w:val="1"/>
          <w:numId w:val="13"/>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买、卖双方全体工作人员应当共同遵守国家关于企业人员廉洁从业的规定，应通过正常合法的途径开展业务工作，甲方人员不得接受乙方的礼金、有价证券、贵重物品，不得在乙方报销任何费用，不得参加任何对履行工作责任、义务有影响的宴请和娱乐活动。如有甲方工作人员违纪违法接受好处，买、卖双方均应及时向对方领导或对方上级部门举报，被举报的一方不得以任何借口向对方打击报复。</w:t>
      </w:r>
    </w:p>
    <w:p>
      <w:pPr>
        <w:pStyle w:val="28"/>
        <w:widowControl/>
        <w:numPr>
          <w:ilvl w:val="1"/>
          <w:numId w:val="13"/>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乙方不得以任何借口向甲方人员送以礼金、有价证券、贵重物品，不得为甲方人员报销任何费用，不得邀请甲方人员参加任何对履行工作责任、义务有影响的宴请和娱乐活动。一经发现有上述行为，甲方有权一次性扣除全部廉政保证金、有权终止与乙方的合同，并不再邀请乙方参加任何招标活动。</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、不可抗力</w:t>
      </w:r>
    </w:p>
    <w:p>
      <w:pPr>
        <w:pStyle w:val="28"/>
        <w:widowControl/>
        <w:numPr>
          <w:ilvl w:val="1"/>
          <w:numId w:val="14"/>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当发生不可抗拒事故时，受影响一方应于10日内以</w:t>
      </w:r>
      <w:r>
        <w:rPr>
          <w:rFonts w:hint="eastAsia" w:ascii="宋体" w:hAnsi="宋体"/>
          <w:color w:val="000000"/>
          <w:sz w:val="24"/>
        </w:rPr>
        <w:t>书面</w:t>
      </w:r>
      <w:r>
        <w:rPr>
          <w:rFonts w:ascii="宋体" w:hAnsi="宋体"/>
          <w:color w:val="000000"/>
          <w:sz w:val="24"/>
        </w:rPr>
        <w:t>形式通知对方，以减轻可能给对方造成的损失，并应当在合理期限内提供</w:t>
      </w:r>
      <w:r>
        <w:rPr>
          <w:rFonts w:hint="eastAsia" w:ascii="宋体" w:hAnsi="宋体"/>
          <w:sz w:val="24"/>
        </w:rPr>
        <w:t>提供公证机构出具的有效证明文件</w:t>
      </w:r>
      <w:r>
        <w:rPr>
          <w:rFonts w:ascii="宋体" w:hAnsi="宋体"/>
          <w:color w:val="000000"/>
          <w:sz w:val="24"/>
        </w:rPr>
        <w:t>证明。</w:t>
      </w:r>
    </w:p>
    <w:p>
      <w:pPr>
        <w:pStyle w:val="28"/>
        <w:widowControl/>
        <w:numPr>
          <w:ilvl w:val="1"/>
          <w:numId w:val="14"/>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当不可抗力事故终止后，受影响一方应以</w:t>
      </w:r>
      <w:r>
        <w:rPr>
          <w:rFonts w:hint="eastAsia" w:ascii="宋体" w:hAnsi="宋体"/>
          <w:color w:val="000000"/>
          <w:sz w:val="24"/>
        </w:rPr>
        <w:t>书面</w:t>
      </w:r>
      <w:r>
        <w:rPr>
          <w:rFonts w:ascii="宋体" w:hAnsi="宋体"/>
          <w:color w:val="000000"/>
          <w:sz w:val="24"/>
        </w:rPr>
        <w:t>的形式通知对方，双方商定合同是否继续履行。</w:t>
      </w:r>
    </w:p>
    <w:p>
      <w:pPr>
        <w:pStyle w:val="28"/>
        <w:widowControl/>
        <w:numPr>
          <w:ilvl w:val="1"/>
          <w:numId w:val="14"/>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不可抗力，互不追究或承担违约责任。但有违约因素的除外。</w:t>
      </w:r>
    </w:p>
    <w:p>
      <w:pPr>
        <w:pStyle w:val="3"/>
        <w:spacing w:before="0" w:after="0" w:line="360" w:lineRule="auto"/>
        <w:ind w:left="432" w:hanging="432"/>
        <w:rPr>
          <w:rFonts w:ascii="宋体" w:hAnsi="宋体"/>
          <w:color w:val="000000"/>
          <w:sz w:val="24"/>
        </w:rPr>
      </w:pPr>
      <w:r>
        <w:rPr>
          <w:rFonts w:hint="eastAsia" w:ascii="宋体" w:hAnsi="宋体"/>
          <w:color w:val="000000"/>
          <w:sz w:val="24"/>
        </w:rPr>
        <w:t>十七</w:t>
      </w:r>
      <w:r>
        <w:rPr>
          <w:rFonts w:ascii="宋体" w:hAnsi="宋体"/>
          <w:color w:val="000000"/>
          <w:sz w:val="24"/>
        </w:rPr>
        <w:t>、解决纠纷的方式</w:t>
      </w:r>
    </w:p>
    <w:p>
      <w:pPr>
        <w:pStyle w:val="28"/>
        <w:widowControl/>
        <w:numPr>
          <w:ilvl w:val="1"/>
          <w:numId w:val="15"/>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凡由执行本合同引起或与合同有关的争议，均应通过友好协商解决；协商不成的，由甲方所在地人民法院裁决。</w:t>
      </w:r>
    </w:p>
    <w:p>
      <w:pPr>
        <w:pStyle w:val="28"/>
        <w:widowControl/>
        <w:numPr>
          <w:ilvl w:val="1"/>
          <w:numId w:val="15"/>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除争议事项待处理外，双方应继续执行合同无争议部分，除非无争议部分不可单独履行。</w:t>
      </w:r>
    </w:p>
    <w:p>
      <w:pPr>
        <w:pStyle w:val="28"/>
        <w:widowControl/>
        <w:numPr>
          <w:ilvl w:val="1"/>
          <w:numId w:val="15"/>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本合同适用于中华人民共和国</w:t>
      </w:r>
      <w:r>
        <w:rPr>
          <w:rFonts w:hint="eastAsia" w:ascii="宋体" w:hAnsi="宋体"/>
          <w:sz w:val="24"/>
        </w:rPr>
        <w:t>大陆地区现行有效的</w:t>
      </w:r>
      <w:r>
        <w:rPr>
          <w:rFonts w:ascii="宋体" w:hAnsi="宋体"/>
          <w:color w:val="000000"/>
          <w:sz w:val="24"/>
        </w:rPr>
        <w:t>法律。</w:t>
      </w:r>
    </w:p>
    <w:p>
      <w:pPr>
        <w:pStyle w:val="3"/>
        <w:spacing w:before="0" w:after="0" w:line="360" w:lineRule="auto"/>
        <w:ind w:left="432" w:hanging="432"/>
        <w:rPr>
          <w:rFonts w:ascii="宋体" w:hAnsi="宋体"/>
          <w:color w:val="000000"/>
          <w:sz w:val="24"/>
        </w:rPr>
      </w:pPr>
      <w:r>
        <w:rPr>
          <w:rFonts w:ascii="宋体" w:hAnsi="宋体"/>
          <w:color w:val="000000"/>
          <w:sz w:val="24"/>
        </w:rPr>
        <w:t>十</w:t>
      </w:r>
      <w:r>
        <w:rPr>
          <w:rFonts w:hint="eastAsia" w:ascii="宋体" w:hAnsi="宋体"/>
          <w:color w:val="000000"/>
          <w:sz w:val="24"/>
        </w:rPr>
        <w:t>八</w:t>
      </w:r>
      <w:r>
        <w:rPr>
          <w:rFonts w:ascii="宋体" w:hAnsi="宋体"/>
          <w:color w:val="000000"/>
          <w:sz w:val="24"/>
        </w:rPr>
        <w:t>、合同生效及其他：</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合同的生效期：本合同一式四份（甲乙</w:t>
      </w:r>
      <w:r>
        <w:rPr>
          <w:rFonts w:hint="eastAsia" w:ascii="宋体" w:hAnsi="宋体"/>
          <w:color w:val="000000"/>
          <w:sz w:val="24"/>
        </w:rPr>
        <w:t>双</w:t>
      </w:r>
      <w:r>
        <w:rPr>
          <w:rFonts w:ascii="宋体" w:hAnsi="宋体"/>
          <w:color w:val="000000"/>
          <w:sz w:val="24"/>
        </w:rPr>
        <w:t>方</w:t>
      </w:r>
      <w:r>
        <w:rPr>
          <w:rFonts w:hint="eastAsia" w:ascii="宋体" w:hAnsi="宋体"/>
          <w:color w:val="000000"/>
          <w:sz w:val="24"/>
        </w:rPr>
        <w:t>各两</w:t>
      </w:r>
      <w:r>
        <w:rPr>
          <w:rFonts w:ascii="宋体" w:hAnsi="宋体"/>
          <w:color w:val="000000"/>
          <w:sz w:val="24"/>
        </w:rPr>
        <w:t>份），</w:t>
      </w:r>
      <w:r>
        <w:rPr>
          <w:rFonts w:hint="eastAsia" w:ascii="宋体" w:hAnsi="宋体"/>
          <w:sz w:val="24"/>
        </w:rPr>
        <w:t>每份均具有同等法律效力，</w:t>
      </w:r>
      <w:r>
        <w:rPr>
          <w:rFonts w:ascii="宋体" w:hAnsi="宋体"/>
          <w:color w:val="000000"/>
          <w:sz w:val="24"/>
        </w:rPr>
        <w:t>自买、卖双方盖章</w:t>
      </w:r>
      <w:r>
        <w:rPr>
          <w:rFonts w:hint="eastAsia" w:ascii="宋体" w:hAnsi="宋体"/>
          <w:color w:val="000000"/>
          <w:sz w:val="24"/>
        </w:rPr>
        <w:t>之日起生效</w:t>
      </w:r>
      <w:r>
        <w:rPr>
          <w:rFonts w:ascii="宋体" w:hAnsi="宋体"/>
          <w:color w:val="000000"/>
          <w:sz w:val="24"/>
        </w:rPr>
        <w:t>。</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本合同所有附件为本合同不可分割的组成部分，与合同正文有同等的法律效力：</w:t>
      </w:r>
    </w:p>
    <w:p>
      <w:pPr>
        <w:tabs>
          <w:tab w:val="left" w:pos="0"/>
        </w:tabs>
        <w:spacing w:line="360" w:lineRule="auto"/>
        <w:ind w:firstLine="480" w:firstLineChars="200"/>
        <w:rPr>
          <w:rFonts w:ascii="宋体" w:hAnsi="宋体"/>
          <w:color w:val="000000"/>
          <w:sz w:val="24"/>
        </w:rPr>
      </w:pPr>
      <w:r>
        <w:rPr>
          <w:rFonts w:ascii="宋体" w:hAnsi="宋体"/>
          <w:color w:val="000000"/>
          <w:sz w:val="24"/>
        </w:rPr>
        <w:t>（1）乙方提交的</w:t>
      </w:r>
      <w:r>
        <w:rPr>
          <w:rFonts w:hint="eastAsia" w:ascii="宋体" w:hAnsi="宋体"/>
          <w:color w:val="000000"/>
          <w:sz w:val="24"/>
        </w:rPr>
        <w:t>询价</w:t>
      </w:r>
      <w:r>
        <w:rPr>
          <w:rFonts w:ascii="宋体" w:hAnsi="宋体"/>
          <w:color w:val="000000"/>
          <w:sz w:val="24"/>
        </w:rPr>
        <w:t>函；</w:t>
      </w:r>
    </w:p>
    <w:p>
      <w:pPr>
        <w:tabs>
          <w:tab w:val="left" w:pos="0"/>
        </w:tabs>
        <w:spacing w:line="360" w:lineRule="auto"/>
        <w:ind w:firstLine="480" w:firstLineChars="200"/>
        <w:rPr>
          <w:rFonts w:ascii="宋体" w:hAnsi="宋体"/>
          <w:color w:val="000000"/>
          <w:sz w:val="24"/>
        </w:rPr>
      </w:pPr>
      <w:r>
        <w:rPr>
          <w:rFonts w:ascii="宋体" w:hAnsi="宋体"/>
          <w:color w:val="000000"/>
          <w:sz w:val="24"/>
        </w:rPr>
        <w:t>（2）甲方的询价文件、乙方的响应文件、乙方的</w:t>
      </w:r>
      <w:r>
        <w:rPr>
          <w:rFonts w:hint="eastAsia" w:ascii="宋体" w:hAnsi="宋体"/>
          <w:color w:val="000000"/>
          <w:sz w:val="24"/>
        </w:rPr>
        <w:t>询价</w:t>
      </w:r>
      <w:r>
        <w:rPr>
          <w:rFonts w:ascii="宋体" w:hAnsi="宋体"/>
          <w:color w:val="000000"/>
          <w:sz w:val="24"/>
        </w:rPr>
        <w:t>报价表、询</w:t>
      </w:r>
      <w:r>
        <w:rPr>
          <w:rFonts w:hint="eastAsia" w:ascii="宋体" w:hAnsi="宋体"/>
          <w:color w:val="000000"/>
          <w:sz w:val="24"/>
        </w:rPr>
        <w:t>价</w:t>
      </w:r>
      <w:r>
        <w:rPr>
          <w:rFonts w:ascii="宋体" w:hAnsi="宋体"/>
          <w:color w:val="000000"/>
          <w:sz w:val="24"/>
        </w:rPr>
        <w:t>时乙方做出的书面承诺及其它补充修改的部分；</w:t>
      </w:r>
    </w:p>
    <w:p>
      <w:pPr>
        <w:tabs>
          <w:tab w:val="left" w:pos="426"/>
        </w:tabs>
        <w:spacing w:line="360" w:lineRule="auto"/>
        <w:ind w:left="422" w:leftChars="201" w:firstLine="4"/>
        <w:rPr>
          <w:rFonts w:ascii="宋体" w:hAnsi="宋体"/>
          <w:color w:val="000000"/>
          <w:sz w:val="24"/>
        </w:rPr>
      </w:pPr>
      <w:r>
        <w:rPr>
          <w:rFonts w:ascii="宋体" w:hAnsi="宋体"/>
          <w:color w:val="000000"/>
          <w:sz w:val="24"/>
        </w:rPr>
        <w:t>（3）在执行本合同期间，买、卖双方的所有通知均应采用</w:t>
      </w:r>
      <w:r>
        <w:rPr>
          <w:rFonts w:hint="eastAsia" w:ascii="宋体" w:hAnsi="宋体"/>
          <w:color w:val="000000"/>
          <w:sz w:val="24"/>
        </w:rPr>
        <w:t>书面</w:t>
      </w:r>
      <w:r>
        <w:rPr>
          <w:rFonts w:ascii="宋体" w:hAnsi="宋体"/>
          <w:color w:val="000000"/>
          <w:sz w:val="24"/>
        </w:rPr>
        <w:t>的方式。</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本合同与上述文件如对相同内容有不同约定，且约定内容有冲突的，除另有特别约定外，依下列原则处理：</w:t>
      </w:r>
    </w:p>
    <w:p>
      <w:pPr>
        <w:tabs>
          <w:tab w:val="left" w:pos="0"/>
        </w:tabs>
        <w:spacing w:line="360" w:lineRule="auto"/>
        <w:ind w:firstLine="480" w:firstLineChars="200"/>
        <w:rPr>
          <w:rFonts w:ascii="宋体" w:hAnsi="宋体"/>
          <w:color w:val="000000"/>
          <w:sz w:val="24"/>
        </w:rPr>
      </w:pPr>
      <w:r>
        <w:rPr>
          <w:rFonts w:ascii="宋体" w:hAnsi="宋体"/>
          <w:color w:val="000000"/>
          <w:sz w:val="24"/>
        </w:rPr>
        <w:t>（1）合同条款优先于</w:t>
      </w:r>
      <w:r>
        <w:rPr>
          <w:rFonts w:hint="eastAsia" w:ascii="宋体" w:hAnsi="宋体"/>
          <w:color w:val="000000"/>
          <w:sz w:val="24"/>
        </w:rPr>
        <w:t>询价文件、响应</w:t>
      </w:r>
      <w:r>
        <w:rPr>
          <w:rFonts w:ascii="宋体" w:hAnsi="宋体"/>
          <w:color w:val="000000"/>
          <w:sz w:val="24"/>
        </w:rPr>
        <w:t>文件条款；</w:t>
      </w:r>
    </w:p>
    <w:p>
      <w:pPr>
        <w:tabs>
          <w:tab w:val="left" w:pos="0"/>
        </w:tabs>
        <w:spacing w:line="360" w:lineRule="auto"/>
        <w:ind w:firstLine="480" w:firstLineChars="200"/>
        <w:rPr>
          <w:rFonts w:ascii="宋体" w:hAnsi="宋体"/>
          <w:color w:val="000000"/>
          <w:sz w:val="24"/>
        </w:rPr>
      </w:pPr>
      <w:r>
        <w:rPr>
          <w:rFonts w:ascii="宋体" w:hAnsi="宋体"/>
          <w:color w:val="000000"/>
          <w:sz w:val="24"/>
        </w:rPr>
        <w:t>（2）在后文件的效力优先于在先文件的效力。</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买、卖双方对合同条款的理解有争议时，应当按照合同的有关条款、合同的目的、交易习惯以及诚实信用原则，确定该条款的真实含义。</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对本合同的任何修改和增补，以双方盖章的书面文件为准。</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买、卖双方对本合同中产品的具体价格和交易方式有保密的责任，未经对方的书面许可，任何一方不得向第三方透露。</w:t>
      </w:r>
    </w:p>
    <w:p>
      <w:pPr>
        <w:pStyle w:val="28"/>
        <w:widowControl/>
        <w:numPr>
          <w:ilvl w:val="1"/>
          <w:numId w:val="16"/>
        </w:numPr>
        <w:tabs>
          <w:tab w:val="left" w:pos="0"/>
        </w:tabs>
        <w:spacing w:line="360" w:lineRule="auto"/>
        <w:ind w:left="0" w:firstLine="426" w:firstLineChars="0"/>
        <w:jc w:val="left"/>
        <w:rPr>
          <w:rFonts w:ascii="宋体" w:hAnsi="宋体"/>
          <w:color w:val="000000"/>
          <w:sz w:val="24"/>
        </w:rPr>
      </w:pPr>
      <w:r>
        <w:rPr>
          <w:rFonts w:ascii="宋体" w:hAnsi="宋体"/>
          <w:color w:val="000000"/>
          <w:sz w:val="24"/>
        </w:rPr>
        <w:t>本合同中的未尽事宜，买、卖双方协商解决，并按《中华人民共和国</w:t>
      </w:r>
      <w:r>
        <w:rPr>
          <w:rFonts w:hint="eastAsia" w:ascii="宋体" w:hAnsi="宋体"/>
          <w:color w:val="000000"/>
          <w:sz w:val="24"/>
        </w:rPr>
        <w:t>民法典</w:t>
      </w:r>
      <w:r>
        <w:rPr>
          <w:rFonts w:ascii="宋体" w:hAnsi="宋体"/>
          <w:color w:val="000000"/>
          <w:sz w:val="24"/>
        </w:rPr>
        <w:t>》调整。</w:t>
      </w:r>
    </w:p>
    <w:p>
      <w:pPr>
        <w:pStyle w:val="3"/>
        <w:spacing w:before="0" w:after="0" w:line="360" w:lineRule="auto"/>
        <w:ind w:left="432" w:hanging="432"/>
        <w:rPr>
          <w:rFonts w:ascii="宋体" w:hAnsi="宋体"/>
          <w:color w:val="000000"/>
          <w:sz w:val="21"/>
          <w:szCs w:val="21"/>
        </w:rPr>
      </w:pPr>
      <w:r>
        <w:rPr>
          <w:rFonts w:ascii="宋体" w:hAnsi="宋体"/>
          <w:color w:val="000000"/>
          <w:sz w:val="21"/>
          <w:szCs w:val="21"/>
        </w:rPr>
        <w:t>十</w:t>
      </w:r>
      <w:r>
        <w:rPr>
          <w:rFonts w:hint="eastAsia" w:ascii="宋体" w:hAnsi="宋体"/>
          <w:color w:val="000000"/>
          <w:sz w:val="21"/>
          <w:szCs w:val="21"/>
        </w:rPr>
        <w:t>九</w:t>
      </w:r>
      <w:r>
        <w:rPr>
          <w:rFonts w:ascii="宋体" w:hAnsi="宋体"/>
          <w:color w:val="000000"/>
          <w:sz w:val="21"/>
          <w:szCs w:val="21"/>
        </w:rPr>
        <w:t>、附件列表</w:t>
      </w:r>
    </w:p>
    <w:p>
      <w:pPr>
        <w:pStyle w:val="3"/>
        <w:snapToGrid w:val="0"/>
        <w:spacing w:before="0" w:after="0" w:line="360" w:lineRule="auto"/>
        <w:ind w:firstLine="424" w:firstLineChars="202"/>
        <w:rPr>
          <w:rFonts w:ascii="宋体" w:hAnsi="宋体"/>
          <w:b w:val="0"/>
          <w:color w:val="000000"/>
          <w:kern w:val="2"/>
          <w:sz w:val="21"/>
          <w:szCs w:val="21"/>
        </w:rPr>
      </w:pPr>
      <w:r>
        <w:rPr>
          <w:rFonts w:ascii="宋体" w:hAnsi="宋体"/>
          <w:b w:val="0"/>
          <w:color w:val="000000"/>
          <w:kern w:val="2"/>
          <w:sz w:val="21"/>
          <w:szCs w:val="21"/>
        </w:rPr>
        <w:t>相关文件的优先支配地位的次序如下：</w:t>
      </w:r>
    </w:p>
    <w:p>
      <w:pPr>
        <w:snapToGrid w:val="0"/>
        <w:spacing w:line="360" w:lineRule="auto"/>
        <w:ind w:firstLine="424" w:firstLineChars="202"/>
        <w:rPr>
          <w:rFonts w:ascii="宋体" w:hAnsi="宋体"/>
          <w:color w:val="000000"/>
          <w:szCs w:val="21"/>
        </w:rPr>
      </w:pPr>
      <w:r>
        <w:rPr>
          <w:rFonts w:ascii="宋体" w:hAnsi="宋体"/>
          <w:color w:val="000000"/>
          <w:szCs w:val="21"/>
        </w:rPr>
        <w:t>附件</w:t>
      </w:r>
      <w:r>
        <w:rPr>
          <w:rFonts w:hint="eastAsia" w:ascii="宋体" w:hAnsi="宋体"/>
          <w:color w:val="000000"/>
          <w:szCs w:val="21"/>
        </w:rPr>
        <w:t>：</w:t>
      </w:r>
    </w:p>
    <w:p>
      <w:pPr>
        <w:numPr>
          <w:ilvl w:val="0"/>
          <w:numId w:val="17"/>
        </w:numPr>
        <w:snapToGrid w:val="0"/>
        <w:spacing w:line="360" w:lineRule="auto"/>
        <w:rPr>
          <w:rFonts w:ascii="宋体" w:hAnsi="宋体"/>
          <w:color w:val="000000"/>
          <w:szCs w:val="21"/>
        </w:rPr>
      </w:pPr>
      <w:r>
        <w:rPr>
          <w:rFonts w:ascii="宋体" w:hAnsi="宋体"/>
          <w:color w:val="000000"/>
          <w:szCs w:val="21"/>
        </w:rPr>
        <w:t>供货清单</w:t>
      </w:r>
    </w:p>
    <w:p>
      <w:pPr>
        <w:numPr>
          <w:ilvl w:val="0"/>
          <w:numId w:val="17"/>
        </w:numPr>
        <w:snapToGrid w:val="0"/>
        <w:spacing w:line="360" w:lineRule="auto"/>
        <w:rPr>
          <w:rFonts w:ascii="宋体" w:hAnsi="宋体"/>
          <w:color w:val="000000"/>
          <w:szCs w:val="21"/>
        </w:rPr>
      </w:pPr>
      <w:r>
        <w:rPr>
          <w:rFonts w:ascii="宋体" w:hAnsi="宋体"/>
          <w:color w:val="000000"/>
          <w:szCs w:val="21"/>
        </w:rPr>
        <w:t>中选通知书</w:t>
      </w:r>
    </w:p>
    <w:p>
      <w:pPr>
        <w:numPr>
          <w:ilvl w:val="0"/>
          <w:numId w:val="17"/>
        </w:numPr>
      </w:pPr>
      <w:r>
        <w:rPr>
          <w:rFonts w:hint="eastAsia"/>
        </w:rPr>
        <w:t>应答文件</w:t>
      </w:r>
    </w:p>
    <w:p>
      <w:pPr>
        <w:numPr>
          <w:ilvl w:val="0"/>
          <w:numId w:val="17"/>
        </w:numPr>
      </w:pPr>
      <w:r>
        <w:rPr>
          <w:rFonts w:hint="eastAsia"/>
        </w:rPr>
        <w:t>询价文件</w:t>
      </w:r>
    </w:p>
    <w:p>
      <w:pPr>
        <w:spacing w:line="360" w:lineRule="auto"/>
        <w:ind w:left="210" w:hanging="210" w:hangingChars="100"/>
        <w:jc w:val="left"/>
        <w:rPr>
          <w:rFonts w:ascii="宋体" w:hAnsi="宋体"/>
          <w:szCs w:val="21"/>
        </w:rPr>
      </w:pPr>
      <w:r>
        <w:rPr>
          <w:rFonts w:hint="eastAsia" w:ascii="宋体" w:hAnsi="宋体"/>
          <w:szCs w:val="21"/>
        </w:rPr>
        <w:t>甲方</w:t>
      </w:r>
      <w:r>
        <w:rPr>
          <w:rFonts w:ascii="宋体" w:hAnsi="宋体"/>
          <w:szCs w:val="21"/>
        </w:rPr>
        <w:t>：</w:t>
      </w:r>
      <w:r>
        <w:rPr>
          <w:rFonts w:ascii="宋体" w:hAnsi="宋体"/>
          <w:szCs w:val="21"/>
          <w:u w:val="single"/>
        </w:rPr>
        <w:t>江苏省广电</w:t>
      </w:r>
      <w:r>
        <w:rPr>
          <w:rFonts w:hint="eastAsia" w:ascii="宋体" w:hAnsi="宋体"/>
          <w:szCs w:val="21"/>
          <w:u w:val="single"/>
        </w:rPr>
        <w:t>有线</w:t>
      </w:r>
      <w:r>
        <w:rPr>
          <w:rFonts w:ascii="宋体" w:hAnsi="宋体"/>
          <w:szCs w:val="21"/>
          <w:u w:val="single"/>
        </w:rPr>
        <w:t>信息网络股份有限公司</w:t>
      </w:r>
      <w:r>
        <w:rPr>
          <w:rFonts w:ascii="宋体" w:hAnsi="宋体"/>
          <w:szCs w:val="21"/>
        </w:rPr>
        <w:t xml:space="preserve">  </w:t>
      </w:r>
      <w:r>
        <w:rPr>
          <w:rFonts w:hint="eastAsia" w:ascii="宋体" w:hAnsi="宋体"/>
          <w:szCs w:val="21"/>
        </w:rPr>
        <w:t>乙方</w:t>
      </w:r>
      <w:r>
        <w:rPr>
          <w:rFonts w:ascii="宋体" w:hAnsi="宋体"/>
          <w:szCs w:val="21"/>
        </w:rPr>
        <w:t>：</w:t>
      </w:r>
      <w:r>
        <w:rPr>
          <w:rFonts w:hint="eastAsia" w:ascii="宋体" w:hAnsi="宋体"/>
          <w:szCs w:val="21"/>
          <w:u w:val="single"/>
        </w:rPr>
        <w:t xml:space="preserve"> </w:t>
      </w:r>
      <w:r>
        <w:rPr>
          <w:rFonts w:ascii="宋体" w:hAnsi="宋体"/>
          <w:szCs w:val="21"/>
          <w:u w:val="single"/>
        </w:rPr>
        <w:t xml:space="preserve">                       </w:t>
      </w:r>
    </w:p>
    <w:p>
      <w:pPr>
        <w:spacing w:line="360" w:lineRule="auto"/>
        <w:rPr>
          <w:rFonts w:ascii="宋体" w:hAnsi="宋体"/>
          <w:szCs w:val="21"/>
        </w:rPr>
      </w:pPr>
      <w:r>
        <w:rPr>
          <w:rFonts w:ascii="宋体" w:hAnsi="宋体"/>
          <w:szCs w:val="21"/>
        </w:rPr>
        <w:t>（盖章）_________________________          （盖章）_______________________</w:t>
      </w:r>
    </w:p>
    <w:p>
      <w:pPr>
        <w:spacing w:line="360" w:lineRule="auto"/>
        <w:rPr>
          <w:u w:val="single"/>
        </w:rPr>
      </w:pPr>
      <w:r>
        <w:t>地址：</w:t>
      </w:r>
      <w:r>
        <w:rPr>
          <w:rFonts w:ascii="宋体" w:hAnsi="宋体"/>
          <w:szCs w:val="21"/>
        </w:rPr>
        <w:t>__________________</w:t>
      </w:r>
      <w:r>
        <w:rPr>
          <w:u w:val="single"/>
        </w:rPr>
        <w:t xml:space="preserve"> </w:t>
      </w:r>
      <w:r>
        <w:t xml:space="preserve"> </w:t>
      </w:r>
      <w:r>
        <w:rPr>
          <w:rFonts w:hint="eastAsia"/>
        </w:rPr>
        <w:t xml:space="preserve">               </w:t>
      </w:r>
      <w:r>
        <w:t>地址：</w:t>
      </w:r>
      <w:r>
        <w:rPr>
          <w:rFonts w:hint="eastAsia"/>
          <w:u w:val="single"/>
        </w:rPr>
        <w:t xml:space="preserve"> </w:t>
      </w:r>
      <w:r>
        <w:rPr>
          <w:rFonts w:ascii="宋体" w:hAnsi="宋体"/>
          <w:szCs w:val="21"/>
        </w:rPr>
        <w:t>__________________</w:t>
      </w:r>
      <w:r>
        <w:rPr>
          <w:u w:val="single"/>
        </w:rPr>
        <w:t xml:space="preserve"> </w:t>
      </w:r>
    </w:p>
    <w:p>
      <w:pPr>
        <w:spacing w:line="360" w:lineRule="auto"/>
      </w:pPr>
      <w:r>
        <w:t>电话：_</w:t>
      </w:r>
      <w:r>
        <w:rPr>
          <w:rFonts w:ascii="宋体" w:hAnsi="宋体"/>
          <w:szCs w:val="21"/>
        </w:rPr>
        <w:t>__________________</w:t>
      </w:r>
      <w:r>
        <w:rPr>
          <w:u w:val="single"/>
        </w:rPr>
        <w:t>_</w:t>
      </w:r>
      <w:r>
        <w:t>_              电话：</w:t>
      </w:r>
      <w:r>
        <w:rPr>
          <w:rFonts w:ascii="Arial" w:hAnsi="Arial" w:cs="Arial"/>
          <w:szCs w:val="21"/>
          <w:u w:val="single"/>
        </w:rPr>
        <w:t xml:space="preserve"> </w:t>
      </w:r>
      <w:r>
        <w:rPr>
          <w:rFonts w:ascii="宋体" w:hAnsi="宋体"/>
          <w:szCs w:val="21"/>
        </w:rPr>
        <w:t>__________________</w:t>
      </w:r>
      <w:r>
        <w:rPr>
          <w:rFonts w:ascii="Arial" w:hAnsi="Arial" w:cs="Arial"/>
          <w:szCs w:val="21"/>
          <w:u w:val="single"/>
        </w:rPr>
        <w:t xml:space="preserve"> </w:t>
      </w:r>
    </w:p>
    <w:p>
      <w:pPr>
        <w:spacing w:line="360" w:lineRule="auto"/>
      </w:pPr>
      <w:r>
        <w:t>开户银行：</w:t>
      </w:r>
      <w:r>
        <w:rPr>
          <w:rFonts w:ascii="宋体" w:hAnsi="宋体"/>
          <w:szCs w:val="21"/>
        </w:rPr>
        <w:t>__________________</w:t>
      </w:r>
      <w:r>
        <w:t xml:space="preserve">        </w:t>
      </w:r>
      <w:r>
        <w:rPr>
          <w:rFonts w:hint="eastAsia"/>
        </w:rPr>
        <w:t xml:space="preserve">     </w:t>
      </w:r>
      <w:r>
        <w:t xml:space="preserve"> 开户银行：</w:t>
      </w:r>
      <w:r>
        <w:rPr>
          <w:rFonts w:hint="eastAsia" w:ascii="宋体" w:hAnsi="宋体"/>
          <w:szCs w:val="21"/>
          <w:u w:val="single"/>
        </w:rPr>
        <w:t xml:space="preserve"> </w:t>
      </w:r>
      <w:r>
        <w:rPr>
          <w:rFonts w:ascii="宋体" w:hAnsi="宋体"/>
          <w:szCs w:val="21"/>
        </w:rPr>
        <w:t>__________________</w:t>
      </w:r>
      <w:r>
        <w:rPr>
          <w:rFonts w:hint="eastAsia" w:ascii="宋体" w:hAnsi="宋体"/>
          <w:szCs w:val="21"/>
          <w:u w:val="single"/>
        </w:rPr>
        <w:t xml:space="preserve"> </w:t>
      </w:r>
    </w:p>
    <w:p>
      <w:pPr>
        <w:spacing w:line="360" w:lineRule="auto"/>
        <w:rPr>
          <w:rFonts w:ascii="Arial" w:hAnsi="Arial" w:cs="Arial"/>
          <w:szCs w:val="21"/>
          <w:u w:val="single"/>
        </w:rPr>
      </w:pPr>
      <w:r>
        <w:t>银行账号：</w:t>
      </w:r>
      <w:r>
        <w:rPr>
          <w:u w:val="single"/>
        </w:rPr>
        <w:t xml:space="preserve"> </w:t>
      </w:r>
      <w:r>
        <w:rPr>
          <w:rFonts w:ascii="宋体" w:hAnsi="宋体"/>
          <w:szCs w:val="21"/>
        </w:rPr>
        <w:t>__________________</w:t>
      </w:r>
      <w:r>
        <w:rPr>
          <w:u w:val="single"/>
        </w:rPr>
        <w:t xml:space="preserve"> </w:t>
      </w:r>
      <w:r>
        <w:t xml:space="preserve">           银行账号：</w:t>
      </w:r>
      <w:r>
        <w:rPr>
          <w:rFonts w:hint="eastAsia" w:ascii="Arial" w:hAnsi="Arial" w:cs="Arial"/>
          <w:szCs w:val="21"/>
          <w:u w:val="single"/>
        </w:rPr>
        <w:t xml:space="preserve"> </w:t>
      </w:r>
      <w:r>
        <w:rPr>
          <w:rFonts w:ascii="宋体" w:hAnsi="宋体"/>
          <w:szCs w:val="21"/>
        </w:rPr>
        <w:t>__________________</w:t>
      </w:r>
      <w:r>
        <w:rPr>
          <w:rFonts w:hint="eastAsia" w:ascii="宋体" w:hAnsi="宋体"/>
          <w:szCs w:val="21"/>
          <w:u w:val="single"/>
        </w:rPr>
        <w:t xml:space="preserve"> </w:t>
      </w:r>
      <w:r>
        <w:rPr>
          <w:rFonts w:hint="eastAsia" w:ascii="Arial" w:hAnsi="Arial" w:cs="Arial"/>
          <w:szCs w:val="21"/>
          <w:u w:val="single"/>
        </w:rPr>
        <w:t xml:space="preserve"> </w:t>
      </w:r>
    </w:p>
    <w:p>
      <w:pPr>
        <w:spacing w:line="360" w:lineRule="auto"/>
        <w:jc w:val="right"/>
      </w:pPr>
    </w:p>
    <w:p>
      <w:pPr>
        <w:spacing w:line="360" w:lineRule="auto"/>
        <w:jc w:val="right"/>
        <w:rPr>
          <w:rFonts w:ascii="宋体" w:hAnsi="宋体"/>
          <w:sz w:val="24"/>
        </w:rPr>
      </w:pPr>
      <w:r>
        <w:t>签订日期</w:t>
      </w:r>
      <w:r>
        <w:rPr>
          <w:rFonts w:ascii="Arial" w:hAnsi="Arial" w:cs="Arial"/>
          <w:szCs w:val="21"/>
        </w:rPr>
        <w:t>：</w:t>
      </w:r>
      <w:r>
        <w:rPr>
          <w:rFonts w:hint="eastAsia" w:ascii="Arial" w:hAnsi="Arial" w:cs="Arial"/>
          <w:szCs w:val="21"/>
          <w:u w:val="single"/>
        </w:rPr>
        <w:t xml:space="preserve"> 202</w:t>
      </w:r>
      <w:r>
        <w:rPr>
          <w:rFonts w:ascii="Arial" w:hAnsi="Arial" w:cs="Arial"/>
          <w:szCs w:val="21"/>
          <w:u w:val="single"/>
        </w:rPr>
        <w:t>2</w:t>
      </w:r>
      <w:r>
        <w:rPr>
          <w:rFonts w:hint="eastAsia" w:ascii="Arial" w:hAnsi="Arial" w:cs="Arial"/>
          <w:szCs w:val="21"/>
          <w:u w:val="single"/>
        </w:rPr>
        <w:t xml:space="preserve">  </w:t>
      </w:r>
      <w:r>
        <w:rPr>
          <w:rFonts w:ascii="Arial" w:hAnsi="Arial" w:cs="Arial"/>
          <w:szCs w:val="21"/>
        </w:rPr>
        <w:t>年</w:t>
      </w:r>
      <w:r>
        <w:rPr>
          <w:rFonts w:hint="eastAsia"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hint="eastAsia" w:ascii="Arial" w:hAnsi="Arial" w:cs="Arial"/>
          <w:szCs w:val="21"/>
          <w:u w:val="single"/>
        </w:rPr>
        <w:t xml:space="preserve"> </w:t>
      </w:r>
      <w:r>
        <w:rPr>
          <w:rFonts w:ascii="Arial" w:hAnsi="Arial" w:cs="Arial"/>
          <w:szCs w:val="21"/>
          <w:u w:val="single"/>
        </w:rPr>
        <w:t xml:space="preserve"> </w:t>
      </w:r>
      <w:r>
        <w:rPr>
          <w:rFonts w:ascii="Arial" w:hAnsi="Arial" w:cs="Arial"/>
          <w:szCs w:val="21"/>
        </w:rPr>
        <w:t>日</w:t>
      </w:r>
    </w:p>
    <w:p>
      <w:pPr>
        <w:widowControl/>
        <w:jc w:val="left"/>
        <w:rPr>
          <w:rFonts w:ascii="宋体" w:hAnsi="宋体"/>
          <w:color w:val="000000"/>
          <w:szCs w:val="21"/>
        </w:rPr>
      </w:pPr>
    </w:p>
    <w:p>
      <w:pPr>
        <w:widowControl/>
        <w:jc w:val="left"/>
        <w:rPr>
          <w:rFonts w:ascii="宋体" w:hAnsi="宋体"/>
          <w:color w:val="000000"/>
          <w:szCs w:val="21"/>
        </w:rPr>
      </w:pPr>
      <w:r>
        <w:rPr>
          <w:rFonts w:ascii="宋体" w:hAnsi="宋体"/>
          <w:color w:val="000000"/>
          <w:szCs w:val="21"/>
        </w:rPr>
        <w:br w:type="page"/>
      </w:r>
    </w:p>
    <w:p>
      <w:pPr>
        <w:snapToGrid w:val="0"/>
        <w:spacing w:line="360" w:lineRule="auto"/>
        <w:ind w:firstLine="420" w:firstLineChars="200"/>
        <w:rPr>
          <w:rFonts w:ascii="宋体" w:hAnsi="宋体"/>
          <w:color w:val="000000"/>
          <w:szCs w:val="21"/>
        </w:rPr>
      </w:pPr>
      <w:r>
        <w:rPr>
          <w:rFonts w:ascii="宋体" w:hAnsi="宋体"/>
          <w:color w:val="000000"/>
          <w:szCs w:val="21"/>
        </w:rPr>
        <w:t>附件</w:t>
      </w:r>
      <w:r>
        <w:rPr>
          <w:rFonts w:hint="eastAsia" w:ascii="宋体" w:hAnsi="宋体"/>
          <w:color w:val="000000"/>
          <w:szCs w:val="21"/>
        </w:rPr>
        <w:t>1：</w:t>
      </w:r>
      <w:r>
        <w:rPr>
          <w:rFonts w:ascii="宋体" w:hAnsi="宋体"/>
          <w:color w:val="000000"/>
          <w:szCs w:val="21"/>
        </w:rPr>
        <w:t>供货清单</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
        <w:gridCol w:w="3285"/>
        <w:gridCol w:w="1134"/>
        <w:gridCol w:w="850"/>
        <w:gridCol w:w="851"/>
        <w:gridCol w:w="846"/>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trPr>
        <w:tc>
          <w:tcPr>
            <w:tcW w:w="0" w:type="auto"/>
            <w:vAlign w:val="center"/>
          </w:tcPr>
          <w:p>
            <w:pPr>
              <w:pStyle w:val="36"/>
              <w:snapToGrid w:val="0"/>
              <w:jc w:val="center"/>
            </w:pPr>
            <w:r>
              <w:t>序号</w:t>
            </w:r>
          </w:p>
        </w:tc>
        <w:tc>
          <w:tcPr>
            <w:tcW w:w="3285" w:type="dxa"/>
            <w:vAlign w:val="center"/>
          </w:tcPr>
          <w:p>
            <w:pPr>
              <w:pStyle w:val="36"/>
              <w:snapToGrid w:val="0"/>
              <w:jc w:val="center"/>
            </w:pPr>
            <w:r>
              <w:t>主要部件型号</w:t>
            </w:r>
          </w:p>
          <w:p>
            <w:pPr>
              <w:pStyle w:val="36"/>
              <w:snapToGrid w:val="0"/>
              <w:jc w:val="center"/>
            </w:pPr>
            <w:r>
              <w:t>（定货号）</w:t>
            </w:r>
          </w:p>
        </w:tc>
        <w:tc>
          <w:tcPr>
            <w:tcW w:w="1134" w:type="dxa"/>
            <w:vAlign w:val="center"/>
          </w:tcPr>
          <w:p>
            <w:pPr>
              <w:pStyle w:val="36"/>
              <w:snapToGrid w:val="0"/>
              <w:jc w:val="center"/>
            </w:pPr>
            <w:r>
              <w:t>功能的中文说明</w:t>
            </w:r>
          </w:p>
        </w:tc>
        <w:tc>
          <w:tcPr>
            <w:tcW w:w="850" w:type="dxa"/>
            <w:vAlign w:val="center"/>
          </w:tcPr>
          <w:p>
            <w:pPr>
              <w:pStyle w:val="36"/>
              <w:snapToGrid w:val="0"/>
              <w:jc w:val="center"/>
            </w:pPr>
            <w:r>
              <w:t>制造商 / 品牌</w:t>
            </w:r>
          </w:p>
        </w:tc>
        <w:tc>
          <w:tcPr>
            <w:tcW w:w="851" w:type="dxa"/>
          </w:tcPr>
          <w:p>
            <w:pPr>
              <w:pStyle w:val="36"/>
              <w:snapToGrid w:val="0"/>
              <w:jc w:val="center"/>
            </w:pPr>
            <w:r>
              <w:t>单价(人民币元)</w:t>
            </w:r>
          </w:p>
        </w:tc>
        <w:tc>
          <w:tcPr>
            <w:tcW w:w="846" w:type="dxa"/>
          </w:tcPr>
          <w:p>
            <w:pPr>
              <w:pStyle w:val="36"/>
              <w:snapToGrid w:val="0"/>
              <w:jc w:val="center"/>
            </w:pPr>
            <w:r>
              <w:rPr>
                <w:rFonts w:hint="eastAsia"/>
              </w:rPr>
              <w:t>数量</w:t>
            </w:r>
          </w:p>
        </w:tc>
        <w:tc>
          <w:tcPr>
            <w:tcW w:w="0" w:type="auto"/>
          </w:tcPr>
          <w:p>
            <w:pPr>
              <w:pStyle w:val="36"/>
              <w:snapToGrid w:val="0"/>
              <w:jc w:val="center"/>
            </w:pPr>
            <w:r>
              <w:rPr>
                <w:rFonts w:hint="eastAsia"/>
              </w:rPr>
              <w:t>总价（人民币）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6"/>
              <w:snapToGrid w:val="0"/>
            </w:pPr>
            <w:r>
              <w:rPr>
                <w:rFonts w:hint="eastAsia"/>
              </w:rPr>
              <w:t>1</w:t>
            </w:r>
          </w:p>
        </w:tc>
        <w:tc>
          <w:tcPr>
            <w:tcW w:w="3285" w:type="dxa"/>
            <w:vAlign w:val="center"/>
          </w:tcPr>
          <w:p>
            <w:pPr>
              <w:pStyle w:val="36"/>
              <w:snapToGrid w:val="0"/>
            </w:pPr>
            <w:r>
              <w:rPr>
                <w:rFonts w:hint="eastAsia"/>
              </w:rPr>
              <w:t>双</w:t>
            </w:r>
            <w:r>
              <w:rPr>
                <w:rFonts w:hint="eastAsia" w:hAnsi="宋体"/>
                <w:bCs/>
                <w:szCs w:val="21"/>
              </w:rPr>
              <w:t>向业务核心交换机万兆板卡</w:t>
            </w:r>
          </w:p>
        </w:tc>
        <w:tc>
          <w:tcPr>
            <w:tcW w:w="1134" w:type="dxa"/>
            <w:vAlign w:val="center"/>
          </w:tcPr>
          <w:p>
            <w:pPr>
              <w:pStyle w:val="36"/>
              <w:snapToGrid w:val="0"/>
              <w:rPr>
                <w:bCs/>
              </w:rPr>
            </w:pPr>
          </w:p>
        </w:tc>
        <w:tc>
          <w:tcPr>
            <w:tcW w:w="850" w:type="dxa"/>
            <w:vAlign w:val="center"/>
          </w:tcPr>
          <w:p>
            <w:pPr>
              <w:pStyle w:val="36"/>
              <w:snapToGrid w:val="0"/>
            </w:pPr>
          </w:p>
        </w:tc>
        <w:tc>
          <w:tcPr>
            <w:tcW w:w="851" w:type="dxa"/>
            <w:vAlign w:val="center"/>
          </w:tcPr>
          <w:p>
            <w:pPr>
              <w:pStyle w:val="36"/>
              <w:snapToGrid w:val="0"/>
              <w:jc w:val="center"/>
            </w:pPr>
          </w:p>
        </w:tc>
        <w:tc>
          <w:tcPr>
            <w:tcW w:w="846" w:type="dxa"/>
            <w:vAlign w:val="center"/>
          </w:tcPr>
          <w:p>
            <w:pPr>
              <w:pStyle w:val="36"/>
              <w:snapToGrid w:val="0"/>
              <w:jc w:val="center"/>
            </w:pPr>
            <w:r>
              <w:t>6</w:t>
            </w:r>
            <w:r>
              <w:rPr>
                <w:rFonts w:hint="eastAsia"/>
              </w:rPr>
              <w:t>块</w:t>
            </w:r>
          </w:p>
        </w:tc>
        <w:tc>
          <w:tcPr>
            <w:tcW w:w="0" w:type="auto"/>
            <w:vAlign w:val="center"/>
          </w:tcPr>
          <w:p>
            <w:pPr>
              <w:pStyle w:val="36"/>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6"/>
              <w:snapToGrid w:val="0"/>
            </w:pPr>
            <w:r>
              <w:rPr>
                <w:rFonts w:hint="eastAsia"/>
              </w:rPr>
              <w:t>2</w:t>
            </w:r>
          </w:p>
        </w:tc>
        <w:tc>
          <w:tcPr>
            <w:tcW w:w="3285" w:type="dxa"/>
            <w:vAlign w:val="center"/>
          </w:tcPr>
          <w:p>
            <w:pPr>
              <w:pStyle w:val="36"/>
              <w:snapToGrid w:val="0"/>
            </w:pPr>
            <w:r>
              <w:rPr>
                <w:rFonts w:hAnsi="宋体"/>
                <w:bCs/>
                <w:szCs w:val="21"/>
              </w:rPr>
              <w:t>1</w:t>
            </w:r>
            <w:r>
              <w:rPr>
                <w:rFonts w:hint="eastAsia" w:hAnsi="宋体"/>
                <w:bCs/>
                <w:szCs w:val="21"/>
              </w:rPr>
              <w:t>0GE多模光模块</w:t>
            </w:r>
          </w:p>
        </w:tc>
        <w:tc>
          <w:tcPr>
            <w:tcW w:w="1134" w:type="dxa"/>
            <w:vAlign w:val="center"/>
          </w:tcPr>
          <w:p>
            <w:pPr>
              <w:pStyle w:val="36"/>
              <w:snapToGrid w:val="0"/>
            </w:pPr>
          </w:p>
        </w:tc>
        <w:tc>
          <w:tcPr>
            <w:tcW w:w="850" w:type="dxa"/>
            <w:vAlign w:val="center"/>
          </w:tcPr>
          <w:p>
            <w:pPr>
              <w:pStyle w:val="36"/>
              <w:snapToGrid w:val="0"/>
            </w:pPr>
          </w:p>
        </w:tc>
        <w:tc>
          <w:tcPr>
            <w:tcW w:w="851" w:type="dxa"/>
            <w:vAlign w:val="center"/>
          </w:tcPr>
          <w:p>
            <w:pPr>
              <w:pStyle w:val="36"/>
              <w:snapToGrid w:val="0"/>
              <w:jc w:val="center"/>
            </w:pPr>
          </w:p>
        </w:tc>
        <w:tc>
          <w:tcPr>
            <w:tcW w:w="846" w:type="dxa"/>
            <w:vAlign w:val="center"/>
          </w:tcPr>
          <w:p>
            <w:pPr>
              <w:pStyle w:val="36"/>
              <w:snapToGrid w:val="0"/>
              <w:jc w:val="center"/>
            </w:pPr>
            <w:r>
              <w:t>192</w:t>
            </w:r>
            <w:r>
              <w:rPr>
                <w:rFonts w:hint="eastAsia"/>
              </w:rPr>
              <w:t>个</w:t>
            </w:r>
          </w:p>
        </w:tc>
        <w:tc>
          <w:tcPr>
            <w:tcW w:w="0" w:type="auto"/>
            <w:vAlign w:val="center"/>
          </w:tcPr>
          <w:p>
            <w:pPr>
              <w:pStyle w:val="36"/>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vAlign w:val="center"/>
          </w:tcPr>
          <w:p>
            <w:pPr>
              <w:pStyle w:val="36"/>
              <w:snapToGrid w:val="0"/>
            </w:pPr>
            <w:r>
              <w:rPr>
                <w:rFonts w:hint="eastAsia"/>
              </w:rPr>
              <w:t>3</w:t>
            </w:r>
          </w:p>
        </w:tc>
        <w:tc>
          <w:tcPr>
            <w:tcW w:w="3285" w:type="dxa"/>
            <w:vAlign w:val="center"/>
          </w:tcPr>
          <w:p>
            <w:pPr>
              <w:pStyle w:val="36"/>
              <w:snapToGrid w:val="0"/>
              <w:rPr>
                <w:rFonts w:hAnsi="宋体"/>
                <w:bCs/>
                <w:szCs w:val="21"/>
              </w:rPr>
            </w:pPr>
            <w:r>
              <w:rPr>
                <w:rFonts w:hAnsi="宋体"/>
                <w:bCs/>
                <w:szCs w:val="21"/>
              </w:rPr>
              <w:t>1</w:t>
            </w:r>
            <w:r>
              <w:rPr>
                <w:rFonts w:hint="eastAsia" w:hAnsi="宋体"/>
                <w:bCs/>
                <w:szCs w:val="21"/>
              </w:rPr>
              <w:t>0GE单模光模块</w:t>
            </w:r>
          </w:p>
        </w:tc>
        <w:tc>
          <w:tcPr>
            <w:tcW w:w="1134" w:type="dxa"/>
            <w:vAlign w:val="center"/>
          </w:tcPr>
          <w:p>
            <w:pPr>
              <w:pStyle w:val="36"/>
              <w:snapToGrid w:val="0"/>
            </w:pPr>
          </w:p>
        </w:tc>
        <w:tc>
          <w:tcPr>
            <w:tcW w:w="850" w:type="dxa"/>
            <w:vAlign w:val="center"/>
          </w:tcPr>
          <w:p>
            <w:pPr>
              <w:pStyle w:val="36"/>
              <w:snapToGrid w:val="0"/>
            </w:pPr>
          </w:p>
        </w:tc>
        <w:tc>
          <w:tcPr>
            <w:tcW w:w="851" w:type="dxa"/>
            <w:vAlign w:val="center"/>
          </w:tcPr>
          <w:p>
            <w:pPr>
              <w:pStyle w:val="36"/>
              <w:snapToGrid w:val="0"/>
              <w:jc w:val="center"/>
            </w:pPr>
          </w:p>
        </w:tc>
        <w:tc>
          <w:tcPr>
            <w:tcW w:w="846" w:type="dxa"/>
            <w:vAlign w:val="center"/>
          </w:tcPr>
          <w:p>
            <w:pPr>
              <w:pStyle w:val="36"/>
              <w:snapToGrid w:val="0"/>
              <w:jc w:val="center"/>
            </w:pPr>
            <w:r>
              <w:rPr>
                <w:rFonts w:hint="eastAsia"/>
              </w:rPr>
              <w:t>9</w:t>
            </w:r>
            <w:r>
              <w:t>6</w:t>
            </w:r>
            <w:r>
              <w:rPr>
                <w:rFonts w:hint="eastAsia"/>
              </w:rPr>
              <w:t>个</w:t>
            </w:r>
          </w:p>
        </w:tc>
        <w:tc>
          <w:tcPr>
            <w:tcW w:w="0" w:type="auto"/>
            <w:vAlign w:val="center"/>
          </w:tcPr>
          <w:p>
            <w:pPr>
              <w:pStyle w:val="36"/>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0" w:type="auto"/>
            <w:gridSpan w:val="7"/>
            <w:vAlign w:val="center"/>
          </w:tcPr>
          <w:p>
            <w:pPr>
              <w:pStyle w:val="36"/>
              <w:snapToGrid w:val="0"/>
              <w:jc w:val="center"/>
            </w:pPr>
            <w:r>
              <w:t>货物总价（单位：人民币）</w:t>
            </w:r>
            <w:r>
              <w:rPr>
                <w:rFonts w:hint="eastAsia"/>
              </w:rPr>
              <w:t xml:space="preserve"> </w:t>
            </w:r>
          </w:p>
        </w:tc>
      </w:tr>
    </w:tbl>
    <w:p>
      <w:pPr>
        <w:pStyle w:val="11"/>
      </w:pPr>
    </w:p>
    <w:p>
      <w:pPr>
        <w:spacing w:line="360" w:lineRule="auto"/>
        <w:outlineLvl w:val="1"/>
        <w:rPr>
          <w:b/>
          <w:sz w:val="28"/>
          <w:szCs w:val="28"/>
        </w:rPr>
      </w:pPr>
    </w:p>
    <w:p>
      <w:pPr>
        <w:spacing w:line="360" w:lineRule="auto"/>
        <w:outlineLvl w:val="1"/>
        <w:rPr>
          <w:sz w:val="24"/>
        </w:rPr>
      </w:pPr>
    </w:p>
    <w:p>
      <w:pPr>
        <w:spacing w:line="360" w:lineRule="auto"/>
        <w:outlineLvl w:val="1"/>
        <w:rPr>
          <w:szCs w:val="21"/>
        </w:rPr>
      </w:pPr>
    </w:p>
    <w:p>
      <w:pPr>
        <w:spacing w:line="360" w:lineRule="auto"/>
        <w:outlineLvl w:val="1"/>
        <w:rPr>
          <w:szCs w:val="21"/>
        </w:rPr>
      </w:pPr>
    </w:p>
    <w:p>
      <w:pPr>
        <w:spacing w:line="360" w:lineRule="auto"/>
        <w:outlineLvl w:val="1"/>
        <w:rPr>
          <w:szCs w:val="21"/>
        </w:rPr>
      </w:pPr>
    </w:p>
    <w:p>
      <w:pPr>
        <w:jc w:val="center"/>
      </w:pPr>
      <w:r>
        <w:rPr>
          <w:rFonts w:hint="eastAsia"/>
          <w:b/>
          <w:sz w:val="32"/>
        </w:rPr>
        <w:br w:type="page"/>
      </w:r>
      <w:r>
        <w:rPr>
          <w:rFonts w:hint="eastAsia"/>
          <w:b/>
          <w:sz w:val="32"/>
        </w:rPr>
        <w:t>第四部分 响应文件格式</w:t>
      </w:r>
      <w:r>
        <w:br w:type="page"/>
      </w:r>
    </w:p>
    <w:p>
      <w:pPr>
        <w:jc w:val="center"/>
        <w:rPr>
          <w:rFonts w:ascii="宋体" w:hAnsi="宋体" w:cs="宋体"/>
          <w:b/>
          <w:sz w:val="28"/>
        </w:rPr>
      </w:pPr>
      <w:r>
        <w:rPr>
          <w:rFonts w:hint="eastAsia" w:ascii="宋体" w:hAnsi="宋体" w:cs="宋体"/>
          <w:b/>
          <w:sz w:val="28"/>
        </w:rPr>
        <w:t>1. 报价表</w:t>
      </w:r>
    </w:p>
    <w:p>
      <w:pPr>
        <w:spacing w:before="100" w:beforeAutospacing="1" w:after="100" w:afterAutospacing="1"/>
        <w:rPr>
          <w:rFonts w:ascii="宋体" w:hAnsi="宋体" w:cs="宋体"/>
          <w:sz w:val="24"/>
        </w:rPr>
      </w:pPr>
      <w:r>
        <w:rPr>
          <w:rFonts w:hint="eastAsia" w:ascii="宋体" w:hAnsi="宋体" w:cs="宋体"/>
          <w:sz w:val="24"/>
        </w:rPr>
        <w:t>项目名称：</w:t>
      </w:r>
      <w:r>
        <w:rPr>
          <w:rFonts w:hint="eastAsia" w:ascii="宋体" w:hAnsi="宋体" w:cs="宋体"/>
          <w:bCs/>
          <w:sz w:val="24"/>
        </w:rPr>
        <w:t>江苏有线双向核心网络系统融合建设交换机板卡采购</w:t>
      </w:r>
    </w:p>
    <w:p>
      <w:pPr>
        <w:pStyle w:val="11"/>
        <w:jc w:val="right"/>
        <w:rPr>
          <w:rFonts w:ascii="宋体" w:hAnsi="宋体" w:cs="宋体"/>
          <w:color w:val="auto"/>
          <w:sz w:val="24"/>
          <w:szCs w:val="24"/>
          <w:u w:val="single"/>
        </w:rPr>
      </w:pPr>
      <w:r>
        <w:rPr>
          <w:rFonts w:hint="eastAsia" w:ascii="宋体" w:hAnsi="宋体" w:cs="宋体"/>
          <w:color w:val="auto"/>
          <w:sz w:val="24"/>
          <w:szCs w:val="24"/>
          <w:u w:val="single"/>
        </w:rPr>
        <w:t>价格单位：人民币（元）</w:t>
      </w:r>
    </w:p>
    <w:tbl>
      <w:tblPr>
        <w:tblStyle w:val="14"/>
        <w:tblpPr w:leftFromText="180" w:rightFromText="180" w:vertAnchor="text" w:horzAnchor="page" w:tblpX="1482" w:tblpY="301"/>
        <w:tblOverlap w:val="never"/>
        <w:tblW w:w="88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686"/>
        <w:gridCol w:w="1940"/>
        <w:gridCol w:w="1530"/>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序号</w:t>
            </w:r>
          </w:p>
        </w:tc>
        <w:tc>
          <w:tcPr>
            <w:tcW w:w="2686"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设备名称</w:t>
            </w:r>
          </w:p>
        </w:tc>
        <w:tc>
          <w:tcPr>
            <w:tcW w:w="1940"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设备数量</w:t>
            </w:r>
          </w:p>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（单位）</w:t>
            </w:r>
          </w:p>
        </w:tc>
        <w:tc>
          <w:tcPr>
            <w:tcW w:w="1530"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单价</w:t>
            </w:r>
          </w:p>
          <w:p>
            <w:pPr>
              <w:jc w:val="center"/>
            </w:pPr>
            <w:r>
              <w:rPr>
                <w:rFonts w:hint="eastAsia" w:ascii="宋体" w:hAnsi="宋体" w:cs="宋体"/>
                <w:sz w:val="24"/>
              </w:rPr>
              <w:t>（元）</w:t>
            </w:r>
          </w:p>
        </w:tc>
        <w:tc>
          <w:tcPr>
            <w:tcW w:w="1818" w:type="dxa"/>
            <w:vAlign w:val="center"/>
          </w:tcPr>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总金额</w:t>
            </w:r>
          </w:p>
          <w:p>
            <w:pPr>
              <w:pStyle w:val="2"/>
              <w:spacing w:line="360" w:lineRule="auto"/>
              <w:ind w:left="0" w:firstLine="0"/>
              <w:jc w:val="center"/>
              <w:rPr>
                <w:rFonts w:ascii="宋体" w:hAnsi="宋体" w:eastAsia="宋体" w:cs="宋体"/>
                <w:sz w:val="24"/>
              </w:rPr>
            </w:pPr>
            <w:r>
              <w:rPr>
                <w:rFonts w:hint="eastAsia" w:ascii="宋体" w:hAnsi="宋体" w:eastAsia="宋体" w:cs="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1</w:t>
            </w:r>
          </w:p>
        </w:tc>
        <w:tc>
          <w:tcPr>
            <w:tcW w:w="2686" w:type="dxa"/>
            <w:vAlign w:val="center"/>
          </w:tcPr>
          <w:p>
            <w:pPr>
              <w:pStyle w:val="2"/>
              <w:ind w:left="0" w:firstLine="0"/>
              <w:jc w:val="center"/>
              <w:rPr>
                <w:rFonts w:ascii="宋体" w:hAnsi="宋体" w:eastAsia="宋体" w:cs="宋体"/>
                <w:b w:val="0"/>
                <w:bCs/>
                <w:sz w:val="24"/>
              </w:rPr>
            </w:pPr>
            <w:r>
              <w:rPr>
                <w:rFonts w:hint="eastAsia" w:ascii="微软雅黑" w:hAnsi="微软雅黑" w:eastAsia="微软雅黑"/>
                <w:b w:val="0"/>
                <w:sz w:val="21"/>
                <w:szCs w:val="21"/>
                <w:u w:val="single"/>
              </w:rPr>
              <w:t>双向业务核心交换机万兆板卡</w:t>
            </w:r>
          </w:p>
        </w:tc>
        <w:tc>
          <w:tcPr>
            <w:tcW w:w="1940" w:type="dxa"/>
            <w:vAlign w:val="center"/>
          </w:tcPr>
          <w:p>
            <w:pPr>
              <w:pStyle w:val="2"/>
              <w:ind w:left="0" w:firstLine="0"/>
              <w:jc w:val="center"/>
              <w:rPr>
                <w:rFonts w:ascii="宋体" w:hAnsi="宋体" w:eastAsia="宋体" w:cs="宋体"/>
                <w:b w:val="0"/>
                <w:bCs/>
                <w:sz w:val="24"/>
              </w:rPr>
            </w:pPr>
            <w:r>
              <w:rPr>
                <w:rFonts w:ascii="宋体" w:hAnsi="宋体" w:eastAsia="宋体" w:cs="宋体"/>
                <w:b w:val="0"/>
                <w:bCs/>
                <w:sz w:val="24"/>
              </w:rPr>
              <w:t>6</w:t>
            </w:r>
            <w:r>
              <w:rPr>
                <w:rFonts w:hint="eastAsia" w:ascii="宋体" w:hAnsi="宋体" w:eastAsia="宋体" w:cs="宋体"/>
                <w:b w:val="0"/>
                <w:bCs/>
                <w:sz w:val="24"/>
              </w:rPr>
              <w:t>块</w:t>
            </w: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2</w:t>
            </w:r>
          </w:p>
        </w:tc>
        <w:tc>
          <w:tcPr>
            <w:tcW w:w="2686" w:type="dxa"/>
            <w:vAlign w:val="center"/>
          </w:tcPr>
          <w:p>
            <w:pPr>
              <w:pStyle w:val="2"/>
              <w:ind w:left="0" w:firstLine="0"/>
              <w:jc w:val="center"/>
              <w:rPr>
                <w:rFonts w:ascii="微软雅黑" w:hAnsi="微软雅黑" w:eastAsia="微软雅黑"/>
                <w:b w:val="0"/>
                <w:sz w:val="21"/>
                <w:szCs w:val="21"/>
                <w:u w:val="single"/>
              </w:rPr>
            </w:pPr>
            <w:r>
              <w:rPr>
                <w:rFonts w:ascii="微软雅黑" w:hAnsi="微软雅黑" w:eastAsia="微软雅黑"/>
                <w:b w:val="0"/>
                <w:sz w:val="21"/>
                <w:szCs w:val="21"/>
                <w:u w:val="single"/>
              </w:rPr>
              <w:t>1</w:t>
            </w:r>
            <w:r>
              <w:rPr>
                <w:rFonts w:hint="eastAsia" w:ascii="微软雅黑" w:hAnsi="微软雅黑" w:eastAsia="微软雅黑"/>
                <w:b w:val="0"/>
                <w:sz w:val="21"/>
                <w:szCs w:val="21"/>
                <w:u w:val="single"/>
              </w:rPr>
              <w:t>0GE多模光模块</w:t>
            </w:r>
          </w:p>
        </w:tc>
        <w:tc>
          <w:tcPr>
            <w:tcW w:w="1940" w:type="dxa"/>
            <w:vAlign w:val="center"/>
          </w:tcPr>
          <w:p>
            <w:pPr>
              <w:pStyle w:val="2"/>
              <w:ind w:left="0" w:firstLine="0"/>
              <w:jc w:val="center"/>
              <w:rPr>
                <w:rFonts w:ascii="宋体" w:hAnsi="宋体" w:eastAsia="宋体" w:cs="宋体"/>
                <w:b w:val="0"/>
                <w:bCs/>
                <w:sz w:val="24"/>
              </w:rPr>
            </w:pPr>
            <w:r>
              <w:rPr>
                <w:rFonts w:ascii="宋体" w:hAnsi="宋体" w:eastAsia="宋体" w:cs="宋体"/>
                <w:b w:val="0"/>
                <w:bCs/>
                <w:sz w:val="24"/>
              </w:rPr>
              <w:t>192</w:t>
            </w:r>
            <w:r>
              <w:rPr>
                <w:rFonts w:hint="eastAsia" w:ascii="宋体" w:hAnsi="宋体" w:eastAsia="宋体" w:cs="宋体"/>
                <w:b w:val="0"/>
                <w:bCs/>
                <w:sz w:val="24"/>
              </w:rPr>
              <w:t>个</w:t>
            </w: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864" w:type="dxa"/>
            <w:vAlign w:val="center"/>
          </w:tcPr>
          <w:p>
            <w:pPr>
              <w:pStyle w:val="2"/>
              <w:ind w:left="0" w:firstLine="0"/>
              <w:jc w:val="center"/>
              <w:rPr>
                <w:rFonts w:ascii="宋体" w:hAnsi="宋体" w:eastAsia="宋体" w:cs="宋体"/>
                <w:b w:val="0"/>
                <w:bCs/>
                <w:sz w:val="24"/>
              </w:rPr>
            </w:pPr>
            <w:r>
              <w:rPr>
                <w:rFonts w:hint="eastAsia" w:ascii="宋体" w:hAnsi="宋体" w:eastAsia="宋体" w:cs="宋体"/>
                <w:b w:val="0"/>
                <w:bCs/>
                <w:sz w:val="24"/>
              </w:rPr>
              <w:t>3</w:t>
            </w:r>
          </w:p>
        </w:tc>
        <w:tc>
          <w:tcPr>
            <w:tcW w:w="2686" w:type="dxa"/>
            <w:vAlign w:val="center"/>
          </w:tcPr>
          <w:p>
            <w:pPr>
              <w:pStyle w:val="2"/>
              <w:ind w:left="0" w:firstLine="0"/>
              <w:jc w:val="center"/>
              <w:rPr>
                <w:rFonts w:ascii="微软雅黑" w:hAnsi="微软雅黑" w:eastAsia="微软雅黑"/>
                <w:b w:val="0"/>
                <w:sz w:val="21"/>
                <w:szCs w:val="21"/>
                <w:u w:val="single"/>
              </w:rPr>
            </w:pPr>
            <w:r>
              <w:rPr>
                <w:rFonts w:ascii="微软雅黑" w:hAnsi="微软雅黑" w:eastAsia="微软雅黑"/>
                <w:b w:val="0"/>
                <w:sz w:val="21"/>
                <w:szCs w:val="21"/>
                <w:u w:val="single"/>
              </w:rPr>
              <w:t>1</w:t>
            </w:r>
            <w:r>
              <w:rPr>
                <w:rFonts w:hint="eastAsia" w:ascii="微软雅黑" w:hAnsi="微软雅黑" w:eastAsia="微软雅黑"/>
                <w:b w:val="0"/>
                <w:sz w:val="21"/>
                <w:szCs w:val="21"/>
                <w:u w:val="single"/>
              </w:rPr>
              <w:t>0GE单模光模块</w:t>
            </w:r>
          </w:p>
        </w:tc>
        <w:tc>
          <w:tcPr>
            <w:tcW w:w="1940" w:type="dxa"/>
            <w:vAlign w:val="center"/>
          </w:tcPr>
          <w:p>
            <w:pPr>
              <w:pStyle w:val="2"/>
              <w:ind w:left="0" w:firstLine="0"/>
              <w:jc w:val="center"/>
              <w:rPr>
                <w:rFonts w:ascii="宋体" w:hAnsi="宋体" w:eastAsia="宋体" w:cs="宋体"/>
                <w:b w:val="0"/>
                <w:bCs/>
                <w:sz w:val="24"/>
              </w:rPr>
            </w:pPr>
            <w:r>
              <w:rPr>
                <w:rFonts w:ascii="宋体" w:hAnsi="宋体" w:eastAsia="宋体" w:cs="宋体"/>
                <w:b w:val="0"/>
                <w:bCs/>
                <w:sz w:val="24"/>
              </w:rPr>
              <w:t>96</w:t>
            </w:r>
            <w:r>
              <w:rPr>
                <w:rFonts w:hint="eastAsia" w:ascii="宋体" w:hAnsi="宋体" w:eastAsia="宋体" w:cs="宋体"/>
                <w:b w:val="0"/>
                <w:bCs/>
                <w:sz w:val="24"/>
              </w:rPr>
              <w:t>个</w:t>
            </w:r>
          </w:p>
        </w:tc>
        <w:tc>
          <w:tcPr>
            <w:tcW w:w="1530" w:type="dxa"/>
            <w:vAlign w:val="center"/>
          </w:tcPr>
          <w:p>
            <w:pPr>
              <w:pStyle w:val="2"/>
              <w:ind w:left="0" w:firstLine="0"/>
              <w:jc w:val="center"/>
              <w:rPr>
                <w:rFonts w:ascii="宋体" w:hAnsi="宋体" w:eastAsia="宋体" w:cs="宋体"/>
                <w:b w:val="0"/>
                <w:bCs/>
                <w:sz w:val="24"/>
              </w:rPr>
            </w:pPr>
          </w:p>
        </w:tc>
        <w:tc>
          <w:tcPr>
            <w:tcW w:w="1818" w:type="dxa"/>
            <w:vAlign w:val="center"/>
          </w:tcPr>
          <w:p>
            <w:pPr>
              <w:pStyle w:val="2"/>
              <w:jc w:val="center"/>
              <w:rPr>
                <w:rFonts w:ascii="宋体" w:hAnsi="宋体" w:eastAsia="宋体" w:cs="宋体"/>
                <w:sz w:val="24"/>
              </w:rPr>
            </w:pPr>
          </w:p>
        </w:tc>
      </w:tr>
    </w:tbl>
    <w:p>
      <w:pPr>
        <w:pStyle w:val="11"/>
        <w:jc w:val="right"/>
        <w:rPr>
          <w:rFonts w:ascii="微软雅黑" w:hAnsi="微软雅黑" w:eastAsia="微软雅黑"/>
          <w:color w:val="auto"/>
          <w:szCs w:val="21"/>
          <w:u w:val="single"/>
        </w:rPr>
      </w:pPr>
    </w:p>
    <w:p>
      <w:pPr>
        <w:jc w:val="left"/>
      </w:pPr>
    </w:p>
    <w:p>
      <w:pPr>
        <w:spacing w:line="360" w:lineRule="auto"/>
        <w:rPr>
          <w:sz w:val="24"/>
        </w:rPr>
      </w:pPr>
      <w:r>
        <w:rPr>
          <w:rFonts w:hint="eastAsia"/>
          <w:sz w:val="24"/>
        </w:rPr>
        <w:t>供应商（盖单位章）：</w:t>
      </w:r>
    </w:p>
    <w:p>
      <w:pPr>
        <w:spacing w:line="360" w:lineRule="auto"/>
        <w:rPr>
          <w:sz w:val="24"/>
        </w:rPr>
      </w:pPr>
      <w:r>
        <w:rPr>
          <w:rFonts w:hint="eastAsia"/>
          <w:sz w:val="24"/>
        </w:rPr>
        <w:t>授权代表签字：</w:t>
      </w:r>
    </w:p>
    <w:p>
      <w:pPr>
        <w:spacing w:line="360" w:lineRule="auto"/>
        <w:rPr>
          <w:sz w:val="24"/>
        </w:rPr>
      </w:pPr>
      <w:r>
        <w:rPr>
          <w:rFonts w:hint="eastAsia"/>
          <w:sz w:val="24"/>
        </w:rPr>
        <w:t>日期：</w:t>
      </w:r>
    </w:p>
    <w:p>
      <w:pPr>
        <w:jc w:val="center"/>
        <w:rPr>
          <w:rFonts w:ascii="宋体" w:hAnsi="宋体" w:cs="宋体"/>
          <w:b/>
          <w:sz w:val="28"/>
          <w:szCs w:val="28"/>
        </w:rPr>
      </w:pPr>
      <w:r>
        <w:br w:type="page"/>
      </w:r>
      <w:r>
        <w:rPr>
          <w:rFonts w:hint="eastAsia" w:ascii="宋体" w:hAnsi="宋体" w:cs="宋体"/>
          <w:b/>
          <w:sz w:val="28"/>
          <w:szCs w:val="28"/>
        </w:rPr>
        <w:t>2. 供应商资格条件要求的资质、授权书或证明材料</w:t>
      </w:r>
    </w:p>
    <w:p>
      <w:pPr>
        <w:jc w:val="center"/>
        <w:rPr>
          <w:rFonts w:ascii="宋体" w:hAnsi="宋体" w:cs="宋体"/>
          <w:b/>
          <w:sz w:val="28"/>
          <w:szCs w:val="28"/>
        </w:rPr>
      </w:pPr>
      <w:r>
        <w:br w:type="page"/>
      </w:r>
      <w:r>
        <w:rPr>
          <w:rFonts w:hint="eastAsia" w:ascii="宋体" w:hAnsi="宋体" w:cs="宋体"/>
          <w:b/>
          <w:sz w:val="28"/>
          <w:szCs w:val="28"/>
        </w:rPr>
        <w:t>3. 技术（服务）规范应答书，按照技术（服务）规范要求逐条应答，必须满足询价文件的全部技术和商务要求</w:t>
      </w:r>
    </w:p>
    <w:p>
      <w:pPr>
        <w:jc w:val="center"/>
        <w:rPr>
          <w:rFonts w:ascii="宋体" w:hAnsi="宋体" w:cs="宋体"/>
          <w:sz w:val="28"/>
          <w:szCs w:val="28"/>
        </w:rPr>
      </w:pPr>
      <w:r>
        <w:br w:type="page"/>
      </w:r>
      <w:r>
        <w:rPr>
          <w:rFonts w:hint="eastAsia" w:ascii="宋体" w:hAnsi="宋体" w:cs="宋体"/>
          <w:b/>
          <w:sz w:val="28"/>
          <w:szCs w:val="28"/>
        </w:rPr>
        <w:t>4. 其他供应商认为有必要的证明材料等</w:t>
      </w:r>
    </w:p>
    <w:p>
      <w:pPr>
        <w:jc w:val="center"/>
      </w:pPr>
      <w:r>
        <w:br w:type="page"/>
      </w:r>
      <w:r>
        <w:rPr>
          <w:rFonts w:hint="eastAsia"/>
          <w:b/>
          <w:sz w:val="32"/>
        </w:rPr>
        <w:t>第五部分 技术（服务）规范</w:t>
      </w:r>
    </w:p>
    <w:p>
      <w:pPr>
        <w:autoSpaceDE w:val="0"/>
        <w:autoSpaceDN w:val="0"/>
        <w:adjustRightInd w:val="0"/>
        <w:snapToGrid w:val="0"/>
        <w:ind w:right="893"/>
        <w:textAlignment w:val="bottom"/>
        <w:rPr>
          <w:rFonts w:ascii="宋体" w:hAnsi="宋体"/>
          <w:color w:val="000000"/>
          <w:sz w:val="16"/>
        </w:rPr>
      </w:pPr>
    </w:p>
    <w:p>
      <w:pPr>
        <w:spacing w:line="360" w:lineRule="auto"/>
        <w:ind w:firstLine="562" w:firstLineChars="200"/>
        <w:rPr>
          <w:rFonts w:ascii="Arial" w:hAnsi="Arial" w:eastAsia="黑体" w:cs="Arial"/>
          <w:sz w:val="28"/>
          <w:szCs w:val="28"/>
        </w:rPr>
      </w:pPr>
      <w:r>
        <w:rPr>
          <w:rFonts w:hint="eastAsia" w:ascii="Arial" w:hAnsi="Arial" w:cs="Arial"/>
          <w:b/>
          <w:sz w:val="28"/>
          <w:szCs w:val="28"/>
        </w:rPr>
        <w:t>一、</w:t>
      </w:r>
      <w:r>
        <w:rPr>
          <w:rFonts w:ascii="Arial" w:hAnsi="Arial" w:cs="Arial"/>
          <w:b/>
          <w:sz w:val="28"/>
          <w:szCs w:val="28"/>
        </w:rPr>
        <w:t>概述</w:t>
      </w:r>
    </w:p>
    <w:p>
      <w:pPr>
        <w:numPr>
          <w:ilvl w:val="2"/>
          <w:numId w:val="18"/>
        </w:numPr>
        <w:spacing w:line="360" w:lineRule="auto"/>
        <w:ind w:left="426" w:firstLine="0"/>
        <w:rPr>
          <w:rFonts w:ascii="Arial" w:hAnsi="Arial" w:cs="Arial"/>
          <w:b/>
          <w:sz w:val="28"/>
          <w:szCs w:val="28"/>
        </w:rPr>
      </w:pPr>
      <w:r>
        <w:rPr>
          <w:rFonts w:ascii="Arial" w:hAnsi="Arial" w:cs="Arial"/>
          <w:b/>
          <w:sz w:val="28"/>
          <w:szCs w:val="28"/>
        </w:rPr>
        <w:t>说明</w:t>
      </w:r>
    </w:p>
    <w:p>
      <w:pPr>
        <w:spacing w:before="100" w:after="100" w:line="360" w:lineRule="auto"/>
        <w:ind w:firstLine="360" w:firstLineChars="150"/>
        <w:jc w:val="left"/>
        <w:rPr>
          <w:rFonts w:ascii="宋体" w:hAnsi="宋体" w:cs="宋体"/>
          <w:b/>
          <w:sz w:val="24"/>
        </w:rPr>
      </w:pPr>
      <w:r>
        <w:rPr>
          <w:rFonts w:hint="eastAsia" w:ascii="宋体" w:hAnsi="宋体" w:cs="宋体"/>
          <w:sz w:val="24"/>
        </w:rPr>
        <w:t>1．本技术</w:t>
      </w:r>
      <w:bookmarkStart w:id="2" w:name="_Toc217209708"/>
      <w:bookmarkStart w:id="3" w:name="_Toc223664628"/>
      <w:r>
        <w:rPr>
          <w:rFonts w:hint="eastAsia" w:ascii="宋体" w:hAnsi="宋体" w:cs="宋体"/>
          <w:sz w:val="24"/>
        </w:rPr>
        <w:t>及服务</w:t>
      </w:r>
      <w:bookmarkEnd w:id="2"/>
      <w:bookmarkEnd w:id="3"/>
      <w:r>
        <w:rPr>
          <w:rFonts w:hint="eastAsia" w:ascii="宋体" w:hAnsi="宋体" w:cs="宋体"/>
          <w:sz w:val="24"/>
        </w:rPr>
        <w:t>书为“</w:t>
      </w:r>
      <w:r>
        <w:rPr>
          <w:rFonts w:hint="eastAsia" w:ascii="宋体" w:hAnsi="宋体" w:cs="宋体"/>
          <w:bCs/>
          <w:sz w:val="24"/>
        </w:rPr>
        <w:t>江苏有线双向核心网络系统融合建设交换机板卡采购</w:t>
      </w:r>
      <w:r>
        <w:rPr>
          <w:rFonts w:hint="eastAsia" w:ascii="宋体" w:hAnsi="宋体" w:cs="宋体"/>
          <w:sz w:val="24"/>
        </w:rPr>
        <w:t>”项目的主要技术要求和供货要求，应答文件的技术部分内容格式应符合本技术需求书的要求，应答人提供的系统功能和性能应完全符合本技术及服务书中指明的标准，并满足或高于技术及服务书中提出的技术指标要求。</w:t>
      </w:r>
    </w:p>
    <w:p>
      <w:pPr>
        <w:widowControl/>
        <w:spacing w:line="360" w:lineRule="auto"/>
        <w:ind w:firstLine="480" w:firstLineChars="200"/>
        <w:jc w:val="left"/>
        <w:rPr>
          <w:rFonts w:ascii="宋体" w:hAnsi="宋体" w:cs="宋体"/>
          <w:sz w:val="24"/>
        </w:rPr>
      </w:pPr>
      <w:r>
        <w:rPr>
          <w:rFonts w:hint="eastAsia" w:ascii="宋体" w:hAnsi="宋体" w:cs="宋体"/>
          <w:sz w:val="24"/>
        </w:rPr>
        <w:t>2．本技术及服务书中选“★”内容为必须满足项，应答人所提供的产品必须满足此项的要求，不满足将作为不能实质性响应文件。</w:t>
      </w:r>
    </w:p>
    <w:p>
      <w:pPr>
        <w:spacing w:line="360" w:lineRule="auto"/>
        <w:ind w:firstLine="480" w:firstLineChars="200"/>
        <w:rPr>
          <w:rFonts w:ascii="宋体" w:hAnsi="宋体" w:cs="宋体"/>
          <w:sz w:val="24"/>
        </w:rPr>
      </w:pPr>
      <w:r>
        <w:rPr>
          <w:rFonts w:hint="eastAsia" w:ascii="宋体" w:hAnsi="宋体" w:cs="宋体"/>
          <w:sz w:val="24"/>
        </w:rPr>
        <w:t>3．应答人应根据本技术及服务书的要求，基于自己的产品和技术提供具体、完整的配置方案。应答人在应答文件中给出的软件配置，必须保证应答文件中各项性能和功能承诺指标的实现。应答人应对硬件产品提出建议，软、硬件产品在各种承诺业务功能同时启用时，不应影响系统性能和稳定性。</w:t>
      </w:r>
    </w:p>
    <w:p>
      <w:pPr>
        <w:spacing w:line="360" w:lineRule="auto"/>
        <w:ind w:firstLine="480" w:firstLineChars="200"/>
        <w:rPr>
          <w:rFonts w:ascii="宋体" w:hAnsi="宋体" w:cs="宋体"/>
          <w:sz w:val="24"/>
        </w:rPr>
      </w:pPr>
      <w:r>
        <w:rPr>
          <w:rFonts w:hint="eastAsia" w:ascii="宋体" w:hAnsi="宋体" w:cs="宋体"/>
          <w:sz w:val="24"/>
        </w:rPr>
        <w:t>4．“★”应答人必须</w:t>
      </w:r>
      <w:r>
        <w:rPr>
          <w:rFonts w:hint="eastAsia" w:ascii="宋体" w:hAnsi="宋体" w:cs="宋体"/>
          <w:bCs/>
          <w:sz w:val="24"/>
        </w:rPr>
        <w:t>承诺提供的所有产品不会侵犯第三方的知识产权</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5．询价人在</w:t>
      </w:r>
      <w:bookmarkStart w:id="4" w:name="_Toc198014298"/>
      <w:bookmarkStart w:id="5" w:name="_Toc223664629"/>
      <w:r>
        <w:rPr>
          <w:rFonts w:hint="eastAsia" w:ascii="宋体" w:hAnsi="宋体" w:cs="宋体"/>
          <w:sz w:val="24"/>
        </w:rPr>
        <w:t>任何时候保留和拥有对本技术及服务书的解释权和修改权。</w:t>
      </w:r>
    </w:p>
    <w:p>
      <w:pPr>
        <w:spacing w:line="360" w:lineRule="auto"/>
        <w:ind w:firstLine="480" w:firstLineChars="200"/>
        <w:rPr>
          <w:rFonts w:ascii="宋体" w:hAnsi="宋体" w:cs="宋体"/>
          <w:sz w:val="24"/>
        </w:rPr>
      </w:pPr>
      <w:r>
        <w:rPr>
          <w:rFonts w:hint="eastAsia" w:ascii="宋体" w:hAnsi="宋体" w:cs="宋体"/>
          <w:sz w:val="24"/>
        </w:rPr>
        <w:t>6．本技术及服务书只是针对询价人“</w:t>
      </w:r>
      <w:r>
        <w:rPr>
          <w:rFonts w:hint="eastAsia" w:ascii="宋体" w:hAnsi="宋体" w:cs="宋体"/>
          <w:bCs/>
          <w:sz w:val="24"/>
        </w:rPr>
        <w:t>江苏有线双向核心网络系统融合建设交换机板卡采购</w:t>
      </w:r>
      <w:r>
        <w:rPr>
          <w:rFonts w:hint="eastAsia" w:ascii="宋体" w:hAnsi="宋体" w:cs="宋体"/>
          <w:sz w:val="24"/>
        </w:rPr>
        <w:t>”项目的要求，询价人有权在签定合同前，根据需要修改和补充本技术及服务书，修改补充后的最终技术及服务书将作为合同的附件。未经询价人书面许可，应答人不得以任何形式向第三方透露本技术及服务书内容。</w:t>
      </w:r>
    </w:p>
    <w:p>
      <w:pPr>
        <w:spacing w:line="360" w:lineRule="auto"/>
        <w:ind w:firstLine="480" w:firstLineChars="200"/>
        <w:rPr>
          <w:rFonts w:ascii="宋体" w:hAnsi="宋体" w:cs="宋体"/>
          <w:sz w:val="24"/>
        </w:rPr>
      </w:pPr>
      <w:r>
        <w:rPr>
          <w:rFonts w:hint="eastAsia" w:ascii="宋体" w:hAnsi="宋体" w:cs="宋体"/>
          <w:sz w:val="24"/>
        </w:rPr>
        <w:t>7．在本技术及服务书中，对各条目的要求有下列表达方式：“必须”、“应” ：表示现阶段项目建设的基本需要，该条目必须实现；“建议”：表示将来项目、软件和技术发展的目标，一般情况下希望该条目实现，但在某些特定情况下可以忽略该条目；“可选” ：表示该条目属于可选。</w:t>
      </w:r>
    </w:p>
    <w:p>
      <w:pPr>
        <w:spacing w:line="360" w:lineRule="auto"/>
        <w:ind w:firstLine="420" w:firstLineChars="175"/>
        <w:rPr>
          <w:rFonts w:ascii="宋体" w:hAnsi="宋体" w:cs="宋体"/>
          <w:sz w:val="24"/>
        </w:rPr>
      </w:pPr>
      <w:r>
        <w:rPr>
          <w:rFonts w:hint="eastAsia" w:ascii="宋体" w:hAnsi="宋体" w:cs="宋体"/>
          <w:sz w:val="24"/>
        </w:rPr>
        <w:t>应答规范：</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应答人应针对技术及服务书作出点对点应答，点对点应答必须带原文。</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在答复中只能出现 “满足”、 “不满足”此类词语。</w:t>
      </w:r>
    </w:p>
    <w:p>
      <w:pPr>
        <w:numPr>
          <w:ilvl w:val="0"/>
          <w:numId w:val="19"/>
        </w:numPr>
        <w:spacing w:line="360" w:lineRule="auto"/>
        <w:ind w:left="0" w:firstLine="420" w:firstLineChars="175"/>
        <w:rPr>
          <w:rFonts w:ascii="Arial" w:hAnsi="Arial" w:cs="Arial"/>
        </w:rPr>
      </w:pPr>
      <w:r>
        <w:rPr>
          <w:rFonts w:hint="eastAsia" w:ascii="宋体" w:hAnsi="宋体" w:cs="宋体"/>
          <w:sz w:val="24"/>
        </w:rPr>
        <w:t>对于“部分同意”、“部分接受”、“部分满足”、“明白”、“理解”、“注意到”等词语均视为“不同意”或“不接受”。对不满足的条款应答人可作具体的说明，以便使询价人明白应答人不能满足的情况和原因。</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若应答人应答中使用“满足”、但提出了新的建议，这种情况，询价人按“满足”处理，可以不与应答人就其建议进行讨论，可以不采纳其建议。</w:t>
      </w:r>
    </w:p>
    <w:p>
      <w:pPr>
        <w:numPr>
          <w:ilvl w:val="0"/>
          <w:numId w:val="19"/>
        </w:numPr>
        <w:spacing w:line="360" w:lineRule="auto"/>
        <w:ind w:left="0" w:firstLine="420" w:firstLineChars="175"/>
        <w:rPr>
          <w:rFonts w:ascii="宋体" w:hAnsi="宋体" w:cs="宋体"/>
          <w:sz w:val="24"/>
        </w:rPr>
      </w:pPr>
      <w:r>
        <w:rPr>
          <w:rFonts w:hint="eastAsia" w:ascii="宋体" w:hAnsi="宋体" w:cs="宋体"/>
          <w:sz w:val="24"/>
        </w:rPr>
        <w:t>如果应答人应答中使用 “满足”，但在其后的解释描述中的内容与询价文件内容不一致，则应答人的解释描述内容无效。</w:t>
      </w:r>
    </w:p>
    <w:p>
      <w:pPr>
        <w:spacing w:line="360" w:lineRule="auto"/>
        <w:ind w:firstLine="480" w:firstLineChars="200"/>
        <w:rPr>
          <w:rFonts w:ascii="宋体" w:hAnsi="宋体" w:cs="宋体"/>
          <w:sz w:val="24"/>
        </w:rPr>
      </w:pPr>
      <w:r>
        <w:rPr>
          <w:rFonts w:hint="eastAsia" w:ascii="宋体" w:hAnsi="宋体" w:cs="宋体"/>
          <w:sz w:val="24"/>
        </w:rPr>
        <w:t>应答人应对以下提出的每一项功能、性能要求，如实地说明其产品的支持程度。如无特别说明，应答人声明支持的功能应为软件已实现的功能。询价人将适时进行验证测试，如发现应答人声明支持的功能和性能要求与测试结果不符，询价人将保留采取进一步措施的权利。</w:t>
      </w:r>
    </w:p>
    <w:p>
      <w:pPr>
        <w:numPr>
          <w:ilvl w:val="2"/>
          <w:numId w:val="18"/>
        </w:numPr>
        <w:spacing w:line="360" w:lineRule="auto"/>
        <w:ind w:left="426" w:firstLine="0"/>
        <w:rPr>
          <w:rFonts w:ascii="Arial" w:hAnsi="Arial" w:cs="Arial"/>
          <w:b/>
          <w:sz w:val="28"/>
          <w:szCs w:val="28"/>
        </w:rPr>
      </w:pPr>
      <w:r>
        <w:rPr>
          <w:rFonts w:ascii="Arial" w:hAnsi="Arial" w:cs="Arial"/>
          <w:b/>
          <w:sz w:val="28"/>
          <w:szCs w:val="28"/>
        </w:rPr>
        <w:t>技术应答要求</w:t>
      </w:r>
    </w:p>
    <w:p>
      <w:pPr>
        <w:spacing w:line="360" w:lineRule="auto"/>
        <w:ind w:firstLine="420" w:firstLineChars="175"/>
        <w:rPr>
          <w:rFonts w:ascii="宋体" w:hAnsi="宋体" w:cs="宋体"/>
          <w:sz w:val="24"/>
        </w:rPr>
      </w:pPr>
      <w:r>
        <w:rPr>
          <w:rFonts w:hint="eastAsia" w:ascii="宋体" w:hAnsi="宋体" w:cs="宋体"/>
          <w:sz w:val="24"/>
        </w:rPr>
        <w:t>应答人所提供</w:t>
      </w:r>
      <w:bookmarkEnd w:id="4"/>
      <w:bookmarkEnd w:id="5"/>
      <w:r>
        <w:rPr>
          <w:rFonts w:hint="eastAsia" w:ascii="宋体" w:hAnsi="宋体" w:cs="宋体"/>
          <w:sz w:val="24"/>
        </w:rPr>
        <w:t>的产品和系统建设方案应符合如下技术标准：</w:t>
      </w:r>
    </w:p>
    <w:p>
      <w:pPr>
        <w:pStyle w:val="35"/>
        <w:numPr>
          <w:ilvl w:val="0"/>
          <w:numId w:val="20"/>
        </w:numPr>
        <w:spacing w:line="360" w:lineRule="auto"/>
        <w:ind w:left="0" w:firstLine="420" w:firstLineChars="175"/>
        <w:rPr>
          <w:rFonts w:ascii="宋体" w:hAnsi="宋体" w:cs="宋体"/>
          <w:sz w:val="24"/>
          <w:szCs w:val="24"/>
        </w:rPr>
      </w:pPr>
      <w:r>
        <w:rPr>
          <w:rFonts w:hint="eastAsia" w:ascii="宋体" w:hAnsi="宋体" w:cs="宋体"/>
          <w:sz w:val="24"/>
          <w:szCs w:val="24"/>
        </w:rPr>
        <w:t>符合有关国际标准(如ISO、ITU-T、ETSI、IMTC、IETF、IEEE 等国际组织发布的标准、规范和建议等)，应答人应在应答文件中具体说明，并附上相应的详细技术资料。</w:t>
      </w:r>
    </w:p>
    <w:p>
      <w:pPr>
        <w:pStyle w:val="35"/>
        <w:numPr>
          <w:ilvl w:val="0"/>
          <w:numId w:val="20"/>
        </w:numPr>
        <w:spacing w:line="360" w:lineRule="auto"/>
        <w:ind w:left="0" w:firstLine="420" w:firstLineChars="175"/>
        <w:rPr>
          <w:rFonts w:ascii="宋体" w:hAnsi="宋体" w:cs="宋体"/>
          <w:sz w:val="24"/>
          <w:szCs w:val="24"/>
        </w:rPr>
      </w:pPr>
      <w:r>
        <w:rPr>
          <w:rFonts w:hint="eastAsia" w:ascii="宋体" w:hAnsi="宋体" w:cs="宋体"/>
          <w:sz w:val="24"/>
          <w:szCs w:val="24"/>
        </w:rPr>
        <w:t>若应答人的设备和系统中包含自己的专用标准，应在应答文件中具体说明，并附上相应的详细技术资料。</w:t>
      </w:r>
    </w:p>
    <w:p>
      <w:pPr>
        <w:pStyle w:val="35"/>
        <w:spacing w:line="360" w:lineRule="auto"/>
        <w:ind w:firstLine="0" w:firstLineChars="0"/>
        <w:rPr>
          <w:rFonts w:ascii="Arial" w:hAnsi="Arial" w:cs="Arial"/>
          <w:b/>
          <w:sz w:val="28"/>
          <w:szCs w:val="28"/>
        </w:rPr>
      </w:pPr>
      <w:r>
        <w:rPr>
          <w:rFonts w:hint="eastAsia" w:ascii="Arial" w:hAnsi="Arial" w:cs="Arial"/>
          <w:b/>
          <w:sz w:val="28"/>
          <w:szCs w:val="28"/>
        </w:rPr>
        <w:t>二、技术需求</w:t>
      </w:r>
    </w:p>
    <w:p>
      <w:pPr>
        <w:pStyle w:val="35"/>
        <w:spacing w:line="360" w:lineRule="auto"/>
        <w:ind w:firstLine="0" w:firstLineChars="0"/>
        <w:rPr>
          <w:rFonts w:ascii="宋体" w:hAnsi="宋体" w:cs="Arial"/>
          <w:sz w:val="24"/>
          <w:szCs w:val="24"/>
        </w:rPr>
      </w:pPr>
      <w:bookmarkStart w:id="6" w:name="_Toc232508607"/>
      <w:bookmarkStart w:id="7" w:name="_Toc232569077"/>
      <w:bookmarkStart w:id="8" w:name="_Toc232569029"/>
      <w:bookmarkStart w:id="9" w:name="_Toc232569011"/>
      <w:bookmarkStart w:id="10" w:name="_Toc198014400"/>
      <w:bookmarkStart w:id="11" w:name="_Toc232569819"/>
      <w:bookmarkStart w:id="12" w:name="_Toc223664666"/>
      <w:r>
        <w:rPr>
          <w:rFonts w:hint="eastAsia" w:ascii="宋体" w:hAnsi="宋体" w:cs="Arial"/>
          <w:sz w:val="24"/>
          <w:szCs w:val="24"/>
        </w:rPr>
        <w:t>2.1★设备配置要求</w:t>
      </w:r>
    </w:p>
    <w:p>
      <w:pPr>
        <w:pStyle w:val="35"/>
        <w:spacing w:line="360" w:lineRule="auto"/>
        <w:ind w:firstLine="480"/>
        <w:rPr>
          <w:rFonts w:ascii="宋体" w:hAnsi="宋体" w:cs="Arial"/>
          <w:sz w:val="24"/>
          <w:szCs w:val="24"/>
        </w:rPr>
      </w:pPr>
      <w:r>
        <w:rPr>
          <w:rFonts w:hint="eastAsia" w:ascii="宋体" w:hAnsi="宋体" w:cs="Arial"/>
          <w:sz w:val="24"/>
          <w:szCs w:val="24"/>
        </w:rPr>
        <w:t>供应商提供的双向业务核心交换机万兆板卡每块必须支持至少</w:t>
      </w:r>
      <w:r>
        <w:rPr>
          <w:rFonts w:ascii="宋体" w:hAnsi="宋体" w:cs="Arial"/>
          <w:sz w:val="24"/>
          <w:szCs w:val="24"/>
        </w:rPr>
        <w:t>48</w:t>
      </w:r>
      <w:r>
        <w:rPr>
          <w:rFonts w:hint="eastAsia" w:ascii="宋体" w:hAnsi="宋体" w:cs="Arial"/>
          <w:sz w:val="24"/>
          <w:szCs w:val="24"/>
        </w:rPr>
        <w:t>个线速转发万兆端口，必须适配</w:t>
      </w:r>
      <w:r>
        <w:rPr>
          <w:rFonts w:ascii="宋体" w:hAnsi="宋体" w:cs="Arial"/>
          <w:sz w:val="24"/>
          <w:szCs w:val="24"/>
        </w:rPr>
        <w:t>H3C-S12508</w:t>
      </w:r>
      <w:r>
        <w:rPr>
          <w:rFonts w:hint="eastAsia" w:ascii="宋体" w:hAnsi="宋体" w:cs="Arial"/>
          <w:sz w:val="24"/>
          <w:szCs w:val="24"/>
        </w:rPr>
        <w:t>G</w:t>
      </w:r>
      <w:r>
        <w:rPr>
          <w:rFonts w:ascii="宋体" w:hAnsi="宋体" w:cs="Arial"/>
          <w:sz w:val="24"/>
          <w:szCs w:val="24"/>
        </w:rPr>
        <w:t>-AF</w:t>
      </w:r>
      <w:r>
        <w:rPr>
          <w:rFonts w:hint="eastAsia" w:ascii="宋体" w:hAnsi="宋体" w:cs="Arial"/>
          <w:sz w:val="24"/>
          <w:szCs w:val="24"/>
        </w:rPr>
        <w:t>交换机，本项目共采购交换机万兆板卡</w:t>
      </w:r>
      <w:r>
        <w:rPr>
          <w:rFonts w:ascii="宋体" w:hAnsi="宋体" w:cs="Arial"/>
          <w:sz w:val="24"/>
          <w:szCs w:val="24"/>
        </w:rPr>
        <w:t>6</w:t>
      </w:r>
      <w:r>
        <w:rPr>
          <w:rFonts w:hint="eastAsia" w:ascii="宋体" w:hAnsi="宋体" w:cs="Arial"/>
          <w:sz w:val="24"/>
          <w:szCs w:val="24"/>
        </w:rPr>
        <w:t>块，包含配套原厂光模块。</w:t>
      </w:r>
    </w:p>
    <w:p>
      <w:pPr>
        <w:pStyle w:val="35"/>
        <w:spacing w:line="360" w:lineRule="auto"/>
        <w:ind w:firstLine="0" w:firstLineChars="0"/>
        <w:rPr>
          <w:rFonts w:ascii="宋体" w:hAnsi="宋体" w:cs="Arial"/>
          <w:sz w:val="24"/>
          <w:szCs w:val="24"/>
        </w:rPr>
      </w:pPr>
      <w:r>
        <w:rPr>
          <w:rFonts w:hint="eastAsia" w:ascii="宋体" w:hAnsi="宋体" w:cs="Arial"/>
          <w:sz w:val="24"/>
          <w:szCs w:val="24"/>
        </w:rPr>
        <w:t>2.2★性能/功能需求</w:t>
      </w:r>
    </w:p>
    <w:p>
      <w:pPr>
        <w:pStyle w:val="35"/>
        <w:spacing w:line="360" w:lineRule="auto"/>
        <w:ind w:firstLine="0" w:firstLineChars="0"/>
        <w:rPr>
          <w:rFonts w:ascii="宋体" w:hAnsi="宋体" w:cs="Arial"/>
          <w:sz w:val="24"/>
          <w:szCs w:val="24"/>
        </w:rPr>
      </w:pPr>
      <w:r>
        <w:rPr>
          <w:rFonts w:hint="eastAsia" w:ascii="宋体" w:hAnsi="宋体" w:cs="Arial"/>
          <w:sz w:val="24"/>
          <w:szCs w:val="24"/>
        </w:rPr>
        <w:t>2.2.1双向业务核心交换机万兆板卡技术需求表</w:t>
      </w:r>
    </w:p>
    <w:tbl>
      <w:tblPr>
        <w:tblStyle w:val="14"/>
        <w:tblW w:w="80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6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5"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项目</w:t>
            </w:r>
          </w:p>
        </w:tc>
        <w:tc>
          <w:tcPr>
            <w:tcW w:w="6941"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5" w:type="dxa"/>
            <w:vMerge w:val="continue"/>
            <w:vAlign w:val="center"/>
          </w:tcPr>
          <w:p>
            <w:pPr>
              <w:widowControl/>
              <w:jc w:val="left"/>
              <w:rPr>
                <w:rFonts w:ascii="宋体" w:hAnsi="宋体" w:cs="宋体"/>
                <w:b/>
                <w:bCs/>
                <w:color w:val="000000"/>
                <w:kern w:val="0"/>
                <w:szCs w:val="21"/>
              </w:rPr>
            </w:pPr>
          </w:p>
        </w:tc>
        <w:tc>
          <w:tcPr>
            <w:tcW w:w="6941" w:type="dxa"/>
            <w:vMerge w:val="continue"/>
            <w:vAlign w:val="center"/>
          </w:tcPr>
          <w:p>
            <w:pPr>
              <w:widowControl/>
              <w:jc w:val="left"/>
              <w:rPr>
                <w:rFonts w:ascii="宋体" w:hAnsi="宋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5"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架构要求</w:t>
            </w: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★适配</w:t>
            </w:r>
            <w:r>
              <w:rPr>
                <w:rFonts w:hint="eastAsia"/>
                <w:szCs w:val="21"/>
              </w:rPr>
              <w:t>H3C-S125</w:t>
            </w:r>
            <w:r>
              <w:rPr>
                <w:szCs w:val="21"/>
              </w:rPr>
              <w:t>08</w:t>
            </w:r>
            <w:r>
              <w:rPr>
                <w:rFonts w:hint="eastAsia"/>
                <w:szCs w:val="21"/>
              </w:rPr>
              <w:t>G-AF交换机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5" w:type="dxa"/>
            <w:vMerge w:val="continue"/>
            <w:vAlign w:val="center"/>
          </w:tcPr>
          <w:p>
            <w:pPr>
              <w:widowControl/>
              <w:jc w:val="left"/>
              <w:rPr>
                <w:rFonts w:ascii="宋体" w:hAnsi="宋体" w:cs="宋体"/>
                <w:b/>
                <w:bCs/>
                <w:color w:val="000000"/>
                <w:kern w:val="0"/>
                <w:szCs w:val="21"/>
              </w:rPr>
            </w:pP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★适配交换机现有软件版本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5" w:type="dxa"/>
            <w:vMerge w:val="continue"/>
            <w:vAlign w:val="center"/>
          </w:tcPr>
          <w:p>
            <w:pPr>
              <w:widowControl/>
              <w:jc w:val="left"/>
              <w:rPr>
                <w:rFonts w:ascii="宋体" w:hAnsi="宋体" w:cs="宋体"/>
                <w:b/>
                <w:bCs/>
                <w:color w:val="000000"/>
                <w:kern w:val="0"/>
                <w:szCs w:val="21"/>
              </w:rPr>
            </w:pP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★支持所有端口全线速转发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5" w:type="dxa"/>
            <w:vMerge w:val="restart"/>
            <w:vAlign w:val="center"/>
          </w:tcPr>
          <w:p>
            <w:pPr>
              <w:widowControl/>
              <w:jc w:val="center"/>
              <w:rPr>
                <w:rFonts w:ascii="宋体" w:hAnsi="宋体" w:cs="宋体"/>
                <w:b/>
                <w:bCs/>
                <w:color w:val="000000"/>
                <w:kern w:val="0"/>
                <w:szCs w:val="21"/>
              </w:rPr>
            </w:pPr>
            <w:r>
              <w:rPr>
                <w:rFonts w:hint="eastAsia" w:ascii="宋体" w:hAnsi="宋体" w:cs="宋体"/>
                <w:b/>
                <w:bCs/>
                <w:color w:val="000000"/>
                <w:kern w:val="0"/>
                <w:szCs w:val="21"/>
              </w:rPr>
              <w:t>性能要求</w:t>
            </w: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★可提供≥</w:t>
            </w:r>
            <w:r>
              <w:rPr>
                <w:rFonts w:ascii="宋体" w:hAnsi="宋体" w:cs="宋体"/>
                <w:color w:val="000000"/>
                <w:kern w:val="0"/>
                <w:szCs w:val="21"/>
              </w:rPr>
              <w:t>48</w:t>
            </w:r>
            <w:r>
              <w:rPr>
                <w:rFonts w:hint="eastAsia" w:ascii="宋体" w:hAnsi="宋体" w:cs="宋体"/>
                <w:color w:val="000000"/>
                <w:kern w:val="0"/>
                <w:szCs w:val="21"/>
              </w:rPr>
              <w:t>个全线速万兆端口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105" w:type="dxa"/>
            <w:vMerge w:val="continue"/>
            <w:vAlign w:val="center"/>
          </w:tcPr>
          <w:p>
            <w:pPr>
              <w:widowControl/>
              <w:jc w:val="center"/>
              <w:rPr>
                <w:rFonts w:ascii="宋体" w:hAnsi="宋体" w:cs="宋体"/>
                <w:b/>
                <w:bCs/>
                <w:color w:val="000000"/>
                <w:kern w:val="0"/>
                <w:szCs w:val="21"/>
              </w:rPr>
            </w:pP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★接口类型</w:t>
            </w:r>
            <w:r>
              <w:rPr>
                <w:rFonts w:ascii="宋体" w:hAnsi="宋体" w:cs="宋体"/>
                <w:color w:val="000000"/>
                <w:kern w:val="0"/>
                <w:szCs w:val="21"/>
              </w:rPr>
              <w:t>10</w:t>
            </w:r>
            <w:r>
              <w:rPr>
                <w:rFonts w:hint="eastAsia" w:ascii="宋体" w:hAnsi="宋体" w:cs="宋体"/>
                <w:color w:val="000000"/>
                <w:kern w:val="0"/>
                <w:szCs w:val="21"/>
              </w:rPr>
              <w:t>GSFP+光接口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05" w:type="dxa"/>
            <w:vMerge w:val="continue"/>
            <w:vAlign w:val="center"/>
          </w:tcPr>
          <w:p>
            <w:pPr>
              <w:widowControl/>
              <w:jc w:val="left"/>
              <w:rPr>
                <w:rFonts w:ascii="宋体" w:hAnsi="宋体" w:cs="宋体"/>
                <w:b/>
                <w:bCs/>
                <w:color w:val="000000"/>
                <w:kern w:val="0"/>
                <w:szCs w:val="21"/>
              </w:rPr>
            </w:pPr>
          </w:p>
        </w:tc>
        <w:tc>
          <w:tcPr>
            <w:tcW w:w="6941" w:type="dxa"/>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★具备全线速3层交换能力</w:t>
            </w:r>
          </w:p>
        </w:tc>
      </w:tr>
    </w:tbl>
    <w:p>
      <w:pPr>
        <w:pStyle w:val="35"/>
        <w:spacing w:line="360" w:lineRule="auto"/>
        <w:ind w:firstLine="480"/>
        <w:rPr>
          <w:rFonts w:ascii="宋体" w:hAnsi="宋体" w:cs="Arial"/>
          <w:sz w:val="24"/>
          <w:szCs w:val="24"/>
        </w:rPr>
      </w:pPr>
      <w:r>
        <w:rPr>
          <w:rFonts w:hint="eastAsia" w:ascii="宋体" w:hAnsi="宋体" w:cs="Arial"/>
          <w:sz w:val="24"/>
          <w:szCs w:val="24"/>
        </w:rPr>
        <w:t>双向业务核心交换机万兆板卡采购需求表</w:t>
      </w:r>
    </w:p>
    <w:tbl>
      <w:tblPr>
        <w:tblStyle w:val="14"/>
        <w:tblW w:w="7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2213"/>
        <w:gridCol w:w="992"/>
        <w:gridCol w:w="3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958" w:type="dxa"/>
            <w:vAlign w:val="center"/>
          </w:tcPr>
          <w:p>
            <w:pPr>
              <w:jc w:val="center"/>
              <w:rPr>
                <w:szCs w:val="21"/>
              </w:rPr>
            </w:pPr>
            <w:r>
              <w:rPr>
                <w:rFonts w:hint="eastAsia"/>
                <w:szCs w:val="21"/>
              </w:rPr>
              <w:t>序号</w:t>
            </w:r>
          </w:p>
        </w:tc>
        <w:tc>
          <w:tcPr>
            <w:tcW w:w="2213" w:type="dxa"/>
            <w:vAlign w:val="center"/>
          </w:tcPr>
          <w:p>
            <w:pPr>
              <w:jc w:val="center"/>
              <w:rPr>
                <w:szCs w:val="21"/>
              </w:rPr>
            </w:pPr>
            <w:r>
              <w:rPr>
                <w:szCs w:val="21"/>
              </w:rPr>
              <w:t>采购设备名称</w:t>
            </w:r>
          </w:p>
        </w:tc>
        <w:tc>
          <w:tcPr>
            <w:tcW w:w="992" w:type="dxa"/>
            <w:vAlign w:val="center"/>
          </w:tcPr>
          <w:p>
            <w:pPr>
              <w:jc w:val="center"/>
              <w:rPr>
                <w:szCs w:val="21"/>
              </w:rPr>
            </w:pPr>
            <w:r>
              <w:rPr>
                <w:szCs w:val="21"/>
              </w:rPr>
              <w:t>数量</w:t>
            </w:r>
          </w:p>
        </w:tc>
        <w:tc>
          <w:tcPr>
            <w:tcW w:w="3832" w:type="dxa"/>
            <w:vAlign w:val="center"/>
          </w:tcPr>
          <w:p>
            <w:pPr>
              <w:jc w:val="center"/>
              <w:rPr>
                <w:szCs w:val="21"/>
              </w:rPr>
            </w:pPr>
            <w:r>
              <w:rPr>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rPr>
            </w:pPr>
            <w:r>
              <w:rPr>
                <w:szCs w:val="21"/>
              </w:rPr>
              <w:t>1</w:t>
            </w:r>
          </w:p>
        </w:tc>
        <w:tc>
          <w:tcPr>
            <w:tcW w:w="2213" w:type="dxa"/>
            <w:vAlign w:val="center"/>
          </w:tcPr>
          <w:p>
            <w:pPr>
              <w:jc w:val="center"/>
              <w:rPr>
                <w:rFonts w:hAnsi="宋体"/>
                <w:bCs/>
                <w:szCs w:val="21"/>
              </w:rPr>
            </w:pPr>
            <w:r>
              <w:rPr>
                <w:rFonts w:hint="eastAsia"/>
              </w:rPr>
              <w:t>双</w:t>
            </w:r>
            <w:r>
              <w:rPr>
                <w:rFonts w:hint="eastAsia" w:hAnsi="宋体"/>
                <w:bCs/>
                <w:szCs w:val="21"/>
              </w:rPr>
              <w:t>向业务核心交换机万兆板卡</w:t>
            </w:r>
          </w:p>
        </w:tc>
        <w:tc>
          <w:tcPr>
            <w:tcW w:w="992" w:type="dxa"/>
            <w:vAlign w:val="center"/>
          </w:tcPr>
          <w:p>
            <w:pPr>
              <w:jc w:val="center"/>
              <w:rPr>
                <w:szCs w:val="21"/>
              </w:rPr>
            </w:pPr>
            <w:r>
              <w:rPr>
                <w:szCs w:val="21"/>
              </w:rPr>
              <w:t>6</w:t>
            </w:r>
            <w:r>
              <w:rPr>
                <w:rFonts w:hint="eastAsia"/>
                <w:szCs w:val="21"/>
              </w:rPr>
              <w:t>块</w:t>
            </w:r>
          </w:p>
        </w:tc>
        <w:tc>
          <w:tcPr>
            <w:tcW w:w="3832" w:type="dxa"/>
            <w:vAlign w:val="center"/>
          </w:tcPr>
          <w:p>
            <w:pPr>
              <w:rPr>
                <w:rFonts w:ascii="宋体" w:hAnsi="宋体"/>
                <w:szCs w:val="21"/>
              </w:rPr>
            </w:pPr>
            <w:r>
              <w:rPr>
                <w:rFonts w:hint="eastAsia" w:ascii="宋体" w:hAnsi="宋体" w:cs="宋体"/>
                <w:color w:val="000000"/>
                <w:kern w:val="0"/>
                <w:szCs w:val="21"/>
              </w:rPr>
              <w:t>适配</w:t>
            </w:r>
            <w:r>
              <w:rPr>
                <w:rFonts w:hint="eastAsia"/>
                <w:szCs w:val="21"/>
              </w:rPr>
              <w:t>H3C-S125</w:t>
            </w:r>
            <w:r>
              <w:rPr>
                <w:szCs w:val="21"/>
              </w:rPr>
              <w:t>08</w:t>
            </w:r>
            <w:r>
              <w:rPr>
                <w:rFonts w:hint="eastAsia"/>
                <w:szCs w:val="21"/>
              </w:rPr>
              <w:t>G-AF交换机，</w:t>
            </w:r>
            <w:r>
              <w:rPr>
                <w:rFonts w:hint="eastAsia" w:ascii="宋体" w:hAnsi="宋体"/>
                <w:szCs w:val="21"/>
              </w:rPr>
              <w:t>每块支持至少</w:t>
            </w:r>
            <w:r>
              <w:rPr>
                <w:rFonts w:ascii="宋体" w:hAnsi="宋体"/>
                <w:szCs w:val="21"/>
              </w:rPr>
              <w:t>48</w:t>
            </w:r>
            <w:r>
              <w:rPr>
                <w:rFonts w:hint="eastAsia" w:ascii="宋体" w:hAnsi="宋体"/>
                <w:szCs w:val="21"/>
              </w:rPr>
              <w:t>个万兆端口，所有端口支持全线速数据转发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rPr>
            </w:pPr>
            <w:r>
              <w:rPr>
                <w:rFonts w:hint="eastAsia"/>
                <w:szCs w:val="21"/>
              </w:rPr>
              <w:t>2</w:t>
            </w:r>
          </w:p>
        </w:tc>
        <w:tc>
          <w:tcPr>
            <w:tcW w:w="2213" w:type="dxa"/>
            <w:vAlign w:val="center"/>
          </w:tcPr>
          <w:p>
            <w:pPr>
              <w:jc w:val="center"/>
              <w:rPr>
                <w:rFonts w:hAnsi="宋体"/>
                <w:bCs/>
                <w:szCs w:val="21"/>
              </w:rPr>
            </w:pPr>
            <w:r>
              <w:rPr>
                <w:rFonts w:hAnsi="宋体"/>
                <w:bCs/>
                <w:szCs w:val="21"/>
              </w:rPr>
              <w:t>1</w:t>
            </w:r>
            <w:r>
              <w:rPr>
                <w:rFonts w:hint="eastAsia" w:hAnsi="宋体"/>
                <w:bCs/>
                <w:szCs w:val="21"/>
              </w:rPr>
              <w:t>0GE多模光模块</w:t>
            </w:r>
          </w:p>
        </w:tc>
        <w:tc>
          <w:tcPr>
            <w:tcW w:w="992" w:type="dxa"/>
            <w:vAlign w:val="center"/>
          </w:tcPr>
          <w:p>
            <w:pPr>
              <w:jc w:val="center"/>
              <w:rPr>
                <w:szCs w:val="21"/>
              </w:rPr>
            </w:pPr>
            <w:r>
              <w:rPr>
                <w:szCs w:val="21"/>
              </w:rPr>
              <w:t>192</w:t>
            </w:r>
            <w:r>
              <w:rPr>
                <w:rFonts w:hint="eastAsia"/>
                <w:szCs w:val="21"/>
              </w:rPr>
              <w:t>个</w:t>
            </w:r>
          </w:p>
        </w:tc>
        <w:tc>
          <w:tcPr>
            <w:tcW w:w="3832" w:type="dxa"/>
            <w:vAlign w:val="center"/>
          </w:tcPr>
          <w:p>
            <w:pPr>
              <w:rPr>
                <w:rFonts w:ascii="宋体" w:hAnsi="宋体"/>
                <w:szCs w:val="21"/>
              </w:rPr>
            </w:pPr>
            <w:r>
              <w:rPr>
                <w:rFonts w:hint="eastAsia" w:ascii="宋体" w:hAnsi="宋体"/>
                <w:szCs w:val="21"/>
              </w:rPr>
              <w:t>原厂光模块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58" w:type="dxa"/>
            <w:vAlign w:val="center"/>
          </w:tcPr>
          <w:p>
            <w:pPr>
              <w:jc w:val="center"/>
              <w:rPr>
                <w:szCs w:val="21"/>
              </w:rPr>
            </w:pPr>
            <w:r>
              <w:rPr>
                <w:szCs w:val="21"/>
              </w:rPr>
              <w:t>3</w:t>
            </w:r>
          </w:p>
        </w:tc>
        <w:tc>
          <w:tcPr>
            <w:tcW w:w="2213" w:type="dxa"/>
            <w:vAlign w:val="center"/>
          </w:tcPr>
          <w:p>
            <w:pPr>
              <w:jc w:val="center"/>
              <w:rPr>
                <w:szCs w:val="21"/>
              </w:rPr>
            </w:pPr>
            <w:r>
              <w:rPr>
                <w:rFonts w:hAnsi="宋体"/>
                <w:bCs/>
                <w:szCs w:val="21"/>
              </w:rPr>
              <w:t>1</w:t>
            </w:r>
            <w:r>
              <w:rPr>
                <w:rFonts w:hint="eastAsia" w:hAnsi="宋体"/>
                <w:bCs/>
                <w:szCs w:val="21"/>
              </w:rPr>
              <w:t>0GE单模光模块</w:t>
            </w:r>
          </w:p>
        </w:tc>
        <w:tc>
          <w:tcPr>
            <w:tcW w:w="992" w:type="dxa"/>
            <w:vAlign w:val="center"/>
          </w:tcPr>
          <w:p>
            <w:pPr>
              <w:jc w:val="center"/>
              <w:rPr>
                <w:szCs w:val="21"/>
              </w:rPr>
            </w:pPr>
            <w:r>
              <w:rPr>
                <w:szCs w:val="21"/>
              </w:rPr>
              <w:t>96</w:t>
            </w:r>
            <w:r>
              <w:rPr>
                <w:rFonts w:hint="eastAsia"/>
                <w:szCs w:val="21"/>
              </w:rPr>
              <w:t>个</w:t>
            </w:r>
          </w:p>
        </w:tc>
        <w:tc>
          <w:tcPr>
            <w:tcW w:w="3832" w:type="dxa"/>
            <w:vAlign w:val="center"/>
          </w:tcPr>
          <w:p>
            <w:pPr>
              <w:rPr>
                <w:szCs w:val="21"/>
              </w:rPr>
            </w:pPr>
            <w:r>
              <w:rPr>
                <w:rFonts w:hint="eastAsia" w:ascii="宋体" w:hAnsi="宋体"/>
                <w:szCs w:val="21"/>
              </w:rPr>
              <w:t>原厂光模块</w:t>
            </w:r>
          </w:p>
        </w:tc>
      </w:tr>
    </w:tbl>
    <w:p>
      <w:pPr>
        <w:pStyle w:val="35"/>
        <w:spacing w:line="360" w:lineRule="auto"/>
        <w:ind w:firstLine="0" w:firstLineChars="0"/>
        <w:rPr>
          <w:rFonts w:ascii="宋体" w:hAnsi="宋体" w:cs="Arial"/>
          <w:sz w:val="24"/>
          <w:szCs w:val="24"/>
        </w:rPr>
      </w:pPr>
    </w:p>
    <w:p>
      <w:pPr>
        <w:pStyle w:val="35"/>
        <w:spacing w:line="360" w:lineRule="auto"/>
        <w:ind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3</w:t>
      </w:r>
      <w:r>
        <w:rPr>
          <w:rFonts w:hint="eastAsia" w:ascii="宋体" w:hAnsi="宋体" w:cs="Arial"/>
          <w:sz w:val="24"/>
          <w:szCs w:val="24"/>
        </w:rPr>
        <w:t>★协议支持</w:t>
      </w:r>
    </w:p>
    <w:p>
      <w:pPr>
        <w:spacing w:line="360" w:lineRule="auto"/>
        <w:rPr>
          <w:rFonts w:ascii="宋体" w:hAnsi="宋体"/>
          <w:sz w:val="24"/>
        </w:rPr>
      </w:pPr>
      <w:r>
        <w:rPr>
          <w:rFonts w:hint="eastAsia" w:ascii="宋体" w:hAnsi="宋体"/>
          <w:sz w:val="24"/>
        </w:rPr>
        <w:t>所有硬件设备必须符合计算机及通信专业相关的国家、国际标准，如采用工业标准或厂家自定标准的，在响应文件中明确指出。应支持下列国际标准：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IEEE 802.2/3</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局域网协议标准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IEEE 802.3ab/802.3z           </w:t>
      </w:r>
      <w:r>
        <w:rPr>
          <w:rFonts w:hint="eastAsia" w:ascii="宋体" w:hAnsi="宋体"/>
          <w:sz w:val="24"/>
        </w:rPr>
        <w:t>千兆比以太网标准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IEEE 802.3ab                 </w:t>
      </w:r>
      <w:r>
        <w:rPr>
          <w:rFonts w:hint="eastAsia" w:ascii="宋体" w:hAnsi="宋体"/>
          <w:sz w:val="24"/>
        </w:rPr>
        <w:t>以太网链路聚集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IEEE 802.3ad</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端口捆绑标准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IEEE 802.1p                  </w:t>
      </w:r>
      <w:r>
        <w:rPr>
          <w:rFonts w:hint="eastAsia" w:ascii="宋体" w:hAnsi="宋体"/>
          <w:sz w:val="24"/>
        </w:rPr>
        <w:t>服务等级和优先级标准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IEEE 802.1q</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IEEE</w:t>
      </w:r>
      <w:r>
        <w:rPr>
          <w:rFonts w:hint="eastAsia" w:ascii="宋体" w:hAnsi="宋体"/>
          <w:sz w:val="24"/>
        </w:rPr>
        <w:t>虚拟局域网标准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IEEE 802.3Z</w:t>
      </w:r>
      <w:r>
        <w:rPr>
          <w:rFonts w:ascii="宋体" w:hAnsi="宋体"/>
          <w:sz w:val="24"/>
        </w:rPr>
        <w:tab/>
      </w:r>
      <w:r>
        <w:rPr>
          <w:rFonts w:ascii="宋体" w:hAnsi="宋体"/>
          <w:sz w:val="24"/>
        </w:rPr>
        <w:tab/>
      </w:r>
      <w:r>
        <w:rPr>
          <w:rFonts w:ascii="宋体" w:hAnsi="宋体"/>
          <w:sz w:val="24"/>
        </w:rPr>
        <w:tab/>
      </w:r>
      <w:r>
        <w:rPr>
          <w:rFonts w:ascii="宋体" w:hAnsi="宋体"/>
          <w:sz w:val="24"/>
        </w:rPr>
        <w:t xml:space="preserve">        1000BaseX </w:t>
      </w:r>
      <w:r>
        <w:rPr>
          <w:rFonts w:hint="eastAsia" w:ascii="宋体" w:hAnsi="宋体"/>
          <w:sz w:val="24"/>
        </w:rPr>
        <w:t>标准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IEEE 802.3ae                 </w:t>
      </w:r>
      <w:r>
        <w:rPr>
          <w:rFonts w:hint="eastAsia" w:ascii="宋体" w:hAnsi="宋体"/>
          <w:sz w:val="24"/>
        </w:rPr>
        <w:t>万兆以太网</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 2328                    OSPF</w:t>
      </w:r>
      <w:r>
        <w:rPr>
          <w:rFonts w:hint="eastAsia" w:ascii="宋体" w:hAnsi="宋体"/>
          <w:sz w:val="24"/>
        </w:rPr>
        <w:t>版本</w:t>
      </w:r>
      <w:r>
        <w:rPr>
          <w:rFonts w:ascii="宋体" w:hAnsi="宋体"/>
          <w:sz w:val="24"/>
        </w:rPr>
        <w:t>2</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 768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UDP</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RFC0791                 </w:t>
      </w:r>
      <w:r>
        <w:rPr>
          <w:rFonts w:ascii="宋体" w:hAnsi="宋体"/>
          <w:sz w:val="24"/>
        </w:rPr>
        <w:tab/>
      </w:r>
      <w:r>
        <w:rPr>
          <w:rFonts w:hint="eastAsia" w:ascii="宋体" w:hAnsi="宋体"/>
          <w:sz w:val="24"/>
        </w:rPr>
        <w:t>网间网协议（</w:t>
      </w:r>
      <w:r>
        <w:rPr>
          <w:rFonts w:ascii="宋体" w:hAnsi="宋体"/>
          <w:sz w:val="24"/>
        </w:rPr>
        <w:t>IP</w:t>
      </w:r>
      <w:r>
        <w:rPr>
          <w:rFonts w:hint="eastAsia" w:ascii="宋体" w:hAnsi="宋体"/>
          <w:sz w:val="24"/>
        </w:rPr>
        <w:t>）</w:t>
      </w:r>
      <w:r>
        <w:rPr>
          <w:rFonts w:ascii="宋体" w:hAnsi="宋体"/>
          <w:sz w:val="24"/>
        </w:rPr>
        <w:t xml:space="preserve"> 1981.9</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RFC0792                 </w:t>
      </w:r>
      <w:r>
        <w:rPr>
          <w:rFonts w:ascii="宋体" w:hAnsi="宋体"/>
          <w:sz w:val="24"/>
        </w:rPr>
        <w:tab/>
      </w:r>
      <w:r>
        <w:rPr>
          <w:rFonts w:hint="eastAsia" w:ascii="宋体" w:hAnsi="宋体"/>
          <w:sz w:val="24"/>
        </w:rPr>
        <w:t>互联网控制消息协议</w:t>
      </w:r>
      <w:r>
        <w:rPr>
          <w:rFonts w:ascii="宋体" w:hAnsi="宋体"/>
          <w:sz w:val="24"/>
        </w:rPr>
        <w:t xml:space="preserve"> 1981.9</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 793 </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 xml:space="preserve">TCP </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RFC0826                 </w:t>
      </w:r>
      <w:r>
        <w:rPr>
          <w:rFonts w:ascii="宋体" w:hAnsi="宋体"/>
          <w:sz w:val="24"/>
        </w:rPr>
        <w:tab/>
      </w:r>
      <w:r>
        <w:rPr>
          <w:rFonts w:hint="eastAsia" w:ascii="宋体" w:hAnsi="宋体"/>
          <w:sz w:val="24"/>
        </w:rPr>
        <w:t>以太网地址解析协议（</w:t>
      </w:r>
      <w:r>
        <w:rPr>
          <w:rFonts w:ascii="宋体" w:hAnsi="宋体"/>
          <w:sz w:val="24"/>
        </w:rPr>
        <w:t>ARP</w:t>
      </w:r>
      <w:r>
        <w:rPr>
          <w:rFonts w:hint="eastAsia" w:ascii="宋体" w:hAnsi="宋体"/>
          <w:sz w:val="24"/>
        </w:rPr>
        <w:t>）</w:t>
      </w:r>
      <w:r>
        <w:rPr>
          <w:rFonts w:ascii="宋体" w:hAnsi="宋体"/>
          <w:sz w:val="24"/>
        </w:rPr>
        <w:t>1982.11</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RFC950                  </w:t>
      </w:r>
      <w:r>
        <w:rPr>
          <w:rFonts w:ascii="宋体" w:hAnsi="宋体"/>
          <w:sz w:val="24"/>
        </w:rPr>
        <w:tab/>
      </w:r>
      <w:r>
        <w:rPr>
          <w:rFonts w:ascii="宋体" w:hAnsi="宋体"/>
          <w:sz w:val="24"/>
        </w:rPr>
        <w:t>IP</w:t>
      </w:r>
      <w:r>
        <w:rPr>
          <w:rFonts w:hint="eastAsia" w:ascii="宋体" w:hAnsi="宋体"/>
          <w:sz w:val="24"/>
        </w:rPr>
        <w:t>相关子网</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RFC922                  </w:t>
      </w:r>
      <w:r>
        <w:rPr>
          <w:rFonts w:ascii="宋体" w:hAnsi="宋体"/>
          <w:sz w:val="24"/>
        </w:rPr>
        <w:tab/>
      </w:r>
      <w:r>
        <w:rPr>
          <w:rFonts w:ascii="宋体" w:hAnsi="宋体"/>
          <w:sz w:val="24"/>
        </w:rPr>
        <w:t>IP</w:t>
      </w:r>
      <w:r>
        <w:rPr>
          <w:rFonts w:hint="eastAsia" w:ascii="宋体" w:hAnsi="宋体"/>
          <w:sz w:val="24"/>
        </w:rPr>
        <w:t>广播</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RFC1058                 </w:t>
      </w:r>
      <w:r>
        <w:rPr>
          <w:rFonts w:ascii="宋体" w:hAnsi="宋体"/>
          <w:sz w:val="24"/>
        </w:rPr>
        <w:tab/>
      </w:r>
      <w:r>
        <w:rPr>
          <w:rFonts w:ascii="宋体" w:hAnsi="宋体"/>
          <w:sz w:val="24"/>
        </w:rPr>
        <w:t xml:space="preserve">RIP v1 </w:t>
      </w:r>
      <w:r>
        <w:rPr>
          <w:rFonts w:hint="eastAsia" w:ascii="宋体" w:hAnsi="宋体"/>
          <w:sz w:val="24"/>
        </w:rPr>
        <w:t>协议</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RFC1075                 </w:t>
      </w:r>
      <w:r>
        <w:rPr>
          <w:rFonts w:ascii="宋体" w:hAnsi="宋体"/>
          <w:sz w:val="24"/>
        </w:rPr>
        <w:tab/>
      </w:r>
      <w:r>
        <w:rPr>
          <w:rFonts w:hint="eastAsia" w:ascii="宋体" w:hAnsi="宋体"/>
          <w:sz w:val="24"/>
        </w:rPr>
        <w:t>距离矢量组播路由协议（</w:t>
      </w:r>
      <w:r>
        <w:rPr>
          <w:rFonts w:ascii="宋体" w:hAnsi="宋体"/>
          <w:sz w:val="24"/>
        </w:rPr>
        <w:t>DVMRP</w:t>
      </w:r>
      <w:r>
        <w:rPr>
          <w:rFonts w:hint="eastAsia" w:ascii="宋体" w:hAnsi="宋体"/>
          <w:sz w:val="24"/>
        </w:rPr>
        <w:t>）</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RFC1112                 </w:t>
      </w:r>
      <w:r>
        <w:rPr>
          <w:rFonts w:ascii="宋体" w:hAnsi="宋体"/>
          <w:sz w:val="24"/>
        </w:rPr>
        <w:tab/>
      </w:r>
      <w:r>
        <w:rPr>
          <w:rFonts w:ascii="宋体" w:hAnsi="宋体"/>
          <w:sz w:val="24"/>
        </w:rPr>
        <w:t>IP</w:t>
      </w:r>
      <w:r>
        <w:rPr>
          <w:rFonts w:hint="eastAsia" w:ascii="宋体" w:hAnsi="宋体"/>
          <w:sz w:val="24"/>
        </w:rPr>
        <w:t>组播中的主机扩展</w:t>
      </w:r>
      <w:r>
        <w:rPr>
          <w:rFonts w:ascii="宋体" w:hAnsi="宋体"/>
          <w:sz w:val="24"/>
        </w:rPr>
        <w:t xml:space="preserve"> 1998.8</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RFC1155                 </w:t>
      </w:r>
      <w:r>
        <w:rPr>
          <w:rFonts w:ascii="宋体" w:hAnsi="宋体"/>
          <w:sz w:val="24"/>
        </w:rPr>
        <w:tab/>
      </w:r>
      <w:r>
        <w:rPr>
          <w:rFonts w:ascii="宋体" w:hAnsi="宋体"/>
          <w:sz w:val="24"/>
        </w:rPr>
        <w:t>TCP/IP</w:t>
      </w:r>
      <w:r>
        <w:rPr>
          <w:rFonts w:hint="eastAsia" w:ascii="宋体" w:hAnsi="宋体"/>
          <w:sz w:val="24"/>
        </w:rPr>
        <w:t>互联网的管理信息的结构和标识</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RFC1156                 </w:t>
      </w:r>
      <w:r>
        <w:rPr>
          <w:rFonts w:ascii="宋体" w:hAnsi="宋体"/>
          <w:sz w:val="24"/>
        </w:rPr>
        <w:tab/>
      </w:r>
      <w:r>
        <w:rPr>
          <w:rFonts w:ascii="宋体" w:hAnsi="宋体"/>
          <w:sz w:val="24"/>
        </w:rPr>
        <w:t>MIB-I</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RFC1157                 </w:t>
      </w:r>
      <w:r>
        <w:rPr>
          <w:rFonts w:ascii="宋体" w:hAnsi="宋体"/>
          <w:sz w:val="24"/>
        </w:rPr>
        <w:tab/>
      </w:r>
      <w:r>
        <w:rPr>
          <w:rFonts w:hint="eastAsia" w:ascii="宋体" w:hAnsi="宋体"/>
          <w:sz w:val="24"/>
        </w:rPr>
        <w:t>简单网络管理协议（</w:t>
      </w:r>
      <w:r>
        <w:rPr>
          <w:rFonts w:ascii="宋体" w:hAnsi="宋体"/>
          <w:sz w:val="24"/>
        </w:rPr>
        <w:t>SNMP</w:t>
      </w:r>
      <w:r>
        <w:rPr>
          <w:rFonts w:hint="eastAsia" w:ascii="宋体" w:hAnsi="宋体"/>
          <w:sz w:val="24"/>
        </w:rPr>
        <w:t>）</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RFC1212                 </w:t>
      </w:r>
      <w:r>
        <w:rPr>
          <w:rFonts w:ascii="宋体" w:hAnsi="宋体"/>
          <w:sz w:val="24"/>
        </w:rPr>
        <w:tab/>
      </w:r>
      <w:r>
        <w:rPr>
          <w:rFonts w:hint="eastAsia" w:ascii="宋体" w:hAnsi="宋体"/>
          <w:sz w:val="24"/>
        </w:rPr>
        <w:t>简明</w:t>
      </w:r>
      <w:r>
        <w:rPr>
          <w:rFonts w:ascii="宋体" w:hAnsi="宋体"/>
          <w:sz w:val="24"/>
        </w:rPr>
        <w:t>MIB</w:t>
      </w:r>
      <w:r>
        <w:rPr>
          <w:rFonts w:hint="eastAsia" w:ascii="宋体" w:hAnsi="宋体"/>
          <w:sz w:val="24"/>
        </w:rPr>
        <w:t>定义</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RFC1213                 </w:t>
      </w:r>
      <w:r>
        <w:rPr>
          <w:rFonts w:ascii="宋体" w:hAnsi="宋体"/>
          <w:sz w:val="24"/>
        </w:rPr>
        <w:tab/>
      </w:r>
      <w:r>
        <w:rPr>
          <w:rFonts w:ascii="宋体" w:hAnsi="宋体"/>
          <w:sz w:val="24"/>
        </w:rPr>
        <w:t>MIB-II</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RFC1253</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OSPF MIB</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RFC1519                 </w:t>
      </w:r>
      <w:r>
        <w:rPr>
          <w:rFonts w:ascii="宋体" w:hAnsi="宋体"/>
          <w:sz w:val="24"/>
        </w:rPr>
        <w:tab/>
      </w:r>
      <w:r>
        <w:rPr>
          <w:rFonts w:hint="eastAsia" w:ascii="宋体" w:hAnsi="宋体"/>
          <w:sz w:val="24"/>
        </w:rPr>
        <w:t>无类域间路由</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RFC1573                 </w:t>
      </w:r>
      <w:r>
        <w:rPr>
          <w:rFonts w:ascii="宋体" w:hAnsi="宋体"/>
          <w:sz w:val="24"/>
        </w:rPr>
        <w:tab/>
      </w:r>
      <w:r>
        <w:rPr>
          <w:rFonts w:ascii="宋体" w:hAnsi="宋体"/>
          <w:sz w:val="24"/>
        </w:rPr>
        <w:t>MIB-II</w:t>
      </w:r>
      <w:r>
        <w:rPr>
          <w:rFonts w:hint="eastAsia" w:ascii="宋体" w:hAnsi="宋体"/>
          <w:sz w:val="24"/>
        </w:rPr>
        <w:t>接口组扩展</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RFC1643                 </w:t>
      </w:r>
      <w:r>
        <w:rPr>
          <w:rFonts w:ascii="宋体" w:hAnsi="宋体"/>
          <w:sz w:val="24"/>
        </w:rPr>
        <w:tab/>
      </w:r>
      <w:r>
        <w:rPr>
          <w:rFonts w:hint="eastAsia" w:ascii="宋体" w:hAnsi="宋体"/>
          <w:sz w:val="24"/>
        </w:rPr>
        <w:t>以太网链路</w:t>
      </w:r>
      <w:r>
        <w:rPr>
          <w:rFonts w:ascii="宋体" w:hAnsi="宋体"/>
          <w:sz w:val="24"/>
        </w:rPr>
        <w:t>MIB</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RFC1661                 </w:t>
      </w:r>
      <w:r>
        <w:rPr>
          <w:rFonts w:ascii="宋体" w:hAnsi="宋体"/>
          <w:sz w:val="24"/>
        </w:rPr>
        <w:tab/>
      </w:r>
      <w:r>
        <w:rPr>
          <w:rFonts w:ascii="宋体" w:hAnsi="宋体"/>
          <w:sz w:val="24"/>
        </w:rPr>
        <w:t>PPP</w:t>
      </w:r>
      <w:r>
        <w:rPr>
          <w:rFonts w:hint="eastAsia" w:ascii="宋体" w:hAnsi="宋体"/>
          <w:sz w:val="24"/>
        </w:rPr>
        <w:t>协议</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RFC1723</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RIP v2</w:t>
      </w:r>
      <w:r>
        <w:rPr>
          <w:rFonts w:hint="eastAsia" w:ascii="宋体" w:hAnsi="宋体"/>
          <w:sz w:val="24"/>
        </w:rPr>
        <w:t>协议</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RFC1724</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RIP v2 MIB</w:t>
      </w:r>
      <w:r>
        <w:rPr>
          <w:rFonts w:hint="eastAsia" w:ascii="宋体" w:hAnsi="宋体"/>
          <w:sz w:val="24"/>
        </w:rPr>
        <w:t>扩展</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 1757                    Four groups of RMON</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RFC1812                 </w:t>
      </w:r>
      <w:r>
        <w:rPr>
          <w:rFonts w:ascii="宋体" w:hAnsi="宋体"/>
          <w:sz w:val="24"/>
        </w:rPr>
        <w:tab/>
      </w:r>
      <w:r>
        <w:rPr>
          <w:rFonts w:hint="eastAsia" w:ascii="宋体" w:hAnsi="宋体"/>
          <w:sz w:val="24"/>
        </w:rPr>
        <w:t>对</w:t>
      </w:r>
      <w:r>
        <w:rPr>
          <w:rFonts w:ascii="宋体" w:hAnsi="宋体"/>
          <w:sz w:val="24"/>
        </w:rPr>
        <w:t>IP v4</w:t>
      </w:r>
      <w:r>
        <w:rPr>
          <w:rFonts w:hint="eastAsia" w:ascii="宋体" w:hAnsi="宋体"/>
          <w:sz w:val="24"/>
        </w:rPr>
        <w:t>路由器的要求</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RFC1850                 </w:t>
      </w:r>
      <w:r>
        <w:rPr>
          <w:rFonts w:ascii="宋体" w:hAnsi="宋体"/>
          <w:sz w:val="24"/>
        </w:rPr>
        <w:tab/>
      </w:r>
      <w:r>
        <w:rPr>
          <w:rFonts w:ascii="宋体" w:hAnsi="宋体"/>
          <w:sz w:val="24"/>
        </w:rPr>
        <w:t>OSPF v2 MIB</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RFC1902-1907            </w:t>
      </w:r>
      <w:r>
        <w:rPr>
          <w:rFonts w:ascii="宋体" w:hAnsi="宋体"/>
          <w:sz w:val="24"/>
        </w:rPr>
        <w:tab/>
      </w:r>
      <w:r>
        <w:rPr>
          <w:rFonts w:ascii="宋体" w:hAnsi="宋体"/>
          <w:sz w:val="24"/>
        </w:rPr>
        <w:t>SNMP v2</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RFC1983                 </w:t>
      </w:r>
      <w:r>
        <w:rPr>
          <w:rFonts w:ascii="宋体" w:hAnsi="宋体"/>
          <w:sz w:val="24"/>
        </w:rPr>
        <w:tab/>
      </w:r>
      <w:r>
        <w:rPr>
          <w:rFonts w:hint="eastAsia" w:ascii="宋体" w:hAnsi="宋体"/>
          <w:sz w:val="24"/>
        </w:rPr>
        <w:t>互联网用户词汇表</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 2030                </w:t>
      </w:r>
      <w:r>
        <w:rPr>
          <w:rFonts w:ascii="宋体" w:hAnsi="宋体"/>
          <w:sz w:val="24"/>
        </w:rPr>
        <w:tab/>
      </w:r>
      <w:r>
        <w:rPr>
          <w:rFonts w:ascii="宋体" w:hAnsi="宋体"/>
          <w:sz w:val="24"/>
        </w:rPr>
        <w:t>Simple Network Time Protocol</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RFC2131                 </w:t>
      </w:r>
      <w:r>
        <w:rPr>
          <w:rFonts w:ascii="宋体" w:hAnsi="宋体"/>
          <w:sz w:val="24"/>
        </w:rPr>
        <w:tab/>
      </w:r>
      <w:r>
        <w:rPr>
          <w:rFonts w:hint="eastAsia" w:ascii="宋体" w:hAnsi="宋体"/>
          <w:sz w:val="24"/>
        </w:rPr>
        <w:t>动态主机配置协议（</w:t>
      </w:r>
      <w:r>
        <w:rPr>
          <w:rFonts w:ascii="宋体" w:hAnsi="宋体"/>
          <w:sz w:val="24"/>
        </w:rPr>
        <w:t>DHCP</w:t>
      </w:r>
      <w:r>
        <w:rPr>
          <w:rFonts w:hint="eastAsia" w:ascii="宋体" w:hAnsi="宋体"/>
          <w:sz w:val="24"/>
        </w:rPr>
        <w:t>）</w:t>
      </w:r>
      <w:r>
        <w:rPr>
          <w:rFonts w:ascii="宋体" w:hAnsi="宋体"/>
          <w:sz w:val="24"/>
        </w:rPr>
        <w:t xml:space="preserve"> 1997.3</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RFC2236</w:t>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ascii="宋体" w:hAnsi="宋体"/>
          <w:sz w:val="24"/>
        </w:rPr>
        <w:tab/>
      </w:r>
      <w:r>
        <w:rPr>
          <w:rFonts w:hint="eastAsia" w:ascii="宋体" w:hAnsi="宋体"/>
          <w:sz w:val="24"/>
        </w:rPr>
        <w:t>网间网组管理协议（</w:t>
      </w:r>
      <w:r>
        <w:rPr>
          <w:rFonts w:ascii="宋体" w:hAnsi="宋体"/>
          <w:sz w:val="24"/>
        </w:rPr>
        <w:t>IGMP</w:t>
      </w:r>
      <w:r>
        <w:rPr>
          <w:rFonts w:hint="eastAsia" w:ascii="宋体" w:hAnsi="宋体"/>
          <w:sz w:val="24"/>
        </w:rPr>
        <w:t>）</w:t>
      </w:r>
      <w:r>
        <w:rPr>
          <w:rFonts w:ascii="宋体" w:hAnsi="宋体"/>
          <w:sz w:val="24"/>
        </w:rPr>
        <w:t xml:space="preserve"> 1997.11</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RFC2362                 </w:t>
      </w:r>
      <w:r>
        <w:rPr>
          <w:rFonts w:ascii="宋体" w:hAnsi="宋体"/>
          <w:sz w:val="24"/>
        </w:rPr>
        <w:tab/>
      </w:r>
      <w:r>
        <w:rPr>
          <w:rFonts w:hint="eastAsia" w:ascii="宋体" w:hAnsi="宋体"/>
          <w:sz w:val="24"/>
        </w:rPr>
        <w:t>协议无关组播协议</w:t>
      </w:r>
      <w:r>
        <w:rPr>
          <w:rFonts w:ascii="宋体" w:hAnsi="宋体"/>
          <w:sz w:val="24"/>
        </w:rPr>
        <w:t>-</w:t>
      </w:r>
      <w:r>
        <w:rPr>
          <w:rFonts w:hint="eastAsia" w:ascii="宋体" w:hAnsi="宋体"/>
          <w:sz w:val="24"/>
        </w:rPr>
        <w:t>稀疏模式（</w:t>
      </w:r>
      <w:r>
        <w:rPr>
          <w:rFonts w:ascii="宋体" w:hAnsi="宋体"/>
          <w:sz w:val="24"/>
        </w:rPr>
        <w:t>PIM-SM</w:t>
      </w:r>
      <w:r>
        <w:rPr>
          <w:rFonts w:hint="eastAsia" w:ascii="宋体" w:hAnsi="宋体"/>
          <w:sz w:val="24"/>
        </w:rPr>
        <w:t>）</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RFC2401                 </w:t>
      </w:r>
      <w:r>
        <w:rPr>
          <w:rFonts w:ascii="宋体" w:hAnsi="宋体"/>
          <w:sz w:val="24"/>
        </w:rPr>
        <w:tab/>
      </w:r>
      <w:r>
        <w:rPr>
          <w:rFonts w:ascii="宋体" w:hAnsi="宋体"/>
          <w:sz w:val="24"/>
        </w:rPr>
        <w:t>Internet</w:t>
      </w:r>
      <w:r>
        <w:rPr>
          <w:rFonts w:hint="eastAsia" w:ascii="宋体" w:hAnsi="宋体"/>
          <w:sz w:val="24"/>
        </w:rPr>
        <w:t>协议安全体系</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RFC2402                 </w:t>
      </w:r>
      <w:r>
        <w:rPr>
          <w:rFonts w:ascii="宋体" w:hAnsi="宋体"/>
          <w:sz w:val="24"/>
        </w:rPr>
        <w:tab/>
      </w:r>
      <w:r>
        <w:rPr>
          <w:rFonts w:ascii="宋体" w:hAnsi="宋体"/>
          <w:sz w:val="24"/>
        </w:rPr>
        <w:t>IP</w:t>
      </w:r>
      <w:r>
        <w:rPr>
          <w:rFonts w:hint="eastAsia" w:ascii="宋体" w:hAnsi="宋体"/>
          <w:sz w:val="24"/>
        </w:rPr>
        <w:t>认证头</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RFC2406                 </w:t>
      </w:r>
      <w:r>
        <w:rPr>
          <w:rFonts w:ascii="宋体" w:hAnsi="宋体"/>
          <w:sz w:val="24"/>
        </w:rPr>
        <w:tab/>
      </w:r>
      <w:r>
        <w:rPr>
          <w:rFonts w:ascii="宋体" w:hAnsi="宋体"/>
          <w:sz w:val="24"/>
        </w:rPr>
        <w:t>IP</w:t>
      </w:r>
      <w:r>
        <w:rPr>
          <w:rFonts w:hint="eastAsia" w:ascii="宋体" w:hAnsi="宋体"/>
          <w:sz w:val="24"/>
        </w:rPr>
        <w:t>安全负荷封装</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RFC2474                    </w:t>
      </w:r>
      <w:r>
        <w:rPr>
          <w:rFonts w:hint="eastAsia" w:ascii="宋体" w:hAnsi="宋体"/>
          <w:sz w:val="24"/>
        </w:rPr>
        <w:t>在</w:t>
      </w:r>
      <w:r>
        <w:rPr>
          <w:rFonts w:ascii="宋体" w:hAnsi="宋体"/>
          <w:sz w:val="24"/>
        </w:rPr>
        <w:t>IP v4</w:t>
      </w:r>
      <w:r>
        <w:rPr>
          <w:rFonts w:hint="eastAsia" w:ascii="宋体" w:hAnsi="宋体"/>
          <w:sz w:val="24"/>
        </w:rPr>
        <w:t>与</w:t>
      </w:r>
      <w:r>
        <w:rPr>
          <w:rFonts w:ascii="宋体" w:hAnsi="宋体"/>
          <w:sz w:val="24"/>
        </w:rPr>
        <w:t>IP v6</w:t>
      </w:r>
      <w:r>
        <w:rPr>
          <w:rFonts w:hint="eastAsia" w:ascii="宋体" w:hAnsi="宋体"/>
          <w:sz w:val="24"/>
        </w:rPr>
        <w:t>的</w:t>
      </w:r>
      <w:r>
        <w:rPr>
          <w:rFonts w:ascii="宋体" w:hAnsi="宋体"/>
          <w:sz w:val="24"/>
        </w:rPr>
        <w:t>Diff-Serv</w:t>
      </w:r>
      <w:r>
        <w:rPr>
          <w:rFonts w:hint="eastAsia" w:ascii="宋体" w:hAnsi="宋体"/>
          <w:sz w:val="24"/>
        </w:rPr>
        <w:t>字段（</w:t>
      </w:r>
      <w:r>
        <w:rPr>
          <w:rFonts w:ascii="宋体" w:hAnsi="宋体"/>
          <w:sz w:val="24"/>
        </w:rPr>
        <w:t>DS</w:t>
      </w:r>
      <w:r>
        <w:rPr>
          <w:rFonts w:hint="eastAsia" w:ascii="宋体" w:hAnsi="宋体"/>
          <w:sz w:val="24"/>
        </w:rPr>
        <w:t>）的定义</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RFC2475                 </w:t>
      </w:r>
      <w:r>
        <w:rPr>
          <w:rFonts w:ascii="宋体" w:hAnsi="宋体"/>
          <w:sz w:val="24"/>
        </w:rPr>
        <w:tab/>
      </w:r>
      <w:r>
        <w:rPr>
          <w:rFonts w:ascii="宋体" w:hAnsi="宋体"/>
          <w:sz w:val="24"/>
        </w:rPr>
        <w:t>Diff-Serv</w:t>
      </w:r>
      <w:r>
        <w:rPr>
          <w:rFonts w:hint="eastAsia" w:ascii="宋体" w:hAnsi="宋体"/>
          <w:sz w:val="24"/>
        </w:rPr>
        <w:t>体系结构</w:t>
      </w:r>
    </w:p>
    <w:p>
      <w:pPr>
        <w:spacing w:line="360" w:lineRule="auto"/>
        <w:rPr>
          <w:rFonts w:ascii="宋体" w:hAnsi="宋体"/>
          <w:sz w:val="24"/>
        </w:rPr>
      </w:pPr>
      <w:r>
        <w:rPr>
          <w:rFonts w:ascii="宋体" w:hAnsi="宋体"/>
          <w:sz w:val="24"/>
        </w:rPr>
        <w:t></w:t>
      </w:r>
      <w:r>
        <w:rPr>
          <w:rFonts w:ascii="宋体" w:hAnsi="宋体"/>
          <w:sz w:val="24"/>
        </w:rPr>
        <w:tab/>
      </w:r>
      <w:r>
        <w:rPr>
          <w:rFonts w:ascii="宋体" w:hAnsi="宋体"/>
          <w:sz w:val="24"/>
        </w:rPr>
        <w:t xml:space="preserve">RFC2819                 </w:t>
      </w:r>
      <w:r>
        <w:rPr>
          <w:rFonts w:ascii="宋体" w:hAnsi="宋体"/>
          <w:sz w:val="24"/>
        </w:rPr>
        <w:tab/>
      </w:r>
      <w:r>
        <w:rPr>
          <w:rFonts w:ascii="宋体" w:hAnsi="宋体"/>
          <w:sz w:val="24"/>
        </w:rPr>
        <w:t>RMON MIB</w:t>
      </w:r>
    </w:p>
    <w:p>
      <w:pPr>
        <w:spacing w:line="360" w:lineRule="auto"/>
        <w:ind w:firstLine="420"/>
        <w:rPr>
          <w:rFonts w:ascii="宋体" w:hAnsi="宋体"/>
          <w:sz w:val="24"/>
        </w:rPr>
      </w:pPr>
      <w:r>
        <w:rPr>
          <w:rFonts w:ascii="宋体" w:hAnsi="宋体"/>
          <w:sz w:val="24"/>
        </w:rPr>
        <w:t></w:t>
      </w:r>
      <w:r>
        <w:rPr>
          <w:rFonts w:ascii="宋体" w:hAnsi="宋体"/>
          <w:sz w:val="24"/>
        </w:rPr>
        <w:tab/>
      </w:r>
      <w:r>
        <w:rPr>
          <w:rFonts w:ascii="宋体" w:hAnsi="宋体"/>
          <w:sz w:val="24"/>
        </w:rPr>
        <w:t xml:space="preserve">RFC2863                  </w:t>
      </w:r>
      <w:r>
        <w:rPr>
          <w:rFonts w:ascii="宋体" w:hAnsi="宋体"/>
          <w:sz w:val="24"/>
        </w:rPr>
        <w:tab/>
      </w:r>
      <w:r>
        <w:rPr>
          <w:rFonts w:hint="eastAsia" w:ascii="宋体" w:hAnsi="宋体"/>
          <w:sz w:val="24"/>
        </w:rPr>
        <w:t>接口组</w:t>
      </w:r>
      <w:r>
        <w:rPr>
          <w:rFonts w:ascii="宋体" w:hAnsi="宋体"/>
          <w:sz w:val="24"/>
        </w:rPr>
        <w:t>MIB</w:t>
      </w:r>
    </w:p>
    <w:p>
      <w:pPr>
        <w:pStyle w:val="35"/>
        <w:spacing w:line="360" w:lineRule="auto"/>
        <w:ind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4</w:t>
      </w:r>
      <w:r>
        <w:rPr>
          <w:rFonts w:hint="eastAsia" w:ascii="宋体" w:hAnsi="宋体" w:cs="Arial"/>
          <w:sz w:val="24"/>
          <w:szCs w:val="24"/>
        </w:rPr>
        <w:t>★设备可用性</w:t>
      </w:r>
    </w:p>
    <w:p>
      <w:pPr>
        <w:pStyle w:val="35"/>
        <w:spacing w:line="360" w:lineRule="auto"/>
        <w:ind w:firstLine="480"/>
        <w:rPr>
          <w:rFonts w:ascii="宋体" w:hAnsi="宋体" w:cs="Arial"/>
          <w:sz w:val="24"/>
          <w:szCs w:val="24"/>
        </w:rPr>
      </w:pPr>
      <w:r>
        <w:rPr>
          <w:rFonts w:hint="eastAsia" w:ascii="宋体" w:hAnsi="宋体"/>
          <w:sz w:val="24"/>
          <w:szCs w:val="24"/>
        </w:rPr>
        <w:t>设备应该具备</w:t>
      </w:r>
      <w:r>
        <w:rPr>
          <w:rFonts w:ascii="宋体" w:hAnsi="宋体"/>
          <w:sz w:val="24"/>
          <w:szCs w:val="24"/>
        </w:rPr>
        <w:t>99.99</w:t>
      </w:r>
      <w:r>
        <w:rPr>
          <w:rFonts w:hint="eastAsia" w:ascii="宋体" w:hAnsi="宋体"/>
          <w:sz w:val="24"/>
          <w:szCs w:val="24"/>
        </w:rPr>
        <w:t>％的总体可用性（软、硬件）；例行维护时间不计算在内；系统无故障连续工作时间（</w:t>
      </w:r>
      <w:r>
        <w:rPr>
          <w:rFonts w:ascii="宋体" w:hAnsi="宋体"/>
          <w:sz w:val="24"/>
          <w:szCs w:val="24"/>
        </w:rPr>
        <w:t>MTBF</w:t>
      </w:r>
      <w:r>
        <w:rPr>
          <w:rFonts w:hint="eastAsia" w:ascii="宋体" w:hAnsi="宋体"/>
          <w:sz w:val="24"/>
          <w:szCs w:val="24"/>
        </w:rPr>
        <w:t>）必须大于</w:t>
      </w:r>
      <w:r>
        <w:rPr>
          <w:rFonts w:ascii="宋体" w:hAnsi="宋体"/>
          <w:sz w:val="24"/>
          <w:szCs w:val="24"/>
        </w:rPr>
        <w:t>60</w:t>
      </w:r>
      <w:r>
        <w:rPr>
          <w:rFonts w:hint="eastAsia" w:ascii="宋体" w:hAnsi="宋体"/>
          <w:sz w:val="24"/>
          <w:szCs w:val="24"/>
        </w:rPr>
        <w:t>，</w:t>
      </w:r>
      <w:r>
        <w:rPr>
          <w:rFonts w:ascii="宋体" w:hAnsi="宋体"/>
          <w:sz w:val="24"/>
          <w:szCs w:val="24"/>
        </w:rPr>
        <w:t>000</w:t>
      </w:r>
      <w:r>
        <w:rPr>
          <w:rFonts w:hint="eastAsia" w:ascii="宋体" w:hAnsi="宋体"/>
          <w:sz w:val="24"/>
          <w:szCs w:val="24"/>
        </w:rPr>
        <w:t>小时。</w:t>
      </w:r>
    </w:p>
    <w:p>
      <w:pPr>
        <w:pStyle w:val="35"/>
        <w:spacing w:line="360" w:lineRule="auto"/>
        <w:ind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5</w:t>
      </w:r>
      <w:r>
        <w:rPr>
          <w:rFonts w:hint="eastAsia" w:ascii="宋体" w:hAnsi="宋体" w:cs="Arial"/>
          <w:sz w:val="24"/>
          <w:szCs w:val="24"/>
        </w:rPr>
        <w:t>★网络时间同步</w:t>
      </w:r>
    </w:p>
    <w:p>
      <w:pPr>
        <w:pStyle w:val="35"/>
        <w:spacing w:line="360" w:lineRule="auto"/>
        <w:ind w:firstLine="480"/>
        <w:rPr>
          <w:rFonts w:ascii="宋体" w:hAnsi="宋体" w:cs="Arial"/>
          <w:sz w:val="24"/>
          <w:szCs w:val="24"/>
        </w:rPr>
      </w:pPr>
      <w:r>
        <w:rPr>
          <w:rFonts w:hint="eastAsia" w:ascii="宋体" w:hAnsi="宋体"/>
          <w:sz w:val="24"/>
          <w:szCs w:val="24"/>
        </w:rPr>
        <w:t>供应商设备需要支持网络时间同步协议</w:t>
      </w:r>
      <w:r>
        <w:rPr>
          <w:rFonts w:ascii="宋体" w:hAnsi="宋体"/>
          <w:sz w:val="24"/>
          <w:szCs w:val="24"/>
        </w:rPr>
        <w:t>NTP</w:t>
      </w:r>
      <w:r>
        <w:rPr>
          <w:rFonts w:hint="eastAsia" w:ascii="宋体" w:hAnsi="宋体"/>
          <w:sz w:val="24"/>
          <w:szCs w:val="24"/>
        </w:rPr>
        <w:t>，支持</w:t>
      </w:r>
      <w:r>
        <w:rPr>
          <w:rFonts w:ascii="宋体" w:hAnsi="宋体"/>
          <w:sz w:val="24"/>
          <w:szCs w:val="24"/>
        </w:rPr>
        <w:t>NTP</w:t>
      </w:r>
      <w:r>
        <w:rPr>
          <w:rFonts w:hint="eastAsia" w:ascii="宋体" w:hAnsi="宋体"/>
          <w:sz w:val="24"/>
          <w:szCs w:val="24"/>
        </w:rPr>
        <w:t>认证和</w:t>
      </w:r>
      <w:r>
        <w:rPr>
          <w:rFonts w:ascii="宋体" w:hAnsi="宋体"/>
          <w:sz w:val="24"/>
          <w:szCs w:val="24"/>
        </w:rPr>
        <w:t>NTP</w:t>
      </w:r>
      <w:r>
        <w:rPr>
          <w:rFonts w:hint="eastAsia" w:ascii="宋体" w:hAnsi="宋体"/>
          <w:sz w:val="24"/>
          <w:szCs w:val="24"/>
        </w:rPr>
        <w:t>服务器</w:t>
      </w:r>
      <w:r>
        <w:rPr>
          <w:rFonts w:ascii="宋体" w:hAnsi="宋体"/>
          <w:sz w:val="24"/>
          <w:szCs w:val="24"/>
        </w:rPr>
        <w:t>/</w:t>
      </w:r>
      <w:r>
        <w:rPr>
          <w:rFonts w:hint="eastAsia" w:ascii="宋体" w:hAnsi="宋体"/>
          <w:sz w:val="24"/>
          <w:szCs w:val="24"/>
        </w:rPr>
        <w:t>客户端；供应商需给出部署</w:t>
      </w:r>
      <w:r>
        <w:rPr>
          <w:rFonts w:ascii="宋体" w:hAnsi="宋体"/>
          <w:sz w:val="24"/>
          <w:szCs w:val="24"/>
        </w:rPr>
        <w:t>NTP</w:t>
      </w:r>
      <w:r>
        <w:rPr>
          <w:rFonts w:hint="eastAsia" w:ascii="宋体" w:hAnsi="宋体"/>
          <w:sz w:val="24"/>
          <w:szCs w:val="24"/>
        </w:rPr>
        <w:t>的建议。</w:t>
      </w:r>
    </w:p>
    <w:p>
      <w:pPr>
        <w:pStyle w:val="35"/>
        <w:spacing w:line="360" w:lineRule="auto"/>
        <w:ind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6</w:t>
      </w:r>
      <w:r>
        <w:rPr>
          <w:rFonts w:hint="eastAsia" w:ascii="宋体" w:hAnsi="宋体" w:cs="Arial"/>
          <w:sz w:val="24"/>
          <w:szCs w:val="24"/>
        </w:rPr>
        <w:t>★互通性要求</w:t>
      </w:r>
    </w:p>
    <w:p>
      <w:pPr>
        <w:spacing w:line="360" w:lineRule="auto"/>
        <w:ind w:firstLine="480" w:firstLineChars="200"/>
        <w:rPr>
          <w:rFonts w:ascii="宋体" w:hAnsi="宋体"/>
          <w:sz w:val="24"/>
        </w:rPr>
      </w:pPr>
      <w:r>
        <w:rPr>
          <w:rFonts w:hint="eastAsia" w:ascii="宋体" w:hAnsi="宋体"/>
          <w:sz w:val="24"/>
        </w:rPr>
        <w:t>供应商提供的设备必须能够与现有的其他网络设备（以太网交换机、路由器等）实现物理层互通。供应商设备必须能和主流交换机厂家的设备实现</w:t>
      </w:r>
      <w:r>
        <w:rPr>
          <w:rFonts w:ascii="宋体" w:hAnsi="宋体"/>
          <w:sz w:val="24"/>
        </w:rPr>
        <w:t>VLAN</w:t>
      </w:r>
      <w:r>
        <w:rPr>
          <w:rFonts w:hint="eastAsia" w:ascii="宋体" w:hAnsi="宋体"/>
          <w:sz w:val="24"/>
        </w:rPr>
        <w:t>的互通。供应商应详细说明与其他厂家设备的</w:t>
      </w:r>
      <w:r>
        <w:rPr>
          <w:rFonts w:ascii="宋体" w:hAnsi="宋体"/>
          <w:sz w:val="24"/>
        </w:rPr>
        <w:t>IPV6</w:t>
      </w:r>
      <w:r>
        <w:rPr>
          <w:rFonts w:hint="eastAsia" w:ascii="宋体" w:hAnsi="宋体"/>
          <w:sz w:val="24"/>
        </w:rPr>
        <w:t>及</w:t>
      </w:r>
      <w:r>
        <w:rPr>
          <w:rFonts w:ascii="宋体" w:hAnsi="宋体"/>
          <w:sz w:val="24"/>
        </w:rPr>
        <w:t>IPV6</w:t>
      </w:r>
      <w:r>
        <w:rPr>
          <w:rFonts w:hint="eastAsia" w:ascii="宋体" w:hAnsi="宋体"/>
          <w:sz w:val="24"/>
        </w:rPr>
        <w:t>相关协议的互通情况。</w:t>
      </w:r>
    </w:p>
    <w:p>
      <w:pPr>
        <w:pStyle w:val="35"/>
        <w:spacing w:line="360" w:lineRule="auto"/>
        <w:ind w:firstLine="0" w:firstLineChars="0"/>
        <w:rPr>
          <w:rFonts w:ascii="宋体" w:hAnsi="宋体" w:cs="Arial"/>
          <w:sz w:val="24"/>
          <w:szCs w:val="24"/>
        </w:rPr>
      </w:pPr>
      <w:r>
        <w:rPr>
          <w:rFonts w:hint="eastAsia" w:ascii="宋体" w:hAnsi="宋体"/>
          <w:sz w:val="24"/>
          <w:szCs w:val="24"/>
        </w:rPr>
        <w:t>供应商提供的设备/板卡必须完美兼容采购人已部署的思科VOD系统（CDN存储、缓存、推流设备）、MOTO VOD系统（CDN存储、推流设备）、IPCDN系统，并保证所投设备/板卡可实现对上述系统数据的无阻塞转发。采购人有权要求合同签订前对中选设备对现网数据转发进行适应性测试，如发现中选设备无法满足现网数据转发要求，采购人有权要求退货。</w:t>
      </w:r>
    </w:p>
    <w:p>
      <w:pPr>
        <w:pStyle w:val="35"/>
        <w:spacing w:line="360" w:lineRule="auto"/>
        <w:ind w:firstLine="0" w:firstLineChars="0"/>
        <w:rPr>
          <w:rFonts w:ascii="宋体" w:hAnsi="宋体" w:cs="Arial"/>
          <w:sz w:val="24"/>
          <w:szCs w:val="24"/>
        </w:rPr>
      </w:pPr>
      <w:r>
        <w:rPr>
          <w:rFonts w:hint="eastAsia" w:ascii="宋体" w:hAnsi="宋体" w:cs="Arial"/>
          <w:sz w:val="24"/>
          <w:szCs w:val="24"/>
        </w:rPr>
        <w:t>2.</w:t>
      </w:r>
      <w:r>
        <w:rPr>
          <w:rFonts w:ascii="宋体" w:hAnsi="宋体" w:cs="Arial"/>
          <w:sz w:val="24"/>
          <w:szCs w:val="24"/>
        </w:rPr>
        <w:t>7</w:t>
      </w:r>
      <w:r>
        <w:rPr>
          <w:rFonts w:hint="eastAsia" w:ascii="宋体" w:hAnsi="宋体" w:cs="Arial"/>
          <w:sz w:val="24"/>
          <w:szCs w:val="24"/>
        </w:rPr>
        <w:t>网络管理系统</w:t>
      </w:r>
    </w:p>
    <w:p>
      <w:pPr>
        <w:spacing w:line="360" w:lineRule="auto"/>
        <w:rPr>
          <w:rFonts w:ascii="宋体" w:hAnsi="宋体"/>
          <w:sz w:val="24"/>
        </w:rPr>
      </w:pPr>
      <w:r>
        <w:rPr>
          <w:rFonts w:ascii="宋体" w:hAnsi="宋体"/>
          <w:sz w:val="24"/>
        </w:rPr>
        <w:t>2.7.1</w:t>
      </w:r>
      <w:r>
        <w:rPr>
          <w:rFonts w:hint="eastAsia" w:ascii="宋体" w:hAnsi="宋体"/>
          <w:sz w:val="24"/>
        </w:rPr>
        <w:t>总体要求</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供应商须说明网管系统的软硬件配置要求及组网方案，并开放相关的接口。</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网管系统应具有易用、良好图形用户界面、在线帮助、软件下载等先进功能。要求说明网管系统运行在何种服务器上及支持何种操作系统。</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要求支持分级网管和虚拟网管，要求支持本地控制口以及远程配置和管理。</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4</w:t>
      </w:r>
      <w:r>
        <w:rPr>
          <w:rFonts w:hint="eastAsia" w:ascii="宋体" w:hAnsi="宋体"/>
          <w:sz w:val="24"/>
        </w:rPr>
        <w:t>）要求支持</w:t>
      </w:r>
      <w:r>
        <w:rPr>
          <w:rFonts w:ascii="宋体" w:hAnsi="宋体"/>
          <w:sz w:val="24"/>
        </w:rPr>
        <w:t>SNMP V1/V2/V3</w:t>
      </w:r>
      <w:r>
        <w:rPr>
          <w:rFonts w:hint="eastAsia" w:ascii="宋体" w:hAnsi="宋体"/>
          <w:sz w:val="24"/>
        </w:rPr>
        <w:t>。</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5</w:t>
      </w:r>
      <w:r>
        <w:rPr>
          <w:rFonts w:hint="eastAsia" w:ascii="宋体" w:hAnsi="宋体"/>
          <w:sz w:val="24"/>
        </w:rPr>
        <w:t>）提供</w:t>
      </w:r>
      <w:r>
        <w:rPr>
          <w:rFonts w:ascii="宋体" w:hAnsi="宋体"/>
          <w:sz w:val="24"/>
        </w:rPr>
        <w:t>MIB</w:t>
      </w:r>
      <w:r>
        <w:rPr>
          <w:rFonts w:hint="eastAsia" w:ascii="宋体" w:hAnsi="宋体"/>
          <w:sz w:val="24"/>
        </w:rPr>
        <w:t>数据库资料及详细说明。</w:t>
      </w:r>
    </w:p>
    <w:p>
      <w:pPr>
        <w:spacing w:line="360" w:lineRule="auto"/>
        <w:rPr>
          <w:rFonts w:ascii="宋体" w:hAnsi="宋体"/>
          <w:sz w:val="24"/>
        </w:rPr>
      </w:pPr>
      <w:r>
        <w:rPr>
          <w:rFonts w:ascii="宋体" w:hAnsi="宋体"/>
          <w:sz w:val="24"/>
        </w:rPr>
        <w:t>6</w:t>
      </w:r>
      <w:r>
        <w:rPr>
          <w:rFonts w:hint="eastAsia" w:ascii="宋体" w:hAnsi="宋体"/>
          <w:sz w:val="24"/>
        </w:rPr>
        <w:t>）</w:t>
      </w:r>
      <w:r>
        <w:rPr>
          <w:rFonts w:ascii="宋体" w:hAnsi="宋体"/>
          <w:sz w:val="24"/>
        </w:rPr>
        <w:tab/>
      </w:r>
      <w:r>
        <w:rPr>
          <w:rFonts w:hint="eastAsia" w:ascii="宋体" w:hAnsi="宋体"/>
          <w:sz w:val="24"/>
        </w:rPr>
        <w:t>供应商应提供设备的操作要求说明书。</w:t>
      </w:r>
    </w:p>
    <w:p>
      <w:pPr>
        <w:spacing w:line="360" w:lineRule="auto"/>
        <w:rPr>
          <w:rFonts w:ascii="宋体" w:hAnsi="宋体"/>
          <w:sz w:val="24"/>
        </w:rPr>
      </w:pPr>
      <w:r>
        <w:rPr>
          <w:rFonts w:ascii="宋体" w:hAnsi="宋体"/>
          <w:sz w:val="24"/>
        </w:rPr>
        <w:t>2.7.2</w:t>
      </w:r>
      <w:r>
        <w:rPr>
          <w:rFonts w:hint="eastAsia" w:ascii="宋体" w:hAnsi="宋体"/>
          <w:sz w:val="24"/>
        </w:rPr>
        <w:t>设备对网络管理功能的支持</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1</w:t>
      </w:r>
      <w:r>
        <w:rPr>
          <w:rFonts w:hint="eastAsia" w:ascii="宋体" w:hAnsi="宋体"/>
          <w:sz w:val="24"/>
        </w:rPr>
        <w:t>）要求支持</w:t>
      </w:r>
      <w:r>
        <w:rPr>
          <w:rFonts w:ascii="宋体" w:hAnsi="宋体"/>
          <w:sz w:val="24"/>
        </w:rPr>
        <w:t>SNMPV1/V2/V3</w:t>
      </w:r>
      <w:r>
        <w:rPr>
          <w:rFonts w:hint="eastAsia" w:ascii="宋体" w:hAnsi="宋体"/>
          <w:sz w:val="24"/>
        </w:rPr>
        <w:t>，支持标准的</w:t>
      </w:r>
      <w:r>
        <w:rPr>
          <w:rFonts w:ascii="宋体" w:hAnsi="宋体"/>
          <w:sz w:val="24"/>
        </w:rPr>
        <w:t>MIB</w:t>
      </w:r>
      <w:r>
        <w:rPr>
          <w:rFonts w:hint="eastAsia" w:ascii="宋体" w:hAnsi="宋体"/>
          <w:sz w:val="24"/>
        </w:rPr>
        <w:t>库，要求无偿提供设备所有私有</w:t>
      </w:r>
      <w:r>
        <w:rPr>
          <w:rFonts w:ascii="宋体" w:hAnsi="宋体"/>
          <w:sz w:val="24"/>
        </w:rPr>
        <w:t>MIB</w:t>
      </w:r>
      <w:r>
        <w:rPr>
          <w:rFonts w:hint="eastAsia" w:ascii="宋体" w:hAnsi="宋体"/>
          <w:sz w:val="24"/>
        </w:rPr>
        <w:t>库资料。</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建议逐步支持基于</w:t>
      </w:r>
      <w:r>
        <w:rPr>
          <w:rFonts w:ascii="宋体" w:hAnsi="宋体"/>
          <w:sz w:val="24"/>
        </w:rPr>
        <w:t>XML</w:t>
      </w:r>
      <w:r>
        <w:rPr>
          <w:rFonts w:hint="eastAsia" w:ascii="宋体" w:hAnsi="宋体"/>
          <w:sz w:val="24"/>
        </w:rPr>
        <w:t>的</w:t>
      </w:r>
      <w:r>
        <w:rPr>
          <w:rFonts w:ascii="宋体" w:hAnsi="宋体"/>
          <w:sz w:val="24"/>
        </w:rPr>
        <w:t>Network Configuration</w:t>
      </w:r>
      <w:r>
        <w:rPr>
          <w:rFonts w:hint="eastAsia" w:ascii="宋体" w:hAnsi="宋体"/>
          <w:sz w:val="24"/>
        </w:rPr>
        <w:t>（</w:t>
      </w:r>
      <w:r>
        <w:rPr>
          <w:rFonts w:ascii="宋体" w:hAnsi="宋体"/>
          <w:sz w:val="24"/>
        </w:rPr>
        <w:t>NETCONF</w:t>
      </w:r>
      <w:r>
        <w:rPr>
          <w:rFonts w:hint="eastAsia" w:ascii="宋体" w:hAnsi="宋体"/>
          <w:sz w:val="24"/>
        </w:rPr>
        <w:t>）</w:t>
      </w:r>
      <w:r>
        <w:rPr>
          <w:rFonts w:ascii="宋体" w:hAnsi="宋体"/>
          <w:sz w:val="24"/>
        </w:rPr>
        <w:t>(RFC4741-4744)</w:t>
      </w:r>
      <w:r>
        <w:rPr>
          <w:rFonts w:hint="eastAsia" w:ascii="宋体" w:hAnsi="宋体"/>
          <w:sz w:val="24"/>
        </w:rPr>
        <w:t>协议，说明实现计划。定义设备、</w:t>
      </w:r>
      <w:r>
        <w:rPr>
          <w:rFonts w:ascii="宋体" w:hAnsi="宋体"/>
          <w:sz w:val="24"/>
        </w:rPr>
        <w:t>1GE/10GE</w:t>
      </w:r>
      <w:r>
        <w:rPr>
          <w:rFonts w:hint="eastAsia" w:ascii="宋体" w:hAnsi="宋体"/>
          <w:sz w:val="24"/>
        </w:rPr>
        <w:t>等物理端口、</w:t>
      </w:r>
      <w:r>
        <w:rPr>
          <w:rFonts w:ascii="宋体" w:hAnsi="宋体"/>
          <w:sz w:val="24"/>
        </w:rPr>
        <w:t>VLAN</w:t>
      </w:r>
      <w:r>
        <w:rPr>
          <w:rFonts w:hint="eastAsia" w:ascii="宋体" w:hAnsi="宋体"/>
          <w:sz w:val="24"/>
        </w:rPr>
        <w:t>等逻辑端口、路由器协议、业务类型等关键对象的模型，并通过</w:t>
      </w:r>
      <w:r>
        <w:rPr>
          <w:rFonts w:ascii="宋体" w:hAnsi="宋体"/>
          <w:sz w:val="24"/>
        </w:rPr>
        <w:t>XML</w:t>
      </w:r>
      <w:r>
        <w:rPr>
          <w:rFonts w:hint="eastAsia" w:ascii="宋体" w:hAnsi="宋体"/>
          <w:sz w:val="24"/>
        </w:rPr>
        <w:t>来描述，便于将来标准化设备、网络和业务的管理。</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支持带外网络管理物理接口，说明支持的方式。</w:t>
      </w:r>
    </w:p>
    <w:p>
      <w:pPr>
        <w:spacing w:line="360" w:lineRule="auto"/>
        <w:rPr>
          <w:rFonts w:ascii="宋体" w:hAnsi="宋体"/>
          <w:sz w:val="24"/>
        </w:rPr>
      </w:pPr>
      <w:r>
        <w:rPr>
          <w:rFonts w:ascii="宋体" w:hAnsi="宋体"/>
          <w:sz w:val="24"/>
        </w:rPr>
        <w:t>2.7.3</w:t>
      </w:r>
      <w:r>
        <w:rPr>
          <w:rFonts w:hint="eastAsia" w:ascii="宋体" w:hAnsi="宋体"/>
          <w:sz w:val="24"/>
        </w:rPr>
        <w:t>配置管理</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提供对所支持的多业务源的配置方式。</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对配置操作过程的记录统计。</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可以访问被管理设备的配置文件，并在必要时分析和编辑。</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4</w:t>
      </w:r>
      <w:r>
        <w:rPr>
          <w:rFonts w:hint="eastAsia" w:ascii="宋体" w:hAnsi="宋体"/>
          <w:sz w:val="24"/>
        </w:rPr>
        <w:t>）供应商的设备</w:t>
      </w:r>
      <w:r>
        <w:rPr>
          <w:rFonts w:ascii="宋体" w:hAnsi="宋体"/>
          <w:sz w:val="24"/>
        </w:rPr>
        <w:t xml:space="preserve">CLI </w:t>
      </w:r>
      <w:r>
        <w:rPr>
          <w:rFonts w:hint="eastAsia" w:ascii="宋体" w:hAnsi="宋体"/>
          <w:sz w:val="24"/>
        </w:rPr>
        <w:t>拥有完善的管理命令，以提高业务的开通、管理和排错速度。</w:t>
      </w:r>
    </w:p>
    <w:p>
      <w:pPr>
        <w:spacing w:line="360" w:lineRule="auto"/>
        <w:rPr>
          <w:rFonts w:ascii="宋体" w:hAnsi="宋体"/>
          <w:sz w:val="24"/>
        </w:rPr>
      </w:pPr>
      <w:r>
        <w:rPr>
          <w:rFonts w:ascii="宋体" w:hAnsi="宋体"/>
          <w:sz w:val="24"/>
        </w:rPr>
        <w:t>2.7.4</w:t>
      </w:r>
      <w:r>
        <w:rPr>
          <w:rFonts w:hint="eastAsia" w:ascii="宋体" w:hAnsi="宋体"/>
          <w:sz w:val="24"/>
        </w:rPr>
        <w:t>性能管理</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能够提供统计分析功能，包括对接口的物理特性的统计；对时延性能的统计包括传输时延、抖动等。</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建议支持网络质量的在线检测能力，并具体描述能够实现的检查项目。</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应可以针对每一项性能指标设定各种变化的门限，从性能变化的异常现象报告中，获知网络性能的变化，进行性能分析，采取相应措施，同时应该能够对于门限的选择方式及理由进行充分的描述，具体应包括早期告警负荷监视，过负荷监测，拒绝监测，轻微过负荷门限，过负荷门限，负荷告警等。</w:t>
      </w:r>
    </w:p>
    <w:p>
      <w:pPr>
        <w:spacing w:line="360" w:lineRule="auto"/>
        <w:rPr>
          <w:rFonts w:ascii="宋体" w:hAnsi="宋体"/>
          <w:sz w:val="24"/>
        </w:rPr>
      </w:pPr>
      <w:r>
        <w:rPr>
          <w:rFonts w:ascii="宋体" w:hAnsi="宋体"/>
          <w:sz w:val="24"/>
        </w:rPr>
        <w:t>4</w:t>
      </w:r>
      <w:r>
        <w:rPr>
          <w:rFonts w:hint="eastAsia" w:ascii="宋体" w:hAnsi="宋体"/>
          <w:sz w:val="24"/>
        </w:rPr>
        <w:t>）</w:t>
      </w:r>
      <w:r>
        <w:rPr>
          <w:rFonts w:ascii="宋体" w:hAnsi="宋体"/>
          <w:sz w:val="24"/>
        </w:rPr>
        <w:tab/>
      </w:r>
      <w:r>
        <w:rPr>
          <w:rFonts w:hint="eastAsia" w:ascii="宋体" w:hAnsi="宋体"/>
          <w:sz w:val="24"/>
        </w:rPr>
        <w:t>对历史统计数据的分析功能。</w:t>
      </w:r>
    </w:p>
    <w:p>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ab/>
      </w:r>
      <w:r>
        <w:rPr>
          <w:rFonts w:hint="eastAsia" w:ascii="宋体" w:hAnsi="宋体"/>
          <w:sz w:val="24"/>
        </w:rPr>
        <w:t>应按照管理规程创建和维护性能统计日志。</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6</w:t>
      </w:r>
      <w:r>
        <w:rPr>
          <w:rFonts w:hint="eastAsia" w:ascii="宋体" w:hAnsi="宋体"/>
          <w:sz w:val="24"/>
        </w:rPr>
        <w:t>）提供</w:t>
      </w:r>
      <w:r>
        <w:rPr>
          <w:rFonts w:ascii="宋体" w:hAnsi="宋体"/>
          <w:sz w:val="24"/>
        </w:rPr>
        <w:t>CPU</w:t>
      </w:r>
      <w:r>
        <w:rPr>
          <w:rFonts w:hint="eastAsia" w:ascii="宋体" w:hAnsi="宋体"/>
          <w:sz w:val="24"/>
        </w:rPr>
        <w:t>利用率和内存利用率。</w:t>
      </w:r>
    </w:p>
    <w:p>
      <w:pPr>
        <w:spacing w:line="360" w:lineRule="auto"/>
        <w:rPr>
          <w:rFonts w:ascii="宋体" w:hAnsi="宋体"/>
          <w:sz w:val="24"/>
        </w:rPr>
      </w:pPr>
      <w:r>
        <w:rPr>
          <w:rFonts w:ascii="宋体" w:hAnsi="宋体"/>
          <w:sz w:val="24"/>
        </w:rPr>
        <w:t>2.7.5</w:t>
      </w:r>
      <w:r>
        <w:rPr>
          <w:rFonts w:hint="eastAsia" w:ascii="宋体" w:hAnsi="宋体"/>
          <w:sz w:val="24"/>
        </w:rPr>
        <w:t>安全管理</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要求提供充分的保护机制，避免受到恶意侵入或误操作所引起的破坏。</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应能对每个管理员单独设置登录名、口令、操作范围、权限。</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对传送的网管信息报文中共同体名称提供加密机制。</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4</w:t>
      </w:r>
      <w:r>
        <w:rPr>
          <w:rFonts w:hint="eastAsia" w:ascii="宋体" w:hAnsi="宋体"/>
          <w:sz w:val="24"/>
        </w:rPr>
        <w:t>）提供安全日志与安全告警，对管理员的登录历史与操作内容进行记录，对危害安全的操作进行告警，安全日志的管理由最高权限的管理员负责。</w:t>
      </w:r>
    </w:p>
    <w:p>
      <w:pPr>
        <w:spacing w:line="360" w:lineRule="auto"/>
        <w:rPr>
          <w:rFonts w:ascii="宋体" w:hAnsi="宋体"/>
          <w:sz w:val="24"/>
        </w:rPr>
      </w:pPr>
      <w:r>
        <w:rPr>
          <w:rFonts w:ascii="宋体" w:hAnsi="宋体"/>
          <w:sz w:val="24"/>
        </w:rPr>
        <w:t>5</w:t>
      </w:r>
      <w:r>
        <w:rPr>
          <w:rFonts w:hint="eastAsia" w:ascii="宋体" w:hAnsi="宋体"/>
          <w:sz w:val="24"/>
        </w:rPr>
        <w:t>）</w:t>
      </w:r>
      <w:r>
        <w:rPr>
          <w:rFonts w:ascii="宋体" w:hAnsi="宋体"/>
          <w:sz w:val="24"/>
        </w:rPr>
        <w:tab/>
      </w:r>
      <w:r>
        <w:rPr>
          <w:rFonts w:hint="eastAsia" w:ascii="宋体" w:hAnsi="宋体"/>
          <w:sz w:val="24"/>
        </w:rPr>
        <w:t>对一些重要的操作提供操作撤消功能。</w:t>
      </w:r>
    </w:p>
    <w:p>
      <w:pPr>
        <w:spacing w:line="360" w:lineRule="auto"/>
        <w:rPr>
          <w:rFonts w:ascii="宋体" w:hAnsi="宋体"/>
          <w:sz w:val="24"/>
        </w:rPr>
      </w:pPr>
      <w:r>
        <w:rPr>
          <w:rFonts w:ascii="宋体" w:hAnsi="宋体"/>
          <w:sz w:val="24"/>
        </w:rPr>
        <w:t>2.7.6</w:t>
      </w:r>
      <w:r>
        <w:rPr>
          <w:rFonts w:hint="eastAsia" w:ascii="宋体" w:hAnsi="宋体"/>
          <w:sz w:val="24"/>
        </w:rPr>
        <w:t>故障管理</w:t>
      </w:r>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能自动实时监测本管理域内的网元状态：如正常、测试中、故障，并能直观地反映在操作界面上（如用不同颜色的图形表示），并提供声音报警。</w:t>
      </w:r>
    </w:p>
    <w:p>
      <w:pPr>
        <w:spacing w:line="360" w:lineRule="auto"/>
        <w:rPr>
          <w:rFonts w:ascii="宋体" w:hAnsi="宋体"/>
          <w:sz w:val="24"/>
        </w:rPr>
      </w:pPr>
      <w:r>
        <w:rPr>
          <w:rFonts w:ascii="宋体" w:hAnsi="宋体"/>
          <w:sz w:val="24"/>
        </w:rPr>
        <w:t>2</w:t>
      </w:r>
      <w:r>
        <w:rPr>
          <w:rFonts w:hint="eastAsia" w:ascii="宋体" w:hAnsi="宋体"/>
          <w:sz w:val="24"/>
        </w:rPr>
        <w:t>）</w:t>
      </w:r>
      <w:r>
        <w:rPr>
          <w:rFonts w:ascii="宋体" w:hAnsi="宋体"/>
          <w:sz w:val="24"/>
        </w:rPr>
        <w:tab/>
      </w:r>
      <w:r>
        <w:rPr>
          <w:rFonts w:hint="eastAsia" w:ascii="宋体" w:hAnsi="宋体"/>
          <w:sz w:val="24"/>
        </w:rPr>
        <w:t>应能提供合理、可靠的方式进行故障定位，能在物理层和链路层的不同方向上做环路测试，报告测试结果。</w:t>
      </w:r>
    </w:p>
    <w:p>
      <w:pPr>
        <w:spacing w:line="360" w:lineRule="auto"/>
        <w:rPr>
          <w:rFonts w:ascii="宋体" w:hAnsi="宋体"/>
          <w:sz w:val="24"/>
        </w:rPr>
      </w:pPr>
      <w:r>
        <w:rPr>
          <w:rFonts w:ascii="宋体" w:hAnsi="宋体"/>
          <w:sz w:val="24"/>
        </w:rPr>
        <w:t>3</w:t>
      </w:r>
      <w:r>
        <w:rPr>
          <w:rFonts w:hint="eastAsia" w:ascii="宋体" w:hAnsi="宋体"/>
          <w:sz w:val="24"/>
        </w:rPr>
        <w:t>）</w:t>
      </w:r>
      <w:r>
        <w:rPr>
          <w:rFonts w:ascii="宋体" w:hAnsi="宋体"/>
          <w:sz w:val="24"/>
        </w:rPr>
        <w:tab/>
      </w:r>
      <w:r>
        <w:rPr>
          <w:rFonts w:hint="eastAsia" w:ascii="宋体" w:hAnsi="宋体"/>
          <w:sz w:val="24"/>
        </w:rPr>
        <w:t>对故障发生的时间、位置、类型、原因、恢复时间等进行统计分析并分类处理，要求输出到文件系统或外设。</w:t>
      </w:r>
    </w:p>
    <w:p>
      <w:pPr>
        <w:spacing w:line="360" w:lineRule="auto"/>
        <w:outlineLvl w:val="2"/>
        <w:rPr>
          <w:rFonts w:ascii="宋体" w:hAnsi="宋体"/>
          <w:sz w:val="24"/>
        </w:rPr>
      </w:pPr>
      <w:bookmarkStart w:id="13" w:name="_Toc101548094"/>
      <w:r>
        <w:rPr>
          <w:rFonts w:ascii="宋体" w:hAnsi="宋体"/>
          <w:sz w:val="24"/>
        </w:rPr>
        <w:t>2.8 IPV6</w:t>
      </w:r>
      <w:bookmarkEnd w:id="13"/>
    </w:p>
    <w:p>
      <w:pPr>
        <w:spacing w:line="360" w:lineRule="auto"/>
        <w:rPr>
          <w:rFonts w:ascii="宋体" w:hAnsi="宋体"/>
          <w:sz w:val="24"/>
        </w:rPr>
      </w:pPr>
      <w:r>
        <w:rPr>
          <w:rFonts w:ascii="宋体" w:hAnsi="宋体"/>
          <w:sz w:val="24"/>
        </w:rPr>
        <w:t>1</w:t>
      </w:r>
      <w:r>
        <w:rPr>
          <w:rFonts w:hint="eastAsia" w:ascii="宋体" w:hAnsi="宋体"/>
          <w:sz w:val="24"/>
        </w:rPr>
        <w:t>）</w:t>
      </w:r>
      <w:r>
        <w:rPr>
          <w:rFonts w:ascii="宋体" w:hAnsi="宋体"/>
          <w:sz w:val="24"/>
        </w:rPr>
        <w:tab/>
      </w:r>
      <w:r>
        <w:rPr>
          <w:rFonts w:hint="eastAsia" w:ascii="宋体" w:hAnsi="宋体"/>
          <w:sz w:val="24"/>
        </w:rPr>
        <w:t>供应商应说明设备目前对</w:t>
      </w:r>
      <w:r>
        <w:rPr>
          <w:rFonts w:ascii="宋体" w:hAnsi="宋体"/>
          <w:sz w:val="24"/>
        </w:rPr>
        <w:t xml:space="preserve">IPV6 </w:t>
      </w:r>
      <w:r>
        <w:rPr>
          <w:rFonts w:hint="eastAsia" w:ascii="宋体" w:hAnsi="宋体"/>
          <w:sz w:val="24"/>
        </w:rPr>
        <w:t>的支持能力及将来的发展计划，并说明与其他厂家的互通情况，包括软件版本、硬件配置、数据包转发性能。</w:t>
      </w:r>
    </w:p>
    <w:p>
      <w:pPr>
        <w:spacing w:line="360" w:lineRule="auto"/>
        <w:rPr>
          <w:rFonts w:ascii="宋体" w:hAnsi="宋体"/>
          <w:sz w:val="24"/>
        </w:rPr>
      </w:pPr>
      <w:r>
        <w:rPr>
          <w:rFonts w:hint="eastAsia" w:ascii="宋体" w:hAnsi="宋体" w:cs="宋体"/>
          <w:color w:val="000000"/>
          <w:kern w:val="0"/>
          <w:sz w:val="24"/>
        </w:rPr>
        <w:t>★</w:t>
      </w:r>
      <w:r>
        <w:rPr>
          <w:rFonts w:ascii="宋体" w:hAnsi="宋体"/>
          <w:sz w:val="24"/>
        </w:rPr>
        <w:t>2</w:t>
      </w:r>
      <w:r>
        <w:rPr>
          <w:rFonts w:hint="eastAsia" w:ascii="宋体" w:hAnsi="宋体"/>
          <w:sz w:val="24"/>
        </w:rPr>
        <w:t>）设备必须支持对</w:t>
      </w:r>
      <w:r>
        <w:rPr>
          <w:rFonts w:ascii="宋体" w:hAnsi="宋体"/>
          <w:sz w:val="24"/>
        </w:rPr>
        <w:t>IPV6</w:t>
      </w:r>
      <w:r>
        <w:rPr>
          <w:rFonts w:hint="eastAsia" w:ascii="宋体" w:hAnsi="宋体"/>
          <w:sz w:val="24"/>
        </w:rPr>
        <w:t>数据包的硬件转发，供应商必须支持</w:t>
      </w:r>
      <w:r>
        <w:rPr>
          <w:rFonts w:ascii="宋体" w:hAnsi="宋体"/>
          <w:sz w:val="24"/>
        </w:rPr>
        <w:t>Ipv4</w:t>
      </w:r>
      <w:r>
        <w:rPr>
          <w:rFonts w:hint="eastAsia" w:ascii="宋体" w:hAnsi="宋体"/>
          <w:sz w:val="24"/>
        </w:rPr>
        <w:t>、</w:t>
      </w:r>
      <w:r>
        <w:rPr>
          <w:rFonts w:ascii="宋体" w:hAnsi="宋体"/>
          <w:sz w:val="24"/>
        </w:rPr>
        <w:t>Ipv6</w:t>
      </w:r>
      <w:r>
        <w:rPr>
          <w:rFonts w:hint="eastAsia" w:ascii="宋体" w:hAnsi="宋体"/>
          <w:sz w:val="24"/>
        </w:rPr>
        <w:t>用户的同时接入。</w:t>
      </w:r>
    </w:p>
    <w:p>
      <w:pPr>
        <w:spacing w:line="360" w:lineRule="auto"/>
        <w:outlineLvl w:val="2"/>
        <w:rPr>
          <w:rFonts w:ascii="宋体" w:hAnsi="宋体"/>
          <w:sz w:val="24"/>
        </w:rPr>
      </w:pPr>
      <w:bookmarkStart w:id="14" w:name="_Toc101548095"/>
      <w:r>
        <w:rPr>
          <w:rFonts w:ascii="宋体" w:hAnsi="宋体"/>
          <w:sz w:val="24"/>
        </w:rPr>
        <w:t xml:space="preserve">2.9 </w:t>
      </w:r>
      <w:r>
        <w:rPr>
          <w:rFonts w:hint="eastAsia" w:ascii="宋体" w:hAnsi="宋体"/>
          <w:sz w:val="24"/>
        </w:rPr>
        <w:t>供应商需提供的其它技术资料</w:t>
      </w:r>
      <w:bookmarkEnd w:id="14"/>
    </w:p>
    <w:p>
      <w:pPr>
        <w:spacing w:line="360" w:lineRule="auto"/>
        <w:rPr>
          <w:rFonts w:ascii="宋体" w:hAnsi="宋体"/>
          <w:sz w:val="24"/>
        </w:rPr>
      </w:pPr>
      <w:r>
        <w:rPr>
          <w:rFonts w:ascii="宋体" w:hAnsi="宋体"/>
          <w:sz w:val="24"/>
        </w:rPr>
        <w:t>1</w:t>
      </w:r>
      <w:r>
        <w:rPr>
          <w:rFonts w:hint="eastAsia" w:ascii="宋体" w:hAnsi="宋体"/>
          <w:sz w:val="24"/>
        </w:rPr>
        <w:t>）供应商应提供交换机的处理结构、交换结构、总线带宽、接口带宽（内部接口），说明交换机关键模块倒换机制，倒换对业务的影响等。</w:t>
      </w:r>
    </w:p>
    <w:p>
      <w:pPr>
        <w:spacing w:line="360" w:lineRule="auto"/>
        <w:rPr>
          <w:rFonts w:ascii="宋体" w:hAnsi="宋体"/>
          <w:sz w:val="24"/>
        </w:rPr>
      </w:pPr>
      <w:r>
        <w:rPr>
          <w:rFonts w:ascii="宋体" w:hAnsi="宋体"/>
          <w:sz w:val="24"/>
        </w:rPr>
        <w:t>2</w:t>
      </w:r>
      <w:r>
        <w:rPr>
          <w:rFonts w:hint="eastAsia" w:ascii="宋体" w:hAnsi="宋体"/>
          <w:sz w:val="24"/>
        </w:rPr>
        <w:t>）供应商应提供交换机的最大负载能力</w:t>
      </w:r>
      <w:r>
        <w:rPr>
          <w:rFonts w:ascii="宋体" w:hAnsi="宋体"/>
          <w:sz w:val="24"/>
        </w:rPr>
        <w:t>(</w:t>
      </w:r>
      <w:r>
        <w:rPr>
          <w:rFonts w:hint="eastAsia" w:ascii="宋体" w:hAnsi="宋体"/>
          <w:sz w:val="24"/>
        </w:rPr>
        <w:t>最大可容纳模块数、端口数及端口速率</w:t>
      </w:r>
      <w:r>
        <w:rPr>
          <w:rFonts w:ascii="宋体" w:hAnsi="宋体"/>
          <w:sz w:val="24"/>
        </w:rPr>
        <w:t>)</w:t>
      </w:r>
      <w:r>
        <w:rPr>
          <w:rFonts w:hint="eastAsia" w:ascii="宋体" w:hAnsi="宋体"/>
          <w:sz w:val="24"/>
        </w:rPr>
        <w:t>。</w:t>
      </w:r>
    </w:p>
    <w:p>
      <w:pPr>
        <w:spacing w:line="360" w:lineRule="auto"/>
        <w:rPr>
          <w:rFonts w:ascii="宋体" w:hAnsi="宋体"/>
          <w:sz w:val="24"/>
        </w:rPr>
      </w:pPr>
      <w:r>
        <w:rPr>
          <w:rFonts w:ascii="宋体" w:hAnsi="宋体"/>
          <w:sz w:val="24"/>
        </w:rPr>
        <w:t>3</w:t>
      </w:r>
      <w:r>
        <w:rPr>
          <w:rFonts w:hint="eastAsia" w:ascii="宋体" w:hAnsi="宋体"/>
          <w:sz w:val="24"/>
        </w:rPr>
        <w:t>）供应商应提供交换机在</w:t>
      </w:r>
      <w:r>
        <w:rPr>
          <w:rFonts w:ascii="宋体" w:hAnsi="宋体"/>
          <w:sz w:val="24"/>
        </w:rPr>
        <w:t>10%</w:t>
      </w:r>
      <w:r>
        <w:rPr>
          <w:rFonts w:hint="eastAsia" w:ascii="宋体" w:hAnsi="宋体"/>
          <w:sz w:val="24"/>
        </w:rPr>
        <w:t>负载和</w:t>
      </w:r>
      <w:r>
        <w:rPr>
          <w:rFonts w:ascii="宋体" w:hAnsi="宋体"/>
          <w:sz w:val="24"/>
        </w:rPr>
        <w:t>80%</w:t>
      </w:r>
      <w:r>
        <w:rPr>
          <w:rFonts w:hint="eastAsia" w:ascii="宋体" w:hAnsi="宋体"/>
          <w:sz w:val="24"/>
        </w:rPr>
        <w:t>负载情况下对下列</w:t>
      </w:r>
      <w:r>
        <w:rPr>
          <w:rFonts w:ascii="宋体" w:hAnsi="宋体"/>
          <w:sz w:val="24"/>
        </w:rPr>
        <w:t>IP</w:t>
      </w:r>
      <w:r>
        <w:rPr>
          <w:rFonts w:hint="eastAsia" w:ascii="宋体" w:hAnsi="宋体"/>
          <w:sz w:val="24"/>
        </w:rPr>
        <w:t>包处理性能指标：</w:t>
      </w:r>
      <w:r>
        <w:rPr>
          <w:rFonts w:ascii="宋体" w:hAnsi="宋体"/>
          <w:sz w:val="24"/>
        </w:rPr>
        <w:t>IP</w:t>
      </w:r>
      <w:r>
        <w:rPr>
          <w:rFonts w:hint="eastAsia" w:ascii="宋体" w:hAnsi="宋体"/>
          <w:sz w:val="24"/>
        </w:rPr>
        <w:t>包丢失率、</w:t>
      </w:r>
      <w:r>
        <w:rPr>
          <w:rFonts w:ascii="宋体" w:hAnsi="宋体"/>
          <w:sz w:val="24"/>
        </w:rPr>
        <w:t>IP</w:t>
      </w:r>
      <w:r>
        <w:rPr>
          <w:rFonts w:hint="eastAsia" w:ascii="宋体" w:hAnsi="宋体"/>
          <w:sz w:val="24"/>
        </w:rPr>
        <w:t>包错包率、</w:t>
      </w:r>
      <w:r>
        <w:rPr>
          <w:rFonts w:ascii="宋体" w:hAnsi="宋体"/>
          <w:sz w:val="24"/>
        </w:rPr>
        <w:t>IP</w:t>
      </w:r>
      <w:r>
        <w:rPr>
          <w:rFonts w:hint="eastAsia" w:ascii="宋体" w:hAnsi="宋体"/>
          <w:sz w:val="24"/>
        </w:rPr>
        <w:t>包传输时延，并说明上述指标所基于的具体条件</w:t>
      </w:r>
      <w:r>
        <w:rPr>
          <w:rFonts w:ascii="宋体" w:hAnsi="宋体"/>
          <w:sz w:val="24"/>
        </w:rPr>
        <w:t>(</w:t>
      </w:r>
      <w:r>
        <w:rPr>
          <w:rFonts w:hint="eastAsia" w:ascii="宋体" w:hAnsi="宋体"/>
          <w:sz w:val="24"/>
        </w:rPr>
        <w:t>包长、带宽等</w:t>
      </w:r>
      <w:r>
        <w:rPr>
          <w:rFonts w:ascii="宋体" w:hAnsi="宋体"/>
          <w:sz w:val="24"/>
        </w:rPr>
        <w:t>)</w:t>
      </w:r>
      <w:r>
        <w:rPr>
          <w:rFonts w:hint="eastAsia" w:ascii="宋体" w:hAnsi="宋体"/>
          <w:sz w:val="24"/>
        </w:rPr>
        <w:t>。所有接口应提供线速转发能力。</w:t>
      </w:r>
    </w:p>
    <w:p>
      <w:pPr>
        <w:spacing w:line="360" w:lineRule="auto"/>
        <w:rPr>
          <w:rFonts w:ascii="宋体" w:hAnsi="宋体"/>
          <w:sz w:val="24"/>
        </w:rPr>
      </w:pPr>
      <w:r>
        <w:rPr>
          <w:rFonts w:ascii="宋体" w:hAnsi="宋体"/>
          <w:sz w:val="24"/>
        </w:rPr>
        <w:t>4</w:t>
      </w:r>
      <w:r>
        <w:rPr>
          <w:rFonts w:hint="eastAsia" w:ascii="宋体" w:hAnsi="宋体"/>
          <w:sz w:val="24"/>
        </w:rPr>
        <w:t>）供应商应提供交换机在</w:t>
      </w:r>
      <w:r>
        <w:rPr>
          <w:rFonts w:ascii="宋体" w:hAnsi="宋体"/>
          <w:sz w:val="24"/>
        </w:rPr>
        <w:t>10%</w:t>
      </w:r>
      <w:r>
        <w:rPr>
          <w:rFonts w:hint="eastAsia" w:ascii="宋体" w:hAnsi="宋体"/>
          <w:sz w:val="24"/>
        </w:rPr>
        <w:t>负载和</w:t>
      </w:r>
      <w:r>
        <w:rPr>
          <w:rFonts w:ascii="宋体" w:hAnsi="宋体"/>
          <w:sz w:val="24"/>
        </w:rPr>
        <w:t>80%</w:t>
      </w:r>
      <w:r>
        <w:rPr>
          <w:rFonts w:hint="eastAsia" w:ascii="宋体" w:hAnsi="宋体"/>
          <w:sz w:val="24"/>
        </w:rPr>
        <w:t>负载情况下开放组播业务时的性能指标：支持的最大组播组数目，在组播条件下转发性能指标（包丢失率、错包率、包传输延迟等）。</w:t>
      </w:r>
    </w:p>
    <w:p>
      <w:pPr>
        <w:spacing w:line="360" w:lineRule="auto"/>
        <w:rPr>
          <w:rFonts w:ascii="宋体" w:hAnsi="宋体"/>
          <w:sz w:val="24"/>
        </w:rPr>
      </w:pPr>
      <w:r>
        <w:rPr>
          <w:rFonts w:ascii="宋体" w:hAnsi="宋体"/>
          <w:sz w:val="24"/>
        </w:rPr>
        <w:t>5</w:t>
      </w:r>
      <w:r>
        <w:rPr>
          <w:rFonts w:hint="eastAsia" w:ascii="宋体" w:hAnsi="宋体"/>
          <w:sz w:val="24"/>
        </w:rPr>
        <w:t>）网络设备应根据用户所在网段、应用类型、流量大小等自动对业务进行分类。供应商应提供交换机用户分类能够依据的报文信息字段、每接口模块和整机能够实施的规则数目，并说明业务分类对性能的影响。</w:t>
      </w:r>
    </w:p>
    <w:p>
      <w:pPr>
        <w:spacing w:line="360" w:lineRule="auto"/>
        <w:rPr>
          <w:rFonts w:ascii="宋体" w:hAnsi="宋体"/>
          <w:sz w:val="24"/>
        </w:rPr>
      </w:pPr>
      <w:r>
        <w:rPr>
          <w:rFonts w:ascii="宋体" w:hAnsi="宋体"/>
          <w:sz w:val="24"/>
        </w:rPr>
        <w:t>6</w:t>
      </w:r>
      <w:r>
        <w:rPr>
          <w:rFonts w:hint="eastAsia" w:ascii="宋体" w:hAnsi="宋体"/>
          <w:sz w:val="24"/>
        </w:rPr>
        <w:t>）设备应提供先进的拥塞控制机制，对不同等级的业务进行不同的处理，设备应该支持为每个队列（或用户）分配相对独立的带宽资源，为所有的应用提供不同的时延、不同的时延抖动、不同的带宽保证和不同的丢包率等。供应商应提供交换机每接口模块能够提供的队列数目、可以实施的队列调度算法、以及队列对性能的综合影响。</w:t>
      </w:r>
    </w:p>
    <w:p>
      <w:pPr>
        <w:spacing w:line="360" w:lineRule="auto"/>
        <w:rPr>
          <w:rFonts w:ascii="宋体" w:hAnsi="宋体"/>
          <w:sz w:val="24"/>
        </w:rPr>
      </w:pPr>
      <w:r>
        <w:rPr>
          <w:rFonts w:ascii="宋体" w:hAnsi="宋体"/>
          <w:sz w:val="24"/>
        </w:rPr>
        <w:t>7</w:t>
      </w:r>
      <w:r>
        <w:rPr>
          <w:rFonts w:hint="eastAsia" w:ascii="宋体" w:hAnsi="宋体"/>
          <w:sz w:val="24"/>
        </w:rPr>
        <w:t>）供应商应结合本项目交换机设备配置，提供完善的</w:t>
      </w:r>
      <w:r>
        <w:rPr>
          <w:rFonts w:ascii="宋体" w:hAnsi="宋体"/>
          <w:sz w:val="24"/>
        </w:rPr>
        <w:t>QoS</w:t>
      </w:r>
      <w:r>
        <w:rPr>
          <w:rFonts w:hint="eastAsia" w:ascii="宋体" w:hAnsi="宋体"/>
          <w:sz w:val="24"/>
        </w:rPr>
        <w:t>实现方案，包括具体的设置和操作，对性能的影响等，并能对组播业务提供良好的</w:t>
      </w:r>
      <w:r>
        <w:rPr>
          <w:rFonts w:ascii="宋体" w:hAnsi="宋体"/>
          <w:sz w:val="24"/>
        </w:rPr>
        <w:t>QoS</w:t>
      </w:r>
      <w:r>
        <w:rPr>
          <w:rFonts w:hint="eastAsia" w:ascii="宋体" w:hAnsi="宋体"/>
          <w:sz w:val="24"/>
        </w:rPr>
        <w:t>支持。</w:t>
      </w:r>
    </w:p>
    <w:p>
      <w:pPr>
        <w:spacing w:line="360" w:lineRule="auto"/>
        <w:rPr>
          <w:rFonts w:ascii="宋体" w:hAnsi="宋体"/>
          <w:sz w:val="24"/>
        </w:rPr>
      </w:pPr>
      <w:r>
        <w:rPr>
          <w:rFonts w:ascii="宋体" w:hAnsi="宋体"/>
          <w:sz w:val="24"/>
        </w:rPr>
        <w:t>8</w:t>
      </w:r>
      <w:r>
        <w:rPr>
          <w:rFonts w:hint="eastAsia" w:ascii="宋体" w:hAnsi="宋体"/>
          <w:sz w:val="24"/>
        </w:rPr>
        <w:t>）供应商应提供交换机以太网接口支持</w:t>
      </w:r>
      <w:r>
        <w:rPr>
          <w:rFonts w:ascii="宋体" w:hAnsi="宋体"/>
          <w:sz w:val="24"/>
        </w:rPr>
        <w:t>VLAN</w:t>
      </w:r>
      <w:r>
        <w:rPr>
          <w:rFonts w:hint="eastAsia" w:ascii="宋体" w:hAnsi="宋体"/>
          <w:sz w:val="24"/>
        </w:rPr>
        <w:t>数目、端口捆绑的最大数目。</w:t>
      </w:r>
    </w:p>
    <w:p>
      <w:pPr>
        <w:spacing w:line="360" w:lineRule="auto"/>
        <w:rPr>
          <w:rFonts w:ascii="宋体" w:hAnsi="宋体"/>
          <w:sz w:val="24"/>
        </w:rPr>
      </w:pPr>
      <w:r>
        <w:rPr>
          <w:rFonts w:ascii="宋体" w:hAnsi="宋体"/>
          <w:sz w:val="24"/>
        </w:rPr>
        <w:t>9</w:t>
      </w:r>
      <w:r>
        <w:rPr>
          <w:rFonts w:hint="eastAsia" w:ascii="宋体" w:hAnsi="宋体"/>
          <w:sz w:val="24"/>
        </w:rPr>
        <w:t>）供应商应提供交换机</w:t>
      </w:r>
      <w:r>
        <w:rPr>
          <w:rFonts w:ascii="宋体" w:hAnsi="宋体"/>
          <w:sz w:val="24"/>
        </w:rPr>
        <w:t>OSPF</w:t>
      </w:r>
      <w:r>
        <w:rPr>
          <w:rFonts w:hint="eastAsia" w:ascii="宋体" w:hAnsi="宋体"/>
          <w:sz w:val="24"/>
        </w:rPr>
        <w:t>协议的路由能力。</w:t>
      </w:r>
    </w:p>
    <w:p>
      <w:pPr>
        <w:spacing w:line="360" w:lineRule="auto"/>
        <w:rPr>
          <w:rFonts w:ascii="宋体" w:hAnsi="宋体"/>
          <w:sz w:val="24"/>
        </w:rPr>
      </w:pPr>
      <w:r>
        <w:rPr>
          <w:rFonts w:ascii="宋体" w:hAnsi="宋体"/>
          <w:sz w:val="24"/>
        </w:rPr>
        <w:t>10</w:t>
      </w:r>
      <w:r>
        <w:rPr>
          <w:rFonts w:hint="eastAsia" w:ascii="宋体" w:hAnsi="宋体"/>
          <w:sz w:val="24"/>
        </w:rPr>
        <w:t>）供应商应说明其交换机能够提供的其它业务功能，如快速路由倒换等。</w:t>
      </w:r>
    </w:p>
    <w:p>
      <w:pPr>
        <w:spacing w:line="360" w:lineRule="auto"/>
        <w:rPr>
          <w:rFonts w:ascii="宋体" w:hAnsi="宋体"/>
          <w:sz w:val="24"/>
        </w:rPr>
      </w:pPr>
      <w:r>
        <w:rPr>
          <w:rFonts w:ascii="宋体" w:hAnsi="宋体"/>
          <w:sz w:val="24"/>
        </w:rPr>
        <w:t>11</w:t>
      </w:r>
      <w:r>
        <w:rPr>
          <w:rFonts w:hint="eastAsia" w:ascii="宋体" w:hAnsi="宋体"/>
          <w:sz w:val="24"/>
        </w:rPr>
        <w:t>）</w:t>
      </w:r>
      <w:r>
        <w:rPr>
          <w:rFonts w:ascii="宋体" w:hAnsi="宋体"/>
          <w:sz w:val="24"/>
        </w:rPr>
        <w:tab/>
      </w:r>
      <w:r>
        <w:rPr>
          <w:rFonts w:hint="eastAsia" w:ascii="宋体" w:hAnsi="宋体"/>
          <w:sz w:val="24"/>
        </w:rPr>
        <w:t>供应商应提供其交换机基于端口、业务类型、源</w:t>
      </w:r>
      <w:r>
        <w:rPr>
          <w:rFonts w:ascii="宋体" w:hAnsi="宋体"/>
          <w:sz w:val="24"/>
        </w:rPr>
        <w:t>IP</w:t>
      </w:r>
      <w:r>
        <w:rPr>
          <w:rFonts w:hint="eastAsia" w:ascii="宋体" w:hAnsi="宋体"/>
          <w:sz w:val="24"/>
        </w:rPr>
        <w:t>地址、目的</w:t>
      </w:r>
      <w:r>
        <w:rPr>
          <w:rFonts w:ascii="宋体" w:hAnsi="宋体"/>
          <w:sz w:val="24"/>
        </w:rPr>
        <w:t>IP</w:t>
      </w:r>
      <w:r>
        <w:rPr>
          <w:rFonts w:hint="eastAsia" w:ascii="宋体" w:hAnsi="宋体"/>
          <w:sz w:val="24"/>
        </w:rPr>
        <w:t>地址的包数和字节数的统计能力（包括数量、对性能的影响）；应提供端到端的流量统计功能。</w:t>
      </w:r>
    </w:p>
    <w:p>
      <w:pPr>
        <w:spacing w:line="360" w:lineRule="auto"/>
        <w:rPr>
          <w:rFonts w:ascii="宋体" w:hAnsi="宋体"/>
          <w:sz w:val="24"/>
        </w:rPr>
      </w:pPr>
      <w:r>
        <w:rPr>
          <w:rFonts w:ascii="宋体" w:hAnsi="宋体"/>
          <w:sz w:val="24"/>
        </w:rPr>
        <w:t>12</w:t>
      </w:r>
      <w:r>
        <w:rPr>
          <w:rFonts w:hint="eastAsia" w:ascii="宋体" w:hAnsi="宋体"/>
          <w:sz w:val="24"/>
        </w:rPr>
        <w:t>）供应商所提供设备应支持网络管理和控制的机制，包括存储</w:t>
      </w:r>
      <w:r>
        <w:rPr>
          <w:rFonts w:ascii="宋体" w:hAnsi="宋体"/>
          <w:sz w:val="24"/>
        </w:rPr>
        <w:t>/</w:t>
      </w:r>
      <w:r>
        <w:rPr>
          <w:rFonts w:hint="eastAsia" w:ascii="宋体" w:hAnsi="宋体"/>
          <w:sz w:val="24"/>
        </w:rPr>
        <w:t>上载配置、诊断、升级、状态报告、异常情况报告及控制等。</w:t>
      </w:r>
    </w:p>
    <w:p>
      <w:pPr>
        <w:spacing w:line="360" w:lineRule="auto"/>
        <w:rPr>
          <w:rFonts w:ascii="宋体" w:hAnsi="宋体"/>
          <w:sz w:val="24"/>
        </w:rPr>
      </w:pPr>
      <w:r>
        <w:rPr>
          <w:rFonts w:ascii="宋体" w:hAnsi="宋体"/>
          <w:sz w:val="24"/>
        </w:rPr>
        <w:t>13</w:t>
      </w:r>
      <w:r>
        <w:rPr>
          <w:rFonts w:hint="eastAsia" w:ascii="宋体" w:hAnsi="宋体"/>
          <w:sz w:val="24"/>
        </w:rPr>
        <w:t>）供应商应提供本项目配置交换机（包括软件版本）的权威部门测试报告，应包括组播协议、</w:t>
      </w:r>
      <w:r>
        <w:rPr>
          <w:rFonts w:ascii="宋体" w:hAnsi="宋体"/>
          <w:sz w:val="24"/>
        </w:rPr>
        <w:t>QoS</w:t>
      </w:r>
      <w:r>
        <w:rPr>
          <w:rFonts w:hint="eastAsia" w:ascii="宋体" w:hAnsi="宋体"/>
          <w:sz w:val="24"/>
        </w:rPr>
        <w:t>、互连互通等方面的测试内容，并出示相关的测试表格。</w:t>
      </w:r>
    </w:p>
    <w:p>
      <w:pPr>
        <w:pStyle w:val="35"/>
        <w:spacing w:line="360" w:lineRule="auto"/>
        <w:ind w:firstLine="0" w:firstLineChars="0"/>
      </w:pPr>
      <w:r>
        <w:rPr>
          <w:rFonts w:ascii="宋体" w:hAnsi="宋体"/>
          <w:sz w:val="24"/>
          <w:szCs w:val="24"/>
        </w:rPr>
        <w:t>14</w:t>
      </w:r>
      <w:r>
        <w:rPr>
          <w:rFonts w:hint="eastAsia" w:ascii="宋体" w:hAnsi="宋体"/>
          <w:sz w:val="24"/>
          <w:szCs w:val="24"/>
        </w:rPr>
        <w:t>）供应商应详细说明与其它厂家产品（路由器、以太网交换机、传输设备）的互连、互通程度和能力。应列明目前可以实现组播互通的其他厂家设备型号，以及互通的功能及程度。</w:t>
      </w:r>
    </w:p>
    <w:p>
      <w:pPr>
        <w:tabs>
          <w:tab w:val="left" w:pos="1418"/>
        </w:tabs>
        <w:spacing w:line="360" w:lineRule="auto"/>
        <w:rPr>
          <w:rFonts w:ascii="宋体" w:hAnsi="宋体" w:cs="Arial"/>
          <w:b/>
          <w:sz w:val="28"/>
          <w:szCs w:val="28"/>
        </w:rPr>
      </w:pPr>
      <w:r>
        <w:rPr>
          <w:rFonts w:hint="eastAsia" w:ascii="宋体" w:hAnsi="宋体" w:cs="Arial"/>
          <w:b/>
          <w:sz w:val="28"/>
          <w:szCs w:val="28"/>
        </w:rPr>
        <w:t>三</w:t>
      </w:r>
      <w:r>
        <w:rPr>
          <w:rFonts w:ascii="宋体" w:hAnsi="宋体" w:cs="Arial"/>
          <w:b/>
          <w:sz w:val="28"/>
          <w:szCs w:val="28"/>
        </w:rPr>
        <w:t>、技术文件</w:t>
      </w:r>
    </w:p>
    <w:bookmarkEnd w:id="6"/>
    <w:bookmarkEnd w:id="7"/>
    <w:bookmarkEnd w:id="8"/>
    <w:bookmarkEnd w:id="9"/>
    <w:bookmarkEnd w:id="10"/>
    <w:bookmarkEnd w:id="11"/>
    <w:bookmarkEnd w:id="12"/>
    <w:p>
      <w:pPr>
        <w:spacing w:line="360" w:lineRule="auto"/>
        <w:ind w:firstLine="480" w:firstLineChars="200"/>
        <w:rPr>
          <w:rFonts w:ascii="宋体" w:hAnsi="宋体" w:cs="Arial"/>
          <w:sz w:val="24"/>
        </w:rPr>
      </w:pPr>
      <w:bookmarkStart w:id="15" w:name="_Toc232508609"/>
      <w:bookmarkStart w:id="16" w:name="_Toc232569821"/>
      <w:bookmarkStart w:id="17" w:name="_Toc508419541"/>
      <w:bookmarkStart w:id="18" w:name="_Toc223664668"/>
      <w:bookmarkStart w:id="19" w:name="_Toc508503874"/>
      <w:bookmarkStart w:id="20" w:name="_Toc232569079"/>
      <w:bookmarkStart w:id="21" w:name="_Toc198014402"/>
      <w:bookmarkStart w:id="22" w:name="_Toc73889444"/>
      <w:bookmarkStart w:id="23" w:name="_Toc178493859"/>
      <w:bookmarkStart w:id="24" w:name="_Toc232569031"/>
      <w:bookmarkStart w:id="25" w:name="_Toc232569013"/>
      <w:r>
        <w:rPr>
          <w:rFonts w:hint="eastAsia" w:ascii="宋体" w:hAnsi="宋体" w:cs="Arial"/>
          <w:sz w:val="24"/>
        </w:rPr>
        <w:t xml:space="preserve">1. </w:t>
      </w:r>
      <w:r>
        <w:rPr>
          <w:rFonts w:hint="eastAsia" w:ascii="Arial" w:hAnsi="Arial" w:cs="Arial"/>
          <w:sz w:val="24"/>
        </w:rPr>
        <w:t>应答</w:t>
      </w:r>
      <w:r>
        <w:rPr>
          <w:rFonts w:hint="eastAsia" w:ascii="宋体" w:hAnsi="宋体"/>
          <w:sz w:val="24"/>
        </w:rPr>
        <w:t>人</w:t>
      </w:r>
      <w:bookmarkEnd w:id="15"/>
      <w:bookmarkEnd w:id="16"/>
      <w:bookmarkEnd w:id="17"/>
      <w:bookmarkEnd w:id="18"/>
      <w:bookmarkEnd w:id="19"/>
      <w:bookmarkEnd w:id="20"/>
      <w:bookmarkEnd w:id="21"/>
      <w:bookmarkEnd w:id="22"/>
      <w:bookmarkEnd w:id="23"/>
      <w:bookmarkEnd w:id="24"/>
      <w:bookmarkEnd w:id="25"/>
      <w:r>
        <w:rPr>
          <w:rFonts w:ascii="宋体" w:hAnsi="宋体" w:cs="Arial"/>
          <w:sz w:val="24"/>
        </w:rPr>
        <w:t>提供的技术资料应是能确保系统运行所需的管理、运营、及维护等有关的全套技术资料，响应文件中应列出将提供的技术资料详细清单。</w:t>
      </w:r>
      <w:r>
        <w:rPr>
          <w:rFonts w:hint="eastAsia" w:ascii="Arial" w:hAnsi="Arial" w:cs="Arial"/>
          <w:sz w:val="24"/>
        </w:rPr>
        <w:t>应答</w:t>
      </w:r>
      <w:r>
        <w:rPr>
          <w:rFonts w:hint="eastAsia" w:ascii="宋体" w:hAnsi="宋体"/>
          <w:sz w:val="24"/>
        </w:rPr>
        <w:t>人</w:t>
      </w:r>
      <w:r>
        <w:rPr>
          <w:rFonts w:ascii="宋体" w:hAnsi="宋体" w:cs="Arial"/>
          <w:sz w:val="24"/>
        </w:rPr>
        <w:t>提供的技术文件至少应包括：</w:t>
      </w:r>
    </w:p>
    <w:p>
      <w:pPr>
        <w:spacing w:line="360" w:lineRule="auto"/>
        <w:ind w:firstLine="480" w:firstLineChars="200"/>
        <w:rPr>
          <w:rFonts w:ascii="宋体" w:hAnsi="宋体" w:cs="Arial"/>
          <w:sz w:val="24"/>
        </w:rPr>
      </w:pPr>
      <w:r>
        <w:rPr>
          <w:rFonts w:hint="eastAsia" w:ascii="宋体" w:hAnsi="宋体" w:cs="Arial"/>
          <w:sz w:val="24"/>
        </w:rPr>
        <w:t>（1）</w:t>
      </w:r>
      <w:r>
        <w:rPr>
          <w:rFonts w:ascii="宋体" w:hAnsi="宋体" w:cs="Arial"/>
          <w:sz w:val="24"/>
        </w:rPr>
        <w:t>系统说明文件；</w:t>
      </w:r>
    </w:p>
    <w:p>
      <w:pPr>
        <w:spacing w:line="360" w:lineRule="auto"/>
        <w:ind w:firstLine="480" w:firstLineChars="200"/>
        <w:rPr>
          <w:rFonts w:ascii="宋体" w:hAnsi="宋体" w:cs="Arial"/>
          <w:sz w:val="24"/>
        </w:rPr>
      </w:pPr>
      <w:r>
        <w:rPr>
          <w:rFonts w:hint="eastAsia" w:ascii="宋体" w:hAnsi="宋体" w:cs="Arial"/>
          <w:sz w:val="24"/>
        </w:rPr>
        <w:t>（2）</w:t>
      </w:r>
      <w:r>
        <w:rPr>
          <w:rFonts w:ascii="宋体" w:hAnsi="宋体" w:cs="Arial"/>
          <w:sz w:val="24"/>
        </w:rPr>
        <w:t>技术手册（安装、操作、维护、</w:t>
      </w:r>
      <w:r>
        <w:rPr>
          <w:rFonts w:hint="eastAsia" w:ascii="宋体" w:hAnsi="宋体" w:cs="Arial"/>
          <w:sz w:val="24"/>
        </w:rPr>
        <w:t>优化、</w:t>
      </w:r>
      <w:r>
        <w:rPr>
          <w:rFonts w:ascii="宋体" w:hAnsi="宋体" w:cs="Arial"/>
          <w:sz w:val="24"/>
        </w:rPr>
        <w:t>故障排除等）；</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Arial" w:hAnsi="Arial" w:cs="Arial"/>
          <w:sz w:val="24"/>
        </w:rPr>
        <w:t>应答</w:t>
      </w:r>
      <w:r>
        <w:rPr>
          <w:rFonts w:hint="eastAsia" w:ascii="宋体" w:hAnsi="宋体"/>
          <w:sz w:val="24"/>
        </w:rPr>
        <w:t>人</w:t>
      </w:r>
      <w:r>
        <w:rPr>
          <w:rFonts w:ascii="宋体" w:hAnsi="宋体" w:cs="Arial"/>
          <w:sz w:val="24"/>
        </w:rPr>
        <w:t>应在技术及服务书中列出提供的书面技术资料详细清单；</w:t>
      </w:r>
    </w:p>
    <w:p>
      <w:pPr>
        <w:spacing w:line="360" w:lineRule="auto"/>
        <w:ind w:firstLine="480" w:firstLineChars="200"/>
        <w:rPr>
          <w:rFonts w:ascii="宋体" w:hAnsi="宋体" w:cs="Arial"/>
          <w:sz w:val="24"/>
        </w:rPr>
      </w:pPr>
      <w:r>
        <w:rPr>
          <w:rFonts w:hint="eastAsia" w:ascii="宋体" w:hAnsi="宋体" w:cs="Arial"/>
          <w:sz w:val="24"/>
        </w:rPr>
        <w:t>（4）</w:t>
      </w:r>
      <w:r>
        <w:rPr>
          <w:rFonts w:ascii="宋体" w:hAnsi="宋体" w:cs="Arial"/>
          <w:sz w:val="24"/>
        </w:rPr>
        <w:t>提供基于业务开放和日常维护的规范操作说明。</w:t>
      </w:r>
    </w:p>
    <w:p>
      <w:pPr>
        <w:spacing w:line="360" w:lineRule="auto"/>
        <w:ind w:firstLine="480" w:firstLineChars="200"/>
        <w:rPr>
          <w:rFonts w:ascii="宋体" w:hAnsi="宋体" w:cs="Arial"/>
          <w:sz w:val="24"/>
        </w:rPr>
      </w:pPr>
      <w:r>
        <w:rPr>
          <w:rFonts w:hint="eastAsia" w:ascii="宋体" w:hAnsi="宋体" w:cs="Arial"/>
          <w:sz w:val="24"/>
        </w:rPr>
        <w:t xml:space="preserve">2. </w:t>
      </w:r>
      <w:r>
        <w:rPr>
          <w:rFonts w:ascii="宋体" w:hAnsi="宋体" w:cs="Arial"/>
          <w:sz w:val="24"/>
        </w:rPr>
        <w:t>在现场调试和试运行过程中</w:t>
      </w:r>
      <w:r>
        <w:rPr>
          <w:rFonts w:hint="eastAsia" w:ascii="Arial" w:hAnsi="Arial" w:cs="Arial"/>
          <w:sz w:val="24"/>
        </w:rPr>
        <w:t>应答</w:t>
      </w:r>
      <w:r>
        <w:rPr>
          <w:rFonts w:hint="eastAsia" w:ascii="宋体" w:hAnsi="宋体"/>
          <w:sz w:val="24"/>
        </w:rPr>
        <w:t>人</w:t>
      </w:r>
      <w:r>
        <w:rPr>
          <w:rFonts w:ascii="宋体" w:hAnsi="宋体" w:cs="Arial"/>
          <w:sz w:val="24"/>
        </w:rPr>
        <w:t>如果对软件、硬件作了改动，则必须修改技术文件，及时通知</w:t>
      </w:r>
      <w:r>
        <w:rPr>
          <w:rFonts w:hint="eastAsia" w:ascii="宋体" w:hAnsi="宋体" w:cs="Arial"/>
          <w:sz w:val="24"/>
        </w:rPr>
        <w:t>询价人</w:t>
      </w:r>
      <w:r>
        <w:rPr>
          <w:rFonts w:ascii="宋体" w:hAnsi="宋体" w:cs="Arial"/>
          <w:sz w:val="24"/>
        </w:rPr>
        <w:t>。软件的修改应将新老版本的软件清单、框图及说明提供给</w:t>
      </w:r>
      <w:r>
        <w:rPr>
          <w:rFonts w:hint="eastAsia" w:ascii="宋体" w:hAnsi="宋体" w:cs="Arial"/>
          <w:sz w:val="24"/>
        </w:rPr>
        <w:t>询价人</w:t>
      </w:r>
      <w:r>
        <w:rPr>
          <w:rFonts w:ascii="宋体" w:hAnsi="宋体" w:cs="Arial"/>
          <w:sz w:val="24"/>
        </w:rPr>
        <w:t>，所有文件均要求提供电子版。</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_x000B__x000C_">
    <w:altName w:val="Times New Roman"/>
    <w:panose1 w:val="00000000000000000000"/>
    <w:charset w:val="00"/>
    <w:family w:val="roman"/>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pStyle w:val="9"/>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qzqphzgEAAJcDAAAOAAAAAAAAAAEAIAAAAB8BAABkcnMv&#10;ZTJvRG9jLnhtbFBLBQYAAAAABgAGAFkBAABfBQ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22A7E"/>
    <w:multiLevelType w:val="singleLevel"/>
    <w:tmpl w:val="9FB22A7E"/>
    <w:lvl w:ilvl="0" w:tentative="0">
      <w:start w:val="1"/>
      <w:numFmt w:val="decimal"/>
      <w:lvlText w:val="(%1)"/>
      <w:lvlJc w:val="left"/>
      <w:pPr>
        <w:ind w:left="425" w:hanging="425"/>
      </w:pPr>
      <w:rPr>
        <w:rFonts w:hint="default"/>
      </w:rPr>
    </w:lvl>
  </w:abstractNum>
  <w:abstractNum w:abstractNumId="1">
    <w:nsid w:val="00000002"/>
    <w:multiLevelType w:val="multilevel"/>
    <w:tmpl w:val="00000002"/>
    <w:lvl w:ilvl="0" w:tentative="0">
      <w:start w:val="1"/>
      <w:numFmt w:val="decimal"/>
      <w:lvlText w:val="%1."/>
      <w:lvlJc w:val="left"/>
      <w:pPr>
        <w:tabs>
          <w:tab w:val="left" w:pos="1155"/>
        </w:tabs>
        <w:ind w:left="1155" w:hanging="735"/>
      </w:pPr>
      <w:rPr>
        <w:rFonts w:hint="default" w:ascii="Times New Roman" w:hAnsi="Times New Roman" w:eastAsia="宋体" w:cs="Times New Roman"/>
        <w:b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13"/>
    <w:multiLevelType w:val="multilevel"/>
    <w:tmpl w:val="00000013"/>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23"/>
        </w:tabs>
        <w:ind w:left="823" w:hanging="420"/>
      </w:pPr>
    </w:lvl>
    <w:lvl w:ilvl="2" w:tentative="0">
      <w:start w:val="1"/>
      <w:numFmt w:val="lowerRoman"/>
      <w:lvlText w:val="%3."/>
      <w:lvlJc w:val="right"/>
      <w:pPr>
        <w:tabs>
          <w:tab w:val="left" w:pos="1243"/>
        </w:tabs>
        <w:ind w:left="1243" w:hanging="420"/>
      </w:pPr>
    </w:lvl>
    <w:lvl w:ilvl="3" w:tentative="0">
      <w:start w:val="1"/>
      <w:numFmt w:val="decimal"/>
      <w:lvlText w:val="%4."/>
      <w:lvlJc w:val="left"/>
      <w:pPr>
        <w:tabs>
          <w:tab w:val="left" w:pos="1663"/>
        </w:tabs>
        <w:ind w:left="1663" w:hanging="420"/>
      </w:pPr>
    </w:lvl>
    <w:lvl w:ilvl="4" w:tentative="0">
      <w:start w:val="1"/>
      <w:numFmt w:val="lowerLetter"/>
      <w:lvlText w:val="%5)"/>
      <w:lvlJc w:val="left"/>
      <w:pPr>
        <w:tabs>
          <w:tab w:val="left" w:pos="2083"/>
        </w:tabs>
        <w:ind w:left="2083" w:hanging="420"/>
      </w:pPr>
    </w:lvl>
    <w:lvl w:ilvl="5" w:tentative="0">
      <w:start w:val="1"/>
      <w:numFmt w:val="lowerRoman"/>
      <w:lvlText w:val="%6."/>
      <w:lvlJc w:val="right"/>
      <w:pPr>
        <w:tabs>
          <w:tab w:val="left" w:pos="2503"/>
        </w:tabs>
        <w:ind w:left="2503" w:hanging="420"/>
      </w:pPr>
    </w:lvl>
    <w:lvl w:ilvl="6" w:tentative="0">
      <w:start w:val="1"/>
      <w:numFmt w:val="decimal"/>
      <w:lvlText w:val="%7."/>
      <w:lvlJc w:val="left"/>
      <w:pPr>
        <w:tabs>
          <w:tab w:val="left" w:pos="2923"/>
        </w:tabs>
        <w:ind w:left="2923" w:hanging="420"/>
      </w:pPr>
    </w:lvl>
    <w:lvl w:ilvl="7" w:tentative="0">
      <w:start w:val="1"/>
      <w:numFmt w:val="lowerLetter"/>
      <w:lvlText w:val="%8)"/>
      <w:lvlJc w:val="left"/>
      <w:pPr>
        <w:tabs>
          <w:tab w:val="left" w:pos="3343"/>
        </w:tabs>
        <w:ind w:left="3343" w:hanging="420"/>
      </w:pPr>
    </w:lvl>
    <w:lvl w:ilvl="8" w:tentative="0">
      <w:start w:val="1"/>
      <w:numFmt w:val="lowerRoman"/>
      <w:lvlText w:val="%9."/>
      <w:lvlJc w:val="right"/>
      <w:pPr>
        <w:tabs>
          <w:tab w:val="left" w:pos="3763"/>
        </w:tabs>
        <w:ind w:left="3763" w:hanging="420"/>
      </w:pPr>
    </w:lvl>
  </w:abstractNum>
  <w:abstractNum w:abstractNumId="3">
    <w:nsid w:val="01844B56"/>
    <w:multiLevelType w:val="multilevel"/>
    <w:tmpl w:val="01844B56"/>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1A9E5A70"/>
    <w:multiLevelType w:val="multilevel"/>
    <w:tmpl w:val="1A9E5A70"/>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F566137"/>
    <w:multiLevelType w:val="multilevel"/>
    <w:tmpl w:val="1F566137"/>
    <w:lvl w:ilvl="0" w:tentative="0">
      <w:start w:val="1"/>
      <w:numFmt w:val="decimal"/>
      <w:lvlText w:val="%1."/>
      <w:lvlJc w:val="left"/>
      <w:pPr>
        <w:tabs>
          <w:tab w:val="left" w:pos="690"/>
        </w:tabs>
        <w:ind w:left="690" w:hanging="360"/>
      </w:pPr>
      <w:rPr>
        <w:rFonts w:hint="eastAsia"/>
      </w:rPr>
    </w:lvl>
    <w:lvl w:ilvl="1" w:tentative="0">
      <w:start w:val="1"/>
      <w:numFmt w:val="decimal"/>
      <w:lvlText w:val="（%2）"/>
      <w:lvlJc w:val="left"/>
      <w:pPr>
        <w:tabs>
          <w:tab w:val="left" w:pos="1095"/>
        </w:tabs>
        <w:ind w:left="1095" w:hanging="735"/>
      </w:pPr>
      <w:rPr>
        <w:rFonts w:hint="eastAsia"/>
      </w:rPr>
    </w:lvl>
    <w:lvl w:ilvl="2" w:tentative="0">
      <w:start w:val="1"/>
      <w:numFmt w:val="japaneseCounting"/>
      <w:lvlText w:val="（%3）"/>
      <w:lvlJc w:val="left"/>
      <w:pPr>
        <w:ind w:left="1890" w:hanging="720"/>
      </w:pPr>
      <w:rPr>
        <w:rFonts w:hint="default"/>
      </w:rPr>
    </w:lvl>
    <w:lvl w:ilvl="3" w:tentative="0">
      <w:start w:val="1"/>
      <w:numFmt w:val="decimal"/>
      <w:lvlText w:val="%4."/>
      <w:lvlJc w:val="left"/>
      <w:pPr>
        <w:tabs>
          <w:tab w:val="left" w:pos="2010"/>
        </w:tabs>
        <w:ind w:left="2010" w:hanging="420"/>
      </w:pPr>
    </w:lvl>
    <w:lvl w:ilvl="4" w:tentative="0">
      <w:start w:val="1"/>
      <w:numFmt w:val="lowerLetter"/>
      <w:lvlText w:val="%5)"/>
      <w:lvlJc w:val="left"/>
      <w:pPr>
        <w:tabs>
          <w:tab w:val="left" w:pos="2430"/>
        </w:tabs>
        <w:ind w:left="2430" w:hanging="420"/>
      </w:pPr>
    </w:lvl>
    <w:lvl w:ilvl="5" w:tentative="0">
      <w:start w:val="1"/>
      <w:numFmt w:val="lowerRoman"/>
      <w:lvlText w:val="%6."/>
      <w:lvlJc w:val="right"/>
      <w:pPr>
        <w:tabs>
          <w:tab w:val="left" w:pos="2850"/>
        </w:tabs>
        <w:ind w:left="2850" w:hanging="420"/>
      </w:pPr>
    </w:lvl>
    <w:lvl w:ilvl="6" w:tentative="0">
      <w:start w:val="1"/>
      <w:numFmt w:val="decimal"/>
      <w:lvlText w:val="%7."/>
      <w:lvlJc w:val="left"/>
      <w:pPr>
        <w:tabs>
          <w:tab w:val="left" w:pos="3270"/>
        </w:tabs>
        <w:ind w:left="3270" w:hanging="420"/>
      </w:pPr>
    </w:lvl>
    <w:lvl w:ilvl="7" w:tentative="0">
      <w:start w:val="1"/>
      <w:numFmt w:val="lowerLetter"/>
      <w:lvlText w:val="%8)"/>
      <w:lvlJc w:val="left"/>
      <w:pPr>
        <w:tabs>
          <w:tab w:val="left" w:pos="3690"/>
        </w:tabs>
        <w:ind w:left="3690" w:hanging="420"/>
      </w:pPr>
    </w:lvl>
    <w:lvl w:ilvl="8" w:tentative="0">
      <w:start w:val="1"/>
      <w:numFmt w:val="lowerRoman"/>
      <w:lvlText w:val="%9."/>
      <w:lvlJc w:val="right"/>
      <w:pPr>
        <w:tabs>
          <w:tab w:val="left" w:pos="4110"/>
        </w:tabs>
        <w:ind w:left="4110" w:hanging="420"/>
      </w:pPr>
    </w:lvl>
  </w:abstractNum>
  <w:abstractNum w:abstractNumId="6">
    <w:nsid w:val="1FBD3D74"/>
    <w:multiLevelType w:val="multilevel"/>
    <w:tmpl w:val="1FBD3D74"/>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23BDEB28"/>
    <w:multiLevelType w:val="singleLevel"/>
    <w:tmpl w:val="23BDEB28"/>
    <w:lvl w:ilvl="0" w:tentative="0">
      <w:start w:val="2"/>
      <w:numFmt w:val="decimal"/>
      <w:suff w:val="space"/>
      <w:lvlText w:val="%1."/>
      <w:lvlJc w:val="left"/>
    </w:lvl>
  </w:abstractNum>
  <w:abstractNum w:abstractNumId="8">
    <w:nsid w:val="24F45071"/>
    <w:multiLevelType w:val="multilevel"/>
    <w:tmpl w:val="24F45071"/>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2BD36DD9"/>
    <w:multiLevelType w:val="multilevel"/>
    <w:tmpl w:val="2BD36DD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30D46849"/>
    <w:multiLevelType w:val="multilevel"/>
    <w:tmpl w:val="30D46849"/>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32E827CE"/>
    <w:multiLevelType w:val="multilevel"/>
    <w:tmpl w:val="32E827CE"/>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525C4A48"/>
    <w:multiLevelType w:val="multilevel"/>
    <w:tmpl w:val="525C4A48"/>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5B3341F4"/>
    <w:multiLevelType w:val="singleLevel"/>
    <w:tmpl w:val="5B3341F4"/>
    <w:lvl w:ilvl="0" w:tentative="0">
      <w:start w:val="1"/>
      <w:numFmt w:val="decimal"/>
      <w:lvlText w:val="(%1)"/>
      <w:lvlJc w:val="left"/>
      <w:pPr>
        <w:ind w:left="425" w:hanging="425"/>
      </w:pPr>
      <w:rPr>
        <w:rFonts w:hint="default"/>
      </w:rPr>
    </w:lvl>
  </w:abstractNum>
  <w:abstractNum w:abstractNumId="14">
    <w:nsid w:val="5C8F110C"/>
    <w:multiLevelType w:val="multilevel"/>
    <w:tmpl w:val="5C8F110C"/>
    <w:lvl w:ilvl="0" w:tentative="0">
      <w:start w:val="1"/>
      <w:numFmt w:val="decimal"/>
      <w:lvlText w:val="%1."/>
      <w:lvlJc w:val="left"/>
      <w:pPr>
        <w:ind w:left="6657" w:hanging="420"/>
      </w:pPr>
    </w:lvl>
    <w:lvl w:ilvl="1" w:tentative="0">
      <w:start w:val="1"/>
      <w:numFmt w:val="decimal"/>
      <w:lvlText w:val="%2、"/>
      <w:lvlJc w:val="left"/>
      <w:pPr>
        <w:ind w:left="7017" w:hanging="360"/>
      </w:pPr>
      <w:rPr>
        <w:rFonts w:hint="default"/>
      </w:rPr>
    </w:lvl>
    <w:lvl w:ilvl="2" w:tentative="0">
      <w:start w:val="1"/>
      <w:numFmt w:val="lowerRoman"/>
      <w:lvlText w:val="%3."/>
      <w:lvlJc w:val="right"/>
      <w:pPr>
        <w:ind w:left="7497" w:hanging="420"/>
      </w:pPr>
    </w:lvl>
    <w:lvl w:ilvl="3" w:tentative="0">
      <w:start w:val="1"/>
      <w:numFmt w:val="decimal"/>
      <w:lvlText w:val="%4."/>
      <w:lvlJc w:val="left"/>
      <w:pPr>
        <w:ind w:left="7917" w:hanging="420"/>
      </w:pPr>
    </w:lvl>
    <w:lvl w:ilvl="4" w:tentative="0">
      <w:start w:val="1"/>
      <w:numFmt w:val="lowerLetter"/>
      <w:lvlText w:val="%5)"/>
      <w:lvlJc w:val="left"/>
      <w:pPr>
        <w:ind w:left="8337" w:hanging="420"/>
      </w:pPr>
    </w:lvl>
    <w:lvl w:ilvl="5" w:tentative="0">
      <w:start w:val="1"/>
      <w:numFmt w:val="lowerRoman"/>
      <w:lvlText w:val="%6."/>
      <w:lvlJc w:val="right"/>
      <w:pPr>
        <w:ind w:left="8757" w:hanging="420"/>
      </w:pPr>
    </w:lvl>
    <w:lvl w:ilvl="6" w:tentative="0">
      <w:start w:val="1"/>
      <w:numFmt w:val="decimal"/>
      <w:lvlText w:val="%7."/>
      <w:lvlJc w:val="left"/>
      <w:pPr>
        <w:ind w:left="9177" w:hanging="420"/>
      </w:pPr>
    </w:lvl>
    <w:lvl w:ilvl="7" w:tentative="0">
      <w:start w:val="1"/>
      <w:numFmt w:val="lowerLetter"/>
      <w:lvlText w:val="%8)"/>
      <w:lvlJc w:val="left"/>
      <w:pPr>
        <w:ind w:left="9597" w:hanging="420"/>
      </w:pPr>
    </w:lvl>
    <w:lvl w:ilvl="8" w:tentative="0">
      <w:start w:val="1"/>
      <w:numFmt w:val="lowerRoman"/>
      <w:lvlText w:val="%9."/>
      <w:lvlJc w:val="right"/>
      <w:pPr>
        <w:ind w:left="10017" w:hanging="420"/>
      </w:pPr>
    </w:lvl>
  </w:abstractNum>
  <w:abstractNum w:abstractNumId="15">
    <w:nsid w:val="607A6F49"/>
    <w:multiLevelType w:val="multilevel"/>
    <w:tmpl w:val="607A6F4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6F0146CC"/>
    <w:multiLevelType w:val="multilevel"/>
    <w:tmpl w:val="6F0146CC"/>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70AE25AE"/>
    <w:multiLevelType w:val="multilevel"/>
    <w:tmpl w:val="70AE25AE"/>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4"/>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
    <w:nsid w:val="7476E4ED"/>
    <w:multiLevelType w:val="singleLevel"/>
    <w:tmpl w:val="7476E4ED"/>
    <w:lvl w:ilvl="0" w:tentative="0">
      <w:start w:val="1"/>
      <w:numFmt w:val="decimal"/>
      <w:lvlText w:val="(%1)"/>
      <w:lvlJc w:val="left"/>
      <w:pPr>
        <w:ind w:left="425" w:hanging="425"/>
      </w:pPr>
      <w:rPr>
        <w:rFonts w:hint="default"/>
      </w:rPr>
    </w:lvl>
  </w:abstractNum>
  <w:abstractNum w:abstractNumId="19">
    <w:nsid w:val="74F774B8"/>
    <w:multiLevelType w:val="multilevel"/>
    <w:tmpl w:val="74F774B8"/>
    <w:lvl w:ilvl="0" w:tentative="0">
      <w:start w:val="1"/>
      <w:numFmt w:val="decimal"/>
      <w:lvlText w:val="%1."/>
      <w:lvlJc w:val="left"/>
      <w:pPr>
        <w:ind w:left="840" w:hanging="420"/>
      </w:pPr>
    </w:lvl>
    <w:lvl w:ilvl="1" w:tentative="0">
      <w:start w:val="1"/>
      <w:numFmt w:val="decimal"/>
      <w:lvlText w:val="%2."/>
      <w:lvlJc w:val="left"/>
      <w:pPr>
        <w:ind w:left="1260" w:hanging="420"/>
      </w:pPr>
    </w:lvl>
    <w:lvl w:ilvl="2" w:tentative="0">
      <w:start w:val="5"/>
      <w:numFmt w:val="decimal"/>
      <w:lvlText w:val="%3）"/>
      <w:lvlJc w:val="left"/>
      <w:pPr>
        <w:ind w:left="1620" w:hanging="360"/>
      </w:pPr>
      <w:rPr>
        <w:rFonts w:hint="default"/>
      </w:r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8"/>
  </w:num>
  <w:num w:numId="2">
    <w:abstractNumId w:val="7"/>
  </w:num>
  <w:num w:numId="3">
    <w:abstractNumId w:val="6"/>
  </w:num>
  <w:num w:numId="4">
    <w:abstractNumId w:val="9"/>
  </w:num>
  <w:num w:numId="5">
    <w:abstractNumId w:val="1"/>
  </w:num>
  <w:num w:numId="6">
    <w:abstractNumId w:val="15"/>
  </w:num>
  <w:num w:numId="7">
    <w:abstractNumId w:val="14"/>
  </w:num>
  <w:num w:numId="8">
    <w:abstractNumId w:val="2"/>
  </w:num>
  <w:num w:numId="9">
    <w:abstractNumId w:val="11"/>
  </w:num>
  <w:num w:numId="10">
    <w:abstractNumId w:val="12"/>
  </w:num>
  <w:num w:numId="11">
    <w:abstractNumId w:val="16"/>
  </w:num>
  <w:num w:numId="12">
    <w:abstractNumId w:val="8"/>
  </w:num>
  <w:num w:numId="13">
    <w:abstractNumId w:val="4"/>
  </w:num>
  <w:num w:numId="14">
    <w:abstractNumId w:val="19"/>
  </w:num>
  <w:num w:numId="15">
    <w:abstractNumId w:val="17"/>
  </w:num>
  <w:num w:numId="16">
    <w:abstractNumId w:val="3"/>
  </w:num>
  <w:num w:numId="17">
    <w:abstractNumId w:val="10"/>
  </w:num>
  <w:num w:numId="18">
    <w:abstractNumId w:val="5"/>
  </w:num>
  <w:num w:numId="19">
    <w:abstractNumId w:val="0"/>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MmNmM2JlMmEyNzgwNjQ1MDMyMTJkMTJlN2U0YWQifQ=="/>
  </w:docVars>
  <w:rsids>
    <w:rsidRoot w:val="00D908DB"/>
    <w:rsid w:val="0000008B"/>
    <w:rsid w:val="00004DA8"/>
    <w:rsid w:val="0001318B"/>
    <w:rsid w:val="00027494"/>
    <w:rsid w:val="00030F03"/>
    <w:rsid w:val="00035006"/>
    <w:rsid w:val="00041AFF"/>
    <w:rsid w:val="00042001"/>
    <w:rsid w:val="00042C76"/>
    <w:rsid w:val="0005044B"/>
    <w:rsid w:val="00055624"/>
    <w:rsid w:val="000609DA"/>
    <w:rsid w:val="00062E60"/>
    <w:rsid w:val="000706C3"/>
    <w:rsid w:val="00073FE3"/>
    <w:rsid w:val="000773D5"/>
    <w:rsid w:val="000845B8"/>
    <w:rsid w:val="000942A4"/>
    <w:rsid w:val="00095632"/>
    <w:rsid w:val="000979B9"/>
    <w:rsid w:val="000A2999"/>
    <w:rsid w:val="000A56D8"/>
    <w:rsid w:val="000B0F2D"/>
    <w:rsid w:val="000B3262"/>
    <w:rsid w:val="000B4860"/>
    <w:rsid w:val="000B69F7"/>
    <w:rsid w:val="000C22A4"/>
    <w:rsid w:val="000D5FA7"/>
    <w:rsid w:val="000D6EFC"/>
    <w:rsid w:val="000E3039"/>
    <w:rsid w:val="000F77C3"/>
    <w:rsid w:val="001043C3"/>
    <w:rsid w:val="00105B7E"/>
    <w:rsid w:val="001118B7"/>
    <w:rsid w:val="00111A90"/>
    <w:rsid w:val="0011271D"/>
    <w:rsid w:val="00116B59"/>
    <w:rsid w:val="00121C03"/>
    <w:rsid w:val="00132B74"/>
    <w:rsid w:val="001339F0"/>
    <w:rsid w:val="00135FF3"/>
    <w:rsid w:val="00136047"/>
    <w:rsid w:val="0013657D"/>
    <w:rsid w:val="00140DFF"/>
    <w:rsid w:val="00142B14"/>
    <w:rsid w:val="00145889"/>
    <w:rsid w:val="00147681"/>
    <w:rsid w:val="001517F2"/>
    <w:rsid w:val="00162D61"/>
    <w:rsid w:val="00171BCC"/>
    <w:rsid w:val="0017590B"/>
    <w:rsid w:val="00177756"/>
    <w:rsid w:val="0018434A"/>
    <w:rsid w:val="0018488A"/>
    <w:rsid w:val="00185174"/>
    <w:rsid w:val="001859C2"/>
    <w:rsid w:val="0019049F"/>
    <w:rsid w:val="00196153"/>
    <w:rsid w:val="001A4F82"/>
    <w:rsid w:val="001C119E"/>
    <w:rsid w:val="001C4DE4"/>
    <w:rsid w:val="001E0451"/>
    <w:rsid w:val="001E722A"/>
    <w:rsid w:val="001F4281"/>
    <w:rsid w:val="001F66EA"/>
    <w:rsid w:val="00200F40"/>
    <w:rsid w:val="00207F9A"/>
    <w:rsid w:val="00210AD0"/>
    <w:rsid w:val="00213D6A"/>
    <w:rsid w:val="0022335F"/>
    <w:rsid w:val="0023514F"/>
    <w:rsid w:val="0023602E"/>
    <w:rsid w:val="00242494"/>
    <w:rsid w:val="00242803"/>
    <w:rsid w:val="00271D6B"/>
    <w:rsid w:val="002763AB"/>
    <w:rsid w:val="002843C7"/>
    <w:rsid w:val="002928A2"/>
    <w:rsid w:val="00295EA7"/>
    <w:rsid w:val="002A1EC3"/>
    <w:rsid w:val="002A47D6"/>
    <w:rsid w:val="002A610A"/>
    <w:rsid w:val="002B5C1C"/>
    <w:rsid w:val="002C4C0A"/>
    <w:rsid w:val="002C6C8E"/>
    <w:rsid w:val="002C7388"/>
    <w:rsid w:val="002D21A9"/>
    <w:rsid w:val="002E2856"/>
    <w:rsid w:val="002E3252"/>
    <w:rsid w:val="002E6513"/>
    <w:rsid w:val="002F04A8"/>
    <w:rsid w:val="002F17D5"/>
    <w:rsid w:val="002F41B6"/>
    <w:rsid w:val="00303E20"/>
    <w:rsid w:val="00304A31"/>
    <w:rsid w:val="00311D58"/>
    <w:rsid w:val="00323EF5"/>
    <w:rsid w:val="00344092"/>
    <w:rsid w:val="0034501C"/>
    <w:rsid w:val="003535B1"/>
    <w:rsid w:val="00356751"/>
    <w:rsid w:val="003604AE"/>
    <w:rsid w:val="003617DC"/>
    <w:rsid w:val="00363059"/>
    <w:rsid w:val="0036381E"/>
    <w:rsid w:val="00367B7E"/>
    <w:rsid w:val="00367D99"/>
    <w:rsid w:val="00375E49"/>
    <w:rsid w:val="00385577"/>
    <w:rsid w:val="00391EE4"/>
    <w:rsid w:val="003A01E3"/>
    <w:rsid w:val="003A1FA8"/>
    <w:rsid w:val="003A7A44"/>
    <w:rsid w:val="003A7A7C"/>
    <w:rsid w:val="003B3B91"/>
    <w:rsid w:val="003B3DE0"/>
    <w:rsid w:val="003C0218"/>
    <w:rsid w:val="003C4639"/>
    <w:rsid w:val="003C6678"/>
    <w:rsid w:val="003D1630"/>
    <w:rsid w:val="003E3A7E"/>
    <w:rsid w:val="003E3D2F"/>
    <w:rsid w:val="003F0DC4"/>
    <w:rsid w:val="003F1070"/>
    <w:rsid w:val="003F768E"/>
    <w:rsid w:val="003F7DE2"/>
    <w:rsid w:val="00404D7D"/>
    <w:rsid w:val="0041510B"/>
    <w:rsid w:val="0041756C"/>
    <w:rsid w:val="0042109B"/>
    <w:rsid w:val="0043143A"/>
    <w:rsid w:val="00431BD9"/>
    <w:rsid w:val="004504F9"/>
    <w:rsid w:val="004516E3"/>
    <w:rsid w:val="0045193C"/>
    <w:rsid w:val="00452542"/>
    <w:rsid w:val="00455773"/>
    <w:rsid w:val="004632F4"/>
    <w:rsid w:val="00463339"/>
    <w:rsid w:val="0046437B"/>
    <w:rsid w:val="00465256"/>
    <w:rsid w:val="00474479"/>
    <w:rsid w:val="00480844"/>
    <w:rsid w:val="00482E31"/>
    <w:rsid w:val="0049510D"/>
    <w:rsid w:val="00496D7E"/>
    <w:rsid w:val="004A4EE8"/>
    <w:rsid w:val="004B0665"/>
    <w:rsid w:val="004B1DAB"/>
    <w:rsid w:val="004B474E"/>
    <w:rsid w:val="004C2560"/>
    <w:rsid w:val="004C338D"/>
    <w:rsid w:val="004D1716"/>
    <w:rsid w:val="004D3921"/>
    <w:rsid w:val="004E219B"/>
    <w:rsid w:val="004E3694"/>
    <w:rsid w:val="004E3B77"/>
    <w:rsid w:val="004F2960"/>
    <w:rsid w:val="004F57E7"/>
    <w:rsid w:val="004F68EF"/>
    <w:rsid w:val="005015CC"/>
    <w:rsid w:val="00501D90"/>
    <w:rsid w:val="0050334A"/>
    <w:rsid w:val="00503F16"/>
    <w:rsid w:val="00506BBF"/>
    <w:rsid w:val="005105E1"/>
    <w:rsid w:val="005314FC"/>
    <w:rsid w:val="00533F53"/>
    <w:rsid w:val="005562B0"/>
    <w:rsid w:val="00556D9E"/>
    <w:rsid w:val="005628F8"/>
    <w:rsid w:val="00572D1F"/>
    <w:rsid w:val="005762B1"/>
    <w:rsid w:val="0058352C"/>
    <w:rsid w:val="0059046D"/>
    <w:rsid w:val="005913CD"/>
    <w:rsid w:val="005919AB"/>
    <w:rsid w:val="005A4E59"/>
    <w:rsid w:val="005B078C"/>
    <w:rsid w:val="005B17F6"/>
    <w:rsid w:val="005B396D"/>
    <w:rsid w:val="005C15AC"/>
    <w:rsid w:val="005D15DF"/>
    <w:rsid w:val="006022A1"/>
    <w:rsid w:val="00602FF7"/>
    <w:rsid w:val="00604707"/>
    <w:rsid w:val="00605950"/>
    <w:rsid w:val="0061263D"/>
    <w:rsid w:val="00625F83"/>
    <w:rsid w:val="00626996"/>
    <w:rsid w:val="00626E21"/>
    <w:rsid w:val="0063433F"/>
    <w:rsid w:val="0063545F"/>
    <w:rsid w:val="00641073"/>
    <w:rsid w:val="00642323"/>
    <w:rsid w:val="00651593"/>
    <w:rsid w:val="00655398"/>
    <w:rsid w:val="006555A0"/>
    <w:rsid w:val="00655605"/>
    <w:rsid w:val="006612E3"/>
    <w:rsid w:val="00672BA8"/>
    <w:rsid w:val="00681694"/>
    <w:rsid w:val="00682628"/>
    <w:rsid w:val="00682AB0"/>
    <w:rsid w:val="0068319B"/>
    <w:rsid w:val="00691719"/>
    <w:rsid w:val="0069207D"/>
    <w:rsid w:val="006928C0"/>
    <w:rsid w:val="00697C2D"/>
    <w:rsid w:val="006A3163"/>
    <w:rsid w:val="006B0550"/>
    <w:rsid w:val="006B2D56"/>
    <w:rsid w:val="006C58C5"/>
    <w:rsid w:val="006C7A6B"/>
    <w:rsid w:val="006D0D8F"/>
    <w:rsid w:val="006D38FA"/>
    <w:rsid w:val="006E19B5"/>
    <w:rsid w:val="006F3B4B"/>
    <w:rsid w:val="00701381"/>
    <w:rsid w:val="00702C59"/>
    <w:rsid w:val="00707B10"/>
    <w:rsid w:val="00711D27"/>
    <w:rsid w:val="00712648"/>
    <w:rsid w:val="00715E88"/>
    <w:rsid w:val="0071701F"/>
    <w:rsid w:val="007225B2"/>
    <w:rsid w:val="00722A0D"/>
    <w:rsid w:val="00726565"/>
    <w:rsid w:val="00736231"/>
    <w:rsid w:val="00740FB8"/>
    <w:rsid w:val="00745477"/>
    <w:rsid w:val="00747B86"/>
    <w:rsid w:val="007514A8"/>
    <w:rsid w:val="00753DDA"/>
    <w:rsid w:val="00754D27"/>
    <w:rsid w:val="00756FF0"/>
    <w:rsid w:val="00762DB8"/>
    <w:rsid w:val="0076554F"/>
    <w:rsid w:val="00766740"/>
    <w:rsid w:val="00766805"/>
    <w:rsid w:val="00766DC3"/>
    <w:rsid w:val="00767780"/>
    <w:rsid w:val="007732CA"/>
    <w:rsid w:val="00775E6D"/>
    <w:rsid w:val="00781F59"/>
    <w:rsid w:val="00782389"/>
    <w:rsid w:val="00785FF4"/>
    <w:rsid w:val="00786B59"/>
    <w:rsid w:val="00793582"/>
    <w:rsid w:val="00794CA4"/>
    <w:rsid w:val="007961EC"/>
    <w:rsid w:val="007A7A25"/>
    <w:rsid w:val="007B297F"/>
    <w:rsid w:val="007B2A10"/>
    <w:rsid w:val="007B4C44"/>
    <w:rsid w:val="007B56F6"/>
    <w:rsid w:val="007B7785"/>
    <w:rsid w:val="007C1BAE"/>
    <w:rsid w:val="007C40B6"/>
    <w:rsid w:val="007C5B94"/>
    <w:rsid w:val="007C7F35"/>
    <w:rsid w:val="007D3403"/>
    <w:rsid w:val="007D4825"/>
    <w:rsid w:val="007D5B2F"/>
    <w:rsid w:val="007E39EE"/>
    <w:rsid w:val="007E4306"/>
    <w:rsid w:val="007F1172"/>
    <w:rsid w:val="007F17E5"/>
    <w:rsid w:val="007F40AB"/>
    <w:rsid w:val="007F564F"/>
    <w:rsid w:val="007F58C5"/>
    <w:rsid w:val="00801D40"/>
    <w:rsid w:val="00803438"/>
    <w:rsid w:val="00807754"/>
    <w:rsid w:val="0081045E"/>
    <w:rsid w:val="008136B8"/>
    <w:rsid w:val="008138B0"/>
    <w:rsid w:val="0082461C"/>
    <w:rsid w:val="00830FF5"/>
    <w:rsid w:val="0083555E"/>
    <w:rsid w:val="00840399"/>
    <w:rsid w:val="00845812"/>
    <w:rsid w:val="00852DD2"/>
    <w:rsid w:val="00862AB4"/>
    <w:rsid w:val="00864083"/>
    <w:rsid w:val="00872968"/>
    <w:rsid w:val="00886082"/>
    <w:rsid w:val="00886E73"/>
    <w:rsid w:val="008A1800"/>
    <w:rsid w:val="008B0402"/>
    <w:rsid w:val="008C2A51"/>
    <w:rsid w:val="008C61F4"/>
    <w:rsid w:val="008D5550"/>
    <w:rsid w:val="008F3981"/>
    <w:rsid w:val="00902C51"/>
    <w:rsid w:val="00902D54"/>
    <w:rsid w:val="00911FD5"/>
    <w:rsid w:val="00914C35"/>
    <w:rsid w:val="0091763B"/>
    <w:rsid w:val="009226F1"/>
    <w:rsid w:val="00937929"/>
    <w:rsid w:val="009402C3"/>
    <w:rsid w:val="009426A5"/>
    <w:rsid w:val="00955C2E"/>
    <w:rsid w:val="009729EE"/>
    <w:rsid w:val="00985EAE"/>
    <w:rsid w:val="009A18FA"/>
    <w:rsid w:val="009A2EC8"/>
    <w:rsid w:val="009B1F90"/>
    <w:rsid w:val="009B2BED"/>
    <w:rsid w:val="009B371D"/>
    <w:rsid w:val="009E0C1A"/>
    <w:rsid w:val="009E40BF"/>
    <w:rsid w:val="009E520C"/>
    <w:rsid w:val="009E52C0"/>
    <w:rsid w:val="009E7F22"/>
    <w:rsid w:val="009F42BB"/>
    <w:rsid w:val="009F54BF"/>
    <w:rsid w:val="009F6428"/>
    <w:rsid w:val="009F7052"/>
    <w:rsid w:val="009F78C2"/>
    <w:rsid w:val="00A107FA"/>
    <w:rsid w:val="00A109A1"/>
    <w:rsid w:val="00A34B75"/>
    <w:rsid w:val="00A36773"/>
    <w:rsid w:val="00A3758D"/>
    <w:rsid w:val="00A379C8"/>
    <w:rsid w:val="00A435AE"/>
    <w:rsid w:val="00A64093"/>
    <w:rsid w:val="00A66C4D"/>
    <w:rsid w:val="00A709C8"/>
    <w:rsid w:val="00A71322"/>
    <w:rsid w:val="00A71AC1"/>
    <w:rsid w:val="00A73A2F"/>
    <w:rsid w:val="00A751EB"/>
    <w:rsid w:val="00A7553D"/>
    <w:rsid w:val="00A75FD8"/>
    <w:rsid w:val="00A917A5"/>
    <w:rsid w:val="00A9671C"/>
    <w:rsid w:val="00AA1C3A"/>
    <w:rsid w:val="00AA3CE0"/>
    <w:rsid w:val="00AC0F1A"/>
    <w:rsid w:val="00AC22DD"/>
    <w:rsid w:val="00AC3070"/>
    <w:rsid w:val="00AD02DB"/>
    <w:rsid w:val="00AD07E2"/>
    <w:rsid w:val="00AD2368"/>
    <w:rsid w:val="00AD3FD7"/>
    <w:rsid w:val="00AE43C3"/>
    <w:rsid w:val="00AF1A9E"/>
    <w:rsid w:val="00B009C5"/>
    <w:rsid w:val="00B03819"/>
    <w:rsid w:val="00B0611D"/>
    <w:rsid w:val="00B100A2"/>
    <w:rsid w:val="00B11D52"/>
    <w:rsid w:val="00B14A13"/>
    <w:rsid w:val="00B2547E"/>
    <w:rsid w:val="00B346B7"/>
    <w:rsid w:val="00B4421F"/>
    <w:rsid w:val="00B532BD"/>
    <w:rsid w:val="00B53C0F"/>
    <w:rsid w:val="00B54904"/>
    <w:rsid w:val="00B63B87"/>
    <w:rsid w:val="00B664B3"/>
    <w:rsid w:val="00B80783"/>
    <w:rsid w:val="00B82136"/>
    <w:rsid w:val="00B87E39"/>
    <w:rsid w:val="00B91EED"/>
    <w:rsid w:val="00B933F0"/>
    <w:rsid w:val="00B969ED"/>
    <w:rsid w:val="00BA15D2"/>
    <w:rsid w:val="00BA60AF"/>
    <w:rsid w:val="00BA6216"/>
    <w:rsid w:val="00BC5BA1"/>
    <w:rsid w:val="00BC7A33"/>
    <w:rsid w:val="00BE5094"/>
    <w:rsid w:val="00BE6E74"/>
    <w:rsid w:val="00BE7FA5"/>
    <w:rsid w:val="00BF3E25"/>
    <w:rsid w:val="00C0028B"/>
    <w:rsid w:val="00C01088"/>
    <w:rsid w:val="00C024A8"/>
    <w:rsid w:val="00C051EA"/>
    <w:rsid w:val="00C12B06"/>
    <w:rsid w:val="00C165D4"/>
    <w:rsid w:val="00C2313B"/>
    <w:rsid w:val="00C2327C"/>
    <w:rsid w:val="00C24AAB"/>
    <w:rsid w:val="00C421EE"/>
    <w:rsid w:val="00C44FCA"/>
    <w:rsid w:val="00C46AB8"/>
    <w:rsid w:val="00C471A0"/>
    <w:rsid w:val="00C5694A"/>
    <w:rsid w:val="00C57168"/>
    <w:rsid w:val="00C60AAE"/>
    <w:rsid w:val="00C759E4"/>
    <w:rsid w:val="00C75F82"/>
    <w:rsid w:val="00C9107F"/>
    <w:rsid w:val="00C94047"/>
    <w:rsid w:val="00CA3D0C"/>
    <w:rsid w:val="00CB15F9"/>
    <w:rsid w:val="00CB51BD"/>
    <w:rsid w:val="00CB6683"/>
    <w:rsid w:val="00CC52F2"/>
    <w:rsid w:val="00CD32CF"/>
    <w:rsid w:val="00CD67C3"/>
    <w:rsid w:val="00CF422C"/>
    <w:rsid w:val="00D01055"/>
    <w:rsid w:val="00D04545"/>
    <w:rsid w:val="00D17D1A"/>
    <w:rsid w:val="00D21004"/>
    <w:rsid w:val="00D21145"/>
    <w:rsid w:val="00D246CC"/>
    <w:rsid w:val="00D354DC"/>
    <w:rsid w:val="00D356A0"/>
    <w:rsid w:val="00D36616"/>
    <w:rsid w:val="00D41D1B"/>
    <w:rsid w:val="00D423D5"/>
    <w:rsid w:val="00D50632"/>
    <w:rsid w:val="00D51EFC"/>
    <w:rsid w:val="00D536E8"/>
    <w:rsid w:val="00D55839"/>
    <w:rsid w:val="00D6263D"/>
    <w:rsid w:val="00D62E10"/>
    <w:rsid w:val="00D77BF3"/>
    <w:rsid w:val="00D82252"/>
    <w:rsid w:val="00D85493"/>
    <w:rsid w:val="00D85A2A"/>
    <w:rsid w:val="00D905C1"/>
    <w:rsid w:val="00D908DB"/>
    <w:rsid w:val="00D9270F"/>
    <w:rsid w:val="00D943D1"/>
    <w:rsid w:val="00DA1618"/>
    <w:rsid w:val="00DA7185"/>
    <w:rsid w:val="00DB6DE5"/>
    <w:rsid w:val="00DD6383"/>
    <w:rsid w:val="00E12F5C"/>
    <w:rsid w:val="00E2228E"/>
    <w:rsid w:val="00E2607C"/>
    <w:rsid w:val="00E336E2"/>
    <w:rsid w:val="00E44714"/>
    <w:rsid w:val="00E521C8"/>
    <w:rsid w:val="00E62EBC"/>
    <w:rsid w:val="00E65D9E"/>
    <w:rsid w:val="00E65EDF"/>
    <w:rsid w:val="00E7359F"/>
    <w:rsid w:val="00E7618D"/>
    <w:rsid w:val="00E93F5D"/>
    <w:rsid w:val="00EA068C"/>
    <w:rsid w:val="00EA2EFF"/>
    <w:rsid w:val="00EA39EA"/>
    <w:rsid w:val="00EB03B4"/>
    <w:rsid w:val="00EB44B1"/>
    <w:rsid w:val="00EB5129"/>
    <w:rsid w:val="00EB728A"/>
    <w:rsid w:val="00EC78AA"/>
    <w:rsid w:val="00ED40C6"/>
    <w:rsid w:val="00ED449B"/>
    <w:rsid w:val="00ED5112"/>
    <w:rsid w:val="00EE1D9B"/>
    <w:rsid w:val="00EF0D1B"/>
    <w:rsid w:val="00F03222"/>
    <w:rsid w:val="00F061F0"/>
    <w:rsid w:val="00F1124A"/>
    <w:rsid w:val="00F17EC6"/>
    <w:rsid w:val="00F232B9"/>
    <w:rsid w:val="00F33C12"/>
    <w:rsid w:val="00F352ED"/>
    <w:rsid w:val="00F360D4"/>
    <w:rsid w:val="00F364DE"/>
    <w:rsid w:val="00F422B3"/>
    <w:rsid w:val="00F42FB0"/>
    <w:rsid w:val="00F47B17"/>
    <w:rsid w:val="00F52DB6"/>
    <w:rsid w:val="00F53C1F"/>
    <w:rsid w:val="00F55AE0"/>
    <w:rsid w:val="00F701FD"/>
    <w:rsid w:val="00F73B3A"/>
    <w:rsid w:val="00F8421B"/>
    <w:rsid w:val="00F86E99"/>
    <w:rsid w:val="00F87CAA"/>
    <w:rsid w:val="00FA0F41"/>
    <w:rsid w:val="00FB1332"/>
    <w:rsid w:val="00FB159F"/>
    <w:rsid w:val="00FB2CD9"/>
    <w:rsid w:val="00FB6825"/>
    <w:rsid w:val="00FC055D"/>
    <w:rsid w:val="00FD596B"/>
    <w:rsid w:val="00FD79DC"/>
    <w:rsid w:val="00FE3F42"/>
    <w:rsid w:val="00FE6EA7"/>
    <w:rsid w:val="00FF3C02"/>
    <w:rsid w:val="032E706B"/>
    <w:rsid w:val="06670B5F"/>
    <w:rsid w:val="0BCE6898"/>
    <w:rsid w:val="0E0E4B5B"/>
    <w:rsid w:val="0E3540A5"/>
    <w:rsid w:val="108D421D"/>
    <w:rsid w:val="1285227B"/>
    <w:rsid w:val="14843C24"/>
    <w:rsid w:val="15A74E81"/>
    <w:rsid w:val="180968C7"/>
    <w:rsid w:val="19D01FB0"/>
    <w:rsid w:val="19E43F15"/>
    <w:rsid w:val="1A1014BB"/>
    <w:rsid w:val="1AC56EBF"/>
    <w:rsid w:val="1B54447C"/>
    <w:rsid w:val="1D3A38B9"/>
    <w:rsid w:val="1DE32650"/>
    <w:rsid w:val="20C35583"/>
    <w:rsid w:val="2331054B"/>
    <w:rsid w:val="23DF6C46"/>
    <w:rsid w:val="26077F8C"/>
    <w:rsid w:val="2697552C"/>
    <w:rsid w:val="2AD572B6"/>
    <w:rsid w:val="2B1151B3"/>
    <w:rsid w:val="2CAE4129"/>
    <w:rsid w:val="2CBE1AF2"/>
    <w:rsid w:val="2E40750B"/>
    <w:rsid w:val="2E7D142E"/>
    <w:rsid w:val="31243B92"/>
    <w:rsid w:val="3158048D"/>
    <w:rsid w:val="32544453"/>
    <w:rsid w:val="33A44248"/>
    <w:rsid w:val="345C7369"/>
    <w:rsid w:val="38C97E10"/>
    <w:rsid w:val="3A784AC5"/>
    <w:rsid w:val="3B816045"/>
    <w:rsid w:val="3E32681A"/>
    <w:rsid w:val="40665D75"/>
    <w:rsid w:val="433F0F0D"/>
    <w:rsid w:val="46953C3C"/>
    <w:rsid w:val="4A6314C4"/>
    <w:rsid w:val="4F1B7959"/>
    <w:rsid w:val="4FBD2FA8"/>
    <w:rsid w:val="5042700D"/>
    <w:rsid w:val="508B721C"/>
    <w:rsid w:val="513B517B"/>
    <w:rsid w:val="53506CB2"/>
    <w:rsid w:val="54554F40"/>
    <w:rsid w:val="57C344F4"/>
    <w:rsid w:val="58C71F24"/>
    <w:rsid w:val="5B4A0414"/>
    <w:rsid w:val="5E911F52"/>
    <w:rsid w:val="5F635CC7"/>
    <w:rsid w:val="65A62498"/>
    <w:rsid w:val="668C6B34"/>
    <w:rsid w:val="67E07611"/>
    <w:rsid w:val="68DF0A56"/>
    <w:rsid w:val="6944728B"/>
    <w:rsid w:val="6C1C46FA"/>
    <w:rsid w:val="71F97252"/>
    <w:rsid w:val="754008F4"/>
    <w:rsid w:val="786138FA"/>
    <w:rsid w:val="79114E6C"/>
    <w:rsid w:val="79DA7CFD"/>
    <w:rsid w:val="79F9781F"/>
    <w:rsid w:val="7A0D1A11"/>
    <w:rsid w:val="7BCE2C13"/>
    <w:rsid w:val="7DFD31B9"/>
    <w:rsid w:val="7ED62587"/>
    <w:rsid w:val="7EF9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340" w:after="330" w:line="576" w:lineRule="auto"/>
      <w:outlineLvl w:val="0"/>
    </w:pPr>
    <w:rPr>
      <w:b/>
      <w:kern w:val="44"/>
      <w:sz w:val="44"/>
    </w:rPr>
  </w:style>
  <w:style w:type="paragraph" w:styleId="4">
    <w:name w:val="heading 2"/>
    <w:basedOn w:val="1"/>
    <w:next w:val="1"/>
    <w:link w:val="20"/>
    <w:qFormat/>
    <w:uiPriority w:val="9"/>
    <w:pPr>
      <w:keepNext/>
      <w:keepLines/>
      <w:spacing w:before="260" w:after="260" w:line="416" w:lineRule="auto"/>
      <w:outlineLvl w:val="1"/>
    </w:pPr>
    <w:rPr>
      <w:rFonts w:ascii="等线 Light" w:hAnsi="等线 Light" w:eastAsia="等线 Light"/>
      <w:b/>
      <w:bCs/>
      <w:sz w:val="32"/>
      <w:szCs w:val="32"/>
    </w:rPr>
  </w:style>
  <w:style w:type="paragraph" w:styleId="2">
    <w:name w:val="heading 4"/>
    <w:basedOn w:val="1"/>
    <w:next w:val="1"/>
    <w:qFormat/>
    <w:uiPriority w:val="0"/>
    <w:pPr>
      <w:keepNext/>
      <w:keepLines/>
      <w:tabs>
        <w:tab w:val="left" w:pos="1984"/>
      </w:tabs>
      <w:spacing w:before="280" w:after="290" w:line="372" w:lineRule="auto"/>
      <w:ind w:left="1984" w:hanging="708"/>
      <w:outlineLvl w:val="3"/>
    </w:pPr>
    <w:rPr>
      <w:rFonts w:ascii="Arial" w:hAnsi="Arial" w:eastAsia="黑体"/>
      <w:b/>
      <w:sz w:val="28"/>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unhideWhenUsed/>
    <w:qFormat/>
    <w:uiPriority w:val="0"/>
    <w:pPr>
      <w:jc w:val="left"/>
    </w:pPr>
  </w:style>
  <w:style w:type="paragraph" w:styleId="6">
    <w:name w:val="Block Text"/>
    <w:basedOn w:val="1"/>
    <w:qFormat/>
    <w:uiPriority w:val="0"/>
    <w:pPr>
      <w:spacing w:after="120"/>
      <w:ind w:left="1440" w:leftChars="700" w:right="1440" w:rightChars="700"/>
    </w:pPr>
    <w:rPr>
      <w:szCs w:val="20"/>
    </w:rPr>
  </w:style>
  <w:style w:type="paragraph" w:styleId="7">
    <w:name w:val="Date"/>
    <w:basedOn w:val="1"/>
    <w:next w:val="1"/>
    <w:link w:val="22"/>
    <w:unhideWhenUsed/>
    <w:qFormat/>
    <w:uiPriority w:val="99"/>
    <w:pPr>
      <w:ind w:left="100" w:leftChars="2500"/>
    </w:pPr>
  </w:style>
  <w:style w:type="paragraph" w:styleId="8">
    <w:name w:val="Balloon Text"/>
    <w:basedOn w:val="1"/>
    <w:link w:val="23"/>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kern w:val="0"/>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2"/>
    <w:basedOn w:val="1"/>
    <w:link w:val="26"/>
    <w:qFormat/>
    <w:uiPriority w:val="0"/>
    <w:rPr>
      <w:color w:val="FF0000"/>
      <w:szCs w:val="20"/>
    </w:rPr>
  </w:style>
  <w:style w:type="paragraph" w:styleId="12">
    <w:name w:val="Normal (Web)"/>
    <w:basedOn w:val="1"/>
    <w:qFormat/>
    <w:uiPriority w:val="0"/>
    <w:pPr>
      <w:widowControl/>
      <w:spacing w:before="100" w:beforeAutospacing="1" w:after="100" w:afterAutospacing="1"/>
      <w:jc w:val="left"/>
    </w:pPr>
    <w:rPr>
      <w:rFonts w:ascii="_x000B__x000C_" w:hAnsi="_x000B__x000C_"/>
      <w:kern w:val="0"/>
      <w:sz w:val="18"/>
      <w:szCs w:val="18"/>
    </w:rPr>
  </w:style>
  <w:style w:type="paragraph" w:styleId="13">
    <w:name w:val="annotation subject"/>
    <w:basedOn w:val="5"/>
    <w:next w:val="5"/>
    <w:link w:val="27"/>
    <w:unhideWhenUsed/>
    <w:qFormat/>
    <w:uiPriority w:val="99"/>
    <w:rPr>
      <w:b/>
      <w:bCs/>
    </w:r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0"/>
    <w:rPr>
      <w:color w:val="0000FF"/>
      <w:u w:val="single"/>
    </w:rPr>
  </w:style>
  <w:style w:type="character" w:styleId="18">
    <w:name w:val="annotation reference"/>
    <w:unhideWhenUsed/>
    <w:qFormat/>
    <w:uiPriority w:val="0"/>
    <w:rPr>
      <w:sz w:val="21"/>
      <w:szCs w:val="21"/>
    </w:rPr>
  </w:style>
  <w:style w:type="character" w:customStyle="1" w:styleId="19">
    <w:name w:val="标题 1 字符"/>
    <w:link w:val="3"/>
    <w:qFormat/>
    <w:uiPriority w:val="0"/>
    <w:rPr>
      <w:rFonts w:ascii="Times New Roman" w:hAnsi="Times New Roman"/>
      <w:b/>
      <w:kern w:val="44"/>
      <w:sz w:val="44"/>
      <w:szCs w:val="24"/>
    </w:rPr>
  </w:style>
  <w:style w:type="character" w:customStyle="1" w:styleId="20">
    <w:name w:val="标题 2 字符"/>
    <w:link w:val="4"/>
    <w:semiHidden/>
    <w:qFormat/>
    <w:uiPriority w:val="9"/>
    <w:rPr>
      <w:rFonts w:ascii="等线 Light" w:hAnsi="等线 Light" w:eastAsia="等线 Light" w:cs="Times New Roman"/>
      <w:b/>
      <w:bCs/>
      <w:kern w:val="2"/>
      <w:sz w:val="32"/>
      <w:szCs w:val="32"/>
    </w:rPr>
  </w:style>
  <w:style w:type="character" w:customStyle="1" w:styleId="21">
    <w:name w:val="批注文字 字符"/>
    <w:link w:val="5"/>
    <w:qFormat/>
    <w:uiPriority w:val="99"/>
    <w:rPr>
      <w:kern w:val="2"/>
      <w:sz w:val="21"/>
      <w:szCs w:val="24"/>
    </w:rPr>
  </w:style>
  <w:style w:type="character" w:customStyle="1" w:styleId="22">
    <w:name w:val="日期 字符"/>
    <w:link w:val="7"/>
    <w:semiHidden/>
    <w:qFormat/>
    <w:uiPriority w:val="99"/>
    <w:rPr>
      <w:kern w:val="2"/>
      <w:sz w:val="21"/>
      <w:szCs w:val="24"/>
    </w:rPr>
  </w:style>
  <w:style w:type="character" w:customStyle="1" w:styleId="23">
    <w:name w:val="批注框文本 字符"/>
    <w:link w:val="8"/>
    <w:semiHidden/>
    <w:qFormat/>
    <w:uiPriority w:val="99"/>
    <w:rPr>
      <w:kern w:val="2"/>
      <w:sz w:val="18"/>
      <w:szCs w:val="18"/>
    </w:rPr>
  </w:style>
  <w:style w:type="character" w:customStyle="1" w:styleId="24">
    <w:name w:val="页脚 字符"/>
    <w:link w:val="9"/>
    <w:qFormat/>
    <w:uiPriority w:val="99"/>
    <w:rPr>
      <w:sz w:val="18"/>
      <w:szCs w:val="18"/>
    </w:rPr>
  </w:style>
  <w:style w:type="character" w:customStyle="1" w:styleId="25">
    <w:name w:val="页眉 字符"/>
    <w:link w:val="10"/>
    <w:qFormat/>
    <w:uiPriority w:val="99"/>
    <w:rPr>
      <w:sz w:val="18"/>
      <w:szCs w:val="18"/>
    </w:rPr>
  </w:style>
  <w:style w:type="character" w:customStyle="1" w:styleId="26">
    <w:name w:val="正文文本 2 字符"/>
    <w:link w:val="11"/>
    <w:qFormat/>
    <w:uiPriority w:val="0"/>
    <w:rPr>
      <w:rFonts w:ascii="Times New Roman" w:hAnsi="Times New Roman"/>
      <w:color w:val="FF0000"/>
      <w:kern w:val="2"/>
      <w:sz w:val="21"/>
    </w:rPr>
  </w:style>
  <w:style w:type="character" w:customStyle="1" w:styleId="27">
    <w:name w:val="批注主题 字符"/>
    <w:link w:val="13"/>
    <w:semiHidden/>
    <w:qFormat/>
    <w:uiPriority w:val="99"/>
    <w:rPr>
      <w:b/>
      <w:bCs/>
      <w:kern w:val="2"/>
      <w:sz w:val="21"/>
      <w:szCs w:val="24"/>
    </w:rPr>
  </w:style>
  <w:style w:type="paragraph" w:styleId="28">
    <w:name w:val="List Paragraph"/>
    <w:basedOn w:val="1"/>
    <w:link w:val="29"/>
    <w:qFormat/>
    <w:uiPriority w:val="99"/>
    <w:pPr>
      <w:ind w:firstLine="420" w:firstLineChars="200"/>
    </w:pPr>
  </w:style>
  <w:style w:type="character" w:customStyle="1" w:styleId="29">
    <w:name w:val="列表段落 字符"/>
    <w:link w:val="28"/>
    <w:qFormat/>
    <w:uiPriority w:val="99"/>
    <w:rPr>
      <w:kern w:val="2"/>
      <w:sz w:val="21"/>
      <w:szCs w:val="24"/>
    </w:rPr>
  </w:style>
  <w:style w:type="paragraph" w:customStyle="1" w:styleId="30">
    <w:name w:val="正文00"/>
    <w:basedOn w:val="1"/>
    <w:qFormat/>
    <w:uiPriority w:val="0"/>
    <w:pPr>
      <w:topLinePunct/>
      <w:spacing w:line="360" w:lineRule="auto"/>
      <w:ind w:firstLine="200" w:firstLineChars="200"/>
    </w:pPr>
    <w:rPr>
      <w:sz w:val="24"/>
      <w:szCs w:val="21"/>
    </w:rPr>
  </w:style>
  <w:style w:type="character" w:customStyle="1" w:styleId="31">
    <w:name w:val="标题 2 Char Char Char"/>
    <w:uiPriority w:val="0"/>
    <w:rPr>
      <w:rFonts w:ascii="Arial" w:hAnsi="Arial" w:eastAsia="黑体" w:cs="Times New Roman"/>
      <w:b/>
      <w:bCs/>
      <w:kern w:val="2"/>
      <w:sz w:val="32"/>
      <w:szCs w:val="32"/>
      <w:lang w:val="en-US" w:eastAsia="zh-CN" w:bidi="ar-SA"/>
    </w:rPr>
  </w:style>
  <w:style w:type="character" w:customStyle="1" w:styleId="32">
    <w:name w:val="apple-converted-space"/>
    <w:qFormat/>
    <w:uiPriority w:val="0"/>
  </w:style>
  <w:style w:type="paragraph" w:customStyle="1" w:styleId="33">
    <w:name w:val="无间隔1"/>
    <w:qFormat/>
    <w:uiPriority w:val="1"/>
    <w:pPr>
      <w:widowControl w:val="0"/>
      <w:spacing w:beforeLines="50" w:afterLines="50"/>
      <w:jc w:val="both"/>
    </w:pPr>
    <w:rPr>
      <w:rFonts w:ascii="Times New Roman" w:hAnsi="Times New Roman" w:eastAsia="宋体" w:cs="Times New Roman"/>
      <w:kern w:val="2"/>
      <w:sz w:val="21"/>
      <w:szCs w:val="24"/>
      <w:lang w:val="en-US" w:eastAsia="zh-CN" w:bidi="ar-SA"/>
    </w:rPr>
  </w:style>
  <w:style w:type="paragraph" w:customStyle="1" w:styleId="34">
    <w:name w:val="Normal Paragraph"/>
    <w:basedOn w:val="1"/>
    <w:uiPriority w:val="0"/>
    <w:pPr>
      <w:widowControl/>
      <w:spacing w:before="120" w:line="360" w:lineRule="auto"/>
      <w:ind w:firstLine="425"/>
    </w:pPr>
    <w:rPr>
      <w:kern w:val="0"/>
      <w:sz w:val="24"/>
    </w:rPr>
  </w:style>
  <w:style w:type="paragraph" w:customStyle="1" w:styleId="35">
    <w:name w:val="列出段落2"/>
    <w:basedOn w:val="1"/>
    <w:qFormat/>
    <w:uiPriority w:val="99"/>
    <w:pPr>
      <w:ind w:firstLine="420" w:firstLineChars="200"/>
    </w:pPr>
    <w:rPr>
      <w:szCs w:val="20"/>
    </w:rPr>
  </w:style>
  <w:style w:type="paragraph" w:customStyle="1" w:styleId="36">
    <w:name w:val="表格"/>
    <w:basedOn w:val="1"/>
    <w:link w:val="37"/>
    <w:qFormat/>
    <w:uiPriority w:val="14"/>
    <w:pPr>
      <w:adjustRightInd w:val="0"/>
      <w:spacing w:line="300" w:lineRule="auto"/>
    </w:pPr>
  </w:style>
  <w:style w:type="character" w:customStyle="1" w:styleId="37">
    <w:name w:val="表格 字符"/>
    <w:link w:val="36"/>
    <w:uiPriority w:val="14"/>
    <w:rPr>
      <w:kern w:val="2"/>
      <w:sz w:val="21"/>
      <w:szCs w:val="24"/>
    </w:rPr>
  </w:style>
  <w:style w:type="paragraph" w:customStyle="1" w:styleId="38">
    <w:name w:val="修订1"/>
    <w:unhideWhenUsed/>
    <w:uiPriority w:val="99"/>
    <w:rPr>
      <w:rFonts w:ascii="Times New Roman" w:hAnsi="Times New Roman" w:eastAsia="宋体" w:cs="Times New Roman"/>
      <w:kern w:val="2"/>
      <w:sz w:val="21"/>
      <w:szCs w:val="24"/>
      <w:lang w:val="en-US" w:eastAsia="zh-CN" w:bidi="ar-SA"/>
    </w:rPr>
  </w:style>
  <w:style w:type="character" w:customStyle="1" w:styleId="39">
    <w:name w:val="批注文字 Char"/>
    <w:qFormat/>
    <w:uiPriority w:val="99"/>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31</Pages>
  <Words>14259</Words>
  <Characters>15507</Characters>
  <Lines>122</Lines>
  <Paragraphs>34</Paragraphs>
  <TotalTime>63</TotalTime>
  <ScaleCrop>false</ScaleCrop>
  <LinksUpToDate>false</LinksUpToDate>
  <CharactersWithSpaces>16654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2022-05-24T03:32:00Z</dcterms:created>
  <dc:creator>宋继海</dc:creator>
  <cp:lastModifiedBy>Ccyu.</cp:lastModifiedBy>
  <dcterms:modified xsi:type="dcterms:W3CDTF">2022-06-17T02:16:53Z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70B17C62A5404132A34FF3DC29AA0713</vt:lpwstr>
  </property>
</Properties>
</file>