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2668"/>
      <w:bookmarkStart w:id="2" w:name="_Hlk100843490"/>
      <w:bookmarkStart w:id="3" w:name="_Toc227057880"/>
      <w:r>
        <w:rPr>
          <w:rFonts w:hint="eastAsia" w:ascii="黑体" w:hAnsi="宋体" w:eastAsia="黑体"/>
          <w:sz w:val="44"/>
          <w:szCs w:val="44"/>
        </w:rPr>
        <w:t>路由器设备</w:t>
      </w:r>
      <w:bookmarkEnd w:id="1"/>
      <w:r>
        <w:rPr>
          <w:rFonts w:hint="eastAsia" w:ascii="黑体" w:hAnsi="宋体" w:eastAsia="黑体"/>
          <w:sz w:val="44"/>
          <w:szCs w:val="44"/>
        </w:rPr>
        <w:t>采购</w:t>
      </w:r>
    </w:p>
    <w:bookmarkEnd w:id="2"/>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二〇二二年六月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竞争性磋商响应文件格式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4" w:name="_Toc69378615"/>
      <w:r>
        <w:rPr>
          <w:rFonts w:hint="eastAsia"/>
          <w:b/>
          <w:sz w:val="36"/>
          <w:szCs w:val="36"/>
        </w:rPr>
        <w:t>第一章 竞争性磋商公告</w:t>
      </w:r>
      <w:bookmarkEnd w:id="4"/>
    </w:p>
    <w:bookmarkEnd w:id="3"/>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江苏省广电有线信息网络股份有限公司就路由器设备采购项目组织竞争性磋商采购，现欢迎符合资格条件的供应商参加报价和磋商。</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111" w:name="_GoBack"/>
      <w:r>
        <w:rPr>
          <w:rFonts w:hint="eastAsia" w:ascii="宋体" w:hAnsi="宋体"/>
          <w:sz w:val="24"/>
        </w:rPr>
        <w:t>江苏省广电有线信息网络股份有限公司路由器设备采购</w:t>
      </w:r>
      <w:bookmarkEnd w:id="111"/>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4321" w:type="dxa"/>
            <w:vAlign w:val="center"/>
          </w:tcPr>
          <w:p>
            <w:pPr>
              <w:spacing w:line="400" w:lineRule="exact"/>
              <w:jc w:val="center"/>
              <w:rPr>
                <w:rFonts w:ascii="Calibri" w:hAnsi="Calibri"/>
                <w:b/>
                <w:color w:val="000000"/>
                <w:szCs w:val="21"/>
              </w:rPr>
            </w:pPr>
            <w:r>
              <w:rPr>
                <w:rFonts w:hint="eastAsia" w:ascii="Calibri" w:hAnsi="Calibri"/>
                <w:b/>
                <w:color w:val="000000"/>
                <w:szCs w:val="21"/>
              </w:rPr>
              <w:t>采购设备名称</w:t>
            </w:r>
          </w:p>
        </w:tc>
        <w:tc>
          <w:tcPr>
            <w:tcW w:w="2248"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rPr>
            </w:pPr>
            <w:r>
              <w:rPr>
                <w:color w:val="000000"/>
                <w:szCs w:val="21"/>
              </w:rPr>
              <w:t>1</w:t>
            </w:r>
          </w:p>
        </w:tc>
        <w:tc>
          <w:tcPr>
            <w:tcW w:w="4321" w:type="dxa"/>
            <w:vAlign w:val="center"/>
          </w:tcPr>
          <w:p>
            <w:pPr>
              <w:spacing w:line="400" w:lineRule="exact"/>
              <w:jc w:val="center"/>
              <w:rPr>
                <w:color w:val="000000"/>
                <w:szCs w:val="21"/>
              </w:rPr>
            </w:pPr>
            <w:r>
              <w:rPr>
                <w:rFonts w:hint="eastAsia" w:ascii="宋体" w:hAnsi="宋体"/>
                <w:sz w:val="24"/>
              </w:rPr>
              <w:t>路由器</w:t>
            </w:r>
          </w:p>
        </w:tc>
        <w:tc>
          <w:tcPr>
            <w:tcW w:w="2248" w:type="dxa"/>
            <w:vAlign w:val="center"/>
          </w:tcPr>
          <w:p>
            <w:pPr>
              <w:spacing w:line="400" w:lineRule="exact"/>
              <w:jc w:val="center"/>
              <w:rPr>
                <w:color w:val="000000"/>
                <w:szCs w:val="21"/>
              </w:rPr>
            </w:pPr>
            <w:r>
              <w:rPr>
                <w:color w:val="000000"/>
                <w:szCs w:val="21"/>
              </w:rPr>
              <w:t>2</w:t>
            </w:r>
            <w:r>
              <w:rPr>
                <w:rFonts w:hint="eastAsia"/>
                <w:color w:val="000000"/>
                <w:szCs w:val="21"/>
              </w:rPr>
              <w:t>台</w:t>
            </w:r>
          </w:p>
        </w:tc>
      </w:tr>
    </w:tbl>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2.供应商应答产品须具有良好的业绩和经验，自201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w:t>
      </w:r>
      <w:bookmarkStart w:id="6" w:name="_Hlk106270562"/>
      <w:r>
        <w:rPr>
          <w:rFonts w:hint="eastAsia" w:ascii="宋体" w:hAnsi="宋体" w:cs="宋体"/>
          <w:kern w:val="0"/>
          <w:sz w:val="24"/>
          <w:szCs w:val="22"/>
        </w:rPr>
        <w:t>供应商须是应答产品（</w:t>
      </w:r>
      <w:r>
        <w:rPr>
          <w:rFonts w:hint="eastAsia" w:ascii="宋体" w:hAnsi="宋体"/>
          <w:sz w:val="24"/>
        </w:rPr>
        <w:t>路由器设备）</w:t>
      </w:r>
      <w:r>
        <w:rPr>
          <w:rFonts w:hint="eastAsia" w:ascii="宋体" w:hAnsi="宋体" w:cs="宋体"/>
          <w:kern w:val="0"/>
          <w:sz w:val="24"/>
          <w:szCs w:val="22"/>
        </w:rPr>
        <w:t>的制造商或获得所投货物制造商针对本项目的唯一授权代理商，制造商和授权代理商不得同时参与本项目。（代理商提供授权书原件并加盖公章）</w:t>
      </w:r>
      <w:bookmarkEnd w:id="6"/>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4.供应商须提供所投货物制造商对本项目直接保修和服务的承诺。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28日至202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4日止，每日上午9：00-12：00，下午14：00-17：00（北京时间）。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发放方式：竞争性磋商文件在报名后自行下载，请响应人联系采购人进行报名登记，具体报名方式为将响应函（详见第六章 竞争性磋商响应文件格式 附件1：响应函）加盖公司公章同时发至邮箱</w:t>
      </w:r>
      <w:r>
        <w:rPr>
          <w:rFonts w:ascii="宋体" w:hAnsi="宋体" w:cs="宋体"/>
          <w:color w:val="191919"/>
          <w:kern w:val="0"/>
          <w:sz w:val="24"/>
          <w:shd w:val="clear" w:color="auto" w:fill="FFFFFF"/>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4日下午17:00再登记的视为无效。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项目联系人：采购部门-秦晋（025-8673152</w:t>
      </w:r>
      <w:r>
        <w:rPr>
          <w:rFonts w:ascii="宋体" w:hAnsi="宋体" w:cs="宋体"/>
          <w:color w:val="191919"/>
          <w:kern w:val="0"/>
          <w:sz w:val="24"/>
          <w:shd w:val="clear" w:color="auto" w:fill="FFFFFF"/>
        </w:rPr>
        <w:t>4</w:t>
      </w:r>
      <w:r>
        <w:rPr>
          <w:rFonts w:hint="eastAsia" w:ascii="宋体" w:hAnsi="宋体" w:cs="宋体"/>
          <w:color w:val="191919"/>
          <w:kern w:val="0"/>
          <w:sz w:val="24"/>
          <w:shd w:val="clear" w:color="auto" w:fill="FFFFFF"/>
        </w:rPr>
        <w:t>），需求部门-王真（025-8673</w:t>
      </w:r>
      <w:r>
        <w:rPr>
          <w:rFonts w:ascii="宋体" w:hAnsi="宋体" w:cs="宋体"/>
          <w:color w:val="191919"/>
          <w:kern w:val="0"/>
          <w:sz w:val="24"/>
          <w:shd w:val="clear" w:color="auto" w:fill="FFFFFF"/>
        </w:rPr>
        <w:t>1517</w:t>
      </w:r>
      <w:r>
        <w:rPr>
          <w:rFonts w:hint="eastAsia" w:ascii="宋体" w:hAnsi="宋体" w:cs="宋体"/>
          <w:color w:val="191919"/>
          <w:kern w:val="0"/>
          <w:sz w:val="24"/>
          <w:shd w:val="clear" w:color="auto" w:fill="FFFFFF"/>
        </w:rPr>
        <w:t>）</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楼采购供应部。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秦晋，电话：025-8673152</w:t>
      </w:r>
      <w:r>
        <w:rPr>
          <w:rFonts w:ascii="宋体" w:hAnsi="宋体" w:cs="宋体"/>
          <w:color w:val="191919"/>
          <w:kern w:val="0"/>
          <w:sz w:val="24"/>
        </w:rPr>
        <w:t>4。</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7" w:name="bookmark1"/>
      <w:bookmarkEnd w:id="7"/>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8" w:name="_Toc226969276"/>
      <w:bookmarkStart w:id="9" w:name="_Toc69378616"/>
      <w:bookmarkStart w:id="10" w:name="_Toc107822483"/>
      <w:bookmarkStart w:id="11" w:name="_Toc227057883"/>
      <w:r>
        <w:rPr>
          <w:rFonts w:hint="eastAsia"/>
          <w:b/>
          <w:sz w:val="36"/>
          <w:szCs w:val="36"/>
        </w:rPr>
        <w:t>第二章 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w:t>
            </w:r>
            <w:r>
              <w:rPr>
                <w:sz w:val="24"/>
              </w:rPr>
              <w:t>5</w:t>
            </w:r>
            <w:r>
              <w:rPr>
                <w:rFonts w:hint="eastAsia"/>
                <w:sz w:val="24"/>
              </w:rPr>
              <w:t>份（</w:t>
            </w:r>
            <w:r>
              <w:rPr>
                <w:sz w:val="24"/>
              </w:rPr>
              <w:t>1</w:t>
            </w:r>
            <w:r>
              <w:rPr>
                <w:rFonts w:hint="eastAsia"/>
                <w:sz w:val="24"/>
              </w:rPr>
              <w:t>份正本、</w:t>
            </w:r>
            <w:r>
              <w:rPr>
                <w:sz w:val="24"/>
              </w:rPr>
              <w:t>4</w:t>
            </w:r>
            <w:r>
              <w:rPr>
                <w:rFonts w:hint="eastAsia"/>
                <w:sz w:val="24"/>
              </w:rPr>
              <w:t>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1、竞争性磋商文件第六章“响应文件格式”中有单位名称和法定代表人或其委托代理人签字落款的响应文件必须加盖单位公章。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、不满足竞争性磋商文件对合格供应商的基本资质要求的；</w:t>
            </w:r>
          </w:p>
          <w:p>
            <w:pPr>
              <w:spacing w:line="320" w:lineRule="exact"/>
              <w:rPr>
                <w:sz w:val="24"/>
              </w:rPr>
            </w:pPr>
            <w:r>
              <w:rPr>
                <w:rFonts w:hint="eastAsia"/>
                <w:sz w:val="24"/>
              </w:rPr>
              <w:t>2、供应商在响应文件中提供的服务内容及质量不能实质性满足竞争性磋商文件要求或不能提供实质性满足证明的；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、资格证明文件不全、失效或不符合竞争性磋商文件要求的；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、未按照竞争性磋商文件规定的方式领取竞争性磋商文件并按要求递交响应文件的；</w:t>
            </w:r>
          </w:p>
          <w:p>
            <w:pPr>
              <w:spacing w:line="320" w:lineRule="exact"/>
              <w:rPr>
                <w:sz w:val="24"/>
              </w:rPr>
            </w:pPr>
            <w:r>
              <w:rPr>
                <w:sz w:val="24"/>
              </w:rPr>
              <w:t>11</w:t>
            </w:r>
            <w:r>
              <w:rPr>
                <w:rFonts w:hint="eastAsia"/>
                <w:sz w:val="24"/>
              </w:rPr>
              <w:t>、评审委员会认为不能实质上满足竞争性磋商文件其它要求的。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20" w:lineRule="exact"/>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20" w:lineRule="exact"/>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20" w:lineRule="exact"/>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2" w:name="_Toc226969316"/>
      <w:bookmarkStart w:id="13" w:name="_Toc227057922"/>
      <w:bookmarkStart w:id="14" w:name="_Toc107822520"/>
      <w:r>
        <w:br w:type="page"/>
      </w:r>
    </w:p>
    <w:bookmarkEnd w:id="12"/>
    <w:bookmarkEnd w:id="13"/>
    <w:bookmarkEnd w:id="14"/>
    <w:p>
      <w:pPr>
        <w:pStyle w:val="3"/>
        <w:numPr>
          <w:ilvl w:val="0"/>
          <w:numId w:val="0"/>
        </w:numPr>
        <w:spacing w:before="0" w:after="0" w:line="360" w:lineRule="auto"/>
        <w:rPr>
          <w:b/>
          <w:sz w:val="36"/>
          <w:szCs w:val="36"/>
        </w:rPr>
      </w:pPr>
      <w:bookmarkStart w:id="15" w:name="_Toc69378617"/>
      <w:bookmarkStart w:id="16" w:name="_Toc107822556"/>
      <w:bookmarkStart w:id="17" w:name="_Toc226969352"/>
      <w:bookmarkStart w:id="18" w:name="_Toc227057958"/>
      <w:r>
        <w:rPr>
          <w:rFonts w:hint="eastAsia"/>
          <w:b/>
          <w:sz w:val="36"/>
          <w:szCs w:val="36"/>
        </w:rPr>
        <w:t>第三章 评审办法</w:t>
      </w:r>
      <w:bookmarkEnd w:id="15"/>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1、供应商的响应价如有缺漏项，视为不实质性响应；</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2、评审基准价：若有效供应商≥5家，则去掉一个最低价和一个最高价，以剩余有效供应商评审价的算术平均值为评标基准价；若有效供应商＜5家，则以所有有效供应商评审价的算术平均值作为评标基准价。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3、价格分：供应商的评审价等于评审基准价，价格得分为满分；供应商的评审价每高于评审基准价1%（不满</w:t>
            </w:r>
            <w:r>
              <w:rPr>
                <w:rFonts w:ascii="宋体" w:hAnsi="宋体"/>
                <w:sz w:val="24"/>
              </w:rPr>
              <w:t>1%的部分按</w:t>
            </w:r>
            <w:r>
              <w:rPr>
                <w:rFonts w:hint="eastAsia" w:ascii="宋体" w:hAnsi="宋体"/>
                <w:sz w:val="24"/>
              </w:rPr>
              <w:t>1</w:t>
            </w:r>
            <w:r>
              <w:rPr>
                <w:rFonts w:ascii="宋体" w:hAnsi="宋体"/>
                <w:sz w:val="24"/>
              </w:rPr>
              <w:t>%</w:t>
            </w:r>
            <w:r>
              <w:rPr>
                <w:rFonts w:hint="eastAsia" w:ascii="宋体" w:hAnsi="宋体"/>
                <w:sz w:val="24"/>
              </w:rPr>
              <w:t>计算），扣</w:t>
            </w:r>
            <w:r>
              <w:rPr>
                <w:rFonts w:ascii="宋体" w:hAnsi="宋体"/>
                <w:sz w:val="24"/>
              </w:rPr>
              <w:t>0.2</w:t>
            </w:r>
            <w:r>
              <w:rPr>
                <w:rFonts w:hint="eastAsia" w:ascii="宋体" w:hAnsi="宋体"/>
                <w:sz w:val="24"/>
              </w:rPr>
              <w:t>分；供应商的评审价每低于评审基准价</w:t>
            </w:r>
            <w:r>
              <w:rPr>
                <w:rFonts w:ascii="宋体" w:hAnsi="宋体"/>
                <w:sz w:val="24"/>
              </w:rPr>
              <w:t>1</w:t>
            </w:r>
            <w:r>
              <w:rPr>
                <w:rFonts w:hint="eastAsia" w:ascii="宋体" w:hAnsi="宋体"/>
                <w:sz w:val="24"/>
              </w:rPr>
              <w:t>%（不满</w:t>
            </w:r>
            <w:r>
              <w:rPr>
                <w:rFonts w:ascii="宋体" w:hAnsi="宋体"/>
                <w:sz w:val="24"/>
              </w:rPr>
              <w:t>1%的部分</w:t>
            </w:r>
            <w:r>
              <w:rPr>
                <w:rFonts w:hint="eastAsia" w:ascii="宋体" w:hAnsi="宋体"/>
                <w:sz w:val="24"/>
              </w:rPr>
              <w:t>按1</w:t>
            </w:r>
            <w:r>
              <w:rPr>
                <w:rFonts w:ascii="宋体" w:hAnsi="宋体"/>
                <w:sz w:val="24"/>
              </w:rPr>
              <w:t>%</w:t>
            </w:r>
            <w:r>
              <w:rPr>
                <w:rFonts w:hint="eastAsia" w:ascii="宋体" w:hAnsi="宋体"/>
                <w:sz w:val="24"/>
              </w:rPr>
              <w:t>计算），扣0</w:t>
            </w:r>
            <w:r>
              <w:rPr>
                <w:rFonts w:ascii="宋体" w:hAnsi="宋体"/>
                <w:sz w:val="24"/>
              </w:rPr>
              <w:t>.1</w:t>
            </w:r>
            <w:r>
              <w:rPr>
                <w:rFonts w:hint="eastAsia" w:ascii="宋体" w:hAnsi="宋体"/>
                <w:sz w:val="24"/>
              </w:rPr>
              <w:t>分，直至扣完本项得分。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优良(3，5]分；较好[2，3]分；一般[0，2)分。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产品业绩经验</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bookmarkStart w:id="19" w:name="_Hlk106270688"/>
            <w:r>
              <w:rPr>
                <w:rFonts w:hint="eastAsia" w:ascii="宋体" w:hAnsi="宋体"/>
                <w:sz w:val="24"/>
              </w:rPr>
              <w:t>根据应答产品（路由器设备）自201</w:t>
            </w:r>
            <w:r>
              <w:rPr>
                <w:rFonts w:ascii="宋体" w:hAnsi="宋体"/>
                <w:sz w:val="24"/>
              </w:rPr>
              <w:t>9</w:t>
            </w:r>
            <w:r>
              <w:rPr>
                <w:rFonts w:hint="eastAsia" w:ascii="宋体" w:hAnsi="宋体"/>
                <w:sz w:val="24"/>
              </w:rPr>
              <w:t>年1月1日以来（以合同签订时间为准）在</w:t>
            </w:r>
            <w:r>
              <w:rPr>
                <w:rFonts w:hint="eastAsia"/>
                <w:kern w:val="0"/>
                <w:sz w:val="24"/>
              </w:rPr>
              <w:t>国内省级（含）以上运营商单位的</w:t>
            </w:r>
            <w:r>
              <w:rPr>
                <w:rFonts w:hint="eastAsia"/>
                <w:sz w:val="24"/>
              </w:rPr>
              <w:t>销售业绩的总金额</w:t>
            </w:r>
            <w:r>
              <w:rPr>
                <w:kern w:val="0"/>
                <w:sz w:val="24"/>
              </w:rPr>
              <w:t>打分</w:t>
            </w:r>
            <w:r>
              <w:rPr>
                <w:rFonts w:hint="eastAsia"/>
                <w:kern w:val="0"/>
                <w:sz w:val="24"/>
              </w:rPr>
              <w:t>。</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3</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]分；一般[0，</w:t>
            </w:r>
            <w:r>
              <w:rPr>
                <w:rFonts w:ascii="宋体" w:hAnsi="宋体"/>
                <w:sz w:val="24"/>
              </w:rPr>
              <w:t>2</w:t>
            </w:r>
            <w:r>
              <w:rPr>
                <w:rFonts w:hint="eastAsia" w:ascii="宋体" w:hAnsi="宋体"/>
                <w:sz w:val="24"/>
              </w:rPr>
              <w:t>)分。</w:t>
            </w:r>
          </w:p>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kern w:val="0"/>
                <w:sz w:val="24"/>
              </w:rPr>
              <w:t>注：须提供案例合同复印件，加盖制造商公章；</w:t>
            </w:r>
            <w:r>
              <w:rPr>
                <w:rFonts w:hint="eastAsia" w:ascii="宋体" w:hAnsi="宋体"/>
                <w:sz w:val="24"/>
              </w:rPr>
              <w:t>响应文件中最多提供5个业绩合同，</w:t>
            </w:r>
            <w:r>
              <w:rPr>
                <w:rFonts w:hint="eastAsia"/>
                <w:kern w:val="0"/>
                <w:sz w:val="24"/>
              </w:rPr>
              <w:t>如提供超</w:t>
            </w:r>
            <w:r>
              <w:rPr>
                <w:rFonts w:hint="eastAsia" w:ascii="宋体" w:hAnsi="宋体"/>
                <w:sz w:val="24"/>
              </w:rPr>
              <w:t>过</w:t>
            </w:r>
            <w:r>
              <w:rPr>
                <w:rFonts w:ascii="宋体" w:hAnsi="宋体"/>
                <w:sz w:val="24"/>
              </w:rPr>
              <w:t>5</w:t>
            </w:r>
            <w:r>
              <w:rPr>
                <w:rFonts w:hint="eastAsia" w:ascii="宋体" w:hAnsi="宋体"/>
                <w:sz w:val="24"/>
              </w:rPr>
              <w:t>份合同，则按照合同金额从大到小统计前</w:t>
            </w:r>
            <w:r>
              <w:rPr>
                <w:rFonts w:ascii="宋体" w:hAnsi="宋体"/>
                <w:sz w:val="24"/>
              </w:rPr>
              <w:t>5</w:t>
            </w:r>
            <w:r>
              <w:rPr>
                <w:rFonts w:hint="eastAsia" w:ascii="宋体" w:hAnsi="宋体"/>
                <w:sz w:val="24"/>
              </w:rPr>
              <w:t>份合同计算累</w:t>
            </w:r>
            <w:r>
              <w:rPr>
                <w:rFonts w:hint="eastAsia"/>
                <w:kern w:val="0"/>
                <w:sz w:val="24"/>
              </w:rPr>
              <w:t>计合同金额。</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30</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w:t>
            </w:r>
            <w:r>
              <w:rPr>
                <w:rFonts w:ascii="宋体" w:hAnsi="宋体"/>
                <w:sz w:val="24"/>
              </w:rPr>
              <w:t>30</w:t>
            </w:r>
            <w:r>
              <w:rPr>
                <w:rFonts w:hint="eastAsia" w:ascii="宋体" w:hAnsi="宋体"/>
                <w:sz w:val="24"/>
              </w:rPr>
              <w:t>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5</w:t>
            </w:r>
            <w:r>
              <w:rPr>
                <w:rFonts w:hint="eastAsia" w:ascii="宋体" w:hAnsi="宋体"/>
                <w:sz w:val="24"/>
              </w:rPr>
              <w:t>分，本条分数扣完为止。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技术方案</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10分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1、应答产品必须能够和中国广电5G核心网采用IPV6+技术进行良好对接，被国网纳管（</w:t>
            </w:r>
            <w:bookmarkStart w:id="20" w:name="_Hlk106270785"/>
            <w:r>
              <w:rPr>
                <w:rFonts w:hint="eastAsia" w:ascii="宋体" w:hAnsi="宋体"/>
                <w:sz w:val="24"/>
              </w:rPr>
              <w:t>提供至少一份相关证明材料，如中标通知书、预销售协议或合同等</w:t>
            </w:r>
            <w:bookmarkEnd w:id="20"/>
            <w:r>
              <w:rPr>
                <w:rFonts w:hint="eastAsia" w:ascii="宋体" w:hAnsi="宋体"/>
                <w:sz w:val="24"/>
              </w:rPr>
              <w:t>）。根据管理方案和相应证明材料对对接优劣情况打分。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3</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]分；一般[0，</w:t>
            </w:r>
            <w:r>
              <w:rPr>
                <w:rFonts w:ascii="宋体" w:hAnsi="宋体"/>
                <w:sz w:val="24"/>
              </w:rPr>
              <w:t>2</w:t>
            </w:r>
            <w:r>
              <w:rPr>
                <w:rFonts w:hint="eastAsia" w:ascii="宋体" w:hAnsi="宋体"/>
                <w:sz w:val="24"/>
              </w:rPr>
              <w:t>)分。</w:t>
            </w:r>
          </w:p>
          <w:p>
            <w:pPr>
              <w:rPr>
                <w:rFonts w:ascii="宋体" w:hAnsi="宋体"/>
                <w:sz w:val="24"/>
              </w:rPr>
            </w:pPr>
            <w:r>
              <w:t>2</w:t>
            </w:r>
            <w:r>
              <w:rPr>
                <w:rFonts w:hint="eastAsia"/>
              </w:rPr>
              <w:t>、</w:t>
            </w:r>
            <w:r>
              <w:rPr>
                <w:rFonts w:hint="eastAsia" w:ascii="宋体" w:hAnsi="宋体"/>
                <w:sz w:val="24"/>
              </w:rPr>
              <w:t>根据供应商提供的技术方案合理性、能力实现等情况进行评分。</w:t>
            </w:r>
          </w:p>
          <w:p>
            <w:r>
              <w:rPr>
                <w:rFonts w:hint="eastAsia" w:ascii="宋体" w:hAnsi="宋体"/>
                <w:sz w:val="24"/>
              </w:rPr>
              <w:t>优良(</w:t>
            </w:r>
            <w:r>
              <w:rPr>
                <w:rFonts w:ascii="宋体" w:hAnsi="宋体"/>
                <w:sz w:val="24"/>
              </w:rPr>
              <w:t>3</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3</w:t>
            </w:r>
            <w:r>
              <w:rPr>
                <w:rFonts w:hint="eastAsia" w:ascii="宋体" w:hAnsi="宋体"/>
                <w:sz w:val="24"/>
              </w:rPr>
              <w:t>]分；一般[0，</w:t>
            </w:r>
            <w:r>
              <w:rPr>
                <w:rFonts w:ascii="宋体" w:hAnsi="宋体"/>
                <w:sz w:val="24"/>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项目实施方案</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1、根据供应商提供的实施方案、施工进度及质量管理、应急管理方案打分。优良(2，3]分；较好[1，2]分；一般[0，1)分。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、供应商项目团队成员具备有效期内高级网络（数通）方向认证证书（等同于CCIE、HCIE、H3CIE）的，得2分。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注：须同时提供认证证书复印件、证书持有人员自2</w:t>
            </w:r>
            <w:r>
              <w:rPr>
                <w:rFonts w:ascii="宋体" w:hAnsi="宋体"/>
                <w:sz w:val="24"/>
              </w:rPr>
              <w:t>021</w:t>
            </w:r>
            <w:r>
              <w:rPr>
                <w:rFonts w:hint="eastAsia" w:ascii="宋体" w:hAnsi="宋体"/>
                <w:sz w:val="24"/>
              </w:rPr>
              <w:t>年6月1日以来在供应商单位的社保缴纳证明。不提供则不得分。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服务能力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6分</w:t>
            </w:r>
          </w:p>
        </w:tc>
        <w:tc>
          <w:tcPr>
            <w:tcW w:w="8007" w:type="dxa"/>
            <w:tcBorders>
              <w:top w:val="single" w:color="auto" w:sz="4" w:space="0"/>
              <w:left w:val="single" w:color="auto" w:sz="4" w:space="0"/>
              <w:bottom w:val="single" w:color="auto" w:sz="4" w:space="0"/>
              <w:right w:val="single" w:color="auto" w:sz="4" w:space="0"/>
            </w:tcBorders>
            <w:vAlign w:val="center"/>
          </w:tcPr>
          <w:p>
            <w:pPr>
              <w:pStyle w:val="89"/>
              <w:keepLines/>
              <w:widowControl/>
              <w:numPr>
                <w:ilvl w:val="0"/>
                <w:numId w:val="6"/>
              </w:numPr>
              <w:tabs>
                <w:tab w:val="left" w:pos="794"/>
                <w:tab w:val="left" w:pos="1191"/>
                <w:tab w:val="left" w:pos="1588"/>
                <w:tab w:val="left" w:pos="1985"/>
              </w:tabs>
              <w:autoSpaceDE w:val="0"/>
              <w:autoSpaceDN w:val="0"/>
              <w:adjustRightInd w:val="0"/>
              <w:spacing w:line="320" w:lineRule="exact"/>
              <w:ind w:firstLineChars="0"/>
              <w:jc w:val="left"/>
              <w:rPr>
                <w:sz w:val="24"/>
              </w:rPr>
            </w:pPr>
            <w:r>
              <w:rPr>
                <w:rFonts w:hint="eastAsia" w:ascii="宋体" w:hAnsi="宋体" w:eastAsia="宋体" w:cs="宋体"/>
                <w:sz w:val="24"/>
              </w:rPr>
              <w:t>根据供应商的本地化规模、售后服务机构的实力打分。</w:t>
            </w:r>
            <w:r>
              <w:rPr>
                <w:rFonts w:hint="eastAsia" w:ascii="宋体" w:hAnsi="宋体"/>
                <w:sz w:val="24"/>
              </w:rPr>
              <w:t>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kern w:val="0"/>
                <w:sz w:val="24"/>
              </w:rPr>
              <w:t>2、根据供应商售后服务方案、服务承诺以及服务响应时间横向比较打分。</w:t>
            </w:r>
          </w:p>
          <w:p>
            <w:pPr>
              <w:keepLines/>
              <w:widowControl/>
              <w:tabs>
                <w:tab w:val="left" w:pos="794"/>
                <w:tab w:val="left" w:pos="1191"/>
                <w:tab w:val="left" w:pos="1588"/>
                <w:tab w:val="left" w:pos="1985"/>
              </w:tabs>
              <w:autoSpaceDE w:val="0"/>
              <w:autoSpaceDN w:val="0"/>
              <w:adjustRightInd w:val="0"/>
              <w:spacing w:line="320" w:lineRule="exact"/>
              <w:ind w:firstLine="360" w:firstLineChars="150"/>
              <w:jc w:val="left"/>
              <w:rPr>
                <w:sz w:val="24"/>
              </w:rPr>
            </w:pPr>
            <w:r>
              <w:rPr>
                <w:rFonts w:hint="eastAsia" w:ascii="宋体" w:hAnsi="宋体"/>
                <w:sz w:val="24"/>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bookmarkStart w:id="21" w:name="_Hlk102052288"/>
            <w:r>
              <w:rPr>
                <w:rFonts w:hint="eastAsia" w:ascii="宋体" w:hAnsi="宋体"/>
                <w:b/>
                <w:bCs/>
                <w:sz w:val="24"/>
              </w:rPr>
              <w:t>免费包修期</w:t>
            </w:r>
            <w:bookmarkEnd w:id="21"/>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4</w:t>
            </w:r>
            <w:r>
              <w:rPr>
                <w:rFonts w:hint="eastAsia" w:ascii="宋体" w:hAnsi="宋体"/>
                <w:b/>
                <w:bCs/>
                <w:sz w:val="24"/>
              </w:rPr>
              <w:t>分</w:t>
            </w:r>
          </w:p>
        </w:tc>
        <w:tc>
          <w:tcPr>
            <w:tcW w:w="8007"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bookmarkStart w:id="22" w:name="_Hlk106270857"/>
            <w:r>
              <w:rPr>
                <w:rFonts w:hint="eastAsia"/>
                <w:kern w:val="0"/>
                <w:sz w:val="24"/>
              </w:rPr>
              <w:t>在三年免费包修期基础上，</w:t>
            </w:r>
            <w:r>
              <w:rPr>
                <w:rFonts w:hint="eastAsia" w:ascii="宋体" w:hAnsi="宋体"/>
                <w:sz w:val="24"/>
              </w:rPr>
              <w:t>应答</w:t>
            </w:r>
            <w:r>
              <w:rPr>
                <w:rFonts w:hint="eastAsia"/>
                <w:kern w:val="0"/>
                <w:sz w:val="24"/>
              </w:rPr>
              <w:t>产品制造商提供的原厂包修期每增加0</w:t>
            </w:r>
            <w:r>
              <w:rPr>
                <w:kern w:val="0"/>
                <w:sz w:val="24"/>
              </w:rPr>
              <w:t>.5</w:t>
            </w:r>
            <w:r>
              <w:rPr>
                <w:rFonts w:hint="eastAsia"/>
                <w:kern w:val="0"/>
                <w:sz w:val="24"/>
              </w:rPr>
              <w:t>年，得</w:t>
            </w:r>
            <w:r>
              <w:rPr>
                <w:kern w:val="0"/>
                <w:sz w:val="24"/>
              </w:rPr>
              <w:t>1</w:t>
            </w:r>
            <w:r>
              <w:rPr>
                <w:rFonts w:hint="eastAsia"/>
                <w:kern w:val="0"/>
                <w:sz w:val="24"/>
              </w:rPr>
              <w:t>分，满分</w:t>
            </w:r>
            <w:r>
              <w:rPr>
                <w:kern w:val="0"/>
                <w:sz w:val="24"/>
              </w:rPr>
              <w:t>4</w:t>
            </w:r>
            <w:r>
              <w:rPr>
                <w:rFonts w:hint="eastAsia"/>
                <w:kern w:val="0"/>
                <w:sz w:val="24"/>
              </w:rPr>
              <w:t>分，不增加则不得分</w:t>
            </w:r>
            <w:bookmarkEnd w:id="22"/>
            <w:r>
              <w:rPr>
                <w:rFonts w:hint="eastAsia"/>
                <w:kern w:val="0"/>
                <w:sz w:val="24"/>
              </w:rPr>
              <w:t>。</w:t>
            </w:r>
          </w:p>
        </w:tc>
      </w:tr>
    </w:tbl>
    <w:p>
      <w:pPr>
        <w:spacing w:line="360" w:lineRule="auto"/>
        <w:rPr>
          <w:b/>
          <w:bCs/>
          <w:sz w:val="24"/>
        </w:rPr>
      </w:pPr>
    </w:p>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23" w:name="_Toc69378618"/>
      <w:r>
        <w:rPr>
          <w:rFonts w:hint="eastAsia"/>
          <w:b/>
          <w:sz w:val="36"/>
          <w:szCs w:val="36"/>
        </w:rPr>
        <w:t xml:space="preserve">第四章 </w:t>
      </w:r>
      <w:r>
        <w:rPr>
          <w:b/>
          <w:sz w:val="36"/>
          <w:szCs w:val="36"/>
        </w:rPr>
        <w:t>合同格式</w:t>
      </w:r>
      <w:bookmarkEnd w:id="23"/>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bCs/>
          <w:color w:val="000000"/>
          <w:szCs w:val="21"/>
          <w:u w:val="single"/>
        </w:rPr>
        <w:t>路由器设备</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
          <w:color w:val="000000"/>
          <w:szCs w:val="21"/>
          <w:u w:val="single"/>
        </w:rPr>
        <w:t xml:space="preserve">  公司（以下简称“乙方”）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19"/>
      <w:r>
        <w:rPr>
          <w:rFonts w:ascii="宋体" w:hAnsi="宋体" w:eastAsia="宋体" w:cs="宋体"/>
          <w:b/>
          <w:bCs w:val="0"/>
          <w:sz w:val="21"/>
          <w:szCs w:val="21"/>
        </w:rPr>
        <w:t>一、项目标的和内容</w:t>
      </w:r>
      <w:bookmarkEnd w:id="24"/>
    </w:p>
    <w:p>
      <w:pPr>
        <w:spacing w:line="360" w:lineRule="auto"/>
        <w:ind w:firstLine="420" w:firstLineChars="200"/>
        <w:rPr>
          <w:color w:val="000000"/>
          <w:szCs w:val="21"/>
        </w:rPr>
      </w:pPr>
      <w:bookmarkStart w:id="25" w:name="_Toc69378620"/>
      <w:r>
        <w:rPr>
          <w:color w:val="262626"/>
          <w:szCs w:val="21"/>
        </w:rPr>
        <w:t>项目标的内容包括乙方按照甲方具体要求供应</w:t>
      </w:r>
      <w:r>
        <w:rPr>
          <w:rFonts w:hint="eastAsia" w:ascii="宋体" w:hAnsi="宋体"/>
          <w:color w:val="000000"/>
          <w:szCs w:val="21"/>
          <w:u w:val="single"/>
        </w:rPr>
        <w:t>路由器设备</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5"/>
    </w:p>
    <w:p>
      <w:pPr>
        <w:numPr>
          <w:ilvl w:val="1"/>
          <w:numId w:val="7"/>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7"/>
        </w:numPr>
        <w:tabs>
          <w:tab w:val="left" w:pos="0"/>
          <w:tab w:val="clear" w:pos="1155"/>
        </w:tabs>
        <w:spacing w:line="360" w:lineRule="auto"/>
        <w:ind w:left="0" w:firstLine="0"/>
        <w:rPr>
          <w:szCs w:val="21"/>
        </w:rPr>
      </w:pPr>
      <w:bookmarkStart w:id="26"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7"/>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6"/>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7" w:name="_Toc69378621"/>
      <w:r>
        <w:rPr>
          <w:rFonts w:hint="eastAsia"/>
          <w:szCs w:val="21"/>
        </w:rPr>
        <w:t>1．</w:t>
      </w:r>
      <w:r>
        <w:rPr>
          <w:szCs w:val="21"/>
        </w:rPr>
        <w:t>付款方式：</w:t>
      </w:r>
      <w:r>
        <w:rPr>
          <w:rFonts w:ascii="宋体" w:hAnsi="宋体"/>
          <w:szCs w:val="21"/>
        </w:rPr>
        <w:t>全部货款</w:t>
      </w:r>
      <w:r>
        <w:rPr>
          <w:rFonts w:hint="eastAsia" w:ascii="宋体" w:hAnsi="宋体"/>
          <w:szCs w:val="21"/>
        </w:rPr>
        <w:t>的</w:t>
      </w:r>
      <w:r>
        <w:rPr>
          <w:rFonts w:ascii="宋体" w:hAnsi="宋体"/>
          <w:szCs w:val="21"/>
        </w:rPr>
        <w:t>40%以电汇方式汇入乙方账号，60%以半年期银行承兑汇票支付。禁止将货款划入其他账号或支付现金</w:t>
      </w:r>
      <w:r>
        <w:rPr>
          <w:szCs w:val="21"/>
        </w:rPr>
        <w:t>。如收款方的账号和开户行变更，须及时以书面形式通知付款方，通知上必须同时盖有收款方的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付款期限：设备到货安装完成且</w:t>
      </w:r>
      <w:r>
        <w:rPr>
          <w:rFonts w:hint="eastAsia"/>
          <w:color w:val="000000"/>
          <w:szCs w:val="21"/>
        </w:rPr>
        <w:t>初验</w:t>
      </w:r>
      <w:r>
        <w:rPr>
          <w:color w:val="000000"/>
          <w:szCs w:val="21"/>
        </w:rPr>
        <w:t>合格后1个月内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 xml:space="preserve">       ；</w:t>
      </w:r>
      <w:r>
        <w:rPr>
          <w:rFonts w:hint="eastAsia"/>
          <w:color w:val="000000"/>
          <w:szCs w:val="21"/>
        </w:rPr>
        <w:t>项目通过终验后1个月内，甲方</w:t>
      </w:r>
      <w:r>
        <w:rPr>
          <w:color w:val="000000"/>
          <w:szCs w:val="21"/>
        </w:rPr>
        <w:t>以半年期银行承兑汇票</w:t>
      </w:r>
      <w:r>
        <w:rPr>
          <w:rFonts w:hint="eastAsia"/>
          <w:color w:val="000000"/>
          <w:szCs w:val="21"/>
        </w:rPr>
        <w:t>支付乙方合同总额的</w:t>
      </w:r>
      <w:r>
        <w:rPr>
          <w:color w:val="000000"/>
          <w:szCs w:val="21"/>
        </w:rPr>
        <w:t>60%</w:t>
      </w:r>
      <w:r>
        <w:rPr>
          <w:rFonts w:hint="eastAsia"/>
          <w:color w:val="000000"/>
          <w:szCs w:val="21"/>
        </w:rPr>
        <w:t>，即人民币</w:t>
      </w:r>
      <w:r>
        <w:rPr>
          <w:rFonts w:hint="eastAsia"/>
          <w:color w:val="000000"/>
          <w:szCs w:val="21"/>
          <w:u w:val="single"/>
        </w:rPr>
        <w:t xml:space="preserve">       ；</w:t>
      </w:r>
      <w:r>
        <w:rPr>
          <w:rFonts w:hint="eastAsia"/>
          <w:color w:val="000000"/>
          <w:szCs w:val="21"/>
        </w:rPr>
        <w:t>10%余款即人民币</w:t>
      </w:r>
      <w:r>
        <w:rPr>
          <w:rFonts w:hint="eastAsia"/>
          <w:color w:val="000000"/>
          <w:szCs w:val="21"/>
          <w:u w:val="single"/>
        </w:rPr>
        <w:t xml:space="preserve">      ，</w:t>
      </w:r>
      <w:r>
        <w:rPr>
          <w:rFonts w:hint="eastAsia"/>
          <w:color w:val="000000"/>
          <w:szCs w:val="21"/>
        </w:rPr>
        <w:t>作为质量保证金，在终验合格一年后的10个工作日之内支付。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3．质量保证金：</w:t>
      </w:r>
      <w:r>
        <w:rPr>
          <w:color w:val="000000"/>
        </w:rPr>
        <w:t>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2126"/>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pPr>
              <w:jc w:val="center"/>
              <w:rPr>
                <w:rFonts w:ascii="宋体" w:hAnsi="宋体"/>
                <w:b/>
                <w:color w:val="000000"/>
                <w:szCs w:val="21"/>
              </w:rPr>
            </w:pPr>
            <w:r>
              <w:rPr>
                <w:rFonts w:hint="eastAsia" w:ascii="宋体" w:hAnsi="宋体"/>
                <w:b/>
                <w:color w:val="000000"/>
                <w:szCs w:val="21"/>
              </w:rPr>
              <w:t>序号</w:t>
            </w:r>
          </w:p>
        </w:tc>
        <w:tc>
          <w:tcPr>
            <w:tcW w:w="1276" w:type="dxa"/>
            <w:vAlign w:val="center"/>
          </w:tcPr>
          <w:p>
            <w:pPr>
              <w:jc w:val="center"/>
              <w:rPr>
                <w:rFonts w:ascii="宋体" w:hAnsi="宋体"/>
                <w:b/>
                <w:color w:val="000000"/>
                <w:szCs w:val="21"/>
              </w:rPr>
            </w:pPr>
            <w:r>
              <w:rPr>
                <w:rFonts w:hint="eastAsia" w:ascii="宋体" w:hAnsi="宋体"/>
                <w:b/>
                <w:color w:val="000000"/>
                <w:szCs w:val="21"/>
              </w:rPr>
              <w:t>费用类别</w:t>
            </w:r>
          </w:p>
        </w:tc>
        <w:tc>
          <w:tcPr>
            <w:tcW w:w="2126" w:type="dxa"/>
            <w:vAlign w:val="center"/>
          </w:tcPr>
          <w:p>
            <w:pPr>
              <w:jc w:val="center"/>
              <w:rPr>
                <w:rFonts w:ascii="宋体" w:hAnsi="宋体"/>
                <w:b/>
                <w:color w:val="000000"/>
                <w:szCs w:val="21"/>
              </w:rPr>
            </w:pPr>
            <w:r>
              <w:rPr>
                <w:rFonts w:hint="eastAsia" w:ascii="宋体" w:hAnsi="宋体"/>
                <w:b/>
                <w:color w:val="000000"/>
                <w:szCs w:val="21"/>
              </w:rPr>
              <w:t>适用状况</w:t>
            </w:r>
          </w:p>
        </w:tc>
        <w:tc>
          <w:tcPr>
            <w:tcW w:w="2126" w:type="dxa"/>
            <w:vAlign w:val="center"/>
          </w:tcPr>
          <w:p>
            <w:pPr>
              <w:jc w:val="center"/>
              <w:rPr>
                <w:rFonts w:ascii="宋体" w:hAnsi="宋体"/>
                <w:b/>
                <w:color w:val="000000"/>
                <w:szCs w:val="21"/>
              </w:rPr>
            </w:pPr>
            <w:r>
              <w:rPr>
                <w:rFonts w:hint="eastAsia" w:ascii="宋体" w:hAnsi="宋体"/>
                <w:b/>
                <w:color w:val="000000"/>
                <w:szCs w:val="21"/>
              </w:rPr>
              <w:t>执行方法</w:t>
            </w:r>
          </w:p>
        </w:tc>
        <w:tc>
          <w:tcPr>
            <w:tcW w:w="1418" w:type="dxa"/>
            <w:vAlign w:val="center"/>
          </w:tcPr>
          <w:p>
            <w:pPr>
              <w:jc w:val="center"/>
              <w:rPr>
                <w:rFonts w:ascii="宋体" w:hAnsi="宋体"/>
                <w:b/>
                <w:color w:val="000000"/>
                <w:szCs w:val="21"/>
              </w:rPr>
            </w:pPr>
            <w:r>
              <w:rPr>
                <w:rFonts w:hint="eastAsia" w:ascii="宋体" w:hAnsi="宋体"/>
                <w:b/>
                <w:color w:val="000000"/>
                <w:szCs w:val="21"/>
              </w:rPr>
              <w:t>罚款金额</w:t>
            </w:r>
          </w:p>
        </w:tc>
        <w:tc>
          <w:tcPr>
            <w:tcW w:w="1417" w:type="dxa"/>
            <w:vAlign w:val="center"/>
          </w:tcPr>
          <w:p>
            <w:pPr>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1</w:t>
            </w:r>
          </w:p>
        </w:tc>
        <w:tc>
          <w:tcPr>
            <w:tcW w:w="1276" w:type="dxa"/>
            <w:vAlign w:val="center"/>
          </w:tcPr>
          <w:p>
            <w:pPr>
              <w:rPr>
                <w:rFonts w:ascii="宋体" w:hAnsi="宋体"/>
                <w:color w:val="000000"/>
                <w:szCs w:val="21"/>
              </w:rPr>
            </w:pPr>
            <w:r>
              <w:rPr>
                <w:rFonts w:hint="eastAsia" w:ascii="宋体" w:hAnsi="宋体"/>
                <w:color w:val="000000"/>
                <w:szCs w:val="21"/>
              </w:rPr>
              <w:t>产品质量不合格</w:t>
            </w:r>
          </w:p>
        </w:tc>
        <w:tc>
          <w:tcPr>
            <w:tcW w:w="2126" w:type="dxa"/>
            <w:vAlign w:val="center"/>
          </w:tcPr>
          <w:p>
            <w:pPr>
              <w:rPr>
                <w:rFonts w:ascii="宋体" w:hAnsi="宋体"/>
                <w:color w:val="000000"/>
                <w:szCs w:val="21"/>
              </w:rPr>
            </w:pPr>
            <w:r>
              <w:rPr>
                <w:rFonts w:hint="eastAsia" w:ascii="宋体" w:hAnsi="宋体"/>
                <w:color w:val="000000"/>
                <w:szCs w:val="21"/>
              </w:rPr>
              <w:t>乙方提交的货物产品不满足事先约定的质量要求。</w:t>
            </w:r>
          </w:p>
        </w:tc>
        <w:tc>
          <w:tcPr>
            <w:tcW w:w="2126" w:type="dxa"/>
            <w:vAlign w:val="center"/>
          </w:tcPr>
          <w:p>
            <w:pPr>
              <w:rPr>
                <w:rFonts w:ascii="宋体" w:hAnsi="宋体"/>
                <w:color w:val="000000"/>
                <w:szCs w:val="21"/>
              </w:rPr>
            </w:pPr>
            <w:r>
              <w:rPr>
                <w:rFonts w:hint="eastAsia" w:ascii="宋体" w:hAnsi="宋体"/>
                <w:color w:val="000000"/>
                <w:szCs w:val="21"/>
              </w:rPr>
              <w:t>由甲方项目经理完成产品质量缺陷说明，提交财务部扣款</w:t>
            </w:r>
          </w:p>
        </w:tc>
        <w:tc>
          <w:tcPr>
            <w:tcW w:w="1418" w:type="dxa"/>
            <w:vAlign w:val="center"/>
          </w:tcPr>
          <w:p>
            <w:pPr>
              <w:rPr>
                <w:color w:val="000000"/>
                <w:szCs w:val="21"/>
              </w:rPr>
            </w:pPr>
            <w:r>
              <w:rPr>
                <w:rFonts w:hint="eastAsia" w:ascii="宋体" w:hAnsi="宋体"/>
                <w:color w:val="000000"/>
                <w:szCs w:val="21"/>
              </w:rPr>
              <w:t>合同款</w:t>
            </w:r>
            <w:r>
              <w:rPr>
                <w:rFonts w:hint="eastAsia"/>
                <w:color w:val="000000"/>
                <w:szCs w:val="21"/>
              </w:rPr>
              <w:t>*5%~10%</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2</w:t>
            </w:r>
          </w:p>
        </w:tc>
        <w:tc>
          <w:tcPr>
            <w:tcW w:w="1276" w:type="dxa"/>
            <w:vAlign w:val="center"/>
          </w:tcPr>
          <w:p>
            <w:pPr>
              <w:rPr>
                <w:rFonts w:ascii="宋体" w:hAnsi="宋体"/>
                <w:color w:val="000000"/>
                <w:szCs w:val="21"/>
              </w:rPr>
            </w:pPr>
            <w:r>
              <w:rPr>
                <w:rFonts w:hint="eastAsia" w:ascii="宋体" w:hAnsi="宋体"/>
                <w:color w:val="000000"/>
                <w:szCs w:val="21"/>
              </w:rPr>
              <w:t>技术支持延迟或售后不合格</w:t>
            </w:r>
          </w:p>
        </w:tc>
        <w:tc>
          <w:tcPr>
            <w:tcW w:w="2126" w:type="dxa"/>
            <w:vAlign w:val="center"/>
          </w:tcPr>
          <w:p>
            <w:pPr>
              <w:rPr>
                <w:rFonts w:ascii="宋体" w:hAnsi="宋体"/>
                <w:color w:val="000000"/>
                <w:szCs w:val="21"/>
              </w:rPr>
            </w:pPr>
            <w:r>
              <w:rPr>
                <w:rFonts w:hint="eastAsia" w:ascii="宋体" w:hAnsi="宋体"/>
                <w:color w:val="000000"/>
                <w:szCs w:val="21"/>
              </w:rPr>
              <w:t>乙方未在要求的时间内解决甲方提出的符合包修或技术支持范围的问题</w:t>
            </w:r>
          </w:p>
        </w:tc>
        <w:tc>
          <w:tcPr>
            <w:tcW w:w="2126" w:type="dxa"/>
            <w:vAlign w:val="center"/>
          </w:tcPr>
          <w:p>
            <w:pPr>
              <w:rPr>
                <w:rFonts w:ascii="宋体" w:hAnsi="宋体"/>
                <w:color w:val="000000"/>
                <w:szCs w:val="21"/>
              </w:rPr>
            </w:pPr>
            <w:r>
              <w:rPr>
                <w:rFonts w:hint="eastAsia" w:ascii="宋体" w:hAnsi="宋体"/>
                <w:color w:val="000000"/>
                <w:szCs w:val="21"/>
              </w:rPr>
              <w:t>由甲方项目经理完成售后反馈表，提交财务部扣款</w:t>
            </w:r>
          </w:p>
        </w:tc>
        <w:tc>
          <w:tcPr>
            <w:tcW w:w="1418" w:type="dxa"/>
            <w:vAlign w:val="center"/>
          </w:tcPr>
          <w:p>
            <w:pPr>
              <w:rPr>
                <w:color w:val="000000"/>
                <w:szCs w:val="21"/>
              </w:rPr>
            </w:pPr>
            <w:r>
              <w:rPr>
                <w:color w:val="000000"/>
                <w:szCs w:val="21"/>
              </w:rPr>
              <w:t>5,000~50,000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1276" w:type="dxa"/>
            <w:vAlign w:val="center"/>
          </w:tcPr>
          <w:p>
            <w:pPr>
              <w:rPr>
                <w:rFonts w:ascii="宋体" w:hAnsi="宋体"/>
                <w:color w:val="000000"/>
                <w:szCs w:val="21"/>
              </w:rPr>
            </w:pPr>
            <w:r>
              <w:rPr>
                <w:rFonts w:hint="eastAsia" w:ascii="宋体" w:hAnsi="宋体"/>
                <w:color w:val="000000"/>
                <w:szCs w:val="21"/>
              </w:rPr>
              <w:t>文档缺失或质量不合格</w:t>
            </w:r>
          </w:p>
        </w:tc>
        <w:tc>
          <w:tcPr>
            <w:tcW w:w="2126" w:type="dxa"/>
            <w:vAlign w:val="center"/>
          </w:tcPr>
          <w:p>
            <w:pPr>
              <w:rPr>
                <w:rFonts w:ascii="宋体" w:hAnsi="宋体"/>
                <w:color w:val="000000"/>
                <w:szCs w:val="21"/>
              </w:rPr>
            </w:pPr>
            <w:r>
              <w:rPr>
                <w:rFonts w:hint="eastAsia" w:ascii="宋体" w:hAnsi="宋体"/>
                <w:color w:val="000000"/>
                <w:szCs w:val="21"/>
              </w:rPr>
              <w:t>乙方未提供或提供的技术规范、培训材料等文档</w:t>
            </w:r>
          </w:p>
        </w:tc>
        <w:tc>
          <w:tcPr>
            <w:tcW w:w="2126" w:type="dxa"/>
            <w:vAlign w:val="center"/>
          </w:tcPr>
          <w:p>
            <w:pPr>
              <w:rPr>
                <w:rFonts w:ascii="宋体" w:hAnsi="宋体"/>
                <w:color w:val="000000"/>
                <w:szCs w:val="21"/>
              </w:rPr>
            </w:pPr>
            <w:r>
              <w:rPr>
                <w:rFonts w:hint="eastAsia" w:ascii="宋体" w:hAnsi="宋体"/>
                <w:color w:val="000000"/>
                <w:szCs w:val="21"/>
              </w:rPr>
              <w:t>由甲方项目经理确认文档条目，提交财务部扣款</w:t>
            </w:r>
          </w:p>
        </w:tc>
        <w:tc>
          <w:tcPr>
            <w:tcW w:w="1418" w:type="dxa"/>
            <w:vAlign w:val="center"/>
          </w:tcPr>
          <w:p>
            <w:pPr>
              <w:rPr>
                <w:color w:val="000000"/>
                <w:szCs w:val="21"/>
              </w:rPr>
            </w:pPr>
            <w:r>
              <w:rPr>
                <w:color w:val="000000"/>
                <w:szCs w:val="21"/>
              </w:rPr>
              <w:t>1,000~5,0000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视文档重要性</w:t>
            </w:r>
          </w:p>
        </w:tc>
      </w:tr>
    </w:tbl>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ascii="宋体" w:hAnsi="宋体"/>
          <w:color w:val="000000"/>
          <w:szCs w:val="21"/>
          <w:u w:val="single"/>
        </w:rPr>
        <w:t>路由器设备采购</w:t>
      </w:r>
      <w:r>
        <w:rPr>
          <w:rFonts w:hint="eastAsia" w:ascii="宋体" w:hAnsi="宋体" w:cs="宋体"/>
          <w:szCs w:val="21"/>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7"/>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8" w:name="_Toc69378622"/>
      <w:r>
        <w:rPr>
          <w:rFonts w:hint="eastAsia" w:ascii="宋体" w:hAnsi="宋体" w:eastAsia="宋体" w:cs="宋体"/>
          <w:b/>
          <w:bCs w:val="0"/>
          <w:sz w:val="21"/>
          <w:szCs w:val="21"/>
        </w:rPr>
        <w:t>六、产品交付</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8"/>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9" w:name="_Toc69378629"/>
      <w:r>
        <w:rPr>
          <w:rFonts w:hint="eastAsia" w:ascii="宋体" w:hAnsi="宋体" w:eastAsia="宋体" w:cs="宋体"/>
          <w:b/>
          <w:bCs w:val="0"/>
          <w:sz w:val="21"/>
          <w:szCs w:val="21"/>
        </w:rPr>
        <w:t>七、</w:t>
      </w:r>
      <w:bookmarkEnd w:id="29"/>
      <w:bookmarkStart w:id="30"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w:t>
      </w:r>
      <w:r>
        <w:rPr>
          <w:rFonts w:ascii="宋体" w:hAnsi="宋体" w:cs="宋体"/>
          <w:szCs w:val="21"/>
        </w:rPr>
        <w:t>30</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30"/>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31" w:name="_Toc69378633"/>
      <w:r>
        <w:rPr>
          <w:rFonts w:hint="eastAsia" w:ascii="宋体" w:hAnsi="宋体" w:eastAsia="宋体" w:cs="宋体"/>
          <w:b/>
          <w:bCs w:val="0"/>
          <w:sz w:val="21"/>
          <w:szCs w:val="21"/>
        </w:rPr>
        <w:t>九、验收标准</w:t>
      </w:r>
    </w:p>
    <w:p>
      <w:pPr>
        <w:numPr>
          <w:ilvl w:val="0"/>
          <w:numId w:val="10"/>
        </w:numPr>
        <w:tabs>
          <w:tab w:val="left" w:pos="0"/>
        </w:tabs>
        <w:spacing w:line="360" w:lineRule="auto"/>
        <w:ind w:left="0" w:firstLine="0"/>
        <w:rPr>
          <w:color w:val="000000"/>
          <w:szCs w:val="21"/>
        </w:rPr>
      </w:pPr>
      <w:r>
        <w:rPr>
          <w:color w:val="000000"/>
          <w:szCs w:val="21"/>
        </w:rPr>
        <w:t>设备到货后，甲方对设备数量进行核对，并进行设备上架安装、开机试运行及配置验证，确定设备与合同内容无误后视为货到验收合格。</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10"/>
        </w:numPr>
        <w:adjustRightInd w:val="0"/>
        <w:snapToGrid w:val="0"/>
        <w:spacing w:line="360" w:lineRule="auto"/>
        <w:rPr>
          <w:rFonts w:ascii="宋体"/>
          <w:szCs w:val="21"/>
        </w:rPr>
      </w:pPr>
      <w:r>
        <w:rPr>
          <w:rFonts w:hint="eastAsia" w:ascii="宋体" w:hAnsi="宋体"/>
          <w:szCs w:val="21"/>
        </w:rPr>
        <w:t>乙方满足验收条件、提交甲方验收的，甲方应及时组织验收。</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2" w:name="_Toc72326302"/>
      <w:r>
        <w:rPr>
          <w:rFonts w:hint="eastAsia" w:ascii="宋体" w:hAnsi="宋体" w:eastAsia="宋体"/>
          <w:b/>
          <w:kern w:val="2"/>
          <w:sz w:val="21"/>
          <w:szCs w:val="21"/>
        </w:rPr>
        <w:t>十、售后服务</w:t>
      </w:r>
      <w:bookmarkEnd w:id="32"/>
    </w:p>
    <w:p>
      <w:pPr>
        <w:numPr>
          <w:ilvl w:val="0"/>
          <w:numId w:val="11"/>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乙方需在南京设立产品备件库，保证硬件设备的及时维修和更换。</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，自初验通过之日起计算。免费包修期内</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%（不高于5%）。有偿保修服务的内容应包含免费包修期内的所有服务内容。</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培训：包括响应文件和磋商时做出的书面承诺的培训。乙方</w:t>
      </w:r>
      <w:r>
        <w:rPr>
          <w:rFonts w:ascii="宋体" w:hAnsi="宋体"/>
          <w:szCs w:val="21"/>
        </w:rPr>
        <w:t>应对</w:t>
      </w:r>
      <w:r>
        <w:rPr>
          <w:rFonts w:hint="eastAsia" w:ascii="宋体" w:hAnsi="宋体"/>
          <w:szCs w:val="21"/>
        </w:rPr>
        <w:t>甲方</w:t>
      </w:r>
      <w:r>
        <w:rPr>
          <w:rFonts w:ascii="宋体" w:hAnsi="宋体"/>
          <w:szCs w:val="21"/>
        </w:rPr>
        <w:t>人员进行技术培训，使</w:t>
      </w:r>
      <w:r>
        <w:rPr>
          <w:rFonts w:hint="eastAsia" w:ascii="宋体" w:hAnsi="宋体"/>
          <w:szCs w:val="21"/>
        </w:rPr>
        <w:t>甲方</w:t>
      </w:r>
      <w:r>
        <w:rPr>
          <w:rFonts w:ascii="宋体" w:hAnsi="宋体"/>
          <w:szCs w:val="21"/>
        </w:rPr>
        <w:t>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w:t>
      </w:r>
      <w:r>
        <w:rPr>
          <w:rFonts w:hint="eastAsia" w:ascii="宋体" w:hAnsi="宋体"/>
          <w:szCs w:val="21"/>
        </w:rPr>
        <w:t>乙方另行提供的其它培训，往返路程费用、住宿及餐饮等费用由乙方承担。</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原厂服务：乙方所提供的技术服务都由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1"/>
        </w:numPr>
        <w:adjustRightInd w:val="0"/>
        <w:snapToGrid w:val="0"/>
        <w:spacing w:line="360" w:lineRule="auto"/>
        <w:ind w:left="0" w:firstLine="0"/>
        <w:rPr>
          <w:rFonts w:ascii="宋体" w:hAnsi="宋体"/>
          <w:szCs w:val="21"/>
        </w:rPr>
      </w:pPr>
      <w:r>
        <w:rPr>
          <w:rFonts w:ascii="宋体" w:hAnsi="宋体"/>
          <w:szCs w:val="21"/>
        </w:rP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ascii="宋体" w:hAnsi="宋体"/>
          <w:szCs w:val="21"/>
        </w:rPr>
        <w:t>。</w:t>
      </w:r>
    </w:p>
    <w:p>
      <w:pPr>
        <w:numPr>
          <w:ilvl w:val="0"/>
          <w:numId w:val="11"/>
        </w:numPr>
        <w:tabs>
          <w:tab w:val="left" w:pos="0"/>
        </w:tabs>
        <w:spacing w:line="360" w:lineRule="auto"/>
        <w:ind w:left="0" w:firstLine="0"/>
        <w:rPr>
          <w:color w:val="000000"/>
          <w:szCs w:val="21"/>
        </w:rPr>
      </w:pPr>
      <w:r>
        <w:t>技术交流：乙方及原厂商应当针对本项目系统（软硬件）与甲方进行现场技术交流，以提高甲方操作和维护水平。</w:t>
      </w:r>
    </w:p>
    <w:p>
      <w:pPr>
        <w:numPr>
          <w:ilvl w:val="0"/>
          <w:numId w:val="11"/>
        </w:numPr>
        <w:tabs>
          <w:tab w:val="left" w:pos="0"/>
        </w:tabs>
        <w:spacing w:line="360" w:lineRule="auto"/>
        <w:ind w:left="0" w:firstLine="0"/>
      </w:pPr>
      <w:r>
        <w:t>软件支持：包修期内，原厂商免费为甲方提供软件维护和软件兼容性问题的技术支持服务，确保设备软件系统正常运行。乙方必须终身提供免费的软件维护和升级，对于不在此范围内的情况需列表说明。</w:t>
      </w:r>
    </w:p>
    <w:p>
      <w:pPr>
        <w:numPr>
          <w:ilvl w:val="0"/>
          <w:numId w:val="11"/>
        </w:numPr>
        <w:tabs>
          <w:tab w:val="left" w:pos="0"/>
        </w:tabs>
        <w:spacing w:line="360" w:lineRule="auto"/>
        <w:ind w:left="0" w:firstLine="0"/>
      </w:pPr>
      <w:r>
        <w:t>在甲方使用主流品牌的硬件、软件产品出现兼容性问题时，原厂商须积极配合，与有关硬件、软件厂商和甲方接洽，及时定位问题原因、寻求解决方案。</w:t>
      </w:r>
    </w:p>
    <w:p>
      <w:pPr>
        <w:numPr>
          <w:ilvl w:val="0"/>
          <w:numId w:val="11"/>
        </w:numPr>
        <w:tabs>
          <w:tab w:val="left" w:pos="0"/>
        </w:tabs>
        <w:spacing w:line="360" w:lineRule="auto"/>
        <w:ind w:left="0" w:firstLine="0"/>
      </w:pPr>
      <w:r>
        <w:t>在包修期内及包修期后，甲方在使用乙方设备中不论何种原因造成的故障，乙方在接到甲方要求修复的通知后：</w:t>
      </w:r>
    </w:p>
    <w:p>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pPr>
        <w:spacing w:line="360" w:lineRule="auto"/>
      </w:pPr>
      <w:r>
        <w:rPr>
          <w:szCs w:val="21"/>
        </w:rPr>
        <w:t>乙方</w:t>
      </w:r>
      <w:r>
        <w:t>24小时故障报修电话：</w:t>
      </w:r>
      <w:r>
        <w:rPr>
          <w:u w:val="single"/>
        </w:rPr>
        <w:t xml:space="preserve">       </w:t>
      </w:r>
    </w:p>
    <w:p>
      <w:pPr>
        <w:spacing w:line="360" w:lineRule="auto"/>
      </w:pPr>
      <w:r>
        <w:t>原厂商24小时故障报修电话：</w:t>
      </w:r>
      <w:r>
        <w:rPr>
          <w:u w:val="single"/>
        </w:rPr>
        <w:t xml:space="preserve">      </w:t>
      </w:r>
    </w:p>
    <w:p>
      <w:pPr>
        <w:pStyle w:val="22"/>
        <w:tabs>
          <w:tab w:val="left" w:pos="417"/>
        </w:tabs>
        <w:spacing w:after="0" w:line="360" w:lineRule="auto"/>
        <w:ind w:left="0"/>
        <w:rPr>
          <w:rFonts w:ascii="Times New Roman" w:eastAsia="宋体"/>
          <w:kern w:val="2"/>
          <w:sz w:val="21"/>
          <w:szCs w:val="24"/>
        </w:rPr>
      </w:pPr>
      <w:r>
        <w:rPr>
          <w:rFonts w:ascii="Times New Roman" w:eastAsia="宋体"/>
          <w:kern w:val="2"/>
          <w:sz w:val="21"/>
          <w:szCs w:val="24"/>
        </w:rPr>
        <w:t>技术支持电话：</w:t>
      </w:r>
      <w:r>
        <w:rPr>
          <w:u w:val="single"/>
        </w:rPr>
        <w:t xml:space="preserve">      </w:t>
      </w:r>
    </w:p>
    <w:p>
      <w:pPr>
        <w:tabs>
          <w:tab w:val="left" w:pos="0"/>
        </w:tabs>
        <w:spacing w:line="360" w:lineRule="auto"/>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5年</w:t>
      </w:r>
      <w:r>
        <w:rPr>
          <w:bCs/>
          <w:szCs w:val="21"/>
        </w:rPr>
        <w:t>正常使用的所有设备易损件和备件，</w:t>
      </w:r>
      <w:r>
        <w:rPr>
          <w:szCs w:val="21"/>
        </w:rPr>
        <w:t>用以保障甲方应急替换。</w:t>
      </w:r>
    </w:p>
    <w:tbl>
      <w:tblPr>
        <w:tblStyle w:val="5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23"/>
        <w:gridCol w:w="1726"/>
        <w:gridCol w:w="1251"/>
        <w:gridCol w:w="159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Align w:val="center"/>
          </w:tcPr>
          <w:p>
            <w:pPr>
              <w:pStyle w:val="351"/>
              <w:spacing w:before="0" w:line="240" w:lineRule="auto"/>
              <w:ind w:firstLine="0"/>
              <w:jc w:val="center"/>
              <w:rPr>
                <w:b/>
                <w:sz w:val="21"/>
                <w:szCs w:val="21"/>
              </w:rPr>
            </w:pPr>
            <w:r>
              <w:rPr>
                <w:b/>
                <w:sz w:val="21"/>
                <w:szCs w:val="21"/>
              </w:rPr>
              <w:t>故障级别</w:t>
            </w:r>
          </w:p>
        </w:tc>
        <w:tc>
          <w:tcPr>
            <w:tcW w:w="1323" w:type="dxa"/>
            <w:vAlign w:val="center"/>
          </w:tcPr>
          <w:p>
            <w:pPr>
              <w:pStyle w:val="351"/>
              <w:spacing w:before="0" w:line="240" w:lineRule="auto"/>
              <w:ind w:firstLine="0"/>
              <w:jc w:val="center"/>
              <w:rPr>
                <w:b/>
                <w:sz w:val="21"/>
                <w:szCs w:val="21"/>
              </w:rPr>
            </w:pPr>
            <w:r>
              <w:rPr>
                <w:b/>
                <w:sz w:val="21"/>
                <w:szCs w:val="21"/>
              </w:rPr>
              <w:t>故障描述</w:t>
            </w:r>
          </w:p>
        </w:tc>
        <w:tc>
          <w:tcPr>
            <w:tcW w:w="1726" w:type="dxa"/>
            <w:vAlign w:val="center"/>
          </w:tcPr>
          <w:p>
            <w:pPr>
              <w:pStyle w:val="351"/>
              <w:spacing w:before="0" w:line="240" w:lineRule="auto"/>
              <w:ind w:firstLine="0"/>
              <w:jc w:val="center"/>
              <w:rPr>
                <w:b/>
                <w:sz w:val="21"/>
                <w:szCs w:val="21"/>
              </w:rPr>
            </w:pPr>
            <w:r>
              <w:rPr>
                <w:b/>
                <w:sz w:val="21"/>
                <w:szCs w:val="21"/>
              </w:rPr>
              <w:t>发生时段</w:t>
            </w:r>
          </w:p>
        </w:tc>
        <w:tc>
          <w:tcPr>
            <w:tcW w:w="1251" w:type="dxa"/>
            <w:vAlign w:val="center"/>
          </w:tcPr>
          <w:p>
            <w:pPr>
              <w:pStyle w:val="351"/>
              <w:spacing w:before="0" w:line="240" w:lineRule="auto"/>
              <w:ind w:firstLine="0"/>
              <w:jc w:val="center"/>
              <w:rPr>
                <w:b/>
                <w:sz w:val="21"/>
                <w:szCs w:val="21"/>
              </w:rPr>
            </w:pPr>
            <w:r>
              <w:rPr>
                <w:b/>
                <w:sz w:val="21"/>
                <w:szCs w:val="21"/>
              </w:rPr>
              <w:t>电话</w:t>
            </w:r>
            <w:r>
              <w:rPr>
                <w:rFonts w:hint="eastAsia"/>
                <w:b/>
                <w:sz w:val="21"/>
                <w:szCs w:val="21"/>
              </w:rPr>
              <w:t>响应</w:t>
            </w:r>
          </w:p>
        </w:tc>
        <w:tc>
          <w:tcPr>
            <w:tcW w:w="1598" w:type="dxa"/>
            <w:vAlign w:val="center"/>
          </w:tcPr>
          <w:p>
            <w:pPr>
              <w:pStyle w:val="351"/>
              <w:spacing w:before="0" w:line="240" w:lineRule="auto"/>
              <w:ind w:firstLine="0"/>
              <w:jc w:val="center"/>
              <w:rPr>
                <w:b/>
                <w:sz w:val="21"/>
                <w:szCs w:val="21"/>
              </w:rPr>
            </w:pPr>
            <w:r>
              <w:rPr>
                <w:b/>
                <w:sz w:val="21"/>
                <w:szCs w:val="21"/>
              </w:rPr>
              <w:t>现场响应</w:t>
            </w:r>
          </w:p>
        </w:tc>
        <w:tc>
          <w:tcPr>
            <w:tcW w:w="1357" w:type="dxa"/>
            <w:vAlign w:val="center"/>
          </w:tcPr>
          <w:p>
            <w:pPr>
              <w:pStyle w:val="351"/>
              <w:spacing w:before="0" w:line="240" w:lineRule="auto"/>
              <w:ind w:firstLine="0"/>
              <w:jc w:val="center"/>
              <w:rPr>
                <w:b/>
                <w:sz w:val="21"/>
                <w:szCs w:val="21"/>
              </w:rPr>
            </w:pPr>
            <w:r>
              <w:rPr>
                <w:b/>
                <w:sz w:val="21"/>
                <w:szCs w:val="21"/>
              </w:rPr>
              <w:t>解决</w:t>
            </w:r>
            <w:r>
              <w:rPr>
                <w:rFonts w:hint="eastAsia"/>
                <w:b/>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紧急故障</w:t>
            </w:r>
          </w:p>
        </w:tc>
        <w:tc>
          <w:tcPr>
            <w:tcW w:w="1323" w:type="dxa"/>
            <w:vMerge w:val="restart"/>
            <w:vAlign w:val="center"/>
          </w:tcPr>
          <w:p>
            <w:pPr>
              <w:tabs>
                <w:tab w:val="left" w:pos="2412"/>
              </w:tabs>
              <w:jc w:val="center"/>
              <w:rPr>
                <w:szCs w:val="21"/>
              </w:rPr>
            </w:pPr>
            <w:r>
              <w:rPr>
                <w:szCs w:val="21"/>
              </w:rPr>
              <w:t>服务中断</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tabs>
                <w:tab w:val="left" w:pos="2412"/>
              </w:tabs>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严重故障</w:t>
            </w:r>
          </w:p>
        </w:tc>
        <w:tc>
          <w:tcPr>
            <w:tcW w:w="1323" w:type="dxa"/>
            <w:vMerge w:val="restart"/>
            <w:vAlign w:val="center"/>
          </w:tcPr>
          <w:p>
            <w:pPr>
              <w:jc w:val="center"/>
              <w:rPr>
                <w:szCs w:val="21"/>
              </w:rPr>
            </w:pPr>
            <w:r>
              <w:rPr>
                <w:szCs w:val="21"/>
              </w:rPr>
              <w:t>系统缓慢</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中级故障</w:t>
            </w:r>
          </w:p>
        </w:tc>
        <w:tc>
          <w:tcPr>
            <w:tcW w:w="1323" w:type="dxa"/>
            <w:vMerge w:val="restart"/>
            <w:vAlign w:val="center"/>
          </w:tcPr>
          <w:p>
            <w:pPr>
              <w:jc w:val="center"/>
              <w:rPr>
                <w:szCs w:val="21"/>
              </w:rPr>
            </w:pPr>
            <w:r>
              <w:rPr>
                <w:szCs w:val="21"/>
              </w:rPr>
              <w:t>关键性bug</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现场响应</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jc w:val="center"/>
              <w:rPr>
                <w:szCs w:val="21"/>
              </w:rPr>
            </w:pPr>
            <w:r>
              <w:rPr>
                <w:szCs w:val="21"/>
              </w:rPr>
              <w:t>低级故障</w:t>
            </w:r>
          </w:p>
        </w:tc>
        <w:tc>
          <w:tcPr>
            <w:tcW w:w="1323" w:type="dxa"/>
            <w:vMerge w:val="restart"/>
            <w:vAlign w:val="center"/>
          </w:tcPr>
          <w:p>
            <w:pPr>
              <w:jc w:val="center"/>
              <w:rPr>
                <w:szCs w:val="21"/>
              </w:rPr>
            </w:pPr>
            <w:r>
              <w:rPr>
                <w:szCs w:val="21"/>
              </w:rPr>
              <w:t>非关键性bug</w:t>
            </w:r>
          </w:p>
        </w:tc>
        <w:tc>
          <w:tcPr>
            <w:tcW w:w="1726" w:type="dxa"/>
            <w:vAlign w:val="center"/>
          </w:tcPr>
          <w:p>
            <w:pPr>
              <w:jc w:val="center"/>
              <w:rPr>
                <w:szCs w:val="21"/>
              </w:rPr>
            </w:pPr>
            <w:r>
              <w:rPr>
                <w:szCs w:val="21"/>
              </w:rPr>
              <w:t>正常工作时</w:t>
            </w:r>
            <w:r>
              <w:rPr>
                <w:rFonts w:hint="eastAsia"/>
                <w:szCs w:val="21"/>
              </w:rPr>
              <w:t>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jc w:val="center"/>
              <w:rPr>
                <w:szCs w:val="21"/>
              </w:rPr>
            </w:pPr>
          </w:p>
        </w:tc>
        <w:tc>
          <w:tcPr>
            <w:tcW w:w="1323" w:type="dxa"/>
            <w:vMerge w:val="continue"/>
            <w:vAlign w:val="center"/>
          </w:tcPr>
          <w:p>
            <w:pPr>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bl>
    <w:p>
      <w:pPr>
        <w:spacing w:line="360" w:lineRule="auto"/>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pPr>
        <w:pStyle w:val="22"/>
        <w:tabs>
          <w:tab w:val="left" w:pos="417"/>
        </w:tabs>
        <w:spacing w:after="0" w:line="360" w:lineRule="auto"/>
        <w:ind w:left="10" w:leftChars="5" w:firstLine="735" w:firstLineChars="350"/>
        <w:rPr>
          <w:rFonts w:ascii="Times New Roman" w:eastAsia="宋体"/>
          <w:kern w:val="2"/>
          <w:sz w:val="21"/>
          <w:szCs w:val="21"/>
        </w:rPr>
      </w:pPr>
      <w:r>
        <w:rPr>
          <w:rFonts w:hint="eastAsia" w:ascii="Times New Roman" w:eastAsia="宋体"/>
          <w:kern w:val="2"/>
          <w:sz w:val="21"/>
          <w:szCs w:val="21"/>
        </w:rPr>
        <w:t>（2）</w:t>
      </w:r>
      <w:r>
        <w:rPr>
          <w:rFonts w:ascii="Times New Roman" w:eastAsia="宋体"/>
          <w:kern w:val="2"/>
          <w:sz w:val="21"/>
          <w:szCs w:val="21"/>
        </w:rPr>
        <w:t>中级故障和低级故障发生，甲方出具书面的故障情况通知单，双方技术人员签字确认</w:t>
      </w:r>
      <w:r>
        <w:rPr>
          <w:rFonts w:hint="eastAsia" w:ascii="Times New Roman" w:eastAsia="宋体"/>
          <w:kern w:val="2"/>
          <w:sz w:val="21"/>
          <w:szCs w:val="21"/>
        </w:rPr>
        <w:t>；</w:t>
      </w:r>
      <w:r>
        <w:rPr>
          <w:rFonts w:ascii="Times New Roman" w:eastAsia="宋体"/>
          <w:kern w:val="2"/>
          <w:sz w:val="21"/>
          <w:szCs w:val="21"/>
        </w:rPr>
        <w:t>对于紧急故障和严重故障，甲方以信函的形式通知乙方，乙方在接收到信函后3日内给予甲方书面确认，并详述故障原因和解决办法。</w:t>
      </w:r>
    </w:p>
    <w:p>
      <w:pPr>
        <w:numPr>
          <w:ilvl w:val="0"/>
          <w:numId w:val="11"/>
        </w:numPr>
        <w:tabs>
          <w:tab w:val="left" w:pos="0"/>
        </w:tabs>
        <w:spacing w:line="360" w:lineRule="auto"/>
        <w:ind w:left="0" w:firstLine="0"/>
      </w:pPr>
      <w:r>
        <w:t>定期巡访：乙方每月到甲方现场对机器进行检查，并在检测后两周内向甲方提供检测报告，乙方必须承诺升级后的软件没有版权及使用的其它问题，并且到下次升级时可保证正常使用。</w:t>
      </w:r>
    </w:p>
    <w:p>
      <w:pPr>
        <w:numPr>
          <w:ilvl w:val="0"/>
          <w:numId w:val="11"/>
        </w:numPr>
        <w:tabs>
          <w:tab w:val="left" w:pos="0"/>
        </w:tabs>
        <w:spacing w:line="360" w:lineRule="auto"/>
        <w:ind w:left="0" w:firstLine="0"/>
      </w:pPr>
      <w:r>
        <w:t>特殊时段现场支持服务：乙方及原厂商提供特殊时段</w:t>
      </w:r>
      <w:r>
        <w:rPr>
          <w:rFonts w:hint="eastAsia"/>
        </w:rPr>
        <w:t>（</w:t>
      </w:r>
      <w:r>
        <w:t>两会期间、法定节假日、系统停机服务等甲方认为必须的重要时段</w:t>
      </w:r>
      <w:r>
        <w:rPr>
          <w:rFonts w:hint="eastAsia"/>
        </w:rP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p>
    <w:p>
      <w:pPr>
        <w:numPr>
          <w:ilvl w:val="0"/>
          <w:numId w:val="11"/>
        </w:numPr>
        <w:tabs>
          <w:tab w:val="left" w:pos="0"/>
        </w:tabs>
        <w:spacing w:line="360" w:lineRule="auto"/>
        <w:ind w:left="0" w:firstLine="0"/>
      </w:pPr>
      <w:r>
        <w:t>如果在系统发生故障后，乙方未能按合同要求时间到达用户现场排除故障，甲方有权请第三方解决问题，由此产生的费用由乙方承担。造成甲方业务损失的，由乙方承担相应责任。</w:t>
      </w:r>
    </w:p>
    <w:p>
      <w:pPr>
        <w:numPr>
          <w:ilvl w:val="0"/>
          <w:numId w:val="11"/>
        </w:numPr>
        <w:tabs>
          <w:tab w:val="left" w:pos="0"/>
        </w:tabs>
        <w:spacing w:line="360" w:lineRule="auto"/>
        <w:ind w:left="0" w:firstLine="0"/>
      </w:pPr>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p>
      <w:pPr>
        <w:numPr>
          <w:ilvl w:val="0"/>
          <w:numId w:val="11"/>
        </w:numPr>
        <w:tabs>
          <w:tab w:val="left" w:pos="0"/>
          <w:tab w:val="left" w:pos="42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pPr>
        <w:numPr>
          <w:ilvl w:val="0"/>
          <w:numId w:val="11"/>
        </w:numPr>
        <w:tabs>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pPr>
        <w:numPr>
          <w:ilvl w:val="0"/>
          <w:numId w:val="11"/>
        </w:numPr>
        <w:tabs>
          <w:tab w:val="left" w:pos="0"/>
        </w:tabs>
        <w:spacing w:line="360" w:lineRule="auto"/>
        <w:ind w:left="0" w:firstLine="0"/>
      </w:pPr>
      <w:r>
        <w:t>服务改进：乙方提供的项目服务人员态度与能力不符合项目要求，甲方提出改进要求，3个工作日内没有明显改进，乙方项目经理5</w:t>
      </w:r>
      <w:r>
        <w:rPr>
          <w:rFonts w:hint="eastAsia"/>
        </w:rPr>
        <w:t>*</w:t>
      </w:r>
      <w:r>
        <w:t>8（每周5天，每天8小时，下同）在现场监督改进，3个工作日仍然没有明显改进，乙方项目经理的上级领导5</w:t>
      </w:r>
      <w:r>
        <w:rPr>
          <w:rFonts w:hint="eastAsia"/>
        </w:rPr>
        <w:t>*</w:t>
      </w:r>
      <w:r>
        <w:t>8在现场监督改进，依次类推，直到大中华服务总经理（或同级别经理）5</w:t>
      </w:r>
      <w:r>
        <w:rPr>
          <w:rFonts w:hint="eastAsia"/>
        </w:rPr>
        <w:t>*</w:t>
      </w:r>
      <w:r>
        <w:t>8在现场监督，直到完全改进。</w:t>
      </w:r>
    </w:p>
    <w:p>
      <w:pPr>
        <w:numPr>
          <w:ilvl w:val="0"/>
          <w:numId w:val="11"/>
        </w:numPr>
        <w:adjustRightInd w:val="0"/>
        <w:snapToGrid w:val="0"/>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03"/>
      <w:r>
        <w:rPr>
          <w:rFonts w:hint="eastAsia" w:ascii="宋体" w:hAnsi="宋体" w:eastAsia="宋体"/>
          <w:b/>
          <w:kern w:val="2"/>
          <w:sz w:val="21"/>
          <w:szCs w:val="21"/>
        </w:rPr>
        <w:t>十一、技术升级和优惠条件</w:t>
      </w:r>
      <w:bookmarkEnd w:id="33"/>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color w:val="000000"/>
          <w:szCs w:val="21"/>
          <w:u w:val="single"/>
        </w:rPr>
        <w:t>路由器设备采购</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2"/>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w:t>
      </w:r>
      <w:r>
        <w:rPr>
          <w:rFonts w:hint="eastAsia" w:ascii="宋体" w:hAnsi="宋体"/>
          <w:color w:val="000000"/>
          <w:szCs w:val="21"/>
          <w:u w:val="single"/>
        </w:rPr>
        <w:t>路由器设备采购</w:t>
      </w:r>
      <w:r>
        <w:rPr>
          <w:rFonts w:ascii="宋体" w:hAnsi="宋体"/>
          <w:szCs w:val="21"/>
        </w:rPr>
        <w:t>项目的中标价格、折扣，且不高于当时市场价格。</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47617116"/>
      <w:r>
        <w:rPr>
          <w:rFonts w:ascii="宋体" w:hAnsi="宋体" w:eastAsia="宋体"/>
          <w:b/>
          <w:kern w:val="2"/>
          <w:sz w:val="21"/>
          <w:szCs w:val="21"/>
        </w:rPr>
        <w:t>十</w:t>
      </w:r>
      <w:r>
        <w:rPr>
          <w:rFonts w:hint="eastAsia" w:ascii="宋体" w:hAnsi="宋体" w:eastAsia="宋体"/>
          <w:b/>
          <w:kern w:val="2"/>
          <w:sz w:val="21"/>
          <w:szCs w:val="21"/>
        </w:rPr>
        <w:t>二</w:t>
      </w:r>
      <w:r>
        <w:rPr>
          <w:rFonts w:ascii="宋体" w:hAnsi="宋体" w:eastAsia="宋体"/>
          <w:b/>
          <w:kern w:val="2"/>
          <w:sz w:val="21"/>
          <w:szCs w:val="21"/>
        </w:rPr>
        <w:t>、技术和资料的保密事项</w:t>
      </w:r>
      <w:bookmarkEnd w:id="34"/>
    </w:p>
    <w:p>
      <w:pPr>
        <w:numPr>
          <w:ilvl w:val="0"/>
          <w:numId w:val="13"/>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pPr>
        <w:numPr>
          <w:ilvl w:val="0"/>
          <w:numId w:val="13"/>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pPr>
        <w:numPr>
          <w:ilvl w:val="0"/>
          <w:numId w:val="13"/>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5" w:name="_Toc72326304"/>
      <w:r>
        <w:rPr>
          <w:rFonts w:hint="eastAsia" w:ascii="宋体" w:hAnsi="宋体" w:eastAsia="宋体"/>
          <w:b/>
          <w:kern w:val="2"/>
          <w:sz w:val="21"/>
          <w:szCs w:val="21"/>
        </w:rPr>
        <w:t>十三、</w:t>
      </w:r>
      <w:bookmarkEnd w:id="35"/>
      <w:bookmarkStart w:id="36" w:name="_Toc72326305"/>
      <w:r>
        <w:rPr>
          <w:rFonts w:hint="eastAsia" w:ascii="宋体" w:hAnsi="宋体" w:eastAsia="宋体"/>
          <w:b/>
          <w:kern w:val="2"/>
          <w:sz w:val="21"/>
          <w:szCs w:val="21"/>
        </w:rPr>
        <w:t>双方责任</w:t>
      </w:r>
      <w:bookmarkEnd w:id="36"/>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4"/>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4"/>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4"/>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5"/>
        </w:numPr>
        <w:tabs>
          <w:tab w:val="left" w:pos="0"/>
          <w:tab w:val="clear" w:pos="420"/>
        </w:tabs>
        <w:spacing w:line="360" w:lineRule="auto"/>
        <w:ind w:left="0" w:firstLine="0"/>
        <w:rPr>
          <w:color w:val="000000"/>
          <w:szCs w:val="21"/>
        </w:rPr>
      </w:pPr>
      <w:bookmarkStart w:id="37" w:name="_Toc72326306"/>
      <w:r>
        <w:rPr>
          <w:color w:val="000000"/>
          <w:szCs w:val="21"/>
        </w:rPr>
        <w:t>乙方承诺：除</w:t>
      </w:r>
      <w:r>
        <w:rPr>
          <w:rFonts w:hint="eastAsia"/>
          <w:color w:val="000000"/>
          <w:szCs w:val="21"/>
        </w:rPr>
        <w:t>响应</w:t>
      </w:r>
      <w:r>
        <w:rPr>
          <w:color w:val="000000"/>
          <w:szCs w:val="21"/>
        </w:rPr>
        <w:t>文件及后续书面承诺标明的偏离外，乙方提供的产品和服务均满足</w:t>
      </w:r>
      <w:r>
        <w:rPr>
          <w:rFonts w:hint="eastAsia"/>
          <w:color w:val="000000"/>
          <w:szCs w:val="21"/>
        </w:rPr>
        <w:t>采购</w:t>
      </w:r>
      <w:r>
        <w:rPr>
          <w:color w:val="000000"/>
          <w:szCs w:val="21"/>
        </w:rPr>
        <w:t>文件要求。</w:t>
      </w:r>
    </w:p>
    <w:p>
      <w:pPr>
        <w:numPr>
          <w:ilvl w:val="0"/>
          <w:numId w:val="15"/>
        </w:numPr>
        <w:tabs>
          <w:tab w:val="left" w:pos="0"/>
          <w:tab w:val="clear" w:pos="420"/>
        </w:tabs>
        <w:spacing w:line="360" w:lineRule="auto"/>
        <w:ind w:left="0" w:firstLine="0"/>
        <w:rPr>
          <w:color w:val="000000"/>
          <w:szCs w:val="21"/>
        </w:rPr>
      </w:pPr>
      <w:r>
        <w:rPr>
          <w:color w:val="000000"/>
          <w:szCs w:val="21"/>
        </w:rPr>
        <w:t>乙方应按照</w:t>
      </w:r>
      <w:r>
        <w:rPr>
          <w:rFonts w:hint="eastAsia"/>
          <w:color w:val="000000"/>
          <w:szCs w:val="21"/>
        </w:rPr>
        <w:t>采购</w:t>
      </w:r>
      <w:r>
        <w:rPr>
          <w:color w:val="000000"/>
          <w:szCs w:val="21"/>
        </w:rPr>
        <w:t>文件、</w:t>
      </w:r>
      <w:r>
        <w:rPr>
          <w:rFonts w:hint="eastAsia"/>
          <w:color w:val="000000"/>
          <w:szCs w:val="21"/>
        </w:rPr>
        <w:t>响应</w:t>
      </w:r>
      <w:r>
        <w:rPr>
          <w:color w:val="000000"/>
          <w:szCs w:val="21"/>
        </w:rPr>
        <w:t>文件、乙方后续书面承诺的技术要求以及甲、乙双方协定补充文件，提供合格的产品，并保证通过甲方的验收。</w:t>
      </w:r>
    </w:p>
    <w:p>
      <w:pPr>
        <w:numPr>
          <w:ilvl w:val="0"/>
          <w:numId w:val="15"/>
        </w:numPr>
        <w:tabs>
          <w:tab w:val="left" w:pos="0"/>
          <w:tab w:val="clear" w:pos="420"/>
        </w:tabs>
        <w:spacing w:line="360" w:lineRule="auto"/>
        <w:ind w:left="0" w:firstLine="0"/>
        <w:rPr>
          <w:color w:val="000000"/>
          <w:szCs w:val="21"/>
        </w:rPr>
      </w:pPr>
      <w:r>
        <w:rPr>
          <w:color w:val="000000"/>
          <w:szCs w:val="21"/>
        </w:rPr>
        <w:t>在系统安装、调试、开发过程中，乙方须保证不影响甲方现有系统的正常运行和现有业务的正常发展。</w:t>
      </w:r>
    </w:p>
    <w:p>
      <w:pPr>
        <w:numPr>
          <w:ilvl w:val="0"/>
          <w:numId w:val="15"/>
        </w:numPr>
        <w:tabs>
          <w:tab w:val="left" w:pos="0"/>
          <w:tab w:val="clear" w:pos="420"/>
        </w:tabs>
        <w:spacing w:line="360" w:lineRule="auto"/>
        <w:ind w:left="0" w:firstLine="0"/>
        <w:rPr>
          <w:color w:val="000000"/>
          <w:szCs w:val="21"/>
        </w:rPr>
      </w:pPr>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p>
      <w:pPr>
        <w:numPr>
          <w:ilvl w:val="0"/>
          <w:numId w:val="15"/>
        </w:numPr>
        <w:tabs>
          <w:tab w:val="left" w:pos="0"/>
          <w:tab w:val="clear" w:pos="420"/>
        </w:tabs>
        <w:spacing w:line="360" w:lineRule="auto"/>
        <w:ind w:left="0" w:firstLine="0"/>
        <w:rPr>
          <w:color w:val="000000"/>
          <w:szCs w:val="21"/>
        </w:rPr>
      </w:pPr>
      <w:r>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pPr>
        <w:numPr>
          <w:ilvl w:val="0"/>
          <w:numId w:val="15"/>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pPr>
        <w:numPr>
          <w:ilvl w:val="0"/>
          <w:numId w:val="15"/>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pPr>
        <w:numPr>
          <w:ilvl w:val="0"/>
          <w:numId w:val="15"/>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pPr>
        <w:numPr>
          <w:ilvl w:val="0"/>
          <w:numId w:val="15"/>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pPr>
        <w:numPr>
          <w:ilvl w:val="0"/>
          <w:numId w:val="15"/>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pPr>
        <w:numPr>
          <w:ilvl w:val="0"/>
          <w:numId w:val="15"/>
        </w:numPr>
        <w:tabs>
          <w:tab w:val="left" w:pos="0"/>
          <w:tab w:val="clear" w:pos="420"/>
        </w:tabs>
        <w:spacing w:line="360" w:lineRule="auto"/>
        <w:ind w:left="0" w:firstLine="0"/>
        <w:rPr>
          <w:color w:val="000000"/>
          <w:szCs w:val="21"/>
        </w:rPr>
      </w:pPr>
      <w:r>
        <w:rPr>
          <w:color w:val="000000"/>
          <w:szCs w:val="21"/>
        </w:rPr>
        <w:t>本合同所有产品的制造，都必须由</w:t>
      </w:r>
      <w:r>
        <w:rPr>
          <w:rFonts w:hint="eastAsia"/>
          <w:color w:val="000000"/>
          <w:szCs w:val="21"/>
        </w:rPr>
        <w:t>采购</w:t>
      </w:r>
      <w:r>
        <w:rPr>
          <w:color w:val="000000"/>
          <w:szCs w:val="21"/>
        </w:rPr>
        <w:t>文件</w:t>
      </w:r>
      <w:r>
        <w:rPr>
          <w:rFonts w:hint="eastAsia"/>
          <w:color w:val="000000"/>
          <w:szCs w:val="21"/>
        </w:rPr>
        <w:t>、响应文件</w:t>
      </w:r>
      <w:r>
        <w:rPr>
          <w:color w:val="000000"/>
          <w:szCs w:val="21"/>
        </w:rPr>
        <w:t>和</w:t>
      </w:r>
      <w:r>
        <w:rPr>
          <w:rFonts w:hint="eastAsia"/>
          <w:color w:val="000000"/>
          <w:szCs w:val="21"/>
        </w:rPr>
        <w:t>磋商</w:t>
      </w:r>
      <w:r>
        <w:rPr>
          <w:color w:val="000000"/>
          <w:szCs w:val="21"/>
        </w:rPr>
        <w:t>时做出的书面承诺中明确的制造商承担，否则将按乙方不履行合同处理。</w:t>
      </w:r>
    </w:p>
    <w:p>
      <w:pPr>
        <w:numPr>
          <w:ilvl w:val="0"/>
          <w:numId w:val="15"/>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5"/>
        </w:numPr>
        <w:tabs>
          <w:tab w:val="left" w:pos="0"/>
          <w:tab w:val="clear" w:pos="420"/>
        </w:tabs>
        <w:spacing w:line="360" w:lineRule="auto"/>
        <w:ind w:left="0" w:right="44" w:rightChars="21" w:firstLine="0"/>
        <w:rPr>
          <w:rFonts w:ascii="宋体" w:hAnsi="宋体"/>
          <w:color w:val="000000"/>
          <w:szCs w:val="21"/>
        </w:rPr>
      </w:pPr>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5"/>
        </w:numPr>
        <w:tabs>
          <w:tab w:val="left" w:pos="0"/>
          <w:tab w:val="clear" w:pos="420"/>
        </w:tabs>
        <w:spacing w:line="36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5"/>
        </w:numPr>
        <w:tabs>
          <w:tab w:val="left" w:pos="0"/>
          <w:tab w:val="clear" w:pos="42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十四、违约责任</w:t>
      </w:r>
      <w:bookmarkEnd w:id="37"/>
    </w:p>
    <w:p>
      <w:pPr>
        <w:numPr>
          <w:ilvl w:val="0"/>
          <w:numId w:val="16"/>
        </w:numPr>
        <w:adjustRightInd w:val="0"/>
        <w:snapToGrid w:val="0"/>
        <w:spacing w:line="360" w:lineRule="auto"/>
        <w:ind w:left="0" w:firstLine="0"/>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bookmarkStart w:id="38" w:name="_Hlk74819798"/>
      <w:r>
        <w:rPr>
          <w:rFonts w:hint="eastAsia" w:ascii="宋体" w:hAnsi="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8"/>
      <w:r>
        <w:rPr>
          <w:rFonts w:hint="eastAsia" w:ascii="宋体" w:hAnsi="宋体"/>
          <w:szCs w:val="21"/>
        </w:rPr>
        <w:t>。</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9" w:name="_Hlk100846870"/>
      <w:r>
        <w:rPr>
          <w:rFonts w:hint="eastAsia" w:ascii="宋体" w:hAnsi="宋体"/>
          <w:szCs w:val="21"/>
        </w:rPr>
        <w:t>；且乙方对甲方赔偿金的支付已被认为足额补偿采购人的全部损失</w:t>
      </w:r>
      <w:bookmarkEnd w:id="39"/>
      <w:r>
        <w:rPr>
          <w:rFonts w:hint="eastAsia" w:ascii="宋体" w:hAnsi="宋体"/>
          <w:szCs w:val="21"/>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0" w:name="_Toc72326307"/>
      <w:r>
        <w:rPr>
          <w:rFonts w:hint="eastAsia" w:ascii="宋体" w:hAnsi="宋体" w:eastAsia="宋体"/>
          <w:b/>
          <w:kern w:val="2"/>
          <w:sz w:val="21"/>
          <w:szCs w:val="21"/>
        </w:rPr>
        <w:t>十五、廉洁条款</w:t>
      </w:r>
      <w:bookmarkEnd w:id="40"/>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1" w:name="_Toc72326308"/>
      <w:r>
        <w:rPr>
          <w:rFonts w:hint="eastAsia" w:ascii="宋体" w:hAnsi="宋体" w:eastAsia="宋体"/>
          <w:b/>
          <w:kern w:val="2"/>
          <w:sz w:val="21"/>
          <w:szCs w:val="21"/>
        </w:rPr>
        <w:t>十六、不可抗力</w:t>
      </w:r>
      <w:bookmarkEnd w:id="41"/>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当不可抗力事故终止后，受影响一方应以书面形式通知对方，双方商定合同是否继续履行。</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2" w:name="_Toc72326309"/>
      <w:r>
        <w:rPr>
          <w:rFonts w:hint="eastAsia" w:ascii="宋体" w:hAnsi="宋体" w:eastAsia="宋体"/>
          <w:b/>
          <w:kern w:val="2"/>
          <w:sz w:val="21"/>
          <w:szCs w:val="21"/>
        </w:rPr>
        <w:t>十七、解决纠纷的方式</w:t>
      </w:r>
      <w:bookmarkEnd w:id="42"/>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9"/>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9"/>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3" w:name="_Toc72326310"/>
      <w:r>
        <w:rPr>
          <w:rFonts w:hint="eastAsia" w:ascii="宋体" w:hAnsi="宋体" w:eastAsia="宋体"/>
          <w:b/>
          <w:kern w:val="2"/>
          <w:sz w:val="21"/>
          <w:szCs w:val="21"/>
        </w:rPr>
        <w:t>十八、合同生效及其他</w:t>
      </w:r>
      <w:bookmarkEnd w:id="43"/>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20"/>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44" w:name="_Toc72326311"/>
      <w:r>
        <w:rPr>
          <w:rFonts w:hint="eastAsia" w:ascii="宋体" w:hAnsi="宋体" w:eastAsia="宋体"/>
          <w:b/>
          <w:kern w:val="2"/>
          <w:sz w:val="21"/>
          <w:szCs w:val="21"/>
        </w:rPr>
        <w:t>十九、附件列表</w:t>
      </w:r>
      <w:bookmarkEnd w:id="44"/>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rPr>
          <w:rFonts w:ascii="宋体"/>
          <w:szCs w:val="21"/>
        </w:rPr>
      </w:pPr>
      <w:r>
        <w:rPr>
          <w:rFonts w:hint="eastAsia" w:ascii="宋体" w:hAnsi="宋体"/>
          <w:szCs w:val="21"/>
        </w:rPr>
        <w:t>附件二：分项报价表</w:t>
      </w:r>
    </w:p>
    <w:p>
      <w:pPr>
        <w:adjustRightInd w:val="0"/>
        <w:snapToGrid w:val="0"/>
        <w:spacing w:line="360" w:lineRule="auto"/>
        <w:ind w:left="210" w:hanging="210" w:hangingChars="100"/>
        <w:jc w:val="left"/>
        <w:rPr>
          <w:szCs w:val="21"/>
        </w:rPr>
      </w:pPr>
      <w:r>
        <w:rPr>
          <w:rFonts w:hint="eastAsia"/>
          <w:szCs w:val="21"/>
        </w:rPr>
        <w:t>（本页为合同签订页，本页无正文）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31"/>
    </w:p>
    <w:p>
      <w:pPr>
        <w:spacing w:line="300" w:lineRule="auto"/>
        <w:ind w:firstLine="5040" w:firstLineChars="2400"/>
        <w:rPr>
          <w:szCs w:val="21"/>
        </w:rPr>
      </w:pPr>
      <w:r>
        <w:rPr>
          <w:szCs w:val="21"/>
        </w:rPr>
        <w:br w:type="page"/>
      </w:r>
    </w:p>
    <w:p>
      <w:pPr>
        <w:spacing w:line="300" w:lineRule="auto"/>
        <w:jc w:val="left"/>
        <w:rPr>
          <w:rFonts w:ascii="宋体" w:hAnsi="宋体" w:cs="宋体"/>
          <w:b/>
          <w:bCs/>
          <w:color w:val="000000"/>
        </w:rPr>
      </w:pPr>
      <w:r>
        <w:rPr>
          <w:rFonts w:hint="eastAsia" w:ascii="宋体" w:hAnsi="宋体" w:cs="宋体"/>
          <w:b/>
          <w:bCs/>
          <w:color w:val="000000"/>
        </w:rPr>
        <w:t>附件一：价格表</w:t>
      </w: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r>
        <w:rPr>
          <w:rFonts w:hint="eastAsia" w:ascii="宋体" w:hAnsi="宋体" w:cs="宋体"/>
          <w:b/>
          <w:bCs/>
          <w:color w:val="000000"/>
        </w:rPr>
        <w:t>附件二：分项报价表</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45" w:name="_Toc69378637"/>
      <w:r>
        <w:rPr>
          <w:rFonts w:hint="eastAsia"/>
          <w:b/>
          <w:sz w:val="36"/>
          <w:szCs w:val="36"/>
        </w:rPr>
        <w:t>第五章 技术需求书</w:t>
      </w:r>
      <w:bookmarkEnd w:id="45"/>
    </w:p>
    <w:p>
      <w:pPr>
        <w:pStyle w:val="89"/>
        <w:numPr>
          <w:ilvl w:val="0"/>
          <w:numId w:val="21"/>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21"/>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21"/>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21"/>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46" w:name="_Toc30212"/>
      <w:bookmarkStart w:id="47" w:name="_Toc76856250"/>
      <w:bookmarkStart w:id="48" w:name="_Toc51053569"/>
      <w:bookmarkStart w:id="49" w:name="_Toc31826"/>
      <w:bookmarkStart w:id="50" w:name="_Toc76996580"/>
    </w:p>
    <w:bookmarkEnd w:id="46"/>
    <w:bookmarkEnd w:id="47"/>
    <w:bookmarkEnd w:id="48"/>
    <w:bookmarkEnd w:id="49"/>
    <w:bookmarkEnd w:id="50"/>
    <w:p>
      <w:pPr>
        <w:pStyle w:val="89"/>
        <w:numPr>
          <w:ilvl w:val="0"/>
          <w:numId w:val="22"/>
        </w:numPr>
        <w:spacing w:line="360" w:lineRule="auto"/>
        <w:ind w:left="0" w:firstLine="442"/>
        <w:outlineLvl w:val="1"/>
        <w:rPr>
          <w:rStyle w:val="365"/>
          <w:rFonts w:ascii="宋体" w:hAnsi="宋体" w:eastAsia="宋体" w:cs="宋体"/>
        </w:rPr>
      </w:pPr>
      <w:bookmarkStart w:id="51" w:name="_Toc76996584"/>
      <w:bookmarkStart w:id="52" w:name="_Toc76856254"/>
      <w:bookmarkStart w:id="53" w:name="_Toc51053573"/>
      <w:bookmarkStart w:id="54" w:name="_Toc8937"/>
      <w:r>
        <w:rPr>
          <w:rStyle w:val="365"/>
          <w:rFonts w:eastAsia="宋体" w:cs="宋体"/>
          <w:sz w:val="22"/>
          <w:szCs w:val="22"/>
        </w:rPr>
        <w:t>建设目标</w:t>
      </w:r>
    </w:p>
    <w:p>
      <w:pPr>
        <w:pStyle w:val="29"/>
        <w:spacing w:line="360" w:lineRule="auto"/>
        <w:ind w:left="181" w:leftChars="86" w:firstLine="420" w:firstLineChars="200"/>
      </w:pPr>
      <w:r>
        <w:rPr>
          <w:rFonts w:hint="eastAsia"/>
        </w:rPr>
        <w:t>依照中国广电</w:t>
      </w:r>
      <w:r>
        <w:t>5G业务网络方案（CE组网方案</w:t>
      </w:r>
      <w:r>
        <w:rPr>
          <w:rFonts w:hint="eastAsia"/>
        </w:rPr>
        <w:t>”</w:t>
      </w:r>
      <w:r>
        <w:t>）要求，使用两台高性能和双冗余的CE路由器设备，以口字型拓扑方式，实现新购CE路由器</w:t>
      </w:r>
      <w:r>
        <w:rPr>
          <w:rFonts w:hint="eastAsia"/>
        </w:rPr>
        <w:t>与中国有线</w:t>
      </w:r>
      <w:r>
        <w:t>5G承载网的PE设备</w:t>
      </w:r>
      <w:r>
        <w:rPr>
          <w:rFonts w:hint="eastAsia"/>
        </w:rPr>
        <w:t>互联。</w:t>
      </w:r>
    </w:p>
    <w:p>
      <w:pPr>
        <w:pStyle w:val="29"/>
        <w:ind w:firstLine="420" w:firstLineChars="200"/>
      </w:pPr>
      <w:r>
        <w:rPr>
          <w:rFonts w:hint="eastAsia"/>
        </w:rPr>
        <w:t>实现以下目标：</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实现路由器</w:t>
      </w:r>
      <w:r>
        <w:rPr>
          <w:rFonts w:ascii="宋体" w:hAnsi="宋体" w:eastAsia="宋体"/>
          <w:color w:val="000000" w:themeColor="text1"/>
          <w:kern w:val="2"/>
          <w:sz w:val="21"/>
          <w:szCs w:val="21"/>
          <w14:textFill>
            <w14:solidFill>
              <w14:schemeClr w14:val="tx1"/>
            </w14:solidFill>
          </w14:textFill>
        </w:rPr>
        <w:t>CE IPv4和IPv6双栈功能；</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实现路由器</w:t>
      </w:r>
      <w:r>
        <w:rPr>
          <w:rFonts w:ascii="宋体" w:hAnsi="宋体" w:eastAsia="宋体"/>
          <w:color w:val="000000" w:themeColor="text1"/>
          <w:kern w:val="2"/>
          <w:sz w:val="21"/>
          <w:szCs w:val="21"/>
          <w14:textFill>
            <w14:solidFill>
              <w14:schemeClr w14:val="tx1"/>
            </w14:solidFill>
          </w14:textFill>
        </w:rPr>
        <w:t>CE与PE口字型链路冗余互联；</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ascii="宋体" w:hAnsi="宋体" w:eastAsia="宋体"/>
          <w:color w:val="000000" w:themeColor="text1"/>
          <w:kern w:val="2"/>
          <w:sz w:val="21"/>
          <w:szCs w:val="21"/>
          <w14:textFill>
            <w14:solidFill>
              <w14:schemeClr w14:val="tx1"/>
            </w14:solidFill>
          </w14:textFill>
        </w:rPr>
        <w:t>实现</w:t>
      </w:r>
      <w:r>
        <w:rPr>
          <w:rFonts w:hint="eastAsia" w:ascii="宋体" w:hAnsi="宋体" w:eastAsia="宋体"/>
          <w:color w:val="000000" w:themeColor="text1"/>
          <w:kern w:val="2"/>
          <w:sz w:val="21"/>
          <w:szCs w:val="21"/>
          <w14:textFill>
            <w14:solidFill>
              <w14:schemeClr w14:val="tx1"/>
            </w14:solidFill>
          </w14:textFill>
        </w:rPr>
        <w:t>路由器</w:t>
      </w:r>
      <w:r>
        <w:rPr>
          <w:rFonts w:ascii="宋体" w:hAnsi="宋体" w:eastAsia="宋体"/>
          <w:color w:val="000000" w:themeColor="text1"/>
          <w:kern w:val="2"/>
          <w:sz w:val="21"/>
          <w:szCs w:val="21"/>
          <w14:textFill>
            <w14:solidFill>
              <w14:schemeClr w14:val="tx1"/>
            </w14:solidFill>
          </w14:textFill>
        </w:rPr>
        <w:t>CE与PE EBGP 路由动态发布</w:t>
      </w:r>
      <w:r>
        <w:rPr>
          <w:rFonts w:hint="eastAsia" w:ascii="宋体" w:hAnsi="宋体" w:eastAsia="宋体"/>
          <w:color w:val="000000" w:themeColor="text1"/>
          <w:kern w:val="2"/>
          <w:sz w:val="21"/>
          <w:szCs w:val="21"/>
          <w14:textFill>
            <w14:solidFill>
              <w14:schemeClr w14:val="tx1"/>
            </w14:solidFill>
          </w14:textFill>
        </w:rPr>
        <w:t>；</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ascii="宋体" w:hAnsi="宋体" w:eastAsia="宋体"/>
          <w:color w:val="000000" w:themeColor="text1"/>
          <w:kern w:val="2"/>
          <w:sz w:val="21"/>
          <w:szCs w:val="21"/>
          <w14:textFill>
            <w14:solidFill>
              <w14:schemeClr w14:val="tx1"/>
            </w14:solidFill>
          </w14:textFill>
        </w:rPr>
        <w:t>实现路由器CE异地冗余备份；</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实现省内</w:t>
      </w:r>
      <w:r>
        <w:rPr>
          <w:rFonts w:ascii="宋体" w:hAnsi="宋体" w:eastAsia="宋体"/>
          <w:color w:val="000000" w:themeColor="text1"/>
          <w:kern w:val="2"/>
          <w:sz w:val="21"/>
          <w:szCs w:val="21"/>
          <w14:textFill>
            <w14:solidFill>
              <w14:schemeClr w14:val="tx1"/>
            </w14:solidFill>
          </w14:textFill>
        </w:rPr>
        <w:t>BOSS系统和二级客服平台CE汇聚；</w:t>
      </w:r>
    </w:p>
    <w:p>
      <w:pPr>
        <w:pStyle w:val="89"/>
        <w:numPr>
          <w:ilvl w:val="0"/>
          <w:numId w:val="23"/>
        </w:numPr>
        <w:spacing w:line="360" w:lineRule="auto"/>
        <w:ind w:firstLineChars="0"/>
        <w:rPr>
          <w:rFonts w:ascii="宋体" w:hAnsi="宋体" w:eastAsia="宋体"/>
          <w:color w:val="000000" w:themeColor="text1"/>
          <w:kern w:val="2"/>
          <w:sz w:val="21"/>
          <w:szCs w:val="21"/>
          <w14:textFill>
            <w14:solidFill>
              <w14:schemeClr w14:val="tx1"/>
            </w14:solidFill>
          </w14:textFill>
        </w:rPr>
      </w:pPr>
      <w:r>
        <w:rPr>
          <w:rFonts w:ascii="宋体" w:hAnsi="宋体" w:eastAsia="宋体"/>
          <w:color w:val="000000" w:themeColor="text1"/>
          <w:kern w:val="2"/>
          <w:sz w:val="21"/>
          <w:szCs w:val="21"/>
          <w14:textFill>
            <w14:solidFill>
              <w14:schemeClr w14:val="tx1"/>
            </w14:solidFill>
          </w14:textFill>
        </w:rPr>
        <w:t>实现业务系统安全防护和业务VRF安全隔离</w:t>
      </w:r>
      <w:r>
        <w:rPr>
          <w:rFonts w:hint="eastAsia" w:ascii="宋体" w:hAnsi="宋体" w:eastAsia="宋体"/>
          <w:color w:val="000000" w:themeColor="text1"/>
          <w:kern w:val="2"/>
          <w:sz w:val="21"/>
          <w:szCs w:val="21"/>
          <w14:textFill>
            <w14:solidFill>
              <w14:schemeClr w14:val="tx1"/>
            </w14:solidFill>
          </w14:textFill>
        </w:rPr>
        <w:t>。</w:t>
      </w:r>
    </w:p>
    <w:p>
      <w:pPr>
        <w:pStyle w:val="89"/>
        <w:numPr>
          <w:ilvl w:val="0"/>
          <w:numId w:val="22"/>
        </w:numPr>
        <w:spacing w:line="360" w:lineRule="auto"/>
        <w:ind w:left="0" w:firstLine="442"/>
        <w:outlineLvl w:val="1"/>
        <w:rPr>
          <w:rStyle w:val="365"/>
          <w:rFonts w:ascii="宋体" w:hAnsi="宋体" w:eastAsia="宋体" w:cs="宋体"/>
        </w:rPr>
      </w:pPr>
      <w:r>
        <w:rPr>
          <w:rStyle w:val="365"/>
          <w:rFonts w:eastAsia="宋体" w:cs="宋体"/>
          <w:sz w:val="22"/>
          <w:szCs w:val="22"/>
        </w:rPr>
        <w:t>建设内容</w:t>
      </w:r>
    </w:p>
    <w:p>
      <w:pPr>
        <w:pStyle w:val="29"/>
        <w:spacing w:line="360" w:lineRule="auto"/>
        <w:ind w:firstLine="210" w:firstLineChars="100"/>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本次建设</w:t>
      </w:r>
      <w:r>
        <w:rPr>
          <w:rFonts w:hint="eastAsia" w:hAnsi="宋体"/>
          <w:color w:val="000000" w:themeColor="text1"/>
          <w:szCs w:val="21"/>
          <w14:textFill>
            <w14:solidFill>
              <w14:schemeClr w14:val="tx1"/>
            </w14:solidFill>
          </w14:textFill>
        </w:rPr>
        <w:t>计划采用两台</w:t>
      </w:r>
      <w:r>
        <w:rPr>
          <w:rFonts w:hAnsi="宋体"/>
          <w:color w:val="000000" w:themeColor="text1"/>
          <w:szCs w:val="21"/>
          <w14:textFill>
            <w14:solidFill>
              <w14:schemeClr w14:val="tx1"/>
            </w14:solidFill>
          </w14:textFill>
        </w:rPr>
        <w:t>CE路由器设备</w:t>
      </w:r>
      <w:r>
        <w:rPr>
          <w:rFonts w:hint="eastAsia" w:hAnsi="宋体"/>
          <w:color w:val="000000" w:themeColor="text1"/>
          <w:szCs w:val="21"/>
          <w14:textFill>
            <w14:solidFill>
              <w14:schemeClr w14:val="tx1"/>
            </w14:solidFill>
          </w14:textFill>
        </w:rPr>
        <w:t>，对内用于汇聚省内</w:t>
      </w:r>
      <w:r>
        <w:rPr>
          <w:rFonts w:hAnsi="宋体"/>
          <w:color w:val="000000" w:themeColor="text1"/>
          <w:szCs w:val="21"/>
          <w14:textFill>
            <w14:solidFill>
              <w14:schemeClr w14:val="tx1"/>
            </w14:solidFill>
          </w14:textFill>
        </w:rPr>
        <w:t>BOSS系统和二级客服平台，对外采用口字型拓扑、EBGP Option A方式</w:t>
      </w:r>
      <w:r>
        <w:rPr>
          <w:rFonts w:hint="eastAsia" w:hAnsi="宋体"/>
          <w:color w:val="000000" w:themeColor="text1"/>
          <w:szCs w:val="21"/>
          <w14:textFill>
            <w14:solidFill>
              <w14:schemeClr w14:val="tx1"/>
            </w14:solidFill>
          </w14:textFill>
        </w:rPr>
        <w:t>，并</w:t>
      </w:r>
      <w:r>
        <w:rPr>
          <w:rFonts w:hAnsi="宋体"/>
          <w:color w:val="000000" w:themeColor="text1"/>
          <w:szCs w:val="21"/>
          <w14:textFill>
            <w14:solidFill>
              <w14:schemeClr w14:val="tx1"/>
            </w14:solidFill>
          </w14:textFill>
        </w:rPr>
        <w:t>通过两条10G带宽链路接入中国有线5G IP</w:t>
      </w:r>
      <w:r>
        <w:rPr>
          <w:rFonts w:hint="eastAsia" w:hAnsi="宋体"/>
          <w:color w:val="000000" w:themeColor="text1"/>
          <w:szCs w:val="21"/>
          <w14:textFill>
            <w14:solidFill>
              <w14:schemeClr w14:val="tx1"/>
            </w14:solidFill>
          </w14:textFill>
        </w:rPr>
        <w:t>承载网</w:t>
      </w:r>
      <w:r>
        <w:rPr>
          <w:rFonts w:hAnsi="宋体"/>
          <w:color w:val="000000" w:themeColor="text1"/>
          <w:szCs w:val="21"/>
          <w14:textFill>
            <w14:solidFill>
              <w14:schemeClr w14:val="tx1"/>
            </w14:solidFill>
          </w14:textFill>
        </w:rPr>
        <w:t>PE设备</w:t>
      </w:r>
      <w:r>
        <w:rPr>
          <w:rFonts w:hint="eastAsia" w:hAnsi="宋体"/>
          <w:color w:val="000000" w:themeColor="text1"/>
          <w:szCs w:val="21"/>
          <w14:textFill>
            <w14:solidFill>
              <w14:schemeClr w14:val="tx1"/>
            </w14:solidFill>
          </w14:textFill>
        </w:rPr>
        <w:t>，以实现江苏有线省</w:t>
      </w:r>
      <w:r>
        <w:rPr>
          <w:rFonts w:hAnsi="宋体"/>
          <w:color w:val="000000" w:themeColor="text1"/>
          <w:szCs w:val="21"/>
          <w14:textFill>
            <w14:solidFill>
              <w14:schemeClr w14:val="tx1"/>
            </w14:solidFill>
          </w14:textFill>
        </w:rPr>
        <w:t>BOSS系统和二级客服平台与中国广电5G集中BOSS系统和一级客服平台互联和对接。网络架构如下所示：</w:t>
      </w:r>
    </w:p>
    <w:p>
      <w:pPr>
        <w:pStyle w:val="29"/>
        <w:ind w:firstLine="840" w:firstLineChars="400"/>
        <w:jc w:val="center"/>
      </w:pPr>
      <w:r>
        <w:object>
          <v:shape id="_x0000_i1025" o:spt="75" type="#_x0000_t75" style="height:235.5pt;width:416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89"/>
        <w:numPr>
          <w:ilvl w:val="0"/>
          <w:numId w:val="22"/>
        </w:numPr>
        <w:spacing w:line="360" w:lineRule="auto"/>
        <w:ind w:left="0" w:firstLine="442"/>
        <w:outlineLvl w:val="1"/>
        <w:rPr>
          <w:rStyle w:val="365"/>
          <w:rFonts w:ascii="宋体" w:hAnsi="Courier New" w:cs="宋体"/>
          <w:sz w:val="22"/>
          <w:szCs w:val="22"/>
        </w:rPr>
      </w:pPr>
      <w:r>
        <w:rPr>
          <w:rStyle w:val="365"/>
          <w:rFonts w:eastAsia="宋体" w:cs="宋体"/>
          <w:sz w:val="22"/>
          <w:szCs w:val="22"/>
        </w:rPr>
        <w:t>接入原则</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业务系统防火墙旁挂在路由器CE</w:t>
      </w:r>
      <w:r>
        <w:rPr>
          <w:rFonts w:hint="eastAsia" w:ascii="宋体" w:hAnsi="宋体"/>
          <w:color w:val="000000" w:themeColor="text1"/>
          <w:szCs w:val="21"/>
          <w14:textFill>
            <w14:solidFill>
              <w14:schemeClr w14:val="tx1"/>
            </w14:solidFill>
          </w14:textFill>
        </w:rPr>
        <w:t>，业务系统</w:t>
      </w:r>
      <w:r>
        <w:rPr>
          <w:rFonts w:ascii="宋体" w:hAnsi="宋体"/>
          <w:color w:val="000000" w:themeColor="text1"/>
          <w:szCs w:val="21"/>
          <w14:textFill>
            <w14:solidFill>
              <w14:schemeClr w14:val="tx1"/>
            </w14:solidFill>
          </w14:textFill>
        </w:rPr>
        <w:t>防火墙提供NAT转换和安全防护能力</w:t>
      </w:r>
      <w:r>
        <w:rPr>
          <w:rFonts w:hint="eastAsia" w:ascii="宋体" w:hAnsi="宋体"/>
          <w:color w:val="000000" w:themeColor="text1"/>
          <w:szCs w:val="21"/>
          <w14:textFill>
            <w14:solidFill>
              <w14:schemeClr w14:val="tx1"/>
            </w14:solidFill>
          </w14:textFill>
        </w:rPr>
        <w:t>。路由器</w:t>
      </w:r>
      <w:r>
        <w:rPr>
          <w:rFonts w:ascii="宋体" w:hAnsi="宋体"/>
          <w:color w:val="000000" w:themeColor="text1"/>
          <w:szCs w:val="21"/>
          <w14:textFill>
            <w14:solidFill>
              <w14:schemeClr w14:val="tx1"/>
            </w14:solidFill>
          </w14:textFill>
        </w:rPr>
        <w:t>CE和业务系统防火墙之间发布路由</w:t>
      </w:r>
      <w:r>
        <w:rPr>
          <w:rFonts w:hint="eastAsia" w:ascii="宋体" w:hAnsi="宋体"/>
          <w:color w:val="000000" w:themeColor="text1"/>
          <w:szCs w:val="21"/>
          <w14:textFill>
            <w14:solidFill>
              <w14:schemeClr w14:val="tx1"/>
            </w14:solidFill>
          </w14:textFill>
        </w:rPr>
        <w:t>，将业务引流到防火墙进行过处理。详细对接要求如下：</w:t>
      </w:r>
    </w:p>
    <w:p>
      <w:pPr>
        <w:pStyle w:val="89"/>
        <w:numPr>
          <w:ilvl w:val="0"/>
          <w:numId w:val="24"/>
        </w:numPr>
        <w:spacing w:line="360" w:lineRule="auto"/>
        <w:ind w:left="0" w:firstLine="420" w:firstLineChars="0"/>
        <w:rPr>
          <w:rFonts w:ascii="宋体" w:hAnsi="宋体" w:eastAsia="宋体"/>
          <w:color w:val="000000" w:themeColor="text1"/>
          <w:kern w:val="2"/>
          <w:sz w:val="21"/>
          <w:szCs w:val="21"/>
          <w14:textFill>
            <w14:solidFill>
              <w14:schemeClr w14:val="tx1"/>
            </w14:solidFill>
          </w14:textFill>
        </w:rPr>
      </w:pPr>
      <w:r>
        <w:rPr>
          <w:rFonts w:hint="eastAsia" w:ascii="宋体" w:hAnsi="宋体" w:eastAsia="宋体"/>
          <w:color w:val="000000" w:themeColor="text1"/>
          <w:kern w:val="2"/>
          <w:sz w:val="21"/>
          <w:szCs w:val="21"/>
          <w14:textFill>
            <w14:solidFill>
              <w14:schemeClr w14:val="tx1"/>
            </w14:solidFill>
          </w14:textFill>
        </w:rPr>
        <w:t>组网方案：省</w:t>
      </w:r>
      <w:r>
        <w:rPr>
          <w:rFonts w:ascii="宋体" w:hAnsi="宋体" w:eastAsia="宋体"/>
          <w:color w:val="000000" w:themeColor="text1"/>
          <w:kern w:val="2"/>
          <w:sz w:val="21"/>
          <w:szCs w:val="21"/>
          <w14:textFill>
            <w14:solidFill>
              <w14:schemeClr w14:val="tx1"/>
            </w14:solidFill>
          </w14:textFill>
        </w:rPr>
        <w:t>BOSS</w:t>
      </w:r>
      <w:r>
        <w:rPr>
          <w:rFonts w:hint="eastAsia" w:ascii="宋体" w:hAnsi="宋体" w:eastAsia="宋体"/>
          <w:color w:val="000000" w:themeColor="text1"/>
          <w:kern w:val="2"/>
          <w:sz w:val="21"/>
          <w:szCs w:val="21"/>
          <w14:textFill>
            <w14:solidFill>
              <w14:schemeClr w14:val="tx1"/>
            </w14:solidFill>
          </w14:textFill>
        </w:rPr>
        <w:t>机房出口交换机（</w:t>
      </w:r>
      <w:r>
        <w:rPr>
          <w:rFonts w:ascii="宋体" w:hAnsi="宋体" w:eastAsia="宋体"/>
          <w:color w:val="000000" w:themeColor="text1"/>
          <w:kern w:val="2"/>
          <w:sz w:val="21"/>
          <w:szCs w:val="21"/>
          <w14:textFill>
            <w14:solidFill>
              <w14:schemeClr w14:val="tx1"/>
            </w14:solidFill>
          </w14:textFill>
        </w:rPr>
        <w:t>SW</w:t>
      </w:r>
      <w:r>
        <w:rPr>
          <w:rFonts w:hint="eastAsia" w:ascii="宋体" w:hAnsi="宋体" w:eastAsia="宋体"/>
          <w:color w:val="000000" w:themeColor="text1"/>
          <w:kern w:val="2"/>
          <w:sz w:val="21"/>
          <w:szCs w:val="21"/>
          <w14:textFill>
            <w14:solidFill>
              <w14:schemeClr w14:val="tx1"/>
            </w14:solidFill>
          </w14:textFill>
        </w:rPr>
        <w:t>）通过口字型组网对接省网</w:t>
      </w:r>
      <w:r>
        <w:rPr>
          <w:rFonts w:ascii="宋体" w:hAnsi="宋体" w:eastAsia="宋体"/>
          <w:color w:val="000000" w:themeColor="text1"/>
          <w:kern w:val="2"/>
          <w:sz w:val="21"/>
          <w:szCs w:val="21"/>
          <w14:textFill>
            <w14:solidFill>
              <w14:schemeClr w14:val="tx1"/>
            </w14:solidFill>
          </w14:textFill>
        </w:rPr>
        <w:t>CE</w:t>
      </w:r>
      <w:r>
        <w:rPr>
          <w:rFonts w:hint="eastAsia" w:ascii="宋体" w:hAnsi="宋体" w:eastAsia="宋体"/>
          <w:color w:val="000000" w:themeColor="text1"/>
          <w:kern w:val="2"/>
          <w:sz w:val="21"/>
          <w:szCs w:val="21"/>
          <w14:textFill>
            <w14:solidFill>
              <w14:schemeClr w14:val="tx1"/>
            </w14:solidFill>
          </w14:textFill>
        </w:rPr>
        <w:t>，通过静态路由</w:t>
      </w:r>
      <w:r>
        <w:rPr>
          <w:rFonts w:ascii="宋体" w:hAnsi="宋体" w:eastAsia="宋体"/>
          <w:color w:val="000000" w:themeColor="text1"/>
          <w:kern w:val="2"/>
          <w:sz w:val="21"/>
          <w:szCs w:val="21"/>
          <w14:textFill>
            <w14:solidFill>
              <w14:schemeClr w14:val="tx1"/>
            </w14:solidFill>
          </w14:textFill>
        </w:rPr>
        <w:t>/IGP/BGP</w:t>
      </w:r>
      <w:r>
        <w:rPr>
          <w:rFonts w:hint="eastAsia" w:ascii="宋体" w:hAnsi="宋体" w:eastAsia="宋体"/>
          <w:color w:val="000000" w:themeColor="text1"/>
          <w:kern w:val="2"/>
          <w:sz w:val="21"/>
          <w:szCs w:val="21"/>
          <w14:textFill>
            <w14:solidFill>
              <w14:schemeClr w14:val="tx1"/>
            </w14:solidFill>
          </w14:textFill>
        </w:rPr>
        <w:t>打通路由</w:t>
      </w:r>
      <w:r>
        <w:rPr>
          <w:rFonts w:ascii="宋体" w:hAnsi="宋体" w:eastAsia="宋体"/>
          <w:color w:val="000000" w:themeColor="text1"/>
          <w:kern w:val="2"/>
          <w:sz w:val="21"/>
          <w:szCs w:val="21"/>
          <w14:textFill>
            <w14:solidFill>
              <w14:schemeClr w14:val="tx1"/>
            </w14:solidFill>
          </w14:textFill>
        </w:rPr>
        <w:t>,实现路由</w:t>
      </w:r>
      <w:r>
        <w:rPr>
          <w:rFonts w:hint="eastAsia" w:ascii="宋体" w:hAnsi="宋体" w:eastAsia="宋体"/>
          <w:color w:val="000000" w:themeColor="text1"/>
          <w:kern w:val="2"/>
          <w:sz w:val="21"/>
          <w:szCs w:val="21"/>
          <w14:textFill>
            <w14:solidFill>
              <w14:schemeClr w14:val="tx1"/>
            </w14:solidFill>
          </w14:textFill>
        </w:rPr>
        <w:t>负载分担。防火墙旁挂在省网</w:t>
      </w:r>
      <w:r>
        <w:rPr>
          <w:rFonts w:ascii="宋体" w:hAnsi="宋体" w:eastAsia="宋体"/>
          <w:color w:val="000000" w:themeColor="text1"/>
          <w:kern w:val="2"/>
          <w:sz w:val="21"/>
          <w:szCs w:val="21"/>
          <w14:textFill>
            <w14:solidFill>
              <w14:schemeClr w14:val="tx1"/>
            </w14:solidFill>
          </w14:textFill>
        </w:rPr>
        <w:t>CE上</w:t>
      </w:r>
      <w:r>
        <w:rPr>
          <w:rFonts w:hint="eastAsia" w:ascii="宋体" w:hAnsi="宋体" w:eastAsia="宋体"/>
          <w:color w:val="000000" w:themeColor="text1"/>
          <w:kern w:val="2"/>
          <w:sz w:val="21"/>
          <w:szCs w:val="21"/>
          <w14:textFill>
            <w14:solidFill>
              <w14:schemeClr w14:val="tx1"/>
            </w14:solidFill>
          </w14:textFill>
        </w:rPr>
        <w:t>，防火墙双归上联省网</w:t>
      </w:r>
      <w:r>
        <w:rPr>
          <w:rFonts w:ascii="宋体" w:hAnsi="宋体" w:eastAsia="宋体"/>
          <w:color w:val="000000" w:themeColor="text1"/>
          <w:kern w:val="2"/>
          <w:sz w:val="21"/>
          <w:szCs w:val="21"/>
          <w14:textFill>
            <w14:solidFill>
              <w14:schemeClr w14:val="tx1"/>
            </w14:solidFill>
          </w14:textFill>
        </w:rPr>
        <w:t>CE</w:t>
      </w:r>
      <w:r>
        <w:rPr>
          <w:rFonts w:hint="eastAsia" w:ascii="宋体" w:hAnsi="宋体" w:eastAsia="宋体"/>
          <w:color w:val="000000" w:themeColor="text1"/>
          <w:kern w:val="2"/>
          <w:sz w:val="21"/>
          <w:szCs w:val="21"/>
          <w14:textFill>
            <w14:solidFill>
              <w14:schemeClr w14:val="tx1"/>
            </w14:solidFill>
          </w14:textFill>
        </w:rPr>
        <w:t>，主备防火墙间部署直连线。</w:t>
      </w:r>
    </w:p>
    <w:p>
      <w:pPr>
        <w:pStyle w:val="89"/>
        <w:numPr>
          <w:ilvl w:val="0"/>
          <w:numId w:val="24"/>
        </w:numPr>
        <w:spacing w:line="360" w:lineRule="auto"/>
        <w:ind w:left="0" w:firstLine="420" w:firstLineChars="0"/>
        <w:rPr>
          <w:rFonts w:ascii="仿宋_GB2312" w:hAnsi="Calibri" w:eastAsia="仿宋_GB2312" w:cs="Calibri"/>
          <w:szCs w:val="21"/>
        </w:rPr>
      </w:pPr>
      <w:r>
        <w:rPr>
          <w:rFonts w:ascii="宋体" w:hAnsi="宋体" w:eastAsia="宋体"/>
          <w:color w:val="000000" w:themeColor="text1"/>
          <w:kern w:val="2"/>
          <w:sz w:val="21"/>
          <w:szCs w:val="21"/>
          <w14:textFill>
            <w14:solidFill>
              <w14:schemeClr w14:val="tx1"/>
            </w14:solidFill>
          </w14:textFill>
        </w:rPr>
        <w:t>路由策略</w:t>
      </w:r>
      <w:r>
        <w:rPr>
          <w:rFonts w:hint="eastAsia" w:ascii="宋体" w:hAnsi="宋体" w:eastAsia="宋体"/>
          <w:color w:val="000000" w:themeColor="text1"/>
          <w:kern w:val="2"/>
          <w:sz w:val="21"/>
          <w:szCs w:val="21"/>
          <w14:textFill>
            <w14:solidFill>
              <w14:schemeClr w14:val="tx1"/>
            </w14:solidFill>
          </w14:textFill>
        </w:rPr>
        <w:t>：省网</w:t>
      </w:r>
      <w:r>
        <w:rPr>
          <w:rFonts w:ascii="宋体" w:hAnsi="宋体" w:eastAsia="宋体"/>
          <w:color w:val="000000" w:themeColor="text1"/>
          <w:kern w:val="2"/>
          <w:sz w:val="21"/>
          <w:szCs w:val="21"/>
          <w14:textFill>
            <w14:solidFill>
              <w14:schemeClr w14:val="tx1"/>
            </w14:solidFill>
          </w14:textFill>
        </w:rPr>
        <w:t>CE</w:t>
      </w:r>
      <w:r>
        <w:rPr>
          <w:rFonts w:hint="eastAsia" w:ascii="宋体" w:hAnsi="宋体" w:eastAsia="宋体"/>
          <w:color w:val="000000" w:themeColor="text1"/>
          <w:kern w:val="2"/>
          <w:sz w:val="21"/>
          <w:szCs w:val="21"/>
          <w14:textFill>
            <w14:solidFill>
              <w14:schemeClr w14:val="tx1"/>
            </w14:solidFill>
          </w14:textFill>
        </w:rPr>
        <w:t>和国干</w:t>
      </w:r>
      <w:r>
        <w:rPr>
          <w:rFonts w:ascii="宋体" w:hAnsi="宋体" w:eastAsia="宋体"/>
          <w:color w:val="000000" w:themeColor="text1"/>
          <w:kern w:val="2"/>
          <w:sz w:val="21"/>
          <w:szCs w:val="21"/>
          <w14:textFill>
            <w14:solidFill>
              <w14:schemeClr w14:val="tx1"/>
            </w14:solidFill>
          </w14:textFill>
        </w:rPr>
        <w:t>PE</w:t>
      </w:r>
      <w:r>
        <w:rPr>
          <w:rFonts w:hint="eastAsia" w:ascii="宋体" w:hAnsi="宋体" w:eastAsia="宋体"/>
          <w:color w:val="000000" w:themeColor="text1"/>
          <w:kern w:val="2"/>
          <w:sz w:val="21"/>
          <w:szCs w:val="21"/>
          <w14:textFill>
            <w14:solidFill>
              <w14:schemeClr w14:val="tx1"/>
            </w14:solidFill>
          </w14:textFill>
        </w:rPr>
        <w:t>之间建立</w:t>
      </w:r>
      <w:r>
        <w:rPr>
          <w:rFonts w:ascii="宋体" w:hAnsi="宋体" w:eastAsia="宋体"/>
          <w:color w:val="000000" w:themeColor="text1"/>
          <w:kern w:val="2"/>
          <w:sz w:val="21"/>
          <w:szCs w:val="21"/>
          <w14:textFill>
            <w14:solidFill>
              <w14:schemeClr w14:val="tx1"/>
            </w14:solidFill>
          </w14:textFill>
        </w:rPr>
        <w:t>EBGP</w:t>
      </w:r>
      <w:r>
        <w:rPr>
          <w:rFonts w:hint="eastAsia" w:ascii="宋体" w:hAnsi="宋体" w:eastAsia="宋体"/>
          <w:color w:val="000000" w:themeColor="text1"/>
          <w:kern w:val="2"/>
          <w:sz w:val="21"/>
          <w:szCs w:val="21"/>
          <w14:textFill>
            <w14:solidFill>
              <w14:schemeClr w14:val="tx1"/>
            </w14:solidFill>
          </w14:textFill>
        </w:rPr>
        <w:t>，发布省内路由至国干。省网</w:t>
      </w:r>
      <w:r>
        <w:rPr>
          <w:rFonts w:ascii="宋体" w:hAnsi="宋体" w:eastAsia="宋体"/>
          <w:color w:val="000000" w:themeColor="text1"/>
          <w:kern w:val="2"/>
          <w:sz w:val="21"/>
          <w:szCs w:val="21"/>
          <w14:textFill>
            <w14:solidFill>
              <w14:schemeClr w14:val="tx1"/>
            </w14:solidFill>
          </w14:textFill>
        </w:rPr>
        <w:t>CE和国干PE各自对路由进行策略控制，屏蔽无关路由。省内2台省网CE</w:t>
      </w:r>
      <w:r>
        <w:rPr>
          <w:rFonts w:hint="eastAsia" w:ascii="宋体" w:hAnsi="宋体" w:eastAsia="宋体"/>
          <w:color w:val="000000" w:themeColor="text1"/>
          <w:kern w:val="2"/>
          <w:sz w:val="21"/>
          <w:szCs w:val="21"/>
          <w14:textFill>
            <w14:solidFill>
              <w14:schemeClr w14:val="tx1"/>
            </w14:solidFill>
          </w14:textFill>
        </w:rPr>
        <w:t>之间通过私网</w:t>
      </w:r>
      <w:r>
        <w:rPr>
          <w:rFonts w:ascii="宋体" w:hAnsi="宋体" w:eastAsia="宋体"/>
          <w:color w:val="000000" w:themeColor="text1"/>
          <w:kern w:val="2"/>
          <w:sz w:val="21"/>
          <w:szCs w:val="21"/>
          <w14:textFill>
            <w14:solidFill>
              <w14:schemeClr w14:val="tx1"/>
            </w14:solidFill>
          </w14:textFill>
        </w:rPr>
        <w:t>IBGP</w:t>
      </w:r>
      <w:r>
        <w:rPr>
          <w:rFonts w:hint="eastAsia" w:ascii="宋体" w:hAnsi="宋体" w:eastAsia="宋体"/>
          <w:color w:val="000000" w:themeColor="text1"/>
          <w:kern w:val="2"/>
          <w:sz w:val="21"/>
          <w:szCs w:val="21"/>
          <w14:textFill>
            <w14:solidFill>
              <w14:schemeClr w14:val="tx1"/>
            </w14:solidFill>
          </w14:textFill>
        </w:rPr>
        <w:t>发布旁路路由，实现省网</w:t>
      </w:r>
      <w:r>
        <w:rPr>
          <w:rFonts w:ascii="宋体" w:hAnsi="宋体" w:eastAsia="宋体"/>
          <w:color w:val="000000" w:themeColor="text1"/>
          <w:kern w:val="2"/>
          <w:sz w:val="21"/>
          <w:szCs w:val="21"/>
          <w14:textFill>
            <w14:solidFill>
              <w14:schemeClr w14:val="tx1"/>
            </w14:solidFill>
          </w14:textFill>
        </w:rPr>
        <w:t xml:space="preserve">CE之间业务保护。 </w:t>
      </w:r>
    </w:p>
    <w:p>
      <w:pPr>
        <w:pStyle w:val="89"/>
        <w:numPr>
          <w:ilvl w:val="0"/>
          <w:numId w:val="24"/>
        </w:numPr>
        <w:spacing w:line="360" w:lineRule="auto"/>
        <w:ind w:left="0" w:firstLine="420" w:firstLineChars="0"/>
        <w:rPr>
          <w:rFonts w:ascii="仿宋" w:hAnsi="仿宋" w:eastAsia="仿宋"/>
          <w:sz w:val="28"/>
          <w:szCs w:val="28"/>
        </w:rPr>
      </w:pPr>
      <w:r>
        <w:rPr>
          <w:rFonts w:ascii="宋体" w:hAnsi="宋体" w:eastAsia="宋体"/>
          <w:color w:val="000000" w:themeColor="text1"/>
          <w:kern w:val="2"/>
          <w:sz w:val="21"/>
          <w:szCs w:val="21"/>
          <w14:textFill>
            <w14:solidFill>
              <w14:schemeClr w14:val="tx1"/>
            </w14:solidFill>
          </w14:textFill>
        </w:rPr>
        <w:t>VPN策略</w:t>
      </w:r>
      <w:r>
        <w:rPr>
          <w:rFonts w:hint="eastAsia" w:ascii="宋体" w:hAnsi="宋体" w:eastAsia="宋体"/>
          <w:color w:val="000000" w:themeColor="text1"/>
          <w:kern w:val="2"/>
          <w:sz w:val="21"/>
          <w:szCs w:val="21"/>
          <w14:textFill>
            <w14:solidFill>
              <w14:schemeClr w14:val="tx1"/>
            </w14:solidFill>
          </w14:textFill>
        </w:rPr>
        <w:t>：省网</w:t>
      </w:r>
      <w:r>
        <w:rPr>
          <w:rFonts w:ascii="宋体" w:hAnsi="宋体" w:eastAsia="宋体"/>
          <w:color w:val="000000" w:themeColor="text1"/>
          <w:kern w:val="2"/>
          <w:sz w:val="21"/>
          <w:szCs w:val="21"/>
          <w14:textFill>
            <w14:solidFill>
              <w14:schemeClr w14:val="tx1"/>
            </w14:solidFill>
          </w14:textFill>
        </w:rPr>
        <w:t>CE</w:t>
      </w:r>
      <w:r>
        <w:rPr>
          <w:rFonts w:hint="eastAsia" w:ascii="宋体" w:hAnsi="宋体" w:eastAsia="宋体"/>
          <w:color w:val="000000" w:themeColor="text1"/>
          <w:kern w:val="2"/>
          <w:sz w:val="21"/>
          <w:szCs w:val="21"/>
          <w14:textFill>
            <w14:solidFill>
              <w14:schemeClr w14:val="tx1"/>
            </w14:solidFill>
          </w14:textFill>
        </w:rPr>
        <w:t>与</w:t>
      </w:r>
      <w:r>
        <w:rPr>
          <w:rFonts w:ascii="宋体" w:hAnsi="宋体" w:eastAsia="宋体"/>
          <w:color w:val="000000" w:themeColor="text1"/>
          <w:kern w:val="2"/>
          <w:sz w:val="21"/>
          <w:szCs w:val="21"/>
          <w14:textFill>
            <w14:solidFill>
              <w14:schemeClr w14:val="tx1"/>
            </w14:solidFill>
          </w14:textFill>
        </w:rPr>
        <w:t>SW交换机部署VRF</w:t>
      </w:r>
      <w:r>
        <w:rPr>
          <w:rFonts w:hint="eastAsia" w:ascii="宋体" w:hAnsi="宋体" w:eastAsia="宋体"/>
          <w:color w:val="000000" w:themeColor="text1"/>
          <w:kern w:val="2"/>
          <w:sz w:val="21"/>
          <w:szCs w:val="21"/>
          <w14:textFill>
            <w14:solidFill>
              <w14:schemeClr w14:val="tx1"/>
            </w14:solidFill>
          </w14:textFill>
        </w:rPr>
        <w:t>，省网</w:t>
      </w:r>
      <w:r>
        <w:rPr>
          <w:rFonts w:ascii="宋体" w:hAnsi="宋体" w:eastAsia="宋体"/>
          <w:color w:val="000000" w:themeColor="text1"/>
          <w:kern w:val="2"/>
          <w:sz w:val="21"/>
          <w:szCs w:val="21"/>
          <w14:textFill>
            <w14:solidFill>
              <w14:schemeClr w14:val="tx1"/>
            </w14:solidFill>
          </w14:textFill>
        </w:rPr>
        <w:t>CE</w:t>
      </w:r>
      <w:r>
        <w:rPr>
          <w:rFonts w:hint="eastAsia" w:ascii="宋体" w:hAnsi="宋体" w:eastAsia="宋体"/>
          <w:color w:val="000000" w:themeColor="text1"/>
          <w:kern w:val="2"/>
          <w:sz w:val="21"/>
          <w:szCs w:val="21"/>
          <w14:textFill>
            <w14:solidFill>
              <w14:schemeClr w14:val="tx1"/>
            </w14:solidFill>
          </w14:textFill>
        </w:rPr>
        <w:t>与国干</w:t>
      </w:r>
      <w:r>
        <w:rPr>
          <w:rFonts w:ascii="宋体" w:hAnsi="宋体" w:eastAsia="宋体"/>
          <w:color w:val="000000" w:themeColor="text1"/>
          <w:kern w:val="2"/>
          <w:sz w:val="21"/>
          <w:szCs w:val="21"/>
          <w14:textFill>
            <w14:solidFill>
              <w14:schemeClr w14:val="tx1"/>
            </w14:solidFill>
          </w14:textFill>
        </w:rPr>
        <w:t>PE</w:t>
      </w:r>
      <w:r>
        <w:rPr>
          <w:rFonts w:hint="eastAsia" w:ascii="宋体" w:hAnsi="宋体" w:eastAsia="宋体"/>
          <w:color w:val="000000" w:themeColor="text1"/>
          <w:kern w:val="2"/>
          <w:sz w:val="21"/>
          <w:szCs w:val="21"/>
          <w14:textFill>
            <w14:solidFill>
              <w14:schemeClr w14:val="tx1"/>
            </w14:solidFill>
          </w14:textFill>
        </w:rPr>
        <w:t>部署</w:t>
      </w:r>
      <w:r>
        <w:rPr>
          <w:rFonts w:ascii="宋体" w:hAnsi="宋体" w:eastAsia="宋体"/>
          <w:color w:val="000000" w:themeColor="text1"/>
          <w:kern w:val="2"/>
          <w:sz w:val="21"/>
          <w:szCs w:val="21"/>
          <w14:textFill>
            <w14:solidFill>
              <w14:schemeClr w14:val="tx1"/>
            </w14:solidFill>
          </w14:textFill>
        </w:rPr>
        <w:t xml:space="preserve"> VRF1</w:t>
      </w:r>
      <w:r>
        <w:rPr>
          <w:rFonts w:hint="eastAsia" w:ascii="宋体" w:hAnsi="宋体" w:eastAsia="宋体"/>
          <w:color w:val="000000" w:themeColor="text1"/>
          <w:kern w:val="2"/>
          <w:sz w:val="21"/>
          <w:szCs w:val="21"/>
          <w14:textFill>
            <w14:solidFill>
              <w14:schemeClr w14:val="tx1"/>
            </w14:solidFill>
          </w14:textFill>
        </w:rPr>
        <w:t>，通过不同</w:t>
      </w:r>
      <w:r>
        <w:rPr>
          <w:rFonts w:ascii="宋体" w:hAnsi="宋体" w:eastAsia="宋体"/>
          <w:color w:val="000000" w:themeColor="text1"/>
          <w:kern w:val="2"/>
          <w:sz w:val="21"/>
          <w:szCs w:val="21"/>
          <w14:textFill>
            <w14:solidFill>
              <w14:schemeClr w14:val="tx1"/>
            </w14:solidFill>
          </w14:textFill>
        </w:rPr>
        <w:t>VRF隔离国干路由和省内路由。通过防火墙进行地址转换</w:t>
      </w:r>
      <w:r>
        <w:rPr>
          <w:rFonts w:hint="eastAsia" w:ascii="宋体" w:hAnsi="宋体" w:eastAsia="宋体"/>
          <w:color w:val="000000" w:themeColor="text1"/>
          <w:kern w:val="2"/>
          <w:sz w:val="21"/>
          <w:szCs w:val="21"/>
          <w14:textFill>
            <w14:solidFill>
              <w14:schemeClr w14:val="tx1"/>
            </w14:solidFill>
          </w14:textFill>
        </w:rPr>
        <w:t>，</w:t>
      </w:r>
      <w:r>
        <w:rPr>
          <w:rFonts w:ascii="宋体" w:hAnsi="宋体" w:eastAsia="宋体"/>
          <w:color w:val="000000" w:themeColor="text1"/>
          <w:kern w:val="2"/>
          <w:sz w:val="21"/>
          <w:szCs w:val="21"/>
          <w14:textFill>
            <w14:solidFill>
              <w14:schemeClr w14:val="tx1"/>
            </w14:solidFill>
          </w14:textFill>
        </w:rPr>
        <w:t>打通国干和省内业务之间业务</w:t>
      </w:r>
      <w:r>
        <w:rPr>
          <w:rFonts w:hint="eastAsia" w:ascii="宋体" w:hAnsi="宋体" w:eastAsia="宋体"/>
          <w:color w:val="000000" w:themeColor="text1"/>
          <w:kern w:val="2"/>
          <w:sz w:val="21"/>
          <w:szCs w:val="21"/>
          <w14:textFill>
            <w14:solidFill>
              <w14:schemeClr w14:val="tx1"/>
            </w14:solidFill>
          </w14:textFill>
        </w:rPr>
        <w:t>。</w:t>
      </w:r>
    </w:p>
    <w:bookmarkEnd w:id="51"/>
    <w:p>
      <w:pPr>
        <w:pStyle w:val="89"/>
        <w:numPr>
          <w:ilvl w:val="0"/>
          <w:numId w:val="22"/>
        </w:numPr>
        <w:spacing w:line="360" w:lineRule="auto"/>
        <w:ind w:left="0" w:firstLine="442"/>
        <w:outlineLvl w:val="1"/>
        <w:rPr>
          <w:rStyle w:val="365"/>
          <w:sz w:val="22"/>
          <w:szCs w:val="22"/>
        </w:rPr>
      </w:pPr>
      <w:r>
        <w:rPr>
          <w:rStyle w:val="365"/>
          <w:rFonts w:hint="eastAsia" w:ascii="宋体" w:hAnsi="宋体" w:eastAsia="宋体" w:cs="宋体"/>
          <w:sz w:val="22"/>
          <w:szCs w:val="22"/>
        </w:rPr>
        <w:t>技术要求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76"/>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Pr>
          <w:p>
            <w:pPr>
              <w:widowControl/>
              <w:jc w:val="center"/>
              <w:rPr>
                <w:rFonts w:ascii="等线" w:hAnsi="等线" w:eastAsia="等线" w:cs="宋体"/>
                <w:b/>
                <w:color w:val="000000"/>
                <w:kern w:val="0"/>
                <w:sz w:val="24"/>
              </w:rPr>
            </w:pPr>
            <w:r>
              <w:rPr>
                <w:rFonts w:hint="eastAsia" w:ascii="等线" w:hAnsi="等线" w:eastAsia="等线" w:cs="宋体"/>
                <w:b/>
                <w:color w:val="000000"/>
                <w:kern w:val="0"/>
                <w:sz w:val="24"/>
              </w:rPr>
              <w:t>序号</w:t>
            </w:r>
          </w:p>
        </w:tc>
        <w:tc>
          <w:tcPr>
            <w:tcW w:w="0" w:type="auto"/>
            <w:shd w:val="clear" w:color="auto" w:fill="auto"/>
            <w:noWrap/>
            <w:vAlign w:val="center"/>
          </w:tcPr>
          <w:p>
            <w:pPr>
              <w:widowControl/>
              <w:jc w:val="center"/>
              <w:rPr>
                <w:rFonts w:ascii="等线" w:hAnsi="等线" w:eastAsia="等线" w:cs="宋体"/>
                <w:b/>
                <w:color w:val="000000"/>
                <w:kern w:val="0"/>
                <w:sz w:val="24"/>
              </w:rPr>
            </w:pPr>
            <w:r>
              <w:rPr>
                <w:rFonts w:hint="eastAsia" w:ascii="等线" w:hAnsi="等线" w:eastAsia="等线" w:cs="宋体"/>
                <w:b/>
                <w:color w:val="000000"/>
                <w:kern w:val="0"/>
                <w:sz w:val="24"/>
              </w:rPr>
              <w:t>指标项</w:t>
            </w:r>
          </w:p>
        </w:tc>
        <w:tc>
          <w:tcPr>
            <w:tcW w:w="0" w:type="auto"/>
            <w:shd w:val="clear" w:color="auto" w:fill="auto"/>
            <w:vAlign w:val="bottom"/>
          </w:tcPr>
          <w:p>
            <w:pPr>
              <w:widowControl/>
              <w:jc w:val="center"/>
              <w:rPr>
                <w:rFonts w:ascii="等线" w:hAnsi="等线" w:eastAsia="等线" w:cs="宋体"/>
                <w:b/>
                <w:color w:val="000000"/>
                <w:kern w:val="0"/>
                <w:sz w:val="24"/>
              </w:rPr>
            </w:pPr>
            <w:r>
              <w:rPr>
                <w:rFonts w:hint="eastAsia" w:ascii="等线" w:hAnsi="等线" w:eastAsia="等线" w:cs="宋体"/>
                <w:b/>
                <w:color w:val="000000"/>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Align w:val="center"/>
          </w:tcPr>
          <w:p>
            <w:pPr>
              <w:jc w:val="center"/>
              <w:rPr>
                <w:rFonts w:ascii="宋体" w:hAnsi="宋体"/>
                <w:szCs w:val="21"/>
              </w:rPr>
            </w:pPr>
            <w:r>
              <w:rPr>
                <w:rFonts w:hint="eastAsia" w:ascii="宋体" w:hAnsi="宋体"/>
                <w:szCs w:val="21"/>
              </w:rPr>
              <w:t>1</w:t>
            </w:r>
          </w:p>
        </w:tc>
        <w:tc>
          <w:tcPr>
            <w:tcW w:w="0" w:type="auto"/>
            <w:shd w:val="clear" w:color="auto" w:fill="auto"/>
            <w:noWrap/>
            <w:vAlign w:val="center"/>
          </w:tcPr>
          <w:p>
            <w:pPr>
              <w:jc w:val="center"/>
              <w:rPr>
                <w:rFonts w:ascii="宋体" w:hAnsi="宋体"/>
                <w:szCs w:val="21"/>
              </w:rPr>
            </w:pPr>
            <w:r>
              <w:rPr>
                <w:rFonts w:hint="eastAsia" w:ascii="宋体" w:hAnsi="宋体"/>
                <w:szCs w:val="21"/>
              </w:rPr>
              <w:t>配置</w:t>
            </w:r>
          </w:p>
          <w:p>
            <w:pPr>
              <w:pStyle w:val="2"/>
            </w:pPr>
            <w:r>
              <w:rPr>
                <w:rFonts w:hint="eastAsia"/>
                <w:sz w:val="24"/>
                <w:szCs w:val="18"/>
              </w:rPr>
              <w:t>（单台）</w:t>
            </w:r>
          </w:p>
        </w:tc>
        <w:tc>
          <w:tcPr>
            <w:tcW w:w="0" w:type="auto"/>
            <w:shd w:val="clear" w:color="auto" w:fill="auto"/>
            <w:vAlign w:val="center"/>
          </w:tcPr>
          <w:p>
            <w:pPr>
              <w:rPr>
                <w:rFonts w:ascii="宋体" w:hAnsi="宋体"/>
                <w:szCs w:val="21"/>
              </w:rPr>
            </w:pPr>
            <w:r>
              <w:rPr>
                <w:rFonts w:hint="eastAsia" w:ascii="宋体" w:hAnsi="宋体"/>
                <w:szCs w:val="21"/>
              </w:rPr>
              <w:t>★实配：冗余主控，冗余电源；</w:t>
            </w:r>
            <w:r>
              <w:rPr>
                <w:rFonts w:ascii="宋体" w:hAnsi="宋体"/>
                <w:szCs w:val="21"/>
              </w:rPr>
              <w:t>10GE光口≥40个</w:t>
            </w:r>
            <w:r>
              <w:rPr>
                <w:rFonts w:hint="eastAsia" w:ascii="宋体" w:hAnsi="宋体"/>
                <w:szCs w:val="21"/>
              </w:rPr>
              <w:t>，</w:t>
            </w:r>
            <w:bookmarkStart w:id="55" w:name="_Hlk106271895"/>
            <w:r>
              <w:rPr>
                <w:rFonts w:ascii="宋体" w:hAnsi="宋体"/>
                <w:szCs w:val="21"/>
              </w:rPr>
              <w:t>板卡个数≥2</w:t>
            </w:r>
          </w:p>
          <w:bookmarkEnd w:id="55"/>
          <w:p>
            <w:pPr>
              <w:pStyle w:val="2"/>
              <w:rPr>
                <w:rFonts w:ascii="宋体" w:hAnsi="宋体"/>
                <w:sz w:val="21"/>
                <w:szCs w:val="21"/>
              </w:rPr>
            </w:pPr>
            <w:r>
              <w:rPr>
                <w:rFonts w:hint="eastAsia" w:ascii="宋体" w:hAnsi="宋体"/>
                <w:sz w:val="21"/>
                <w:szCs w:val="21"/>
              </w:rPr>
              <w:t>★配备万兆多模光模块数</w:t>
            </w:r>
            <w:r>
              <w:rPr>
                <w:rFonts w:ascii="宋体" w:hAnsi="宋体"/>
                <w:sz w:val="21"/>
                <w:szCs w:val="21"/>
              </w:rPr>
              <w:t>≥50</w:t>
            </w:r>
            <w:r>
              <w:rPr>
                <w:rFonts w:hint="eastAsia" w:ascii="宋体" w:hAnsi="宋体"/>
                <w:sz w:val="21"/>
                <w:szCs w:val="21"/>
              </w:rPr>
              <w:t>块</w:t>
            </w:r>
          </w:p>
          <w:p>
            <w:pPr>
              <w:pStyle w:val="2"/>
              <w:rPr>
                <w:szCs w:val="21"/>
              </w:rPr>
            </w:pPr>
            <w:r>
              <w:rPr>
                <w:rFonts w:hint="eastAsia" w:ascii="宋体" w:hAnsi="宋体"/>
                <w:sz w:val="21"/>
                <w:szCs w:val="21"/>
              </w:rPr>
              <w:t>★配备万兆单模光模块数</w:t>
            </w:r>
            <w:r>
              <w:rPr>
                <w:rFonts w:ascii="宋体" w:hAnsi="宋体"/>
                <w:sz w:val="21"/>
                <w:szCs w:val="21"/>
              </w:rPr>
              <w:t>≥40</w:t>
            </w:r>
            <w:r>
              <w:rPr>
                <w:rFonts w:hint="eastAsia" w:ascii="宋体" w:hAnsi="宋体"/>
                <w:sz w:val="21"/>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2</w:t>
            </w:r>
          </w:p>
        </w:tc>
        <w:tc>
          <w:tcPr>
            <w:tcW w:w="0" w:type="auto"/>
            <w:vMerge w:val="restart"/>
            <w:shd w:val="clear" w:color="auto" w:fill="auto"/>
            <w:vAlign w:val="center"/>
          </w:tcPr>
          <w:p>
            <w:pPr>
              <w:rPr>
                <w:rFonts w:ascii="宋体" w:hAnsi="宋体"/>
                <w:szCs w:val="21"/>
              </w:rPr>
            </w:pPr>
            <w:r>
              <w:rPr>
                <w:rFonts w:hint="eastAsia" w:ascii="宋体" w:hAnsi="宋体"/>
                <w:szCs w:val="21"/>
              </w:rPr>
              <w:t>硬件性能</w:t>
            </w:r>
          </w:p>
        </w:tc>
        <w:tc>
          <w:tcPr>
            <w:tcW w:w="0" w:type="auto"/>
            <w:shd w:val="clear" w:color="auto" w:fill="auto"/>
            <w:vAlign w:val="bottom"/>
          </w:tcPr>
          <w:p>
            <w:pPr>
              <w:rPr>
                <w:rFonts w:ascii="宋体" w:hAnsi="宋体"/>
                <w:szCs w:val="21"/>
              </w:rPr>
            </w:pPr>
            <w:r>
              <w:rPr>
                <w:rFonts w:hint="eastAsia" w:ascii="宋体" w:hAnsi="宋体"/>
                <w:szCs w:val="21"/>
              </w:rPr>
              <w:t>★交换容量≥110Tbps，包转发率≥14400 Mpps，主控网板≥2，支持电源冗余，所有业务板卡及电源、风扇均可热插拔;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★整机业务载板插槽≥8个</w:t>
            </w:r>
            <w:r>
              <w:rPr>
                <w:rFonts w:hint="eastAsia" w:ascii="宋体" w:hAnsi="宋体" w:cs="宋体"/>
                <w:color w:val="000000"/>
                <w:kern w:val="0"/>
                <w:sz w:val="20"/>
              </w:rPr>
              <w:t>（此处的插槽必须是可独立插入业务板卡，不能依赖母板插卡）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单槽位最大支持200G线速转发，提供经C</w:t>
            </w:r>
            <w:r>
              <w:rPr>
                <w:rFonts w:ascii="宋体" w:hAnsi="宋体"/>
                <w:szCs w:val="21"/>
              </w:rPr>
              <w:t>NAS</w:t>
            </w:r>
            <w:r>
              <w:rPr>
                <w:rFonts w:hint="eastAsia" w:ascii="宋体" w:hAnsi="宋体"/>
                <w:szCs w:val="21"/>
              </w:rPr>
              <w:t>认证的权威第三方机构测试报告证明，并提供第三方检测报告，加盖制造商公章</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tcPr>
          <w:p>
            <w:pP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支持IPv4路由表容量≥10M,IPv6路由表容量≥5M，支持IPv4转发表容量≥4M,IPv6转发表容量≥2M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tcPr>
          <w:p>
            <w:pP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设备的关键芯片（包括CPU、NP、TM、TCAM、交换芯片等）采用自研国产化芯片，并提供第三方检测报告，加盖制造商公章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3</w:t>
            </w:r>
          </w:p>
        </w:tc>
        <w:tc>
          <w:tcPr>
            <w:tcW w:w="0" w:type="auto"/>
            <w:vMerge w:val="restart"/>
            <w:shd w:val="clear" w:color="auto" w:fill="auto"/>
            <w:noWrap/>
            <w:vAlign w:val="center"/>
          </w:tcPr>
          <w:p>
            <w:pPr>
              <w:rPr>
                <w:rFonts w:ascii="宋体" w:hAnsi="宋体"/>
                <w:szCs w:val="21"/>
              </w:rPr>
            </w:pPr>
            <w:r>
              <w:rPr>
                <w:rFonts w:hint="eastAsia" w:ascii="宋体" w:hAnsi="宋体"/>
                <w:szCs w:val="21"/>
              </w:rPr>
              <w:t>接口性能</w:t>
            </w:r>
          </w:p>
        </w:tc>
        <w:tc>
          <w:tcPr>
            <w:tcW w:w="0" w:type="auto"/>
            <w:shd w:val="clear" w:color="auto" w:fill="auto"/>
            <w:vAlign w:val="bottom"/>
          </w:tcPr>
          <w:p>
            <w:pPr>
              <w:rPr>
                <w:rFonts w:ascii="宋体" w:hAnsi="宋体"/>
                <w:color w:val="FF0000"/>
                <w:szCs w:val="21"/>
              </w:rPr>
            </w:pPr>
            <w:r>
              <w:rPr>
                <w:rFonts w:hint="eastAsia" w:ascii="宋体" w:hAnsi="宋体"/>
                <w:szCs w:val="21"/>
              </w:rPr>
              <w:t>支持端口散列技术，可将100GE端口散列成10GE口或者25GE口进行使用，并提供第三方检测报告，加盖制造商公章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设备支持100GE、50GE、40GE、25GE、10GE、GE、FE、E1、POS、CPOS等接口类型</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4</w:t>
            </w:r>
          </w:p>
        </w:tc>
        <w:tc>
          <w:tcPr>
            <w:tcW w:w="0" w:type="auto"/>
            <w:vMerge w:val="restart"/>
            <w:vAlign w:val="center"/>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基本功能</w:t>
            </w:r>
          </w:p>
          <w:p>
            <w:pPr>
              <w:pStyle w:val="2"/>
            </w:pPr>
          </w:p>
        </w:tc>
        <w:tc>
          <w:tcPr>
            <w:tcW w:w="0" w:type="auto"/>
            <w:shd w:val="clear" w:color="auto" w:fill="auto"/>
            <w:vAlign w:val="bottom"/>
          </w:tcPr>
          <w:p>
            <w:pPr>
              <w:rPr>
                <w:rFonts w:ascii="宋体" w:hAnsi="宋体"/>
                <w:szCs w:val="21"/>
              </w:rPr>
            </w:pPr>
            <w:r>
              <w:rPr>
                <w:rFonts w:hint="eastAsia" w:ascii="宋体" w:hAnsi="宋体"/>
                <w:szCs w:val="21"/>
              </w:rPr>
              <w:t>支持RIP、OSPF、IS-IS、BGP等路由协议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shd w:val="clear" w:color="auto" w:fill="auto"/>
            <w:noWrap/>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支持RIP、OSPF V2、IS-IS和BGP，支持RIPng、OSPF V3、IS-ISv6和BGP4+等路由协议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shd w:val="clear" w:color="auto" w:fill="auto"/>
            <w:noWrap/>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支持L2VPN、L3VPN、EVPN等VPN技术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shd w:val="clear" w:color="auto" w:fill="auto"/>
            <w:noWrap/>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支持LDP LSP、RSVP-TE、SR-MPLS等MPLS技术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5</w:t>
            </w:r>
          </w:p>
        </w:tc>
        <w:tc>
          <w:tcPr>
            <w:tcW w:w="0" w:type="auto"/>
            <w:vMerge w:val="restart"/>
            <w:shd w:val="clear" w:color="auto" w:fill="auto"/>
            <w:noWrap/>
            <w:vAlign w:val="center"/>
          </w:tcPr>
          <w:p>
            <w:pPr>
              <w:rPr>
                <w:rFonts w:ascii="宋体" w:hAnsi="宋体"/>
                <w:szCs w:val="21"/>
              </w:rPr>
            </w:pPr>
            <w:r>
              <w:rPr>
                <w:rFonts w:hint="eastAsia" w:ascii="宋体" w:hAnsi="宋体"/>
                <w:szCs w:val="21"/>
              </w:rPr>
              <w:t>I</w:t>
            </w:r>
            <w:r>
              <w:rPr>
                <w:rFonts w:ascii="宋体" w:hAnsi="宋体"/>
                <w:szCs w:val="21"/>
              </w:rPr>
              <w:t>PV6</w:t>
            </w:r>
            <w:r>
              <w:rPr>
                <w:rFonts w:hint="eastAsia" w:ascii="宋体" w:hAnsi="宋体"/>
                <w:szCs w:val="21"/>
              </w:rPr>
              <w:t>能力</w:t>
            </w:r>
          </w:p>
        </w:tc>
        <w:tc>
          <w:tcPr>
            <w:tcW w:w="0" w:type="auto"/>
            <w:shd w:val="clear" w:color="auto" w:fill="auto"/>
            <w:vAlign w:val="bottom"/>
          </w:tcPr>
          <w:p>
            <w:pPr>
              <w:rPr>
                <w:rFonts w:ascii="宋体" w:hAnsi="宋体"/>
                <w:szCs w:val="21"/>
              </w:rPr>
            </w:pPr>
            <w:r>
              <w:rPr>
                <w:rFonts w:hint="eastAsia" w:ascii="宋体" w:hAnsi="宋体"/>
                <w:szCs w:val="21"/>
              </w:rPr>
              <w:t>支持ISIS for SRv6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shd w:val="clear" w:color="auto" w:fill="auto"/>
            <w:noWrap/>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支持SRv6 TE policy的ping/tracert功能，以实现设备基本运维能力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tcBorders>
              <w:bottom w:val="single" w:color="auto" w:sz="4" w:space="0"/>
            </w:tcBorders>
            <w:vAlign w:val="center"/>
          </w:tcPr>
          <w:p>
            <w:pPr>
              <w:jc w:val="center"/>
              <w:rPr>
                <w:rFonts w:ascii="宋体" w:hAnsi="宋体"/>
                <w:szCs w:val="21"/>
              </w:rPr>
            </w:pPr>
          </w:p>
        </w:tc>
        <w:tc>
          <w:tcPr>
            <w:tcW w:w="0" w:type="auto"/>
            <w:vMerge w:val="continue"/>
            <w:tcBorders>
              <w:bottom w:val="single" w:color="auto" w:sz="4" w:space="0"/>
            </w:tcBorders>
            <w:shd w:val="clear" w:color="auto" w:fill="auto"/>
            <w:noWrap/>
            <w:vAlign w:val="center"/>
          </w:tcPr>
          <w:p>
            <w:pPr>
              <w:rPr>
                <w:rFonts w:ascii="宋体" w:hAnsi="宋体"/>
                <w:szCs w:val="21"/>
              </w:rPr>
            </w:pPr>
          </w:p>
        </w:tc>
        <w:tc>
          <w:tcPr>
            <w:tcW w:w="0" w:type="auto"/>
            <w:tcBorders>
              <w:bottom w:val="single" w:color="auto" w:sz="4" w:space="0"/>
            </w:tcBorders>
            <w:shd w:val="clear" w:color="auto" w:fill="auto"/>
            <w:vAlign w:val="bottom"/>
          </w:tcPr>
          <w:p>
            <w:pPr>
              <w:jc w:val="left"/>
              <w:rPr>
                <w:rFonts w:ascii="宋体" w:hAnsi="宋体"/>
                <w:szCs w:val="21"/>
              </w:rPr>
            </w:pPr>
            <w:r>
              <w:rPr>
                <w:rFonts w:hint="eastAsia" w:ascii="宋体" w:hAnsi="宋体"/>
                <w:szCs w:val="21"/>
              </w:rPr>
              <w:t>支持动态下发EVPN IPv4 L3VPN over SRv6 TE policy功能，实现SRv6承载L3VPN业务场景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tcBorders>
              <w:bottom w:val="single" w:color="auto" w:sz="4" w:space="0"/>
            </w:tcBorders>
            <w:vAlign w:val="center"/>
          </w:tcPr>
          <w:p>
            <w:pPr>
              <w:rPr>
                <w:rFonts w:ascii="宋体" w:hAnsi="宋体"/>
                <w:szCs w:val="21"/>
              </w:rPr>
            </w:pPr>
          </w:p>
        </w:tc>
        <w:tc>
          <w:tcPr>
            <w:tcW w:w="0" w:type="auto"/>
            <w:vMerge w:val="continue"/>
            <w:tcBorders>
              <w:bottom w:val="single" w:color="auto" w:sz="4" w:space="0"/>
            </w:tcBorders>
            <w:shd w:val="clear" w:color="auto" w:fill="auto"/>
            <w:noWrap/>
            <w:vAlign w:val="center"/>
          </w:tcPr>
          <w:p>
            <w:pPr>
              <w:rPr>
                <w:rFonts w:ascii="宋体" w:hAnsi="宋体"/>
                <w:szCs w:val="21"/>
              </w:rPr>
            </w:pPr>
          </w:p>
        </w:tc>
        <w:tc>
          <w:tcPr>
            <w:tcW w:w="0" w:type="auto"/>
            <w:tcBorders>
              <w:bottom w:val="single" w:color="auto" w:sz="4" w:space="0"/>
            </w:tcBorders>
            <w:shd w:val="clear" w:color="auto" w:fill="auto"/>
            <w:vAlign w:val="bottom"/>
          </w:tcPr>
          <w:p>
            <w:pPr>
              <w:jc w:val="left"/>
              <w:rPr>
                <w:rFonts w:ascii="宋体" w:hAnsi="宋体"/>
                <w:szCs w:val="21"/>
              </w:rPr>
            </w:pPr>
            <w:r>
              <w:rPr>
                <w:rFonts w:hint="eastAsia" w:ascii="宋体" w:hAnsi="宋体"/>
                <w:szCs w:val="21"/>
              </w:rPr>
              <w:t>支持FlexE（网络硬切片），并能通过S</w:t>
            </w:r>
            <w:r>
              <w:rPr>
                <w:rFonts w:ascii="宋体" w:hAnsi="宋体"/>
                <w:szCs w:val="21"/>
              </w:rPr>
              <w:t>DN</w:t>
            </w:r>
            <w:r>
              <w:rPr>
                <w:rFonts w:hint="eastAsia" w:ascii="宋体" w:hAnsi="宋体"/>
                <w:szCs w:val="21"/>
              </w:rPr>
              <w:t>自动化管理，提供第三方检测报告，加盖制造商公章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6</w:t>
            </w:r>
          </w:p>
        </w:tc>
        <w:tc>
          <w:tcPr>
            <w:tcW w:w="0" w:type="auto"/>
            <w:vMerge w:val="restart"/>
            <w:shd w:val="clear" w:color="auto" w:fill="auto"/>
            <w:noWrap/>
            <w:vAlign w:val="center"/>
          </w:tcPr>
          <w:p>
            <w:pPr>
              <w:rPr>
                <w:rFonts w:ascii="宋体" w:hAnsi="宋体"/>
                <w:szCs w:val="21"/>
              </w:rPr>
            </w:pPr>
            <w:r>
              <w:rPr>
                <w:rFonts w:hint="eastAsia" w:ascii="宋体" w:hAnsi="宋体"/>
                <w:szCs w:val="21"/>
              </w:rPr>
              <w:t>特性</w:t>
            </w:r>
          </w:p>
        </w:tc>
        <w:tc>
          <w:tcPr>
            <w:tcW w:w="0" w:type="auto"/>
            <w:shd w:val="clear" w:color="auto" w:fill="auto"/>
            <w:vAlign w:val="bottom"/>
          </w:tcPr>
          <w:p>
            <w:pPr>
              <w:rPr>
                <w:rFonts w:ascii="宋体" w:hAnsi="宋体"/>
                <w:szCs w:val="21"/>
              </w:rPr>
            </w:pPr>
            <w:r>
              <w:rPr>
                <w:rFonts w:hint="eastAsia" w:ascii="宋体" w:hAnsi="宋体"/>
                <w:szCs w:val="21"/>
              </w:rPr>
              <w:t>支持基于硬件的BFD故障探测技术，支持最小发包间隔5ms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支持BFD for SR、BFD for SRv6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vAlign w:val="center"/>
          </w:tcPr>
          <w:p>
            <w:pPr>
              <w:jc w:val="center"/>
              <w:rPr>
                <w:rFonts w:ascii="宋体" w:hAnsi="宋体"/>
                <w:szCs w:val="21"/>
              </w:rPr>
            </w:pPr>
            <w:r>
              <w:rPr>
                <w:rFonts w:hint="eastAsia" w:ascii="宋体" w:hAnsi="宋体"/>
                <w:szCs w:val="21"/>
              </w:rPr>
              <w:t>7</w:t>
            </w:r>
          </w:p>
        </w:tc>
        <w:tc>
          <w:tcPr>
            <w:tcW w:w="0" w:type="auto"/>
            <w:vMerge w:val="restart"/>
            <w:vAlign w:val="center"/>
          </w:tcPr>
          <w:p>
            <w:pPr>
              <w:rPr>
                <w:rFonts w:ascii="宋体" w:hAnsi="宋体"/>
                <w:szCs w:val="21"/>
              </w:rPr>
            </w:pPr>
            <w:r>
              <w:rPr>
                <w:rFonts w:hint="eastAsia" w:ascii="宋体" w:hAnsi="宋体"/>
                <w:szCs w:val="21"/>
              </w:rPr>
              <w:t>系统管理</w:t>
            </w:r>
          </w:p>
        </w:tc>
        <w:tc>
          <w:tcPr>
            <w:tcW w:w="0" w:type="auto"/>
            <w:shd w:val="clear" w:color="auto" w:fill="auto"/>
            <w:vAlign w:val="bottom"/>
          </w:tcPr>
          <w:p>
            <w:pPr>
              <w:rPr>
                <w:rFonts w:ascii="宋体" w:hAnsi="宋体"/>
                <w:szCs w:val="21"/>
              </w:rPr>
            </w:pPr>
            <w:r>
              <w:rPr>
                <w:rFonts w:hint="eastAsia" w:ascii="宋体" w:hAnsi="宋体"/>
                <w:szCs w:val="21"/>
              </w:rPr>
              <w:t>支持Console、Telnet、SSH、SNMP等管理方式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vAlign w:val="center"/>
          </w:tcPr>
          <w:p>
            <w:pPr>
              <w:jc w:val="center"/>
              <w:rPr>
                <w:rFonts w:ascii="宋体" w:hAnsi="宋体"/>
                <w:szCs w:val="21"/>
              </w:rPr>
            </w:pPr>
          </w:p>
        </w:tc>
        <w:tc>
          <w:tcPr>
            <w:tcW w:w="0" w:type="auto"/>
            <w:vMerge w:val="continue"/>
            <w:vAlign w:val="center"/>
          </w:tcPr>
          <w:p>
            <w:pPr>
              <w:rPr>
                <w:rFonts w:ascii="宋体" w:hAnsi="宋体"/>
                <w:szCs w:val="21"/>
              </w:rPr>
            </w:pPr>
          </w:p>
        </w:tc>
        <w:tc>
          <w:tcPr>
            <w:tcW w:w="0" w:type="auto"/>
            <w:shd w:val="clear" w:color="auto" w:fill="auto"/>
            <w:vAlign w:val="bottom"/>
          </w:tcPr>
          <w:p>
            <w:pPr>
              <w:rPr>
                <w:rFonts w:ascii="宋体" w:hAnsi="宋体"/>
                <w:szCs w:val="21"/>
              </w:rPr>
            </w:pPr>
            <w:r>
              <w:rPr>
                <w:rFonts w:hint="eastAsia" w:ascii="宋体" w:hAnsi="宋体"/>
                <w:szCs w:val="21"/>
              </w:rPr>
              <w:t>支持Netconf，可以提供配置API</w:t>
            </w:r>
          </w:p>
        </w:tc>
      </w:tr>
    </w:tbl>
    <w:p>
      <w:pPr>
        <w:pStyle w:val="89"/>
        <w:numPr>
          <w:ilvl w:val="0"/>
          <w:numId w:val="22"/>
        </w:numPr>
        <w:spacing w:line="360" w:lineRule="auto"/>
        <w:ind w:left="0" w:firstLine="442"/>
        <w:outlineLvl w:val="1"/>
        <w:rPr>
          <w:rStyle w:val="365"/>
          <w:rFonts w:ascii="宋体" w:hAnsi="宋体" w:eastAsia="宋体" w:cs="宋体"/>
          <w:sz w:val="22"/>
          <w:szCs w:val="22"/>
        </w:rPr>
      </w:pPr>
      <w:r>
        <w:rPr>
          <w:rStyle w:val="365"/>
          <w:rFonts w:hint="eastAsia" w:ascii="宋体" w:hAnsi="宋体" w:eastAsia="宋体" w:cs="宋体"/>
          <w:sz w:val="22"/>
          <w:szCs w:val="22"/>
        </w:rPr>
        <w:t>尾纤数量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12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widowControl/>
              <w:jc w:val="center"/>
              <w:rPr>
                <w:rFonts w:ascii="等线" w:hAnsi="等线" w:eastAsia="等线" w:cs="宋体"/>
                <w:b/>
                <w:color w:val="000000"/>
                <w:kern w:val="0"/>
                <w:sz w:val="22"/>
                <w:szCs w:val="22"/>
              </w:rPr>
            </w:pPr>
            <w:r>
              <w:rPr>
                <w:rFonts w:hint="eastAsia" w:ascii="等线" w:hAnsi="等线" w:eastAsia="等线" w:cs="宋体"/>
                <w:b/>
                <w:color w:val="000000"/>
                <w:kern w:val="0"/>
                <w:sz w:val="22"/>
                <w:szCs w:val="22"/>
              </w:rPr>
              <w:t>种类</w:t>
            </w:r>
          </w:p>
        </w:tc>
        <w:tc>
          <w:tcPr>
            <w:tcW w:w="2126" w:type="dxa"/>
            <w:shd w:val="clear" w:color="auto" w:fill="auto"/>
            <w:noWrap/>
            <w:vAlign w:val="center"/>
          </w:tcPr>
          <w:p>
            <w:pPr>
              <w:widowControl/>
              <w:jc w:val="center"/>
              <w:rPr>
                <w:rFonts w:ascii="等线" w:hAnsi="等线" w:eastAsia="等线" w:cs="宋体"/>
                <w:b/>
                <w:color w:val="000000"/>
                <w:kern w:val="0"/>
                <w:sz w:val="22"/>
                <w:szCs w:val="22"/>
              </w:rPr>
            </w:pPr>
            <w:r>
              <w:rPr>
                <w:rFonts w:hint="eastAsia" w:ascii="等线" w:hAnsi="等线" w:eastAsia="等线" w:cs="宋体"/>
                <w:b/>
                <w:color w:val="000000"/>
                <w:kern w:val="0"/>
                <w:sz w:val="22"/>
                <w:szCs w:val="22"/>
              </w:rPr>
              <w:t>长度</w:t>
            </w:r>
          </w:p>
        </w:tc>
        <w:tc>
          <w:tcPr>
            <w:tcW w:w="2631" w:type="dxa"/>
            <w:shd w:val="clear" w:color="auto" w:fill="auto"/>
            <w:vAlign w:val="center"/>
          </w:tcPr>
          <w:p>
            <w:pPr>
              <w:widowControl/>
              <w:jc w:val="center"/>
              <w:rPr>
                <w:rFonts w:ascii="等线" w:hAnsi="等线" w:eastAsia="等线" w:cs="宋体"/>
                <w:b/>
                <w:color w:val="000000"/>
                <w:kern w:val="0"/>
                <w:sz w:val="22"/>
                <w:szCs w:val="22"/>
              </w:rPr>
            </w:pPr>
            <w:r>
              <w:rPr>
                <w:rFonts w:hint="eastAsia" w:ascii="等线" w:hAnsi="等线" w:eastAsia="等线" w:cs="宋体"/>
                <w:b/>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多模尾纤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8米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多模尾纤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10米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多模尾纤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15米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多模尾纤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20米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单模尾纤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15米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单模尾纤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10米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单模尾纤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25米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超六类网线</w:t>
            </w:r>
          </w:p>
        </w:tc>
        <w:tc>
          <w:tcPr>
            <w:tcW w:w="2126" w:type="dxa"/>
            <w:shd w:val="clear" w:color="auto" w:fill="auto"/>
            <w:noWrap/>
            <w:vAlign w:val="center"/>
          </w:tcPr>
          <w:p>
            <w:pPr>
              <w:jc w:val="center"/>
              <w:rPr>
                <w:rFonts w:ascii="宋体" w:hAnsi="宋体"/>
                <w:szCs w:val="21"/>
              </w:rPr>
            </w:pPr>
            <w:r>
              <w:rPr>
                <w:rFonts w:hint="eastAsia" w:ascii="宋体" w:hAnsi="宋体"/>
                <w:szCs w:val="21"/>
              </w:rPr>
              <w:t>15米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超六类网线</w:t>
            </w:r>
          </w:p>
        </w:tc>
        <w:tc>
          <w:tcPr>
            <w:tcW w:w="2126" w:type="dxa"/>
            <w:shd w:val="clear" w:color="auto" w:fill="auto"/>
            <w:noWrap/>
            <w:vAlign w:val="center"/>
          </w:tcPr>
          <w:p>
            <w:pPr>
              <w:jc w:val="center"/>
              <w:rPr>
                <w:rFonts w:ascii="宋体" w:hAnsi="宋体"/>
                <w:szCs w:val="21"/>
              </w:rPr>
            </w:pPr>
            <w:r>
              <w:rPr>
                <w:rFonts w:hint="eastAsia" w:ascii="宋体" w:hAnsi="宋体"/>
                <w:szCs w:val="21"/>
              </w:rPr>
              <w:t>20米</w:t>
            </w:r>
          </w:p>
        </w:tc>
        <w:tc>
          <w:tcPr>
            <w:tcW w:w="2631" w:type="dxa"/>
            <w:shd w:val="clear" w:color="auto" w:fill="auto"/>
            <w:vAlign w:val="center"/>
          </w:tcPr>
          <w:p>
            <w:pPr>
              <w:ind w:firstLine="1050" w:firstLineChars="500"/>
              <w:rPr>
                <w:rFonts w:ascii="宋体" w:hAnsi="宋体"/>
                <w:szCs w:val="21"/>
              </w:rPr>
            </w:pPr>
            <w:r>
              <w:rPr>
                <w:rFonts w:hint="eastAsia" w:ascii="宋体" w:hAnsi="宋体"/>
                <w:szCs w:val="21"/>
              </w:rPr>
              <w:t>20</w:t>
            </w:r>
          </w:p>
        </w:tc>
      </w:tr>
    </w:tbl>
    <w:p>
      <w:pPr>
        <w:spacing w:line="360" w:lineRule="auto"/>
        <w:rPr>
          <w:rStyle w:val="365"/>
        </w:rPr>
      </w:pPr>
    </w:p>
    <w:p>
      <w:pPr>
        <w:pStyle w:val="89"/>
        <w:numPr>
          <w:ilvl w:val="0"/>
          <w:numId w:val="22"/>
        </w:numPr>
        <w:spacing w:line="360" w:lineRule="auto"/>
        <w:ind w:left="0" w:firstLine="442"/>
        <w:outlineLvl w:val="1"/>
        <w:rPr>
          <w:rStyle w:val="365"/>
          <w:rFonts w:ascii="宋体" w:hAnsi="宋体" w:eastAsia="宋体" w:cs="宋体"/>
          <w:sz w:val="22"/>
          <w:szCs w:val="22"/>
        </w:rPr>
      </w:pPr>
      <w:r>
        <w:rPr>
          <w:rStyle w:val="365"/>
          <w:rFonts w:hint="eastAsia" w:ascii="宋体" w:hAnsi="宋体" w:eastAsia="宋体" w:cs="宋体"/>
          <w:sz w:val="22"/>
          <w:szCs w:val="22"/>
        </w:rPr>
        <w:t>辅材与系统集成</w:t>
      </w:r>
    </w:p>
    <w:p>
      <w:pPr>
        <w:pStyle w:val="49"/>
        <w:ind w:firstLine="420" w:firstLineChars="200"/>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包含一套辅材与系统集成，具体辅材数量以项目实施现场需求为准。</w:t>
      </w:r>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★（1）供应商应根据本技术需求书的要求，基于自己的</w:t>
      </w:r>
      <w:r>
        <w:rPr>
          <w:rFonts w:hint="eastAsia" w:ascii="宋体" w:hAnsi="宋体"/>
          <w:color w:val="000000" w:themeColor="text1"/>
          <w14:textFill>
            <w14:solidFill>
              <w14:schemeClr w14:val="tx1"/>
            </w14:solidFill>
          </w14:textFill>
        </w:rPr>
        <w:t>货物及/或服务</w:t>
      </w:r>
      <w:r>
        <w:rPr>
          <w:rFonts w:hint="eastAsia" w:ascii="宋体" w:hAnsi="宋体"/>
          <w:color w:val="000000" w:themeColor="text1"/>
          <w:szCs w:val="21"/>
          <w14:textFill>
            <w14:solidFill>
              <w14:schemeClr w14:val="tx1"/>
            </w14:solidFill>
          </w14:textFill>
        </w:rPr>
        <w:t>提供具体、完整的配置方案，供应商在响应文件中给出的集成服务，必须保证响应文件中各项性能和功能承诺指标的实现，在各种承诺业务功能同时启用时，不应影响性能和稳定性；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应根据采购人的业务需求及相关的技术规范要求，在中标后合同签署前提出完整的项目管理、系统设计、工程培训、项目施工、项目验收、技术支持方案以及供应商人力资源供给方案并经采购人确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（3）设备安装由供应商负责，系统内所有电缆及接头均由供应商提供并施工；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（4）供应商负责对施工地点进行现场勘察，提供工程施工和相关安装资料，并负责指导采购人掌握和使用这些技术资料。供应商应提供下列各种详细资料：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A、各种设备机架（柜）外型尺寸、重量、面板布置、进出线方式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B、所需电源种类、功耗、电压、地线要求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C、机房荷重、环境要求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D、设备安装方式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E、设备、线缆、端口等的实施维护标识办法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（5）安装调测时使用的工具、设备由供应商提供。双方应协商制定工程进度表，供应商负责按工程进度表进行施工。</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设备调试由供应商负责，供应商调试前应提出完整的调试计划并经采购人确认，包括设备调试的内容、项目、指标、方法和进度，并提供相应的仪器和工具。供应商有责任对采购人的技术人员提出的问题做出解答。调试应进行详细记录，系统调试结束后，由供应商技术人员签字后交给采购人验收。</w:t>
      </w:r>
    </w:p>
    <w:bookmarkEnd w:id="16"/>
    <w:bookmarkEnd w:id="17"/>
    <w:bookmarkEnd w:id="18"/>
    <w:bookmarkEnd w:id="52"/>
    <w:bookmarkEnd w:id="53"/>
    <w:bookmarkEnd w:id="54"/>
    <w:p>
      <w:pPr>
        <w:spacing w:line="360" w:lineRule="auto"/>
        <w:ind w:firstLine="420" w:firstLineChars="200"/>
        <w:rPr>
          <w:rFonts w:eastAsia="黑体"/>
          <w:b/>
          <w:bCs/>
          <w:kern w:val="44"/>
          <w:sz w:val="36"/>
          <w:szCs w:val="36"/>
        </w:rPr>
      </w:pPr>
      <w:bookmarkStart w:id="56" w:name="_Toc69378657"/>
      <w:bookmarkStart w:id="57" w:name="_Toc502914229"/>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竞争性磋商响应文件格式</w:t>
      </w:r>
      <w:bookmarkEnd w:id="56"/>
    </w:p>
    <w:p/>
    <w:p/>
    <w:p/>
    <w:p/>
    <w:p/>
    <w:p/>
    <w:p/>
    <w:p>
      <w:pPr>
        <w:jc w:val="center"/>
        <w:rPr>
          <w:rFonts w:ascii="宋体" w:hAnsi="宋体"/>
          <w:sz w:val="44"/>
          <w:szCs w:val="44"/>
        </w:rPr>
      </w:pPr>
      <w:bookmarkStart w:id="58" w:name="_Toc26259736"/>
      <w:r>
        <w:rPr>
          <w:rFonts w:hint="eastAsia" w:ascii="宋体" w:hAnsi="宋体"/>
          <w:sz w:val="44"/>
          <w:szCs w:val="44"/>
        </w:rPr>
        <w:t>江苏省广电有线信息网络股份有限公司</w:t>
      </w:r>
    </w:p>
    <w:bookmarkEnd w:id="58"/>
    <w:p>
      <w:pPr>
        <w:spacing w:after="120" w:line="360" w:lineRule="auto"/>
        <w:jc w:val="center"/>
        <w:rPr>
          <w:rFonts w:ascii="宋体" w:hAnsi="宋体"/>
          <w:sz w:val="44"/>
          <w:szCs w:val="44"/>
        </w:rPr>
      </w:pPr>
      <w:bookmarkStart w:id="59" w:name="_Hlk100847823"/>
      <w:r>
        <w:rPr>
          <w:rFonts w:hint="eastAsia" w:ascii="宋体" w:hAnsi="宋体"/>
          <w:sz w:val="44"/>
          <w:szCs w:val="44"/>
        </w:rPr>
        <w:t>路由器设备</w:t>
      </w:r>
      <w:bookmarkEnd w:id="59"/>
      <w:r>
        <w:rPr>
          <w:rFonts w:hint="eastAsia" w:ascii="宋体" w:hAnsi="宋体"/>
          <w:sz w:val="44"/>
          <w:szCs w:val="44"/>
        </w:rPr>
        <w:t>采购</w:t>
      </w:r>
    </w:p>
    <w:p>
      <w:pPr>
        <w:jc w:val="center"/>
        <w:rPr>
          <w:sz w:val="48"/>
          <w:szCs w:val="48"/>
        </w:rPr>
      </w:pP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60" w:name="_Toc26259737"/>
      <w:bookmarkStart w:id="61" w:name="_Toc472689687"/>
      <w:bookmarkStart w:id="62" w:name="_Toc26260030"/>
      <w:bookmarkStart w:id="63" w:name="_Toc529538374"/>
      <w:bookmarkStart w:id="64" w:name="_Toc69378658"/>
      <w:bookmarkStart w:id="65" w:name="_Toc447265603"/>
      <w:bookmarkStart w:id="66" w:name="_Toc438052118"/>
      <w:bookmarkStart w:id="67" w:name="_Toc447265317"/>
      <w:r>
        <w:rPr>
          <w:rFonts w:hint="eastAsia"/>
        </w:rPr>
        <w:t>评审索引表</w:t>
      </w:r>
      <w:bookmarkEnd w:id="60"/>
      <w:bookmarkEnd w:id="61"/>
      <w:bookmarkEnd w:id="62"/>
      <w:bookmarkEnd w:id="63"/>
      <w:bookmarkEnd w:id="64"/>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8" w:name="_Toc401151285"/>
      <w:bookmarkStart w:id="69" w:name="_Toc26259738"/>
      <w:bookmarkStart w:id="70" w:name="_Toc485737092"/>
      <w:bookmarkStart w:id="71" w:name="_Toc401133270"/>
      <w:bookmarkStart w:id="72" w:name="_Toc26260031"/>
      <w:bookmarkStart w:id="73" w:name="_Toc401216443"/>
      <w:bookmarkStart w:id="74" w:name="_Toc429954241"/>
      <w:bookmarkStart w:id="75" w:name="_Toc427071030"/>
      <w:bookmarkStart w:id="76" w:name="_Toc529538375"/>
    </w:p>
    <w:p>
      <w:pPr>
        <w:pStyle w:val="5"/>
        <w:spacing w:before="260" w:after="260" w:line="416" w:lineRule="auto"/>
        <w:jc w:val="center"/>
        <w:rPr>
          <w:rFonts w:ascii="宋体" w:hAnsi="宋体" w:eastAsia="宋体"/>
          <w:b/>
          <w:bCs/>
          <w:sz w:val="22"/>
          <w:szCs w:val="28"/>
        </w:rPr>
      </w:pPr>
      <w:bookmarkStart w:id="77" w:name="_Toc69378659"/>
      <w:r>
        <w:rPr>
          <w:rFonts w:hint="eastAsia" w:ascii="宋体" w:hAnsi="宋体" w:eastAsia="宋体"/>
          <w:b/>
          <w:bCs/>
          <w:sz w:val="22"/>
          <w:szCs w:val="28"/>
        </w:rPr>
        <w:t>初步</w:t>
      </w:r>
      <w:r>
        <w:rPr>
          <w:rFonts w:ascii="宋体" w:hAnsi="宋体" w:eastAsia="宋体"/>
          <w:b/>
          <w:bCs/>
          <w:sz w:val="22"/>
          <w:szCs w:val="28"/>
        </w:rPr>
        <w:t>评审索引表</w:t>
      </w:r>
      <w:bookmarkEnd w:id="68"/>
      <w:bookmarkEnd w:id="69"/>
      <w:bookmarkEnd w:id="70"/>
      <w:bookmarkEnd w:id="71"/>
      <w:bookmarkEnd w:id="72"/>
      <w:bookmarkEnd w:id="73"/>
      <w:bookmarkEnd w:id="74"/>
      <w:bookmarkEnd w:id="75"/>
      <w:bookmarkEnd w:id="76"/>
      <w:bookmarkEnd w:id="77"/>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8" w:name="_Toc69378660"/>
      <w:bookmarkStart w:id="79" w:name="_Toc26260032"/>
      <w:bookmarkStart w:id="80" w:name="_Toc26259739"/>
      <w:r>
        <w:rPr>
          <w:rFonts w:hint="eastAsia" w:ascii="宋体" w:hAnsi="宋体" w:eastAsia="宋体"/>
          <w:b/>
          <w:bCs/>
          <w:sz w:val="22"/>
          <w:szCs w:val="28"/>
        </w:rPr>
        <w:t>详细</w:t>
      </w:r>
      <w:r>
        <w:rPr>
          <w:rFonts w:ascii="宋体" w:hAnsi="宋体" w:eastAsia="宋体"/>
          <w:b/>
          <w:bCs/>
          <w:sz w:val="22"/>
          <w:szCs w:val="28"/>
        </w:rPr>
        <w:t>评审索引表</w:t>
      </w:r>
      <w:bookmarkEnd w:id="78"/>
      <w:bookmarkEnd w:id="79"/>
      <w:bookmarkEnd w:id="80"/>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65"/>
    <w:bookmarkEnd w:id="66"/>
    <w:bookmarkEnd w:id="67"/>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81" w:name="_Toc135999006"/>
      <w:bookmarkStart w:id="82" w:name="_Toc161767428"/>
      <w:bookmarkStart w:id="83" w:name="_Toc69378663"/>
      <w:bookmarkStart w:id="84" w:name="_Toc26260033"/>
      <w:bookmarkStart w:id="85" w:name="_Toc529538377"/>
      <w:bookmarkStart w:id="86" w:name="_Toc438052120"/>
      <w:bookmarkStart w:id="87"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81"/>
      <w:bookmarkEnd w:id="82"/>
      <w:r>
        <w:rPr>
          <w:rStyle w:val="106"/>
          <w:rFonts w:hint="eastAsia" w:hAnsi="宋体"/>
          <w:b w:val="0"/>
          <w:bCs w:val="0"/>
          <w:sz w:val="24"/>
          <w:szCs w:val="24"/>
        </w:rPr>
        <w:t>响应函</w:t>
      </w:r>
      <w:bookmarkEnd w:id="83"/>
      <w:bookmarkEnd w:id="84"/>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[4]</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）我方</w:t>
      </w:r>
      <w:r>
        <w:rPr>
          <w:rFonts w:hint="eastAsia" w:ascii="宋体" w:hAnsi="宋体" w:cs="宋体"/>
          <w:kern w:val="0"/>
          <w:sz w:val="24"/>
          <w:szCs w:val="22"/>
        </w:rPr>
        <w:t>具备完整的售后服务体系、具有快速响应维护能力，</w:t>
      </w:r>
      <w:r>
        <w:rPr>
          <w:rFonts w:hint="eastAsia" w:ascii="宋体" w:hAnsi="宋体"/>
          <w:sz w:val="24"/>
        </w:rPr>
        <w:t>具有较大规模的销售和售后服务的组织机构及完善快捷的技术支持能力，</w:t>
      </w:r>
      <w:r>
        <w:rPr>
          <w:rFonts w:hint="eastAsia" w:ascii="宋体" w:hAnsi="宋体" w:cs="宋体"/>
          <w:kern w:val="0"/>
          <w:sz w:val="24"/>
          <w:szCs w:val="22"/>
        </w:rPr>
        <w:t>拥有固定可靠的有效服务网点，</w:t>
      </w:r>
      <w:r>
        <w:rPr>
          <w:rFonts w:hint="eastAsia" w:ascii="宋体" w:hAnsi="宋体"/>
          <w:sz w:val="24"/>
        </w:rPr>
        <w:t>承诺中选后3</w:t>
      </w:r>
      <w:r>
        <w:rPr>
          <w:rFonts w:ascii="宋体" w:hAnsi="宋体"/>
          <w:sz w:val="24"/>
        </w:rPr>
        <w:t>0</w:t>
      </w:r>
      <w:r>
        <w:rPr>
          <w:rFonts w:hint="eastAsia" w:ascii="宋体" w:hAnsi="宋体"/>
          <w:sz w:val="24"/>
        </w:rPr>
        <w:t>天内在江苏</w:t>
      </w:r>
      <w:r>
        <w:rPr>
          <w:rFonts w:hint="eastAsia" w:ascii="宋体" w:hAnsi="宋体" w:cs="宋体"/>
          <w:kern w:val="0"/>
          <w:sz w:val="24"/>
          <w:szCs w:val="22"/>
        </w:rPr>
        <w:t>设立售后服务机构（根据实际情况）</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8" w:name="_Toc26259740"/>
      <w:bookmarkStart w:id="89" w:name="_Toc26260034"/>
      <w:bookmarkStart w:id="90" w:name="_Toc6937866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8"/>
      <w:bookmarkEnd w:id="89"/>
      <w:bookmarkEnd w:id="90"/>
    </w:p>
    <w:p>
      <w:pPr>
        <w:spacing w:line="360" w:lineRule="auto"/>
        <w:rPr>
          <w:szCs w:val="21"/>
        </w:rPr>
      </w:pPr>
      <w:r>
        <w:rPr>
          <w:szCs w:val="21"/>
        </w:rPr>
        <w:t xml:space="preserve">项目名称： </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170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型号/配置</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1701" w:type="dxa"/>
            <w:vAlign w:val="center"/>
          </w:tcPr>
          <w:p>
            <w:pPr>
              <w:jc w:val="center"/>
              <w:rPr>
                <w:rFonts w:ascii="宋体" w:hAnsi="宋体" w:cs="宋体"/>
                <w:b/>
                <w:szCs w:val="21"/>
              </w:rPr>
            </w:pPr>
            <w:r>
              <w:rPr>
                <w:rFonts w:hint="eastAsia" w:ascii="宋体" w:hAnsi="宋体" w:cs="宋体"/>
                <w:b/>
                <w:szCs w:val="21"/>
              </w:rPr>
              <w:t>税率（%）</w:t>
            </w:r>
          </w:p>
        </w:tc>
        <w:tc>
          <w:tcPr>
            <w:tcW w:w="1701"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路由器设备</w:t>
            </w:r>
          </w:p>
        </w:tc>
        <w:tc>
          <w:tcPr>
            <w:tcW w:w="2410" w:type="dxa"/>
            <w:vAlign w:val="center"/>
          </w:tcPr>
          <w:p>
            <w:pPr>
              <w:jc w:val="center"/>
              <w:rPr>
                <w:sz w:val="18"/>
                <w:szCs w:val="18"/>
              </w:rPr>
            </w:pPr>
          </w:p>
        </w:tc>
        <w:tc>
          <w:tcPr>
            <w:tcW w:w="850" w:type="dxa"/>
            <w:vAlign w:val="center"/>
          </w:tcPr>
          <w:p>
            <w:pPr>
              <w:jc w:val="center"/>
              <w:rPr>
                <w:szCs w:val="21"/>
              </w:rPr>
            </w:pPr>
            <w:r>
              <w:rPr>
                <w:szCs w:val="21"/>
              </w:rPr>
              <w:t>2</w:t>
            </w:r>
            <w:r>
              <w:rPr>
                <w:rFonts w:hint="eastAsia"/>
                <w:szCs w:val="21"/>
              </w:rPr>
              <w:t>台</w:t>
            </w:r>
          </w:p>
        </w:tc>
        <w:tc>
          <w:tcPr>
            <w:tcW w:w="1701" w:type="dxa"/>
            <w:vAlign w:val="center"/>
          </w:tcPr>
          <w:p>
            <w:pPr>
              <w:jc w:val="center"/>
              <w:rPr>
                <w:rFonts w:ascii="宋体" w:hAnsi="宋体" w:cs="宋体"/>
                <w:szCs w:val="21"/>
              </w:rPr>
            </w:pPr>
          </w:p>
        </w:tc>
        <w:tc>
          <w:tcPr>
            <w:tcW w:w="1701"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5"/>
            <w:vAlign w:val="center"/>
          </w:tcPr>
          <w:p>
            <w:pPr>
              <w:spacing w:line="360" w:lineRule="auto"/>
              <w:rPr>
                <w:rFonts w:ascii="宋体" w:hAnsi="宋体"/>
                <w:szCs w:val="21"/>
              </w:rPr>
            </w:pPr>
            <w:bookmarkStart w:id="91"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5"/>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5"/>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5"/>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5"/>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5"/>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pPr>
      <w:r>
        <w:rPr>
          <w:rFonts w:hint="eastAsia"/>
        </w:rPr>
        <w:br w:type="page"/>
      </w:r>
      <w:bookmarkStart w:id="92" w:name="_Toc161767431"/>
      <w:bookmarkStart w:id="93" w:name="_Toc26259742"/>
      <w:bookmarkStart w:id="94" w:name="_Toc26260036"/>
      <w:bookmarkStart w:id="95" w:name="_Toc69378666"/>
      <w:bookmarkStart w:id="96" w:name="_Toc135999010"/>
      <w:bookmarkStart w:id="97" w:name="_Toc26260035"/>
      <w:bookmarkStart w:id="98" w:name="_Toc26259741"/>
      <w:bookmarkStart w:id="99" w:name="_Toc69378665"/>
    </w:p>
    <w:p>
      <w:pPr>
        <w:pStyle w:val="4"/>
        <w:numPr>
          <w:ilvl w:val="0"/>
          <w:numId w:val="0"/>
        </w:numPr>
        <w:snapToGrid w:val="0"/>
        <w:spacing w:before="312" w:beforeLines="100" w:after="312" w:afterLines="100"/>
        <w:ind w:right="210" w:rightChars="100"/>
        <w:rPr>
          <w:rStyle w:val="106"/>
          <w:rFonts w:hAnsi="宋体"/>
          <w:b w:val="0"/>
          <w:bCs w:val="0"/>
          <w:sz w:val="24"/>
          <w:szCs w:val="24"/>
        </w:rPr>
      </w:pPr>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：分项报价表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p>
    <w:p>
      <w:r>
        <w:rPr>
          <w:rFonts w:hint="eastAsia"/>
        </w:rPr>
        <w:t>项目名称：</w:t>
      </w:r>
    </w:p>
    <w:tbl>
      <w:tblPr>
        <w:tblStyle w:val="53"/>
        <w:tblpPr w:leftFromText="180" w:rightFromText="180" w:vertAnchor="text" w:horzAnchor="margin" w:tblpY="87"/>
        <w:tblOverlap w:val="never"/>
        <w:tblW w:w="8819" w:type="dxa"/>
        <w:tblInd w:w="0" w:type="dxa"/>
        <w:tblLayout w:type="fixed"/>
        <w:tblCellMar>
          <w:top w:w="0" w:type="dxa"/>
          <w:left w:w="108" w:type="dxa"/>
          <w:bottom w:w="0" w:type="dxa"/>
          <w:right w:w="108" w:type="dxa"/>
        </w:tblCellMar>
      </w:tblPr>
      <w:tblGrid>
        <w:gridCol w:w="597"/>
        <w:gridCol w:w="1560"/>
        <w:gridCol w:w="744"/>
        <w:gridCol w:w="1109"/>
        <w:gridCol w:w="840"/>
        <w:gridCol w:w="1134"/>
        <w:gridCol w:w="823"/>
        <w:gridCol w:w="1189"/>
        <w:gridCol w:w="823"/>
      </w:tblGrid>
      <w:tr>
        <w:tblPrEx>
          <w:tblCellMar>
            <w:top w:w="0" w:type="dxa"/>
            <w:left w:w="108" w:type="dxa"/>
            <w:bottom w:w="0" w:type="dxa"/>
            <w:right w:w="108" w:type="dxa"/>
          </w:tblCellMar>
        </w:tblPrEx>
        <w:trPr>
          <w:trHeight w:val="542" w:hRule="atLeast"/>
        </w:trPr>
        <w:tc>
          <w:tcPr>
            <w:tcW w:w="59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rFonts w:hint="eastAsia"/>
                <w:sz w:val="22"/>
              </w:rPr>
              <w:t>序号</w:t>
            </w:r>
          </w:p>
        </w:tc>
        <w:tc>
          <w:tcPr>
            <w:tcW w:w="15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部件</w:t>
            </w:r>
          </w:p>
        </w:tc>
        <w:tc>
          <w:tcPr>
            <w:tcW w:w="74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主要部件型号</w:t>
            </w:r>
          </w:p>
        </w:tc>
        <w:tc>
          <w:tcPr>
            <w:tcW w:w="11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制造商/品牌</w:t>
            </w: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数量（</w:t>
            </w:r>
            <w:r>
              <w:rPr>
                <w:b/>
                <w:sz w:val="22"/>
              </w:rPr>
              <w:t>须标明单位</w:t>
            </w:r>
            <w:r>
              <w:rPr>
                <w:sz w:val="22"/>
              </w:rPr>
              <w:t>）</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列表单价</w:t>
            </w:r>
          </w:p>
          <w:p>
            <w:pPr>
              <w:autoSpaceDE w:val="0"/>
              <w:autoSpaceDN w:val="0"/>
              <w:jc w:val="center"/>
              <w:rPr>
                <w:sz w:val="22"/>
              </w:rPr>
            </w:pPr>
            <w:r>
              <w:rPr>
                <w:sz w:val="22"/>
              </w:rPr>
              <w:t>（人民币元）</w:t>
            </w:r>
          </w:p>
        </w:tc>
        <w:tc>
          <w:tcPr>
            <w:tcW w:w="82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折扣率</w:t>
            </w:r>
          </w:p>
        </w:tc>
        <w:tc>
          <w:tcPr>
            <w:tcW w:w="118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实际单价</w:t>
            </w:r>
          </w:p>
          <w:p>
            <w:pPr>
              <w:autoSpaceDE w:val="0"/>
              <w:autoSpaceDN w:val="0"/>
              <w:jc w:val="center"/>
              <w:rPr>
                <w:sz w:val="22"/>
              </w:rPr>
            </w:pPr>
            <w:r>
              <w:rPr>
                <w:sz w:val="22"/>
              </w:rPr>
              <w:t>（人民币元）</w:t>
            </w:r>
          </w:p>
        </w:tc>
        <w:tc>
          <w:tcPr>
            <w:tcW w:w="82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sz w:val="22"/>
              </w:rPr>
            </w:pPr>
            <w:r>
              <w:rPr>
                <w:sz w:val="22"/>
              </w:rPr>
              <w:t>合计</w:t>
            </w:r>
          </w:p>
          <w:p>
            <w:pPr>
              <w:autoSpaceDE w:val="0"/>
              <w:autoSpaceDN w:val="0"/>
              <w:jc w:val="center"/>
              <w:rPr>
                <w:sz w:val="22"/>
              </w:rPr>
            </w:pPr>
            <w:r>
              <w:rPr>
                <w:sz w:val="22"/>
              </w:rPr>
              <w:t>（人民币元）</w:t>
            </w:r>
          </w:p>
        </w:tc>
      </w:tr>
      <w:tr>
        <w:tblPrEx>
          <w:tblCellMar>
            <w:top w:w="0" w:type="dxa"/>
            <w:left w:w="108" w:type="dxa"/>
            <w:bottom w:w="0" w:type="dxa"/>
            <w:right w:w="108" w:type="dxa"/>
          </w:tblCellMar>
        </w:tblPrEx>
        <w:trPr>
          <w:trHeight w:val="271" w:hRule="atLeast"/>
        </w:trPr>
        <w:tc>
          <w:tcPr>
            <w:tcW w:w="597" w:type="dxa"/>
            <w:vMerge w:val="restart"/>
            <w:tcBorders>
              <w:left w:val="single" w:color="auto" w:sz="6" w:space="0"/>
              <w:right w:val="single" w:color="auto" w:sz="6" w:space="0"/>
            </w:tcBorders>
            <w:textDirection w:val="tbRlV"/>
          </w:tcPr>
          <w:p>
            <w:pPr>
              <w:autoSpaceDE w:val="0"/>
              <w:autoSpaceDN w:val="0"/>
              <w:ind w:left="113" w:right="113"/>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extDirection w:val="tbRlV"/>
          </w:tcPr>
          <w:p>
            <w:pPr>
              <w:autoSpaceDE w:val="0"/>
              <w:autoSpaceDN w:val="0"/>
              <w:ind w:left="113" w:right="113"/>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347" w:hRule="atLeast"/>
        </w:trPr>
        <w:tc>
          <w:tcPr>
            <w:tcW w:w="597" w:type="dxa"/>
            <w:vMerge w:val="continue"/>
            <w:tcBorders>
              <w:left w:val="single" w:color="auto" w:sz="6" w:space="0"/>
              <w:right w:val="single" w:color="auto" w:sz="6" w:space="0"/>
            </w:tcBorders>
            <w:textDirection w:val="tbRlV"/>
          </w:tcPr>
          <w:p>
            <w:pPr>
              <w:autoSpaceDE w:val="0"/>
              <w:autoSpaceDN w:val="0"/>
              <w:ind w:left="113" w:right="113"/>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409"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415"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407"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413" w:hRule="atLeast"/>
        </w:trPr>
        <w:tc>
          <w:tcPr>
            <w:tcW w:w="597" w:type="dxa"/>
            <w:vMerge w:val="continue"/>
            <w:tcBorders>
              <w:left w:val="single" w:color="auto" w:sz="6" w:space="0"/>
              <w:right w:val="single" w:color="auto" w:sz="6" w:space="0"/>
            </w:tcBorders>
          </w:tcPr>
          <w:p>
            <w:pPr>
              <w:autoSpaceDE w:val="0"/>
              <w:autoSpaceDN w:val="0"/>
              <w:jc w:val="center"/>
              <w:rPr>
                <w:sz w:val="22"/>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jc w:val="center"/>
              <w:rPr>
                <w:sz w:val="22"/>
              </w:rPr>
            </w:pPr>
          </w:p>
        </w:tc>
        <w:tc>
          <w:tcPr>
            <w:tcW w:w="74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0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40"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r>
        <w:tblPrEx>
          <w:tblCellMar>
            <w:top w:w="0" w:type="dxa"/>
            <w:left w:w="108" w:type="dxa"/>
            <w:bottom w:w="0" w:type="dxa"/>
            <w:right w:w="108" w:type="dxa"/>
          </w:tblCellMar>
        </w:tblPrEx>
        <w:trPr>
          <w:trHeight w:val="271" w:hRule="atLeast"/>
        </w:trPr>
        <w:tc>
          <w:tcPr>
            <w:tcW w:w="4010" w:type="dxa"/>
            <w:gridSpan w:val="4"/>
            <w:tcBorders>
              <w:top w:val="single" w:color="auto" w:sz="4" w:space="0"/>
              <w:left w:val="single" w:color="auto" w:sz="4" w:space="0"/>
              <w:bottom w:val="single" w:color="auto" w:sz="4" w:space="0"/>
              <w:right w:val="single" w:color="auto" w:sz="4" w:space="0"/>
            </w:tcBorders>
          </w:tcPr>
          <w:p>
            <w:r>
              <w:t>货物总价（单位：人民币）</w:t>
            </w:r>
          </w:p>
          <w:p>
            <w:pPr>
              <w:autoSpaceDE w:val="0"/>
              <w:autoSpaceDN w:val="0"/>
              <w:jc w:val="left"/>
              <w:rPr>
                <w:sz w:val="22"/>
              </w:rPr>
            </w:pPr>
            <w:r>
              <w:t>本总价必须与附件2：</w:t>
            </w:r>
            <w:r>
              <w:rPr>
                <w:rFonts w:hint="eastAsia"/>
              </w:rPr>
              <w:t>报价</w:t>
            </w:r>
            <w:r>
              <w:t>表中相同货物的单价相一致。</w:t>
            </w:r>
          </w:p>
        </w:tc>
        <w:tc>
          <w:tcPr>
            <w:tcW w:w="840" w:type="dxa"/>
            <w:tcBorders>
              <w:top w:val="single" w:color="auto" w:sz="6" w:space="0"/>
              <w:left w:val="single" w:color="auto" w:sz="4" w:space="0"/>
              <w:bottom w:val="single" w:color="auto" w:sz="6" w:space="0"/>
              <w:right w:val="single" w:color="auto" w:sz="6" w:space="0"/>
            </w:tcBorders>
          </w:tcPr>
          <w:p>
            <w:pPr>
              <w:autoSpaceDE w:val="0"/>
              <w:autoSpaceDN w:val="0"/>
              <w:jc w:val="right"/>
              <w:rPr>
                <w:sz w:val="22"/>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1189"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c>
          <w:tcPr>
            <w:tcW w:w="823" w:type="dxa"/>
            <w:tcBorders>
              <w:top w:val="single" w:color="auto" w:sz="6" w:space="0"/>
              <w:left w:val="single" w:color="auto" w:sz="6" w:space="0"/>
              <w:bottom w:val="single" w:color="auto" w:sz="6" w:space="0"/>
              <w:right w:val="single" w:color="auto" w:sz="6" w:space="0"/>
            </w:tcBorders>
          </w:tcPr>
          <w:p>
            <w:pPr>
              <w:autoSpaceDE w:val="0"/>
              <w:autoSpaceDN w:val="0"/>
              <w:jc w:val="right"/>
              <w:rPr>
                <w:sz w:val="22"/>
              </w:rPr>
            </w:pPr>
          </w:p>
        </w:tc>
      </w:tr>
    </w:tbl>
    <w:p/>
    <w:p>
      <w:r>
        <w:t>供应商名称：（公章）</w:t>
      </w:r>
      <w:r>
        <w:rPr>
          <w:u w:val="single"/>
        </w:rPr>
        <w:t xml:space="preserve">                </w:t>
      </w:r>
      <w:r>
        <w:t xml:space="preserve"> </w:t>
      </w:r>
    </w:p>
    <w:p/>
    <w:p>
      <w:pPr>
        <w:rPr>
          <w:u w:val="single"/>
        </w:rPr>
      </w:pPr>
      <w:r>
        <w:t>供应商代表签字：</w:t>
      </w:r>
      <w:r>
        <w:rPr>
          <w:u w:val="single"/>
        </w:rPr>
        <w:t xml:space="preserve">                       </w:t>
      </w:r>
    </w:p>
    <w:p>
      <w:pPr>
        <w:spacing w:line="360" w:lineRule="auto"/>
      </w:pPr>
    </w:p>
    <w:p>
      <w:pPr>
        <w:spacing w:line="360" w:lineRule="auto"/>
      </w:pPr>
      <w:r>
        <w:t>注：1. 每种货物及/或服务均单独列表，货物须按照模块进行报价；服务须按照人力资源配置计划进行报价。</w:t>
      </w:r>
    </w:p>
    <w:p>
      <w:pPr>
        <w:snapToGrid w:val="0"/>
        <w:spacing w:line="360" w:lineRule="auto"/>
        <w:rPr>
          <w:color w:val="000000"/>
          <w:szCs w:val="21"/>
        </w:rPr>
      </w:pPr>
      <w:r>
        <w:t xml:space="preserve">    2.</w:t>
      </w:r>
      <w:r>
        <w:rPr>
          <w:rFonts w:hint="eastAsia"/>
          <w:color w:val="000000"/>
          <w:szCs w:val="21"/>
        </w:rPr>
        <w:t xml:space="preserve"> 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
      <w:pPr>
        <w:pStyle w:val="4"/>
        <w:numPr>
          <w:ilvl w:val="0"/>
          <w:numId w:val="0"/>
        </w:numPr>
        <w:snapToGrid w:val="0"/>
        <w:spacing w:before="312" w:beforeLines="100" w:after="312" w:afterLines="100"/>
        <w:ind w:right="210" w:rightChars="100"/>
        <w:rPr>
          <w:rStyle w:val="106"/>
          <w:rFonts w:hAnsi="宋体"/>
          <w:b w:val="0"/>
          <w:bCs w:val="0"/>
          <w:sz w:val="24"/>
          <w:szCs w:val="24"/>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：扩容报价表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p>
    <w:p>
      <w:pPr>
        <w:rPr>
          <w:u w:val="single"/>
        </w:rPr>
      </w:pPr>
      <w:r>
        <w:t>项目名称：</w:t>
      </w:r>
      <w:r>
        <w:rPr>
          <w:u w:val="single"/>
        </w:rPr>
        <w:t xml:space="preserve">                </w:t>
      </w:r>
      <w:r>
        <w:t xml:space="preserve"> </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108"/>
        <w:gridCol w:w="1914"/>
        <w:gridCol w:w="970"/>
        <w:gridCol w:w="1134"/>
        <w:gridCol w:w="905"/>
        <w:gridCol w:w="111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jc w:val="center"/>
            </w:pPr>
            <w:r>
              <w:t>序号</w:t>
            </w:r>
          </w:p>
        </w:tc>
        <w:tc>
          <w:tcPr>
            <w:tcW w:w="2108" w:type="dxa"/>
            <w:vAlign w:val="center"/>
          </w:tcPr>
          <w:p>
            <w:pPr>
              <w:jc w:val="center"/>
            </w:pPr>
            <w:r>
              <w:t>主要部件型号</w:t>
            </w:r>
          </w:p>
          <w:p>
            <w:pPr>
              <w:jc w:val="center"/>
            </w:pPr>
            <w:r>
              <w:t>（定货号）</w:t>
            </w:r>
          </w:p>
        </w:tc>
        <w:tc>
          <w:tcPr>
            <w:tcW w:w="1914" w:type="dxa"/>
            <w:vAlign w:val="center"/>
          </w:tcPr>
          <w:p>
            <w:pPr>
              <w:jc w:val="center"/>
            </w:pPr>
            <w:r>
              <w:t>功能的中文说明</w:t>
            </w:r>
          </w:p>
        </w:tc>
        <w:tc>
          <w:tcPr>
            <w:tcW w:w="970" w:type="dxa"/>
            <w:vAlign w:val="center"/>
          </w:tcPr>
          <w:p>
            <w:pPr>
              <w:jc w:val="center"/>
            </w:pPr>
            <w:r>
              <w:t>制造商 / 品牌</w:t>
            </w:r>
          </w:p>
        </w:tc>
        <w:tc>
          <w:tcPr>
            <w:tcW w:w="1134" w:type="dxa"/>
            <w:vAlign w:val="center"/>
          </w:tcPr>
          <w:p>
            <w:pPr>
              <w:jc w:val="center"/>
            </w:pPr>
            <w:r>
              <w:t>列表</w:t>
            </w:r>
          </w:p>
          <w:p>
            <w:pPr>
              <w:jc w:val="center"/>
            </w:pPr>
            <w:r>
              <w:t>单价(元)</w:t>
            </w:r>
          </w:p>
        </w:tc>
        <w:tc>
          <w:tcPr>
            <w:tcW w:w="905" w:type="dxa"/>
            <w:vAlign w:val="center"/>
          </w:tcPr>
          <w:p>
            <w:pPr>
              <w:jc w:val="center"/>
            </w:pPr>
            <w:r>
              <w:t>折扣（%）</w:t>
            </w:r>
          </w:p>
        </w:tc>
        <w:tc>
          <w:tcPr>
            <w:tcW w:w="1115" w:type="dxa"/>
          </w:tcPr>
          <w:p>
            <w:pPr>
              <w:jc w:val="center"/>
            </w:pPr>
            <w:r>
              <w:t>折扣后单价(元)</w:t>
            </w:r>
          </w:p>
        </w:tc>
        <w:tc>
          <w:tcPr>
            <w:tcW w:w="1116" w:type="dxa"/>
          </w:tcPr>
          <w:p>
            <w:pPr>
              <w:jc w:val="center"/>
            </w:pPr>
            <w:r>
              <w:t>折扣后总价(元)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tcPr>
          <w:p>
            <w:pPr>
              <w:rPr>
                <w:b/>
                <w:szCs w:val="21"/>
              </w:rPr>
            </w:pPr>
          </w:p>
        </w:tc>
        <w:tc>
          <w:tcPr>
            <w:tcW w:w="2108" w:type="dxa"/>
          </w:tcPr>
          <w:p>
            <w:pPr>
              <w:jc w:val="center"/>
              <w:rPr>
                <w:b/>
                <w:szCs w:val="21"/>
              </w:rPr>
            </w:pPr>
          </w:p>
        </w:tc>
        <w:tc>
          <w:tcPr>
            <w:tcW w:w="1914" w:type="dxa"/>
          </w:tcPr>
          <w:p>
            <w:pPr>
              <w:rPr>
                <w:b/>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tcPr>
          <w:p>
            <w:pPr>
              <w:rPr>
                <w:szCs w:val="21"/>
              </w:rPr>
            </w:pPr>
          </w:p>
        </w:tc>
        <w:tc>
          <w:tcPr>
            <w:tcW w:w="2108" w:type="dxa"/>
          </w:tcPr>
          <w:p>
            <w:pPr>
              <w:jc w:val="center"/>
              <w:rPr>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1" w:type="dxa"/>
            <w:vAlign w:val="center"/>
          </w:tcPr>
          <w:p>
            <w:pPr>
              <w:rPr>
                <w:szCs w:val="21"/>
              </w:rPr>
            </w:pPr>
          </w:p>
        </w:tc>
        <w:tc>
          <w:tcPr>
            <w:tcW w:w="2108" w:type="dxa"/>
            <w:vAlign w:val="center"/>
          </w:tcPr>
          <w:p>
            <w:pPr>
              <w:spacing w:line="360" w:lineRule="auto"/>
              <w:jc w:val="center"/>
              <w:rPr>
                <w:bCs/>
                <w:szCs w:val="21"/>
              </w:rPr>
            </w:pPr>
          </w:p>
        </w:tc>
        <w:tc>
          <w:tcPr>
            <w:tcW w:w="1914" w:type="dxa"/>
          </w:tcPr>
          <w:p>
            <w:pPr>
              <w:rPr>
                <w:szCs w:val="21"/>
              </w:rPr>
            </w:pPr>
          </w:p>
        </w:tc>
        <w:tc>
          <w:tcPr>
            <w:tcW w:w="970" w:type="dxa"/>
            <w:vAlign w:val="center"/>
          </w:tcPr>
          <w:p/>
        </w:tc>
        <w:tc>
          <w:tcPr>
            <w:tcW w:w="1134" w:type="dxa"/>
          </w:tcPr>
          <w:p>
            <w:pPr>
              <w:jc w:val="right"/>
            </w:pPr>
          </w:p>
        </w:tc>
        <w:tc>
          <w:tcPr>
            <w:tcW w:w="905" w:type="dxa"/>
            <w:vAlign w:val="center"/>
          </w:tcPr>
          <w:p>
            <w:pPr>
              <w:jc w:val="right"/>
            </w:pPr>
          </w:p>
        </w:tc>
        <w:tc>
          <w:tcPr>
            <w:tcW w:w="1115" w:type="dxa"/>
          </w:tcPr>
          <w:p>
            <w:pPr>
              <w:jc w:val="right"/>
            </w:pPr>
          </w:p>
        </w:tc>
        <w:tc>
          <w:tcPr>
            <w:tcW w:w="1116" w:type="dxa"/>
          </w:tcPr>
          <w:p>
            <w:pPr>
              <w:jc w:val="right"/>
            </w:pPr>
          </w:p>
        </w:tc>
      </w:tr>
    </w:tbl>
    <w:p>
      <w:pPr>
        <w:rPr>
          <w:u w:val="single"/>
        </w:rPr>
      </w:pPr>
    </w:p>
    <w:p>
      <w:pPr>
        <w:spacing w:line="480" w:lineRule="auto"/>
        <w:rPr>
          <w:u w:val="single"/>
        </w:rPr>
      </w:pPr>
      <w:r>
        <w:rPr>
          <w:rFonts w:hint="eastAsia"/>
        </w:rPr>
        <w:t>供应商</w:t>
      </w:r>
      <w:r>
        <w:t>名称（公章）：</w:t>
      </w:r>
      <w:r>
        <w:rPr>
          <w:u w:val="single"/>
        </w:rPr>
        <w:t xml:space="preserve">                     </w:t>
      </w:r>
    </w:p>
    <w:p>
      <w:pPr>
        <w:rPr>
          <w:u w:val="single"/>
        </w:rPr>
      </w:pPr>
      <w:r>
        <w:rPr>
          <w:rFonts w:hint="eastAsia"/>
        </w:rPr>
        <w:t>供应商</w:t>
      </w:r>
      <w:r>
        <w:t>代表签字：</w:t>
      </w:r>
      <w:r>
        <w:rPr>
          <w:u w:val="single"/>
        </w:rPr>
        <w:t xml:space="preserve">                        </w:t>
      </w:r>
    </w:p>
    <w:p>
      <w:pPr>
        <w:spacing w:before="100" w:beforeAutospacing="1" w:line="300" w:lineRule="auto"/>
        <w:rPr>
          <w:rStyle w:val="106"/>
          <w:sz w:val="36"/>
          <w:szCs w:val="36"/>
        </w:rPr>
      </w:pPr>
    </w:p>
    <w:p>
      <w:pPr>
        <w:spacing w:line="360" w:lineRule="auto"/>
      </w:pPr>
      <w:r>
        <w:t>注： 1. 供应商需按最小增配单位提供扩容部件详细清单、数量、分项价格及折扣，如</w:t>
      </w:r>
      <w:r>
        <w:rPr>
          <w:rFonts w:hint="eastAsia"/>
        </w:rPr>
        <w:t>10G、</w:t>
      </w:r>
      <w:r>
        <w:t>100</w:t>
      </w:r>
      <w:r>
        <w:rPr>
          <w:rFonts w:hint="eastAsia"/>
        </w:rPr>
        <w:t>G</w:t>
      </w:r>
      <w:r>
        <w:t>板卡扩容、模块扩容等。对于各设备的零配件，</w:t>
      </w:r>
      <w:r>
        <w:rPr>
          <w:rFonts w:hint="eastAsia"/>
        </w:rPr>
        <w:t>供应商</w:t>
      </w:r>
      <w:r>
        <w:t>需提供所有的零配件清单、数量、分项价格及折扣。扩容价格及折扣不得高于</w:t>
      </w:r>
      <w:r>
        <w:rPr>
          <w:rFonts w:hint="eastAsia"/>
        </w:rPr>
        <w:t>本次响应</w:t>
      </w:r>
      <w:r>
        <w:t>价格及折扣。</w:t>
      </w:r>
    </w:p>
    <w:p>
      <w:pPr>
        <w:pStyle w:val="29"/>
        <w:rPr>
          <w:rFonts w:ascii="Times New Roman" w:hAnsi="Times New Roman"/>
        </w:rPr>
      </w:pPr>
    </w:p>
    <w:p>
      <w:pPr>
        <w:pStyle w:val="29"/>
      </w:pPr>
      <w:r>
        <w:br w:type="page"/>
      </w:r>
    </w:p>
    <w:p>
      <w:pPr>
        <w:pStyle w:val="29"/>
      </w:pPr>
    </w:p>
    <w:p>
      <w:pPr>
        <w:pStyle w:val="4"/>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：商务条款偏离表</w:t>
      </w:r>
      <w:bookmarkEnd w:id="92"/>
      <w:bookmarkEnd w:id="93"/>
      <w:bookmarkEnd w:id="94"/>
      <w:bookmarkEnd w:id="95"/>
      <w:bookmarkEnd w:id="96"/>
    </w:p>
    <w:p>
      <w:pPr>
        <w:spacing w:line="360" w:lineRule="auto"/>
        <w:rPr>
          <w:szCs w:val="21"/>
        </w:rPr>
      </w:pPr>
      <w:r>
        <w:rPr>
          <w:szCs w:val="21"/>
        </w:rPr>
        <w:t>项目名称：</w:t>
      </w:r>
      <w:r>
        <w:rPr>
          <w:rFonts w:hint="eastAsia" w:ascii="宋体" w:hAnsi="宋体"/>
          <w:szCs w:val="21"/>
        </w:rPr>
        <w:t xml:space="preserve"> </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：法定代表人身份证明及授权委托书</w:t>
      </w:r>
      <w:bookmarkEnd w:id="97"/>
      <w:bookmarkEnd w:id="98"/>
      <w:bookmarkEnd w:id="99"/>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0" w:name="_Toc26259743"/>
      <w:bookmarkStart w:id="101" w:name="_Toc26260037"/>
      <w:bookmarkStart w:id="102"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：技术规范偏离表</w:t>
      </w:r>
      <w:bookmarkEnd w:id="100"/>
      <w:bookmarkEnd w:id="101"/>
      <w:bookmarkEnd w:id="102"/>
    </w:p>
    <w:p>
      <w:pPr>
        <w:spacing w:line="360" w:lineRule="auto"/>
        <w:rPr>
          <w:szCs w:val="21"/>
        </w:rPr>
      </w:pPr>
      <w:r>
        <w:rPr>
          <w:szCs w:val="21"/>
        </w:rPr>
        <w:t>项目名称：</w:t>
      </w:r>
      <w:r>
        <w:rPr>
          <w:rFonts w:hint="eastAsia" w:ascii="宋体" w:hAnsi="宋体"/>
          <w:szCs w:val="21"/>
        </w:rPr>
        <w:t xml:space="preserve"> </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03" w:name="_Toc26259744"/>
      <w:bookmarkStart w:id="104" w:name="_Toc161767433"/>
      <w:bookmarkStart w:id="105" w:name="_Toc26260038"/>
      <w:bookmarkStart w:id="106" w:name="_Toc135999012"/>
      <w:bookmarkStart w:id="107" w:name="_Toc69378668"/>
      <w:r>
        <w:rPr>
          <w:rStyle w:val="106"/>
          <w:rFonts w:hint="eastAsia" w:hAnsi="宋体"/>
          <w:b w:val="0"/>
          <w:bCs w:val="0"/>
          <w:sz w:val="24"/>
          <w:szCs w:val="24"/>
        </w:rPr>
        <w:t>附件</w:t>
      </w:r>
      <w:r>
        <w:rPr>
          <w:rStyle w:val="106"/>
          <w:rFonts w:hAnsi="宋体"/>
          <w:b w:val="0"/>
          <w:bCs w:val="0"/>
          <w:sz w:val="24"/>
          <w:szCs w:val="24"/>
        </w:rPr>
        <w:t>9</w:t>
      </w:r>
      <w:r>
        <w:rPr>
          <w:rStyle w:val="106"/>
          <w:rFonts w:hint="eastAsia" w:hAnsi="宋体"/>
          <w:b w:val="0"/>
          <w:bCs w:val="0"/>
          <w:sz w:val="24"/>
          <w:szCs w:val="24"/>
        </w:rPr>
        <w:t>：资格证明文件</w:t>
      </w:r>
      <w:bookmarkEnd w:id="103"/>
      <w:bookmarkEnd w:id="104"/>
      <w:bookmarkEnd w:id="105"/>
      <w:bookmarkEnd w:id="106"/>
      <w:bookmarkEnd w:id="107"/>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5"/>
        </w:numPr>
        <w:spacing w:line="360" w:lineRule="auto"/>
        <w:rPr>
          <w:rFonts w:ascii="宋体"/>
          <w:szCs w:val="21"/>
        </w:rPr>
      </w:pPr>
      <w:r>
        <w:rPr>
          <w:rFonts w:hint="eastAsia" w:ascii="宋体"/>
          <w:szCs w:val="21"/>
        </w:rPr>
        <w:t>供应商应填写和提交下述规定的全部格式以及其它有关资料。</w:t>
      </w:r>
    </w:p>
    <w:p>
      <w:pPr>
        <w:numPr>
          <w:ilvl w:val="0"/>
          <w:numId w:val="25"/>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5"/>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5"/>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5"/>
        </w:numPr>
        <w:spacing w:line="360" w:lineRule="auto"/>
        <w:rPr>
          <w:rFonts w:ascii="宋体"/>
          <w:szCs w:val="21"/>
        </w:rPr>
      </w:pPr>
      <w:r>
        <w:rPr>
          <w:rFonts w:hint="eastAsia" w:ascii="宋体"/>
          <w:szCs w:val="21"/>
        </w:rPr>
        <w:t>供应商提交的材料将被保密，但不退还。</w:t>
      </w:r>
    </w:p>
    <w:p>
      <w:pPr>
        <w:numPr>
          <w:ilvl w:val="0"/>
          <w:numId w:val="25"/>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6"/>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6"/>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6"/>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7"/>
        </w:numPr>
        <w:spacing w:line="360" w:lineRule="auto"/>
        <w:rPr>
          <w:rFonts w:ascii="宋体" w:hAnsi="宋体"/>
          <w:szCs w:val="21"/>
          <w:u w:val="single"/>
        </w:rPr>
      </w:pPr>
      <w:r>
        <w:rPr>
          <w:rFonts w:hint="eastAsia" w:ascii="宋体" w:hAnsi="宋体"/>
          <w:szCs w:val="21"/>
        </w:rPr>
        <w:t>供应商名称：</w:t>
      </w:r>
    </w:p>
    <w:p>
      <w:pPr>
        <w:numPr>
          <w:ilvl w:val="0"/>
          <w:numId w:val="27"/>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7"/>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7"/>
        </w:numPr>
        <w:spacing w:line="360" w:lineRule="auto"/>
        <w:rPr>
          <w:rFonts w:ascii="宋体" w:hAnsi="宋体"/>
          <w:szCs w:val="21"/>
        </w:rPr>
      </w:pPr>
      <w:r>
        <w:rPr>
          <w:rFonts w:hint="eastAsia" w:ascii="宋体" w:hAnsi="宋体"/>
          <w:szCs w:val="21"/>
        </w:rPr>
        <w:t>实收资本：</w:t>
      </w:r>
    </w:p>
    <w:p>
      <w:pPr>
        <w:numPr>
          <w:ilvl w:val="0"/>
          <w:numId w:val="27"/>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7"/>
        </w:numPr>
        <w:spacing w:line="360" w:lineRule="auto"/>
        <w:rPr>
          <w:rFonts w:ascii="宋体" w:hAnsi="宋体"/>
          <w:szCs w:val="21"/>
          <w:u w:val="single"/>
        </w:rPr>
      </w:pPr>
      <w:r>
        <w:rPr>
          <w:rFonts w:hint="eastAsia" w:ascii="宋体" w:hAnsi="宋体"/>
          <w:szCs w:val="21"/>
        </w:rPr>
        <w:t>主要负责人名称：（可选填）</w:t>
      </w:r>
    </w:p>
    <w:p>
      <w:pPr>
        <w:numPr>
          <w:ilvl w:val="0"/>
          <w:numId w:val="27"/>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7"/>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7"/>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7"/>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8" w:name="_Toc26260039"/>
      <w:bookmarkStart w:id="109" w:name="_Toc26259745"/>
      <w:bookmarkStart w:id="110" w:name="_Toc69378669"/>
      <w:r>
        <w:rPr>
          <w:rStyle w:val="106"/>
          <w:rFonts w:hint="eastAsia" w:hAnsi="宋体"/>
          <w:b w:val="0"/>
          <w:bCs w:val="0"/>
          <w:sz w:val="24"/>
          <w:szCs w:val="24"/>
        </w:rPr>
        <w:t>附件</w:t>
      </w:r>
      <w:r>
        <w:rPr>
          <w:rStyle w:val="106"/>
          <w:rFonts w:hAnsi="宋体"/>
          <w:b w:val="0"/>
          <w:bCs w:val="0"/>
          <w:sz w:val="24"/>
          <w:szCs w:val="24"/>
        </w:rPr>
        <w:t>10</w:t>
      </w:r>
      <w:r>
        <w:rPr>
          <w:rStyle w:val="106"/>
          <w:rFonts w:hint="eastAsia" w:hAnsi="宋体"/>
          <w:b w:val="0"/>
          <w:bCs w:val="0"/>
          <w:sz w:val="24"/>
          <w:szCs w:val="24"/>
        </w:rPr>
        <w:t>：项目业绩及证明文件</w:t>
      </w:r>
      <w:bookmarkEnd w:id="108"/>
      <w:bookmarkEnd w:id="109"/>
      <w:bookmarkEnd w:id="110"/>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pPr>
      <w:r>
        <w:rPr>
          <w:rFonts w:hint="eastAsia"/>
        </w:rPr>
        <w:t>供应商</w:t>
      </w:r>
      <w:r>
        <w:t>名称（公章）：</w:t>
      </w:r>
    </w:p>
    <w:p>
      <w:pPr>
        <w:spacing w:line="480" w:lineRule="auto"/>
        <w:rPr>
          <w:i/>
        </w:rPr>
      </w:pPr>
      <w:r>
        <w:rPr>
          <w:rFonts w:hint="eastAsia"/>
        </w:rPr>
        <w:t>供应商</w:t>
      </w:r>
      <w:r>
        <w:t>代表签字</w:t>
      </w:r>
      <w:r>
        <w:rPr>
          <w:u w:val="single"/>
        </w:rPr>
        <w:t>：</w:t>
      </w:r>
      <w:r>
        <w:rPr>
          <w:rFonts w:hint="eastAsia"/>
          <w:u w:val="single"/>
        </w:rPr>
        <w:t xml:space="preserve"> </w:t>
      </w:r>
      <w:r>
        <w:rPr>
          <w:u w:val="single"/>
        </w:rPr>
        <w:t xml:space="preserve">       </w:t>
      </w:r>
    </w:p>
    <w:p>
      <w:pPr>
        <w:spacing w:line="360" w:lineRule="auto"/>
      </w:pPr>
      <w:r>
        <w:t>填表说明：1</w:t>
      </w:r>
      <w:r>
        <w:rPr>
          <w:rFonts w:hint="eastAsia"/>
        </w:rPr>
        <w:t>.供应商须根据合格供应商和评审办法关于业绩的要求，在响应文件中如实提供相应数量的合同复印件或其它证明文件。</w:t>
      </w:r>
    </w:p>
    <w:p>
      <w:pPr>
        <w:spacing w:line="360" w:lineRule="auto"/>
      </w:pPr>
      <w:r>
        <w:t>2</w:t>
      </w:r>
      <w:r>
        <w:rPr>
          <w:rFonts w:hint="eastAsia"/>
        </w:rPr>
        <w:t>．供应商需按照合同金额从大到小的顺序装订合同复印件，合同装订顺序须与表中所列项目顺序一致。</w:t>
      </w:r>
      <w:bookmarkEnd w:id="57"/>
      <w:bookmarkEnd w:id="85"/>
      <w:bookmarkEnd w:id="86"/>
      <w:bookmarkEnd w:id="87"/>
    </w:p>
    <w:p>
      <w:pPr>
        <w:spacing w:line="360" w:lineRule="auto"/>
      </w:pPr>
      <w:r>
        <w:rPr>
          <w:rFonts w:hint="eastAsia"/>
        </w:rPr>
        <w:t>3</w:t>
      </w:r>
      <w:r>
        <w:t xml:space="preserve">. </w:t>
      </w:r>
      <w:r>
        <w:rPr>
          <w:rFonts w:hint="eastAsia"/>
        </w:rPr>
        <w:t>响应文件中最多提供</w:t>
      </w:r>
      <w:r>
        <w:t>5</w:t>
      </w:r>
      <w:r>
        <w:rPr>
          <w:rFonts w:hint="eastAsia"/>
        </w:rPr>
        <w:t>份合同，响应文件中如提供超过</w:t>
      </w:r>
      <w:r>
        <w:t>5</w:t>
      </w:r>
      <w:r>
        <w:rPr>
          <w:rFonts w:hint="eastAsia"/>
        </w:rPr>
        <w:t>份合同，则按照合同金额从大到小统计前5份合同计算累计合同金额。</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16D6D7E"/>
    <w:multiLevelType w:val="multilevel"/>
    <w:tmpl w:val="016D6D7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7">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8">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2DAC4C6B"/>
    <w:multiLevelType w:val="multilevel"/>
    <w:tmpl w:val="2DAC4C6B"/>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abstractNum w:abstractNumId="20">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1">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3">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7B7503BE"/>
    <w:multiLevelType w:val="multilevel"/>
    <w:tmpl w:val="7B7503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2"/>
  </w:num>
  <w:num w:numId="2">
    <w:abstractNumId w:val="20"/>
  </w:num>
  <w:num w:numId="3">
    <w:abstractNumId w:val="8"/>
  </w:num>
  <w:num w:numId="4">
    <w:abstractNumId w:val="4"/>
  </w:num>
  <w:num w:numId="5">
    <w:abstractNumId w:val="18"/>
  </w:num>
  <w:num w:numId="6">
    <w:abstractNumId w:val="26"/>
  </w:num>
  <w:num w:numId="7">
    <w:abstractNumId w:val="3"/>
  </w:num>
  <w:num w:numId="8">
    <w:abstractNumId w:val="1"/>
  </w:num>
  <w:num w:numId="9">
    <w:abstractNumId w:val="0"/>
  </w:num>
  <w:num w:numId="10">
    <w:abstractNumId w:val="6"/>
  </w:num>
  <w:num w:numId="11">
    <w:abstractNumId w:val="2"/>
  </w:num>
  <w:num w:numId="12">
    <w:abstractNumId w:val="5"/>
  </w:num>
  <w:num w:numId="13">
    <w:abstractNumId w:val="7"/>
  </w:num>
  <w:num w:numId="14">
    <w:abstractNumId w:val="21"/>
  </w:num>
  <w:num w:numId="15">
    <w:abstractNumId w:val="25"/>
  </w:num>
  <w:num w:numId="16">
    <w:abstractNumId w:val="12"/>
  </w:num>
  <w:num w:numId="17">
    <w:abstractNumId w:val="10"/>
  </w:num>
  <w:num w:numId="18">
    <w:abstractNumId w:val="11"/>
  </w:num>
  <w:num w:numId="19">
    <w:abstractNumId w:val="9"/>
  </w:num>
  <w:num w:numId="20">
    <w:abstractNumId w:val="13"/>
  </w:num>
  <w:num w:numId="21">
    <w:abstractNumId w:val="15"/>
  </w:num>
  <w:num w:numId="22">
    <w:abstractNumId w:val="24"/>
  </w:num>
  <w:num w:numId="23">
    <w:abstractNumId w:val="14"/>
  </w:num>
  <w:num w:numId="24">
    <w:abstractNumId w:val="19"/>
  </w:num>
  <w:num w:numId="25">
    <w:abstractNumId w:val="16"/>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65B"/>
    <w:rsid w:val="00001D1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2584"/>
    <w:rsid w:val="000438A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59B2"/>
    <w:rsid w:val="00175A52"/>
    <w:rsid w:val="001764D0"/>
    <w:rsid w:val="00176D2C"/>
    <w:rsid w:val="00176FDB"/>
    <w:rsid w:val="00177676"/>
    <w:rsid w:val="00177E3C"/>
    <w:rsid w:val="00181462"/>
    <w:rsid w:val="0018189F"/>
    <w:rsid w:val="0018438A"/>
    <w:rsid w:val="00185166"/>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1B66"/>
    <w:rsid w:val="001A22AA"/>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3946"/>
    <w:rsid w:val="00263ECA"/>
    <w:rsid w:val="0026496B"/>
    <w:rsid w:val="00265008"/>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542B"/>
    <w:rsid w:val="002871C9"/>
    <w:rsid w:val="0028791B"/>
    <w:rsid w:val="002912E5"/>
    <w:rsid w:val="00293B1A"/>
    <w:rsid w:val="00293EF5"/>
    <w:rsid w:val="00296281"/>
    <w:rsid w:val="00296FB0"/>
    <w:rsid w:val="002977C3"/>
    <w:rsid w:val="002A09B2"/>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24AE"/>
    <w:rsid w:val="002D3C6B"/>
    <w:rsid w:val="002D3F7C"/>
    <w:rsid w:val="002D5AC3"/>
    <w:rsid w:val="002D706B"/>
    <w:rsid w:val="002E0999"/>
    <w:rsid w:val="002E1BA5"/>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B3E"/>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94B"/>
    <w:rsid w:val="003E7A69"/>
    <w:rsid w:val="003F0D93"/>
    <w:rsid w:val="003F216D"/>
    <w:rsid w:val="003F360C"/>
    <w:rsid w:val="003F4C7C"/>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C51"/>
    <w:rsid w:val="004151B4"/>
    <w:rsid w:val="004166D8"/>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4518"/>
    <w:rsid w:val="00515427"/>
    <w:rsid w:val="00516300"/>
    <w:rsid w:val="00516A5B"/>
    <w:rsid w:val="00516F8D"/>
    <w:rsid w:val="00517D26"/>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66F2"/>
    <w:rsid w:val="005E69F1"/>
    <w:rsid w:val="005E739F"/>
    <w:rsid w:val="005E7520"/>
    <w:rsid w:val="005F0CAB"/>
    <w:rsid w:val="005F0D66"/>
    <w:rsid w:val="005F0E61"/>
    <w:rsid w:val="005F1861"/>
    <w:rsid w:val="005F2B9A"/>
    <w:rsid w:val="005F2BD7"/>
    <w:rsid w:val="005F3181"/>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416E7"/>
    <w:rsid w:val="006432A5"/>
    <w:rsid w:val="00644070"/>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38D5"/>
    <w:rsid w:val="00723B29"/>
    <w:rsid w:val="00726076"/>
    <w:rsid w:val="00727269"/>
    <w:rsid w:val="007275F8"/>
    <w:rsid w:val="00727962"/>
    <w:rsid w:val="00727BC4"/>
    <w:rsid w:val="00727BFE"/>
    <w:rsid w:val="007306FC"/>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411"/>
    <w:rsid w:val="008743A0"/>
    <w:rsid w:val="00874CD3"/>
    <w:rsid w:val="008759DE"/>
    <w:rsid w:val="00877089"/>
    <w:rsid w:val="00877F6A"/>
    <w:rsid w:val="0088273E"/>
    <w:rsid w:val="00883A60"/>
    <w:rsid w:val="00883F0F"/>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65F7"/>
    <w:rsid w:val="009577FB"/>
    <w:rsid w:val="00960216"/>
    <w:rsid w:val="00960257"/>
    <w:rsid w:val="009603FE"/>
    <w:rsid w:val="00961795"/>
    <w:rsid w:val="00962378"/>
    <w:rsid w:val="00962CB4"/>
    <w:rsid w:val="00963201"/>
    <w:rsid w:val="00963D0F"/>
    <w:rsid w:val="00963DEF"/>
    <w:rsid w:val="00964591"/>
    <w:rsid w:val="0096551F"/>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5023"/>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C01D5"/>
    <w:rsid w:val="009C02FA"/>
    <w:rsid w:val="009C08A1"/>
    <w:rsid w:val="009C0F6A"/>
    <w:rsid w:val="009C1119"/>
    <w:rsid w:val="009C1A8B"/>
    <w:rsid w:val="009C1EAD"/>
    <w:rsid w:val="009C3607"/>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43F"/>
    <w:rsid w:val="00B27F15"/>
    <w:rsid w:val="00B3059B"/>
    <w:rsid w:val="00B32917"/>
    <w:rsid w:val="00B32C50"/>
    <w:rsid w:val="00B3314B"/>
    <w:rsid w:val="00B36610"/>
    <w:rsid w:val="00B36A21"/>
    <w:rsid w:val="00B37CF6"/>
    <w:rsid w:val="00B412A6"/>
    <w:rsid w:val="00B42520"/>
    <w:rsid w:val="00B43956"/>
    <w:rsid w:val="00B4510D"/>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31FD"/>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F4B"/>
    <w:rsid w:val="00BE2111"/>
    <w:rsid w:val="00BE286C"/>
    <w:rsid w:val="00BE3108"/>
    <w:rsid w:val="00BE320A"/>
    <w:rsid w:val="00BE3C86"/>
    <w:rsid w:val="00BE5398"/>
    <w:rsid w:val="00BE6786"/>
    <w:rsid w:val="00BE7242"/>
    <w:rsid w:val="00BF2ABC"/>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16A2"/>
    <w:rsid w:val="00C52197"/>
    <w:rsid w:val="00C5222B"/>
    <w:rsid w:val="00C527C1"/>
    <w:rsid w:val="00C52B66"/>
    <w:rsid w:val="00C53915"/>
    <w:rsid w:val="00C55F2D"/>
    <w:rsid w:val="00C56740"/>
    <w:rsid w:val="00C577AE"/>
    <w:rsid w:val="00C61B66"/>
    <w:rsid w:val="00C61CF0"/>
    <w:rsid w:val="00C625CB"/>
    <w:rsid w:val="00C654BF"/>
    <w:rsid w:val="00C65931"/>
    <w:rsid w:val="00C670CA"/>
    <w:rsid w:val="00C67FD0"/>
    <w:rsid w:val="00C703FE"/>
    <w:rsid w:val="00C70483"/>
    <w:rsid w:val="00C7065B"/>
    <w:rsid w:val="00C70D43"/>
    <w:rsid w:val="00C70DBB"/>
    <w:rsid w:val="00C745A7"/>
    <w:rsid w:val="00C7472D"/>
    <w:rsid w:val="00C74BF9"/>
    <w:rsid w:val="00C77881"/>
    <w:rsid w:val="00C77DD1"/>
    <w:rsid w:val="00C77E1E"/>
    <w:rsid w:val="00C80BD4"/>
    <w:rsid w:val="00C833BA"/>
    <w:rsid w:val="00C83A12"/>
    <w:rsid w:val="00C84C1D"/>
    <w:rsid w:val="00C85E2D"/>
    <w:rsid w:val="00C86304"/>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2048"/>
    <w:rsid w:val="00CC2C14"/>
    <w:rsid w:val="00CC2E48"/>
    <w:rsid w:val="00CC42C8"/>
    <w:rsid w:val="00CC463F"/>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8A8"/>
    <w:rsid w:val="00D558F1"/>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50E8E"/>
    <w:rsid w:val="00E515A9"/>
    <w:rsid w:val="00E51658"/>
    <w:rsid w:val="00E525D7"/>
    <w:rsid w:val="00E52B33"/>
    <w:rsid w:val="00E52B56"/>
    <w:rsid w:val="00E535AF"/>
    <w:rsid w:val="00E55E07"/>
    <w:rsid w:val="00E56AE2"/>
    <w:rsid w:val="00E5738A"/>
    <w:rsid w:val="00E57ADB"/>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5613"/>
    <w:rsid w:val="00F25AE6"/>
    <w:rsid w:val="00F30966"/>
    <w:rsid w:val="00F30BAE"/>
    <w:rsid w:val="00F31777"/>
    <w:rsid w:val="00F31C86"/>
    <w:rsid w:val="00F3224A"/>
    <w:rsid w:val="00F3377A"/>
    <w:rsid w:val="00F348CA"/>
    <w:rsid w:val="00F34CDD"/>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0EFF"/>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74"/>
    <w:rsid w:val="00FA1553"/>
    <w:rsid w:val="00FA55E5"/>
    <w:rsid w:val="00FA5A55"/>
    <w:rsid w:val="00FA7232"/>
    <w:rsid w:val="00FB0122"/>
    <w:rsid w:val="00FB220A"/>
    <w:rsid w:val="00FB29A7"/>
    <w:rsid w:val="00FB2E48"/>
    <w:rsid w:val="00FB5555"/>
    <w:rsid w:val="00FB6124"/>
    <w:rsid w:val="00FB61C8"/>
    <w:rsid w:val="00FB635A"/>
    <w:rsid w:val="00FB64F3"/>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41F4B"/>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uiPriority w:val="99"/>
    <w:rPr>
      <w:rFonts w:ascii="Times New Roman" w:hAnsi="Times New Roman" w:eastAsia="宋体" w:cs="Times New Roman"/>
      <w:kern w:val="2"/>
      <w:sz w:val="21"/>
      <w:szCs w:val="24"/>
      <w:lang w:val="en-US" w:eastAsia="zh-CN" w:bidi="ar-SA"/>
    </w:rPr>
  </w:style>
  <w:style w:type="paragraph" w:customStyle="1" w:styleId="372">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E9064-DC5F-482F-9BEF-77A079F46001}">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55</Pages>
  <Words>25350</Words>
  <Characters>26558</Characters>
  <Lines>207</Lines>
  <Paragraphs>58</Paragraphs>
  <TotalTime>511</TotalTime>
  <ScaleCrop>false</ScaleCrop>
  <LinksUpToDate>false</LinksUpToDate>
  <CharactersWithSpaces>27251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2022-06-05T14:53:00Z</dcterms:created>
  <dc:creator>Administrator</dc:creator>
  <cp:lastModifiedBy>Ccyu.</cp:lastModifiedBy>
  <cp:lastPrinted>2017-04-10T13:36:00Z</cp:lastPrinted>
  <dcterms:modified xsi:type="dcterms:W3CDTF">2022-06-28T01:31:51Z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1FC04EC308BA4B96A973B36AC7C33596</vt:lpwstr>
  </property>
</Properties>
</file>