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81" w:name="_GoBack"/>
      <w:bookmarkEnd w:id="81"/>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0" w:name="_Toc227057880"/>
      <w:r>
        <w:rPr>
          <w:rFonts w:hint="eastAsia" w:ascii="宋体" w:hAnsi="宋体"/>
          <w:sz w:val="44"/>
          <w:szCs w:val="44"/>
        </w:rPr>
        <w:t>栖霞机房传输和配套设备搬迁项目</w:t>
      </w:r>
    </w:p>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1405" w:firstLineChars="500"/>
        <w:jc w:val="center"/>
        <w:rPr>
          <w:b/>
          <w:sz w:val="28"/>
          <w:szCs w:val="28"/>
        </w:rPr>
      </w:pPr>
      <w:r>
        <w:rPr>
          <w:rFonts w:hint="eastAsia"/>
          <w:b/>
          <w:sz w:val="28"/>
          <w:szCs w:val="28"/>
        </w:rPr>
        <w:t>安播运维部</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二〇二二年七月</w:t>
      </w:r>
    </w:p>
    <w:p>
      <w:pPr>
        <w:spacing w:after="120" w:line="360" w:lineRule="auto"/>
        <w:ind w:firstLine="1405" w:firstLineChars="500"/>
        <w:rPr>
          <w:b/>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begin"/>
      </w:r>
      <w:r>
        <w:instrText xml:space="preserve"> PAGEREF _Toc69378616 \h </w:instrText>
      </w:r>
      <w:r>
        <w:fldChar w:fldCharType="separate"/>
      </w:r>
      <w:r>
        <w:t>6</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fldChar w:fldCharType="begin"/>
      </w:r>
      <w:r>
        <w:instrText xml:space="preserve"> PAGEREF _Toc69378617 \h </w:instrText>
      </w:r>
      <w:r>
        <w:fldChar w:fldCharType="separate"/>
      </w:r>
      <w:r>
        <w:t>18</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begin"/>
      </w:r>
      <w:r>
        <w:instrText xml:space="preserve"> PAGEREF _Toc69378618 \h </w:instrText>
      </w:r>
      <w:r>
        <w:fldChar w:fldCharType="separate"/>
      </w:r>
      <w:r>
        <w:t>21</w:t>
      </w:r>
      <w:r>
        <w:fldChar w:fldCharType="end"/>
      </w:r>
      <w:r>
        <w:fldChar w:fldCharType="end"/>
      </w:r>
    </w:p>
    <w:p>
      <w:pPr>
        <w:pStyle w:val="38"/>
        <w:rPr>
          <w:rFonts w:ascii="Calibri" w:hAnsi="Calibri" w:eastAsia="宋体"/>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begin"/>
      </w:r>
      <w:r>
        <w:instrText xml:space="preserve"> PAGEREF _Toc69378637 \h </w:instrText>
      </w:r>
      <w:r>
        <w:fldChar w:fldCharType="separate"/>
      </w:r>
      <w:r>
        <w:t>26</w:t>
      </w:r>
      <w:r>
        <w:fldChar w:fldCharType="end"/>
      </w:r>
      <w:r>
        <w:fldChar w:fldCharType="end"/>
      </w:r>
    </w:p>
    <w:p>
      <w:pPr>
        <w:pStyle w:val="38"/>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fldChar w:fldCharType="begin"/>
      </w:r>
      <w:r>
        <w:instrText xml:space="preserve"> PAGEREF _Toc69378657 \h </w:instrText>
      </w:r>
      <w:r>
        <w:fldChar w:fldCharType="separate"/>
      </w:r>
      <w:r>
        <w:t>34</w:t>
      </w:r>
      <w:r>
        <w:fldChar w:fldCharType="end"/>
      </w:r>
      <w:r>
        <w:fldChar w:fldCharType="end"/>
      </w:r>
    </w:p>
    <w:p>
      <w:pPr>
        <w:pStyle w:val="38"/>
      </w:pPr>
      <w:r>
        <w:fldChar w:fldCharType="begin"/>
      </w:r>
      <w:r>
        <w:instrText xml:space="preserve"> HYPERLINK \l "_Toc69378657" </w:instrText>
      </w:r>
      <w:r>
        <w:fldChar w:fldCharType="separate"/>
      </w:r>
      <w:r>
        <w:rPr>
          <w:rStyle w:val="60"/>
          <w:rFonts w:hint="eastAsia"/>
          <w:b/>
          <w:bCs/>
          <w:kern w:val="44"/>
        </w:rPr>
        <w:t>第七章其他</w:t>
      </w:r>
      <w:r>
        <w:tab/>
      </w:r>
      <w:r>
        <w:t>52</w:t>
      </w:r>
      <w:r>
        <w:fldChar w:fldCharType="end"/>
      </w:r>
    </w:p>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1" w:name="_Toc69378615"/>
      <w:r>
        <w:rPr>
          <w:rFonts w:hint="eastAsia"/>
          <w:b/>
          <w:sz w:val="36"/>
          <w:szCs w:val="36"/>
        </w:rPr>
        <w:t>第一章竞争性磋商公告</w:t>
      </w:r>
      <w:bookmarkEnd w:id="1"/>
    </w:p>
    <w:bookmarkEnd w:id="0"/>
    <w:p>
      <w:pPr>
        <w:spacing w:line="360" w:lineRule="auto"/>
        <w:rPr>
          <w:rFonts w:ascii="宋体" w:hAnsi="宋体"/>
          <w:b/>
          <w:sz w:val="24"/>
        </w:rPr>
      </w:pPr>
      <w:bookmarkStart w:id="2" w:name="_Hlk109392178"/>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w:t>
      </w:r>
      <w:r>
        <w:rPr>
          <w:rFonts w:hint="eastAsia" w:ascii="宋体" w:hAnsi="宋体" w:cs="宋体"/>
          <w:kern w:val="0"/>
          <w:sz w:val="24"/>
          <w:szCs w:val="22"/>
        </w:rPr>
        <w:t>栖霞机房传输和配套设备搬迁项目。</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53"/>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2053" w:type="dxa"/>
            <w:vAlign w:val="center"/>
          </w:tcPr>
          <w:p>
            <w:pPr>
              <w:spacing w:line="400" w:lineRule="exact"/>
              <w:jc w:val="center"/>
              <w:rPr>
                <w:rFonts w:ascii="Calibri" w:hAnsi="Calibri"/>
                <w:b/>
                <w:color w:val="000000"/>
                <w:szCs w:val="21"/>
              </w:rPr>
            </w:pPr>
            <w:r>
              <w:rPr>
                <w:rFonts w:hint="eastAsia" w:ascii="Calibri" w:hAnsi="Calibri"/>
                <w:b/>
                <w:color w:val="000000"/>
                <w:szCs w:val="21"/>
              </w:rPr>
              <w:t>名称</w:t>
            </w:r>
          </w:p>
        </w:tc>
        <w:tc>
          <w:tcPr>
            <w:tcW w:w="993"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c>
          <w:tcPr>
            <w:tcW w:w="4961" w:type="dxa"/>
            <w:vAlign w:val="center"/>
          </w:tcPr>
          <w:p>
            <w:pPr>
              <w:spacing w:line="400" w:lineRule="exact"/>
              <w:jc w:val="center"/>
              <w:rPr>
                <w:rFonts w:ascii="Calibri" w:hAnsi="Calibri"/>
                <w:b/>
                <w:color w:val="000000"/>
                <w:szCs w:val="21"/>
              </w:rPr>
            </w:pPr>
            <w:r>
              <w:rPr>
                <w:rFonts w:hint="eastAsia" w:ascii="Calibri" w:hAnsi="Calibri"/>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679" w:type="dxa"/>
            <w:vAlign w:val="center"/>
          </w:tcPr>
          <w:p>
            <w:pPr>
              <w:spacing w:line="400" w:lineRule="exact"/>
              <w:jc w:val="center"/>
              <w:rPr>
                <w:color w:val="000000"/>
                <w:szCs w:val="21"/>
              </w:rPr>
            </w:pPr>
            <w:r>
              <w:rPr>
                <w:color w:val="000000"/>
                <w:szCs w:val="21"/>
              </w:rPr>
              <w:t>1</w:t>
            </w:r>
          </w:p>
        </w:tc>
        <w:tc>
          <w:tcPr>
            <w:tcW w:w="2053" w:type="dxa"/>
            <w:vAlign w:val="center"/>
          </w:tcPr>
          <w:p>
            <w:pPr>
              <w:spacing w:line="400" w:lineRule="exact"/>
              <w:jc w:val="center"/>
              <w:rPr>
                <w:color w:val="000000"/>
                <w:szCs w:val="21"/>
              </w:rPr>
            </w:pPr>
            <w:r>
              <w:rPr>
                <w:rFonts w:hint="eastAsia" w:ascii="宋体" w:hAnsi="宋体"/>
              </w:rPr>
              <w:t>栖霞机房传输和配套设备搬迁项目</w:t>
            </w:r>
          </w:p>
        </w:tc>
        <w:tc>
          <w:tcPr>
            <w:tcW w:w="993" w:type="dxa"/>
            <w:vAlign w:val="center"/>
          </w:tcPr>
          <w:p>
            <w:pPr>
              <w:spacing w:line="400" w:lineRule="exact"/>
              <w:jc w:val="center"/>
              <w:rPr>
                <w:color w:val="000000"/>
                <w:szCs w:val="21"/>
              </w:rPr>
            </w:pPr>
            <w:r>
              <w:rPr>
                <w:rFonts w:hint="eastAsia"/>
                <w:color w:val="000000"/>
                <w:szCs w:val="21"/>
              </w:rPr>
              <w:t>1套</w:t>
            </w:r>
          </w:p>
        </w:tc>
        <w:tc>
          <w:tcPr>
            <w:tcW w:w="4961" w:type="dxa"/>
            <w:vAlign w:val="center"/>
          </w:tcPr>
          <w:p>
            <w:r>
              <w:rPr>
                <w:rFonts w:hint="eastAsia" w:ascii="宋体" w:hAnsi="宋体"/>
                <w:szCs w:val="21"/>
              </w:rPr>
              <w:t>本项目为交钥匙工程，供应商须提供所需的人工、工具、机械和辅助材料等，按照采购人要求完成项目全部软硬件施工和业务调测，需搬迁设备包括：2个OSN</w:t>
            </w:r>
            <w:r>
              <w:rPr>
                <w:rFonts w:ascii="宋体" w:hAnsi="宋体"/>
                <w:szCs w:val="21"/>
              </w:rPr>
              <w:t>6800</w:t>
            </w:r>
            <w:r>
              <w:rPr>
                <w:rFonts w:hint="eastAsia" w:ascii="宋体" w:hAnsi="宋体"/>
                <w:szCs w:val="21"/>
              </w:rPr>
              <w:t>机柜、1个中恒通信电源柜、2</w:t>
            </w:r>
            <w:r>
              <w:rPr>
                <w:rFonts w:ascii="宋体" w:hAnsi="宋体"/>
                <w:szCs w:val="21"/>
              </w:rPr>
              <w:t>4</w:t>
            </w:r>
            <w:r>
              <w:rPr>
                <w:rFonts w:hint="eastAsia" w:ascii="宋体" w:hAnsi="宋体"/>
                <w:szCs w:val="21"/>
              </w:rPr>
              <w:t>节电池、1台信源交换机、1台码流分析仪、1台ODF柜。</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3"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3"/>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2022年7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25日至2022年7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29日止，每日上午9：00-12：00，下午14：00-17：00（北京时间，节假日除外）。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发放方式：竞争性磋商文件在报名后自行下载，请响应人联系采购人项目联系人进行报名登记（参考竞争性磋商文件第七章响应确认信息表），具体报名方式为将确认磋商函加盖公司公章同时发至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2022年7</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29日下午17:00再登记的视为无效。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eastAsia="微软雅黑"/>
          <w:color w:val="191919"/>
          <w:kern w:val="0"/>
          <w:sz w:val="24"/>
          <w:shd w:val="clear" w:color="auto" w:fill="FFFFFF"/>
        </w:rPr>
        <w:t>2022</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8</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3</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eastAsia="微软雅黑"/>
          <w:color w:val="191919"/>
          <w:kern w:val="0"/>
          <w:sz w:val="24"/>
          <w:shd w:val="clear" w:color="auto" w:fill="FFFFFF"/>
        </w:rPr>
        <w:t>2022</w:t>
      </w:r>
      <w:r>
        <w:rPr>
          <w:rFonts w:hint="eastAsia" w:ascii="宋体" w:hAnsi="宋体" w:cs="宋体"/>
          <w:color w:val="191919"/>
          <w:kern w:val="0"/>
          <w:sz w:val="24"/>
          <w:shd w:val="clear" w:color="auto" w:fill="FFFFFF"/>
        </w:rPr>
        <w:t>年</w:t>
      </w:r>
      <w:r>
        <w:rPr>
          <w:rFonts w:eastAsia="微软雅黑"/>
          <w:color w:val="191919"/>
          <w:kern w:val="0"/>
          <w:sz w:val="24"/>
          <w:shd w:val="clear" w:color="auto" w:fill="FFFFFF"/>
        </w:rPr>
        <w:t>8</w:t>
      </w:r>
      <w:r>
        <w:rPr>
          <w:rFonts w:hint="eastAsia" w:ascii="宋体" w:hAnsi="宋体" w:cs="宋体"/>
          <w:color w:val="191919"/>
          <w:kern w:val="0"/>
          <w:sz w:val="24"/>
          <w:shd w:val="clear" w:color="auto" w:fill="FFFFFF"/>
        </w:rPr>
        <w:t>月</w:t>
      </w:r>
      <w:r>
        <w:rPr>
          <w:rFonts w:eastAsia="微软雅黑"/>
          <w:color w:val="191919"/>
          <w:kern w:val="0"/>
          <w:sz w:val="24"/>
          <w:shd w:val="clear" w:color="auto" w:fill="FFFFFF"/>
        </w:rPr>
        <w:t>3</w:t>
      </w:r>
      <w:r>
        <w:rPr>
          <w:rFonts w:hint="eastAsia" w:ascii="宋体" w:hAnsi="宋体" w:cs="宋体"/>
          <w:color w:val="191919"/>
          <w:kern w:val="0"/>
          <w:sz w:val="24"/>
          <w:shd w:val="clear" w:color="auto" w:fill="FFFFFF"/>
        </w:rPr>
        <w:t>日下午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cs="宋体"/>
          <w:bCs/>
          <w:sz w:val="24"/>
        </w:rPr>
      </w:pPr>
      <w:r>
        <w:rPr>
          <w:rFonts w:hint="eastAsia" w:ascii="宋体" w:cs="宋体"/>
          <w:bCs/>
          <w:sz w:val="24"/>
        </w:rPr>
        <w:t>由于疫情防控要求，本项目在供应商无法到达现场时可采取远程谈判形式（详见</w:t>
      </w:r>
      <w:r>
        <w:rPr>
          <w:rFonts w:hint="eastAsia" w:ascii="宋体" w:hAnsi="宋体" w:cs="宋体"/>
          <w:color w:val="191919"/>
          <w:kern w:val="0"/>
          <w:sz w:val="24"/>
          <w:shd w:val="clear" w:color="auto" w:fill="FFFFFF"/>
        </w:rPr>
        <w:t>竞争性磋商文件第七章</w:t>
      </w:r>
      <w:r>
        <w:rPr>
          <w:rFonts w:hint="eastAsia" w:ascii="宋体" w:cs="宋体"/>
          <w:bCs/>
          <w:sz w:val="24"/>
        </w:rPr>
        <w:t>）。供应商按规定时间先将响应文件盖章扫描件（PDF文档）加密后发至采购人信箱，并在谈判现场告知采购人密码，由采购人现场解密。完成谈判后，供应商须将响应文件及最终承诺的纸质版在谈判完成一周内寄至采购人所在地。如邮寄发出地为中高风险区须事先通过电子邮件告知采购人。联系人：李晶；联系电话：025-86731</w:t>
      </w:r>
      <w:r>
        <w:rPr>
          <w:rFonts w:ascii="宋体" w:cs="宋体"/>
          <w:bCs/>
          <w:sz w:val="24"/>
        </w:rPr>
        <w:t>692</w:t>
      </w:r>
      <w:r>
        <w:rPr>
          <w:rFonts w:hint="eastAsia" w:ascii="宋体" w:cs="宋体"/>
          <w:bCs/>
          <w:sz w:val="24"/>
        </w:rPr>
        <w:t>；电子邮箱:</w:t>
      </w:r>
      <w:r>
        <w:t xml:space="preserve"> </w:t>
      </w:r>
      <w:r>
        <w:rPr>
          <w:rFonts w:ascii="宋体" w:cs="宋体"/>
          <w:bCs/>
          <w:sz w:val="24"/>
        </w:rPr>
        <w:t>lijing@jscnnet.com</w:t>
      </w:r>
      <w:r>
        <w:rPr>
          <w:rFonts w:hint="eastAsia" w:ascii="宋体" w:cs="宋体"/>
          <w:bCs/>
          <w:sz w:val="24"/>
        </w:rPr>
        <w:t>，地址：江苏省南京市运粮河西路101号麒麟科技创新园江苏有线三网融合枢纽中心二号楼；响应文件盖章扫描件（PDF文档）发送截止时间为2022年7月xx日下午</w:t>
      </w:r>
      <w:r>
        <w:rPr>
          <w:rFonts w:ascii="宋体" w:cs="宋体"/>
          <w:bCs/>
          <w:sz w:val="24"/>
        </w:rPr>
        <w:t>14</w:t>
      </w:r>
      <w:r>
        <w:rPr>
          <w:rFonts w:hint="eastAsia" w:ascii="宋体" w:cs="宋体"/>
          <w:bCs/>
          <w:sz w:val="24"/>
        </w:rPr>
        <w:t>:</w:t>
      </w:r>
      <w:r>
        <w:rPr>
          <w:rFonts w:ascii="宋体" w:cs="宋体"/>
          <w:bCs/>
          <w:sz w:val="24"/>
        </w:rPr>
        <w:t>0</w:t>
      </w:r>
      <w:r>
        <w:rPr>
          <w:rFonts w:hint="eastAsia" w:ascii="宋体" w:cs="宋体"/>
          <w:bCs/>
          <w:sz w:val="24"/>
        </w:rPr>
        <w:t>0，随后组磋商。</w:t>
      </w:r>
    </w:p>
    <w:p>
      <w:pPr>
        <w:widowControl/>
        <w:spacing w:line="360" w:lineRule="auto"/>
        <w:jc w:val="left"/>
        <w:rPr>
          <w:rFonts w:ascii="宋体" w:cs="宋体"/>
          <w:bCs/>
          <w:sz w:val="24"/>
        </w:rPr>
      </w:pPr>
    </w:p>
    <w:p>
      <w:pPr>
        <w:widowControl/>
        <w:spacing w:line="360" w:lineRule="auto"/>
        <w:ind w:firstLine="424" w:firstLineChars="177"/>
        <w:jc w:val="left"/>
        <w:rPr>
          <w:rFonts w:ascii="宋体" w:hAnsi="宋体"/>
          <w:sz w:val="24"/>
        </w:rPr>
      </w:pPr>
      <w:r>
        <w:rPr>
          <w:rFonts w:hint="eastAsia" w:ascii="宋体" w:cs="宋体"/>
          <w:bCs/>
          <w:sz w:val="24"/>
        </w:rPr>
        <w:t>有关本次磋商的事项若存在变动或修改，敬请及时关注网上发布的信息更正公告</w:t>
      </w:r>
      <w:bookmarkStart w:id="4" w:name="bookmark1"/>
      <w:bookmarkEnd w:id="4"/>
      <w:r>
        <w:rPr>
          <w:rFonts w:hint="eastAsia" w:ascii="宋体" w:cs="宋体"/>
          <w:bCs/>
          <w:sz w:val="24"/>
        </w:rPr>
        <w:t>。</w:t>
      </w:r>
      <w:bookmarkEnd w:id="2"/>
      <w:r>
        <w:rPr>
          <w:rFonts w:ascii="宋体" w:hAnsi="宋体"/>
          <w:sz w:val="24"/>
        </w:rPr>
        <w:br w:type="page"/>
      </w:r>
    </w:p>
    <w:p>
      <w:pPr>
        <w:pStyle w:val="3"/>
        <w:numPr>
          <w:ilvl w:val="0"/>
          <w:numId w:val="0"/>
        </w:numPr>
        <w:spacing w:before="0" w:after="0" w:line="360" w:lineRule="auto"/>
        <w:rPr>
          <w:b/>
          <w:sz w:val="36"/>
          <w:szCs w:val="36"/>
        </w:rPr>
      </w:pPr>
      <w:bookmarkStart w:id="5" w:name="_Toc226969276"/>
      <w:bookmarkStart w:id="6" w:name="_Toc107822483"/>
      <w:bookmarkStart w:id="7" w:name="_Toc69378616"/>
      <w:bookmarkStart w:id="8" w:name="_Toc227057883"/>
      <w:r>
        <w:rPr>
          <w:rFonts w:hint="eastAsia"/>
          <w:b/>
          <w:sz w:val="36"/>
          <w:szCs w:val="36"/>
        </w:rPr>
        <w:t>第二章竞争性磋商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30"/>
        <w:gridCol w:w="838"/>
        <w:gridCol w:w="1349"/>
        <w:gridCol w:w="6037"/>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tcBorders>
              <w:top w:val="single" w:color="auto" w:sz="6" w:space="0"/>
            </w:tcBorders>
            <w:vAlign w:val="center"/>
          </w:tcPr>
          <w:p>
            <w:pPr>
              <w:jc w:val="center"/>
              <w:rPr>
                <w:b/>
                <w:sz w:val="24"/>
              </w:rPr>
            </w:pPr>
            <w:r>
              <w:rPr>
                <w:rFonts w:hint="eastAsia"/>
                <w:b/>
                <w:sz w:val="24"/>
              </w:rPr>
              <w:t>序号</w:t>
            </w:r>
          </w:p>
        </w:tc>
        <w:tc>
          <w:tcPr>
            <w:tcW w:w="473" w:type="pct"/>
            <w:tcBorders>
              <w:top w:val="single" w:color="auto" w:sz="6" w:space="0"/>
            </w:tcBorders>
            <w:vAlign w:val="center"/>
          </w:tcPr>
          <w:p>
            <w:pPr>
              <w:jc w:val="center"/>
              <w:rPr>
                <w:b/>
                <w:sz w:val="24"/>
              </w:rPr>
            </w:pPr>
            <w:r>
              <w:rPr>
                <w:rFonts w:hint="eastAsia"/>
                <w:b/>
                <w:sz w:val="24"/>
              </w:rPr>
              <w:t>条款号</w:t>
            </w:r>
          </w:p>
        </w:tc>
        <w:tc>
          <w:tcPr>
            <w:tcW w:w="762" w:type="pct"/>
            <w:tcBorders>
              <w:top w:val="single" w:color="auto" w:sz="6" w:space="0"/>
            </w:tcBorders>
            <w:vAlign w:val="center"/>
          </w:tcPr>
          <w:p>
            <w:pPr>
              <w:jc w:val="center"/>
              <w:rPr>
                <w:b/>
                <w:sz w:val="24"/>
              </w:rPr>
            </w:pPr>
            <w:r>
              <w:rPr>
                <w:rFonts w:hint="eastAsia"/>
                <w:b/>
                <w:sz w:val="24"/>
              </w:rPr>
              <w:t>内容</w:t>
            </w:r>
          </w:p>
        </w:tc>
        <w:tc>
          <w:tcPr>
            <w:tcW w:w="3409" w:type="pct"/>
            <w:tcBorders>
              <w:top w:val="single" w:color="auto" w:sz="6" w:space="0"/>
            </w:tcBorders>
            <w:vAlign w:val="center"/>
          </w:tcPr>
          <w:p>
            <w:pPr>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w:t>
            </w:r>
          </w:p>
        </w:tc>
        <w:tc>
          <w:tcPr>
            <w:tcW w:w="473" w:type="pct"/>
            <w:vAlign w:val="center"/>
          </w:tcPr>
          <w:p>
            <w:pPr>
              <w:jc w:val="center"/>
              <w:rPr>
                <w:sz w:val="24"/>
              </w:rPr>
            </w:pPr>
            <w:r>
              <w:rPr>
                <w:sz w:val="24"/>
              </w:rPr>
              <w:t>1.1</w:t>
            </w:r>
          </w:p>
        </w:tc>
        <w:tc>
          <w:tcPr>
            <w:tcW w:w="762" w:type="pct"/>
            <w:vAlign w:val="center"/>
          </w:tcPr>
          <w:p>
            <w:pPr>
              <w:jc w:val="center"/>
              <w:rPr>
                <w:sz w:val="24"/>
              </w:rPr>
            </w:pPr>
            <w:r>
              <w:rPr>
                <w:rFonts w:hint="eastAsia"/>
                <w:sz w:val="24"/>
              </w:rPr>
              <w:t>采购人</w:t>
            </w:r>
          </w:p>
        </w:tc>
        <w:tc>
          <w:tcPr>
            <w:tcW w:w="3409" w:type="pct"/>
            <w:vAlign w:val="center"/>
          </w:tcPr>
          <w:p>
            <w:pPr>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2</w:t>
            </w:r>
          </w:p>
        </w:tc>
        <w:tc>
          <w:tcPr>
            <w:tcW w:w="473" w:type="pct"/>
            <w:vAlign w:val="center"/>
          </w:tcPr>
          <w:p>
            <w:pPr>
              <w:jc w:val="center"/>
              <w:rPr>
                <w:sz w:val="24"/>
              </w:rPr>
            </w:pPr>
            <w:r>
              <w:rPr>
                <w:sz w:val="24"/>
              </w:rPr>
              <w:t>1.2</w:t>
            </w:r>
          </w:p>
        </w:tc>
        <w:tc>
          <w:tcPr>
            <w:tcW w:w="762" w:type="pct"/>
            <w:vAlign w:val="center"/>
          </w:tcPr>
          <w:p>
            <w:pPr>
              <w:jc w:val="center"/>
              <w:rPr>
                <w:sz w:val="24"/>
              </w:rPr>
            </w:pPr>
            <w:r>
              <w:rPr>
                <w:rFonts w:hint="eastAsia"/>
                <w:sz w:val="24"/>
              </w:rPr>
              <w:t>代理机构</w:t>
            </w:r>
          </w:p>
        </w:tc>
        <w:tc>
          <w:tcPr>
            <w:tcW w:w="3409" w:type="pct"/>
            <w:vAlign w:val="center"/>
          </w:tcPr>
          <w:p>
            <w:pPr>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56" w:type="pct"/>
            <w:vAlign w:val="center"/>
          </w:tcPr>
          <w:p>
            <w:pPr>
              <w:jc w:val="center"/>
              <w:rPr>
                <w:sz w:val="24"/>
              </w:rPr>
            </w:pPr>
            <w:r>
              <w:rPr>
                <w:sz w:val="24"/>
              </w:rPr>
              <w:t>3</w:t>
            </w:r>
          </w:p>
        </w:tc>
        <w:tc>
          <w:tcPr>
            <w:tcW w:w="473" w:type="pct"/>
            <w:vAlign w:val="center"/>
          </w:tcPr>
          <w:p>
            <w:pPr>
              <w:jc w:val="center"/>
              <w:rPr>
                <w:sz w:val="24"/>
              </w:rPr>
            </w:pPr>
            <w:r>
              <w:rPr>
                <w:sz w:val="24"/>
              </w:rPr>
              <w:t>1.3</w:t>
            </w:r>
          </w:p>
        </w:tc>
        <w:tc>
          <w:tcPr>
            <w:tcW w:w="762" w:type="pct"/>
            <w:vAlign w:val="center"/>
          </w:tcPr>
          <w:p>
            <w:pPr>
              <w:jc w:val="center"/>
              <w:rPr>
                <w:sz w:val="24"/>
              </w:rPr>
            </w:pPr>
            <w:r>
              <w:rPr>
                <w:rFonts w:hint="eastAsia"/>
                <w:sz w:val="24"/>
              </w:rPr>
              <w:t>合格的供应商</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4</w:t>
            </w:r>
          </w:p>
        </w:tc>
        <w:tc>
          <w:tcPr>
            <w:tcW w:w="473" w:type="pct"/>
            <w:vAlign w:val="center"/>
          </w:tcPr>
          <w:p>
            <w:pPr>
              <w:jc w:val="center"/>
              <w:rPr>
                <w:sz w:val="24"/>
              </w:rPr>
            </w:pPr>
            <w:r>
              <w:rPr>
                <w:sz w:val="24"/>
              </w:rPr>
              <w:t>20.1</w:t>
            </w:r>
          </w:p>
        </w:tc>
        <w:tc>
          <w:tcPr>
            <w:tcW w:w="762" w:type="pct"/>
            <w:vAlign w:val="center"/>
          </w:tcPr>
          <w:p>
            <w:pPr>
              <w:jc w:val="center"/>
              <w:rPr>
                <w:sz w:val="24"/>
              </w:rPr>
            </w:pPr>
            <w:r>
              <w:rPr>
                <w:rFonts w:hint="eastAsia"/>
                <w:sz w:val="24"/>
              </w:rPr>
              <w:t>保密</w:t>
            </w:r>
          </w:p>
        </w:tc>
        <w:tc>
          <w:tcPr>
            <w:tcW w:w="3409" w:type="pct"/>
            <w:vAlign w:val="center"/>
          </w:tcPr>
          <w:p>
            <w:pPr>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5</w:t>
            </w:r>
          </w:p>
        </w:tc>
        <w:tc>
          <w:tcPr>
            <w:tcW w:w="473" w:type="pct"/>
            <w:vAlign w:val="center"/>
          </w:tcPr>
          <w:p>
            <w:pPr>
              <w:jc w:val="center"/>
              <w:rPr>
                <w:sz w:val="24"/>
              </w:rPr>
            </w:pPr>
            <w:r>
              <w:rPr>
                <w:sz w:val="24"/>
              </w:rPr>
              <w:t>7.1</w:t>
            </w:r>
          </w:p>
          <w:p>
            <w:pPr>
              <w:jc w:val="center"/>
              <w:rPr>
                <w:sz w:val="24"/>
              </w:rPr>
            </w:pPr>
            <w:r>
              <w:rPr>
                <w:rFonts w:hint="eastAsia"/>
                <w:sz w:val="24"/>
              </w:rPr>
              <w:t>2）</w:t>
            </w:r>
          </w:p>
        </w:tc>
        <w:tc>
          <w:tcPr>
            <w:tcW w:w="762" w:type="pct"/>
            <w:vAlign w:val="center"/>
          </w:tcPr>
          <w:p>
            <w:pPr>
              <w:jc w:val="center"/>
              <w:rPr>
                <w:sz w:val="24"/>
              </w:rPr>
            </w:pPr>
            <w:r>
              <w:rPr>
                <w:rFonts w:hint="eastAsia"/>
                <w:sz w:val="24"/>
              </w:rPr>
              <w:t>经第三方审计的财务报表</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6</w:t>
            </w:r>
          </w:p>
        </w:tc>
        <w:tc>
          <w:tcPr>
            <w:tcW w:w="473" w:type="pct"/>
            <w:vAlign w:val="center"/>
          </w:tcPr>
          <w:p>
            <w:pPr>
              <w:jc w:val="center"/>
              <w:rPr>
                <w:sz w:val="24"/>
              </w:rPr>
            </w:pPr>
            <w:r>
              <w:rPr>
                <w:sz w:val="24"/>
              </w:rPr>
              <w:t>7.1</w:t>
            </w:r>
          </w:p>
          <w:p>
            <w:pPr>
              <w:jc w:val="center"/>
              <w:rPr>
                <w:sz w:val="24"/>
              </w:rPr>
            </w:pPr>
            <w:r>
              <w:rPr>
                <w:rFonts w:hint="eastAsia"/>
                <w:sz w:val="24"/>
              </w:rPr>
              <w:t>3）</w:t>
            </w:r>
          </w:p>
        </w:tc>
        <w:tc>
          <w:tcPr>
            <w:tcW w:w="762" w:type="pct"/>
            <w:vAlign w:val="center"/>
          </w:tcPr>
          <w:p>
            <w:pPr>
              <w:jc w:val="center"/>
              <w:rPr>
                <w:sz w:val="24"/>
              </w:rPr>
            </w:pPr>
            <w:r>
              <w:rPr>
                <w:rFonts w:hint="eastAsia"/>
                <w:sz w:val="24"/>
              </w:rPr>
              <w:t>响应文件的技术部分中必须包括的内容</w:t>
            </w:r>
          </w:p>
        </w:tc>
        <w:tc>
          <w:tcPr>
            <w:tcW w:w="3409" w:type="pct"/>
          </w:tcPr>
          <w:p>
            <w:pPr>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7</w:t>
            </w:r>
          </w:p>
        </w:tc>
        <w:tc>
          <w:tcPr>
            <w:tcW w:w="473" w:type="pct"/>
            <w:vAlign w:val="center"/>
          </w:tcPr>
          <w:p>
            <w:pPr>
              <w:jc w:val="center"/>
              <w:rPr>
                <w:sz w:val="24"/>
              </w:rPr>
            </w:pPr>
            <w:r>
              <w:rPr>
                <w:sz w:val="24"/>
              </w:rPr>
              <w:t>7.1</w:t>
            </w:r>
          </w:p>
          <w:p>
            <w:pPr>
              <w:jc w:val="center"/>
              <w:rPr>
                <w:sz w:val="24"/>
              </w:rPr>
            </w:pPr>
            <w:r>
              <w:rPr>
                <w:rFonts w:hint="eastAsia"/>
                <w:sz w:val="24"/>
              </w:rPr>
              <w:t>6）</w:t>
            </w:r>
          </w:p>
        </w:tc>
        <w:tc>
          <w:tcPr>
            <w:tcW w:w="762" w:type="pct"/>
            <w:vAlign w:val="center"/>
          </w:tcPr>
          <w:p>
            <w:pPr>
              <w:jc w:val="center"/>
              <w:rPr>
                <w:sz w:val="24"/>
              </w:rPr>
            </w:pPr>
            <w:r>
              <w:rPr>
                <w:rFonts w:hint="eastAsia"/>
                <w:sz w:val="24"/>
              </w:rPr>
              <w:t>合同文本的提供</w:t>
            </w:r>
          </w:p>
        </w:tc>
        <w:tc>
          <w:tcPr>
            <w:tcW w:w="3409" w:type="pct"/>
            <w:vAlign w:val="center"/>
          </w:tcPr>
          <w:p>
            <w:pPr>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8</w:t>
            </w:r>
          </w:p>
        </w:tc>
        <w:tc>
          <w:tcPr>
            <w:tcW w:w="473" w:type="pct"/>
            <w:vAlign w:val="center"/>
          </w:tcPr>
          <w:p>
            <w:pPr>
              <w:jc w:val="center"/>
              <w:rPr>
                <w:sz w:val="24"/>
              </w:rPr>
            </w:pPr>
            <w:r>
              <w:rPr>
                <w:sz w:val="24"/>
              </w:rPr>
              <w:t>8.1</w:t>
            </w:r>
          </w:p>
        </w:tc>
        <w:tc>
          <w:tcPr>
            <w:tcW w:w="762" w:type="pct"/>
            <w:vAlign w:val="center"/>
          </w:tcPr>
          <w:p>
            <w:pPr>
              <w:jc w:val="center"/>
              <w:rPr>
                <w:sz w:val="24"/>
              </w:rPr>
            </w:pPr>
            <w:r>
              <w:rPr>
                <w:rFonts w:hint="eastAsia"/>
                <w:sz w:val="24"/>
              </w:rPr>
              <w:t>响应文件的式样和签署</w:t>
            </w:r>
          </w:p>
        </w:tc>
        <w:tc>
          <w:tcPr>
            <w:tcW w:w="3409" w:type="pct"/>
            <w:vAlign w:val="center"/>
          </w:tcPr>
          <w:p>
            <w:pPr>
              <w:rPr>
                <w:sz w:val="24"/>
              </w:rPr>
            </w:pPr>
            <w:r>
              <w:rPr>
                <w:rFonts w:hint="eastAsia"/>
                <w:sz w:val="24"/>
              </w:rPr>
              <w:t>响应文件一式</w:t>
            </w:r>
            <w:r>
              <w:rPr>
                <w:sz w:val="24"/>
              </w:rPr>
              <w:t>3</w:t>
            </w:r>
            <w:r>
              <w:rPr>
                <w:rFonts w:hint="eastAsia"/>
                <w:sz w:val="24"/>
              </w:rPr>
              <w:t>份（</w:t>
            </w:r>
            <w:r>
              <w:rPr>
                <w:sz w:val="24"/>
              </w:rPr>
              <w:t>1</w:t>
            </w:r>
            <w:r>
              <w:rPr>
                <w:rFonts w:hint="eastAsia"/>
                <w:sz w:val="24"/>
              </w:rPr>
              <w:t>份正本、</w:t>
            </w:r>
            <w:r>
              <w:rPr>
                <w:sz w:val="24"/>
              </w:rPr>
              <w:t>2</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9</w:t>
            </w:r>
          </w:p>
        </w:tc>
        <w:tc>
          <w:tcPr>
            <w:tcW w:w="473" w:type="pct"/>
            <w:vAlign w:val="center"/>
          </w:tcPr>
          <w:p>
            <w:pPr>
              <w:jc w:val="center"/>
              <w:rPr>
                <w:sz w:val="24"/>
              </w:rPr>
            </w:pPr>
            <w:r>
              <w:rPr>
                <w:sz w:val="24"/>
              </w:rPr>
              <w:t>9.1</w:t>
            </w:r>
          </w:p>
        </w:tc>
        <w:tc>
          <w:tcPr>
            <w:tcW w:w="762" w:type="pct"/>
            <w:vAlign w:val="center"/>
          </w:tcPr>
          <w:p>
            <w:pPr>
              <w:jc w:val="center"/>
              <w:rPr>
                <w:sz w:val="24"/>
              </w:rPr>
            </w:pPr>
            <w:r>
              <w:rPr>
                <w:rFonts w:hint="eastAsia"/>
                <w:sz w:val="24"/>
              </w:rPr>
              <w:t>报价</w:t>
            </w:r>
          </w:p>
        </w:tc>
        <w:tc>
          <w:tcPr>
            <w:tcW w:w="3409" w:type="pct"/>
            <w:vAlign w:val="center"/>
          </w:tcPr>
          <w:p>
            <w:pPr>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10</w:t>
            </w:r>
          </w:p>
        </w:tc>
        <w:tc>
          <w:tcPr>
            <w:tcW w:w="473" w:type="pct"/>
            <w:vAlign w:val="center"/>
          </w:tcPr>
          <w:p>
            <w:pPr>
              <w:jc w:val="center"/>
              <w:rPr>
                <w:sz w:val="24"/>
              </w:rPr>
            </w:pPr>
          </w:p>
        </w:tc>
        <w:tc>
          <w:tcPr>
            <w:tcW w:w="762" w:type="pct"/>
            <w:vAlign w:val="center"/>
          </w:tcPr>
          <w:p>
            <w:pPr>
              <w:jc w:val="center"/>
              <w:rPr>
                <w:sz w:val="24"/>
              </w:rPr>
            </w:pPr>
            <w:r>
              <w:rPr>
                <w:rFonts w:hint="eastAsia"/>
                <w:sz w:val="24"/>
              </w:rPr>
              <w:t>响应文件的盖章或签字</w:t>
            </w:r>
          </w:p>
        </w:tc>
        <w:tc>
          <w:tcPr>
            <w:tcW w:w="3409" w:type="pct"/>
            <w:vAlign w:val="center"/>
          </w:tcPr>
          <w:p>
            <w:pPr>
              <w:rPr>
                <w:sz w:val="24"/>
              </w:rPr>
            </w:pPr>
            <w:r>
              <w:rPr>
                <w:rFonts w:hint="eastAsia"/>
                <w:sz w:val="24"/>
              </w:rPr>
              <w:t>本条款增加规定：</w:t>
            </w:r>
          </w:p>
          <w:p>
            <w:pPr>
              <w:rPr>
                <w:sz w:val="24"/>
              </w:rPr>
            </w:pPr>
            <w:r>
              <w:rPr>
                <w:rFonts w:hint="eastAsia"/>
                <w:sz w:val="24"/>
              </w:rPr>
              <w:t>（1）竞争性磋商文件第六章“响应文件格式”中有单位名称和法定代表人或其委托代理人签字落款的响应文件必须加盖单位公章。</w:t>
            </w:r>
          </w:p>
          <w:p>
            <w:pPr>
              <w:rPr>
                <w:sz w:val="24"/>
              </w:rPr>
            </w:pPr>
            <w:r>
              <w:rPr>
                <w:rFonts w:hint="eastAsia"/>
                <w:sz w:val="24"/>
              </w:rPr>
              <w:t>（2）除上述文件以外的其他响应文件组成部分必须加盖骑缝章（骑缝章必须覆盖所有响应文件），或由法定代表人或其委托代理人逐页手签。</w:t>
            </w:r>
          </w:p>
          <w:p>
            <w:pPr>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11</w:t>
            </w:r>
          </w:p>
        </w:tc>
        <w:tc>
          <w:tcPr>
            <w:tcW w:w="473" w:type="pct"/>
            <w:vAlign w:val="center"/>
          </w:tcPr>
          <w:p>
            <w:pPr>
              <w:jc w:val="center"/>
              <w:rPr>
                <w:sz w:val="24"/>
              </w:rPr>
            </w:pPr>
            <w:r>
              <w:rPr>
                <w:sz w:val="24"/>
              </w:rPr>
              <w:t>10.1</w:t>
            </w:r>
          </w:p>
        </w:tc>
        <w:tc>
          <w:tcPr>
            <w:tcW w:w="762" w:type="pct"/>
            <w:vAlign w:val="center"/>
          </w:tcPr>
          <w:p>
            <w:pPr>
              <w:jc w:val="center"/>
              <w:rPr>
                <w:sz w:val="24"/>
              </w:rPr>
            </w:pPr>
            <w:r>
              <w:rPr>
                <w:rFonts w:hint="eastAsia"/>
                <w:sz w:val="24"/>
              </w:rPr>
              <w:t>响应有效期</w:t>
            </w:r>
          </w:p>
        </w:tc>
        <w:tc>
          <w:tcPr>
            <w:tcW w:w="3409" w:type="pct"/>
            <w:vAlign w:val="center"/>
          </w:tcPr>
          <w:p>
            <w:pPr>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56" w:type="pct"/>
            <w:vAlign w:val="center"/>
          </w:tcPr>
          <w:p>
            <w:pPr>
              <w:jc w:val="center"/>
              <w:rPr>
                <w:sz w:val="24"/>
              </w:rPr>
            </w:pPr>
            <w:r>
              <w:rPr>
                <w:sz w:val="24"/>
              </w:rPr>
              <w:t>12</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递交响应文件截止时间</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56" w:type="pct"/>
            <w:vAlign w:val="center"/>
          </w:tcPr>
          <w:p>
            <w:pPr>
              <w:jc w:val="center"/>
              <w:rPr>
                <w:sz w:val="24"/>
              </w:rPr>
            </w:pPr>
            <w:r>
              <w:rPr>
                <w:sz w:val="24"/>
              </w:rPr>
              <w:t>13</w:t>
            </w:r>
          </w:p>
        </w:tc>
        <w:tc>
          <w:tcPr>
            <w:tcW w:w="473" w:type="pct"/>
            <w:vAlign w:val="center"/>
          </w:tcPr>
          <w:p>
            <w:pPr>
              <w:jc w:val="center"/>
              <w:rPr>
                <w:sz w:val="24"/>
              </w:rPr>
            </w:pPr>
            <w:r>
              <w:rPr>
                <w:sz w:val="24"/>
              </w:rPr>
              <w:t>12.1</w:t>
            </w:r>
          </w:p>
        </w:tc>
        <w:tc>
          <w:tcPr>
            <w:tcW w:w="762" w:type="pct"/>
            <w:vAlign w:val="center"/>
          </w:tcPr>
          <w:p>
            <w:pPr>
              <w:jc w:val="center"/>
              <w:rPr>
                <w:sz w:val="24"/>
              </w:rPr>
            </w:pPr>
            <w:r>
              <w:rPr>
                <w:rFonts w:hint="eastAsia"/>
                <w:sz w:val="24"/>
              </w:rPr>
              <w:t>递交响应文件地点</w:t>
            </w:r>
          </w:p>
        </w:tc>
        <w:tc>
          <w:tcPr>
            <w:tcW w:w="3409" w:type="pct"/>
            <w:vAlign w:val="center"/>
          </w:tcPr>
          <w:p>
            <w:pPr>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14</w:t>
            </w:r>
          </w:p>
        </w:tc>
        <w:tc>
          <w:tcPr>
            <w:tcW w:w="473" w:type="pct"/>
            <w:vAlign w:val="center"/>
          </w:tcPr>
          <w:p>
            <w:pPr>
              <w:jc w:val="center"/>
              <w:rPr>
                <w:sz w:val="24"/>
              </w:rPr>
            </w:pPr>
            <w:r>
              <w:rPr>
                <w:sz w:val="24"/>
              </w:rPr>
              <w:t>17.5</w:t>
            </w:r>
          </w:p>
        </w:tc>
        <w:tc>
          <w:tcPr>
            <w:tcW w:w="762" w:type="pct"/>
            <w:vAlign w:val="center"/>
          </w:tcPr>
          <w:p>
            <w:pPr>
              <w:jc w:val="center"/>
              <w:rPr>
                <w:sz w:val="24"/>
              </w:rPr>
            </w:pPr>
            <w:r>
              <w:rPr>
                <w:rFonts w:hint="eastAsia"/>
                <w:sz w:val="24"/>
              </w:rPr>
              <w:t>如发现下列情况之一的，其响应文件将可能被拒绝</w:t>
            </w:r>
          </w:p>
        </w:tc>
        <w:tc>
          <w:tcPr>
            <w:tcW w:w="3409" w:type="pct"/>
            <w:vAlign w:val="center"/>
          </w:tcPr>
          <w:p>
            <w:pPr>
              <w:rPr>
                <w:sz w:val="24"/>
              </w:rPr>
            </w:pPr>
            <w:r>
              <w:rPr>
                <w:sz w:val="24"/>
              </w:rPr>
              <w:t>1</w:t>
            </w:r>
            <w:r>
              <w:rPr>
                <w:rFonts w:hint="eastAsia"/>
                <w:sz w:val="24"/>
              </w:rPr>
              <w:t>）不满足竞争性磋商文件对合格供应商的基本资质要求的；</w:t>
            </w:r>
          </w:p>
          <w:p>
            <w:pPr>
              <w:rPr>
                <w:sz w:val="24"/>
              </w:rPr>
            </w:pPr>
            <w:r>
              <w:rPr>
                <w:rFonts w:hint="eastAsia"/>
                <w:sz w:val="24"/>
              </w:rPr>
              <w:t>2）供应商在响应文件中提供的服务内容及质量不能实质性满足竞争性磋商文件要求或不能提供实质性满足证明的；</w:t>
            </w:r>
          </w:p>
          <w:p>
            <w:pPr>
              <w:rPr>
                <w:sz w:val="24"/>
              </w:rPr>
            </w:pPr>
            <w:r>
              <w:rPr>
                <w:rFonts w:hint="eastAsia"/>
                <w:sz w:val="24"/>
              </w:rPr>
              <w:t>3）供应商在响应文件中对于第四章《合同格式》有任何负偏离的；</w:t>
            </w:r>
          </w:p>
          <w:p>
            <w:pPr>
              <w:rPr>
                <w:sz w:val="24"/>
              </w:rPr>
            </w:pPr>
            <w:r>
              <w:rPr>
                <w:rFonts w:hint="eastAsia"/>
                <w:sz w:val="24"/>
              </w:rPr>
              <w:t>4）响应函、法人代表授权书不按照第六章《附件》的格式提供的；</w:t>
            </w:r>
          </w:p>
          <w:p>
            <w:pPr>
              <w:rPr>
                <w:sz w:val="24"/>
              </w:rPr>
            </w:pPr>
            <w:r>
              <w:rPr>
                <w:rFonts w:hint="eastAsia"/>
                <w:sz w:val="24"/>
              </w:rPr>
              <w:t>5）资格证明文件不全、失效或不符合竞争性磋商文件要求的；</w:t>
            </w:r>
          </w:p>
          <w:p>
            <w:pPr>
              <w:rPr>
                <w:sz w:val="24"/>
              </w:rPr>
            </w:pPr>
            <w:r>
              <w:rPr>
                <w:rFonts w:hint="eastAsia"/>
                <w:sz w:val="24"/>
              </w:rPr>
              <w:t>6）响应文件无法定代表人签字，或签字人无法定代表人有效授权的；</w:t>
            </w:r>
          </w:p>
          <w:p>
            <w:pPr>
              <w:rPr>
                <w:sz w:val="24"/>
              </w:rPr>
            </w:pPr>
            <w:r>
              <w:rPr>
                <w:rFonts w:hint="eastAsia"/>
                <w:sz w:val="24"/>
              </w:rPr>
              <w:t>8）响应文件或响应有效期不足的；</w:t>
            </w:r>
          </w:p>
          <w:p>
            <w:pPr>
              <w:rPr>
                <w:sz w:val="24"/>
              </w:rPr>
            </w:pPr>
            <w:r>
              <w:rPr>
                <w:rFonts w:hint="eastAsia"/>
                <w:sz w:val="24"/>
              </w:rPr>
              <w:t>8）响应文件中提供虚假或失实资料的；</w:t>
            </w:r>
          </w:p>
          <w:p>
            <w:pPr>
              <w:rPr>
                <w:sz w:val="24"/>
              </w:rPr>
            </w:pPr>
            <w:r>
              <w:rPr>
                <w:rFonts w:hint="eastAsia"/>
                <w:sz w:val="24"/>
              </w:rPr>
              <w:t>9）未按照竞争性磋商文件规定的方式领取竞争性磋商文件并按要求递交响应文件的；</w:t>
            </w:r>
          </w:p>
          <w:p>
            <w:pPr>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rFonts w:hint="eastAsia"/>
                <w:sz w:val="24"/>
              </w:rPr>
              <w:t>1</w:t>
            </w:r>
            <w:r>
              <w:rPr>
                <w:sz w:val="24"/>
              </w:rPr>
              <w:t>5</w:t>
            </w:r>
          </w:p>
        </w:tc>
        <w:tc>
          <w:tcPr>
            <w:tcW w:w="473" w:type="pct"/>
            <w:vAlign w:val="center"/>
          </w:tcPr>
          <w:p>
            <w:pPr>
              <w:jc w:val="center"/>
              <w:rPr>
                <w:sz w:val="24"/>
              </w:rPr>
            </w:pPr>
            <w:r>
              <w:rPr>
                <w:sz w:val="24"/>
              </w:rPr>
              <w:t>18.8</w:t>
            </w:r>
          </w:p>
        </w:tc>
        <w:tc>
          <w:tcPr>
            <w:tcW w:w="762" w:type="pct"/>
            <w:vAlign w:val="center"/>
          </w:tcPr>
          <w:p>
            <w:pPr>
              <w:jc w:val="center"/>
              <w:rPr>
                <w:sz w:val="24"/>
              </w:rPr>
            </w:pPr>
            <w:r>
              <w:rPr>
                <w:rFonts w:hint="eastAsia"/>
                <w:sz w:val="24"/>
              </w:rPr>
              <w:t>远程磋商</w:t>
            </w:r>
          </w:p>
        </w:tc>
        <w:tc>
          <w:tcPr>
            <w:tcW w:w="3409" w:type="pct"/>
            <w:vAlign w:val="center"/>
          </w:tcPr>
          <w:p>
            <w:pPr>
              <w:keepLines/>
              <w:tabs>
                <w:tab w:val="left" w:pos="794"/>
                <w:tab w:val="left" w:pos="1191"/>
                <w:tab w:val="left" w:pos="1588"/>
                <w:tab w:val="left" w:pos="1985"/>
              </w:tabs>
              <w:autoSpaceDE w:val="0"/>
              <w:autoSpaceDN w:val="0"/>
              <w:adjustRightInd w:val="0"/>
              <w:rPr>
                <w:sz w:val="24"/>
              </w:rPr>
            </w:pPr>
            <w:r>
              <w:rPr>
                <w:rFonts w:hint="eastAsia"/>
                <w:sz w:val="24"/>
              </w:rPr>
              <w:t>本项目将采用远程磋商方式，请供应商授权代表和采购文件中要求的有关答辩代表（如有），并携带身份证件和本采购文件要求的有关资格证明（如有）。</w:t>
            </w:r>
          </w:p>
          <w:p>
            <w:pPr>
              <w:keepLines/>
              <w:tabs>
                <w:tab w:val="left" w:pos="794"/>
                <w:tab w:val="left" w:pos="1191"/>
                <w:tab w:val="left" w:pos="1588"/>
                <w:tab w:val="left" w:pos="1985"/>
              </w:tabs>
              <w:autoSpaceDE w:val="0"/>
              <w:autoSpaceDN w:val="0"/>
              <w:adjustRightInd w:val="0"/>
              <w:rPr>
                <w:sz w:val="24"/>
              </w:rPr>
            </w:pPr>
            <w:r>
              <w:rPr>
                <w:rFonts w:hint="eastAsia"/>
                <w:sz w:val="24"/>
              </w:rPr>
              <w:t>请供应商提前下载并安装好远程会议客户端，调试好视频及音效设备。如因供应商设备、网络等原因而造成的视音频中断或延误给供应商磋商带来的负面影响，由供应商自行承担。</w:t>
            </w:r>
          </w:p>
          <w:p>
            <w:pPr>
              <w:keepLines/>
              <w:tabs>
                <w:tab w:val="left" w:pos="794"/>
                <w:tab w:val="left" w:pos="1191"/>
                <w:tab w:val="left" w:pos="1588"/>
                <w:tab w:val="left" w:pos="1985"/>
              </w:tabs>
              <w:autoSpaceDE w:val="0"/>
              <w:autoSpaceDN w:val="0"/>
              <w:adjustRightInd w:val="0"/>
              <w:rPr>
                <w:sz w:val="24"/>
              </w:rPr>
            </w:pPr>
            <w:r>
              <w:rPr>
                <w:rFonts w:hint="eastAsia"/>
                <w:sz w:val="24"/>
              </w:rPr>
              <w:t>供应商须根据本项目联系人磋商当天提供的会议邀请在规定时间内进入视频会议室，现场抽取磋商顺序。</w:t>
            </w:r>
          </w:p>
          <w:p>
            <w:pPr>
              <w:keepLines/>
              <w:tabs>
                <w:tab w:val="left" w:pos="794"/>
                <w:tab w:val="left" w:pos="1191"/>
                <w:tab w:val="left" w:pos="1588"/>
                <w:tab w:val="left" w:pos="1985"/>
              </w:tabs>
              <w:autoSpaceDE w:val="0"/>
              <w:autoSpaceDN w:val="0"/>
              <w:adjustRightInd w:val="0"/>
              <w:rPr>
                <w:sz w:val="24"/>
              </w:rPr>
            </w:pPr>
            <w:r>
              <w:rPr>
                <w:rFonts w:hint="eastAsia"/>
                <w:sz w:val="24"/>
              </w:rPr>
              <w:t>供应商按抽取的顺序参与磋商，完成磋商的供应商自行离开会议室，其他供应商在视频软件的等候室等待。</w:t>
            </w:r>
          </w:p>
          <w:p>
            <w:pPr>
              <w:keepLines/>
              <w:tabs>
                <w:tab w:val="left" w:pos="794"/>
                <w:tab w:val="left" w:pos="1191"/>
                <w:tab w:val="left" w:pos="1588"/>
                <w:tab w:val="left" w:pos="1985"/>
              </w:tabs>
              <w:autoSpaceDE w:val="0"/>
              <w:autoSpaceDN w:val="0"/>
              <w:adjustRightInd w:val="0"/>
              <w:rPr>
                <w:sz w:val="24"/>
              </w:rPr>
            </w:pPr>
            <w:r>
              <w:rPr>
                <w:rFonts w:hint="eastAsia"/>
                <w:sz w:val="24"/>
              </w:rPr>
              <w:t>供应商须按采购文件要求委派须参与的人员进入视频会议室。</w:t>
            </w:r>
          </w:p>
          <w:p>
            <w:pPr>
              <w:keepLines/>
              <w:tabs>
                <w:tab w:val="left" w:pos="794"/>
                <w:tab w:val="left" w:pos="1191"/>
                <w:tab w:val="left" w:pos="1588"/>
                <w:tab w:val="left" w:pos="1985"/>
              </w:tabs>
              <w:autoSpaceDE w:val="0"/>
              <w:autoSpaceDN w:val="0"/>
              <w:adjustRightInd w:val="0"/>
              <w:rPr>
                <w:sz w:val="24"/>
              </w:rPr>
            </w:pPr>
            <w:r>
              <w:rPr>
                <w:rFonts w:hint="eastAsia"/>
                <w:sz w:val="24"/>
              </w:rPr>
              <w:t>磋商后，供应商按磋商时本项目评审委员会的要求提交最终报价和承诺，并在规定时间内提交至采购人联系信箱：</w:t>
            </w:r>
            <w:r>
              <w:fldChar w:fldCharType="begin"/>
            </w:r>
            <w:r>
              <w:instrText xml:space="preserve"> HYPERLINK "mailto:lijing@jscnnet.com" </w:instrText>
            </w:r>
            <w:r>
              <w:fldChar w:fldCharType="separate"/>
            </w:r>
            <w:r>
              <w:rPr>
                <w:rStyle w:val="60"/>
                <w:rFonts w:ascii="宋体" w:hAnsi="宋体" w:cs="宋体"/>
                <w:kern w:val="0"/>
                <w:sz w:val="24"/>
              </w:rPr>
              <w:t>lijing@jscnnet</w:t>
            </w:r>
            <w:r>
              <w:rPr>
                <w:rStyle w:val="60"/>
                <w:sz w:val="24"/>
              </w:rPr>
              <w:t>.com</w:t>
            </w:r>
            <w:r>
              <w:rPr>
                <w:rStyle w:val="60"/>
                <w:sz w:val="24"/>
              </w:rPr>
              <w:fldChar w:fldCharType="end"/>
            </w:r>
            <w:r>
              <w:rPr>
                <w:rFonts w:hint="eastAsia"/>
                <w:sz w:val="24"/>
              </w:rPr>
              <w:t>，授权代表须在最终报价和承诺书上签字，格式见附件。</w:t>
            </w:r>
          </w:p>
          <w:p>
            <w:pPr>
              <w:rPr>
                <w:sz w:val="24"/>
              </w:rPr>
            </w:pPr>
            <w:r>
              <w:rPr>
                <w:rFonts w:hint="eastAsia"/>
                <w:sz w:val="24"/>
              </w:rPr>
              <w:t>供应商须在响应文件中提交远程采购须知确认函（见第七章其他），并按要求盖章且签字。</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56" w:type="pct"/>
            <w:vAlign w:val="center"/>
          </w:tcPr>
          <w:p>
            <w:pPr>
              <w:jc w:val="center"/>
              <w:rPr>
                <w:sz w:val="24"/>
              </w:rPr>
            </w:pPr>
            <w:r>
              <w:rPr>
                <w:sz w:val="24"/>
              </w:rPr>
              <w:t>16</w:t>
            </w:r>
          </w:p>
        </w:tc>
        <w:tc>
          <w:tcPr>
            <w:tcW w:w="473" w:type="pct"/>
            <w:vAlign w:val="center"/>
          </w:tcPr>
          <w:p>
            <w:pPr>
              <w:jc w:val="center"/>
              <w:rPr>
                <w:sz w:val="24"/>
              </w:rPr>
            </w:pPr>
            <w:r>
              <w:rPr>
                <w:sz w:val="24"/>
              </w:rPr>
              <w:t>19</w:t>
            </w:r>
          </w:p>
        </w:tc>
        <w:tc>
          <w:tcPr>
            <w:tcW w:w="762" w:type="pct"/>
            <w:vAlign w:val="center"/>
          </w:tcPr>
          <w:p>
            <w:pPr>
              <w:jc w:val="center"/>
              <w:rPr>
                <w:sz w:val="24"/>
              </w:rPr>
            </w:pPr>
            <w:r>
              <w:rPr>
                <w:rFonts w:hint="eastAsia"/>
                <w:sz w:val="24"/>
              </w:rPr>
              <w:t>评审</w:t>
            </w:r>
          </w:p>
        </w:tc>
        <w:tc>
          <w:tcPr>
            <w:tcW w:w="3409" w:type="pct"/>
            <w:vAlign w:val="center"/>
          </w:tcPr>
          <w:p>
            <w:pPr>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56" w:type="pct"/>
            <w:vAlign w:val="center"/>
          </w:tcPr>
          <w:p>
            <w:pPr>
              <w:jc w:val="center"/>
              <w:rPr>
                <w:sz w:val="24"/>
              </w:rPr>
            </w:pPr>
            <w:r>
              <w:rPr>
                <w:sz w:val="24"/>
              </w:rPr>
              <w:t>17</w:t>
            </w:r>
          </w:p>
        </w:tc>
        <w:tc>
          <w:tcPr>
            <w:tcW w:w="473" w:type="pct"/>
            <w:vAlign w:val="center"/>
          </w:tcPr>
          <w:p>
            <w:pPr>
              <w:jc w:val="center"/>
              <w:rPr>
                <w:sz w:val="24"/>
              </w:rPr>
            </w:pPr>
            <w:r>
              <w:rPr>
                <w:sz w:val="24"/>
              </w:rPr>
              <w:t>22.1</w:t>
            </w:r>
          </w:p>
        </w:tc>
        <w:tc>
          <w:tcPr>
            <w:tcW w:w="762" w:type="pct"/>
            <w:vAlign w:val="center"/>
          </w:tcPr>
          <w:p>
            <w:pPr>
              <w:jc w:val="center"/>
              <w:rPr>
                <w:sz w:val="24"/>
              </w:rPr>
            </w:pPr>
            <w:r>
              <w:rPr>
                <w:rFonts w:hint="eastAsia"/>
                <w:sz w:val="24"/>
              </w:rPr>
              <w:t>成交</w:t>
            </w:r>
          </w:p>
          <w:p>
            <w:pPr>
              <w:jc w:val="center"/>
              <w:rPr>
                <w:sz w:val="24"/>
              </w:rPr>
            </w:pPr>
            <w:r>
              <w:rPr>
                <w:rFonts w:hint="eastAsia"/>
                <w:sz w:val="24"/>
              </w:rPr>
              <w:t>供应商数量</w:t>
            </w:r>
          </w:p>
        </w:tc>
        <w:tc>
          <w:tcPr>
            <w:tcW w:w="3409" w:type="pct"/>
            <w:vAlign w:val="center"/>
          </w:tcPr>
          <w:p>
            <w:pPr>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56" w:type="pct"/>
            <w:vAlign w:val="center"/>
          </w:tcPr>
          <w:p>
            <w:pPr>
              <w:jc w:val="center"/>
              <w:rPr>
                <w:sz w:val="24"/>
              </w:rPr>
            </w:pPr>
            <w:r>
              <w:rPr>
                <w:sz w:val="24"/>
              </w:rPr>
              <w:t>18</w:t>
            </w:r>
          </w:p>
        </w:tc>
        <w:tc>
          <w:tcPr>
            <w:tcW w:w="473" w:type="pct"/>
            <w:vAlign w:val="center"/>
          </w:tcPr>
          <w:p>
            <w:pPr>
              <w:jc w:val="center"/>
              <w:rPr>
                <w:sz w:val="24"/>
              </w:rPr>
            </w:pPr>
            <w:r>
              <w:rPr>
                <w:sz w:val="24"/>
              </w:rPr>
              <w:t>24</w:t>
            </w:r>
          </w:p>
        </w:tc>
        <w:tc>
          <w:tcPr>
            <w:tcW w:w="762" w:type="pct"/>
            <w:vAlign w:val="center"/>
          </w:tcPr>
          <w:p>
            <w:pPr>
              <w:jc w:val="center"/>
              <w:rPr>
                <w:sz w:val="24"/>
              </w:rPr>
            </w:pPr>
            <w:r>
              <w:rPr>
                <w:rFonts w:hint="eastAsia"/>
                <w:sz w:val="24"/>
              </w:rPr>
              <w:t>签约</w:t>
            </w:r>
          </w:p>
        </w:tc>
        <w:tc>
          <w:tcPr>
            <w:tcW w:w="3409" w:type="pct"/>
            <w:vAlign w:val="center"/>
          </w:tcPr>
          <w:p>
            <w:pPr>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3</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2</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5"/>
      <w:bookmarkEnd w:id="6"/>
      <w:bookmarkEnd w:id="7"/>
      <w:bookmarkEnd w:id="8"/>
      <w:bookmarkStart w:id="9" w:name="_Toc107822520"/>
      <w:bookmarkStart w:id="10" w:name="_Toc227057922"/>
      <w:bookmarkStart w:id="11" w:name="_Toc226969316"/>
      <w:r>
        <w:br w:type="page"/>
      </w:r>
    </w:p>
    <w:bookmarkEnd w:id="9"/>
    <w:bookmarkEnd w:id="10"/>
    <w:bookmarkEnd w:id="11"/>
    <w:p>
      <w:pPr>
        <w:pStyle w:val="3"/>
        <w:numPr>
          <w:ilvl w:val="0"/>
          <w:numId w:val="0"/>
        </w:numPr>
        <w:spacing w:before="0" w:after="0" w:line="360" w:lineRule="auto"/>
        <w:rPr>
          <w:b/>
          <w:sz w:val="36"/>
          <w:szCs w:val="36"/>
        </w:rPr>
      </w:pPr>
      <w:bookmarkStart w:id="12" w:name="_Toc69378617"/>
      <w:bookmarkStart w:id="13" w:name="_Toc226969352"/>
      <w:bookmarkStart w:id="14" w:name="_Toc107822556"/>
      <w:bookmarkStart w:id="15" w:name="_Toc227057958"/>
      <w:r>
        <w:rPr>
          <w:rFonts w:hint="eastAsia"/>
          <w:b/>
          <w:sz w:val="36"/>
          <w:szCs w:val="36"/>
        </w:rPr>
        <w:t>第三章评审办法</w:t>
      </w:r>
      <w:bookmarkEnd w:id="12"/>
    </w:p>
    <w:p>
      <w:pPr>
        <w:spacing w:line="360" w:lineRule="auto"/>
        <w:ind w:firstLine="480" w:firstLineChars="200"/>
        <w:jc w:val="left"/>
        <w:rPr>
          <w:rFonts w:ascii="宋体" w:hAnsi="宋体"/>
          <w:sz w:val="24"/>
        </w:rPr>
      </w:pPr>
      <w:r>
        <w:rPr>
          <w:rFonts w:ascii="宋体" w:hAnsi="宋体"/>
          <w:sz w:val="24"/>
        </w:rPr>
        <w:t>供应商须对第三章《评审办法》中的评分要求逐项说明在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jc w:val="center"/>
        <w:rPr>
          <w:rFonts w:ascii="宋体" w:hAnsi="宋体"/>
          <w:sz w:val="37"/>
          <w:szCs w:val="37"/>
        </w:rPr>
      </w:pPr>
      <w:r>
        <w:rPr>
          <w:rFonts w:ascii="宋体" w:hAnsi="宋体"/>
        </w:rPr>
        <w:br w:type="page"/>
      </w:r>
      <w:r>
        <w:rPr>
          <w:rFonts w:ascii="宋体" w:hAnsi="宋体"/>
          <w:sz w:val="37"/>
          <w:szCs w:val="37"/>
        </w:rPr>
        <w:t>评审办法</w:t>
      </w:r>
    </w:p>
    <w:p>
      <w:pPr>
        <w:jc w:val="center"/>
        <w:rPr>
          <w:rFonts w:ascii="宋体" w:hAnsi="宋体"/>
          <w:sz w:val="24"/>
        </w:rPr>
      </w:pPr>
      <w:r>
        <w:rPr>
          <w:rFonts w:ascii="宋体" w:hAnsi="宋体"/>
          <w:sz w:val="24"/>
        </w:rPr>
        <w:t>（满分100分）</w:t>
      </w:r>
    </w:p>
    <w:tbl>
      <w:tblPr>
        <w:tblStyle w:val="53"/>
        <w:tblW w:w="8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715"/>
        <w:gridCol w:w="804"/>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835" w:type="dxa"/>
            <w:gridSpan w:val="2"/>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评审内容</w:t>
            </w:r>
          </w:p>
        </w:tc>
        <w:tc>
          <w:tcPr>
            <w:tcW w:w="804"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分值</w:t>
            </w:r>
          </w:p>
        </w:tc>
        <w:tc>
          <w:tcPr>
            <w:tcW w:w="4612"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restart"/>
            <w:vAlign w:val="center"/>
          </w:tcPr>
          <w:p>
            <w:pPr>
              <w:snapToGrid w:val="0"/>
              <w:spacing w:line="360" w:lineRule="auto"/>
              <w:jc w:val="left"/>
              <w:rPr>
                <w:rFonts w:ascii="宋体" w:hAnsi="宋体" w:cs="宋体"/>
                <w:kern w:val="0"/>
                <w:szCs w:val="21"/>
              </w:rPr>
            </w:pPr>
            <w:r>
              <w:rPr>
                <w:rFonts w:hint="eastAsia" w:ascii="宋体" w:hAnsi="宋体" w:cs="宋体"/>
                <w:kern w:val="0"/>
                <w:szCs w:val="21"/>
              </w:rPr>
              <w:t>商务</w:t>
            </w:r>
          </w:p>
        </w:tc>
        <w:tc>
          <w:tcPr>
            <w:tcW w:w="1715" w:type="dxa"/>
            <w:vAlign w:val="center"/>
          </w:tcPr>
          <w:p>
            <w:pPr>
              <w:spacing w:line="360" w:lineRule="auto"/>
              <w:jc w:val="center"/>
              <w:rPr>
                <w:rFonts w:ascii="宋体" w:hAnsi="宋体"/>
                <w:kern w:val="0"/>
                <w:szCs w:val="21"/>
              </w:rPr>
            </w:pPr>
            <w:r>
              <w:rPr>
                <w:rFonts w:ascii="宋体" w:hAnsi="宋体"/>
                <w:kern w:val="0"/>
                <w:szCs w:val="21"/>
              </w:rPr>
              <w:t>综合实力</w:t>
            </w:r>
          </w:p>
        </w:tc>
        <w:tc>
          <w:tcPr>
            <w:tcW w:w="804" w:type="dxa"/>
            <w:vAlign w:val="center"/>
          </w:tcPr>
          <w:p>
            <w:pPr>
              <w:spacing w:line="360" w:lineRule="auto"/>
              <w:jc w:val="center"/>
              <w:rPr>
                <w:rFonts w:ascii="宋体" w:hAnsi="宋体"/>
                <w:color w:val="FF0000"/>
                <w:kern w:val="0"/>
                <w:szCs w:val="21"/>
              </w:rPr>
            </w:pPr>
            <w:r>
              <w:rPr>
                <w:rFonts w:ascii="宋体" w:hAnsi="宋体"/>
                <w:b/>
                <w:bCs/>
                <w:kern w:val="0"/>
                <w:szCs w:val="21"/>
              </w:rPr>
              <w:t>5</w:t>
            </w:r>
          </w:p>
        </w:tc>
        <w:tc>
          <w:tcPr>
            <w:tcW w:w="4612" w:type="dxa"/>
          </w:tcPr>
          <w:p>
            <w:pPr>
              <w:widowControl/>
              <w:tabs>
                <w:tab w:val="left" w:pos="0"/>
              </w:tabs>
              <w:spacing w:line="360" w:lineRule="auto"/>
              <w:rPr>
                <w:rFonts w:ascii="宋体" w:hAnsi="宋体"/>
                <w:kern w:val="0"/>
                <w:szCs w:val="21"/>
              </w:rPr>
            </w:pPr>
            <w:r>
              <w:rPr>
                <w:rFonts w:hint="eastAsia" w:ascii="宋体" w:hAnsi="宋体"/>
                <w:kern w:val="0"/>
                <w:szCs w:val="21"/>
              </w:rPr>
              <w:t>投标单位注册资金超过1000万（含）的得</w:t>
            </w:r>
            <w:r>
              <w:rPr>
                <w:rFonts w:ascii="宋体" w:hAnsi="宋体"/>
                <w:kern w:val="0"/>
                <w:szCs w:val="21"/>
              </w:rPr>
              <w:t>5</w:t>
            </w:r>
            <w:r>
              <w:rPr>
                <w:rFonts w:hint="eastAsia" w:ascii="宋体" w:hAnsi="宋体"/>
                <w:kern w:val="0"/>
                <w:szCs w:val="21"/>
              </w:rPr>
              <w:t>分；超过500万（含）的得</w:t>
            </w:r>
            <w:r>
              <w:rPr>
                <w:rFonts w:ascii="宋体" w:hAnsi="宋体"/>
                <w:kern w:val="0"/>
                <w:szCs w:val="21"/>
              </w:rPr>
              <w:t>3</w:t>
            </w:r>
            <w:r>
              <w:rPr>
                <w:rFonts w:hint="eastAsia" w:ascii="宋体" w:hAnsi="宋体"/>
                <w:kern w:val="0"/>
                <w:szCs w:val="21"/>
              </w:rPr>
              <w:t>分；超过300万（含）的得1分。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Merge w:val="continue"/>
            <w:vAlign w:val="center"/>
          </w:tcPr>
          <w:p>
            <w:pPr>
              <w:snapToGrid w:val="0"/>
              <w:spacing w:line="360" w:lineRule="auto"/>
              <w:jc w:val="left"/>
              <w:rPr>
                <w:rFonts w:ascii="宋体" w:hAnsi="宋体" w:cs="宋体"/>
                <w:kern w:val="0"/>
                <w:szCs w:val="21"/>
              </w:rPr>
            </w:pPr>
          </w:p>
        </w:tc>
        <w:tc>
          <w:tcPr>
            <w:tcW w:w="1715" w:type="dxa"/>
            <w:vAlign w:val="center"/>
          </w:tcPr>
          <w:p>
            <w:pPr>
              <w:snapToGrid w:val="0"/>
              <w:spacing w:line="360" w:lineRule="auto"/>
              <w:jc w:val="center"/>
              <w:rPr>
                <w:rFonts w:ascii="宋体" w:hAnsi="宋体" w:cs="宋体"/>
                <w:kern w:val="0"/>
                <w:szCs w:val="21"/>
              </w:rPr>
            </w:pPr>
            <w:r>
              <w:rPr>
                <w:rFonts w:hint="eastAsia" w:ascii="宋体" w:hAnsi="宋体"/>
              </w:rPr>
              <w:t>业绩等实力</w:t>
            </w:r>
          </w:p>
        </w:tc>
        <w:tc>
          <w:tcPr>
            <w:tcW w:w="804" w:type="dxa"/>
            <w:vAlign w:val="center"/>
          </w:tcPr>
          <w:p>
            <w:pPr>
              <w:spacing w:line="360" w:lineRule="auto"/>
              <w:jc w:val="center"/>
              <w:rPr>
                <w:rFonts w:ascii="宋体" w:hAnsi="宋体"/>
                <w:b/>
                <w:szCs w:val="21"/>
              </w:rPr>
            </w:pPr>
            <w:r>
              <w:rPr>
                <w:rFonts w:ascii="宋体" w:hAnsi="宋体"/>
                <w:b/>
                <w:bCs/>
                <w:szCs w:val="21"/>
              </w:rPr>
              <w:t>10</w:t>
            </w:r>
          </w:p>
        </w:tc>
        <w:tc>
          <w:tcPr>
            <w:tcW w:w="4612" w:type="dxa"/>
            <w:vAlign w:val="center"/>
          </w:tcPr>
          <w:p>
            <w:pPr>
              <w:widowControl/>
              <w:tabs>
                <w:tab w:val="left" w:pos="0"/>
              </w:tabs>
              <w:spacing w:line="360" w:lineRule="auto"/>
              <w:rPr>
                <w:rFonts w:ascii="宋体" w:hAnsi="宋体"/>
                <w:kern w:val="0"/>
                <w:szCs w:val="21"/>
              </w:rPr>
            </w:pPr>
            <w:r>
              <w:rPr>
                <w:rFonts w:hint="eastAsia" w:ascii="宋体" w:hAnsi="宋体"/>
                <w:kern w:val="0"/>
                <w:szCs w:val="21"/>
              </w:rPr>
              <w:t>201</w:t>
            </w:r>
            <w:r>
              <w:rPr>
                <w:rFonts w:ascii="宋体" w:hAnsi="宋体"/>
                <w:kern w:val="0"/>
                <w:szCs w:val="21"/>
              </w:rPr>
              <w:t>7</w:t>
            </w:r>
            <w:r>
              <w:rPr>
                <w:rFonts w:hint="eastAsia" w:ascii="宋体" w:hAnsi="宋体"/>
                <w:kern w:val="0"/>
                <w:szCs w:val="21"/>
              </w:rPr>
              <w:t>年至今，参与过广电行业区县级（含区县级）机房以上的波分设备搬迁工程（提供有关证明材料，如合同等）。每提供一份得</w:t>
            </w:r>
            <w:r>
              <w:rPr>
                <w:rFonts w:ascii="宋体" w:hAnsi="宋体"/>
                <w:kern w:val="0"/>
                <w:szCs w:val="21"/>
              </w:rPr>
              <w:t>2</w:t>
            </w:r>
            <w:r>
              <w:rPr>
                <w:rFonts w:hint="eastAsia" w:ascii="宋体" w:hAnsi="宋体"/>
                <w:kern w:val="0"/>
                <w:szCs w:val="21"/>
              </w:rPr>
              <w:t>分，最高为</w:t>
            </w:r>
            <w:r>
              <w:rPr>
                <w:rFonts w:ascii="宋体" w:hAnsi="宋体"/>
                <w:kern w:val="0"/>
                <w:szCs w:val="21"/>
              </w:rPr>
              <w:t>10</w:t>
            </w:r>
            <w:r>
              <w:rPr>
                <w:rFonts w:hint="eastAsia" w:ascii="宋体" w:hAnsi="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技术</w:t>
            </w:r>
          </w:p>
        </w:tc>
        <w:tc>
          <w:tcPr>
            <w:tcW w:w="1715" w:type="dxa"/>
            <w:vAlign w:val="center"/>
          </w:tcPr>
          <w:p>
            <w:pPr>
              <w:widowControl/>
              <w:spacing w:line="360" w:lineRule="auto"/>
              <w:jc w:val="center"/>
              <w:rPr>
                <w:rFonts w:ascii="宋体" w:hAnsi="宋体"/>
                <w:szCs w:val="21"/>
              </w:rPr>
            </w:pPr>
            <w:r>
              <w:rPr>
                <w:rFonts w:hint="eastAsia" w:ascii="宋体" w:hAnsi="宋体"/>
                <w:szCs w:val="21"/>
              </w:rPr>
              <w:t>技术需求应答</w:t>
            </w:r>
          </w:p>
        </w:tc>
        <w:tc>
          <w:tcPr>
            <w:tcW w:w="804" w:type="dxa"/>
            <w:vAlign w:val="center"/>
          </w:tcPr>
          <w:p>
            <w:pPr>
              <w:spacing w:line="360" w:lineRule="auto"/>
              <w:jc w:val="center"/>
              <w:rPr>
                <w:rFonts w:ascii="宋体" w:hAnsi="宋体"/>
                <w:b/>
                <w:bCs/>
                <w:szCs w:val="21"/>
              </w:rPr>
            </w:pPr>
            <w:r>
              <w:rPr>
                <w:rFonts w:ascii="宋体" w:hAnsi="宋体"/>
                <w:b/>
                <w:bCs/>
                <w:szCs w:val="21"/>
              </w:rPr>
              <w:t>15</w:t>
            </w:r>
          </w:p>
        </w:tc>
        <w:tc>
          <w:tcPr>
            <w:tcW w:w="4612" w:type="dxa"/>
            <w:vAlign w:val="center"/>
          </w:tcPr>
          <w:p>
            <w:pPr>
              <w:widowControl/>
              <w:spacing w:line="360" w:lineRule="auto"/>
              <w:rPr>
                <w:rFonts w:ascii="宋体" w:hAnsi="宋体"/>
                <w:szCs w:val="21"/>
              </w:rPr>
            </w:pPr>
            <w:r>
              <w:rPr>
                <w:rFonts w:hint="eastAsia" w:ascii="宋体" w:hAnsi="宋体"/>
                <w:szCs w:val="21"/>
              </w:rPr>
              <w:t>根据投标产品对竞争性磋商文件第五章《技术需求书》的偏离情况打分，基本分</w:t>
            </w:r>
            <w:r>
              <w:rPr>
                <w:rFonts w:ascii="宋体" w:hAnsi="宋体"/>
                <w:szCs w:val="21"/>
              </w:rPr>
              <w:t>15</w:t>
            </w:r>
            <w:r>
              <w:rPr>
                <w:rFonts w:hint="eastAsia" w:ascii="宋体" w:hAnsi="宋体"/>
                <w:szCs w:val="21"/>
              </w:rPr>
              <w:t>分。关键条款（“</w:t>
            </w:r>
            <w:r>
              <w:rPr>
                <w:rFonts w:ascii="宋体" w:hAnsi="宋体"/>
                <w:szCs w:val="21"/>
              </w:rPr>
              <w:t>*”号条款）为必须满足的技术要求，不满足的将导致废标；非关键条款（非“*”号条款），有1条不满足扣2分，扣完为止。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0" w:type="dxa"/>
            <w:vAlign w:val="center"/>
          </w:tcPr>
          <w:p>
            <w:pPr>
              <w:snapToGrid w:val="0"/>
              <w:spacing w:line="360" w:lineRule="auto"/>
              <w:jc w:val="center"/>
              <w:rPr>
                <w:rFonts w:ascii="宋体" w:hAnsi="宋体" w:cs="宋体"/>
                <w:kern w:val="0"/>
                <w:szCs w:val="21"/>
              </w:rPr>
            </w:pPr>
            <w:r>
              <w:rPr>
                <w:rFonts w:hint="eastAsia" w:ascii="宋体" w:hAnsi="宋体" w:cs="宋体"/>
                <w:kern w:val="0"/>
                <w:szCs w:val="21"/>
              </w:rPr>
              <w:t>服务</w:t>
            </w:r>
          </w:p>
        </w:tc>
        <w:tc>
          <w:tcPr>
            <w:tcW w:w="1715" w:type="dxa"/>
            <w:vAlign w:val="center"/>
          </w:tcPr>
          <w:p>
            <w:pPr>
              <w:jc w:val="center"/>
              <w:rPr>
                <w:szCs w:val="21"/>
              </w:rPr>
            </w:pPr>
            <w:r>
              <w:rPr>
                <w:rFonts w:hint="eastAsia"/>
                <w:szCs w:val="21"/>
              </w:rPr>
              <w:t>项目团队实力</w:t>
            </w:r>
          </w:p>
        </w:tc>
        <w:tc>
          <w:tcPr>
            <w:tcW w:w="804" w:type="dxa"/>
            <w:vAlign w:val="center"/>
          </w:tcPr>
          <w:p>
            <w:pPr>
              <w:spacing w:line="360" w:lineRule="auto"/>
              <w:jc w:val="center"/>
              <w:rPr>
                <w:rFonts w:ascii="宋体" w:hAnsi="宋体"/>
                <w:b/>
                <w:bCs/>
                <w:szCs w:val="21"/>
              </w:rPr>
            </w:pPr>
            <w:r>
              <w:rPr>
                <w:rFonts w:hint="eastAsia" w:ascii="宋体" w:hAnsi="宋体"/>
                <w:b/>
                <w:bCs/>
                <w:szCs w:val="21"/>
              </w:rPr>
              <w:t>1</w:t>
            </w:r>
            <w:r>
              <w:rPr>
                <w:rFonts w:ascii="宋体" w:hAnsi="宋体"/>
                <w:b/>
                <w:bCs/>
                <w:szCs w:val="21"/>
              </w:rPr>
              <w:t>0</w:t>
            </w:r>
          </w:p>
        </w:tc>
        <w:tc>
          <w:tcPr>
            <w:tcW w:w="4612" w:type="dxa"/>
            <w:vAlign w:val="center"/>
          </w:tcPr>
          <w:p>
            <w:pPr>
              <w:widowControl/>
              <w:tabs>
                <w:tab w:val="left" w:pos="0"/>
              </w:tabs>
              <w:spacing w:line="360" w:lineRule="auto"/>
              <w:rPr>
                <w:rFonts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w:t>
            </w:r>
            <w:r>
              <w:rPr>
                <w:rFonts w:hint="eastAsia" w:ascii="宋体" w:hAnsi="宋体"/>
                <w:color w:val="000000"/>
                <w:szCs w:val="21"/>
              </w:rPr>
              <w:t>项目经理参与过运营商级传输设备搬迁实施服务（提供案例）的得基本分</w:t>
            </w:r>
            <w:r>
              <w:rPr>
                <w:rFonts w:ascii="宋体" w:hAnsi="宋体"/>
                <w:color w:val="000000"/>
                <w:szCs w:val="21"/>
              </w:rPr>
              <w:t>2</w:t>
            </w:r>
            <w:r>
              <w:rPr>
                <w:rFonts w:hint="eastAsia" w:ascii="宋体" w:hAnsi="宋体"/>
                <w:color w:val="000000"/>
                <w:szCs w:val="21"/>
              </w:rPr>
              <w:t>分，否则不得分。</w:t>
            </w:r>
          </w:p>
          <w:p>
            <w:pPr>
              <w:widowControl/>
              <w:tabs>
                <w:tab w:val="left" w:pos="0"/>
              </w:tabs>
              <w:spacing w:line="360" w:lineRule="auto"/>
              <w:rPr>
                <w:rFonts w:ascii="宋体" w:hAnsi="宋体" w:cs="宋体"/>
                <w:kern w:val="0"/>
                <w:szCs w:val="21"/>
              </w:rPr>
            </w:pPr>
            <w:r>
              <w:rPr>
                <w:rFonts w:ascii="宋体" w:hAnsi="宋体"/>
                <w:kern w:val="0"/>
                <w:szCs w:val="21"/>
              </w:rPr>
              <w:t>2</w:t>
            </w:r>
            <w:r>
              <w:rPr>
                <w:rFonts w:hint="eastAsia" w:ascii="宋体" w:hAnsi="宋体" w:cs="宋体"/>
                <w:kern w:val="0"/>
                <w:szCs w:val="21"/>
              </w:rPr>
              <w:t>、投标商针对本项目涉及到的设备服务资质，如具有华为传输接入</w:t>
            </w:r>
            <w:r>
              <w:rPr>
                <w:rFonts w:hint="eastAsia" w:ascii="宋体" w:hAnsi="宋体"/>
                <w:kern w:val="0"/>
                <w:szCs w:val="21"/>
              </w:rPr>
              <w:t>5</w:t>
            </w:r>
            <w:r>
              <w:rPr>
                <w:rFonts w:hint="eastAsia" w:ascii="宋体" w:hAnsi="宋体" w:cs="宋体"/>
                <w:kern w:val="0"/>
                <w:szCs w:val="21"/>
              </w:rPr>
              <w:t>钻认证服务商证书得</w:t>
            </w:r>
            <w:r>
              <w:rPr>
                <w:rFonts w:hint="eastAsia" w:ascii="宋体" w:hAnsi="宋体"/>
                <w:kern w:val="0"/>
                <w:szCs w:val="21"/>
              </w:rPr>
              <w:t>5</w:t>
            </w:r>
            <w:r>
              <w:rPr>
                <w:rFonts w:hint="eastAsia" w:ascii="宋体" w:hAnsi="宋体" w:cs="宋体"/>
                <w:kern w:val="0"/>
                <w:szCs w:val="21"/>
              </w:rPr>
              <w:t>分，具有传输接入</w:t>
            </w:r>
            <w:r>
              <w:rPr>
                <w:rFonts w:ascii="宋体" w:hAnsi="宋体"/>
                <w:kern w:val="0"/>
                <w:szCs w:val="21"/>
              </w:rPr>
              <w:t>4</w:t>
            </w:r>
            <w:r>
              <w:rPr>
                <w:rFonts w:hint="eastAsia" w:ascii="宋体" w:hAnsi="宋体" w:cs="宋体"/>
                <w:kern w:val="0"/>
                <w:szCs w:val="21"/>
              </w:rPr>
              <w:t>钻认证服务商得</w:t>
            </w:r>
            <w:r>
              <w:rPr>
                <w:rFonts w:hint="eastAsia" w:ascii="宋体" w:hAnsi="宋体"/>
                <w:kern w:val="0"/>
                <w:szCs w:val="21"/>
              </w:rPr>
              <w:t>3</w:t>
            </w:r>
            <w:r>
              <w:rPr>
                <w:rFonts w:hint="eastAsia" w:ascii="宋体" w:hAnsi="宋体" w:cs="宋体"/>
                <w:kern w:val="0"/>
                <w:szCs w:val="21"/>
              </w:rPr>
              <w:t>分，具有传输接入</w:t>
            </w:r>
            <w:r>
              <w:rPr>
                <w:rFonts w:ascii="宋体" w:hAnsi="宋体"/>
                <w:kern w:val="0"/>
                <w:szCs w:val="21"/>
              </w:rPr>
              <w:t>3</w:t>
            </w:r>
            <w:r>
              <w:rPr>
                <w:rFonts w:hint="eastAsia" w:ascii="宋体" w:hAnsi="宋体" w:cs="宋体"/>
                <w:kern w:val="0"/>
                <w:szCs w:val="21"/>
              </w:rPr>
              <w:t>钻认证服务商得</w:t>
            </w:r>
            <w:r>
              <w:rPr>
                <w:rFonts w:hint="eastAsia" w:ascii="宋体" w:hAnsi="宋体"/>
                <w:kern w:val="0"/>
                <w:szCs w:val="21"/>
              </w:rPr>
              <w:t>1</w:t>
            </w:r>
            <w:r>
              <w:rPr>
                <w:rFonts w:hint="eastAsia" w:ascii="宋体" w:hAnsi="宋体" w:cs="宋体"/>
                <w:kern w:val="0"/>
                <w:szCs w:val="21"/>
              </w:rPr>
              <w:t>分，没有不得分；最高为5分</w:t>
            </w:r>
          </w:p>
          <w:p>
            <w:pPr>
              <w:autoSpaceDE w:val="0"/>
              <w:autoSpaceDN w:val="0"/>
              <w:spacing w:line="360" w:lineRule="auto"/>
              <w:rPr>
                <w:rFonts w:hAnsi="宋体" w:cs="宋体"/>
                <w:szCs w:val="21"/>
              </w:rPr>
            </w:pPr>
            <w:r>
              <w:rPr>
                <w:rFonts w:ascii="宋体" w:hAnsi="宋体" w:cs="宋体"/>
                <w:kern w:val="0"/>
                <w:szCs w:val="21"/>
              </w:rPr>
              <w:t>3</w:t>
            </w:r>
            <w:r>
              <w:rPr>
                <w:rFonts w:hint="eastAsia" w:ascii="宋体" w:hAnsi="宋体" w:cs="宋体"/>
                <w:kern w:val="0"/>
                <w:szCs w:val="21"/>
              </w:rPr>
              <w:t>、具有华为传输接入</w:t>
            </w:r>
            <w:r>
              <w:rPr>
                <w:rFonts w:hint="eastAsia" w:ascii="宋体" w:hAnsi="宋体"/>
                <w:kern w:val="0"/>
                <w:szCs w:val="21"/>
              </w:rPr>
              <w:t>HCIE</w:t>
            </w:r>
            <w:r>
              <w:rPr>
                <w:rFonts w:hint="eastAsia" w:ascii="宋体" w:hAnsi="宋体" w:cs="宋体"/>
                <w:kern w:val="0"/>
                <w:szCs w:val="21"/>
              </w:rPr>
              <w:t>工程师证书每个得</w:t>
            </w:r>
            <w:r>
              <w:rPr>
                <w:rFonts w:hint="eastAsia" w:ascii="宋体" w:hAnsi="宋体"/>
                <w:kern w:val="0"/>
                <w:szCs w:val="21"/>
              </w:rPr>
              <w:t>1</w:t>
            </w:r>
            <w:r>
              <w:rPr>
                <w:rFonts w:hint="eastAsia" w:ascii="宋体" w:hAnsi="宋体" w:cs="宋体"/>
                <w:kern w:val="0"/>
                <w:szCs w:val="21"/>
              </w:rPr>
              <w:t>分，具有传输接入</w:t>
            </w:r>
            <w:r>
              <w:rPr>
                <w:rFonts w:hint="eastAsia" w:ascii="宋体" w:hAnsi="宋体"/>
                <w:kern w:val="0"/>
                <w:szCs w:val="21"/>
              </w:rPr>
              <w:t>HCNP</w:t>
            </w:r>
            <w:r>
              <w:rPr>
                <w:rFonts w:hint="eastAsia" w:ascii="宋体" w:hAnsi="宋体" w:cs="宋体"/>
                <w:kern w:val="0"/>
                <w:szCs w:val="21"/>
              </w:rPr>
              <w:t>工程师证书每个得</w:t>
            </w:r>
            <w:r>
              <w:rPr>
                <w:rFonts w:hint="eastAsia" w:ascii="宋体" w:hAnsi="宋体"/>
                <w:kern w:val="0"/>
                <w:szCs w:val="21"/>
              </w:rPr>
              <w:t>0.5</w:t>
            </w:r>
            <w:r>
              <w:rPr>
                <w:rFonts w:hint="eastAsia" w:ascii="宋体" w:hAnsi="宋体" w:cs="宋体"/>
                <w:kern w:val="0"/>
                <w:szCs w:val="21"/>
              </w:rPr>
              <w:t>分，具有传输接入</w:t>
            </w:r>
            <w:r>
              <w:rPr>
                <w:rFonts w:hint="eastAsia" w:ascii="宋体" w:hAnsi="宋体"/>
                <w:kern w:val="0"/>
                <w:szCs w:val="21"/>
              </w:rPr>
              <w:t>HCNA</w:t>
            </w:r>
            <w:r>
              <w:rPr>
                <w:rFonts w:hint="eastAsia" w:ascii="宋体" w:hAnsi="宋体" w:cs="宋体"/>
                <w:kern w:val="0"/>
                <w:szCs w:val="21"/>
              </w:rPr>
              <w:t>工程师证书每个得</w:t>
            </w:r>
            <w:r>
              <w:rPr>
                <w:rFonts w:ascii="宋体" w:hAnsi="宋体"/>
                <w:kern w:val="0"/>
                <w:szCs w:val="21"/>
              </w:rPr>
              <w:t>0.5</w:t>
            </w:r>
            <w:r>
              <w:rPr>
                <w:rFonts w:hint="eastAsia" w:ascii="宋体" w:hAnsi="宋体" w:cs="宋体"/>
                <w:kern w:val="0"/>
                <w:szCs w:val="21"/>
              </w:rPr>
              <w:t>分；最高</w:t>
            </w:r>
            <w:r>
              <w:rPr>
                <w:rFonts w:ascii="宋体" w:hAnsi="宋体"/>
                <w:kern w:val="0"/>
                <w:szCs w:val="21"/>
              </w:rPr>
              <w:t>3</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4" w:hRule="atLeast"/>
          <w:jc w:val="center"/>
        </w:trPr>
        <w:tc>
          <w:tcPr>
            <w:tcW w:w="1120" w:type="dxa"/>
            <w:vAlign w:val="center"/>
          </w:tcPr>
          <w:p>
            <w:pPr>
              <w:snapToGrid w:val="0"/>
              <w:spacing w:line="360" w:lineRule="auto"/>
              <w:jc w:val="left"/>
              <w:rPr>
                <w:rFonts w:ascii="宋体" w:hAnsi="宋体" w:cs="宋体"/>
                <w:kern w:val="0"/>
                <w:szCs w:val="21"/>
              </w:rPr>
            </w:pPr>
            <w:r>
              <w:rPr>
                <w:rFonts w:hint="eastAsia" w:ascii="宋体" w:hAnsi="宋体" w:cs="宋体"/>
                <w:kern w:val="0"/>
                <w:szCs w:val="21"/>
              </w:rPr>
              <w:t>价格</w:t>
            </w:r>
          </w:p>
        </w:tc>
        <w:tc>
          <w:tcPr>
            <w:tcW w:w="1715" w:type="dxa"/>
            <w:vAlign w:val="center"/>
          </w:tcPr>
          <w:p>
            <w:pPr>
              <w:spacing w:line="360" w:lineRule="auto"/>
              <w:jc w:val="center"/>
              <w:rPr>
                <w:rFonts w:ascii="宋体" w:hAnsi="宋体"/>
                <w:bCs/>
                <w:color w:val="000000"/>
                <w:szCs w:val="21"/>
              </w:rPr>
            </w:pPr>
            <w:r>
              <w:rPr>
                <w:rFonts w:hint="eastAsia" w:ascii="宋体" w:hAnsi="宋体"/>
                <w:bCs/>
                <w:color w:val="000000"/>
                <w:szCs w:val="21"/>
              </w:rPr>
              <w:t>项目</w:t>
            </w:r>
            <w:r>
              <w:rPr>
                <w:rFonts w:ascii="宋体" w:hAnsi="宋体"/>
                <w:bCs/>
                <w:color w:val="000000"/>
                <w:szCs w:val="21"/>
              </w:rPr>
              <w:t>报价</w:t>
            </w:r>
          </w:p>
        </w:tc>
        <w:tc>
          <w:tcPr>
            <w:tcW w:w="804" w:type="dxa"/>
            <w:vAlign w:val="center"/>
          </w:tcPr>
          <w:p>
            <w:pPr>
              <w:snapToGrid w:val="0"/>
              <w:spacing w:line="360" w:lineRule="auto"/>
              <w:jc w:val="center"/>
              <w:rPr>
                <w:rFonts w:ascii="宋体" w:hAnsi="宋体" w:cs="宋体"/>
                <w:kern w:val="0"/>
                <w:szCs w:val="21"/>
              </w:rPr>
            </w:pPr>
            <w:r>
              <w:rPr>
                <w:rFonts w:ascii="宋体" w:hAnsi="宋体" w:cs="宋体"/>
                <w:kern w:val="0"/>
                <w:szCs w:val="21"/>
              </w:rPr>
              <w:t>60</w:t>
            </w:r>
          </w:p>
        </w:tc>
        <w:tc>
          <w:tcPr>
            <w:tcW w:w="4612" w:type="dxa"/>
            <w:vAlign w:val="center"/>
          </w:tcPr>
          <w:p>
            <w:pPr>
              <w:widowControl/>
              <w:tabs>
                <w:tab w:val="left" w:pos="0"/>
              </w:tabs>
              <w:spacing w:line="360" w:lineRule="auto"/>
              <w:rPr>
                <w:rFonts w:ascii="宋体" w:hAnsi="宋体"/>
                <w:kern w:val="0"/>
                <w:szCs w:val="21"/>
              </w:rPr>
            </w:pPr>
            <w:r>
              <w:rPr>
                <w:rFonts w:hint="eastAsia" w:ascii="宋体" w:hAnsi="宋体"/>
                <w:kern w:val="0"/>
                <w:szCs w:val="21"/>
              </w:rPr>
              <w:t>A、</w:t>
            </w:r>
            <w:r>
              <w:rPr>
                <w:rFonts w:ascii="宋体" w:hAnsi="宋体"/>
                <w:kern w:val="0"/>
                <w:szCs w:val="21"/>
              </w:rPr>
              <w:t>评审</w:t>
            </w:r>
            <w:r>
              <w:rPr>
                <w:rFonts w:hint="eastAsia" w:ascii="宋体" w:hAnsi="宋体"/>
                <w:kern w:val="0"/>
                <w:szCs w:val="21"/>
              </w:rPr>
              <w:t>价的计算：</w:t>
            </w:r>
          </w:p>
          <w:p>
            <w:pPr>
              <w:widowControl/>
              <w:tabs>
                <w:tab w:val="left" w:pos="207"/>
                <w:tab w:val="left" w:pos="312"/>
              </w:tabs>
              <w:spacing w:line="360" w:lineRule="auto"/>
              <w:rPr>
                <w:rFonts w:ascii="宋体" w:hAnsi="宋体"/>
                <w:kern w:val="0"/>
                <w:szCs w:val="21"/>
              </w:rPr>
            </w:pPr>
            <w:r>
              <w:rPr>
                <w:rFonts w:hint="eastAsia" w:ascii="宋体" w:hAnsi="宋体"/>
                <w:szCs w:val="21"/>
              </w:rPr>
              <w:t>1、供应商的最终报价</w:t>
            </w:r>
            <w:r>
              <w:rPr>
                <w:rFonts w:hint="eastAsia" w:ascii="宋体" w:hAnsi="宋体"/>
                <w:kern w:val="0"/>
                <w:szCs w:val="21"/>
              </w:rPr>
              <w:t>如有缺漏项均视为不实质性响应；</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2、不接受选择性报价或者具有附加条件的报价；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3、响应文件中如果申报了非竞争性磋商文件所要求的服务和产品，</w:t>
            </w:r>
            <w:r>
              <w:rPr>
                <w:rFonts w:ascii="宋体" w:hAnsi="宋体"/>
                <w:kern w:val="0"/>
                <w:szCs w:val="21"/>
              </w:rPr>
              <w:t>评审</w:t>
            </w:r>
            <w:r>
              <w:rPr>
                <w:rFonts w:hint="eastAsia" w:ascii="宋体" w:hAnsi="宋体"/>
                <w:kern w:val="0"/>
                <w:szCs w:val="21"/>
              </w:rPr>
              <w:t>时不予以折价降低</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4、供应商</w:t>
            </w:r>
            <w:r>
              <w:rPr>
                <w:rFonts w:hint="eastAsia" w:ascii="宋体" w:hAnsi="宋体"/>
                <w:szCs w:val="21"/>
              </w:rPr>
              <w:t>的含税</w:t>
            </w:r>
            <w:r>
              <w:rPr>
                <w:rFonts w:hint="eastAsia" w:ascii="宋体" w:hAnsi="宋体"/>
                <w:kern w:val="0"/>
                <w:szCs w:val="21"/>
              </w:rPr>
              <w:t>报价经勘误后的</w:t>
            </w:r>
            <w:r>
              <w:rPr>
                <w:rFonts w:hint="eastAsia" w:ascii="宋体" w:hAnsi="宋体"/>
                <w:szCs w:val="21"/>
              </w:rPr>
              <w:t>值</w:t>
            </w:r>
            <w:r>
              <w:rPr>
                <w:rFonts w:hint="eastAsia" w:ascii="宋体" w:hAnsi="宋体"/>
                <w:kern w:val="0"/>
                <w:szCs w:val="21"/>
              </w:rPr>
              <w:t>作为该供应商的</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B、价格分的计算（</w:t>
            </w:r>
            <w:r>
              <w:rPr>
                <w:rFonts w:ascii="宋体" w:hAnsi="宋体"/>
                <w:kern w:val="0"/>
                <w:szCs w:val="21"/>
              </w:rPr>
              <w:t>保留小数点后2位）</w:t>
            </w:r>
          </w:p>
          <w:p>
            <w:pPr>
              <w:widowControl/>
              <w:tabs>
                <w:tab w:val="left" w:pos="0"/>
              </w:tabs>
              <w:spacing w:line="360" w:lineRule="auto"/>
              <w:rPr>
                <w:rFonts w:ascii="宋体" w:hAnsi="宋体"/>
                <w:kern w:val="0"/>
                <w:szCs w:val="21"/>
              </w:rPr>
            </w:pPr>
            <w:r>
              <w:rPr>
                <w:rFonts w:ascii="宋体" w:hAnsi="宋体"/>
                <w:kern w:val="0"/>
                <w:szCs w:val="21"/>
              </w:rPr>
              <w:t>1. 评审基准价：将满足</w:t>
            </w:r>
            <w:r>
              <w:rPr>
                <w:rFonts w:hint="eastAsia" w:ascii="宋体" w:hAnsi="宋体"/>
                <w:kern w:val="0"/>
                <w:szCs w:val="21"/>
              </w:rPr>
              <w:t>响应文件</w:t>
            </w:r>
            <w:r>
              <w:rPr>
                <w:rFonts w:ascii="宋体" w:hAnsi="宋体"/>
                <w:kern w:val="0"/>
                <w:szCs w:val="21"/>
              </w:rPr>
              <w:t>要求的所有</w:t>
            </w:r>
            <w:r>
              <w:rPr>
                <w:rFonts w:hint="eastAsia" w:ascii="宋体" w:hAnsi="宋体"/>
              </w:rPr>
              <w:t>供应商</w:t>
            </w:r>
            <w:r>
              <w:rPr>
                <w:rFonts w:hint="eastAsia" w:ascii="宋体" w:hAnsi="宋体"/>
                <w:kern w:val="0"/>
                <w:szCs w:val="21"/>
              </w:rPr>
              <w:t>的最低</w:t>
            </w:r>
            <w:r>
              <w:rPr>
                <w:rFonts w:ascii="宋体" w:hAnsi="宋体"/>
                <w:kern w:val="0"/>
                <w:szCs w:val="21"/>
              </w:rPr>
              <w:t>价为评审基准价。</w:t>
            </w:r>
          </w:p>
          <w:p>
            <w:pPr>
              <w:snapToGrid w:val="0"/>
              <w:spacing w:line="360" w:lineRule="auto"/>
              <w:jc w:val="left"/>
              <w:rPr>
                <w:rFonts w:ascii="宋体" w:hAnsi="宋体" w:cs="宋体"/>
                <w:kern w:val="0"/>
                <w:szCs w:val="21"/>
              </w:rPr>
            </w:pPr>
            <w:r>
              <w:rPr>
                <w:rFonts w:hint="eastAsia" w:ascii="宋体" w:hAnsi="宋体"/>
                <w:kern w:val="0"/>
                <w:szCs w:val="21"/>
              </w:rPr>
              <w:t>2、报价得分=（评审基准价/</w:t>
            </w:r>
            <w:r>
              <w:rPr>
                <w:rFonts w:hint="eastAsia" w:ascii="宋体" w:hAnsi="宋体"/>
              </w:rPr>
              <w:t>供应商</w:t>
            </w:r>
            <w:r>
              <w:rPr>
                <w:rFonts w:hint="eastAsia" w:ascii="宋体" w:hAnsi="宋体"/>
                <w:kern w:val="0"/>
                <w:szCs w:val="21"/>
              </w:rPr>
              <w:t>报价）*60。</w:t>
            </w:r>
          </w:p>
        </w:tc>
      </w:tr>
    </w:tbl>
    <w:p/>
    <w:p>
      <w:pPr>
        <w:pStyle w:val="3"/>
        <w:numPr>
          <w:ilvl w:val="0"/>
          <w:numId w:val="0"/>
        </w:numPr>
        <w:spacing w:before="0" w:after="0" w:line="360" w:lineRule="auto"/>
        <w:rPr>
          <w:b/>
          <w:color w:val="000000"/>
          <w:sz w:val="36"/>
          <w:szCs w:val="36"/>
        </w:rPr>
      </w:pPr>
      <w:r>
        <w:br w:type="page"/>
      </w:r>
      <w:bookmarkStart w:id="16" w:name="_Toc69378618"/>
      <w:r>
        <w:rPr>
          <w:rFonts w:hint="eastAsia"/>
          <w:b/>
          <w:sz w:val="36"/>
          <w:szCs w:val="36"/>
        </w:rPr>
        <w:t>第四章</w:t>
      </w:r>
      <w:r>
        <w:rPr>
          <w:b/>
          <w:sz w:val="36"/>
          <w:szCs w:val="36"/>
        </w:rPr>
        <w:t>合同格式</w:t>
      </w:r>
      <w:bookmarkEnd w:id="16"/>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widowControl/>
        <w:adjustRightInd w:val="0"/>
        <w:snapToGrid w:val="0"/>
        <w:spacing w:line="360" w:lineRule="auto"/>
        <w:ind w:firstLine="480" w:firstLineChars="200"/>
        <w:rPr>
          <w:rFonts w:asciiTheme="minorEastAsia" w:hAnsiTheme="minorEastAsia" w:eastAsiaTheme="minorEastAsia"/>
          <w:kern w:val="0"/>
          <w:sz w:val="24"/>
        </w:rPr>
      </w:pPr>
      <w:bookmarkStart w:id="17" w:name="_Toc69378633"/>
      <w:r>
        <w:rPr>
          <w:rFonts w:hint="eastAsia" w:asciiTheme="minorEastAsia" w:hAnsiTheme="minorEastAsia" w:eastAsiaTheme="minorEastAsia"/>
          <w:kern w:val="0"/>
          <w:sz w:val="24"/>
        </w:rPr>
        <w:t>根据《中华人民共和国民法典》及通信工程建设的有关法律、法规的规定，结合本工程的具体情况，经双方协商一致，签订本合同，以资共同遵守。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第一条　工程概况</w:t>
      </w:r>
    </w:p>
    <w:p>
      <w:pPr>
        <w:widowControl/>
        <w:numPr>
          <w:ilvl w:val="0"/>
          <w:numId w:val="6"/>
        </w:numPr>
        <w:adjustRightInd w:val="0"/>
        <w:snapToGrid w:val="0"/>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kern w:val="0"/>
          <w:sz w:val="24"/>
        </w:rPr>
        <w:t>工程名称：</w:t>
      </w:r>
      <w:r>
        <w:rPr>
          <w:rFonts w:hint="eastAsia" w:asciiTheme="minorEastAsia" w:hAnsiTheme="minorEastAsia" w:eastAsiaTheme="minorEastAsia"/>
          <w:sz w:val="24"/>
          <w:u w:val="single"/>
        </w:rPr>
        <w:t>栖霞机房传输和配套设备搬迁</w:t>
      </w:r>
    </w:p>
    <w:p>
      <w:pPr>
        <w:widowControl/>
        <w:adjustRightInd w:val="0"/>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kern w:val="0"/>
          <w:sz w:val="24"/>
        </w:rPr>
        <w:t xml:space="preserve">    2．工程地点：</w:t>
      </w:r>
      <w:r>
        <w:rPr>
          <w:rFonts w:hint="eastAsia" w:asciiTheme="minorEastAsia" w:hAnsiTheme="minorEastAsia" w:eastAsiaTheme="minorEastAsia"/>
          <w:sz w:val="24"/>
          <w:u w:val="single"/>
        </w:rPr>
        <w:t xml:space="preserve"> 栖霞广电机房          </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工程范围和内容：（如下表）</w:t>
      </w:r>
    </w:p>
    <w:tbl>
      <w:tblPr>
        <w:tblStyle w:val="53"/>
        <w:tblW w:w="8650" w:type="dxa"/>
        <w:jc w:val="center"/>
        <w:tblLayout w:type="fixed"/>
        <w:tblCellMar>
          <w:top w:w="0" w:type="dxa"/>
          <w:left w:w="108" w:type="dxa"/>
          <w:bottom w:w="0" w:type="dxa"/>
          <w:right w:w="108" w:type="dxa"/>
        </w:tblCellMar>
      </w:tblPr>
      <w:tblGrid>
        <w:gridCol w:w="1160"/>
        <w:gridCol w:w="2237"/>
        <w:gridCol w:w="993"/>
        <w:gridCol w:w="870"/>
        <w:gridCol w:w="1256"/>
        <w:gridCol w:w="1141"/>
        <w:gridCol w:w="993"/>
      </w:tblGrid>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需搬迁系统</w:t>
            </w:r>
          </w:p>
        </w:tc>
        <w:tc>
          <w:tcPr>
            <w:tcW w:w="2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需搬迁设备</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需搬迁设备数量</w:t>
            </w: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搬迁服务费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搬迁服务费小计</w:t>
            </w:r>
          </w:p>
        </w:tc>
      </w:tr>
      <w:tr>
        <w:tblPrEx>
          <w:tblCellMar>
            <w:top w:w="0" w:type="dxa"/>
            <w:left w:w="108" w:type="dxa"/>
            <w:bottom w:w="0" w:type="dxa"/>
            <w:right w:w="108" w:type="dxa"/>
          </w:tblCellMar>
        </w:tblPrEx>
        <w:trPr>
          <w:trHeight w:val="270" w:hRule="atLeast"/>
          <w:jc w:val="center"/>
        </w:trPr>
        <w:tc>
          <w:tcPr>
            <w:tcW w:w="1160" w:type="dxa"/>
            <w:vMerge w:val="restart"/>
            <w:tcBorders>
              <w:top w:val="nil"/>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市县系统</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OSN</w:t>
            </w:r>
            <w:r>
              <w:rPr>
                <w:rFonts w:ascii="宋体" w:hAnsi="宋体" w:cs="宋体"/>
                <w:color w:val="000000"/>
                <w:kern w:val="0"/>
                <w:sz w:val="22"/>
                <w:szCs w:val="22"/>
              </w:rPr>
              <w:t>6800</w:t>
            </w:r>
            <w:r>
              <w:rPr>
                <w:rFonts w:hint="eastAsia" w:ascii="宋体" w:hAnsi="宋体" w:cs="宋体"/>
                <w:color w:val="000000"/>
                <w:kern w:val="0"/>
                <w:sz w:val="22"/>
                <w:szCs w:val="22"/>
              </w:rPr>
              <w:t>机柜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中恒电源柜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电池</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r>
              <w:rPr>
                <w:rFonts w:ascii="宋体" w:hAnsi="宋体" w:cs="宋体"/>
                <w:color w:val="000000"/>
                <w:kern w:val="0"/>
                <w:sz w:val="22"/>
                <w:szCs w:val="22"/>
              </w:rPr>
              <w:t>4</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节</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信源交换机</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码流分析仪</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ODF柜</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台</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单位</w:t>
            </w: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规格</w:t>
            </w: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单价</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工勘费</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辅材费</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电源线</w:t>
            </w:r>
          </w:p>
        </w:tc>
        <w:tc>
          <w:tcPr>
            <w:tcW w:w="2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光纤</w:t>
            </w:r>
          </w:p>
        </w:tc>
        <w:tc>
          <w:tcPr>
            <w:tcW w:w="22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4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网线</w:t>
            </w:r>
          </w:p>
        </w:tc>
        <w:tc>
          <w:tcPr>
            <w:tcW w:w="2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2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1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35" w:hRule="atLeast"/>
          <w:jc w:val="center"/>
        </w:trPr>
        <w:tc>
          <w:tcPr>
            <w:tcW w:w="765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r>
    </w:tbl>
    <w:p>
      <w:pPr>
        <w:widowControl/>
        <w:adjustRightInd w:val="0"/>
        <w:snapToGrid w:val="0"/>
        <w:spacing w:line="360" w:lineRule="auto"/>
        <w:rPr>
          <w:rFonts w:asciiTheme="minorEastAsia" w:hAnsiTheme="minorEastAsia" w:eastAsiaTheme="minorEastAsia"/>
          <w:kern w:val="0"/>
          <w:sz w:val="24"/>
        </w:rPr>
      </w:pP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第二条　工程期限</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本工程开工日期为xx年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日，竣工日期为</w:t>
      </w:r>
      <w:r>
        <w:rPr>
          <w:rFonts w:asciiTheme="minorEastAsia" w:hAnsiTheme="minorEastAsia" w:eastAsiaTheme="minorEastAsia"/>
          <w:kern w:val="0"/>
          <w:sz w:val="24"/>
        </w:rPr>
        <w:t>xx</w:t>
      </w:r>
      <w:r>
        <w:rPr>
          <w:rFonts w:hint="eastAsia" w:asciiTheme="minorEastAsia" w:hAnsiTheme="minorEastAsia" w:eastAsiaTheme="minorEastAsia"/>
          <w:kern w:val="0"/>
          <w:sz w:val="24"/>
        </w:rPr>
        <w:t>年</w:t>
      </w:r>
      <w:r>
        <w:rPr>
          <w:rFonts w:asciiTheme="minorEastAsia" w:hAnsiTheme="minorEastAsia" w:eastAsiaTheme="minorEastAsia"/>
          <w:kern w:val="0"/>
          <w:sz w:val="24"/>
        </w:rPr>
        <w:t>xx</w:t>
      </w:r>
      <w:r>
        <w:rPr>
          <w:rFonts w:hint="eastAsia" w:asciiTheme="minorEastAsia" w:hAnsiTheme="minorEastAsia" w:eastAsiaTheme="minorEastAsia"/>
          <w:kern w:val="0"/>
          <w:sz w:val="24"/>
        </w:rPr>
        <w:t>月</w:t>
      </w:r>
      <w:r>
        <w:rPr>
          <w:rFonts w:asciiTheme="minorEastAsia" w:hAnsiTheme="minorEastAsia" w:eastAsiaTheme="minorEastAsia"/>
          <w:kern w:val="0"/>
          <w:sz w:val="24"/>
        </w:rPr>
        <w:t>xx</w:t>
      </w:r>
      <w:r>
        <w:rPr>
          <w:rFonts w:hint="eastAsia" w:asciiTheme="minorEastAsia" w:hAnsiTheme="minorEastAsia" w:eastAsiaTheme="minorEastAsia"/>
          <w:kern w:val="0"/>
          <w:sz w:val="24"/>
        </w:rPr>
        <w:t>日</w:t>
      </w:r>
    </w:p>
    <w:p>
      <w:pPr>
        <w:widowControl/>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第三条 工程价款的结算与支付</w:t>
      </w:r>
    </w:p>
    <w:p>
      <w:pPr>
        <w:adjustRightInd w:val="0"/>
        <w:snapToGrid w:val="0"/>
        <w:spacing w:line="360" w:lineRule="auto"/>
        <w:ind w:left="479" w:leftChars="228"/>
        <w:rPr>
          <w:rFonts w:asciiTheme="minorEastAsia" w:hAnsiTheme="minorEastAsia" w:eastAsiaTheme="minorEastAsia"/>
          <w:sz w:val="24"/>
        </w:rPr>
      </w:pPr>
      <w:r>
        <w:rPr>
          <w:rFonts w:hint="eastAsia" w:asciiTheme="minorEastAsia" w:hAnsiTheme="minorEastAsia" w:eastAsiaTheme="minorEastAsia"/>
          <w:sz w:val="24"/>
        </w:rPr>
        <w:t>1．本合同工程总价格为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元人民币（大写：</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本合同中甲乙双方之间发生的一切费用均以人民币结算及支付。</w:t>
      </w:r>
    </w:p>
    <w:p>
      <w:pPr>
        <w:adjustRightInd w:val="0"/>
        <w:snapToGrid w:val="0"/>
        <w:spacing w:line="360" w:lineRule="auto"/>
        <w:ind w:left="210" w:leftChars="100" w:firstLine="240" w:firstLineChars="100"/>
        <w:rPr>
          <w:rFonts w:asciiTheme="minorEastAsia" w:hAnsiTheme="minorEastAsia" w:eastAsiaTheme="minorEastAsia"/>
          <w:sz w:val="24"/>
        </w:rPr>
      </w:pPr>
      <w:r>
        <w:rPr>
          <w:rFonts w:hint="eastAsia" w:asciiTheme="minorEastAsia" w:hAnsiTheme="minorEastAsia" w:eastAsiaTheme="minorEastAsia"/>
          <w:sz w:val="24"/>
        </w:rPr>
        <w:t>2.合同付款进度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生效后，乙方并完成方案制作，乙方应向甲方提供增值税专用服务发票，甲方应在收到乙方开据的发票后十五个工作日内，向乙方支付合同总价的30%；设备搬迁完毕并通过甲方的验收（以双方签署验收报告时间为准）后十五个工作日内，甲方应向乙方支付合同总价的70%。</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3.甲乙双方的帐户名称、开户银行、银行帐号以本合同提供的为准，如有变更，变更方应在合同约定的相关付款期限15日前以加盖财务专用章的书面文件的原件通知对方。</w:t>
      </w:r>
      <w:r>
        <w:rPr>
          <w:rFonts w:hint="eastAsia" w:asciiTheme="minorEastAsia" w:hAnsiTheme="minorEastAsia" w:eastAsiaTheme="minorEastAsia"/>
          <w:kern w:val="0"/>
          <w:sz w:val="24"/>
        </w:rPr>
        <w:t>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第四条　甲方权利和义务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1．组织工程建设项目的技术交底，向乙方明确施工任务；</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2．提供必要的施工条件；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3．负责工程材料的供应；</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4．指派甲方代表对建设工程项目进行全面协调和监督检查；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 在乙方提供全套竣工资料和书面竣工验收报告后会同有关部门及时组织验收；</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6．按合同约定按时向乙方支付工程款。</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第五条　乙方权利和义务</w:t>
      </w:r>
    </w:p>
    <w:p>
      <w:pPr>
        <w:widowControl/>
        <w:numPr>
          <w:ilvl w:val="0"/>
          <w:numId w:val="7"/>
        </w:numPr>
        <w:adjustRightInd w:val="0"/>
        <w:snapToGrid w:val="0"/>
        <w:spacing w:line="360" w:lineRule="auto"/>
        <w:ind w:left="390" w:hanging="390"/>
        <w:rPr>
          <w:rFonts w:asciiTheme="minorEastAsia" w:hAnsiTheme="minorEastAsia" w:eastAsiaTheme="minorEastAsia"/>
          <w:kern w:val="0"/>
          <w:sz w:val="24"/>
        </w:rPr>
      </w:pPr>
      <w:r>
        <w:rPr>
          <w:rFonts w:hint="eastAsia" w:asciiTheme="minorEastAsia" w:hAnsiTheme="minorEastAsia" w:eastAsiaTheme="minorEastAsia"/>
          <w:kern w:val="0"/>
          <w:sz w:val="24"/>
        </w:rPr>
        <w:t>必须具有经国家有关部门批准的通信行业施工资质，并向甲方提供企业（或公司）施工资质证书、企业基本情况等相关资料；</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3．精心组织施工管理人员、施工人员、材料、施工机械进场施工；</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4．合理组织施工，编制施工方案、施工总进度计划、材料供应计划，并在施工前送甲方备案；</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5．严格按设计文件及操作规范等技术要求等规范施工；</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宋体" w:hAnsi="宋体"/>
          <w:kern w:val="0"/>
          <w:sz w:val="24"/>
        </w:rPr>
        <w:t>7．做好设备搬运的各项工作，由有搬迁资质和经验的搬迁队伍完成设备搬运，搬运时采用必要的保护措施，搬运过程中由专人全程负责搬运设备的监控和安全管理，负责因搬运不当造成的设备损失；</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asciiTheme="minorEastAsia" w:hAnsiTheme="minorEastAsia" w:eastAsiaTheme="minorEastAsia"/>
          <w:kern w:val="0"/>
          <w:sz w:val="24"/>
        </w:rPr>
        <w:t>8</w:t>
      </w:r>
      <w:r>
        <w:rPr>
          <w:rFonts w:hint="eastAsia" w:asciiTheme="minorEastAsia" w:hAnsiTheme="minorEastAsia" w:eastAsiaTheme="minorEastAsia"/>
          <w:kern w:val="0"/>
          <w:sz w:val="24"/>
        </w:rPr>
        <w:t>．施工过程中必须严格遵守安全操作规程，采取必要的安全防护措施，消除事故隐患，切实做好安全生产工作。乙方应为其人员提供相应劳动保护，非因甲方原因，乙方人员遭受人身、财产损害，或乙方人员造成甲方、第三人人身财产损害的，由乙方承担全部责任。</w:t>
      </w:r>
    </w:p>
    <w:p>
      <w:pPr>
        <w:widowControl/>
        <w:adjustRightInd w:val="0"/>
        <w:snapToGrid w:val="0"/>
        <w:spacing w:line="360" w:lineRule="auto"/>
        <w:ind w:firstLine="420"/>
        <w:rPr>
          <w:rFonts w:asciiTheme="minorEastAsia" w:hAnsiTheme="minorEastAsia" w:eastAsiaTheme="minorEastAsia"/>
          <w:kern w:val="0"/>
          <w:sz w:val="24"/>
        </w:rPr>
      </w:pPr>
      <w:r>
        <w:rPr>
          <w:rFonts w:hint="eastAsia" w:asciiTheme="minorEastAsia" w:hAnsiTheme="minorEastAsia" w:eastAsiaTheme="minorEastAsia"/>
          <w:kern w:val="0"/>
          <w:sz w:val="24"/>
        </w:rPr>
        <w:t>第六条　竣工验收</w:t>
      </w:r>
    </w:p>
    <w:p>
      <w:pPr>
        <w:pStyle w:val="18"/>
        <w:adjustRightInd w:val="0"/>
        <w:snapToGrid w:val="0"/>
        <w:spacing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1.甲乙双方认为以下情况均可以视为乙方完成合格工程：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sym w:font="Wingdings" w:char="F081"/>
      </w:r>
      <w:r>
        <w:rPr>
          <w:rFonts w:hint="eastAsia" w:asciiTheme="minorEastAsia" w:hAnsiTheme="minorEastAsia" w:eastAsiaTheme="minorEastAsia"/>
          <w:sz w:val="24"/>
        </w:rPr>
        <w:t>甲方未提出整改意见，并且事实上已经开始正常使用；</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2．甲方收到乙方提供的全套竣工资料和书面竣工验收报告后会同有关部门及时组织验收，验收以施工图纸、图说、技术交底纪要、设计更改通知、国家颁发的施工验收规范和质量检验标准为依据。</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3．验收合格后，双方签署竣工验收通过的文件，并将工程移交给甲方管理。验收中如发现有不符质量要求的，由乙方负责修改再进行验收。竣工日期以验收通过的日期为准。</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4、乙方可以提供7×24小时热线服务和现场支持服务，所产生的费用，由甲乙方双方协商付款金额和付款方式。</w:t>
      </w:r>
    </w:p>
    <w:p>
      <w:pPr>
        <w:numPr>
          <w:ilvl w:val="0"/>
          <w:numId w:val="8"/>
        </w:numPr>
        <w:adjustRightInd w:val="0"/>
        <w:snapToGrid w:val="0"/>
        <w:spacing w:line="360" w:lineRule="auto"/>
        <w:ind w:left="360"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合同解除</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1．双方协商同意可解除本合同。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 有下列情形之一的，甲方、乙方可以解除合同：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（1）因不可抗力</w:t>
      </w:r>
      <w:r>
        <w:rPr>
          <w:rFonts w:hint="eastAsia" w:asciiTheme="minorEastAsia" w:hAnsiTheme="minorEastAsia" w:eastAsiaTheme="minorEastAsia"/>
          <w:sz w:val="24"/>
        </w:rPr>
        <w:t>（包括因战争、动乱、空中飞行物体坠落或其它非甲乙方责任造成的爆炸、火灾，以及协议条款约定等级以上的风、雨、雪、震等对工程造成损害的自然灾害）</w:t>
      </w:r>
      <w:r>
        <w:rPr>
          <w:rFonts w:hint="eastAsia" w:asciiTheme="minorEastAsia" w:hAnsiTheme="minorEastAsia" w:eastAsiaTheme="minorEastAsia"/>
          <w:kern w:val="0"/>
          <w:sz w:val="24"/>
        </w:rPr>
        <w:t>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（2）因一方严重违约致使合同无法履行。</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一方依据本条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第八条  违约和索赔</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1.甲方违约责任</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①因甲方原因不能按合同规定的时间及时付款，则每延迟付款一天，甲方应按欠款金额的万分之四向乙方支付违约金，最高不超过本工程总承包费的10%。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②因甲方原因造成工期延误，乙方对此不承担责任，工期自动顺延。</w:t>
      </w:r>
    </w:p>
    <w:p>
      <w:pPr>
        <w:adjustRightInd w:val="0"/>
        <w:snapToGrid w:val="0"/>
        <w:spacing w:line="360" w:lineRule="auto"/>
        <w:ind w:firstLine="448" w:firstLineChars="187"/>
        <w:rPr>
          <w:rFonts w:asciiTheme="minorEastAsia" w:hAnsiTheme="minorEastAsia" w:eastAsiaTheme="minorEastAsia"/>
          <w:sz w:val="24"/>
        </w:rPr>
      </w:pPr>
      <w:r>
        <w:rPr>
          <w:rFonts w:hint="eastAsia" w:asciiTheme="minorEastAsia" w:hAnsiTheme="minorEastAsia" w:eastAsiaTheme="minorEastAsia"/>
          <w:sz w:val="24"/>
        </w:rPr>
        <w:t xml:space="preserve">③在本合同履行期间，若甲方没有完全履行其责任和义务，经合理催告后仍未履行的，则被视为对乙违约，甲方应赔偿乙方因此造成的直接损失。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2.乙方违约责任</w:t>
      </w:r>
    </w:p>
    <w:p>
      <w:pPr>
        <w:pStyle w:val="286"/>
        <w:tabs>
          <w:tab w:val="left" w:pos="0"/>
          <w:tab w:val="left" w:pos="510"/>
          <w:tab w:val="left" w:pos="567"/>
          <w:tab w:val="left" w:pos="601"/>
        </w:tabs>
        <w:snapToGrid w:val="0"/>
        <w:spacing w:line="360" w:lineRule="auto"/>
        <w:ind w:firstLine="480" w:firstLineChars="200"/>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①如因乙方原因造成工期延误，则乙方应向甲方支付工期违约金，工期违约金按延误天数以每天本工程总承包费的日万分之五计算，最高不超过本工程总承包费的10%。逾期超过3</w:t>
      </w:r>
      <w:r>
        <w:rPr>
          <w:rFonts w:asciiTheme="minorEastAsia" w:hAnsiTheme="minorEastAsia" w:eastAsiaTheme="minorEastAsia"/>
          <w:kern w:val="2"/>
          <w:szCs w:val="24"/>
        </w:rPr>
        <w:t>0</w:t>
      </w:r>
      <w:r>
        <w:rPr>
          <w:rFonts w:hint="eastAsia" w:asciiTheme="minorEastAsia" w:hAnsiTheme="minorEastAsia" w:eastAsiaTheme="minorEastAsia"/>
          <w:kern w:val="2"/>
          <w:szCs w:val="24"/>
        </w:rPr>
        <w:t>日，甲方有权单方面解除合同，乙方应另行支付乙方本工程总承包费的2</w:t>
      </w:r>
      <w:r>
        <w:rPr>
          <w:rFonts w:asciiTheme="minorEastAsia" w:hAnsiTheme="minorEastAsia" w:eastAsiaTheme="minorEastAsia"/>
          <w:kern w:val="2"/>
          <w:szCs w:val="24"/>
        </w:rPr>
        <w:t>0</w:t>
      </w:r>
      <w:r>
        <w:rPr>
          <w:rFonts w:hint="eastAsia" w:asciiTheme="minorEastAsia" w:hAnsiTheme="minorEastAsia" w:eastAsiaTheme="minorEastAsia"/>
          <w:kern w:val="2"/>
          <w:szCs w:val="24"/>
        </w:rPr>
        <w:t>%作为违约金，同时赔偿因此给甲方造成的全部损失。</w:t>
      </w:r>
    </w:p>
    <w:p>
      <w:pPr>
        <w:pStyle w:val="286"/>
        <w:tabs>
          <w:tab w:val="left" w:pos="0"/>
          <w:tab w:val="left" w:pos="510"/>
          <w:tab w:val="left" w:pos="567"/>
          <w:tab w:val="left" w:pos="601"/>
        </w:tabs>
        <w:snapToGrid w:val="0"/>
        <w:spacing w:line="360" w:lineRule="auto"/>
        <w:ind w:firstLine="448" w:firstLineChars="187"/>
        <w:jc w:val="both"/>
        <w:rPr>
          <w:rFonts w:asciiTheme="minorEastAsia" w:hAnsiTheme="minorEastAsia" w:eastAsiaTheme="minorEastAsia"/>
          <w:kern w:val="2"/>
          <w:szCs w:val="24"/>
        </w:rPr>
      </w:pPr>
      <w:r>
        <w:rPr>
          <w:rFonts w:hint="eastAsia" w:asciiTheme="minorEastAsia" w:hAnsiTheme="minorEastAsia" w:eastAsiaTheme="minorEastAsia"/>
          <w:kern w:val="2"/>
          <w:szCs w:val="24"/>
        </w:rPr>
        <w:t>②在合同履行期间如用户因乙方的工程质量等因素向甲方提出投诉，则被视为对甲方的名誉造成损失，乙方需向甲方书面道歉并支付赔偿金，赔偿金的总额不超过本工程总承包费的10%。</w:t>
      </w:r>
    </w:p>
    <w:p>
      <w:pPr>
        <w:tabs>
          <w:tab w:val="left" w:pos="425"/>
        </w:tabs>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③在本合同履行期间，若乙方没有完全履行其责任和义务，则被视为对甲方的违约，乙方应向甲方支付违约金，违约金的总额不超过本工程总承包费10%。</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第九条　争议解决方式     </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在履行合同时发生争议，双方协商解决，或向工程所在地有管辖权的人民法院起诉。</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第十条　其他</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1．本合同未尽事项，双方另行签订补充协议，补充协议与本合同具有同等效力；</w:t>
      </w:r>
    </w:p>
    <w:p>
      <w:pPr>
        <w:widowControl/>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2．本合同一式肆份，甲乙双方各执两份，每份均具有同等法律效力，合同经双方盖章后生效。</w:t>
      </w:r>
    </w:p>
    <w:p>
      <w:pPr>
        <w:widowControl/>
        <w:adjustRightInd w:val="0"/>
        <w:snapToGri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（以下无正文）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17"/>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18" w:name="_Toc69378637"/>
      <w:r>
        <w:rPr>
          <w:rFonts w:hint="eastAsia"/>
          <w:b/>
          <w:sz w:val="36"/>
          <w:szCs w:val="36"/>
        </w:rPr>
        <w:t>第五章技术需求书</w:t>
      </w:r>
      <w:bookmarkEnd w:id="18"/>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9"/>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hint="eastAsia" w:ascii="宋体" w:hAnsi="宋体"/>
          <w:color w:val="000000"/>
          <w:sz w:val="21"/>
          <w:szCs w:val="21"/>
        </w:rPr>
        <w:t>带“</w:t>
      </w:r>
      <w:r>
        <w:rPr>
          <w:rFonts w:ascii="宋体" w:hAnsi="宋体"/>
          <w:sz w:val="21"/>
          <w:szCs w:val="21"/>
        </w:rPr>
        <w:t>*</w:t>
      </w:r>
      <w:r>
        <w:rPr>
          <w:rFonts w:hint="eastAsia" w:ascii="宋体" w:hAnsi="宋体"/>
          <w:color w:val="000000"/>
          <w:sz w:val="21"/>
          <w:szCs w:val="21"/>
        </w:rPr>
        <w:t>”部分为必须保证满足要求的条款。</w:t>
      </w:r>
    </w:p>
    <w:p>
      <w:pPr>
        <w:pStyle w:val="89"/>
        <w:numPr>
          <w:ilvl w:val="0"/>
          <w:numId w:val="9"/>
        </w:numPr>
        <w:spacing w:line="360" w:lineRule="auto"/>
        <w:ind w:left="0" w:firstLine="426" w:firstLineChars="0"/>
        <w:rPr>
          <w:rFonts w:ascii="宋体" w:hAnsi="宋体"/>
          <w:sz w:val="21"/>
          <w:szCs w:val="21"/>
        </w:rPr>
      </w:pPr>
      <w:r>
        <w:rPr>
          <w:rFonts w:hint="eastAsia" w:ascii="宋体" w:hAnsi="宋体"/>
          <w:sz w:val="21"/>
          <w:szCs w:val="21"/>
        </w:rPr>
        <w:t>响应文件技术部分应答要求供应商应按照统一格式明确地逐条回答以下设备技术要求：</w:t>
      </w:r>
      <w:r>
        <w:rPr>
          <w:rFonts w:ascii="宋体" w:hAnsi="宋体"/>
          <w:sz w:val="21"/>
          <w:szCs w:val="21"/>
        </w:rPr>
        <w:t>“</w:t>
      </w:r>
      <w:r>
        <w:rPr>
          <w:rFonts w:hint="eastAsia" w:ascii="宋体" w:hAnsi="宋体"/>
          <w:sz w:val="21"/>
          <w:szCs w:val="21"/>
        </w:rPr>
        <w:t>完全满足</w:t>
      </w:r>
      <w:r>
        <w:rPr>
          <w:rFonts w:ascii="宋体" w:hAnsi="宋体"/>
          <w:sz w:val="21"/>
          <w:szCs w:val="21"/>
        </w:rPr>
        <w:t>”</w:t>
      </w:r>
      <w:r>
        <w:rPr>
          <w:rFonts w:hint="eastAsia" w:ascii="宋体" w:hAnsi="宋体"/>
          <w:sz w:val="21"/>
          <w:szCs w:val="21"/>
        </w:rPr>
        <w:t>是指完全相应供应商的技术要求，</w:t>
      </w:r>
      <w:r>
        <w:rPr>
          <w:rFonts w:ascii="宋体" w:hAnsi="宋体"/>
          <w:sz w:val="21"/>
          <w:szCs w:val="21"/>
        </w:rPr>
        <w:t>“</w:t>
      </w:r>
      <w:r>
        <w:rPr>
          <w:rFonts w:hint="eastAsia" w:ascii="宋体" w:hAnsi="宋体"/>
          <w:sz w:val="21"/>
          <w:szCs w:val="21"/>
        </w:rPr>
        <w:t>部分满足</w:t>
      </w:r>
      <w:r>
        <w:rPr>
          <w:rFonts w:ascii="宋体" w:hAnsi="宋体"/>
          <w:sz w:val="21"/>
          <w:szCs w:val="21"/>
        </w:rPr>
        <w:t>”</w:t>
      </w:r>
      <w:r>
        <w:rPr>
          <w:rFonts w:hint="eastAsia" w:ascii="宋体" w:hAnsi="宋体"/>
          <w:sz w:val="21"/>
          <w:szCs w:val="21"/>
        </w:rPr>
        <w:t>必须详细说明满足的部分和不满足的原因和解决措施，</w:t>
      </w:r>
      <w:r>
        <w:rPr>
          <w:rFonts w:ascii="宋体" w:hAnsi="宋体"/>
          <w:sz w:val="21"/>
          <w:szCs w:val="21"/>
        </w:rPr>
        <w:t>“</w:t>
      </w:r>
      <w:r>
        <w:rPr>
          <w:rFonts w:hint="eastAsia" w:ascii="宋体" w:hAnsi="宋体"/>
          <w:sz w:val="21"/>
          <w:szCs w:val="21"/>
        </w:rPr>
        <w:t>不满足</w:t>
      </w:r>
      <w:r>
        <w:rPr>
          <w:rFonts w:ascii="宋体" w:hAnsi="宋体"/>
          <w:sz w:val="21"/>
          <w:szCs w:val="21"/>
        </w:rPr>
        <w:t>”</w:t>
      </w:r>
      <w:r>
        <w:rPr>
          <w:rFonts w:hint="eastAsia" w:ascii="宋体" w:hAnsi="宋体"/>
          <w:sz w:val="21"/>
          <w:szCs w:val="21"/>
        </w:rPr>
        <w:t>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19" w:name="_Toc76856250"/>
      <w:bookmarkStart w:id="20" w:name="_Toc76996580"/>
      <w:bookmarkStart w:id="21" w:name="_Toc31826"/>
      <w:bookmarkStart w:id="22" w:name="_Toc51053569"/>
      <w:bookmarkStart w:id="23" w:name="_Toc30212"/>
    </w:p>
    <w:bookmarkEnd w:id="19"/>
    <w:bookmarkEnd w:id="20"/>
    <w:bookmarkEnd w:id="21"/>
    <w:bookmarkEnd w:id="22"/>
    <w:bookmarkEnd w:id="23"/>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项目介绍</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建设单位</w:t>
      </w:r>
    </w:p>
    <w:p>
      <w:pPr>
        <w:pStyle w:val="89"/>
        <w:adjustRightInd w:val="0"/>
        <w:snapToGrid w:val="0"/>
        <w:spacing w:line="360" w:lineRule="auto"/>
        <w:ind w:left="420" w:leftChars="200" w:firstLine="0" w:firstLineChars="0"/>
        <w:rPr>
          <w:rFonts w:ascii="宋体" w:hAnsi="宋体"/>
          <w:sz w:val="21"/>
          <w:szCs w:val="21"/>
        </w:rPr>
      </w:pPr>
      <w:r>
        <w:rPr>
          <w:rFonts w:hint="eastAsia" w:ascii="宋体" w:hAnsi="宋体"/>
          <w:sz w:val="21"/>
          <w:szCs w:val="21"/>
        </w:rPr>
        <w:t>江苏省广电有线信息网络股份有限公司</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机房地址</w:t>
      </w:r>
    </w:p>
    <w:p>
      <w:pPr>
        <w:adjustRightInd w:val="0"/>
        <w:snapToGrid w:val="0"/>
        <w:spacing w:line="360" w:lineRule="auto"/>
        <w:ind w:firstLine="420" w:firstLineChars="200"/>
        <w:rPr>
          <w:rFonts w:ascii="宋体" w:hAnsi="宋体"/>
          <w:szCs w:val="21"/>
        </w:rPr>
      </w:pPr>
      <w:r>
        <w:rPr>
          <w:rFonts w:hint="eastAsia" w:ascii="宋体" w:hAnsi="宋体"/>
          <w:szCs w:val="21"/>
        </w:rPr>
        <w:t>栖霞现机房：</w:t>
      </w:r>
      <w:r>
        <w:rPr>
          <w:rFonts w:hint="eastAsia"/>
          <w:color w:val="000000"/>
          <w:szCs w:val="21"/>
          <w:lang w:eastAsia="zh-Hans"/>
        </w:rPr>
        <w:t>南京市栖霞区尧化门尧佳路广电大楼</w:t>
      </w:r>
      <w:r>
        <w:rPr>
          <w:color w:val="000000"/>
          <w:szCs w:val="21"/>
          <w:lang w:eastAsia="zh-Hans"/>
        </w:rPr>
        <w:t>6</w:t>
      </w:r>
      <w:r>
        <w:rPr>
          <w:rFonts w:hint="eastAsia"/>
          <w:color w:val="000000"/>
          <w:szCs w:val="21"/>
          <w:lang w:eastAsia="zh-Hans"/>
        </w:rPr>
        <w:t>楼</w:t>
      </w:r>
    </w:p>
    <w:p>
      <w:pPr>
        <w:adjustRightInd w:val="0"/>
        <w:snapToGrid w:val="0"/>
        <w:spacing w:line="360" w:lineRule="auto"/>
        <w:ind w:firstLine="420" w:firstLineChars="200"/>
        <w:rPr>
          <w:rFonts w:ascii="宋体" w:hAnsi="宋体"/>
          <w:szCs w:val="21"/>
        </w:rPr>
      </w:pPr>
      <w:r>
        <w:rPr>
          <w:rFonts w:hint="eastAsia" w:ascii="宋体" w:hAnsi="宋体"/>
          <w:szCs w:val="21"/>
        </w:rPr>
        <w:t>栖霞新机房：</w:t>
      </w:r>
      <w:r>
        <w:rPr>
          <w:rFonts w:hint="eastAsia"/>
          <w:color w:val="000000"/>
          <w:szCs w:val="21"/>
          <w:lang w:eastAsia="zh-Hans"/>
        </w:rPr>
        <w:t>南京市栖霞区仙林街道纬地路</w:t>
      </w:r>
      <w:r>
        <w:rPr>
          <w:color w:val="000000"/>
          <w:szCs w:val="21"/>
          <w:lang w:eastAsia="zh-Hans"/>
        </w:rPr>
        <w:t>9</w:t>
      </w:r>
      <w:r>
        <w:rPr>
          <w:rFonts w:hint="eastAsia"/>
          <w:color w:val="000000"/>
          <w:szCs w:val="21"/>
          <w:lang w:eastAsia="zh-Hans"/>
        </w:rPr>
        <w:t>号生命科技园B6</w:t>
      </w:r>
      <w:r>
        <w:rPr>
          <w:color w:val="000000"/>
          <w:szCs w:val="21"/>
          <w:lang w:eastAsia="zh-Hans"/>
        </w:rPr>
        <w:t>-3</w:t>
      </w:r>
      <w:r>
        <w:rPr>
          <w:rFonts w:hint="eastAsia"/>
          <w:color w:val="000000"/>
          <w:szCs w:val="21"/>
          <w:lang w:eastAsia="zh-Hans"/>
        </w:rPr>
        <w:t>栋</w:t>
      </w:r>
      <w:r>
        <w:rPr>
          <w:color w:val="000000"/>
          <w:szCs w:val="21"/>
          <w:lang w:eastAsia="zh-Hans"/>
        </w:rPr>
        <w:t>2</w:t>
      </w:r>
      <w:r>
        <w:rPr>
          <w:rFonts w:hint="eastAsia"/>
          <w:color w:val="000000"/>
          <w:szCs w:val="21"/>
        </w:rPr>
        <w:t>楼</w:t>
      </w:r>
    </w:p>
    <w:p>
      <w:pPr>
        <w:pStyle w:val="5"/>
        <w:numPr>
          <w:ilvl w:val="1"/>
          <w:numId w:val="11"/>
        </w:numPr>
        <w:spacing w:before="0" w:after="0" w:line="360" w:lineRule="auto"/>
        <w:ind w:left="748" w:hanging="748"/>
        <w:rPr>
          <w:rFonts w:ascii="宋体" w:hAnsi="宋体" w:eastAsia="宋体"/>
          <w:b/>
          <w:bCs/>
          <w:sz w:val="21"/>
          <w:szCs w:val="21"/>
        </w:rPr>
      </w:pPr>
      <w:r>
        <w:rPr>
          <w:rFonts w:hint="eastAsia" w:ascii="宋体" w:hAnsi="宋体" w:eastAsia="宋体"/>
          <w:b/>
          <w:bCs/>
          <w:sz w:val="21"/>
          <w:szCs w:val="21"/>
        </w:rPr>
        <w:t>项目概况</w:t>
      </w:r>
    </w:p>
    <w:p>
      <w:pPr>
        <w:adjustRightInd w:val="0"/>
        <w:snapToGrid w:val="0"/>
        <w:spacing w:line="360" w:lineRule="auto"/>
        <w:ind w:firstLine="420" w:firstLineChars="200"/>
        <w:rPr>
          <w:rFonts w:ascii="宋体" w:hAnsi="宋体"/>
          <w:szCs w:val="21"/>
        </w:rPr>
      </w:pPr>
      <w:r>
        <w:rPr>
          <w:rFonts w:hint="eastAsia" w:ascii="宋体" w:hAnsi="宋体"/>
          <w:szCs w:val="21"/>
        </w:rPr>
        <w:t>根据栖霞公司业务发展规划，将原栖霞现机房的传输和配套设备搬迁至新机房。具体设备如下表所示。</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需搬迁设备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OSN6800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其中1台机柜3个子框。另1台机柜为1个子框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中恒通信电源</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1组</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信源交换机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码流分析仪</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ODF柜</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1台</w:t>
            </w:r>
          </w:p>
        </w:tc>
        <w:tc>
          <w:tcPr>
            <w:tcW w:w="3600" w:type="dxa"/>
            <w:vAlign w:val="center"/>
          </w:tcPr>
          <w:p>
            <w:pPr>
              <w:widowControl/>
              <w:jc w:val="center"/>
              <w:rPr>
                <w:rFonts w:ascii="宋体" w:hAnsi="宋体" w:cs="Arial"/>
                <w:color w:val="000000"/>
                <w:kern w:val="0"/>
                <w:sz w:val="20"/>
                <w:szCs w:val="20"/>
              </w:rPr>
            </w:pPr>
          </w:p>
        </w:tc>
      </w:tr>
    </w:tbl>
    <w:p>
      <w:pPr>
        <w:pStyle w:val="5"/>
        <w:numPr>
          <w:ilvl w:val="1"/>
          <w:numId w:val="11"/>
        </w:numPr>
        <w:spacing w:before="0" w:after="0" w:line="360" w:lineRule="auto"/>
        <w:ind w:left="748" w:hanging="748"/>
        <w:rPr>
          <w:rFonts w:ascii="宋体" w:hAnsi="宋体" w:eastAsia="宋体"/>
          <w:b/>
          <w:bCs/>
          <w:sz w:val="21"/>
          <w:szCs w:val="21"/>
        </w:rPr>
      </w:pPr>
      <w:r>
        <w:rPr>
          <w:rFonts w:ascii="宋体" w:hAnsi="宋体" w:eastAsia="宋体"/>
          <w:b/>
          <w:bCs/>
          <w:sz w:val="21"/>
          <w:szCs w:val="21"/>
        </w:rPr>
        <w:t>*项目总体要求</w:t>
      </w:r>
    </w:p>
    <w:p>
      <w:pPr>
        <w:pStyle w:val="89"/>
        <w:numPr>
          <w:ilvl w:val="0"/>
          <w:numId w:val="12"/>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本项目为交钥匙工程，项目中所涉及全部工作由供应商完成，采购人配合协助。</w:t>
      </w:r>
    </w:p>
    <w:p>
      <w:pPr>
        <w:pStyle w:val="89"/>
        <w:adjustRightInd w:val="0"/>
        <w:snapToGrid w:val="0"/>
        <w:spacing w:line="360" w:lineRule="auto"/>
        <w:ind w:left="840" w:firstLine="0" w:firstLineChars="0"/>
        <w:rPr>
          <w:rFonts w:ascii="宋体" w:hAnsi="宋体" w:eastAsia="宋体"/>
          <w:sz w:val="21"/>
          <w:szCs w:val="21"/>
        </w:rPr>
      </w:pPr>
      <w:r>
        <w:rPr>
          <w:rFonts w:hint="eastAsia" w:ascii="宋体" w:hAnsi="宋体" w:eastAsia="宋体"/>
          <w:sz w:val="21"/>
          <w:szCs w:val="21"/>
        </w:rPr>
        <w:t>供应商所完成内容包括但不限于：</w:t>
      </w:r>
    </w:p>
    <w:p>
      <w:pPr>
        <w:pStyle w:val="89"/>
        <w:numPr>
          <w:ilvl w:val="0"/>
          <w:numId w:val="13"/>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技术交流、现场勘测及工作量评估</w:t>
      </w:r>
    </w:p>
    <w:p>
      <w:pPr>
        <w:adjustRightInd w:val="0"/>
        <w:snapToGrid w:val="0"/>
        <w:spacing w:line="360" w:lineRule="auto"/>
        <w:ind w:firstLine="420" w:firstLineChars="200"/>
        <w:rPr>
          <w:rFonts w:ascii="宋体" w:hAnsi="宋体"/>
          <w:szCs w:val="21"/>
        </w:rPr>
      </w:pPr>
      <w:r>
        <w:rPr>
          <w:rFonts w:hint="eastAsia" w:ascii="宋体" w:hAnsi="宋体"/>
          <w:szCs w:val="21"/>
        </w:rPr>
        <w:t>供应商需提前做好技术交流、现场勘察、工作界面界定及项目工作量评估等工作。如因供应商对实际工作量评估不足而导致在项目实施过程中产生的额外费用由供应商承担。</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出具方案</w:t>
      </w:r>
    </w:p>
    <w:p>
      <w:pPr>
        <w:adjustRightInd w:val="0"/>
        <w:snapToGrid w:val="0"/>
        <w:spacing w:line="360" w:lineRule="auto"/>
        <w:ind w:firstLine="420" w:firstLineChars="200"/>
        <w:rPr>
          <w:rFonts w:ascii="宋体" w:hAnsi="宋体"/>
          <w:szCs w:val="21"/>
        </w:rPr>
      </w:pPr>
      <w:r>
        <w:rPr>
          <w:rFonts w:hint="eastAsia" w:ascii="宋体" w:hAnsi="宋体"/>
          <w:szCs w:val="21"/>
        </w:rPr>
        <w:t>供应商与采购人沟通、交流，由供应商出具设计、施工等方案，方案包含但不限于《</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》、图纸资料、线表等。并作为响应文件一部分提交评委审定。</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项目管理</w:t>
      </w:r>
      <w:r>
        <w:rPr>
          <w:rFonts w:hint="eastAsia" w:ascii="宋体" w:hAnsi="宋体"/>
          <w:szCs w:val="21"/>
        </w:rPr>
        <w:t>与实施</w:t>
      </w:r>
      <w:r>
        <w:rPr>
          <w:rFonts w:ascii="宋体" w:hAnsi="宋体"/>
          <w:szCs w:val="21"/>
        </w:rPr>
        <w:t>方案</w:t>
      </w:r>
      <w:r>
        <w:rPr>
          <w:rFonts w:hint="eastAsia" w:ascii="宋体" w:hAnsi="宋体"/>
          <w:szCs w:val="21"/>
        </w:rPr>
        <w:t>》：</w:t>
      </w:r>
      <w:r>
        <w:rPr>
          <w:rFonts w:ascii="宋体" w:hAnsi="宋体"/>
          <w:szCs w:val="21"/>
        </w:rPr>
        <w:t>方案包括项目组织机构、人员安排、进度安排、计划控制、</w:t>
      </w:r>
      <w:r>
        <w:rPr>
          <w:rFonts w:hint="eastAsia" w:ascii="宋体" w:hAnsi="宋体"/>
          <w:szCs w:val="21"/>
        </w:rPr>
        <w:t>项目相关人员管理、</w:t>
      </w:r>
      <w:r>
        <w:rPr>
          <w:rFonts w:ascii="宋体" w:hAnsi="宋体"/>
          <w:szCs w:val="21"/>
        </w:rPr>
        <w:t>质量管理及风险管理</w:t>
      </w:r>
      <w:r>
        <w:rPr>
          <w:rFonts w:hint="eastAsia" w:ascii="宋体" w:hAnsi="宋体"/>
          <w:szCs w:val="21"/>
        </w:rPr>
        <w:t>、生产安全管理</w:t>
      </w:r>
      <w:r>
        <w:rPr>
          <w:rFonts w:ascii="宋体" w:hAnsi="宋体"/>
          <w:szCs w:val="21"/>
        </w:rPr>
        <w:t>等内容，方案必须符合</w:t>
      </w:r>
      <w:r>
        <w:rPr>
          <w:rFonts w:hint="eastAsia" w:ascii="宋体" w:hAnsi="宋体"/>
          <w:szCs w:val="21"/>
        </w:rPr>
        <w:t>招标方现场施工相关规定和要求</w:t>
      </w:r>
      <w:r>
        <w:rPr>
          <w:rFonts w:ascii="宋体" w:hAnsi="宋体"/>
          <w:szCs w:val="21"/>
        </w:rPr>
        <w:t>。</w:t>
      </w:r>
    </w:p>
    <w:p>
      <w:pPr>
        <w:pStyle w:val="89"/>
        <w:numPr>
          <w:ilvl w:val="0"/>
          <w:numId w:val="13"/>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项目实施</w:t>
      </w:r>
    </w:p>
    <w:p>
      <w:pPr>
        <w:adjustRightInd w:val="0"/>
        <w:snapToGrid w:val="0"/>
        <w:spacing w:line="360" w:lineRule="auto"/>
        <w:ind w:firstLine="420" w:firstLineChars="200"/>
        <w:rPr>
          <w:rFonts w:ascii="宋体" w:hAnsi="宋体"/>
          <w:szCs w:val="21"/>
        </w:rPr>
      </w:pPr>
      <w:r>
        <w:rPr>
          <w:rFonts w:hint="eastAsia" w:ascii="宋体" w:hAnsi="宋体"/>
          <w:szCs w:val="21"/>
        </w:rPr>
        <w:t>供应商要详细评估本项目实施过程中需要的辅材种类和数量，对采购人未在竞争性磋商文件中列明的辅材予以补充，并在响应文件中全部列出。在项目实际实施过程中，如因需要响应文件中未列明的辅材而产生的相应费用由供应商承担。供应商中标后，施工过程中，发现线缆损伤、设备损坏等情况，招标方有权要求更换。</w:t>
      </w:r>
    </w:p>
    <w:p>
      <w:pPr>
        <w:adjustRightInd w:val="0"/>
        <w:snapToGrid w:val="0"/>
        <w:spacing w:line="360" w:lineRule="auto"/>
        <w:ind w:firstLine="420" w:firstLineChars="200"/>
        <w:rPr>
          <w:rFonts w:ascii="宋体" w:hAnsi="宋体"/>
          <w:szCs w:val="21"/>
        </w:rPr>
      </w:pPr>
      <w:r>
        <w:rPr>
          <w:rFonts w:hint="eastAsia" w:ascii="宋体" w:hAnsi="宋体"/>
          <w:szCs w:val="21"/>
        </w:rPr>
        <w:t>供应商需提供本项目中所需的工具、机械和辅助材料等。</w:t>
      </w:r>
      <w:r>
        <w:rPr>
          <w:rFonts w:hint="eastAsia" w:ascii="宋体" w:hAnsi="宋体"/>
          <w:color w:val="000000"/>
          <w:szCs w:val="21"/>
        </w:rPr>
        <w:t>设备在断电、下线、上线及加电运行等过程中必须满足《技术规范与施工工艺要求》的要求</w:t>
      </w:r>
      <w:r>
        <w:rPr>
          <w:rFonts w:hint="eastAsia" w:ascii="宋体" w:hAnsi="宋体"/>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供应商中标后需根据采购人的机房搬迁总体工作安排，进行机房搬迁实施工作。</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搬迁前，</w:t>
      </w:r>
      <w:r>
        <w:rPr>
          <w:rFonts w:hint="eastAsia" w:ascii="宋体" w:hAnsi="宋体" w:eastAsia="宋体"/>
          <w:bCs/>
          <w:sz w:val="21"/>
          <w:szCs w:val="21"/>
        </w:rPr>
        <w:t>供应商</w:t>
      </w:r>
      <w:r>
        <w:rPr>
          <w:rFonts w:hint="eastAsia" w:ascii="宋体" w:hAnsi="宋体" w:eastAsia="宋体"/>
          <w:sz w:val="21"/>
          <w:szCs w:val="21"/>
        </w:rPr>
        <w:t>中标</w:t>
      </w:r>
      <w:r>
        <w:rPr>
          <w:rFonts w:hint="eastAsia" w:ascii="宋体" w:hAnsi="宋体" w:eastAsia="宋体"/>
          <w:bCs/>
          <w:sz w:val="21"/>
          <w:szCs w:val="21"/>
        </w:rPr>
        <w:t>后需</w:t>
      </w:r>
      <w:r>
        <w:rPr>
          <w:rFonts w:hint="eastAsia" w:ascii="宋体" w:hAnsi="宋体" w:eastAsia="宋体"/>
          <w:sz w:val="21"/>
          <w:szCs w:val="21"/>
        </w:rPr>
        <w:t>做好系统和数据的备份；搬迁过程中，确保专设备不损坏；搬迁后，完成数据的备份恢复、业务调测等工作，确保系统、设备和业务能够在最短时间内正常运行、恢复。</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供应商中标后要遵循采购人提供的搬迁原则和搬迁进度，按照系统的关键性对设备进行搬迁。</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供应商要在搬迁前对整个搬迁方案考虑到各种可能的风险，并提供相应的预防措施、补救措施，最大程度保证数据和应用系统的安全。</w:t>
      </w:r>
    </w:p>
    <w:p>
      <w:pPr>
        <w:pStyle w:val="89"/>
        <w:numPr>
          <w:ilvl w:val="0"/>
          <w:numId w:val="12"/>
        </w:numPr>
        <w:adjustRightInd w:val="0"/>
        <w:snapToGrid w:val="0"/>
        <w:spacing w:line="360" w:lineRule="auto"/>
        <w:ind w:left="0" w:firstLine="420"/>
        <w:rPr>
          <w:rFonts w:ascii="宋体" w:hAnsi="宋体" w:eastAsia="宋体"/>
          <w:sz w:val="21"/>
          <w:szCs w:val="21"/>
        </w:rPr>
      </w:pPr>
      <w:r>
        <w:rPr>
          <w:rFonts w:ascii="宋体" w:hAnsi="宋体" w:eastAsia="宋体"/>
          <w:bCs/>
          <w:sz w:val="21"/>
          <w:szCs w:val="21"/>
        </w:rPr>
        <w:t>在搬迁过程的各个阶段，</w:t>
      </w:r>
      <w:r>
        <w:rPr>
          <w:rFonts w:hint="eastAsia" w:ascii="宋体" w:hAnsi="宋体" w:eastAsia="宋体"/>
          <w:bCs/>
          <w:sz w:val="21"/>
          <w:szCs w:val="21"/>
        </w:rPr>
        <w:t>供应商中标后</w:t>
      </w:r>
      <w:r>
        <w:rPr>
          <w:rFonts w:ascii="宋体" w:hAnsi="宋体" w:eastAsia="宋体"/>
          <w:bCs/>
          <w:sz w:val="21"/>
          <w:szCs w:val="21"/>
        </w:rPr>
        <w:t>必须安排足够合格的、经客户方认可的人员在现场完成搬迁工作，保证双方沟通畅顺，以及时解决项目过程中发生的问题，并且在项目过程中不得随意更换人员或未经客户方同意而随意离开客户方现场，以保证搬迁工作按质按量完成。供应商应答时必须提供详细的工程人员名单，名单中必须列明各人员的相关信息，并经由客户方确认</w:t>
      </w:r>
      <w:r>
        <w:rPr>
          <w:rFonts w:hint="eastAsia" w:ascii="宋体" w:hAnsi="宋体" w:eastAsia="宋体"/>
          <w:bCs/>
          <w:sz w:val="21"/>
          <w:szCs w:val="21"/>
        </w:rPr>
        <w:t>。</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bCs/>
          <w:sz w:val="21"/>
          <w:szCs w:val="21"/>
        </w:rPr>
        <w:t>供应商在中标后至整个搬迁工作完成期间，须在采购人处安排一名以上专职项目经理负责人负责机房搬迁工作的计划、协调、督促、执行、收尾等工作。供应商中标后</w:t>
      </w:r>
      <w:r>
        <w:rPr>
          <w:rFonts w:hint="eastAsia" w:ascii="宋体" w:hAnsi="宋体" w:eastAsia="宋体"/>
          <w:sz w:val="21"/>
          <w:szCs w:val="21"/>
        </w:rPr>
        <w:t>须根据招标方的计划进度，调整相应的人员安排、施工进度等，保证搬迁工作按时完成。</w:t>
      </w:r>
    </w:p>
    <w:p>
      <w:pPr>
        <w:pStyle w:val="89"/>
        <w:numPr>
          <w:ilvl w:val="0"/>
          <w:numId w:val="12"/>
        </w:numPr>
        <w:adjustRightInd w:val="0"/>
        <w:snapToGrid w:val="0"/>
        <w:spacing w:line="360" w:lineRule="auto"/>
        <w:ind w:left="0" w:firstLine="420"/>
        <w:rPr>
          <w:rFonts w:ascii="宋体" w:hAnsi="宋体" w:eastAsia="宋体"/>
          <w:sz w:val="21"/>
          <w:szCs w:val="21"/>
        </w:rPr>
      </w:pPr>
      <w:r>
        <w:rPr>
          <w:rFonts w:hint="eastAsia" w:ascii="宋体" w:hAnsi="宋体" w:eastAsia="宋体"/>
          <w:sz w:val="21"/>
          <w:szCs w:val="21"/>
        </w:rPr>
        <w:t>上述技术要求必须视为项目建设所需的基本要求，供应商可到采购人现场勘探，并根据勘探情况进行完善，如有遗漏，供应商应予以补充，否则供应商中标后将认为认同遗漏部分并免费提供。</w:t>
      </w:r>
    </w:p>
    <w:p>
      <w:pPr>
        <w:spacing w:line="360" w:lineRule="auto"/>
        <w:ind w:firstLine="420" w:firstLineChars="200"/>
        <w:rPr>
          <w:rFonts w:ascii="宋体" w:hAnsi="宋体"/>
          <w:szCs w:val="21"/>
        </w:rPr>
      </w:pPr>
    </w:p>
    <w:p>
      <w:pPr>
        <w:pStyle w:val="4"/>
        <w:numPr>
          <w:ilvl w:val="0"/>
          <w:numId w:val="10"/>
        </w:numPr>
        <w:adjustRightInd w:val="0"/>
        <w:snapToGrid w:val="0"/>
        <w:spacing w:before="156" w:beforeLines="50" w:after="156" w:afterLines="50" w:line="360" w:lineRule="auto"/>
        <w:ind w:left="0" w:firstLine="0"/>
        <w:rPr>
          <w:rFonts w:ascii="宋体" w:hAnsi="宋体" w:eastAsia="宋体"/>
          <w:szCs w:val="21"/>
        </w:rPr>
      </w:pPr>
      <w:r>
        <w:rPr>
          <w:rFonts w:hint="eastAsia" w:ascii="宋体" w:hAnsi="宋体" w:eastAsia="宋体"/>
          <w:szCs w:val="21"/>
        </w:rPr>
        <w:t>技术规范与施工工艺要求</w:t>
      </w:r>
    </w:p>
    <w:p>
      <w:pPr>
        <w:pStyle w:val="5"/>
        <w:numPr>
          <w:ilvl w:val="1"/>
          <w:numId w:val="14"/>
        </w:numPr>
        <w:tabs>
          <w:tab w:val="left" w:pos="360"/>
        </w:tabs>
        <w:ind w:left="0" w:firstLine="0"/>
        <w:rPr>
          <w:rFonts w:ascii="宋体" w:hAnsi="宋体"/>
          <w:szCs w:val="21"/>
        </w:rPr>
      </w:pPr>
      <w:r>
        <w:rPr>
          <w:rFonts w:hint="eastAsia" w:ascii="宋体" w:hAnsi="宋体"/>
          <w:szCs w:val="21"/>
        </w:rPr>
        <w:t>技术规范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工程施工应的技术要求参照以下相关的国际国内标准及规范：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《电子信息系统机房设计规范》（</w:t>
      </w:r>
      <w:r>
        <w:rPr>
          <w:rFonts w:ascii="宋体" w:hAnsi="宋体" w:cs="Arial"/>
          <w:szCs w:val="21"/>
        </w:rPr>
        <w:t>GB50174-2008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《电子信息系统机房施工及验收规范》（</w:t>
      </w:r>
      <w:r>
        <w:rPr>
          <w:rFonts w:ascii="宋体" w:hAnsi="宋体" w:cs="Arial"/>
          <w:szCs w:val="21"/>
        </w:rPr>
        <w:t>GB50462-2008</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《建筑设计防火设计规范》（</w:t>
      </w:r>
      <w:r>
        <w:rPr>
          <w:rFonts w:ascii="宋体" w:hAnsi="宋体" w:cs="Arial"/>
          <w:szCs w:val="21"/>
        </w:rPr>
        <w:t>GB 50016-2006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《防静电活动地板通用规范》（</w:t>
      </w:r>
      <w:r>
        <w:rPr>
          <w:rFonts w:ascii="宋体" w:hAnsi="宋体" w:cs="Arial"/>
          <w:szCs w:val="21"/>
        </w:rPr>
        <w:t>SJ/T10796-2001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《通风与空调工程施工及验收规范》（</w:t>
      </w:r>
      <w:r>
        <w:rPr>
          <w:rFonts w:ascii="宋体" w:hAnsi="宋体" w:cs="Arial"/>
          <w:szCs w:val="21"/>
        </w:rPr>
        <w:t>GB50243-2002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《低压配电设计规范》（</w:t>
      </w:r>
      <w:r>
        <w:rPr>
          <w:rFonts w:ascii="宋体" w:hAnsi="宋体" w:cs="Arial"/>
          <w:szCs w:val="21"/>
        </w:rPr>
        <w:t>GB50054-2011</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《建筑电气工程施工质量验收规范》（</w:t>
      </w:r>
      <w:r>
        <w:rPr>
          <w:rFonts w:ascii="宋体" w:hAnsi="宋体" w:cs="Arial"/>
          <w:szCs w:val="21"/>
        </w:rPr>
        <w:t>GB50303-2002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《建筑物电子信息系统防雷技术规范》（</w:t>
      </w:r>
      <w:r>
        <w:rPr>
          <w:rFonts w:ascii="宋体" w:hAnsi="宋体" w:cs="Arial"/>
          <w:szCs w:val="21"/>
        </w:rPr>
        <w:t>GB50343-2012</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《智能建筑设计标准》（</w:t>
      </w:r>
      <w:r>
        <w:rPr>
          <w:rFonts w:ascii="宋体" w:hAnsi="宋体" w:cs="Arial"/>
          <w:szCs w:val="21"/>
        </w:rPr>
        <w:t>GB/T50314-2006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《本地网通信线路工程验收规范》（</w:t>
      </w:r>
      <w:r>
        <w:rPr>
          <w:rFonts w:ascii="宋体" w:hAnsi="宋体" w:cs="Arial"/>
          <w:szCs w:val="21"/>
        </w:rPr>
        <w:t>YD5051-97</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《电信网光纤数字传输系统工程及验收暂行技术规定》（</w:t>
      </w:r>
      <w:r>
        <w:rPr>
          <w:rFonts w:ascii="宋体" w:hAnsi="宋体" w:cs="Arial"/>
          <w:szCs w:val="21"/>
        </w:rPr>
        <w:t>YDJ44-89</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《有线电视网络工程施工及验收规范（试行）》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《有线数字电视光链路技术要求和测量方法》（GY</w:t>
      </w:r>
      <w:r>
        <w:rPr>
          <w:rFonts w:ascii="宋体" w:hAnsi="宋体" w:cs="Arial"/>
          <w:szCs w:val="21"/>
        </w:rPr>
        <w:t>/T 300-2016</w:t>
      </w:r>
      <w:r>
        <w:rPr>
          <w:rFonts w:hint="eastAsia" w:ascii="宋体" w:hAnsi="宋体" w:cs="Arial"/>
          <w:szCs w:val="21"/>
        </w:rPr>
        <w:t>）</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以上所列的主要技术标准和规范，如有不足之处或未能达到国际或国内最新标准时，供应商应在施工及选用设备、材料时，依据最新的国际、国内标准，并提供所采用标准的最新版本资料。供应商采用其它标准和规范时，应注明是采用何种标准，并应保证达到或优于以上所列的相关标准。</w:t>
      </w:r>
    </w:p>
    <w:p>
      <w:pPr>
        <w:pStyle w:val="5"/>
        <w:numPr>
          <w:ilvl w:val="1"/>
          <w:numId w:val="14"/>
        </w:numPr>
        <w:tabs>
          <w:tab w:val="left" w:pos="360"/>
        </w:tabs>
        <w:ind w:left="0" w:firstLine="0"/>
        <w:rPr>
          <w:rFonts w:ascii="宋体" w:hAnsi="宋体"/>
          <w:szCs w:val="21"/>
        </w:rPr>
      </w:pPr>
      <w:r>
        <w:rPr>
          <w:rFonts w:hint="eastAsia" w:ascii="宋体" w:hAnsi="宋体"/>
          <w:szCs w:val="21"/>
        </w:rPr>
        <w:t>施工工艺要求</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2.1</w:t>
      </w:r>
      <w:r>
        <w:rPr>
          <w:rFonts w:hint="eastAsia" w:ascii="宋体" w:hAnsi="宋体"/>
          <w:szCs w:val="21"/>
        </w:rPr>
        <w:t>、方案及图纸要求</w:t>
      </w:r>
    </w:p>
    <w:p>
      <w:pPr>
        <w:adjustRightInd w:val="0"/>
        <w:snapToGrid w:val="0"/>
        <w:spacing w:line="360" w:lineRule="auto"/>
        <w:ind w:firstLine="420" w:firstLineChars="200"/>
        <w:rPr>
          <w:rFonts w:ascii="宋体" w:hAnsi="宋体"/>
          <w:szCs w:val="21"/>
        </w:rPr>
      </w:pPr>
      <w:r>
        <w:rPr>
          <w:rFonts w:ascii="宋体" w:hAnsi="宋体"/>
          <w:szCs w:val="21"/>
        </w:rPr>
        <w:t>供应商</w:t>
      </w:r>
      <w:r>
        <w:rPr>
          <w:rFonts w:hint="eastAsia" w:ascii="宋体" w:hAnsi="宋体"/>
          <w:szCs w:val="21"/>
        </w:rPr>
        <w:t>须</w:t>
      </w:r>
      <w:r>
        <w:rPr>
          <w:rFonts w:ascii="宋体" w:hAnsi="宋体"/>
          <w:szCs w:val="21"/>
        </w:rPr>
        <w:t>提供</w:t>
      </w:r>
      <w:r>
        <w:rPr>
          <w:rFonts w:hint="eastAsia" w:ascii="宋体" w:hAnsi="宋体"/>
          <w:szCs w:val="21"/>
        </w:rPr>
        <w:t>项目实施方案和图纸资料等。</w:t>
      </w:r>
    </w:p>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2.2</w:t>
      </w:r>
      <w:r>
        <w:rPr>
          <w:rFonts w:hint="eastAsia" w:ascii="宋体" w:hAnsi="宋体"/>
          <w:szCs w:val="21"/>
        </w:rPr>
        <w:t>、实施人员要求</w:t>
      </w:r>
    </w:p>
    <w:p>
      <w:pPr>
        <w:adjustRightInd w:val="0"/>
        <w:snapToGrid w:val="0"/>
        <w:spacing w:line="360" w:lineRule="auto"/>
        <w:ind w:firstLine="420" w:firstLineChars="200"/>
        <w:rPr>
          <w:rFonts w:ascii="宋体" w:hAnsi="宋体"/>
          <w:szCs w:val="21"/>
        </w:rPr>
      </w:pPr>
      <w:r>
        <w:rPr>
          <w:rFonts w:hint="eastAsia" w:ascii="宋体" w:hAnsi="宋体"/>
          <w:szCs w:val="21"/>
        </w:rPr>
        <w:t>实施人员要求包含但不限于以下方面：</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实施人员要服从施工现场负责人的指挥，施工中所遇到的问题要及时向负责人汇报。</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实施人员施工中要认真负责，每一项工作都要按照相关规范完成。</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实施人员要注意各方面的安全，其中包括施工安全、用电安全；如出现安全问题由供应商承担。</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实施人员要注意节省施工材料。</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实施人员要保持环境卫生，施工结束后必须清理施工环境。</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实施人员禁止酒后施工作业；在机房内、施工现场及明确禁止吸烟的区域，禁止吸烟。</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7</w:t>
            </w:r>
          </w:p>
        </w:tc>
        <w:tc>
          <w:tcPr>
            <w:tcW w:w="6976" w:type="dxa"/>
          </w:tcPr>
          <w:p>
            <w:pPr>
              <w:adjustRightInd w:val="0"/>
              <w:snapToGrid w:val="0"/>
              <w:spacing w:line="276" w:lineRule="auto"/>
              <w:rPr>
                <w:rFonts w:ascii="宋体" w:hAnsi="宋体"/>
                <w:szCs w:val="21"/>
              </w:rPr>
            </w:pPr>
            <w:r>
              <w:rPr>
                <w:rFonts w:hint="eastAsia" w:ascii="宋体" w:hAnsi="宋体"/>
                <w:szCs w:val="21"/>
              </w:rPr>
              <w:t>实施人员</w:t>
            </w:r>
            <w:r>
              <w:rPr>
                <w:rFonts w:ascii="宋体" w:hAnsi="宋体"/>
                <w:szCs w:val="21"/>
              </w:rPr>
              <w:t>拆卸、包装和安装调试设备时须对场地内的其它设备、设施有良好的保护措施</w:t>
            </w:r>
            <w:r>
              <w:rPr>
                <w:rFonts w:hint="eastAsia" w:ascii="宋体" w:hAnsi="宋体"/>
                <w:szCs w:val="21"/>
              </w:rPr>
              <w:t>，</w:t>
            </w:r>
            <w:r>
              <w:rPr>
                <w:rFonts w:ascii="宋体" w:hAnsi="宋体"/>
                <w:szCs w:val="21"/>
              </w:rPr>
              <w:t>应遵守</w:t>
            </w:r>
            <w:r>
              <w:rPr>
                <w:rFonts w:hint="eastAsia" w:ascii="宋体" w:hAnsi="宋体"/>
                <w:szCs w:val="21"/>
              </w:rPr>
              <w:t>采购人</w:t>
            </w:r>
            <w:r>
              <w:rPr>
                <w:rFonts w:ascii="宋体" w:hAnsi="宋体"/>
                <w:szCs w:val="21"/>
              </w:rPr>
              <w:t>的规章制度。</w:t>
            </w:r>
          </w:p>
        </w:tc>
        <w:tc>
          <w:tcPr>
            <w:tcW w:w="1701" w:type="dxa"/>
          </w:tcPr>
          <w:p>
            <w:pPr>
              <w:adjustRightInd w:val="0"/>
              <w:snapToGrid w:val="0"/>
              <w:spacing w:line="276" w:lineRule="auto"/>
              <w:rPr>
                <w:rFonts w:ascii="宋体" w:hAnsi="宋体"/>
                <w:szCs w:val="21"/>
              </w:rPr>
            </w:pPr>
          </w:p>
        </w:tc>
      </w:tr>
    </w:tbl>
    <w:p>
      <w:pPr>
        <w:pStyle w:val="307"/>
        <w:snapToGrid w:val="0"/>
        <w:spacing w:before="0" w:line="360" w:lineRule="auto"/>
        <w:rPr>
          <w:rFonts w:ascii="宋体" w:hAnsi="宋体"/>
          <w:bCs w:val="0"/>
          <w:szCs w:val="21"/>
        </w:rPr>
      </w:pPr>
      <w:r>
        <w:rPr>
          <w:rFonts w:hint="eastAsia" w:ascii="宋体" w:hAnsi="宋体"/>
          <w:szCs w:val="21"/>
        </w:rPr>
        <w:t>2.</w:t>
      </w:r>
      <w:r>
        <w:rPr>
          <w:rFonts w:ascii="宋体" w:hAnsi="宋体"/>
          <w:szCs w:val="21"/>
        </w:rPr>
        <w:t>2.3</w:t>
      </w:r>
      <w:r>
        <w:rPr>
          <w:rFonts w:hint="eastAsia" w:ascii="宋体" w:hAnsi="宋体"/>
          <w:szCs w:val="21"/>
        </w:rPr>
        <w:t>、安装要求</w:t>
      </w:r>
    </w:p>
    <w:p>
      <w:pPr>
        <w:adjustRightInd w:val="0"/>
        <w:snapToGrid w:val="0"/>
        <w:spacing w:line="360" w:lineRule="auto"/>
        <w:ind w:firstLine="420" w:firstLineChars="200"/>
        <w:rPr>
          <w:rFonts w:ascii="宋体" w:hAnsi="宋体"/>
          <w:szCs w:val="21"/>
        </w:rPr>
      </w:pPr>
      <w:r>
        <w:rPr>
          <w:rFonts w:hint="eastAsia" w:ascii="宋体" w:hAnsi="宋体"/>
          <w:szCs w:val="21"/>
        </w:rPr>
        <w:t>安装要求包含但不限于以下方面：</w:t>
      </w:r>
    </w:p>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）设备安装</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按照采购人的工艺流程和系统设备布局进行设备安装，</w:t>
            </w:r>
            <w:r>
              <w:rPr>
                <w:rFonts w:ascii="宋体" w:hAnsi="宋体"/>
                <w:szCs w:val="21"/>
              </w:rPr>
              <w:t>安装操作应符合设备原厂商的操作规范、流程和步骤</w:t>
            </w:r>
            <w:r>
              <w:rPr>
                <w:rFonts w:hint="eastAsia" w:ascii="宋体" w:hAnsi="宋体"/>
                <w:szCs w:val="21"/>
              </w:rPr>
              <w:t>，设备布局的美观。</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cs="Arial"/>
                <w:szCs w:val="21"/>
              </w:rPr>
              <w:t>设备安装平稳牢固。</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安装螺丝必须拧紧，面板应保持在一个平面上。</w:t>
            </w:r>
          </w:p>
        </w:tc>
        <w:tc>
          <w:tcPr>
            <w:tcW w:w="1701" w:type="dxa"/>
          </w:tcPr>
          <w:p>
            <w:pPr>
              <w:adjustRightInd w:val="0"/>
              <w:snapToGrid w:val="0"/>
              <w:spacing w:line="276" w:lineRule="auto"/>
              <w:rPr>
                <w:rFonts w:ascii="宋体" w:hAnsi="宋体"/>
                <w:szCs w:val="21"/>
              </w:rPr>
            </w:pPr>
          </w:p>
        </w:tc>
      </w:tr>
    </w:tbl>
    <w:p>
      <w:pPr>
        <w:tabs>
          <w:tab w:val="left" w:pos="3869"/>
        </w:tabs>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）线缆连接</w:t>
      </w:r>
      <w:r>
        <w:rPr>
          <w:rFonts w:ascii="宋体" w:hAnsi="宋体"/>
          <w:szCs w:val="21"/>
        </w:rPr>
        <w:tab/>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620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976"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701"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由供应商工程师仔细按照线表、图纸连接设备，紧固每一个插头，确保连接正确、可靠。</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光纤按照工艺要求连接。</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976" w:type="dxa"/>
          </w:tcPr>
          <w:p>
            <w:pPr>
              <w:adjustRightInd w:val="0"/>
              <w:snapToGrid w:val="0"/>
              <w:spacing w:line="276" w:lineRule="auto"/>
              <w:jc w:val="left"/>
              <w:rPr>
                <w:rFonts w:ascii="宋体" w:hAnsi="宋体"/>
                <w:szCs w:val="21"/>
              </w:rPr>
            </w:pPr>
            <w:r>
              <w:rPr>
                <w:rFonts w:hint="eastAsia" w:ascii="宋体" w:hAnsi="宋体"/>
                <w:szCs w:val="21"/>
              </w:rPr>
              <w:t>招标方系统负责人进行核对。</w:t>
            </w:r>
          </w:p>
        </w:tc>
        <w:tc>
          <w:tcPr>
            <w:tcW w:w="1701"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4</w:t>
            </w:r>
          </w:p>
        </w:tc>
        <w:tc>
          <w:tcPr>
            <w:tcW w:w="6976" w:type="dxa"/>
          </w:tcPr>
          <w:p>
            <w:pPr>
              <w:adjustRightInd w:val="0"/>
              <w:snapToGrid w:val="0"/>
              <w:spacing w:line="276" w:lineRule="auto"/>
              <w:rPr>
                <w:rFonts w:ascii="宋体" w:hAnsi="宋体"/>
                <w:szCs w:val="21"/>
              </w:rPr>
            </w:pPr>
            <w:r>
              <w:rPr>
                <w:rFonts w:hint="eastAsia" w:ascii="宋体" w:hAnsi="宋体" w:cs="Arial"/>
                <w:szCs w:val="21"/>
              </w:rPr>
              <w:t>接头与设备接口对接固定良好。</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5</w:t>
            </w:r>
          </w:p>
        </w:tc>
        <w:tc>
          <w:tcPr>
            <w:tcW w:w="6976" w:type="dxa"/>
          </w:tcPr>
          <w:p>
            <w:pPr>
              <w:adjustRightInd w:val="0"/>
              <w:snapToGrid w:val="0"/>
              <w:spacing w:line="276" w:lineRule="auto"/>
              <w:rPr>
                <w:rFonts w:ascii="宋体" w:hAnsi="宋体"/>
                <w:color w:val="000000"/>
                <w:szCs w:val="21"/>
              </w:rPr>
            </w:pPr>
            <w:r>
              <w:rPr>
                <w:rFonts w:hint="eastAsia" w:ascii="宋体" w:hAnsi="宋体" w:cs="Arial"/>
                <w:szCs w:val="21"/>
              </w:rPr>
              <w:t>保证设备接地，设备的接地线与本机柜接地铜条相连。</w:t>
            </w:r>
          </w:p>
        </w:tc>
        <w:tc>
          <w:tcPr>
            <w:tcW w:w="1701"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adjustRightInd w:val="0"/>
              <w:snapToGrid w:val="0"/>
              <w:spacing w:line="276" w:lineRule="auto"/>
              <w:jc w:val="center"/>
              <w:rPr>
                <w:rFonts w:ascii="宋体" w:hAnsi="宋体"/>
                <w:szCs w:val="21"/>
              </w:rPr>
            </w:pPr>
            <w:r>
              <w:rPr>
                <w:rFonts w:ascii="宋体" w:hAnsi="宋体"/>
                <w:szCs w:val="21"/>
              </w:rPr>
              <w:t>6</w:t>
            </w:r>
          </w:p>
        </w:tc>
        <w:tc>
          <w:tcPr>
            <w:tcW w:w="6976" w:type="dxa"/>
          </w:tcPr>
          <w:p>
            <w:pPr>
              <w:adjustRightInd w:val="0"/>
              <w:snapToGrid w:val="0"/>
              <w:spacing w:line="276" w:lineRule="auto"/>
              <w:rPr>
                <w:rFonts w:ascii="宋体" w:hAnsi="宋体" w:cs="Arial"/>
                <w:szCs w:val="21"/>
              </w:rPr>
            </w:pPr>
            <w:r>
              <w:rPr>
                <w:rFonts w:hint="eastAsia" w:ascii="宋体" w:hAnsi="宋体"/>
                <w:szCs w:val="21"/>
              </w:rPr>
              <w:t>电源线需等系统搬迁完毕后统一插接。</w:t>
            </w:r>
          </w:p>
        </w:tc>
        <w:tc>
          <w:tcPr>
            <w:tcW w:w="1701" w:type="dxa"/>
          </w:tcPr>
          <w:p>
            <w:pPr>
              <w:adjustRightInd w:val="0"/>
              <w:snapToGrid w:val="0"/>
              <w:spacing w:line="276" w:lineRule="auto"/>
              <w:rPr>
                <w:rFonts w:ascii="宋体" w:hAnsi="宋体"/>
                <w:szCs w:val="21"/>
              </w:rPr>
            </w:pPr>
          </w:p>
        </w:tc>
      </w:tr>
    </w:tbl>
    <w:p>
      <w:pPr>
        <w:adjustRightInd w:val="0"/>
        <w:snapToGrid w:val="0"/>
        <w:spacing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）系统电源的加载</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6028"/>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序号</w:t>
            </w:r>
          </w:p>
        </w:tc>
        <w:tc>
          <w:tcPr>
            <w:tcW w:w="6028" w:type="dxa"/>
          </w:tcPr>
          <w:p>
            <w:pPr>
              <w:adjustRightInd w:val="0"/>
              <w:snapToGrid w:val="0"/>
              <w:spacing w:line="276" w:lineRule="auto"/>
              <w:jc w:val="center"/>
              <w:rPr>
                <w:rFonts w:ascii="宋体" w:hAnsi="宋体"/>
                <w:szCs w:val="21"/>
              </w:rPr>
            </w:pPr>
            <w:r>
              <w:rPr>
                <w:rFonts w:hint="eastAsia" w:ascii="宋体" w:hAnsi="宋体"/>
                <w:szCs w:val="21"/>
              </w:rPr>
              <w:t>要求</w:t>
            </w:r>
          </w:p>
        </w:tc>
        <w:tc>
          <w:tcPr>
            <w:tcW w:w="1510" w:type="dxa"/>
          </w:tcPr>
          <w:p>
            <w:pPr>
              <w:adjustRightInd w:val="0"/>
              <w:snapToGrid w:val="0"/>
              <w:spacing w:line="276"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1</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系统电源加载前应确认所有设备均为关闭状态。</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2</w:t>
            </w:r>
          </w:p>
        </w:tc>
        <w:tc>
          <w:tcPr>
            <w:tcW w:w="6028" w:type="dxa"/>
          </w:tcPr>
          <w:p>
            <w:pPr>
              <w:adjustRightInd w:val="0"/>
              <w:snapToGrid w:val="0"/>
              <w:spacing w:line="276" w:lineRule="auto"/>
              <w:jc w:val="left"/>
              <w:rPr>
                <w:rFonts w:ascii="宋体" w:hAnsi="宋体"/>
                <w:szCs w:val="21"/>
              </w:rPr>
            </w:pPr>
            <w:r>
              <w:rPr>
                <w:rFonts w:hint="eastAsia" w:ascii="宋体" w:hAnsi="宋体"/>
                <w:szCs w:val="21"/>
              </w:rPr>
              <w:t>系统电源加载前应重新确认电源的火、零、地的方向是否正确，电压是否正常。</w:t>
            </w:r>
          </w:p>
        </w:tc>
        <w:tc>
          <w:tcPr>
            <w:tcW w:w="1510" w:type="dxa"/>
          </w:tcPr>
          <w:p>
            <w:pPr>
              <w:adjustRightInd w:val="0"/>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ascii="宋体" w:hAnsi="宋体"/>
                <w:szCs w:val="21"/>
              </w:rPr>
              <w:t>3</w:t>
            </w:r>
          </w:p>
        </w:tc>
        <w:tc>
          <w:tcPr>
            <w:tcW w:w="6028" w:type="dxa"/>
          </w:tcPr>
          <w:p>
            <w:pPr>
              <w:adjustRightInd w:val="0"/>
              <w:snapToGrid w:val="0"/>
              <w:spacing w:line="276" w:lineRule="auto"/>
              <w:rPr>
                <w:rFonts w:ascii="宋体" w:hAnsi="宋体"/>
                <w:szCs w:val="21"/>
              </w:rPr>
            </w:pPr>
            <w:r>
              <w:rPr>
                <w:rFonts w:hint="eastAsia" w:ascii="宋体" w:hAnsi="宋体"/>
                <w:szCs w:val="21"/>
              </w:rPr>
              <w:t>应确认所有设备是否为中国标准市电方式。</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4</w:t>
            </w:r>
          </w:p>
        </w:tc>
        <w:tc>
          <w:tcPr>
            <w:tcW w:w="6028" w:type="dxa"/>
          </w:tcPr>
          <w:p>
            <w:pPr>
              <w:adjustRightInd w:val="0"/>
              <w:snapToGrid w:val="0"/>
              <w:spacing w:line="276" w:lineRule="auto"/>
              <w:rPr>
                <w:rFonts w:ascii="宋体" w:hAnsi="宋体"/>
                <w:szCs w:val="21"/>
              </w:rPr>
            </w:pPr>
            <w:r>
              <w:rPr>
                <w:rFonts w:hint="eastAsia" w:ascii="宋体" w:hAnsi="宋体"/>
                <w:szCs w:val="21"/>
              </w:rPr>
              <w:t>在所有设备关闭的情况下加电，检查有无短路、断路现象。</w:t>
            </w:r>
          </w:p>
        </w:tc>
        <w:tc>
          <w:tcPr>
            <w:tcW w:w="1510" w:type="dxa"/>
          </w:tcPr>
          <w:p>
            <w:pPr>
              <w:adjustRightInd w:val="0"/>
              <w:snapToGrid w:val="0"/>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adjustRightInd w:val="0"/>
              <w:snapToGrid w:val="0"/>
              <w:spacing w:line="276" w:lineRule="auto"/>
              <w:jc w:val="center"/>
              <w:rPr>
                <w:rFonts w:ascii="宋体" w:hAnsi="宋体"/>
                <w:szCs w:val="21"/>
              </w:rPr>
            </w:pPr>
            <w:r>
              <w:rPr>
                <w:rFonts w:hint="eastAsia" w:ascii="宋体" w:hAnsi="宋体"/>
                <w:szCs w:val="21"/>
              </w:rPr>
              <w:t>5</w:t>
            </w:r>
          </w:p>
        </w:tc>
        <w:tc>
          <w:tcPr>
            <w:tcW w:w="6028" w:type="dxa"/>
          </w:tcPr>
          <w:p>
            <w:pPr>
              <w:adjustRightInd w:val="0"/>
              <w:snapToGrid w:val="0"/>
              <w:spacing w:line="276" w:lineRule="auto"/>
              <w:rPr>
                <w:rFonts w:ascii="宋体" w:hAnsi="宋体"/>
                <w:szCs w:val="21"/>
              </w:rPr>
            </w:pPr>
            <w:r>
              <w:rPr>
                <w:rFonts w:hint="eastAsia" w:ascii="宋体" w:hAnsi="宋体"/>
                <w:szCs w:val="21"/>
              </w:rPr>
              <w:t>设备逐一加电，验证主备路，并注意观察设备的启动情况。</w:t>
            </w:r>
          </w:p>
        </w:tc>
        <w:tc>
          <w:tcPr>
            <w:tcW w:w="1510" w:type="dxa"/>
          </w:tcPr>
          <w:p>
            <w:pPr>
              <w:adjustRightInd w:val="0"/>
              <w:snapToGrid w:val="0"/>
              <w:spacing w:line="276" w:lineRule="auto"/>
              <w:rPr>
                <w:rFonts w:ascii="宋体" w:hAnsi="宋体"/>
                <w:szCs w:val="21"/>
              </w:rPr>
            </w:pPr>
          </w:p>
        </w:tc>
      </w:tr>
    </w:tbl>
    <w:p>
      <w:pPr>
        <w:pStyle w:val="5"/>
        <w:numPr>
          <w:ilvl w:val="1"/>
          <w:numId w:val="14"/>
        </w:numPr>
        <w:tabs>
          <w:tab w:val="left" w:pos="360"/>
        </w:tabs>
        <w:ind w:left="0" w:firstLine="0"/>
        <w:rPr>
          <w:rFonts w:ascii="宋体" w:hAnsi="宋体"/>
          <w:szCs w:val="21"/>
        </w:rPr>
      </w:pPr>
      <w:r>
        <w:rPr>
          <w:rFonts w:hint="eastAsia" w:ascii="宋体" w:hAnsi="宋体"/>
          <w:szCs w:val="21"/>
        </w:rPr>
        <w:t>设备辅材要求</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供应商须提供设备辅材包含但不限于：六类网线、水晶头、光纤、光衰耗器、电源线等。性能参数如下：</w:t>
      </w:r>
    </w:p>
    <w:p>
      <w:pPr>
        <w:pStyle w:val="89"/>
        <w:numPr>
          <w:ilvl w:val="0"/>
          <w:numId w:val="15"/>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六类网线</w:t>
      </w:r>
    </w:p>
    <w:p>
      <w:pPr>
        <w:pStyle w:val="89"/>
        <w:numPr>
          <w:ilvl w:val="0"/>
          <w:numId w:val="16"/>
        </w:numPr>
        <w:adjustRightInd w:val="0"/>
        <w:snapToGrid w:val="0"/>
        <w:spacing w:line="360" w:lineRule="auto"/>
        <w:ind w:firstLineChars="0"/>
        <w:jc w:val="left"/>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color w:val="000000"/>
          <w:sz w:val="21"/>
          <w:szCs w:val="21"/>
        </w:rPr>
        <w:t>1000Base-TX</w:t>
      </w:r>
      <w:r>
        <w:rPr>
          <w:rFonts w:hint="eastAsia" w:ascii="宋体" w:hAnsi="宋体" w:eastAsia="宋体"/>
          <w:color w:val="000000"/>
          <w:sz w:val="21"/>
          <w:szCs w:val="21"/>
        </w:rPr>
        <w:t>标准，性能超过</w:t>
      </w:r>
      <w:r>
        <w:rPr>
          <w:rFonts w:ascii="宋体" w:hAnsi="宋体" w:eastAsia="宋体"/>
          <w:color w:val="000000"/>
          <w:sz w:val="21"/>
          <w:szCs w:val="21"/>
        </w:rPr>
        <w:t>TIA/EIA568B</w:t>
      </w:r>
      <w:r>
        <w:rPr>
          <w:rFonts w:hint="eastAsia" w:ascii="宋体" w:hAnsi="宋体" w:eastAsia="宋体"/>
          <w:color w:val="000000"/>
          <w:sz w:val="21"/>
          <w:szCs w:val="21"/>
        </w:rPr>
        <w:t>，符合Y</w:t>
      </w:r>
      <w:r>
        <w:rPr>
          <w:rFonts w:ascii="宋体" w:hAnsi="宋体" w:eastAsia="宋体"/>
          <w:color w:val="000000"/>
          <w:sz w:val="21"/>
          <w:szCs w:val="21"/>
        </w:rPr>
        <w:t>D/T1019-2013</w:t>
      </w:r>
      <w:r>
        <w:rPr>
          <w:rFonts w:hint="eastAsia" w:ascii="宋体" w:hAnsi="宋体" w:eastAsia="宋体"/>
          <w:color w:val="000000"/>
          <w:sz w:val="21"/>
          <w:szCs w:val="21"/>
        </w:rPr>
        <w:t>，I</w:t>
      </w:r>
      <w:r>
        <w:rPr>
          <w:rFonts w:ascii="宋体" w:hAnsi="宋体" w:eastAsia="宋体"/>
          <w:color w:val="000000"/>
          <w:sz w:val="21"/>
          <w:szCs w:val="21"/>
        </w:rPr>
        <w:t>SO/IEC11801</w:t>
      </w:r>
      <w:r>
        <w:rPr>
          <w:rFonts w:hint="eastAsia" w:ascii="宋体" w:hAnsi="宋体" w:eastAsia="宋体"/>
          <w:color w:val="000000"/>
          <w:sz w:val="21"/>
          <w:szCs w:val="21"/>
        </w:rPr>
        <w:t>，E</w:t>
      </w:r>
      <w:r>
        <w:rPr>
          <w:rFonts w:ascii="宋体" w:hAnsi="宋体" w:eastAsia="宋体"/>
          <w:color w:val="000000"/>
          <w:sz w:val="21"/>
          <w:szCs w:val="21"/>
        </w:rPr>
        <w:t>IA/TIA</w:t>
      </w:r>
      <w:r>
        <w:rPr>
          <w:rFonts w:hint="eastAsia" w:ascii="宋体" w:hAnsi="宋体" w:eastAsia="宋体"/>
          <w:color w:val="000000"/>
          <w:sz w:val="21"/>
          <w:szCs w:val="21"/>
        </w:rPr>
        <w:t>568</w:t>
      </w:r>
      <w:r>
        <w:rPr>
          <w:rFonts w:ascii="宋体" w:hAnsi="宋体" w:eastAsia="宋体"/>
          <w:color w:val="000000"/>
          <w:sz w:val="21"/>
          <w:szCs w:val="21"/>
        </w:rPr>
        <w:t>C.2</w:t>
      </w:r>
      <w:r>
        <w:rPr>
          <w:rFonts w:hint="eastAsia" w:ascii="宋体" w:hAnsi="宋体" w:eastAsia="宋体"/>
          <w:color w:val="000000"/>
          <w:sz w:val="21"/>
          <w:szCs w:val="21"/>
        </w:rPr>
        <w:t>标准；</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阻抗：100ohms±15﹪，</w:t>
      </w:r>
      <w:r>
        <w:rPr>
          <w:rFonts w:ascii="宋体" w:hAnsi="宋体" w:eastAsia="宋体"/>
          <w:color w:val="000000"/>
          <w:sz w:val="21"/>
          <w:szCs w:val="21"/>
        </w:rPr>
        <w:t>1</w:t>
      </w:r>
      <w:r>
        <w:rPr>
          <w:rFonts w:hint="eastAsia" w:ascii="宋体" w:hAnsi="宋体" w:eastAsia="宋体"/>
          <w:color w:val="000000"/>
          <w:sz w:val="21"/>
          <w:szCs w:val="21"/>
        </w:rPr>
        <w:t>- 600MHz；</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传输延迟：</w:t>
      </w:r>
      <w:r>
        <w:rPr>
          <w:rFonts w:hint="eastAsia" w:ascii="宋体" w:hAnsi="宋体" w:eastAsia="宋体" w:cs="Arial"/>
          <w:color w:val="333333"/>
          <w:sz w:val="21"/>
          <w:szCs w:val="21"/>
          <w:shd w:val="clear" w:color="auto" w:fill="FFFFFF"/>
        </w:rPr>
        <w:t>&lt;</w:t>
      </w:r>
      <w:r>
        <w:rPr>
          <w:rFonts w:ascii="宋体" w:hAnsi="宋体" w:eastAsia="宋体" w:cs="Arial"/>
          <w:color w:val="333333"/>
          <w:sz w:val="21"/>
          <w:szCs w:val="21"/>
          <w:shd w:val="clear" w:color="auto" w:fill="FFFFFF"/>
        </w:rPr>
        <w:t>536ns/100m@250MHz</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延迟偏移：</w:t>
      </w:r>
      <w:r>
        <w:rPr>
          <w:rFonts w:hint="eastAsia" w:ascii="宋体" w:hAnsi="宋体" w:eastAsia="宋体" w:cs="Arial"/>
          <w:color w:val="333333"/>
          <w:sz w:val="21"/>
          <w:szCs w:val="21"/>
          <w:shd w:val="clear" w:color="auto" w:fill="FFFFFF"/>
        </w:rPr>
        <w:t>&lt;</w:t>
      </w:r>
      <w:r>
        <w:rPr>
          <w:rFonts w:ascii="宋体" w:hAnsi="宋体" w:eastAsia="宋体" w:cs="Arial"/>
          <w:color w:val="333333"/>
          <w:sz w:val="21"/>
          <w:szCs w:val="21"/>
          <w:shd w:val="clear" w:color="auto" w:fill="FFFFFF"/>
        </w:rPr>
        <w:t>45ns</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导体电阻：66.58 ohms max/km</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直流电阻：≤7.55Ω</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导线：</w:t>
      </w:r>
      <w:r>
        <w:rPr>
          <w:rFonts w:hint="eastAsia" w:ascii="宋体" w:hAnsi="宋体" w:eastAsia="宋体"/>
          <w:bCs/>
          <w:sz w:val="21"/>
          <w:szCs w:val="21"/>
        </w:rPr>
        <w:t>实心裸铜导体；</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ascii="宋体" w:hAnsi="宋体" w:eastAsia="宋体" w:cs="Arial"/>
          <w:color w:val="333333"/>
          <w:sz w:val="21"/>
          <w:szCs w:val="21"/>
          <w:shd w:val="clear" w:color="auto" w:fill="FFFFFF"/>
        </w:rPr>
        <w:t>外皮：FR PVC</w:t>
      </w:r>
      <w:r>
        <w:rPr>
          <w:rFonts w:hint="eastAsia" w:ascii="宋体" w:hAnsi="宋体" w:eastAsia="宋体" w:cs="Arial"/>
          <w:color w:val="333333"/>
          <w:sz w:val="21"/>
          <w:szCs w:val="21"/>
          <w:shd w:val="clear" w:color="auto" w:fill="FFFFFF"/>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color w:val="000000"/>
          <w:sz w:val="21"/>
          <w:szCs w:val="21"/>
        </w:rPr>
        <w:t>1G</w:t>
      </w:r>
      <w:r>
        <w:rPr>
          <w:rFonts w:hint="eastAsia" w:ascii="宋体" w:hAnsi="宋体" w:eastAsia="宋体"/>
          <w:color w:val="000000"/>
          <w:sz w:val="21"/>
          <w:szCs w:val="21"/>
        </w:rPr>
        <w:t>的传输速率；</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提供至少</w:t>
      </w:r>
      <w:r>
        <w:rPr>
          <w:rFonts w:ascii="宋体" w:hAnsi="宋体" w:eastAsia="宋体"/>
          <w:color w:val="000000"/>
          <w:sz w:val="21"/>
          <w:szCs w:val="21"/>
        </w:rPr>
        <w:t>三种可选颜色</w:t>
      </w:r>
      <w:r>
        <w:rPr>
          <w:rFonts w:hint="eastAsia" w:ascii="宋体" w:hAnsi="宋体" w:eastAsia="宋体"/>
          <w:color w:val="000000"/>
          <w:sz w:val="21"/>
          <w:szCs w:val="21"/>
        </w:rPr>
        <w:t>；</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规格型号满足采购人要求；</w:t>
      </w:r>
    </w:p>
    <w:p>
      <w:pPr>
        <w:pStyle w:val="89"/>
        <w:numPr>
          <w:ilvl w:val="0"/>
          <w:numId w:val="16"/>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参考品牌康普/美国西蒙或同级六类网线品牌。供货时须提供本项目本批次产品原厂商签订的供销合同。</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color w:val="000000"/>
          <w:sz w:val="21"/>
          <w:szCs w:val="21"/>
        </w:rPr>
        <w:t>水晶</w:t>
      </w:r>
      <w:r>
        <w:rPr>
          <w:rFonts w:hint="eastAsia" w:ascii="宋体" w:hAnsi="宋体" w:eastAsia="宋体"/>
          <w:sz w:val="21"/>
          <w:szCs w:val="21"/>
        </w:rPr>
        <w:t>头</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导体类型</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实芯/绞式</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针数</w:t>
      </w:r>
      <w:r>
        <w:rPr>
          <w:rFonts w:hint="eastAsia" w:ascii="宋体" w:hAnsi="宋体" w:eastAsia="宋体"/>
          <w:color w:val="333333"/>
          <w:sz w:val="21"/>
          <w:szCs w:val="21"/>
          <w:shd w:val="clear" w:color="auto" w:fill="FFFFFF"/>
        </w:rPr>
        <w:t>：8；</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触点基础材质</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磷青铜</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Style w:val="350"/>
          <w:rFonts w:ascii="宋体" w:hAnsi="宋体" w:eastAsia="宋体"/>
          <w:color w:val="000000"/>
          <w:sz w:val="21"/>
          <w:szCs w:val="21"/>
        </w:rPr>
      </w:pPr>
      <w:r>
        <w:rPr>
          <w:rFonts w:ascii="宋体" w:hAnsi="宋体" w:eastAsia="宋体"/>
          <w:color w:val="333333"/>
          <w:sz w:val="21"/>
          <w:szCs w:val="21"/>
          <w:shd w:val="clear" w:color="auto" w:fill="FFFFFF"/>
        </w:rPr>
        <w:t>触点啮合区域镀层材质</w:t>
      </w:r>
      <w:r>
        <w:rPr>
          <w:rStyle w:val="350"/>
          <w:rFonts w:hint="eastAsia" w:ascii="宋体" w:hAnsi="宋体" w:eastAsia="宋体"/>
          <w:sz w:val="21"/>
          <w:szCs w:val="21"/>
        </w:rPr>
        <w:t>：金；</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触点啮合区域镀层厚度</w:t>
      </w:r>
      <w:r>
        <w:rPr>
          <w:rStyle w:val="350"/>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50.00 µin|1.27 µm</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加载触点数</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8</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外壳材质</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玻璃填充聚碳酸酯</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ascii="宋体" w:hAnsi="宋体" w:eastAsia="宋体"/>
          <w:color w:val="333333"/>
          <w:sz w:val="21"/>
          <w:szCs w:val="21"/>
          <w:shd w:val="clear" w:color="auto" w:fill="FFFFFF"/>
        </w:rPr>
        <w:t>线缆/电缆端接方式</w:t>
      </w:r>
      <w:r>
        <w:rPr>
          <w:rFonts w:hint="eastAsia" w:ascii="宋体" w:hAnsi="宋体" w:eastAsia="宋体"/>
          <w:color w:val="333333"/>
          <w:sz w:val="21"/>
          <w:szCs w:val="21"/>
          <w:shd w:val="clear" w:color="auto" w:fill="FFFFFF"/>
        </w:rPr>
        <w:t>：</w:t>
      </w:r>
      <w:r>
        <w:rPr>
          <w:rFonts w:ascii="宋体" w:hAnsi="宋体" w:eastAsia="宋体"/>
          <w:color w:val="333333"/>
          <w:sz w:val="21"/>
          <w:szCs w:val="21"/>
          <w:shd w:val="clear" w:color="auto" w:fill="FFFFFF"/>
        </w:rPr>
        <w:t>绝缘置换压接（IDC）</w:t>
      </w:r>
      <w:r>
        <w:rPr>
          <w:rFonts w:hint="eastAsia" w:ascii="宋体" w:hAnsi="宋体" w:eastAsia="宋体"/>
          <w:color w:val="333333"/>
          <w:sz w:val="21"/>
          <w:szCs w:val="21"/>
          <w:shd w:val="clear" w:color="auto" w:fill="FFFFFF"/>
        </w:rPr>
        <w:t>；</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规格型号满足采购人要求；</w:t>
      </w:r>
    </w:p>
    <w:p>
      <w:pPr>
        <w:pStyle w:val="89"/>
        <w:numPr>
          <w:ilvl w:val="0"/>
          <w:numId w:val="17"/>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参考品牌康普/美国西蒙或同级品牌。供货时须提供本项目本批次产品原厂商签订的供销合同。</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*光纤</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外观：平滑、洁净、无油污、无伤痕和裂纹，零件组合平正，插头与转接器的接合平顺，易于插拨；</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插入损耗≤</w:t>
      </w:r>
      <w:r>
        <w:rPr>
          <w:rFonts w:ascii="宋体" w:hAnsi="宋体" w:eastAsia="宋体"/>
          <w:color w:val="000000"/>
          <w:sz w:val="21"/>
          <w:szCs w:val="21"/>
        </w:rPr>
        <w:t>0.3dB</w:t>
      </w:r>
      <w:r>
        <w:rPr>
          <w:rFonts w:hint="eastAsia" w:ascii="宋体" w:hAnsi="宋体" w:eastAsia="宋体"/>
          <w:color w:val="000000"/>
          <w:sz w:val="21"/>
          <w:szCs w:val="21"/>
        </w:rPr>
        <w:t>，回波损耗≥</w:t>
      </w:r>
      <w:r>
        <w:rPr>
          <w:rFonts w:ascii="宋体" w:hAnsi="宋体" w:eastAsia="宋体"/>
          <w:color w:val="000000"/>
          <w:sz w:val="21"/>
          <w:szCs w:val="21"/>
        </w:rPr>
        <w:t>50dB</w:t>
      </w:r>
      <w:r>
        <w:rPr>
          <w:rFonts w:hint="eastAsia" w:ascii="宋体" w:hAnsi="宋体" w:eastAsia="宋体"/>
          <w:color w:val="000000"/>
          <w:sz w:val="21"/>
          <w:szCs w:val="21"/>
        </w:rPr>
        <w:t>；</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插拔次数＞</w:t>
      </w:r>
      <w:r>
        <w:rPr>
          <w:rFonts w:ascii="宋体" w:hAnsi="宋体" w:eastAsia="宋体"/>
          <w:color w:val="000000"/>
          <w:sz w:val="21"/>
          <w:szCs w:val="21"/>
        </w:rPr>
        <w:t>1000</w:t>
      </w:r>
      <w:r>
        <w:rPr>
          <w:rFonts w:hint="eastAsia" w:ascii="宋体" w:hAnsi="宋体" w:eastAsia="宋体"/>
          <w:color w:val="000000"/>
          <w:sz w:val="21"/>
          <w:szCs w:val="21"/>
        </w:rPr>
        <w:t>次；</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抗拉力强，重复性好，稳定性高；</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支持</w:t>
      </w:r>
      <w:r>
        <w:rPr>
          <w:rFonts w:ascii="宋体" w:hAnsi="宋体" w:eastAsia="宋体"/>
          <w:sz w:val="21"/>
          <w:szCs w:val="21"/>
        </w:rPr>
        <w:t>SC/PC-SC/PC</w:t>
      </w:r>
      <w:r>
        <w:rPr>
          <w:rFonts w:hint="eastAsia" w:ascii="宋体" w:hAnsi="宋体" w:eastAsia="宋体"/>
          <w:sz w:val="21"/>
          <w:szCs w:val="21"/>
        </w:rPr>
        <w:t>、SC/PC-LC/PC、LC/PC-LC/PC等各类型接头；</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无损伤的机械互换性，保证插头和适配器之间精确互接；</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光跳线满足</w:t>
      </w:r>
      <w:r>
        <w:rPr>
          <w:rFonts w:ascii="宋体" w:hAnsi="宋体" w:eastAsia="宋体"/>
          <w:color w:val="000000"/>
          <w:sz w:val="21"/>
          <w:szCs w:val="21"/>
        </w:rPr>
        <w:t xml:space="preserve"> ITU-T G.657A2</w:t>
      </w:r>
      <w:r>
        <w:rPr>
          <w:rFonts w:hint="eastAsia" w:ascii="宋体" w:hAnsi="宋体" w:eastAsia="宋体"/>
          <w:color w:val="000000"/>
          <w:sz w:val="21"/>
          <w:szCs w:val="21"/>
        </w:rPr>
        <w:t>弯曲不敏感单模光纤和光缆特性的标准建议；多模光跳线满足</w:t>
      </w:r>
      <w:r>
        <w:rPr>
          <w:rFonts w:ascii="宋体" w:hAnsi="宋体" w:eastAsia="宋体"/>
          <w:color w:val="000000"/>
          <w:sz w:val="21"/>
          <w:szCs w:val="21"/>
        </w:rPr>
        <w:t xml:space="preserve"> ITU-T G.651A1a/A1b</w:t>
      </w:r>
      <w:r>
        <w:rPr>
          <w:rFonts w:hint="eastAsia" w:ascii="宋体" w:hAnsi="宋体" w:eastAsia="宋体"/>
          <w:color w:val="000000"/>
          <w:sz w:val="21"/>
          <w:szCs w:val="21"/>
        </w:rPr>
        <w:t>的标准建议；</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光纤参考型号：</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-1.5m-G.657A2-2mm-42mm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-3m-G.657A2-2mm-42mm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单模</w:t>
      </w:r>
      <w:r>
        <w:rPr>
          <w:rFonts w:ascii="宋体" w:hAnsi="宋体" w:eastAsia="宋体" w:cs="Calibri"/>
          <w:color w:val="000000"/>
          <w:sz w:val="21"/>
          <w:szCs w:val="21"/>
        </w:rPr>
        <w:t>-15m-G.657A2-2mm-42mm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-LC/UPC-FC/UPC-</w:t>
      </w:r>
      <w:r>
        <w:rPr>
          <w:rFonts w:hint="eastAsia" w:ascii="宋体" w:hAnsi="宋体" w:eastAsia="宋体" w:cs="Calibri"/>
          <w:color w:val="000000"/>
          <w:sz w:val="21"/>
          <w:szCs w:val="21"/>
        </w:rPr>
        <w:t>单模</w:t>
      </w:r>
      <w:r>
        <w:rPr>
          <w:rFonts w:ascii="宋体" w:hAnsi="宋体" w:eastAsia="宋体" w:cs="Calibri"/>
          <w:color w:val="000000"/>
          <w:sz w:val="21"/>
          <w:szCs w:val="21"/>
        </w:rPr>
        <w:t>-30m-G.657A2-2mm-42mm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-LC/UPC-SC/UPC-</w:t>
      </w:r>
      <w:r>
        <w:rPr>
          <w:rFonts w:hint="eastAsia" w:ascii="宋体" w:hAnsi="宋体" w:eastAsia="宋体" w:cs="Calibri"/>
          <w:color w:val="000000"/>
          <w:sz w:val="21"/>
          <w:szCs w:val="21"/>
        </w:rPr>
        <w:t>单模</w:t>
      </w:r>
      <w:r>
        <w:rPr>
          <w:rFonts w:ascii="宋体" w:hAnsi="宋体" w:eastAsia="宋体" w:cs="Calibri"/>
          <w:color w:val="000000"/>
          <w:sz w:val="21"/>
          <w:szCs w:val="21"/>
        </w:rPr>
        <w:t>-20m-G.657A2-2mm-42mm LC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-1.5m-G.651A1b-PVC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-3m-G.651A1b-PVC</w:t>
      </w:r>
    </w:p>
    <w:p>
      <w:pPr>
        <w:pStyle w:val="89"/>
        <w:widowControl/>
        <w:shd w:val="clear" w:color="auto" w:fill="FFFFFF"/>
        <w:adjustRightInd w:val="0"/>
        <w:snapToGrid w:val="0"/>
        <w:spacing w:line="360" w:lineRule="auto"/>
        <w:ind w:left="840"/>
        <w:rPr>
          <w:rFonts w:ascii="宋体" w:hAnsi="宋体" w:eastAsia="宋体" w:cs="Calibri"/>
          <w:color w:val="000000"/>
          <w:sz w:val="21"/>
          <w:szCs w:val="21"/>
        </w:rPr>
      </w:pPr>
      <w:r>
        <w:rPr>
          <w:rFonts w:hint="eastAsia" w:ascii="宋体" w:hAnsi="宋体" w:eastAsia="宋体" w:cs="Calibri"/>
          <w:color w:val="000000"/>
          <w:sz w:val="21"/>
          <w:szCs w:val="21"/>
        </w:rPr>
        <w:t>光跳线</w:t>
      </w:r>
      <w:r>
        <w:rPr>
          <w:rFonts w:ascii="宋体" w:hAnsi="宋体" w:eastAsia="宋体" w:cs="Calibri"/>
          <w:color w:val="000000"/>
          <w:sz w:val="21"/>
          <w:szCs w:val="21"/>
        </w:rPr>
        <w:t>-LC/UPC-LC/UPC-</w:t>
      </w:r>
      <w:r>
        <w:rPr>
          <w:rFonts w:hint="eastAsia" w:ascii="宋体" w:hAnsi="宋体" w:eastAsia="宋体" w:cs="Calibri"/>
          <w:color w:val="000000"/>
          <w:sz w:val="21"/>
          <w:szCs w:val="21"/>
        </w:rPr>
        <w:t>多模</w:t>
      </w:r>
      <w:r>
        <w:rPr>
          <w:rFonts w:ascii="宋体" w:hAnsi="宋体" w:eastAsia="宋体" w:cs="Calibri"/>
          <w:color w:val="000000"/>
          <w:sz w:val="21"/>
          <w:szCs w:val="21"/>
        </w:rPr>
        <w:t>-10m-G.651A1b-PVC</w:t>
      </w:r>
    </w:p>
    <w:p>
      <w:pPr>
        <w:pStyle w:val="89"/>
        <w:numPr>
          <w:ilvl w:val="0"/>
          <w:numId w:val="18"/>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参考品牌中航光电</w:t>
      </w:r>
      <w:r>
        <w:rPr>
          <w:rFonts w:ascii="宋体" w:hAnsi="宋体" w:eastAsia="宋体"/>
          <w:color w:val="000000"/>
          <w:sz w:val="21"/>
          <w:szCs w:val="21"/>
        </w:rPr>
        <w:t>/</w:t>
      </w:r>
      <w:r>
        <w:rPr>
          <w:rFonts w:hint="eastAsia" w:ascii="宋体" w:hAnsi="宋体" w:eastAsia="宋体"/>
          <w:color w:val="000000"/>
          <w:sz w:val="21"/>
          <w:szCs w:val="21"/>
        </w:rPr>
        <w:t>华脉/普天或同级品牌。供货时须提供本项目本批次产品原厂商签订的供销合同。提供单纤测试报告。</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光衰耗器</w:t>
      </w:r>
    </w:p>
    <w:p>
      <w:pPr>
        <w:pStyle w:val="89"/>
        <w:numPr>
          <w:ilvl w:val="0"/>
          <w:numId w:val="19"/>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适用于长途干线密集波分复用（</w:t>
      </w:r>
      <w:r>
        <w:rPr>
          <w:rFonts w:ascii="宋体" w:hAnsi="宋体" w:eastAsia="宋体"/>
          <w:color w:val="000000"/>
          <w:sz w:val="21"/>
          <w:szCs w:val="21"/>
        </w:rPr>
        <w:t>DWDM</w:t>
      </w:r>
      <w:r>
        <w:rPr>
          <w:rFonts w:hint="eastAsia" w:ascii="宋体" w:hAnsi="宋体" w:eastAsia="宋体"/>
          <w:color w:val="000000"/>
          <w:sz w:val="21"/>
          <w:szCs w:val="21"/>
        </w:rPr>
        <w:t>）系统；</w:t>
      </w:r>
    </w:p>
    <w:p>
      <w:pPr>
        <w:pStyle w:val="89"/>
        <w:numPr>
          <w:ilvl w:val="0"/>
          <w:numId w:val="19"/>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型号满足</w:t>
      </w:r>
      <w:r>
        <w:rPr>
          <w:rFonts w:ascii="宋体" w:hAnsi="宋体" w:eastAsia="宋体"/>
          <w:color w:val="000000"/>
          <w:sz w:val="21"/>
          <w:szCs w:val="21"/>
        </w:rPr>
        <w:t>3DB/5DB/7DB/10DB//15DB</w:t>
      </w:r>
      <w:r>
        <w:rPr>
          <w:rFonts w:hint="eastAsia" w:ascii="宋体" w:hAnsi="宋体" w:eastAsia="宋体"/>
          <w:color w:val="000000"/>
          <w:sz w:val="21"/>
          <w:szCs w:val="21"/>
        </w:rPr>
        <w:t>要求。</w:t>
      </w:r>
    </w:p>
    <w:p>
      <w:pPr>
        <w:pStyle w:val="89"/>
        <w:numPr>
          <w:ilvl w:val="0"/>
          <w:numId w:val="15"/>
        </w:numPr>
        <w:adjustRightInd w:val="0"/>
        <w:snapToGrid w:val="0"/>
        <w:spacing w:line="360" w:lineRule="auto"/>
        <w:ind w:firstLineChars="0"/>
        <w:rPr>
          <w:rFonts w:ascii="宋体" w:hAnsi="宋体" w:eastAsia="宋体"/>
          <w:sz w:val="21"/>
          <w:szCs w:val="21"/>
        </w:rPr>
      </w:pPr>
      <w:r>
        <w:rPr>
          <w:rFonts w:hint="eastAsia" w:ascii="宋体" w:hAnsi="宋体" w:eastAsia="宋体"/>
          <w:sz w:val="21"/>
          <w:szCs w:val="21"/>
        </w:rPr>
        <w:t>*电源线</w:t>
      </w:r>
    </w:p>
    <w:p>
      <w:pPr>
        <w:pStyle w:val="89"/>
        <w:numPr>
          <w:ilvl w:val="0"/>
          <w:numId w:val="20"/>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电源线导电线芯性能及外观符合</w:t>
      </w:r>
      <w:r>
        <w:rPr>
          <w:rFonts w:ascii="宋体" w:hAnsi="宋体" w:eastAsia="宋体"/>
          <w:color w:val="000000"/>
          <w:sz w:val="21"/>
          <w:szCs w:val="21"/>
        </w:rPr>
        <w:t>GB/T5023-2008</w:t>
      </w:r>
      <w:r>
        <w:rPr>
          <w:rFonts w:hint="eastAsia" w:ascii="宋体" w:hAnsi="宋体" w:eastAsia="宋体"/>
          <w:color w:val="000000"/>
          <w:sz w:val="21"/>
          <w:szCs w:val="21"/>
        </w:rPr>
        <w:t>或国际电工委员会IEC</w:t>
      </w:r>
      <w:r>
        <w:rPr>
          <w:rFonts w:ascii="宋体" w:hAnsi="宋体" w:eastAsia="宋体"/>
          <w:color w:val="000000"/>
          <w:sz w:val="21"/>
          <w:szCs w:val="21"/>
        </w:rPr>
        <w:t>60227 IEC 02(RV)</w:t>
      </w:r>
      <w:r>
        <w:rPr>
          <w:rFonts w:hint="eastAsia" w:ascii="宋体" w:hAnsi="宋体" w:eastAsia="宋体"/>
          <w:color w:val="000000"/>
          <w:sz w:val="21"/>
          <w:szCs w:val="21"/>
        </w:rPr>
        <w:t>标准的指标要求，产品获得C</w:t>
      </w:r>
      <w:r>
        <w:rPr>
          <w:rFonts w:ascii="宋体" w:hAnsi="宋体" w:eastAsia="宋体"/>
          <w:color w:val="000000"/>
          <w:sz w:val="21"/>
          <w:szCs w:val="21"/>
        </w:rPr>
        <w:t>CC</w:t>
      </w:r>
      <w:r>
        <w:rPr>
          <w:rFonts w:hint="eastAsia" w:ascii="宋体" w:hAnsi="宋体" w:eastAsia="宋体"/>
          <w:color w:val="000000"/>
          <w:sz w:val="21"/>
          <w:szCs w:val="21"/>
        </w:rPr>
        <w:t>和C</w:t>
      </w:r>
      <w:r>
        <w:rPr>
          <w:rFonts w:ascii="宋体" w:hAnsi="宋体" w:eastAsia="宋体"/>
          <w:color w:val="000000"/>
          <w:sz w:val="21"/>
          <w:szCs w:val="21"/>
        </w:rPr>
        <w:t>E</w:t>
      </w:r>
      <w:r>
        <w:rPr>
          <w:rFonts w:hint="eastAsia" w:ascii="宋体" w:hAnsi="宋体" w:eastAsia="宋体"/>
          <w:color w:val="000000"/>
          <w:sz w:val="21"/>
          <w:szCs w:val="21"/>
        </w:rPr>
        <w:t>认证标志。</w:t>
      </w:r>
    </w:p>
    <w:p>
      <w:pPr>
        <w:pStyle w:val="89"/>
        <w:numPr>
          <w:ilvl w:val="0"/>
          <w:numId w:val="20"/>
        </w:numPr>
        <w:adjustRightInd w:val="0"/>
        <w:snapToGrid w:val="0"/>
        <w:spacing w:line="360" w:lineRule="auto"/>
        <w:ind w:firstLineChars="0"/>
        <w:rPr>
          <w:rFonts w:ascii="宋体" w:hAnsi="宋体" w:eastAsia="宋体"/>
          <w:color w:val="000000"/>
          <w:sz w:val="21"/>
          <w:szCs w:val="21"/>
        </w:rPr>
      </w:pPr>
      <w:r>
        <w:rPr>
          <w:rFonts w:hint="eastAsia" w:ascii="宋体" w:hAnsi="宋体" w:eastAsia="宋体"/>
          <w:color w:val="000000"/>
          <w:sz w:val="21"/>
          <w:szCs w:val="21"/>
        </w:rPr>
        <w:t>参考品牌中利</w:t>
      </w:r>
      <w:r>
        <w:rPr>
          <w:rFonts w:ascii="宋体" w:hAnsi="宋体" w:eastAsia="宋体"/>
          <w:color w:val="000000"/>
          <w:sz w:val="21"/>
          <w:szCs w:val="21"/>
        </w:rPr>
        <w:t>/</w:t>
      </w:r>
      <w:r>
        <w:rPr>
          <w:rFonts w:hint="eastAsia" w:ascii="宋体" w:hAnsi="宋体" w:eastAsia="宋体"/>
          <w:color w:val="000000"/>
          <w:sz w:val="21"/>
          <w:szCs w:val="21"/>
        </w:rPr>
        <w:t>远东</w:t>
      </w:r>
      <w:r>
        <w:rPr>
          <w:rFonts w:ascii="宋体" w:hAnsi="宋体" w:eastAsia="宋体"/>
          <w:color w:val="000000"/>
          <w:sz w:val="21"/>
          <w:szCs w:val="21"/>
        </w:rPr>
        <w:t>/</w:t>
      </w:r>
      <w:r>
        <w:rPr>
          <w:rFonts w:hint="eastAsia" w:ascii="宋体" w:hAnsi="宋体" w:eastAsia="宋体"/>
          <w:color w:val="000000"/>
          <w:sz w:val="21"/>
          <w:szCs w:val="21"/>
        </w:rPr>
        <w:t>正泰</w:t>
      </w:r>
      <w:r>
        <w:rPr>
          <w:rFonts w:ascii="宋体" w:hAnsi="宋体" w:eastAsia="宋体"/>
          <w:color w:val="000000"/>
          <w:sz w:val="21"/>
          <w:szCs w:val="21"/>
        </w:rPr>
        <w:t>/</w:t>
      </w:r>
      <w:r>
        <w:rPr>
          <w:rFonts w:hint="eastAsia" w:ascii="宋体" w:hAnsi="宋体" w:eastAsia="宋体"/>
          <w:color w:val="000000"/>
          <w:sz w:val="21"/>
          <w:szCs w:val="21"/>
        </w:rPr>
        <w:t>或同级品牌。</w:t>
      </w:r>
      <w:bookmarkEnd w:id="13"/>
      <w:bookmarkEnd w:id="14"/>
      <w:bookmarkEnd w:id="15"/>
      <w:bookmarkStart w:id="24" w:name="_Toc69378657"/>
      <w:bookmarkStart w:id="25" w:name="_Toc502914229"/>
    </w:p>
    <w:p>
      <w:pPr>
        <w:adjustRightInd w:val="0"/>
        <w:snapToGrid w:val="0"/>
        <w:spacing w:line="360" w:lineRule="auto"/>
        <w:rPr>
          <w:rFonts w:ascii="宋体" w:hAnsi="宋体"/>
          <w:color w:val="000000"/>
          <w:szCs w:val="21"/>
        </w:rPr>
      </w:pPr>
    </w:p>
    <w:p>
      <w:pPr>
        <w:pStyle w:val="4"/>
        <w:numPr>
          <w:ilvl w:val="0"/>
          <w:numId w:val="10"/>
        </w:numPr>
        <w:adjustRightInd w:val="0"/>
        <w:snapToGrid w:val="0"/>
        <w:spacing w:before="156" w:beforeLines="50" w:after="156" w:afterLines="50" w:line="360" w:lineRule="auto"/>
        <w:ind w:left="0" w:firstLine="0"/>
        <w:rPr>
          <w:rFonts w:ascii="宋体" w:hAnsi="宋体" w:eastAsia="宋体"/>
          <w:b/>
          <w:bCs w:val="0"/>
          <w:szCs w:val="21"/>
        </w:rPr>
      </w:pPr>
      <w:r>
        <w:rPr>
          <w:rFonts w:hint="eastAsia" w:ascii="宋体" w:hAnsi="宋体" w:eastAsia="宋体"/>
          <w:b/>
          <w:bCs w:val="0"/>
          <w:szCs w:val="21"/>
        </w:rPr>
        <w:t>施工界面与内容</w:t>
      </w:r>
    </w:p>
    <w:p>
      <w:pPr>
        <w:pStyle w:val="5"/>
        <w:numPr>
          <w:ilvl w:val="1"/>
          <w:numId w:val="21"/>
        </w:numPr>
        <w:tabs>
          <w:tab w:val="left" w:pos="360"/>
        </w:tabs>
        <w:ind w:left="0" w:firstLine="0"/>
        <w:rPr>
          <w:rFonts w:ascii="宋体" w:hAnsi="宋体"/>
          <w:szCs w:val="21"/>
        </w:rPr>
      </w:pPr>
      <w:r>
        <w:rPr>
          <w:rFonts w:ascii="宋体" w:hAnsi="宋体" w:eastAsia="宋体"/>
          <w:b/>
          <w:bCs/>
          <w:sz w:val="21"/>
          <w:szCs w:val="21"/>
        </w:rPr>
        <w:t>*</w:t>
      </w:r>
      <w:r>
        <w:rPr>
          <w:rFonts w:hint="eastAsia" w:ascii="宋体" w:hAnsi="宋体"/>
          <w:szCs w:val="21"/>
        </w:rPr>
        <w:t>施工分界</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供应商负责完成：现机房所有业务梳理、涉及设备断电、拆除；新机房设备上架、安装、布线、布纤（至出局和客户侧ODF）、集成、调试，设备加电正常工作直至业务恢复正常。供应商负责完成搬迁设备在新机房安装所需的强弱电缆、固衰、尾纤等所有辅材，</w:t>
      </w:r>
      <w:r>
        <w:rPr>
          <w:rFonts w:hint="eastAsia" w:asciiTheme="minorEastAsia" w:hAnsiTheme="minorEastAsia"/>
          <w:color w:val="000000"/>
          <w:szCs w:val="21"/>
        </w:rPr>
        <w:t>满足《项目总体要求》和《技术规范与施工工艺要求》。</w:t>
      </w:r>
    </w:p>
    <w:p>
      <w:pPr>
        <w:adjustRightInd w:val="0"/>
        <w:snapToGrid w:val="0"/>
        <w:spacing w:line="360" w:lineRule="auto"/>
        <w:ind w:left="424" w:leftChars="202" w:firstLine="420" w:firstLineChars="200"/>
        <w:rPr>
          <w:rFonts w:ascii="宋体" w:hAnsi="宋体"/>
          <w:color w:val="000000"/>
          <w:szCs w:val="21"/>
        </w:rPr>
      </w:pPr>
      <w:r>
        <w:rPr>
          <w:rFonts w:hint="eastAsia" w:ascii="宋体" w:hAnsi="宋体"/>
          <w:color w:val="000000"/>
          <w:szCs w:val="21"/>
        </w:rPr>
        <w:t>系统改造所涉及系统的数据备份、网管调测等由供应商完成。</w:t>
      </w:r>
    </w:p>
    <w:p>
      <w:pPr>
        <w:pStyle w:val="139"/>
        <w:adjustRightInd w:val="0"/>
        <w:snapToGrid w:val="0"/>
        <w:spacing w:line="360" w:lineRule="auto"/>
        <w:ind w:left="426"/>
        <w:rPr>
          <w:rFonts w:ascii="宋体" w:hAnsi="宋体"/>
          <w:color w:val="000000"/>
          <w:szCs w:val="21"/>
        </w:rPr>
      </w:pPr>
      <w:r>
        <w:rPr>
          <w:rFonts w:hint="eastAsia" w:ascii="宋体" w:hAnsi="宋体"/>
          <w:color w:val="000000"/>
          <w:szCs w:val="21"/>
        </w:rPr>
        <w:t>采购人负责系统运行状态确认、信号确认、上线，业务监测、项目验收等工作,采购人负责提供通信电源的交流输入电缆，出入局光缆成端，设备由老机房至新机房上下楼、运输。</w:t>
      </w:r>
    </w:p>
    <w:p>
      <w:pPr>
        <w:pStyle w:val="5"/>
        <w:numPr>
          <w:ilvl w:val="1"/>
          <w:numId w:val="21"/>
        </w:numPr>
        <w:rPr>
          <w:rFonts w:ascii="宋体" w:hAnsi="宋体"/>
          <w:szCs w:val="21"/>
        </w:rPr>
      </w:pPr>
      <w:r>
        <w:rPr>
          <w:rFonts w:hint="eastAsia" w:ascii="宋体" w:hAnsi="宋体"/>
          <w:szCs w:val="21"/>
        </w:rPr>
        <w:t>施工范围</w:t>
      </w:r>
    </w:p>
    <w:p>
      <w:pPr>
        <w:pStyle w:val="34"/>
        <w:spacing w:line="360" w:lineRule="auto"/>
        <w:ind w:firstLine="420"/>
        <w:rPr>
          <w:rFonts w:ascii="宋体" w:eastAsia="宋体"/>
          <w:sz w:val="21"/>
          <w:szCs w:val="21"/>
        </w:rPr>
      </w:pPr>
      <w:r>
        <w:rPr>
          <w:rFonts w:hint="eastAsia" w:ascii="宋体" w:eastAsia="宋体"/>
          <w:sz w:val="21"/>
          <w:szCs w:val="21"/>
        </w:rPr>
        <w:t>本项施工范围主要包括：市县波分栖霞节点、电源柜、电池、信源交换机、码流分析仪、ODF柜，搬迁后部署在栖霞新机房。</w:t>
      </w:r>
    </w:p>
    <w:p>
      <w:pPr>
        <w:pStyle w:val="89"/>
        <w:numPr>
          <w:ilvl w:val="0"/>
          <w:numId w:val="22"/>
        </w:numPr>
        <w:spacing w:line="360" w:lineRule="auto"/>
        <w:ind w:firstLineChars="0"/>
        <w:rPr>
          <w:rFonts w:ascii="宋体" w:hAnsi="宋体" w:eastAsia="宋体"/>
          <w:sz w:val="21"/>
          <w:szCs w:val="21"/>
        </w:rPr>
      </w:pPr>
      <w:r>
        <w:rPr>
          <w:rFonts w:hint="eastAsia" w:ascii="宋体" w:hAnsi="宋体" w:eastAsia="宋体"/>
          <w:bCs/>
          <w:sz w:val="21"/>
          <w:szCs w:val="21"/>
        </w:rPr>
        <w:t>施工方提供所有工具材料、测量统计，完成综合布线，完成设备下电、拆卸、运输、安装、调试、启用，直至业务完成上线，交付使用。</w:t>
      </w:r>
    </w:p>
    <w:p>
      <w:pPr>
        <w:pStyle w:val="89"/>
        <w:numPr>
          <w:ilvl w:val="0"/>
          <w:numId w:val="22"/>
        </w:numPr>
        <w:spacing w:line="360" w:lineRule="auto"/>
        <w:ind w:firstLineChars="0"/>
        <w:rPr>
          <w:rFonts w:ascii="宋体" w:hAnsi="宋体" w:eastAsia="宋体"/>
          <w:sz w:val="21"/>
          <w:szCs w:val="21"/>
        </w:rPr>
      </w:pPr>
      <w:r>
        <w:rPr>
          <w:rFonts w:hint="eastAsia" w:ascii="宋体" w:hAnsi="宋体" w:eastAsia="宋体"/>
          <w:bCs/>
          <w:sz w:val="21"/>
          <w:szCs w:val="21"/>
        </w:rPr>
        <w:t>设备划分如下：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62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序号</w:t>
            </w:r>
          </w:p>
        </w:tc>
        <w:tc>
          <w:tcPr>
            <w:tcW w:w="198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设备</w:t>
            </w:r>
          </w:p>
        </w:tc>
        <w:tc>
          <w:tcPr>
            <w:tcW w:w="162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数量</w:t>
            </w:r>
          </w:p>
        </w:tc>
        <w:tc>
          <w:tcPr>
            <w:tcW w:w="3600" w:type="dxa"/>
            <w:shd w:val="clear" w:color="auto" w:fill="E6E6E6"/>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OSN6800</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2个机柜</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其中1台机柜3个子框。另1台机柜为1个子框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中恒通信电源</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1个机柜</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电池</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1组</w:t>
            </w:r>
          </w:p>
        </w:tc>
        <w:tc>
          <w:tcPr>
            <w:tcW w:w="360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信源交换机</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码流分析仪</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1个</w:t>
            </w:r>
          </w:p>
        </w:tc>
        <w:tc>
          <w:tcPr>
            <w:tcW w:w="3600" w:type="dxa"/>
            <w:vAlign w:val="center"/>
          </w:tcPr>
          <w:p>
            <w:pPr>
              <w:widowControl/>
              <w:jc w:val="center"/>
              <w:rPr>
                <w:rFonts w:ascii="宋体" w:hAnsi="宋体" w:cs="Arial"/>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198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ODF柜</w:t>
            </w:r>
          </w:p>
        </w:tc>
        <w:tc>
          <w:tcPr>
            <w:tcW w:w="1620" w:type="dxa"/>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1台</w:t>
            </w:r>
          </w:p>
        </w:tc>
        <w:tc>
          <w:tcPr>
            <w:tcW w:w="3600" w:type="dxa"/>
            <w:vAlign w:val="center"/>
          </w:tcPr>
          <w:p>
            <w:pPr>
              <w:widowControl/>
              <w:jc w:val="center"/>
              <w:rPr>
                <w:rFonts w:ascii="宋体" w:hAnsi="宋体" w:cs="Arial"/>
                <w:color w:val="000000"/>
                <w:kern w:val="0"/>
                <w:sz w:val="20"/>
                <w:szCs w:val="20"/>
              </w:rPr>
            </w:pPr>
          </w:p>
        </w:tc>
      </w:tr>
    </w:tbl>
    <w:p>
      <w:pPr>
        <w:pStyle w:val="89"/>
        <w:spacing w:line="360" w:lineRule="auto"/>
        <w:ind w:left="840" w:firstLine="0" w:firstLineChars="0"/>
        <w:rPr>
          <w:rFonts w:ascii="宋体" w:hAnsi="宋体" w:eastAsia="宋体"/>
          <w:sz w:val="21"/>
          <w:szCs w:val="21"/>
        </w:rPr>
      </w:pPr>
    </w:p>
    <w:p>
      <w:pPr>
        <w:pStyle w:val="163"/>
        <w:rPr>
          <w:rFonts w:ascii="黑体" w:hAnsi="黑体" w:eastAsia="黑体"/>
          <w:szCs w:val="28"/>
        </w:rPr>
      </w:pPr>
      <w:r>
        <w:rPr>
          <w:rFonts w:ascii="黑体" w:hAnsi="黑体" w:eastAsia="黑体"/>
          <w:sz w:val="28"/>
          <w:szCs w:val="28"/>
        </w:rPr>
        <w:t>3.3</w:t>
      </w:r>
      <w:r>
        <w:rPr>
          <w:rFonts w:hint="eastAsia" w:ascii="黑体" w:hAnsi="黑体" w:eastAsia="黑体"/>
          <w:sz w:val="28"/>
          <w:szCs w:val="28"/>
        </w:rPr>
        <w:t>、施工内容</w:t>
      </w:r>
    </w:p>
    <w:p>
      <w:pPr>
        <w:pStyle w:val="34"/>
        <w:spacing w:line="360" w:lineRule="auto"/>
        <w:ind w:left="420" w:firstLine="420"/>
        <w:rPr>
          <w:rFonts w:ascii="宋体" w:eastAsia="宋体"/>
          <w:sz w:val="21"/>
          <w:szCs w:val="21"/>
        </w:rPr>
      </w:pPr>
      <w:r>
        <w:rPr>
          <w:rFonts w:hint="eastAsia" w:ascii="宋体" w:eastAsia="宋体"/>
          <w:sz w:val="21"/>
          <w:szCs w:val="21"/>
        </w:rPr>
        <w:t>本项目为交钥匙工程，包括但不限于以下施工内容：</w:t>
      </w:r>
    </w:p>
    <w:p>
      <w:pPr>
        <w:pStyle w:val="89"/>
        <w:numPr>
          <w:ilvl w:val="0"/>
          <w:numId w:val="23"/>
        </w:numPr>
        <w:spacing w:line="360" w:lineRule="auto"/>
        <w:ind w:firstLineChars="0"/>
        <w:rPr>
          <w:rFonts w:ascii="宋体" w:hAnsi="宋体" w:eastAsia="宋体"/>
          <w:bCs/>
          <w:sz w:val="21"/>
          <w:szCs w:val="21"/>
        </w:rPr>
      </w:pPr>
      <w:r>
        <w:rPr>
          <w:rFonts w:hint="eastAsia" w:ascii="宋体" w:eastAsia="宋体"/>
          <w:sz w:val="21"/>
          <w:szCs w:val="21"/>
        </w:rPr>
        <w:t>将市县波分栖霞节点、电源柜、电池、信源交换机、码流分析仪、ODF柜等设备由栖霞老机房搬迁部署在新机房。</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布线和软调</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施工方按照搬迁方案，购买设备辅材，运输到指定位置，制作线缆和接头，提前布放光纤、网线、电源线等。</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设备搬迁前，做好数据备份、上下游和本站站光功率值记录等工作。</w:t>
      </w:r>
      <w:r>
        <w:rPr>
          <w:rFonts w:ascii="宋体" w:hAnsi="宋体" w:eastAsia="宋体"/>
          <w:bCs/>
          <w:sz w:val="21"/>
          <w:szCs w:val="21"/>
        </w:rPr>
        <w:t xml:space="preserve"> </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设备搬迁后，施工方按要求安装设备，连接线缆（网线、光纤、电源线等），配合进行跳线等；完成系统调测，包括业务通道状态、光功率、平坦度等。</w:t>
      </w:r>
    </w:p>
    <w:p>
      <w:pPr>
        <w:pStyle w:val="89"/>
        <w:numPr>
          <w:ilvl w:val="1"/>
          <w:numId w:val="24"/>
        </w:numPr>
        <w:spacing w:line="360" w:lineRule="auto"/>
        <w:ind w:left="1214" w:firstLineChars="0"/>
        <w:rPr>
          <w:rFonts w:ascii="宋体" w:hAnsi="宋体" w:eastAsia="宋体"/>
          <w:bCs/>
          <w:sz w:val="21"/>
          <w:szCs w:val="21"/>
        </w:rPr>
      </w:pPr>
      <w:r>
        <w:rPr>
          <w:rFonts w:hint="eastAsia" w:ascii="宋体" w:hAnsi="宋体" w:eastAsia="宋体"/>
          <w:bCs/>
          <w:sz w:val="21"/>
          <w:szCs w:val="21"/>
        </w:rPr>
        <w:t>施工方按照施工工艺要求进行施工，所有尾纤必须测试符合要求后使用，如有问题应及时解决，制作临时标签和永久标签，绑扎线缆整齐美观。</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应急预案和演练</w:t>
      </w:r>
    </w:p>
    <w:p>
      <w:pPr>
        <w:pStyle w:val="89"/>
        <w:spacing w:line="360" w:lineRule="auto"/>
        <w:ind w:left="840" w:firstLine="0" w:firstLineChars="0"/>
        <w:rPr>
          <w:rFonts w:ascii="宋体" w:hAnsi="宋体" w:eastAsia="宋体"/>
          <w:bCs/>
          <w:sz w:val="21"/>
          <w:szCs w:val="21"/>
        </w:rPr>
      </w:pPr>
      <w:r>
        <w:rPr>
          <w:rFonts w:hint="eastAsia" w:ascii="宋体" w:hAnsi="宋体" w:eastAsia="宋体"/>
          <w:bCs/>
          <w:sz w:val="21"/>
          <w:szCs w:val="21"/>
        </w:rPr>
        <w:t>根据搬迁过程中可能存在的问题，制定应急预案并完成应急演练，包括：主备路切换演练，应急演练。</w:t>
      </w:r>
    </w:p>
    <w:p>
      <w:pPr>
        <w:pStyle w:val="89"/>
        <w:numPr>
          <w:ilvl w:val="0"/>
          <w:numId w:val="23"/>
        </w:numPr>
        <w:spacing w:line="360" w:lineRule="auto"/>
        <w:ind w:firstLineChars="0"/>
        <w:rPr>
          <w:rFonts w:ascii="宋体" w:hAnsi="宋体" w:eastAsia="宋体"/>
          <w:bCs/>
          <w:sz w:val="21"/>
          <w:szCs w:val="21"/>
        </w:rPr>
      </w:pPr>
      <w:r>
        <w:rPr>
          <w:rFonts w:hint="eastAsia" w:ascii="宋体" w:hAnsi="宋体" w:eastAsia="宋体"/>
          <w:bCs/>
          <w:sz w:val="21"/>
          <w:szCs w:val="21"/>
        </w:rPr>
        <w:t>系统安全保障</w:t>
      </w:r>
    </w:p>
    <w:p>
      <w:pPr>
        <w:pStyle w:val="89"/>
        <w:numPr>
          <w:ilvl w:val="0"/>
          <w:numId w:val="25"/>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系统搬迁过程中确保广播业务不间断；</w:t>
      </w:r>
    </w:p>
    <w:p>
      <w:pPr>
        <w:pStyle w:val="89"/>
        <w:numPr>
          <w:ilvl w:val="0"/>
          <w:numId w:val="25"/>
        </w:numPr>
        <w:spacing w:line="360" w:lineRule="auto"/>
        <w:ind w:left="1214" w:firstLineChars="0"/>
        <w:rPr>
          <w:rFonts w:ascii="宋体" w:hAnsi="宋体" w:eastAsia="宋体"/>
          <w:bCs/>
          <w:sz w:val="21"/>
          <w:szCs w:val="21"/>
        </w:rPr>
      </w:pPr>
      <w:r>
        <w:rPr>
          <w:rFonts w:hint="eastAsia" w:ascii="宋体" w:hAnsi="宋体" w:eastAsia="宋体"/>
          <w:bCs/>
          <w:sz w:val="21"/>
          <w:szCs w:val="21"/>
        </w:rPr>
        <w:t>系统搬迁过程中提供</w:t>
      </w:r>
      <w:r>
        <w:rPr>
          <w:rFonts w:ascii="宋体" w:hAnsi="宋体" w:eastAsia="宋体"/>
          <w:bCs/>
          <w:sz w:val="21"/>
          <w:szCs w:val="21"/>
        </w:rPr>
        <w:t>24小时不间断的现场支撑工作；</w:t>
      </w:r>
    </w:p>
    <w:p>
      <w:pPr>
        <w:pStyle w:val="89"/>
        <w:spacing w:line="360" w:lineRule="auto"/>
        <w:rPr>
          <w:rFonts w:ascii="宋体" w:hAnsi="宋体" w:eastAsia="宋体"/>
          <w:sz w:val="21"/>
          <w:szCs w:val="21"/>
        </w:rPr>
      </w:pPr>
      <w:r>
        <w:rPr>
          <w:rFonts w:hint="eastAsia" w:ascii="宋体" w:hAnsi="宋体" w:eastAsia="宋体"/>
          <w:sz w:val="21"/>
          <w:szCs w:val="21"/>
        </w:rPr>
        <w:t>说明：以上施工内容为基本要求，应根据技术交流、现场勘探的情况，进一步补充、完善、改进，制定搬迁方案、应急方案、安全保障措施等。</w:t>
      </w:r>
    </w:p>
    <w:p>
      <w:pPr>
        <w:pStyle w:val="2"/>
      </w:pPr>
    </w:p>
    <w:p>
      <w:pPr>
        <w:spacing w:line="360" w:lineRule="auto"/>
        <w:rPr>
          <w:rFonts w:eastAsia="黑体"/>
          <w:b/>
          <w:bCs/>
          <w:kern w:val="44"/>
          <w:sz w:val="36"/>
          <w:szCs w:val="36"/>
        </w:rPr>
      </w:pPr>
      <w:r>
        <w:br w:type="page"/>
      </w:r>
      <w:r>
        <w:t>=</w:t>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24"/>
    </w:p>
    <w:p/>
    <w:p/>
    <w:p/>
    <w:p/>
    <w:p/>
    <w:p/>
    <w:p/>
    <w:p>
      <w:pPr>
        <w:jc w:val="center"/>
        <w:rPr>
          <w:rFonts w:ascii="宋体" w:hAnsi="宋体"/>
          <w:sz w:val="44"/>
          <w:szCs w:val="44"/>
        </w:rPr>
      </w:pPr>
      <w:bookmarkStart w:id="26" w:name="_Toc26259736"/>
      <w:r>
        <w:rPr>
          <w:rFonts w:hint="eastAsia" w:ascii="宋体" w:hAnsi="宋体"/>
          <w:sz w:val="44"/>
          <w:szCs w:val="44"/>
        </w:rPr>
        <w:t>江苏省广电有线信息网络股份有限公司</w:t>
      </w:r>
    </w:p>
    <w:bookmarkEnd w:id="26"/>
    <w:p>
      <w:pPr>
        <w:jc w:val="center"/>
        <w:rPr>
          <w:sz w:val="48"/>
          <w:szCs w:val="48"/>
        </w:rPr>
      </w:pPr>
      <w:r>
        <w:rPr>
          <w:rFonts w:hint="eastAsia"/>
          <w:sz w:val="48"/>
          <w:szCs w:val="48"/>
        </w:rPr>
        <w:t>栖霞机房传输和配套设备搬迁项目</w:t>
      </w: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pPr>
      <w:r>
        <w:rPr>
          <w:rFonts w:hint="eastAsia"/>
          <w:szCs w:val="28"/>
        </w:rPr>
        <w:t>年</w:t>
      </w:r>
      <w:r>
        <w:rPr>
          <w:rFonts w:hint="eastAsia"/>
          <w:spacing w:val="-3"/>
          <w:szCs w:val="28"/>
        </w:rPr>
        <w:t>月</w:t>
      </w:r>
      <w:r>
        <w:rPr>
          <w:rFonts w:hint="eastAsia"/>
          <w:szCs w:val="28"/>
        </w:rPr>
        <w:t>日</w:t>
      </w:r>
    </w:p>
    <w:p>
      <w:pPr>
        <w:pStyle w:val="137"/>
        <w:ind w:firstLine="0" w:firstLineChars="0"/>
        <w:rPr>
          <w:rFonts w:ascii="Arial" w:hAnsi="Arial" w:eastAsia="黑体" w:cs="Arial"/>
        </w:rPr>
      </w:pPr>
      <w:r>
        <w:rPr>
          <w:rFonts w:ascii="Arial" w:hAnsi="Arial" w:eastAsia="黑体" w:cs="Arial"/>
        </w:rPr>
        <w:br w:type="page"/>
      </w:r>
    </w:p>
    <w:p>
      <w:pPr>
        <w:pStyle w:val="4"/>
        <w:numPr>
          <w:ilvl w:val="0"/>
          <w:numId w:val="0"/>
        </w:numPr>
        <w:jc w:val="center"/>
      </w:pPr>
      <w:bookmarkStart w:id="27" w:name="_Toc529538374"/>
      <w:bookmarkStart w:id="28" w:name="_Toc69378658"/>
      <w:bookmarkStart w:id="29" w:name="_Toc26260030"/>
      <w:bookmarkStart w:id="30" w:name="_Toc472689687"/>
      <w:bookmarkStart w:id="31" w:name="_Toc26259737"/>
      <w:bookmarkStart w:id="32" w:name="_Toc447265317"/>
      <w:bookmarkStart w:id="33" w:name="_Toc438052118"/>
      <w:bookmarkStart w:id="34" w:name="_Toc447265603"/>
      <w:r>
        <w:rPr>
          <w:rFonts w:hint="eastAsia"/>
        </w:rPr>
        <w:t>评审索引表</w:t>
      </w:r>
      <w:bookmarkEnd w:id="27"/>
      <w:bookmarkEnd w:id="28"/>
      <w:bookmarkEnd w:id="29"/>
      <w:bookmarkEnd w:id="30"/>
      <w:bookmarkEnd w:id="31"/>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35" w:name="_Toc401216443"/>
      <w:bookmarkStart w:id="36" w:name="_Toc429954241"/>
      <w:bookmarkStart w:id="37" w:name="_Toc529538375"/>
      <w:bookmarkStart w:id="38" w:name="_Toc26260031"/>
      <w:bookmarkStart w:id="39" w:name="_Toc401151285"/>
      <w:bookmarkStart w:id="40" w:name="_Toc401133270"/>
      <w:bookmarkStart w:id="41" w:name="_Toc427071030"/>
      <w:bookmarkStart w:id="42" w:name="_Toc26259738"/>
      <w:bookmarkStart w:id="43" w:name="_Toc485737092"/>
    </w:p>
    <w:p>
      <w:pPr>
        <w:pStyle w:val="5"/>
        <w:spacing w:before="260" w:after="260" w:line="416" w:lineRule="auto"/>
        <w:jc w:val="center"/>
        <w:rPr>
          <w:rFonts w:ascii="宋体" w:hAnsi="宋体" w:eastAsia="宋体"/>
          <w:b/>
          <w:bCs/>
          <w:sz w:val="22"/>
          <w:szCs w:val="28"/>
        </w:rPr>
      </w:pPr>
      <w:bookmarkStart w:id="44" w:name="_Toc69378659"/>
      <w:r>
        <w:rPr>
          <w:rFonts w:hint="eastAsia" w:ascii="宋体" w:hAnsi="宋体" w:eastAsia="宋体"/>
          <w:b/>
          <w:bCs/>
          <w:sz w:val="22"/>
          <w:szCs w:val="28"/>
        </w:rPr>
        <w:t>初步</w:t>
      </w:r>
      <w:r>
        <w:rPr>
          <w:rFonts w:ascii="宋体" w:hAnsi="宋体" w:eastAsia="宋体"/>
          <w:b/>
          <w:bCs/>
          <w:sz w:val="22"/>
          <w:szCs w:val="28"/>
        </w:rPr>
        <w:t>评审索引表</w:t>
      </w:r>
      <w:bookmarkEnd w:id="35"/>
      <w:bookmarkEnd w:id="36"/>
      <w:bookmarkEnd w:id="37"/>
      <w:bookmarkEnd w:id="38"/>
      <w:bookmarkEnd w:id="39"/>
      <w:bookmarkEnd w:id="40"/>
      <w:bookmarkEnd w:id="41"/>
      <w:bookmarkEnd w:id="42"/>
      <w:bookmarkEnd w:id="43"/>
      <w:bookmarkEnd w:id="44"/>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45" w:name="_Toc26260032"/>
      <w:bookmarkStart w:id="46" w:name="_Toc26259739"/>
      <w:bookmarkStart w:id="47" w:name="_Toc69378660"/>
      <w:r>
        <w:rPr>
          <w:rFonts w:hint="eastAsia" w:ascii="宋体" w:hAnsi="宋体" w:eastAsia="宋体"/>
          <w:b/>
          <w:bCs/>
          <w:sz w:val="22"/>
          <w:szCs w:val="28"/>
        </w:rPr>
        <w:t>详细</w:t>
      </w:r>
      <w:r>
        <w:rPr>
          <w:rFonts w:ascii="宋体" w:hAnsi="宋体" w:eastAsia="宋体"/>
          <w:b/>
          <w:bCs/>
          <w:sz w:val="22"/>
          <w:szCs w:val="28"/>
        </w:rPr>
        <w:t>评审索引表</w:t>
      </w:r>
      <w:bookmarkEnd w:id="45"/>
      <w:bookmarkEnd w:id="46"/>
      <w:bookmarkEnd w:id="47"/>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1840"/>
        <w:gridCol w:w="493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评审项目</w:t>
            </w:r>
          </w:p>
        </w:tc>
        <w:tc>
          <w:tcPr>
            <w:tcW w:w="6778" w:type="dxa"/>
            <w:gridSpan w:val="2"/>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gridSpan w:val="2"/>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gridSpan w:val="2"/>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gridSpan w:val="2"/>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rPr>
            </w:pPr>
          </w:p>
        </w:tc>
        <w:tc>
          <w:tcPr>
            <w:tcW w:w="6778" w:type="dxa"/>
            <w:gridSpan w:val="2"/>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Merge w:val="restart"/>
            <w:vAlign w:val="center"/>
          </w:tcPr>
          <w:p>
            <w:pPr>
              <w:widowControl/>
              <w:jc w:val="center"/>
              <w:rPr>
                <w:kern w:val="0"/>
                <w:szCs w:val="21"/>
              </w:rPr>
            </w:pPr>
            <w:r>
              <w:rPr>
                <w:rFonts w:hint="eastAsia"/>
                <w:kern w:val="0"/>
                <w:szCs w:val="21"/>
              </w:rPr>
              <w:t>5</w:t>
            </w:r>
          </w:p>
        </w:tc>
        <w:tc>
          <w:tcPr>
            <w:tcW w:w="1211" w:type="dxa"/>
            <w:vMerge w:val="restart"/>
            <w:vAlign w:val="center"/>
          </w:tcPr>
          <w:p>
            <w:pPr>
              <w:jc w:val="center"/>
              <w:rPr>
                <w:kern w:val="0"/>
                <w:szCs w:val="21"/>
              </w:rPr>
            </w:pPr>
          </w:p>
        </w:tc>
        <w:tc>
          <w:tcPr>
            <w:tcW w:w="1840" w:type="dxa"/>
            <w:vAlign w:val="center"/>
          </w:tcPr>
          <w:p>
            <w:pPr>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54" w:type="dxa"/>
            <w:vMerge w:val="continue"/>
            <w:vAlign w:val="center"/>
          </w:tcPr>
          <w:p>
            <w:pPr>
              <w:widowControl/>
              <w:jc w:val="center"/>
              <w:rPr>
                <w:kern w:val="0"/>
                <w:szCs w:val="21"/>
              </w:rPr>
            </w:pPr>
          </w:p>
        </w:tc>
        <w:tc>
          <w:tcPr>
            <w:tcW w:w="1211" w:type="dxa"/>
            <w:vMerge w:val="continue"/>
            <w:vAlign w:val="center"/>
          </w:tcPr>
          <w:p>
            <w:pPr>
              <w:jc w:val="center"/>
              <w:rPr>
                <w:kern w:val="0"/>
                <w:szCs w:val="21"/>
              </w:rPr>
            </w:pPr>
          </w:p>
        </w:tc>
        <w:tc>
          <w:tcPr>
            <w:tcW w:w="1840" w:type="dxa"/>
            <w:vAlign w:val="center"/>
          </w:tcPr>
          <w:p>
            <w:pPr>
              <w:widowControl/>
              <w:jc w:val="center"/>
              <w:rPr>
                <w:kern w:val="0"/>
                <w:szCs w:val="21"/>
              </w:rPr>
            </w:pPr>
          </w:p>
        </w:tc>
        <w:tc>
          <w:tcPr>
            <w:tcW w:w="4938" w:type="dxa"/>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jc w:val="center"/>
              <w:rPr>
                <w:kern w:val="0"/>
                <w:szCs w:val="21"/>
              </w:rPr>
            </w:pPr>
            <w:r>
              <w:rPr>
                <w:rFonts w:hint="eastAsia"/>
                <w:kern w:val="0"/>
                <w:szCs w:val="21"/>
              </w:rPr>
              <w:t>6</w:t>
            </w:r>
          </w:p>
        </w:tc>
        <w:tc>
          <w:tcPr>
            <w:tcW w:w="1211" w:type="dxa"/>
            <w:vMerge w:val="restart"/>
            <w:vAlign w:val="center"/>
          </w:tcPr>
          <w:p>
            <w:pPr>
              <w:jc w:val="center"/>
              <w:rPr>
                <w:kern w:val="0"/>
                <w:szCs w:val="21"/>
              </w:rPr>
            </w:pPr>
          </w:p>
        </w:tc>
        <w:tc>
          <w:tcPr>
            <w:tcW w:w="6778" w:type="dxa"/>
            <w:gridSpan w:val="2"/>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kern w:val="0"/>
                <w:szCs w:val="21"/>
              </w:rPr>
            </w:pPr>
          </w:p>
        </w:tc>
        <w:tc>
          <w:tcPr>
            <w:tcW w:w="1211" w:type="dxa"/>
            <w:vMerge w:val="continue"/>
            <w:vAlign w:val="center"/>
          </w:tcPr>
          <w:p>
            <w:pPr>
              <w:jc w:val="center"/>
              <w:rPr>
                <w:kern w:val="0"/>
                <w:szCs w:val="21"/>
              </w:rPr>
            </w:pPr>
          </w:p>
        </w:tc>
        <w:tc>
          <w:tcPr>
            <w:tcW w:w="6778" w:type="dxa"/>
            <w:gridSpan w:val="2"/>
            <w:vAlign w:val="center"/>
          </w:tcPr>
          <w:p/>
        </w:tc>
        <w:tc>
          <w:tcPr>
            <w:tcW w:w="1141" w:type="dxa"/>
          </w:tcPr>
          <w:p/>
        </w:tc>
      </w:tr>
    </w:tbl>
    <w:p>
      <w:pPr>
        <w:pStyle w:val="6"/>
      </w:pPr>
    </w:p>
    <w:bookmarkEnd w:id="32"/>
    <w:bookmarkEnd w:id="33"/>
    <w:bookmarkEnd w:id="34"/>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48" w:name="_Toc135999006"/>
      <w:bookmarkStart w:id="49" w:name="_Toc161767428"/>
      <w:bookmarkStart w:id="50" w:name="_Toc26260033"/>
      <w:bookmarkStart w:id="51" w:name="_Toc69378663"/>
      <w:bookmarkStart w:id="52" w:name="_Toc438052120"/>
      <w:bookmarkStart w:id="53" w:name="_Toc472689688"/>
      <w:bookmarkStart w:id="54" w:name="_Toc529538377"/>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48"/>
      <w:bookmarkEnd w:id="49"/>
      <w:r>
        <w:rPr>
          <w:rStyle w:val="106"/>
          <w:rFonts w:hint="eastAsia" w:hAnsi="宋体"/>
          <w:b w:val="0"/>
          <w:bCs w:val="0"/>
          <w:sz w:val="24"/>
          <w:szCs w:val="24"/>
        </w:rPr>
        <w:t>响应函</w:t>
      </w:r>
      <w:bookmarkEnd w:id="50"/>
      <w:bookmarkEnd w:id="51"/>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55" w:name="_Toc26259740"/>
      <w:bookmarkStart w:id="56" w:name="_Toc69378664"/>
      <w:bookmarkStart w:id="57" w:name="_Toc26260034"/>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：供应商的承诺函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55"/>
      <w:bookmarkEnd w:id="56"/>
      <w:bookmarkEnd w:id="57"/>
    </w:p>
    <w:p>
      <w:pPr>
        <w:spacing w:line="360" w:lineRule="auto"/>
      </w:pPr>
      <w:r>
        <w:t>项目名称：</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栖霞机房传输和配套设备搬迁</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1套</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58" w:name="_Toc161767431"/>
      <w:bookmarkStart w:id="59" w:name="_Toc26259742"/>
      <w:bookmarkStart w:id="60" w:name="_Toc69378666"/>
      <w:bookmarkStart w:id="61" w:name="_Toc135999010"/>
      <w:bookmarkStart w:id="62" w:name="_Toc26260036"/>
      <w:bookmarkStart w:id="63" w:name="_Toc26259741"/>
      <w:bookmarkStart w:id="64" w:name="_Toc69378665"/>
      <w:bookmarkStart w:id="65" w:name="_Toc26260035"/>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58"/>
      <w:bookmarkEnd w:id="59"/>
      <w:bookmarkEnd w:id="60"/>
      <w:bookmarkEnd w:id="61"/>
      <w:bookmarkEnd w:id="62"/>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63"/>
      <w:bookmarkEnd w:id="64"/>
      <w:bookmarkEnd w:id="65"/>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0" b="63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0" b="63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66" w:name="_Toc26259743"/>
      <w:bookmarkStart w:id="67" w:name="_Toc26260037"/>
      <w:bookmarkStart w:id="68"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66"/>
      <w:bookmarkEnd w:id="67"/>
      <w:bookmarkEnd w:id="68"/>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850"/>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69" w:name="_Toc135999012"/>
      <w:bookmarkStart w:id="70" w:name="_Toc26260038"/>
      <w:bookmarkStart w:id="71" w:name="_Toc161767433"/>
      <w:bookmarkStart w:id="72" w:name="_Toc26259744"/>
      <w:bookmarkStart w:id="73" w:name="_Toc6937866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69"/>
      <w:bookmarkEnd w:id="70"/>
      <w:bookmarkEnd w:id="71"/>
      <w:bookmarkEnd w:id="72"/>
      <w:bookmarkEnd w:id="73"/>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6"/>
        </w:numPr>
        <w:spacing w:line="360" w:lineRule="auto"/>
        <w:rPr>
          <w:rFonts w:ascii="宋体"/>
          <w:szCs w:val="21"/>
        </w:rPr>
      </w:pPr>
      <w:r>
        <w:rPr>
          <w:rFonts w:hint="eastAsia" w:ascii="宋体"/>
          <w:szCs w:val="21"/>
        </w:rPr>
        <w:t>供应商应填写和提交下述规定的全部格式以及其它有关资料。</w:t>
      </w:r>
    </w:p>
    <w:p>
      <w:pPr>
        <w:numPr>
          <w:ilvl w:val="0"/>
          <w:numId w:val="2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6"/>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6"/>
        </w:numPr>
        <w:spacing w:line="360" w:lineRule="auto"/>
        <w:rPr>
          <w:rFonts w:ascii="宋体"/>
          <w:szCs w:val="21"/>
        </w:rPr>
      </w:pPr>
      <w:r>
        <w:rPr>
          <w:rFonts w:hint="eastAsia" w:ascii="宋体"/>
          <w:szCs w:val="21"/>
        </w:rPr>
        <w:t>供应商提交的材料将被保密，但不退还。</w:t>
      </w:r>
    </w:p>
    <w:p>
      <w:pPr>
        <w:numPr>
          <w:ilvl w:val="0"/>
          <w:numId w:val="26"/>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8"/>
        </w:numPr>
        <w:spacing w:line="360" w:lineRule="auto"/>
        <w:rPr>
          <w:rFonts w:ascii="宋体" w:hAnsi="宋体"/>
          <w:szCs w:val="21"/>
          <w:u w:val="single"/>
        </w:rPr>
      </w:pPr>
      <w:r>
        <w:rPr>
          <w:rFonts w:hint="eastAsia" w:ascii="宋体" w:hAnsi="宋体"/>
          <w:szCs w:val="21"/>
        </w:rPr>
        <w:t>供应商名称：</w:t>
      </w:r>
    </w:p>
    <w:p>
      <w:pPr>
        <w:numPr>
          <w:ilvl w:val="0"/>
          <w:numId w:val="28"/>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8"/>
        </w:numPr>
        <w:spacing w:line="360" w:lineRule="auto"/>
        <w:rPr>
          <w:rFonts w:ascii="宋体" w:hAnsi="宋体"/>
          <w:szCs w:val="21"/>
        </w:rPr>
      </w:pPr>
      <w:r>
        <w:rPr>
          <w:rFonts w:hint="eastAsia" w:ascii="宋体" w:hAnsi="宋体"/>
          <w:szCs w:val="21"/>
        </w:rPr>
        <w:t>实收资本：</w:t>
      </w:r>
    </w:p>
    <w:p>
      <w:pPr>
        <w:numPr>
          <w:ilvl w:val="0"/>
          <w:numId w:val="28"/>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8"/>
        </w:numPr>
        <w:spacing w:line="360" w:lineRule="auto"/>
        <w:rPr>
          <w:rFonts w:ascii="宋体" w:hAnsi="宋体"/>
          <w:szCs w:val="21"/>
          <w:u w:val="single"/>
        </w:rPr>
      </w:pPr>
      <w:r>
        <w:rPr>
          <w:rFonts w:hint="eastAsia" w:ascii="宋体" w:hAnsi="宋体"/>
          <w:szCs w:val="21"/>
        </w:rPr>
        <w:t>主要负责人名称：（可选填）</w:t>
      </w:r>
    </w:p>
    <w:p>
      <w:pPr>
        <w:numPr>
          <w:ilvl w:val="0"/>
          <w:numId w:val="28"/>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8"/>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74" w:name="_Toc26259745"/>
      <w:bookmarkStart w:id="75" w:name="_Toc26260039"/>
      <w:bookmarkStart w:id="76" w:name="_Toc6937866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74"/>
      <w:bookmarkEnd w:id="75"/>
      <w:bookmarkEnd w:id="76"/>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25"/>
      <w:bookmarkEnd w:id="52"/>
      <w:bookmarkEnd w:id="53"/>
      <w:bookmarkEnd w:id="54"/>
    </w:p>
    <w:p>
      <w:pPr>
        <w:widowControl/>
        <w:jc w:val="left"/>
      </w:pPr>
      <w:r>
        <w:br w:type="page"/>
      </w:r>
    </w:p>
    <w:p>
      <w:pPr>
        <w:pStyle w:val="3"/>
        <w:numPr>
          <w:ilvl w:val="0"/>
          <w:numId w:val="0"/>
        </w:numPr>
        <w:spacing w:line="360" w:lineRule="auto"/>
        <w:rPr>
          <w:color w:val="000000"/>
          <w:sz w:val="52"/>
          <w:szCs w:val="52"/>
        </w:rPr>
      </w:pPr>
      <w:bookmarkStart w:id="77" w:name="_Toc15291"/>
      <w:bookmarkStart w:id="78" w:name="_Toc98431805"/>
      <w:bookmarkStart w:id="79" w:name="_Toc82869835"/>
      <w:r>
        <w:rPr>
          <w:rFonts w:hint="eastAsia"/>
          <w:b/>
          <w:sz w:val="36"/>
          <w:szCs w:val="36"/>
        </w:rPr>
        <w:t>第七章  其他</w:t>
      </w:r>
      <w:bookmarkEnd w:id="77"/>
      <w:bookmarkEnd w:id="78"/>
      <w:bookmarkEnd w:id="79"/>
    </w:p>
    <w:p>
      <w:pPr>
        <w:widowControl/>
        <w:jc w:val="left"/>
        <w:rPr>
          <w:b/>
          <w:sz w:val="24"/>
        </w:rPr>
      </w:pPr>
      <w:bookmarkStart w:id="80" w:name="_Toc15025"/>
      <w:r>
        <w:rPr>
          <w:rFonts w:hint="eastAsia"/>
          <w:b/>
          <w:color w:val="000000"/>
          <w:sz w:val="24"/>
        </w:rPr>
        <w:t>响应</w:t>
      </w:r>
      <w:r>
        <w:rPr>
          <w:b/>
          <w:color w:val="000000"/>
          <w:sz w:val="24"/>
        </w:rPr>
        <w:t>文件</w:t>
      </w:r>
      <w:r>
        <w:rPr>
          <w:b/>
          <w:color w:val="000000"/>
          <w:kern w:val="11"/>
          <w:sz w:val="24"/>
        </w:rPr>
        <w:t>封套格式</w:t>
      </w:r>
      <w:r>
        <w:rPr>
          <w:b/>
          <w:sz w:val="24"/>
        </w:rPr>
        <w:t>如下：</w:t>
      </w:r>
      <w:bookmarkEnd w:id="80"/>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spacing w:before="312" w:beforeLines="100" w:after="312" w:afterLines="100"/>
              <w:jc w:val="center"/>
              <w:rPr>
                <w:rFonts w:eastAsia="黑体"/>
                <w:color w:val="000000"/>
                <w:sz w:val="28"/>
                <w:szCs w:val="28"/>
              </w:rPr>
            </w:pPr>
          </w:p>
          <w:p>
            <w:pPr>
              <w:pStyle w:val="2"/>
              <w:spacing w:before="312" w:beforeLines="100" w:after="312" w:afterLines="100"/>
              <w:jc w:val="center"/>
              <w:rPr>
                <w:rFonts w:eastAsia="黑体"/>
                <w:color w:val="000000"/>
                <w:szCs w:val="28"/>
              </w:rPr>
            </w:pPr>
          </w:p>
          <w:p>
            <w:pPr>
              <w:pStyle w:val="2"/>
            </w:pPr>
          </w:p>
          <w:p/>
          <w:p>
            <w:pPr>
              <w:jc w:val="center"/>
              <w:rPr>
                <w:rFonts w:eastAsia="黑体"/>
                <w:color w:val="000000"/>
                <w:sz w:val="52"/>
                <w:szCs w:val="36"/>
              </w:rPr>
            </w:pPr>
            <w:r>
              <w:rPr>
                <w:rFonts w:hint="eastAsia" w:eastAsia="黑体"/>
                <w:color w:val="000000"/>
                <w:sz w:val="52"/>
                <w:szCs w:val="36"/>
              </w:rPr>
              <w:t>响应文件</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spacing w:before="312" w:beforeLines="100" w:after="312" w:afterLines="100"/>
              <w:jc w:val="center"/>
              <w:rPr>
                <w:rFonts w:eastAsia="黑体"/>
                <w:color w:val="000000"/>
                <w:sz w:val="52"/>
                <w:szCs w:val="36"/>
              </w:rPr>
            </w:pPr>
          </w:p>
          <w:p>
            <w:pPr>
              <w:pStyle w:val="2"/>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color w:val="000000"/>
          <w:kern w:val="11"/>
          <w:sz w:val="24"/>
        </w:rPr>
      </w:pPr>
    </w:p>
    <w:p>
      <w:pPr>
        <w:widowControl/>
        <w:spacing w:line="360" w:lineRule="auto"/>
        <w:jc w:val="left"/>
        <w:rPr>
          <w:sz w:val="24"/>
        </w:rPr>
      </w:pPr>
      <w:r>
        <w:rPr>
          <w:rFonts w:hint="eastAsia"/>
          <w:color w:val="000000"/>
          <w:kern w:val="11"/>
          <w:sz w:val="24"/>
        </w:rPr>
        <w:t>响应文件电子版</w:t>
      </w:r>
      <w:r>
        <w:rPr>
          <w:color w:val="000000"/>
          <w:kern w:val="11"/>
          <w:sz w:val="24"/>
        </w:rPr>
        <w:t>封套格式</w:t>
      </w:r>
      <w:r>
        <w:rPr>
          <w:sz w:val="24"/>
        </w:rPr>
        <w:t>如下：</w:t>
      </w:r>
    </w:p>
    <w:tbl>
      <w:tblPr>
        <w:tblStyle w:val="53"/>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pPr>
              <w:spacing w:before="156" w:beforeLines="50" w:after="312" w:afterLines="100"/>
              <w:jc w:val="center"/>
              <w:rPr>
                <w:rFonts w:eastAsia="黑体"/>
                <w:color w:val="000000"/>
                <w:sz w:val="32"/>
                <w:szCs w:val="32"/>
                <w:u w:val="single"/>
              </w:rPr>
            </w:pPr>
          </w:p>
          <w:p>
            <w:pPr>
              <w:jc w:val="center"/>
              <w:rPr>
                <w:rFonts w:eastAsia="黑体"/>
                <w:color w:val="000000"/>
                <w:sz w:val="32"/>
                <w:szCs w:val="32"/>
              </w:rPr>
            </w:pPr>
            <w:r>
              <w:rPr>
                <w:rFonts w:hint="eastAsia" w:eastAsia="黑体"/>
                <w:color w:val="000000"/>
                <w:sz w:val="32"/>
                <w:szCs w:val="32"/>
              </w:rPr>
              <w:t>江苏省广电有线信息网络股份有限公司</w:t>
            </w:r>
          </w:p>
          <w:p>
            <w:pPr>
              <w:jc w:val="center"/>
              <w:rPr>
                <w:rFonts w:eastAsia="黑体"/>
                <w:color w:val="000000"/>
                <w:sz w:val="32"/>
                <w:szCs w:val="32"/>
              </w:rPr>
            </w:pPr>
            <w:r>
              <w:rPr>
                <w:rFonts w:hint="eastAsia" w:eastAsia="黑体"/>
                <w:color w:val="000000"/>
                <w:sz w:val="32"/>
                <w:szCs w:val="32"/>
              </w:rPr>
              <w:t>XXX项目</w:t>
            </w:r>
          </w:p>
          <w:p>
            <w:pPr>
              <w:jc w:val="center"/>
              <w:rPr>
                <w:rFonts w:eastAsia="黑体"/>
                <w:color w:val="000000"/>
                <w:sz w:val="28"/>
                <w:szCs w:val="28"/>
              </w:rPr>
            </w:pPr>
          </w:p>
          <w:p>
            <w:pPr>
              <w:pStyle w:val="2"/>
              <w:jc w:val="center"/>
              <w:rPr>
                <w:rFonts w:eastAsia="黑体"/>
                <w:color w:val="000000"/>
                <w:szCs w:val="28"/>
                <w:u w:val="single"/>
              </w:rPr>
            </w:pPr>
          </w:p>
          <w:p>
            <w:pPr>
              <w:spacing w:before="312" w:beforeLines="100" w:after="312" w:afterLines="100"/>
              <w:jc w:val="center"/>
              <w:rPr>
                <w:rFonts w:eastAsia="黑体"/>
                <w:color w:val="000000"/>
                <w:sz w:val="52"/>
                <w:szCs w:val="36"/>
              </w:rPr>
            </w:pPr>
          </w:p>
          <w:p>
            <w:pPr>
              <w:jc w:val="center"/>
              <w:rPr>
                <w:rFonts w:eastAsia="黑体"/>
                <w:color w:val="000000"/>
                <w:sz w:val="52"/>
                <w:szCs w:val="36"/>
              </w:rPr>
            </w:pPr>
            <w:r>
              <w:rPr>
                <w:rFonts w:hint="eastAsia" w:eastAsia="黑体"/>
                <w:color w:val="000000"/>
                <w:sz w:val="52"/>
                <w:szCs w:val="36"/>
              </w:rPr>
              <w:t>响应文件电子版</w:t>
            </w:r>
          </w:p>
          <w:p>
            <w:pPr>
              <w:spacing w:after="120"/>
              <w:jc w:val="center"/>
              <w:rPr>
                <w:rFonts w:eastAsia="PMingLiU"/>
                <w:sz w:val="36"/>
                <w:szCs w:val="36"/>
                <w:lang w:val="zh-TW" w:eastAsia="zh-TW"/>
              </w:rPr>
            </w:pPr>
            <w:r>
              <w:rPr>
                <w:rFonts w:hint="eastAsia" w:eastAsia="黑体"/>
                <w:color w:val="000000"/>
                <w:sz w:val="28"/>
                <w:szCs w:val="28"/>
              </w:rPr>
              <w:t>（开标时间以前不得开封）</w:t>
            </w:r>
          </w:p>
          <w:p>
            <w:pPr>
              <w:jc w:val="center"/>
              <w:rPr>
                <w:rFonts w:eastAsia="黑体"/>
                <w:b/>
                <w:bCs/>
                <w:sz w:val="44"/>
                <w:szCs w:val="44"/>
                <w:lang w:eastAsia="zh-TW"/>
              </w:rPr>
            </w:pPr>
          </w:p>
          <w:p>
            <w:pPr>
              <w:spacing w:before="312" w:beforeLines="100" w:after="312" w:afterLines="100"/>
              <w:jc w:val="center"/>
              <w:rPr>
                <w:rFonts w:eastAsia="黑体"/>
                <w:color w:val="000000"/>
                <w:sz w:val="52"/>
                <w:szCs w:val="36"/>
              </w:rPr>
            </w:pPr>
          </w:p>
          <w:p>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pPr>
        <w:rPr>
          <w:color w:val="000000"/>
          <w:kern w:val="11"/>
          <w:sz w:val="24"/>
        </w:rPr>
      </w:pPr>
    </w:p>
    <w:p>
      <w:pPr>
        <w:widowControl/>
        <w:jc w:val="left"/>
        <w:rPr>
          <w:color w:val="000000"/>
          <w:kern w:val="11"/>
          <w:sz w:val="24"/>
        </w:rPr>
      </w:pPr>
      <w:r>
        <w:rPr>
          <w:color w:val="000000"/>
          <w:kern w:val="11"/>
          <w:sz w:val="24"/>
        </w:rPr>
        <w:br w:type="page"/>
      </w:r>
    </w:p>
    <w:p>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shd w:val="clear" w:color="auto" w:fill="auto"/>
            <w:vAlign w:val="center"/>
          </w:tcPr>
          <w:p>
            <w:pPr>
              <w:spacing w:line="360" w:lineRule="auto"/>
              <w:jc w:val="cente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p>
      <w:pPr>
        <w:pStyle w:val="2"/>
        <w:jc w:val="center"/>
      </w:pPr>
      <w:r>
        <w:br w:type="page"/>
      </w:r>
    </w:p>
    <w:p>
      <w:pPr>
        <w:pStyle w:val="2"/>
        <w:jc w:val="center"/>
        <w:rPr>
          <w:b/>
          <w:sz w:val="44"/>
          <w:szCs w:val="44"/>
        </w:rPr>
      </w:pPr>
      <w:r>
        <w:rPr>
          <w:rFonts w:hint="eastAsia"/>
          <w:b/>
          <w:sz w:val="44"/>
          <w:szCs w:val="44"/>
        </w:rPr>
        <w:t>响应确认信息表</w:t>
      </w:r>
    </w:p>
    <w:p>
      <w:pPr>
        <w:widowControl/>
        <w:jc w:val="left"/>
        <w:rPr>
          <w:rFonts w:ascii="Arial" w:hAnsi="Arial" w:eastAsia="黑体"/>
          <w:bCs/>
          <w:sz w:val="28"/>
          <w:szCs w:val="32"/>
        </w:rPr>
      </w:pPr>
    </w:p>
    <w:p>
      <w:pPr>
        <w:pStyle w:val="2"/>
      </w:pPr>
      <w:r>
        <w:rPr>
          <w:rFonts w:hint="eastAsia"/>
        </w:rPr>
        <w:t>江苏省广电有线信息网络股份有限公司：</w:t>
      </w:r>
    </w:p>
    <w:p>
      <w:pPr>
        <w:pStyle w:val="2"/>
      </w:pPr>
      <w:r>
        <w:rPr>
          <w:rFonts w:hint="eastAsia"/>
        </w:rPr>
        <w:t xml:space="preserve">    我单位申请参与贵单位</w:t>
      </w:r>
      <w:r>
        <w:rPr>
          <w:rFonts w:hint="eastAsia"/>
          <w:u w:val="single"/>
        </w:rPr>
        <w:t xml:space="preserve">              </w:t>
      </w:r>
      <w:r>
        <w:rPr>
          <w:rFonts w:hint="eastAsia"/>
        </w:rPr>
        <w:t>项目。</w:t>
      </w:r>
    </w:p>
    <w:p>
      <w:pPr>
        <w:pStyle w:val="2"/>
        <w:ind w:firstLine="560" w:firstLineChars="200"/>
      </w:pPr>
      <w:r>
        <w:rPr>
          <w:rFonts w:hint="eastAsia"/>
        </w:rPr>
        <w:t>现委派我单位</w:t>
      </w:r>
      <w:r>
        <w:rPr>
          <w:rFonts w:hint="eastAsia"/>
          <w:u w:val="single"/>
        </w:rPr>
        <w:t xml:space="preserve">      (</w:t>
      </w:r>
      <w:r>
        <w:rPr>
          <w:rFonts w:hint="eastAsia"/>
        </w:rPr>
        <w:t>姓名</w:t>
      </w:r>
      <w:r>
        <w:rPr>
          <w:rFonts w:hint="eastAsia"/>
          <w:u w:val="single"/>
        </w:rPr>
        <w:t>)</w:t>
      </w:r>
      <w:r>
        <w:rPr>
          <w:rFonts w:hint="eastAsia"/>
        </w:rPr>
        <w:t>负责本项目报名和正式采购前的联系工作，详细信息如下（以下信息均为必填项）：</w:t>
      </w:r>
    </w:p>
    <w:p>
      <w:pPr>
        <w:pStyle w:val="2"/>
        <w:ind w:firstLine="420" w:firstLineChars="150"/>
      </w:pPr>
      <w:r>
        <w:rPr>
          <w:rFonts w:hint="eastAsia"/>
        </w:rPr>
        <w:t xml:space="preserve"> 1.姓名：</w:t>
      </w:r>
    </w:p>
    <w:p>
      <w:pPr>
        <w:pStyle w:val="2"/>
        <w:ind w:firstLine="420" w:firstLineChars="150"/>
      </w:pPr>
      <w:r>
        <w:rPr>
          <w:rFonts w:hint="eastAsia"/>
        </w:rPr>
        <w:t xml:space="preserve"> 2.身份证号：</w:t>
      </w:r>
    </w:p>
    <w:p>
      <w:pPr>
        <w:pStyle w:val="2"/>
        <w:ind w:firstLine="420" w:firstLineChars="150"/>
      </w:pPr>
      <w:r>
        <w:rPr>
          <w:rFonts w:hint="eastAsia"/>
        </w:rPr>
        <w:t xml:space="preserve"> 3.职位：</w:t>
      </w:r>
    </w:p>
    <w:p>
      <w:pPr>
        <w:pStyle w:val="2"/>
        <w:ind w:firstLine="420" w:firstLineChars="150"/>
      </w:pPr>
      <w:r>
        <w:rPr>
          <w:rFonts w:hint="eastAsia"/>
        </w:rPr>
        <w:t xml:space="preserve"> 4.联系电话（手机）：</w:t>
      </w:r>
    </w:p>
    <w:p>
      <w:pPr>
        <w:pStyle w:val="2"/>
        <w:ind w:firstLine="420" w:firstLineChars="150"/>
      </w:pPr>
      <w:r>
        <w:rPr>
          <w:rFonts w:hint="eastAsia"/>
        </w:rPr>
        <w:t xml:space="preserve"> 5.联系电子邮箱：</w:t>
      </w:r>
    </w:p>
    <w:p>
      <w:pPr>
        <w:pStyle w:val="2"/>
        <w:ind w:firstLine="420" w:firstLineChars="150"/>
      </w:pPr>
      <w:r>
        <w:rPr>
          <w:rFonts w:hint="eastAsia"/>
        </w:rPr>
        <w:t xml:space="preserve"> 6.微信号:</w:t>
      </w:r>
    </w:p>
    <w:p>
      <w:pPr>
        <w:pStyle w:val="2"/>
        <w:ind w:firstLine="420" w:firstLineChars="150"/>
      </w:pPr>
      <w:r>
        <w:rPr>
          <w:rFonts w:hint="eastAsia"/>
        </w:rPr>
        <w:t xml:space="preserve"> 7.响应文件递送方式：</w:t>
      </w:r>
    </w:p>
    <w:p>
      <w:pPr>
        <w:pStyle w:val="26"/>
        <w:ind w:firstLine="200"/>
      </w:pPr>
    </w:p>
    <w:p>
      <w:pPr>
        <w:pStyle w:val="26"/>
        <w:ind w:firstLine="200"/>
      </w:pPr>
    </w:p>
    <w:p>
      <w:pPr>
        <w:pStyle w:val="26"/>
        <w:ind w:firstLine="200"/>
      </w:pPr>
    </w:p>
    <w:p>
      <w:pPr>
        <w:pStyle w:val="2"/>
        <w:ind w:firstLine="560" w:firstLineChars="200"/>
      </w:pPr>
      <w:r>
        <w:rPr>
          <w:rFonts w:hint="eastAsia"/>
        </w:rPr>
        <w:t>供应商：</w:t>
      </w:r>
      <w:r>
        <w:rPr>
          <w:rFonts w:hint="eastAsia"/>
          <w:u w:val="single"/>
        </w:rPr>
        <w:t xml:space="preserve">                     </w:t>
      </w:r>
      <w:r>
        <w:rPr>
          <w:rFonts w:hint="eastAsia"/>
        </w:rPr>
        <w:t>（盖章）</w:t>
      </w:r>
    </w:p>
    <w:p>
      <w:pPr>
        <w:pStyle w:val="2"/>
        <w:ind w:firstLine="560" w:firstLineChars="200"/>
      </w:pPr>
      <w:r>
        <w:rPr>
          <w:rFonts w:hint="eastAsia"/>
        </w:rPr>
        <w:t>日期：</w:t>
      </w:r>
    </w:p>
    <w:p>
      <w:pPr>
        <w:pStyle w:val="26"/>
        <w:ind w:firstLine="200"/>
      </w:pPr>
      <w:r>
        <w:rPr>
          <w:rFonts w:hint="eastAsia"/>
        </w:rPr>
        <w:t xml:space="preserve">  </w:t>
      </w:r>
    </w:p>
    <w:p>
      <w:pPr>
        <w:pStyle w:val="2"/>
        <w:adjustRightInd w:val="0"/>
        <w:snapToGrid w:val="0"/>
        <w:spacing w:line="440" w:lineRule="exact"/>
        <w:jc w:val="center"/>
        <w:rPr>
          <w:rFonts w:ascii="宋体" w:hAnsi="宋体"/>
          <w:sz w:val="44"/>
          <w:szCs w:val="44"/>
        </w:rPr>
      </w:pPr>
      <w:r>
        <w:br w:type="page"/>
      </w:r>
      <w:r>
        <w:rPr>
          <w:rFonts w:hint="eastAsia" w:ascii="宋体" w:hAnsi="宋体"/>
          <w:sz w:val="44"/>
          <w:szCs w:val="44"/>
        </w:rPr>
        <w:t>远程采购须知确认函</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1.提前下载并安装好远程会议客户端（腾讯视频会议软件，推荐电脑终端，以防手机电话接入造成中断），调试好视频及音效设备，有必要的可使用耳机，确保远程会议的质量。如因供应商设备、网络等原因而造成的视音频中断或延误给磋商带来的负面影响，由供应商自行承担；</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2．供应商应在会议现场或周边准备好打印机扫描设备，以备采购时及时提供澄清、承诺等材料；</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3. 请供应商授权代表和采购文件中要求的有关答辩代表（如有），并携带身份证件和本采购文件要求的有关资格证明（如有），与供应商响应文件中《法定代表人</w:t>
      </w:r>
      <w:r>
        <w:rPr>
          <w:rFonts w:ascii="宋体" w:hAnsi="宋体"/>
          <w:sz w:val="28"/>
          <w:szCs w:val="28"/>
        </w:rPr>
        <w:t>授权委托书</w:t>
      </w:r>
      <w:r>
        <w:rPr>
          <w:rFonts w:hint="eastAsia" w:ascii="宋体" w:hAnsi="宋体"/>
          <w:sz w:val="28"/>
          <w:szCs w:val="28"/>
        </w:rPr>
        <w:t>》不符的授权代表，将视为身份无效；</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4.一家供应商须多个账号登陆会议室应做好会议保密工作，采购人联系人仅将会议号发给供应商本项目的报名联系人，供应商所有人员的参与由供应商自行组织和沟通。</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5.供应商须根据本项目联系人磋商当天提供的会议邀请在规定时间内进入视频会议室（登陆昵称为：单位名称+授权代表姓名），现场抽取磋商顺序。供应商按抽取的顺序参与磋商，完成磋商的供应商自行离开会议室，其他供应商在视频软件的等候室等待。供应商须按采购文件要求委派须参与的人员进入视频会议室。</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7.磋商后，供应商按磋商时本项目评审委员会的要求提交最终报价和承诺（见附件），并在规定时间内将最终由授权代表签字的扫描件提交至采购人联系信箱：</w:t>
      </w:r>
      <w:r>
        <w:fldChar w:fldCharType="begin"/>
      </w:r>
      <w:r>
        <w:instrText xml:space="preserve"> HYPERLINK "mailto:qinjin_jscn@163.com" </w:instrText>
      </w:r>
      <w:r>
        <w:fldChar w:fldCharType="separate"/>
      </w:r>
      <w:r>
        <w:rPr>
          <w:rFonts w:hint="eastAsia" w:ascii="宋体" w:hAnsi="宋体"/>
          <w:sz w:val="28"/>
          <w:szCs w:val="28"/>
        </w:rPr>
        <w:t>qinjin_jscn@163.com</w:t>
      </w:r>
      <w:r>
        <w:rPr>
          <w:rFonts w:hint="eastAsia" w:ascii="宋体" w:hAnsi="宋体"/>
          <w:sz w:val="28"/>
          <w:szCs w:val="28"/>
        </w:rPr>
        <w:fldChar w:fldCharType="end"/>
      </w:r>
      <w:r>
        <w:rPr>
          <w:rFonts w:hint="eastAsia" w:ascii="宋体" w:hAnsi="宋体"/>
          <w:sz w:val="28"/>
          <w:szCs w:val="28"/>
        </w:rPr>
        <w:t>，授权代表不在最终报价和承诺书上签字视为无效承诺。</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回执：我单位阅读后完全理解，且无异议。</w:t>
      </w:r>
    </w:p>
    <w:p>
      <w:pPr>
        <w:pStyle w:val="26"/>
        <w:snapToGrid w:val="0"/>
        <w:spacing w:line="440" w:lineRule="exact"/>
        <w:ind w:firstLine="700" w:firstLineChars="250"/>
        <w:rPr>
          <w:rFonts w:ascii="宋体" w:hAnsi="宋体"/>
          <w:sz w:val="28"/>
          <w:szCs w:val="28"/>
        </w:rPr>
      </w:pPr>
    </w:p>
    <w:p>
      <w:pPr>
        <w:pStyle w:val="26"/>
        <w:snapToGrid w:val="0"/>
        <w:spacing w:line="440" w:lineRule="exact"/>
        <w:ind w:firstLine="700" w:firstLineChars="250"/>
        <w:rPr>
          <w:rFonts w:ascii="宋体" w:hAnsi="宋体"/>
          <w:sz w:val="28"/>
          <w:szCs w:val="28"/>
        </w:rPr>
      </w:pPr>
      <w:r>
        <w:rPr>
          <w:rFonts w:hint="eastAsia" w:ascii="宋体" w:hAnsi="宋体"/>
          <w:sz w:val="28"/>
          <w:szCs w:val="28"/>
        </w:rPr>
        <w:t>供应商名称（盖章）：</w:t>
      </w:r>
    </w:p>
    <w:p>
      <w:pPr>
        <w:pStyle w:val="26"/>
        <w:snapToGrid w:val="0"/>
        <w:spacing w:line="440" w:lineRule="exact"/>
        <w:ind w:firstLine="700" w:firstLineChars="250"/>
        <w:rPr>
          <w:rFonts w:ascii="宋体" w:hAnsi="宋体"/>
          <w:sz w:val="28"/>
          <w:szCs w:val="28"/>
        </w:rPr>
      </w:pPr>
      <w:r>
        <w:rPr>
          <w:rFonts w:hint="eastAsia" w:ascii="宋体" w:hAnsi="宋体"/>
          <w:sz w:val="28"/>
          <w:szCs w:val="28"/>
        </w:rPr>
        <w:t>授权代表签字：</w:t>
      </w:r>
    </w:p>
    <w:p>
      <w:pPr>
        <w:pStyle w:val="26"/>
        <w:snapToGrid w:val="0"/>
        <w:spacing w:line="520" w:lineRule="exact"/>
        <w:ind w:firstLine="206" w:firstLineChars="47"/>
        <w:jc w:val="center"/>
        <w:rPr>
          <w:rFonts w:ascii="宋体" w:hAnsi="宋体"/>
          <w:sz w:val="44"/>
          <w:szCs w:val="44"/>
        </w:rPr>
      </w:pPr>
      <w:r>
        <w:rPr>
          <w:rFonts w:ascii="宋体" w:hAnsi="宋体"/>
          <w:sz w:val="44"/>
          <w:szCs w:val="44"/>
        </w:rPr>
        <w:br w:type="page"/>
      </w:r>
      <w:r>
        <w:rPr>
          <w:rFonts w:hint="eastAsia" w:ascii="宋体" w:hAnsi="宋体"/>
          <w:sz w:val="44"/>
          <w:szCs w:val="44"/>
        </w:rPr>
        <w:t>承诺函（含最终报价）</w:t>
      </w:r>
    </w:p>
    <w:p>
      <w:pPr>
        <w:pStyle w:val="26"/>
        <w:snapToGrid w:val="0"/>
        <w:spacing w:line="520" w:lineRule="exact"/>
        <w:ind w:firstLine="1100" w:firstLineChars="250"/>
        <w:jc w:val="center"/>
        <w:rPr>
          <w:rFonts w:ascii="宋体" w:hAnsi="宋体"/>
          <w:sz w:val="44"/>
          <w:szCs w:val="44"/>
        </w:rPr>
      </w:pPr>
    </w:p>
    <w:p>
      <w:pPr>
        <w:pStyle w:val="26"/>
        <w:snapToGri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26"/>
        <w:snapToGrid w:val="0"/>
        <w:spacing w:line="520" w:lineRule="exact"/>
        <w:ind w:left="6" w:leftChars="3" w:firstLine="800" w:firstLineChars="250"/>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26"/>
        <w:snapToGrid w:val="0"/>
        <w:spacing w:line="520" w:lineRule="exact"/>
        <w:ind w:left="6" w:leftChars="3" w:firstLine="800" w:firstLineChars="250"/>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2．</w:t>
      </w:r>
    </w:p>
    <w:p>
      <w:pPr>
        <w:pStyle w:val="26"/>
        <w:snapToGrid w:val="0"/>
        <w:spacing w:line="520" w:lineRule="exact"/>
        <w:ind w:firstLine="320"/>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rPr>
      </w:pPr>
    </w:p>
    <w:p>
      <w:pPr>
        <w:pStyle w:val="26"/>
        <w:snapToGrid w:val="0"/>
        <w:spacing w:line="520" w:lineRule="exact"/>
        <w:ind w:firstLine="32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26"/>
        <w:snapToGrid w:val="0"/>
        <w:spacing w:line="520" w:lineRule="exact"/>
        <w:ind w:firstLine="320"/>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r>
        <w:rPr>
          <w:rFonts w:hint="eastAsia" w:ascii="宋体" w:hAnsi="宋体"/>
          <w:sz w:val="32"/>
          <w:szCs w:val="32"/>
        </w:rPr>
        <w:t>日期：</w:t>
      </w:r>
      <w:r>
        <w:rPr>
          <w:rFonts w:hint="eastAsia" w:ascii="宋体" w:hAnsi="宋体"/>
          <w:sz w:val="32"/>
          <w:szCs w:val="32"/>
          <w:u w:val="single"/>
        </w:rPr>
        <w:t xml:space="preserve">                   </w:t>
      </w: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suff w:val="nothing"/>
      <w:lvlText w:val="%1．"/>
      <w:lvlJc w:val="left"/>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singleLevel"/>
    <w:tmpl w:val="00000005"/>
    <w:lvl w:ilvl="0" w:tentative="0">
      <w:start w:val="7"/>
      <w:numFmt w:val="chineseCounting"/>
      <w:suff w:val="nothing"/>
      <w:lvlText w:val="第%1条"/>
      <w:lvlJc w:val="left"/>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5">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7">
    <w:nsid w:val="198B14A6"/>
    <w:multiLevelType w:val="multilevel"/>
    <w:tmpl w:val="198B14A6"/>
    <w:lvl w:ilvl="0" w:tentative="0">
      <w:start w:val="1"/>
      <w:numFmt w:val="chineseCountingThousand"/>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9">
    <w:nsid w:val="1F1A66C4"/>
    <w:multiLevelType w:val="multilevel"/>
    <w:tmpl w:val="1F1A66C4"/>
    <w:lvl w:ilvl="0" w:tentative="0">
      <w:start w:val="1"/>
      <w:numFmt w:val="decimal"/>
      <w:suff w:val="space"/>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20EC3768"/>
    <w:multiLevelType w:val="multilevel"/>
    <w:tmpl w:val="20EC3768"/>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2C05A71"/>
    <w:multiLevelType w:val="multilevel"/>
    <w:tmpl w:val="22C05A71"/>
    <w:lvl w:ilvl="0" w:tentative="0">
      <w:start w:val="1"/>
      <w:numFmt w:val="decimal"/>
      <w:lvlText w:val="%1）"/>
      <w:lvlJc w:val="left"/>
      <w:pPr>
        <w:ind w:left="840" w:hanging="420"/>
      </w:pPr>
      <w:rPr>
        <w:rFonts w:hint="default"/>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3CF7055D"/>
    <w:multiLevelType w:val="multilevel"/>
    <w:tmpl w:val="3CF7055D"/>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13B41FE"/>
    <w:multiLevelType w:val="multilevel"/>
    <w:tmpl w:val="413B41FE"/>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3945139"/>
    <w:multiLevelType w:val="multilevel"/>
    <w:tmpl w:val="43945139"/>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4CAA53CA"/>
    <w:multiLevelType w:val="multilevel"/>
    <w:tmpl w:val="4CAA53CA"/>
    <w:lvl w:ilvl="0" w:tentative="0">
      <w:start w:val="2"/>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8"/>
        <w:szCs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18">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9">
    <w:nsid w:val="50D42609"/>
    <w:multiLevelType w:val="multilevel"/>
    <w:tmpl w:val="50D42609"/>
    <w:lvl w:ilvl="0" w:tentative="0">
      <w:start w:val="1"/>
      <w:numFmt w:val="lowerLetter"/>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53F945B4"/>
    <w:multiLevelType w:val="multilevel"/>
    <w:tmpl w:val="53F945B4"/>
    <w:lvl w:ilvl="0" w:tentative="0">
      <w:start w:val="1"/>
      <w:numFmt w:val="decimal"/>
      <w:lvlText w:val="(%1)"/>
      <w:lvlJc w:val="left"/>
      <w:pPr>
        <w:ind w:left="840" w:hanging="420"/>
      </w:pPr>
      <w:rPr>
        <w:rFonts w:hint="default" w:ascii="宋体" w:hAnsi="宋体" w:eastAsia="宋体"/>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32D74A3"/>
    <w:multiLevelType w:val="multilevel"/>
    <w:tmpl w:val="632D74A3"/>
    <w:lvl w:ilvl="0" w:tentative="0">
      <w:start w:val="1"/>
      <w:numFmt w:val="decimal"/>
      <w:lvlText w:val="%1."/>
      <w:lvlJc w:val="left"/>
      <w:pPr>
        <w:ind w:left="750" w:hanging="750"/>
      </w:pPr>
      <w:rPr>
        <w:rFonts w:hint="default" w:ascii="宋体" w:hAnsi="宋体" w:eastAsia="宋体"/>
        <w:b/>
        <w:sz w:val="21"/>
      </w:rPr>
    </w:lvl>
    <w:lvl w:ilvl="1" w:tentative="0">
      <w:start w:val="1"/>
      <w:numFmt w:val="decimal"/>
      <w:lvlText w:val="%1.%2、"/>
      <w:lvlJc w:val="left"/>
      <w:pPr>
        <w:ind w:left="750" w:hanging="750"/>
      </w:pPr>
      <w:rPr>
        <w:rFonts w:hint="default" w:ascii="宋体" w:hAnsi="宋体"/>
        <w:sz w:val="21"/>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23">
    <w:nsid w:val="65472152"/>
    <w:multiLevelType w:val="multilevel"/>
    <w:tmpl w:val="65472152"/>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F30445E"/>
    <w:multiLevelType w:val="multilevel"/>
    <w:tmpl w:val="6F30445E"/>
    <w:lvl w:ilvl="0" w:tentative="0">
      <w:start w:val="1"/>
      <w:numFmt w:val="decimal"/>
      <w:lvlText w:val="(%1)"/>
      <w:lvlJc w:val="left"/>
      <w:pPr>
        <w:ind w:left="840" w:hanging="420"/>
      </w:pPr>
      <w:rPr>
        <w:rFonts w:hint="eastAsia"/>
        <w:b w:val="0"/>
        <w:i w:val="0"/>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72021821"/>
    <w:multiLevelType w:val="multilevel"/>
    <w:tmpl w:val="72021821"/>
    <w:lvl w:ilvl="0" w:tentative="0">
      <w:start w:val="1"/>
      <w:numFmt w:val="decimal"/>
      <w:lvlText w:val="(%1)"/>
      <w:lvlJc w:val="left"/>
      <w:pPr>
        <w:ind w:left="840" w:hanging="420"/>
      </w:pPr>
      <w:rPr>
        <w:rFonts w:hint="default" w:ascii="宋体" w:hAnsi="宋体" w:eastAsia="宋体"/>
        <w:b w:val="0"/>
        <w:i w:val="0"/>
        <w:sz w:val="21"/>
        <w:u w:val="no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757F5272"/>
    <w:multiLevelType w:val="multilevel"/>
    <w:tmpl w:val="757F5272"/>
    <w:lvl w:ilvl="0" w:tentative="0">
      <w:start w:val="3"/>
      <w:numFmt w:val="decimal"/>
      <w:lvlText w:val="%1."/>
      <w:lvlJc w:val="left"/>
      <w:pPr>
        <w:ind w:left="750" w:hanging="750"/>
      </w:pPr>
      <w:rPr>
        <w:rFonts w:hint="default" w:ascii="宋体" w:hAnsi="宋体"/>
        <w:sz w:val="28"/>
      </w:rPr>
    </w:lvl>
    <w:lvl w:ilvl="1" w:tentative="0">
      <w:start w:val="1"/>
      <w:numFmt w:val="decimal"/>
      <w:lvlText w:val="%1.%2、"/>
      <w:lvlJc w:val="left"/>
      <w:pPr>
        <w:ind w:left="750" w:hanging="750"/>
      </w:pPr>
      <w:rPr>
        <w:rFonts w:hint="default" w:ascii="宋体" w:hAnsi="宋体"/>
        <w:sz w:val="28"/>
      </w:rPr>
    </w:lvl>
    <w:lvl w:ilvl="2" w:tentative="0">
      <w:start w:val="1"/>
      <w:numFmt w:val="decimal"/>
      <w:lvlText w:val="%1.%2、%3."/>
      <w:lvlJc w:val="left"/>
      <w:pPr>
        <w:ind w:left="750" w:hanging="750"/>
      </w:pPr>
      <w:rPr>
        <w:rFonts w:hint="default" w:ascii="宋体" w:hAnsi="宋体"/>
        <w:sz w:val="28"/>
      </w:rPr>
    </w:lvl>
    <w:lvl w:ilvl="3" w:tentative="0">
      <w:start w:val="1"/>
      <w:numFmt w:val="decimal"/>
      <w:lvlText w:val="%1.%2、%3.%4."/>
      <w:lvlJc w:val="left"/>
      <w:pPr>
        <w:ind w:left="1080" w:hanging="1080"/>
      </w:pPr>
      <w:rPr>
        <w:rFonts w:hint="default" w:ascii="宋体" w:hAnsi="宋体"/>
        <w:sz w:val="28"/>
      </w:rPr>
    </w:lvl>
    <w:lvl w:ilvl="4" w:tentative="0">
      <w:start w:val="1"/>
      <w:numFmt w:val="decimal"/>
      <w:lvlText w:val="%1.%2、%3.%4.%5."/>
      <w:lvlJc w:val="left"/>
      <w:pPr>
        <w:ind w:left="1080" w:hanging="1080"/>
      </w:pPr>
      <w:rPr>
        <w:rFonts w:hint="default" w:ascii="宋体" w:hAnsi="宋体"/>
        <w:sz w:val="28"/>
      </w:rPr>
    </w:lvl>
    <w:lvl w:ilvl="5" w:tentative="0">
      <w:start w:val="1"/>
      <w:numFmt w:val="decimal"/>
      <w:lvlText w:val="%1.%2、%3.%4.%5.%6."/>
      <w:lvlJc w:val="left"/>
      <w:pPr>
        <w:ind w:left="1440" w:hanging="1440"/>
      </w:pPr>
      <w:rPr>
        <w:rFonts w:hint="default" w:ascii="宋体" w:hAnsi="宋体"/>
        <w:sz w:val="28"/>
      </w:rPr>
    </w:lvl>
    <w:lvl w:ilvl="6" w:tentative="0">
      <w:start w:val="1"/>
      <w:numFmt w:val="decimal"/>
      <w:lvlText w:val="%1.%2、%3.%4.%5.%6.%7."/>
      <w:lvlJc w:val="left"/>
      <w:pPr>
        <w:ind w:left="1440" w:hanging="1440"/>
      </w:pPr>
      <w:rPr>
        <w:rFonts w:hint="default" w:ascii="宋体" w:hAnsi="宋体"/>
        <w:sz w:val="28"/>
      </w:rPr>
    </w:lvl>
    <w:lvl w:ilvl="7" w:tentative="0">
      <w:start w:val="1"/>
      <w:numFmt w:val="decimal"/>
      <w:lvlText w:val="%1.%2、%3.%4.%5.%6.%7.%8."/>
      <w:lvlJc w:val="left"/>
      <w:pPr>
        <w:ind w:left="1440" w:hanging="1440"/>
      </w:pPr>
      <w:rPr>
        <w:rFonts w:hint="default" w:ascii="宋体" w:hAnsi="宋体"/>
        <w:sz w:val="28"/>
      </w:rPr>
    </w:lvl>
    <w:lvl w:ilvl="8" w:tentative="0">
      <w:start w:val="1"/>
      <w:numFmt w:val="decimal"/>
      <w:lvlText w:val="%1.%2、%3.%4.%5.%6.%7.%8.%9."/>
      <w:lvlJc w:val="left"/>
      <w:pPr>
        <w:ind w:left="1800" w:hanging="1800"/>
      </w:pPr>
      <w:rPr>
        <w:rFonts w:hint="default" w:ascii="宋体" w:hAnsi="宋体"/>
        <w:sz w:val="28"/>
      </w:rPr>
    </w:lvl>
  </w:abstractNum>
  <w:abstractNum w:abstractNumId="27">
    <w:nsid w:val="7F7D3395"/>
    <w:multiLevelType w:val="multilevel"/>
    <w:tmpl w:val="7F7D3395"/>
    <w:lvl w:ilvl="0" w:tentative="0">
      <w:start w:val="1"/>
      <w:numFmt w:val="decimal"/>
      <w:lvlText w:val="%1)"/>
      <w:lvlJc w:val="left"/>
      <w:pPr>
        <w:ind w:left="1260" w:hanging="420"/>
      </w:pPr>
      <w:rPr>
        <w:rFonts w:hint="eastAsia"/>
      </w:rPr>
    </w:lvl>
    <w:lvl w:ilvl="1" w:tentative="0">
      <w:start w:val="1"/>
      <w:numFmt w:val="decimal"/>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8"/>
  </w:num>
  <w:num w:numId="2">
    <w:abstractNumId w:val="14"/>
  </w:num>
  <w:num w:numId="3">
    <w:abstractNumId w:val="4"/>
  </w:num>
  <w:num w:numId="4">
    <w:abstractNumId w:val="3"/>
  </w:num>
  <w:num w:numId="5">
    <w:abstractNumId w:val="12"/>
  </w:num>
  <w:num w:numId="6">
    <w:abstractNumId w:val="1"/>
  </w:num>
  <w:num w:numId="7">
    <w:abstractNumId w:val="0"/>
  </w:num>
  <w:num w:numId="8">
    <w:abstractNumId w:val="2"/>
  </w:num>
  <w:num w:numId="9">
    <w:abstractNumId w:val="5"/>
  </w:num>
  <w:num w:numId="10">
    <w:abstractNumId w:val="7"/>
    <w:lvlOverride w:ilvl="0">
      <w:startOverride w:val="1"/>
    </w:lvlOverride>
  </w:num>
  <w:num w:numId="11">
    <w:abstractNumId w:val="22"/>
  </w:num>
  <w:num w:numId="12">
    <w:abstractNumId w:val="25"/>
  </w:num>
  <w:num w:numId="13">
    <w:abstractNumId w:val="19"/>
  </w:num>
  <w:num w:numId="14">
    <w:abstractNumId w:val="17"/>
  </w:num>
  <w:num w:numId="15">
    <w:abstractNumId w:val="9"/>
  </w:num>
  <w:num w:numId="16">
    <w:abstractNumId w:val="13"/>
  </w:num>
  <w:num w:numId="17">
    <w:abstractNumId w:val="23"/>
  </w:num>
  <w:num w:numId="18">
    <w:abstractNumId w:val="15"/>
  </w:num>
  <w:num w:numId="19">
    <w:abstractNumId w:val="24"/>
  </w:num>
  <w:num w:numId="20">
    <w:abstractNumId w:val="10"/>
  </w:num>
  <w:num w:numId="21">
    <w:abstractNumId w:val="26"/>
  </w:num>
  <w:num w:numId="22">
    <w:abstractNumId w:val="20"/>
  </w:num>
  <w:num w:numId="23">
    <w:abstractNumId w:val="16"/>
  </w:num>
  <w:num w:numId="24">
    <w:abstractNumId w:val="27"/>
  </w:num>
  <w:num w:numId="25">
    <w:abstractNumId w:val="11"/>
  </w:num>
  <w:num w:numId="26">
    <w:abstractNumId w:val="6"/>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65B"/>
    <w:rsid w:val="00002094"/>
    <w:rsid w:val="00002668"/>
    <w:rsid w:val="00003F25"/>
    <w:rsid w:val="000047B6"/>
    <w:rsid w:val="000055AC"/>
    <w:rsid w:val="00006DBC"/>
    <w:rsid w:val="00011CD2"/>
    <w:rsid w:val="00011D7E"/>
    <w:rsid w:val="00011F58"/>
    <w:rsid w:val="00013E96"/>
    <w:rsid w:val="00014171"/>
    <w:rsid w:val="0001524B"/>
    <w:rsid w:val="0001551E"/>
    <w:rsid w:val="00015BA6"/>
    <w:rsid w:val="000164B0"/>
    <w:rsid w:val="00016CEA"/>
    <w:rsid w:val="00017171"/>
    <w:rsid w:val="0001725C"/>
    <w:rsid w:val="00017A4D"/>
    <w:rsid w:val="00020A4E"/>
    <w:rsid w:val="00020E6D"/>
    <w:rsid w:val="000224F7"/>
    <w:rsid w:val="000227C5"/>
    <w:rsid w:val="00022A8A"/>
    <w:rsid w:val="00023A2F"/>
    <w:rsid w:val="00023E93"/>
    <w:rsid w:val="00023EF5"/>
    <w:rsid w:val="00024C77"/>
    <w:rsid w:val="0002718F"/>
    <w:rsid w:val="00030A9D"/>
    <w:rsid w:val="00031B2F"/>
    <w:rsid w:val="00031DEF"/>
    <w:rsid w:val="0003325E"/>
    <w:rsid w:val="00033EFE"/>
    <w:rsid w:val="00034705"/>
    <w:rsid w:val="0003496A"/>
    <w:rsid w:val="00035296"/>
    <w:rsid w:val="000352DD"/>
    <w:rsid w:val="000365EA"/>
    <w:rsid w:val="00037097"/>
    <w:rsid w:val="00037954"/>
    <w:rsid w:val="00040218"/>
    <w:rsid w:val="00040F17"/>
    <w:rsid w:val="00042584"/>
    <w:rsid w:val="00045A14"/>
    <w:rsid w:val="0005189A"/>
    <w:rsid w:val="00053058"/>
    <w:rsid w:val="00053A52"/>
    <w:rsid w:val="00053E94"/>
    <w:rsid w:val="0005497F"/>
    <w:rsid w:val="00054AE8"/>
    <w:rsid w:val="00056076"/>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18E"/>
    <w:rsid w:val="0007650A"/>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423"/>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A39"/>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41F"/>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30DF"/>
    <w:rsid w:val="001738F1"/>
    <w:rsid w:val="001759B2"/>
    <w:rsid w:val="00175A52"/>
    <w:rsid w:val="00176D2C"/>
    <w:rsid w:val="00177676"/>
    <w:rsid w:val="00177E3C"/>
    <w:rsid w:val="00181462"/>
    <w:rsid w:val="0018189F"/>
    <w:rsid w:val="0018216F"/>
    <w:rsid w:val="00184126"/>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1F24"/>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1AB5"/>
    <w:rsid w:val="001E371B"/>
    <w:rsid w:val="001E56B6"/>
    <w:rsid w:val="001E578C"/>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107"/>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8DE"/>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56C1"/>
    <w:rsid w:val="00255DC9"/>
    <w:rsid w:val="00256494"/>
    <w:rsid w:val="00262084"/>
    <w:rsid w:val="00263946"/>
    <w:rsid w:val="00263ECA"/>
    <w:rsid w:val="00265008"/>
    <w:rsid w:val="0026619F"/>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2F4E"/>
    <w:rsid w:val="00293EF5"/>
    <w:rsid w:val="00296FB0"/>
    <w:rsid w:val="002977C3"/>
    <w:rsid w:val="002A09B2"/>
    <w:rsid w:val="002A18B6"/>
    <w:rsid w:val="002A20BE"/>
    <w:rsid w:val="002A31A6"/>
    <w:rsid w:val="002A57B4"/>
    <w:rsid w:val="002A63D6"/>
    <w:rsid w:val="002A77CF"/>
    <w:rsid w:val="002B07CB"/>
    <w:rsid w:val="002B1C74"/>
    <w:rsid w:val="002B271D"/>
    <w:rsid w:val="002B274E"/>
    <w:rsid w:val="002B34A1"/>
    <w:rsid w:val="002C0317"/>
    <w:rsid w:val="002C1A9F"/>
    <w:rsid w:val="002C1F7C"/>
    <w:rsid w:val="002C4DE8"/>
    <w:rsid w:val="002C607F"/>
    <w:rsid w:val="002C6F2C"/>
    <w:rsid w:val="002C7F8D"/>
    <w:rsid w:val="002D0673"/>
    <w:rsid w:val="002D0A8D"/>
    <w:rsid w:val="002D24AE"/>
    <w:rsid w:val="002D3C6B"/>
    <w:rsid w:val="002D3F7C"/>
    <w:rsid w:val="002D5AC3"/>
    <w:rsid w:val="002D6379"/>
    <w:rsid w:val="002D706B"/>
    <w:rsid w:val="002E0999"/>
    <w:rsid w:val="002E11F3"/>
    <w:rsid w:val="002E4AAE"/>
    <w:rsid w:val="002E5A36"/>
    <w:rsid w:val="002E7325"/>
    <w:rsid w:val="002E7F6B"/>
    <w:rsid w:val="002F140F"/>
    <w:rsid w:val="002F3ECC"/>
    <w:rsid w:val="002F4C62"/>
    <w:rsid w:val="002F54D3"/>
    <w:rsid w:val="002F5548"/>
    <w:rsid w:val="002F5C10"/>
    <w:rsid w:val="002F65C2"/>
    <w:rsid w:val="00300124"/>
    <w:rsid w:val="00300CA0"/>
    <w:rsid w:val="003018A3"/>
    <w:rsid w:val="003020BC"/>
    <w:rsid w:val="00302EBB"/>
    <w:rsid w:val="003035C2"/>
    <w:rsid w:val="00303B06"/>
    <w:rsid w:val="003044CF"/>
    <w:rsid w:val="0030465A"/>
    <w:rsid w:val="00304BAC"/>
    <w:rsid w:val="00304D7F"/>
    <w:rsid w:val="0030539C"/>
    <w:rsid w:val="003066EF"/>
    <w:rsid w:val="003109D7"/>
    <w:rsid w:val="00311B3A"/>
    <w:rsid w:val="00311FBD"/>
    <w:rsid w:val="0031392C"/>
    <w:rsid w:val="003167E5"/>
    <w:rsid w:val="003179F8"/>
    <w:rsid w:val="00317C08"/>
    <w:rsid w:val="0032052D"/>
    <w:rsid w:val="003225E3"/>
    <w:rsid w:val="00323914"/>
    <w:rsid w:val="00324A2F"/>
    <w:rsid w:val="00325CE2"/>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4F30"/>
    <w:rsid w:val="00355E15"/>
    <w:rsid w:val="0035600E"/>
    <w:rsid w:val="00356B6A"/>
    <w:rsid w:val="003574EF"/>
    <w:rsid w:val="00361CD2"/>
    <w:rsid w:val="00363BAE"/>
    <w:rsid w:val="0036480C"/>
    <w:rsid w:val="003653EE"/>
    <w:rsid w:val="0036572F"/>
    <w:rsid w:val="00367C42"/>
    <w:rsid w:val="00370088"/>
    <w:rsid w:val="00372E2F"/>
    <w:rsid w:val="00374FD7"/>
    <w:rsid w:val="00375173"/>
    <w:rsid w:val="00375782"/>
    <w:rsid w:val="003800CF"/>
    <w:rsid w:val="00380A80"/>
    <w:rsid w:val="0038135C"/>
    <w:rsid w:val="00381F8E"/>
    <w:rsid w:val="003825FC"/>
    <w:rsid w:val="003827BD"/>
    <w:rsid w:val="0038337F"/>
    <w:rsid w:val="00383C0C"/>
    <w:rsid w:val="00384CFA"/>
    <w:rsid w:val="00385258"/>
    <w:rsid w:val="00385698"/>
    <w:rsid w:val="00387449"/>
    <w:rsid w:val="00387BE1"/>
    <w:rsid w:val="003900FC"/>
    <w:rsid w:val="003944E1"/>
    <w:rsid w:val="003949FF"/>
    <w:rsid w:val="00395628"/>
    <w:rsid w:val="003966A4"/>
    <w:rsid w:val="003A0269"/>
    <w:rsid w:val="003A1150"/>
    <w:rsid w:val="003A22F2"/>
    <w:rsid w:val="003A4129"/>
    <w:rsid w:val="003A5B77"/>
    <w:rsid w:val="003A61A5"/>
    <w:rsid w:val="003A635B"/>
    <w:rsid w:val="003A6698"/>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40A1"/>
    <w:rsid w:val="003C61E9"/>
    <w:rsid w:val="003C7561"/>
    <w:rsid w:val="003C7928"/>
    <w:rsid w:val="003C7C54"/>
    <w:rsid w:val="003D063B"/>
    <w:rsid w:val="003D0945"/>
    <w:rsid w:val="003D1E0B"/>
    <w:rsid w:val="003D1EFA"/>
    <w:rsid w:val="003D2EF6"/>
    <w:rsid w:val="003D3DA9"/>
    <w:rsid w:val="003D41C8"/>
    <w:rsid w:val="003D4331"/>
    <w:rsid w:val="003D59E0"/>
    <w:rsid w:val="003D7647"/>
    <w:rsid w:val="003E10C1"/>
    <w:rsid w:val="003E183C"/>
    <w:rsid w:val="003E3225"/>
    <w:rsid w:val="003E3BB8"/>
    <w:rsid w:val="003E4803"/>
    <w:rsid w:val="003E5F22"/>
    <w:rsid w:val="003E794B"/>
    <w:rsid w:val="003E7A69"/>
    <w:rsid w:val="003F0D93"/>
    <w:rsid w:val="003F14E6"/>
    <w:rsid w:val="003F216D"/>
    <w:rsid w:val="003F360C"/>
    <w:rsid w:val="003F60F1"/>
    <w:rsid w:val="003F6E64"/>
    <w:rsid w:val="00400138"/>
    <w:rsid w:val="00400873"/>
    <w:rsid w:val="004011D2"/>
    <w:rsid w:val="004055F1"/>
    <w:rsid w:val="00405B38"/>
    <w:rsid w:val="00407BD1"/>
    <w:rsid w:val="00407EEE"/>
    <w:rsid w:val="00410A42"/>
    <w:rsid w:val="004122B3"/>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0D89"/>
    <w:rsid w:val="0043454A"/>
    <w:rsid w:val="00436153"/>
    <w:rsid w:val="004369D4"/>
    <w:rsid w:val="00436D27"/>
    <w:rsid w:val="00440AA3"/>
    <w:rsid w:val="004416B7"/>
    <w:rsid w:val="00441BA6"/>
    <w:rsid w:val="004447F8"/>
    <w:rsid w:val="004454EF"/>
    <w:rsid w:val="00445BE7"/>
    <w:rsid w:val="004463F2"/>
    <w:rsid w:val="00446B22"/>
    <w:rsid w:val="004472C3"/>
    <w:rsid w:val="00453075"/>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971E3"/>
    <w:rsid w:val="004A0AAD"/>
    <w:rsid w:val="004A2717"/>
    <w:rsid w:val="004A2DF6"/>
    <w:rsid w:val="004A4E12"/>
    <w:rsid w:val="004A51B2"/>
    <w:rsid w:val="004A5E4E"/>
    <w:rsid w:val="004A6A4D"/>
    <w:rsid w:val="004A7C5A"/>
    <w:rsid w:val="004B00FD"/>
    <w:rsid w:val="004B19C9"/>
    <w:rsid w:val="004B1AF0"/>
    <w:rsid w:val="004B317C"/>
    <w:rsid w:val="004B3224"/>
    <w:rsid w:val="004B3E69"/>
    <w:rsid w:val="004B4B2C"/>
    <w:rsid w:val="004B598A"/>
    <w:rsid w:val="004B5BF2"/>
    <w:rsid w:val="004B7C97"/>
    <w:rsid w:val="004C04FC"/>
    <w:rsid w:val="004C0A14"/>
    <w:rsid w:val="004C180A"/>
    <w:rsid w:val="004C3243"/>
    <w:rsid w:val="004C48F0"/>
    <w:rsid w:val="004C5137"/>
    <w:rsid w:val="004C6542"/>
    <w:rsid w:val="004D0B16"/>
    <w:rsid w:val="004D0C03"/>
    <w:rsid w:val="004D0FD1"/>
    <w:rsid w:val="004D157B"/>
    <w:rsid w:val="004D1F26"/>
    <w:rsid w:val="004D2528"/>
    <w:rsid w:val="004D28EA"/>
    <w:rsid w:val="004D39FE"/>
    <w:rsid w:val="004D3A64"/>
    <w:rsid w:val="004D46CB"/>
    <w:rsid w:val="004D4E05"/>
    <w:rsid w:val="004D5644"/>
    <w:rsid w:val="004D7389"/>
    <w:rsid w:val="004D7421"/>
    <w:rsid w:val="004E1BDE"/>
    <w:rsid w:val="004E486F"/>
    <w:rsid w:val="004E4C95"/>
    <w:rsid w:val="004E645E"/>
    <w:rsid w:val="004E75CF"/>
    <w:rsid w:val="004F14FA"/>
    <w:rsid w:val="004F1E70"/>
    <w:rsid w:val="004F3A29"/>
    <w:rsid w:val="004F3C3B"/>
    <w:rsid w:val="004F3DD9"/>
    <w:rsid w:val="005018B4"/>
    <w:rsid w:val="00501BCD"/>
    <w:rsid w:val="00502E90"/>
    <w:rsid w:val="00503D4D"/>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053"/>
    <w:rsid w:val="005311D5"/>
    <w:rsid w:val="00531FB3"/>
    <w:rsid w:val="00532A82"/>
    <w:rsid w:val="00532CA9"/>
    <w:rsid w:val="00532F29"/>
    <w:rsid w:val="00533254"/>
    <w:rsid w:val="0053395D"/>
    <w:rsid w:val="0053413A"/>
    <w:rsid w:val="0053541D"/>
    <w:rsid w:val="00535BF7"/>
    <w:rsid w:val="005374CA"/>
    <w:rsid w:val="0054002E"/>
    <w:rsid w:val="005410CB"/>
    <w:rsid w:val="00541901"/>
    <w:rsid w:val="00541945"/>
    <w:rsid w:val="00544133"/>
    <w:rsid w:val="005444AC"/>
    <w:rsid w:val="0054467D"/>
    <w:rsid w:val="00546886"/>
    <w:rsid w:val="00550136"/>
    <w:rsid w:val="005505A9"/>
    <w:rsid w:val="00550949"/>
    <w:rsid w:val="00553F1D"/>
    <w:rsid w:val="00554F2A"/>
    <w:rsid w:val="0055501B"/>
    <w:rsid w:val="00555AB6"/>
    <w:rsid w:val="0056014B"/>
    <w:rsid w:val="00560349"/>
    <w:rsid w:val="00560EBB"/>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66A7"/>
    <w:rsid w:val="005774B5"/>
    <w:rsid w:val="00581791"/>
    <w:rsid w:val="00581B38"/>
    <w:rsid w:val="00582733"/>
    <w:rsid w:val="00585F0B"/>
    <w:rsid w:val="00586787"/>
    <w:rsid w:val="00587B7E"/>
    <w:rsid w:val="00587D33"/>
    <w:rsid w:val="0059033B"/>
    <w:rsid w:val="00590759"/>
    <w:rsid w:val="00591493"/>
    <w:rsid w:val="00592E90"/>
    <w:rsid w:val="0059326F"/>
    <w:rsid w:val="005943C3"/>
    <w:rsid w:val="00596569"/>
    <w:rsid w:val="0059660B"/>
    <w:rsid w:val="00596A81"/>
    <w:rsid w:val="005A0EB9"/>
    <w:rsid w:val="005A2B81"/>
    <w:rsid w:val="005A3404"/>
    <w:rsid w:val="005A53F6"/>
    <w:rsid w:val="005A702A"/>
    <w:rsid w:val="005A732E"/>
    <w:rsid w:val="005B1A74"/>
    <w:rsid w:val="005B2074"/>
    <w:rsid w:val="005B2427"/>
    <w:rsid w:val="005B2D76"/>
    <w:rsid w:val="005B33DF"/>
    <w:rsid w:val="005B4169"/>
    <w:rsid w:val="005B5E53"/>
    <w:rsid w:val="005B7080"/>
    <w:rsid w:val="005B729A"/>
    <w:rsid w:val="005B7341"/>
    <w:rsid w:val="005B7B3C"/>
    <w:rsid w:val="005C0188"/>
    <w:rsid w:val="005C1A0E"/>
    <w:rsid w:val="005C2992"/>
    <w:rsid w:val="005C33AD"/>
    <w:rsid w:val="005C3F69"/>
    <w:rsid w:val="005C7028"/>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1A5E"/>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0AFA"/>
    <w:rsid w:val="0062180D"/>
    <w:rsid w:val="00621A2C"/>
    <w:rsid w:val="0062236E"/>
    <w:rsid w:val="00622D0E"/>
    <w:rsid w:val="00624CD7"/>
    <w:rsid w:val="0062665F"/>
    <w:rsid w:val="006272D3"/>
    <w:rsid w:val="006277CE"/>
    <w:rsid w:val="00627A32"/>
    <w:rsid w:val="00627C51"/>
    <w:rsid w:val="00630099"/>
    <w:rsid w:val="00630BBC"/>
    <w:rsid w:val="0063187F"/>
    <w:rsid w:val="00631D27"/>
    <w:rsid w:val="00632E9C"/>
    <w:rsid w:val="006334C8"/>
    <w:rsid w:val="006336BB"/>
    <w:rsid w:val="00633F49"/>
    <w:rsid w:val="00634607"/>
    <w:rsid w:val="00634CE0"/>
    <w:rsid w:val="0063556B"/>
    <w:rsid w:val="00635FEF"/>
    <w:rsid w:val="00636808"/>
    <w:rsid w:val="00636CFC"/>
    <w:rsid w:val="006416E7"/>
    <w:rsid w:val="00642C9C"/>
    <w:rsid w:val="006432A5"/>
    <w:rsid w:val="00644070"/>
    <w:rsid w:val="00646026"/>
    <w:rsid w:val="00646477"/>
    <w:rsid w:val="006469B1"/>
    <w:rsid w:val="00650384"/>
    <w:rsid w:val="00652DE7"/>
    <w:rsid w:val="0065606C"/>
    <w:rsid w:val="00656628"/>
    <w:rsid w:val="006609AE"/>
    <w:rsid w:val="00660FD8"/>
    <w:rsid w:val="006617C2"/>
    <w:rsid w:val="00661BF5"/>
    <w:rsid w:val="006620D5"/>
    <w:rsid w:val="00662A9F"/>
    <w:rsid w:val="00663485"/>
    <w:rsid w:val="00664E16"/>
    <w:rsid w:val="00665858"/>
    <w:rsid w:val="00665C66"/>
    <w:rsid w:val="006663B5"/>
    <w:rsid w:val="00671145"/>
    <w:rsid w:val="00673936"/>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509"/>
    <w:rsid w:val="00685B68"/>
    <w:rsid w:val="00685F82"/>
    <w:rsid w:val="00687D68"/>
    <w:rsid w:val="006906EF"/>
    <w:rsid w:val="00690B82"/>
    <w:rsid w:val="00695D8D"/>
    <w:rsid w:val="00696195"/>
    <w:rsid w:val="0069737B"/>
    <w:rsid w:val="0069750C"/>
    <w:rsid w:val="006A00AF"/>
    <w:rsid w:val="006A0495"/>
    <w:rsid w:val="006A0780"/>
    <w:rsid w:val="006A0950"/>
    <w:rsid w:val="006A0B45"/>
    <w:rsid w:val="006A255A"/>
    <w:rsid w:val="006A30FA"/>
    <w:rsid w:val="006A3295"/>
    <w:rsid w:val="006A3DFE"/>
    <w:rsid w:val="006A5AE4"/>
    <w:rsid w:val="006A70F0"/>
    <w:rsid w:val="006A7278"/>
    <w:rsid w:val="006A76DE"/>
    <w:rsid w:val="006A799F"/>
    <w:rsid w:val="006B0BCF"/>
    <w:rsid w:val="006B17CB"/>
    <w:rsid w:val="006B1F4B"/>
    <w:rsid w:val="006B1FB1"/>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630F"/>
    <w:rsid w:val="006E7D5D"/>
    <w:rsid w:val="006F0B9C"/>
    <w:rsid w:val="006F0D0A"/>
    <w:rsid w:val="006F1AC5"/>
    <w:rsid w:val="006F34DE"/>
    <w:rsid w:val="006F4F65"/>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A07"/>
    <w:rsid w:val="00711CFB"/>
    <w:rsid w:val="00712EF0"/>
    <w:rsid w:val="007132E7"/>
    <w:rsid w:val="00714276"/>
    <w:rsid w:val="007150CD"/>
    <w:rsid w:val="0071650C"/>
    <w:rsid w:val="00716D73"/>
    <w:rsid w:val="0072146E"/>
    <w:rsid w:val="00721AFA"/>
    <w:rsid w:val="007222D1"/>
    <w:rsid w:val="007238D5"/>
    <w:rsid w:val="007242F0"/>
    <w:rsid w:val="00726076"/>
    <w:rsid w:val="007275F8"/>
    <w:rsid w:val="00727962"/>
    <w:rsid w:val="00727BC4"/>
    <w:rsid w:val="00727BFE"/>
    <w:rsid w:val="0073257C"/>
    <w:rsid w:val="007333EB"/>
    <w:rsid w:val="007349E8"/>
    <w:rsid w:val="007365B8"/>
    <w:rsid w:val="00736D87"/>
    <w:rsid w:val="00736E67"/>
    <w:rsid w:val="00737C7F"/>
    <w:rsid w:val="00737CB1"/>
    <w:rsid w:val="00740DA3"/>
    <w:rsid w:val="0074209F"/>
    <w:rsid w:val="0074255B"/>
    <w:rsid w:val="007431B7"/>
    <w:rsid w:val="007455C4"/>
    <w:rsid w:val="00747804"/>
    <w:rsid w:val="007522AE"/>
    <w:rsid w:val="007537A3"/>
    <w:rsid w:val="00753B98"/>
    <w:rsid w:val="007554FA"/>
    <w:rsid w:val="00755A5D"/>
    <w:rsid w:val="007571D2"/>
    <w:rsid w:val="00762DA6"/>
    <w:rsid w:val="007632BA"/>
    <w:rsid w:val="00765951"/>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4D5"/>
    <w:rsid w:val="00794E01"/>
    <w:rsid w:val="00796145"/>
    <w:rsid w:val="007977A5"/>
    <w:rsid w:val="00797849"/>
    <w:rsid w:val="007A0B2F"/>
    <w:rsid w:val="007A1357"/>
    <w:rsid w:val="007A1F68"/>
    <w:rsid w:val="007A23B5"/>
    <w:rsid w:val="007A29EC"/>
    <w:rsid w:val="007A415D"/>
    <w:rsid w:val="007A4915"/>
    <w:rsid w:val="007B0CB5"/>
    <w:rsid w:val="007B3937"/>
    <w:rsid w:val="007B3C00"/>
    <w:rsid w:val="007B5589"/>
    <w:rsid w:val="007C05D1"/>
    <w:rsid w:val="007C12AF"/>
    <w:rsid w:val="007C2A0A"/>
    <w:rsid w:val="007C33BF"/>
    <w:rsid w:val="007C489B"/>
    <w:rsid w:val="007C4B99"/>
    <w:rsid w:val="007C5342"/>
    <w:rsid w:val="007C5B87"/>
    <w:rsid w:val="007C73A6"/>
    <w:rsid w:val="007C7554"/>
    <w:rsid w:val="007C7834"/>
    <w:rsid w:val="007D1A5B"/>
    <w:rsid w:val="007D54FE"/>
    <w:rsid w:val="007D5BCD"/>
    <w:rsid w:val="007D67FF"/>
    <w:rsid w:val="007D6890"/>
    <w:rsid w:val="007D7830"/>
    <w:rsid w:val="007E0E71"/>
    <w:rsid w:val="007E1C82"/>
    <w:rsid w:val="007E1CAC"/>
    <w:rsid w:val="007E1D38"/>
    <w:rsid w:val="007E2972"/>
    <w:rsid w:val="007E41A1"/>
    <w:rsid w:val="007E490C"/>
    <w:rsid w:val="007E7526"/>
    <w:rsid w:val="007E7DC1"/>
    <w:rsid w:val="007F1E33"/>
    <w:rsid w:val="007F219C"/>
    <w:rsid w:val="007F3FB7"/>
    <w:rsid w:val="007F437A"/>
    <w:rsid w:val="007F46C4"/>
    <w:rsid w:val="007F4BE5"/>
    <w:rsid w:val="007F4CA1"/>
    <w:rsid w:val="007F64F5"/>
    <w:rsid w:val="007F68CE"/>
    <w:rsid w:val="007F6A3D"/>
    <w:rsid w:val="007F75F7"/>
    <w:rsid w:val="007F7BFC"/>
    <w:rsid w:val="007F7D95"/>
    <w:rsid w:val="00800EE5"/>
    <w:rsid w:val="00801CFD"/>
    <w:rsid w:val="00802070"/>
    <w:rsid w:val="00803035"/>
    <w:rsid w:val="00804E62"/>
    <w:rsid w:val="008054E6"/>
    <w:rsid w:val="008070FF"/>
    <w:rsid w:val="00807767"/>
    <w:rsid w:val="00811E23"/>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38DB"/>
    <w:rsid w:val="00834E70"/>
    <w:rsid w:val="00835214"/>
    <w:rsid w:val="00836263"/>
    <w:rsid w:val="008366A6"/>
    <w:rsid w:val="008403F7"/>
    <w:rsid w:val="008436EC"/>
    <w:rsid w:val="00843D33"/>
    <w:rsid w:val="00845EAA"/>
    <w:rsid w:val="00846CEF"/>
    <w:rsid w:val="00850E67"/>
    <w:rsid w:val="008512C3"/>
    <w:rsid w:val="00852603"/>
    <w:rsid w:val="00852D1F"/>
    <w:rsid w:val="00855112"/>
    <w:rsid w:val="00860306"/>
    <w:rsid w:val="00860871"/>
    <w:rsid w:val="008612F0"/>
    <w:rsid w:val="00862F88"/>
    <w:rsid w:val="008638A2"/>
    <w:rsid w:val="00863ABD"/>
    <w:rsid w:val="00866B6D"/>
    <w:rsid w:val="00870253"/>
    <w:rsid w:val="008703F6"/>
    <w:rsid w:val="00871AB9"/>
    <w:rsid w:val="00874CD3"/>
    <w:rsid w:val="008759DE"/>
    <w:rsid w:val="00877089"/>
    <w:rsid w:val="00880C63"/>
    <w:rsid w:val="008845F6"/>
    <w:rsid w:val="00884FB9"/>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275"/>
    <w:rsid w:val="008A63DF"/>
    <w:rsid w:val="008A6678"/>
    <w:rsid w:val="008A687B"/>
    <w:rsid w:val="008A78FF"/>
    <w:rsid w:val="008B016E"/>
    <w:rsid w:val="008B081C"/>
    <w:rsid w:val="008B16A1"/>
    <w:rsid w:val="008B1FE0"/>
    <w:rsid w:val="008B240E"/>
    <w:rsid w:val="008B3C50"/>
    <w:rsid w:val="008B3E16"/>
    <w:rsid w:val="008B644E"/>
    <w:rsid w:val="008B791B"/>
    <w:rsid w:val="008C02A0"/>
    <w:rsid w:val="008C0F60"/>
    <w:rsid w:val="008C41AE"/>
    <w:rsid w:val="008C7458"/>
    <w:rsid w:val="008D1089"/>
    <w:rsid w:val="008D123E"/>
    <w:rsid w:val="008D1D1D"/>
    <w:rsid w:val="008D32F6"/>
    <w:rsid w:val="008D5892"/>
    <w:rsid w:val="008D61F5"/>
    <w:rsid w:val="008D68B3"/>
    <w:rsid w:val="008D6BF3"/>
    <w:rsid w:val="008D7264"/>
    <w:rsid w:val="008E18CA"/>
    <w:rsid w:val="008E22E5"/>
    <w:rsid w:val="008E40DA"/>
    <w:rsid w:val="008E4215"/>
    <w:rsid w:val="008E5067"/>
    <w:rsid w:val="008E65A4"/>
    <w:rsid w:val="008E70B3"/>
    <w:rsid w:val="008F1C28"/>
    <w:rsid w:val="008F49E2"/>
    <w:rsid w:val="008F6F63"/>
    <w:rsid w:val="0090066A"/>
    <w:rsid w:val="00900FD8"/>
    <w:rsid w:val="0090118F"/>
    <w:rsid w:val="00901489"/>
    <w:rsid w:val="00902D51"/>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2D5"/>
    <w:rsid w:val="00947BD4"/>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0F64"/>
    <w:rsid w:val="0097126D"/>
    <w:rsid w:val="00971644"/>
    <w:rsid w:val="009732CC"/>
    <w:rsid w:val="0097335B"/>
    <w:rsid w:val="00973A50"/>
    <w:rsid w:val="00974A07"/>
    <w:rsid w:val="00975F28"/>
    <w:rsid w:val="009770E2"/>
    <w:rsid w:val="0097735E"/>
    <w:rsid w:val="0098194E"/>
    <w:rsid w:val="0098288F"/>
    <w:rsid w:val="009832FC"/>
    <w:rsid w:val="00984AFC"/>
    <w:rsid w:val="00986761"/>
    <w:rsid w:val="00986A8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B4758"/>
    <w:rsid w:val="009C01D5"/>
    <w:rsid w:val="009C02FA"/>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27C12"/>
    <w:rsid w:val="00A305E5"/>
    <w:rsid w:val="00A30E1F"/>
    <w:rsid w:val="00A32ABB"/>
    <w:rsid w:val="00A33D1D"/>
    <w:rsid w:val="00A379FF"/>
    <w:rsid w:val="00A40251"/>
    <w:rsid w:val="00A41AF6"/>
    <w:rsid w:val="00A4235A"/>
    <w:rsid w:val="00A42EC4"/>
    <w:rsid w:val="00A43A60"/>
    <w:rsid w:val="00A44707"/>
    <w:rsid w:val="00A448CA"/>
    <w:rsid w:val="00A44DA7"/>
    <w:rsid w:val="00A45E7F"/>
    <w:rsid w:val="00A45F04"/>
    <w:rsid w:val="00A50397"/>
    <w:rsid w:val="00A50D1D"/>
    <w:rsid w:val="00A518D5"/>
    <w:rsid w:val="00A5453A"/>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614"/>
    <w:rsid w:val="00A67F8A"/>
    <w:rsid w:val="00A7000B"/>
    <w:rsid w:val="00A720E0"/>
    <w:rsid w:val="00A729CB"/>
    <w:rsid w:val="00A74C28"/>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5434"/>
    <w:rsid w:val="00AA64DA"/>
    <w:rsid w:val="00AA7BA6"/>
    <w:rsid w:val="00AA7FF7"/>
    <w:rsid w:val="00AB3874"/>
    <w:rsid w:val="00AB3E9A"/>
    <w:rsid w:val="00AB4EBB"/>
    <w:rsid w:val="00AB6417"/>
    <w:rsid w:val="00AB7849"/>
    <w:rsid w:val="00AC1D75"/>
    <w:rsid w:val="00AC2257"/>
    <w:rsid w:val="00AC294F"/>
    <w:rsid w:val="00AC2985"/>
    <w:rsid w:val="00AC52E0"/>
    <w:rsid w:val="00AC6A2F"/>
    <w:rsid w:val="00AC6A3E"/>
    <w:rsid w:val="00AD12F9"/>
    <w:rsid w:val="00AD1D21"/>
    <w:rsid w:val="00AD2E07"/>
    <w:rsid w:val="00AD347F"/>
    <w:rsid w:val="00AD362D"/>
    <w:rsid w:val="00AD4838"/>
    <w:rsid w:val="00AD648C"/>
    <w:rsid w:val="00AD6C2E"/>
    <w:rsid w:val="00AD6CA1"/>
    <w:rsid w:val="00AD73AD"/>
    <w:rsid w:val="00AD7C3E"/>
    <w:rsid w:val="00AE15DA"/>
    <w:rsid w:val="00AE3984"/>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374A"/>
    <w:rsid w:val="00B2443F"/>
    <w:rsid w:val="00B27320"/>
    <w:rsid w:val="00B3059B"/>
    <w:rsid w:val="00B32C50"/>
    <w:rsid w:val="00B3314B"/>
    <w:rsid w:val="00B36610"/>
    <w:rsid w:val="00B36A21"/>
    <w:rsid w:val="00B37CF6"/>
    <w:rsid w:val="00B4091D"/>
    <w:rsid w:val="00B412A6"/>
    <w:rsid w:val="00B4510D"/>
    <w:rsid w:val="00B47E12"/>
    <w:rsid w:val="00B51D10"/>
    <w:rsid w:val="00B51D89"/>
    <w:rsid w:val="00B51F3B"/>
    <w:rsid w:val="00B52EB5"/>
    <w:rsid w:val="00B53E0C"/>
    <w:rsid w:val="00B540D6"/>
    <w:rsid w:val="00B54B12"/>
    <w:rsid w:val="00B55B59"/>
    <w:rsid w:val="00B55DFC"/>
    <w:rsid w:val="00B62873"/>
    <w:rsid w:val="00B6456C"/>
    <w:rsid w:val="00B6699F"/>
    <w:rsid w:val="00B6701C"/>
    <w:rsid w:val="00B6744E"/>
    <w:rsid w:val="00B67BC4"/>
    <w:rsid w:val="00B71A2D"/>
    <w:rsid w:val="00B73931"/>
    <w:rsid w:val="00B764D5"/>
    <w:rsid w:val="00B768C3"/>
    <w:rsid w:val="00B76C86"/>
    <w:rsid w:val="00B77704"/>
    <w:rsid w:val="00B80ED8"/>
    <w:rsid w:val="00B82CCF"/>
    <w:rsid w:val="00B836A4"/>
    <w:rsid w:val="00B8428C"/>
    <w:rsid w:val="00B85EB6"/>
    <w:rsid w:val="00B863BC"/>
    <w:rsid w:val="00B8656B"/>
    <w:rsid w:val="00B86E89"/>
    <w:rsid w:val="00B879F1"/>
    <w:rsid w:val="00B900BE"/>
    <w:rsid w:val="00B91B0D"/>
    <w:rsid w:val="00B9281A"/>
    <w:rsid w:val="00B9283A"/>
    <w:rsid w:val="00B92A8C"/>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0EF"/>
    <w:rsid w:val="00BB7F10"/>
    <w:rsid w:val="00BC09E9"/>
    <w:rsid w:val="00BC1A5C"/>
    <w:rsid w:val="00BC4446"/>
    <w:rsid w:val="00BC466B"/>
    <w:rsid w:val="00BC49E8"/>
    <w:rsid w:val="00BC4AE2"/>
    <w:rsid w:val="00BC5C6F"/>
    <w:rsid w:val="00BC6A5E"/>
    <w:rsid w:val="00BC6D76"/>
    <w:rsid w:val="00BC7C5E"/>
    <w:rsid w:val="00BD1FFC"/>
    <w:rsid w:val="00BD2A29"/>
    <w:rsid w:val="00BD417A"/>
    <w:rsid w:val="00BD5182"/>
    <w:rsid w:val="00BD6268"/>
    <w:rsid w:val="00BE04FA"/>
    <w:rsid w:val="00BE0576"/>
    <w:rsid w:val="00BE2111"/>
    <w:rsid w:val="00BE3108"/>
    <w:rsid w:val="00BE320A"/>
    <w:rsid w:val="00BE3C86"/>
    <w:rsid w:val="00BE3DF3"/>
    <w:rsid w:val="00BE5398"/>
    <w:rsid w:val="00BE6786"/>
    <w:rsid w:val="00BE7242"/>
    <w:rsid w:val="00BF0B3B"/>
    <w:rsid w:val="00BF2ABC"/>
    <w:rsid w:val="00BF55D9"/>
    <w:rsid w:val="00BF5726"/>
    <w:rsid w:val="00BF6253"/>
    <w:rsid w:val="00BF6277"/>
    <w:rsid w:val="00BF72E6"/>
    <w:rsid w:val="00BF77DD"/>
    <w:rsid w:val="00C01CC9"/>
    <w:rsid w:val="00C022FB"/>
    <w:rsid w:val="00C04EE3"/>
    <w:rsid w:val="00C05160"/>
    <w:rsid w:val="00C06549"/>
    <w:rsid w:val="00C06CB7"/>
    <w:rsid w:val="00C11889"/>
    <w:rsid w:val="00C1241A"/>
    <w:rsid w:val="00C12D5A"/>
    <w:rsid w:val="00C138E9"/>
    <w:rsid w:val="00C14BF7"/>
    <w:rsid w:val="00C15905"/>
    <w:rsid w:val="00C16A75"/>
    <w:rsid w:val="00C17624"/>
    <w:rsid w:val="00C17849"/>
    <w:rsid w:val="00C22026"/>
    <w:rsid w:val="00C24064"/>
    <w:rsid w:val="00C24A21"/>
    <w:rsid w:val="00C24D92"/>
    <w:rsid w:val="00C24E3C"/>
    <w:rsid w:val="00C2521A"/>
    <w:rsid w:val="00C270C6"/>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31"/>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12C"/>
    <w:rsid w:val="00C833BA"/>
    <w:rsid w:val="00C83A12"/>
    <w:rsid w:val="00C84C1D"/>
    <w:rsid w:val="00C85E2D"/>
    <w:rsid w:val="00C86304"/>
    <w:rsid w:val="00C90494"/>
    <w:rsid w:val="00C9053F"/>
    <w:rsid w:val="00C919D4"/>
    <w:rsid w:val="00C927E2"/>
    <w:rsid w:val="00C9460D"/>
    <w:rsid w:val="00C948C3"/>
    <w:rsid w:val="00C94C28"/>
    <w:rsid w:val="00C94F97"/>
    <w:rsid w:val="00C95162"/>
    <w:rsid w:val="00C95379"/>
    <w:rsid w:val="00C953EE"/>
    <w:rsid w:val="00C977CB"/>
    <w:rsid w:val="00C97D21"/>
    <w:rsid w:val="00CA03BB"/>
    <w:rsid w:val="00CA1125"/>
    <w:rsid w:val="00CA12EE"/>
    <w:rsid w:val="00CA1727"/>
    <w:rsid w:val="00CA18CC"/>
    <w:rsid w:val="00CA1F2E"/>
    <w:rsid w:val="00CA225B"/>
    <w:rsid w:val="00CA2A0E"/>
    <w:rsid w:val="00CA3199"/>
    <w:rsid w:val="00CA38E6"/>
    <w:rsid w:val="00CA4A09"/>
    <w:rsid w:val="00CA5910"/>
    <w:rsid w:val="00CA5EAD"/>
    <w:rsid w:val="00CA6026"/>
    <w:rsid w:val="00CA63EE"/>
    <w:rsid w:val="00CB1BA9"/>
    <w:rsid w:val="00CB286E"/>
    <w:rsid w:val="00CB42EF"/>
    <w:rsid w:val="00CB4F3D"/>
    <w:rsid w:val="00CB5A1D"/>
    <w:rsid w:val="00CB677D"/>
    <w:rsid w:val="00CB7FF6"/>
    <w:rsid w:val="00CC2048"/>
    <w:rsid w:val="00CC2C14"/>
    <w:rsid w:val="00CC2E48"/>
    <w:rsid w:val="00CC42C8"/>
    <w:rsid w:val="00CC463F"/>
    <w:rsid w:val="00CC47EC"/>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D7EEE"/>
    <w:rsid w:val="00CE1DC1"/>
    <w:rsid w:val="00CE2706"/>
    <w:rsid w:val="00CE4BF6"/>
    <w:rsid w:val="00CE5F05"/>
    <w:rsid w:val="00CE6037"/>
    <w:rsid w:val="00CE7AFD"/>
    <w:rsid w:val="00CE7CF5"/>
    <w:rsid w:val="00CF0598"/>
    <w:rsid w:val="00CF0C6F"/>
    <w:rsid w:val="00CF1EC5"/>
    <w:rsid w:val="00CF20CE"/>
    <w:rsid w:val="00CF3811"/>
    <w:rsid w:val="00CF4298"/>
    <w:rsid w:val="00CF7939"/>
    <w:rsid w:val="00D025BD"/>
    <w:rsid w:val="00D02603"/>
    <w:rsid w:val="00D02C3D"/>
    <w:rsid w:val="00D0309F"/>
    <w:rsid w:val="00D03278"/>
    <w:rsid w:val="00D03FDD"/>
    <w:rsid w:val="00D04214"/>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2E32"/>
    <w:rsid w:val="00D25888"/>
    <w:rsid w:val="00D25C84"/>
    <w:rsid w:val="00D27163"/>
    <w:rsid w:val="00D27234"/>
    <w:rsid w:val="00D30FD0"/>
    <w:rsid w:val="00D31255"/>
    <w:rsid w:val="00D312F9"/>
    <w:rsid w:val="00D31621"/>
    <w:rsid w:val="00D32800"/>
    <w:rsid w:val="00D32F6D"/>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BA9"/>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1FB6"/>
    <w:rsid w:val="00D72C36"/>
    <w:rsid w:val="00D72E79"/>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96AB8"/>
    <w:rsid w:val="00D96CCD"/>
    <w:rsid w:val="00DA06C2"/>
    <w:rsid w:val="00DA0999"/>
    <w:rsid w:val="00DA2E3B"/>
    <w:rsid w:val="00DA3CAD"/>
    <w:rsid w:val="00DA6A64"/>
    <w:rsid w:val="00DA78A1"/>
    <w:rsid w:val="00DA7920"/>
    <w:rsid w:val="00DB02F5"/>
    <w:rsid w:val="00DB090B"/>
    <w:rsid w:val="00DB0BC6"/>
    <w:rsid w:val="00DB16AC"/>
    <w:rsid w:val="00DB27CE"/>
    <w:rsid w:val="00DB35C9"/>
    <w:rsid w:val="00DB35CD"/>
    <w:rsid w:val="00DB45AB"/>
    <w:rsid w:val="00DB4858"/>
    <w:rsid w:val="00DB486F"/>
    <w:rsid w:val="00DB7734"/>
    <w:rsid w:val="00DB7F30"/>
    <w:rsid w:val="00DB7FEE"/>
    <w:rsid w:val="00DC0377"/>
    <w:rsid w:val="00DC0991"/>
    <w:rsid w:val="00DC2336"/>
    <w:rsid w:val="00DC4387"/>
    <w:rsid w:val="00DC46C7"/>
    <w:rsid w:val="00DC5323"/>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19B2"/>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CD2"/>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67A4A"/>
    <w:rsid w:val="00E704C0"/>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0381"/>
    <w:rsid w:val="00E90926"/>
    <w:rsid w:val="00E93F11"/>
    <w:rsid w:val="00E94D41"/>
    <w:rsid w:val="00E95985"/>
    <w:rsid w:val="00E960F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D2CC2"/>
    <w:rsid w:val="00ED4F12"/>
    <w:rsid w:val="00EE0996"/>
    <w:rsid w:val="00EE0EFD"/>
    <w:rsid w:val="00EE13DE"/>
    <w:rsid w:val="00EE1743"/>
    <w:rsid w:val="00EE1D0B"/>
    <w:rsid w:val="00EE21B0"/>
    <w:rsid w:val="00EE2C34"/>
    <w:rsid w:val="00EE30DF"/>
    <w:rsid w:val="00EE39D5"/>
    <w:rsid w:val="00EE3D6E"/>
    <w:rsid w:val="00EE42A7"/>
    <w:rsid w:val="00EE4AC8"/>
    <w:rsid w:val="00EE6E7D"/>
    <w:rsid w:val="00EE7A62"/>
    <w:rsid w:val="00EF240A"/>
    <w:rsid w:val="00EF55FF"/>
    <w:rsid w:val="00EF730B"/>
    <w:rsid w:val="00EF7CCB"/>
    <w:rsid w:val="00F0189F"/>
    <w:rsid w:val="00F01F59"/>
    <w:rsid w:val="00F061EE"/>
    <w:rsid w:val="00F06EC0"/>
    <w:rsid w:val="00F071B5"/>
    <w:rsid w:val="00F07870"/>
    <w:rsid w:val="00F07A56"/>
    <w:rsid w:val="00F10A82"/>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1DF8"/>
    <w:rsid w:val="00F536FA"/>
    <w:rsid w:val="00F53A17"/>
    <w:rsid w:val="00F53DCD"/>
    <w:rsid w:val="00F54937"/>
    <w:rsid w:val="00F55965"/>
    <w:rsid w:val="00F55ECB"/>
    <w:rsid w:val="00F56591"/>
    <w:rsid w:val="00F567A2"/>
    <w:rsid w:val="00F56AA2"/>
    <w:rsid w:val="00F57CA9"/>
    <w:rsid w:val="00F57E36"/>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5B6"/>
    <w:rsid w:val="00F74852"/>
    <w:rsid w:val="00F7512B"/>
    <w:rsid w:val="00F75DE8"/>
    <w:rsid w:val="00F76A45"/>
    <w:rsid w:val="00F76CAA"/>
    <w:rsid w:val="00F76E95"/>
    <w:rsid w:val="00F77FC8"/>
    <w:rsid w:val="00F80261"/>
    <w:rsid w:val="00F805BD"/>
    <w:rsid w:val="00F8107C"/>
    <w:rsid w:val="00F813E2"/>
    <w:rsid w:val="00F82E42"/>
    <w:rsid w:val="00F84B59"/>
    <w:rsid w:val="00F84F8C"/>
    <w:rsid w:val="00F85DBB"/>
    <w:rsid w:val="00F8669B"/>
    <w:rsid w:val="00F909A0"/>
    <w:rsid w:val="00F90DAF"/>
    <w:rsid w:val="00F91A09"/>
    <w:rsid w:val="00F932D5"/>
    <w:rsid w:val="00F94372"/>
    <w:rsid w:val="00F9473C"/>
    <w:rsid w:val="00F9509E"/>
    <w:rsid w:val="00F972C1"/>
    <w:rsid w:val="00FA0074"/>
    <w:rsid w:val="00FA1553"/>
    <w:rsid w:val="00FA47CF"/>
    <w:rsid w:val="00FA55E5"/>
    <w:rsid w:val="00FA7052"/>
    <w:rsid w:val="00FA7232"/>
    <w:rsid w:val="00FA774F"/>
    <w:rsid w:val="00FB0122"/>
    <w:rsid w:val="00FB29A7"/>
    <w:rsid w:val="00FB2E48"/>
    <w:rsid w:val="00FB3103"/>
    <w:rsid w:val="00FB4486"/>
    <w:rsid w:val="00FB61C8"/>
    <w:rsid w:val="00FB635A"/>
    <w:rsid w:val="00FB64F3"/>
    <w:rsid w:val="00FB7CF8"/>
    <w:rsid w:val="00FC08EC"/>
    <w:rsid w:val="00FC10C9"/>
    <w:rsid w:val="00FC19CE"/>
    <w:rsid w:val="00FC2236"/>
    <w:rsid w:val="00FC26CF"/>
    <w:rsid w:val="00FC45CF"/>
    <w:rsid w:val="00FC4999"/>
    <w:rsid w:val="00FC572B"/>
    <w:rsid w:val="00FC6743"/>
    <w:rsid w:val="00FC6786"/>
    <w:rsid w:val="00FC6E2A"/>
    <w:rsid w:val="00FC7372"/>
    <w:rsid w:val="00FC7E62"/>
    <w:rsid w:val="00FD1D90"/>
    <w:rsid w:val="00FD3D5C"/>
    <w:rsid w:val="00FD50A0"/>
    <w:rsid w:val="00FD68C2"/>
    <w:rsid w:val="00FD7AE2"/>
    <w:rsid w:val="00FE1761"/>
    <w:rsid w:val="00FE176A"/>
    <w:rsid w:val="00FE2E59"/>
    <w:rsid w:val="00FE3332"/>
    <w:rsid w:val="00FE455A"/>
    <w:rsid w:val="00FE4EB5"/>
    <w:rsid w:val="00FF215D"/>
    <w:rsid w:val="00FF6C26"/>
    <w:rsid w:val="00FF6E9B"/>
    <w:rsid w:val="00FF7AC6"/>
    <w:rsid w:val="033F683B"/>
    <w:rsid w:val="05765502"/>
    <w:rsid w:val="061C0CA8"/>
    <w:rsid w:val="062C280A"/>
    <w:rsid w:val="07285B25"/>
    <w:rsid w:val="07C0798B"/>
    <w:rsid w:val="0942292F"/>
    <w:rsid w:val="0AAE62EE"/>
    <w:rsid w:val="0B306A87"/>
    <w:rsid w:val="0C2627C8"/>
    <w:rsid w:val="0D2701B4"/>
    <w:rsid w:val="0DDC3A66"/>
    <w:rsid w:val="0DFE385A"/>
    <w:rsid w:val="0F202505"/>
    <w:rsid w:val="0F4933A8"/>
    <w:rsid w:val="10554E67"/>
    <w:rsid w:val="116125A2"/>
    <w:rsid w:val="136F5E09"/>
    <w:rsid w:val="14135CE9"/>
    <w:rsid w:val="143F7994"/>
    <w:rsid w:val="14556E24"/>
    <w:rsid w:val="145C09B6"/>
    <w:rsid w:val="15E564DA"/>
    <w:rsid w:val="19107E5B"/>
    <w:rsid w:val="1A09059C"/>
    <w:rsid w:val="1B574A59"/>
    <w:rsid w:val="1C8C3FCD"/>
    <w:rsid w:val="1E4578B6"/>
    <w:rsid w:val="1F2F1A57"/>
    <w:rsid w:val="22BD3DDC"/>
    <w:rsid w:val="24180599"/>
    <w:rsid w:val="25F25922"/>
    <w:rsid w:val="26D959CA"/>
    <w:rsid w:val="277245D4"/>
    <w:rsid w:val="28114720"/>
    <w:rsid w:val="28CF63F4"/>
    <w:rsid w:val="29326DC7"/>
    <w:rsid w:val="296A57B2"/>
    <w:rsid w:val="29F26F2A"/>
    <w:rsid w:val="2BC16C32"/>
    <w:rsid w:val="2C85746B"/>
    <w:rsid w:val="2DDD422B"/>
    <w:rsid w:val="2E84548B"/>
    <w:rsid w:val="2FC9681B"/>
    <w:rsid w:val="31014D28"/>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DC31F2"/>
    <w:rsid w:val="5FD6799D"/>
    <w:rsid w:val="60915A2A"/>
    <w:rsid w:val="621E6BB3"/>
    <w:rsid w:val="63C64EB3"/>
    <w:rsid w:val="648D0D03"/>
    <w:rsid w:val="66CC0AAD"/>
    <w:rsid w:val="689A3E47"/>
    <w:rsid w:val="68AE5B14"/>
    <w:rsid w:val="6AB96073"/>
    <w:rsid w:val="6B912F3A"/>
    <w:rsid w:val="6BCC359A"/>
    <w:rsid w:val="6D870C0C"/>
    <w:rsid w:val="6EA339BF"/>
    <w:rsid w:val="6FC82C02"/>
    <w:rsid w:val="70550787"/>
    <w:rsid w:val="7086429A"/>
    <w:rsid w:val="72147D8C"/>
    <w:rsid w:val="72C735DA"/>
    <w:rsid w:val="74171020"/>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0"/>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0"/>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0"/>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0"/>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浅色网格 - 强调文字颜色 31"/>
    <w:basedOn w:val="1"/>
    <w:link w:val="372"/>
    <w:qFormat/>
    <w:uiPriority w:val="99"/>
    <w:pPr>
      <w:ind w:firstLine="420" w:firstLineChars="200"/>
    </w:pPr>
    <w:rPr>
      <w:szCs w:val="20"/>
    </w:rPr>
  </w:style>
  <w:style w:type="character" w:customStyle="1" w:styleId="372">
    <w:name w:val="浅色网格 - 强调文字颜色 3字符"/>
    <w:link w:val="371"/>
    <w:qFormat/>
    <w:uiPriority w:val="99"/>
    <w:rPr>
      <w:kern w:val="2"/>
      <w:sz w:val="21"/>
    </w:rPr>
  </w:style>
  <w:style w:type="paragraph" w:customStyle="1" w:styleId="373">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374">
    <w:name w:val="未处理的提及2"/>
    <w:basedOn w:val="55"/>
    <w:semiHidden/>
    <w:unhideWhenUsed/>
    <w:qFormat/>
    <w:uiPriority w:val="99"/>
    <w:rPr>
      <w:color w:val="605E5C"/>
      <w:shd w:val="clear" w:color="auto" w:fill="E1DFDD"/>
    </w:rPr>
  </w:style>
  <w:style w:type="paragraph" w:customStyle="1" w:styleId="375">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8D5734-2F60-4E76-9E07-D1D62A37F8EF}">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55</Pages>
  <Words>21470</Words>
  <Characters>23068</Characters>
  <Lines>184</Lines>
  <Paragraphs>51</Paragraphs>
  <TotalTime>429</TotalTime>
  <ScaleCrop>false</ScaleCrop>
  <LinksUpToDate>false</LinksUpToDate>
  <CharactersWithSpaces>23918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2022-03-21T03:31:00Z</dcterms:created>
  <dc:creator>Administrator</dc:creator>
  <cp:lastModifiedBy>Ccyu.</cp:lastModifiedBy>
  <cp:lastPrinted>2017-04-10T13:36:00Z</cp:lastPrinted>
  <dcterms:modified xsi:type="dcterms:W3CDTF">2022-07-25T08:21:10Z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0FF1EE519EFC4EEB9CA0866BFECD40B0</vt:lpwstr>
  </property>
</Properties>
</file>