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bookmarkStart w:id="96" w:name="_GoBack"/>
      <w:bookmarkEnd w:id="96"/>
    </w:p>
    <w:p>
      <w:pPr>
        <w:spacing w:line="360" w:lineRule="auto"/>
        <w:ind w:firstLine="560"/>
        <w:rPr>
          <w:rFonts w:eastAsia="仿宋_GB2312"/>
          <w:sz w:val="28"/>
          <w:szCs w:val="28"/>
        </w:rPr>
      </w:pPr>
    </w:p>
    <w:p>
      <w:pPr>
        <w:spacing w:line="360" w:lineRule="auto"/>
        <w:ind w:firstLine="560"/>
        <w:jc w:val="center"/>
        <w:rPr>
          <w:rFonts w:ascii="宋体" w:hAnsi="宋体"/>
          <w:sz w:val="44"/>
          <w:szCs w:val="44"/>
        </w:rPr>
      </w:pPr>
      <w:r>
        <w:rPr>
          <w:rFonts w:hint="eastAsia" w:ascii="宋体" w:hAnsi="宋体"/>
          <w:sz w:val="44"/>
          <w:szCs w:val="44"/>
        </w:rPr>
        <w:t>江苏省广电有线信息网络股份有限公司</w:t>
      </w:r>
    </w:p>
    <w:p>
      <w:pPr>
        <w:spacing w:before="100" w:after="100" w:line="300" w:lineRule="auto"/>
        <w:jc w:val="center"/>
        <w:rPr>
          <w:rFonts w:ascii="黑体" w:hAnsi="宋体" w:eastAsia="黑体"/>
          <w:sz w:val="44"/>
          <w:szCs w:val="44"/>
        </w:rPr>
      </w:pPr>
      <w:bookmarkStart w:id="0" w:name="_Toc227057880"/>
      <w:r>
        <w:rPr>
          <w:rFonts w:hint="eastAsia" w:ascii="黑体" w:hAnsi="宋体" w:eastAsia="黑体"/>
          <w:sz w:val="44"/>
          <w:szCs w:val="44"/>
        </w:rPr>
        <w:t>省市县三级融合播控平台</w:t>
      </w:r>
    </w:p>
    <w:p>
      <w:pPr>
        <w:spacing w:before="100" w:after="100" w:line="300" w:lineRule="auto"/>
        <w:jc w:val="center"/>
        <w:rPr>
          <w:rFonts w:ascii="黑体" w:hAnsi="宋体" w:eastAsia="黑体"/>
          <w:sz w:val="44"/>
          <w:szCs w:val="44"/>
        </w:rPr>
      </w:pPr>
      <w:r>
        <w:rPr>
          <w:rFonts w:hint="eastAsia" w:ascii="黑体" w:hAnsi="宋体" w:eastAsia="黑体"/>
          <w:sz w:val="44"/>
          <w:szCs w:val="44"/>
        </w:rPr>
        <w:t>系统能力扩容-推流系统集成改造采购</w:t>
      </w:r>
    </w:p>
    <w:p>
      <w:pPr>
        <w:spacing w:after="120" w:line="360" w:lineRule="auto"/>
        <w:jc w:val="center"/>
        <w:rPr>
          <w:rFonts w:ascii="黑体" w:hAnsi="宋体" w:eastAsia="黑体"/>
          <w:sz w:val="44"/>
          <w:szCs w:val="44"/>
        </w:rPr>
      </w:pPr>
      <w:r>
        <w:rPr>
          <w:rFonts w:hint="eastAsia" w:ascii="黑体" w:hAnsi="宋体" w:eastAsia="黑体"/>
          <w:sz w:val="44"/>
          <w:szCs w:val="44"/>
        </w:rPr>
        <w:t>竞争性磋商文件</w:t>
      </w:r>
    </w:p>
    <w:p>
      <w:pPr>
        <w:spacing w:after="120" w:line="360" w:lineRule="auto"/>
        <w:jc w:val="center"/>
        <w:rPr>
          <w:b/>
          <w:bCs/>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pPr>
        <w:pStyle w:val="22"/>
        <w:adjustRightInd w:val="0"/>
        <w:snapToGrid w:val="0"/>
        <w:spacing w:before="380" w:beforeLines="100" w:after="380" w:afterLines="100"/>
        <w:ind w:left="210" w:leftChars="100" w:right="210" w:rightChars="100" w:firstLine="562" w:firstLineChars="200"/>
        <w:jc w:val="center"/>
        <w:rPr>
          <w:b/>
          <w:bCs/>
          <w:szCs w:val="28"/>
        </w:rPr>
      </w:pPr>
      <w:r>
        <w:rPr>
          <w:rFonts w:hint="eastAsia"/>
          <w:b/>
          <w:szCs w:val="28"/>
        </w:rPr>
        <w:t>二〇二二年八月</w:t>
      </w:r>
    </w:p>
    <w:p>
      <w:pPr>
        <w:spacing w:after="120" w:line="360" w:lineRule="auto"/>
        <w:ind w:firstLine="1405" w:firstLineChars="500"/>
        <w:rPr>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pPr>
        <w:spacing w:after="120" w:line="360" w:lineRule="atLeast"/>
        <w:jc w:val="center"/>
      </w:pPr>
    </w:p>
    <w:p>
      <w:pPr>
        <w:pStyle w:val="118"/>
        <w:numPr>
          <w:ilvl w:val="0"/>
          <w:numId w:val="0"/>
        </w:numPr>
        <w:ind w:left="288"/>
        <w:jc w:val="center"/>
      </w:pPr>
      <w:r>
        <w:rPr>
          <w:rFonts w:ascii="宋体" w:hAnsi="宋体" w:eastAsia="宋体"/>
          <w:color w:val="auto"/>
          <w:sz w:val="30"/>
          <w:szCs w:val="30"/>
          <w:lang w:val="zh-CN"/>
        </w:rPr>
        <w:t>目录</w:t>
      </w:r>
    </w:p>
    <w:p>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rPr>
        <w:t>第一章竞争性磋商公告</w:t>
      </w:r>
      <w:r>
        <w:tab/>
      </w:r>
      <w:r>
        <w:fldChar w:fldCharType="begin"/>
      </w:r>
      <w:r>
        <w:instrText xml:space="preserve"> PAGEREF _Toc69378615 \h </w:instrText>
      </w:r>
      <w:r>
        <w:fldChar w:fldCharType="separate"/>
      </w:r>
      <w:r>
        <w:t>3</w:t>
      </w:r>
      <w:r>
        <w:fldChar w:fldCharType="end"/>
      </w:r>
      <w:r>
        <w:fldChar w:fldCharType="end"/>
      </w:r>
    </w:p>
    <w:p>
      <w:pPr>
        <w:pStyle w:val="38"/>
        <w:rPr>
          <w:rFonts w:ascii="Calibri" w:hAnsi="Calibri"/>
          <w:caps w:val="0"/>
          <w:kern w:val="2"/>
          <w:szCs w:val="22"/>
        </w:rPr>
      </w:pPr>
      <w:r>
        <w:fldChar w:fldCharType="begin"/>
      </w:r>
      <w:r>
        <w:instrText xml:space="preserve"> HYPERLINK \l "_Toc69378616" </w:instrText>
      </w:r>
      <w:r>
        <w:fldChar w:fldCharType="separate"/>
      </w:r>
      <w:r>
        <w:rPr>
          <w:rStyle w:val="60"/>
          <w:rFonts w:hint="eastAsia"/>
          <w:b/>
        </w:rPr>
        <w:t>第二章竞争性磋商须知</w:t>
      </w:r>
      <w:r>
        <w:tab/>
      </w:r>
      <w:r>
        <w:fldChar w:fldCharType="end"/>
      </w:r>
      <w:r>
        <w:rPr>
          <w:rFonts w:hint="eastAsia"/>
        </w:rPr>
        <w:t>6</w:t>
      </w:r>
    </w:p>
    <w:p>
      <w:pPr>
        <w:pStyle w:val="38"/>
        <w:rPr>
          <w:rFonts w:ascii="Calibri" w:hAnsi="Calibri"/>
          <w:caps w:val="0"/>
          <w:kern w:val="2"/>
          <w:szCs w:val="22"/>
        </w:rPr>
      </w:pPr>
      <w:r>
        <w:fldChar w:fldCharType="begin"/>
      </w:r>
      <w:r>
        <w:instrText xml:space="preserve"> HYPERLINK \l "_Toc69378617" </w:instrText>
      </w:r>
      <w:r>
        <w:fldChar w:fldCharType="separate"/>
      </w:r>
      <w:r>
        <w:rPr>
          <w:rStyle w:val="60"/>
          <w:rFonts w:hint="eastAsia"/>
          <w:b/>
        </w:rPr>
        <w:t>第三章评审办法</w:t>
      </w:r>
      <w:r>
        <w:tab/>
      </w:r>
      <w:r>
        <w:rPr>
          <w:rFonts w:hint="eastAsia"/>
        </w:rPr>
        <w:t>1</w:t>
      </w:r>
      <w:r>
        <w:rPr>
          <w:rFonts w:hint="eastAsia"/>
        </w:rPr>
        <w:fldChar w:fldCharType="end"/>
      </w:r>
      <w:r>
        <w:t>8</w:t>
      </w:r>
    </w:p>
    <w:p>
      <w:pPr>
        <w:pStyle w:val="38"/>
        <w:rPr>
          <w:rFonts w:ascii="Calibri" w:hAnsi="Calibri"/>
          <w:caps w:val="0"/>
          <w:kern w:val="2"/>
          <w:szCs w:val="22"/>
        </w:rPr>
      </w:pPr>
      <w:r>
        <w:fldChar w:fldCharType="begin"/>
      </w:r>
      <w:r>
        <w:instrText xml:space="preserve"> HYPERLINK \l "_Toc69378618" </w:instrText>
      </w:r>
      <w:r>
        <w:fldChar w:fldCharType="separate"/>
      </w:r>
      <w:r>
        <w:rPr>
          <w:rStyle w:val="60"/>
          <w:rFonts w:hint="eastAsia"/>
          <w:b/>
        </w:rPr>
        <w:t>第四章合同格式</w:t>
      </w:r>
      <w:r>
        <w:tab/>
      </w:r>
      <w:r>
        <w:fldChar w:fldCharType="end"/>
      </w:r>
      <w:r>
        <w:rPr>
          <w:rFonts w:hint="eastAsia"/>
        </w:rPr>
        <w:t>2</w:t>
      </w:r>
      <w:r>
        <w:t>1</w:t>
      </w:r>
    </w:p>
    <w:p>
      <w:pPr>
        <w:pStyle w:val="38"/>
        <w:rPr>
          <w:rFonts w:ascii="Calibri" w:hAnsi="Calibri"/>
          <w:caps w:val="0"/>
          <w:kern w:val="2"/>
          <w:szCs w:val="22"/>
        </w:rPr>
      </w:pPr>
      <w:r>
        <w:fldChar w:fldCharType="begin"/>
      </w:r>
      <w:r>
        <w:instrText xml:space="preserve"> HYPERLINK \l "_Toc69378637" </w:instrText>
      </w:r>
      <w:r>
        <w:fldChar w:fldCharType="separate"/>
      </w:r>
      <w:r>
        <w:rPr>
          <w:rStyle w:val="60"/>
          <w:rFonts w:hint="eastAsia"/>
          <w:b/>
        </w:rPr>
        <w:t>第五章技术需求书</w:t>
      </w:r>
      <w:r>
        <w:tab/>
      </w:r>
      <w:r>
        <w:fldChar w:fldCharType="end"/>
      </w:r>
      <w:r>
        <w:rPr>
          <w:rFonts w:hint="eastAsia"/>
        </w:rPr>
        <w:t>3</w:t>
      </w:r>
      <w:r>
        <w:t>1</w:t>
      </w:r>
    </w:p>
    <w:p>
      <w:pPr>
        <w:pStyle w:val="38"/>
        <w:rPr>
          <w:rFonts w:ascii="Calibri" w:hAnsi="Calibri"/>
          <w:caps w:val="0"/>
          <w:kern w:val="2"/>
          <w:szCs w:val="22"/>
        </w:rPr>
      </w:pPr>
      <w:r>
        <w:fldChar w:fldCharType="begin"/>
      </w:r>
      <w:r>
        <w:instrText xml:space="preserve"> HYPERLINK \l "_Toc69378657" </w:instrText>
      </w:r>
      <w:r>
        <w:fldChar w:fldCharType="separate"/>
      </w:r>
      <w:r>
        <w:rPr>
          <w:rStyle w:val="60"/>
          <w:rFonts w:hint="eastAsia"/>
          <w:b/>
          <w:bCs/>
          <w:kern w:val="44"/>
        </w:rPr>
        <w:t>第六章竞争性磋商响应文件格式</w:t>
      </w:r>
      <w:r>
        <w:tab/>
      </w:r>
      <w:r>
        <w:fldChar w:fldCharType="end"/>
      </w:r>
      <w:r>
        <w:t>44</w:t>
      </w:r>
    </w:p>
    <w:p>
      <w:pPr>
        <w:pStyle w:val="38"/>
        <w:rPr>
          <w:rFonts w:ascii="Calibri" w:hAnsi="Calibri" w:eastAsia="宋体"/>
          <w:caps w:val="0"/>
          <w:kern w:val="2"/>
          <w:szCs w:val="22"/>
        </w:rPr>
      </w:pPr>
      <w:r>
        <w:rPr>
          <w:rFonts w:ascii="宋体" w:hAnsi="宋体" w:eastAsia="宋体"/>
          <w:sz w:val="20"/>
          <w:szCs w:val="20"/>
        </w:rPr>
        <w:fldChar w:fldCharType="end"/>
      </w:r>
    </w:p>
    <w:p>
      <w:pPr>
        <w:widowControl/>
        <w:jc w:val="left"/>
        <w:rPr>
          <w:rFonts w:eastAsia="黑体"/>
          <w:bCs/>
          <w:kern w:val="44"/>
          <w:sz w:val="30"/>
          <w:szCs w:val="44"/>
        </w:rPr>
      </w:pPr>
      <w:r>
        <w:br w:type="page"/>
      </w:r>
    </w:p>
    <w:p>
      <w:pPr>
        <w:pStyle w:val="4"/>
        <w:numPr>
          <w:ilvl w:val="0"/>
          <w:numId w:val="0"/>
        </w:numPr>
        <w:spacing w:before="0" w:after="0" w:line="360" w:lineRule="auto"/>
        <w:rPr>
          <w:b/>
          <w:sz w:val="36"/>
          <w:szCs w:val="36"/>
        </w:rPr>
      </w:pPr>
      <w:bookmarkStart w:id="1" w:name="_Toc69378615"/>
      <w:r>
        <w:rPr>
          <w:rFonts w:hint="eastAsia"/>
          <w:b/>
          <w:sz w:val="36"/>
          <w:szCs w:val="36"/>
        </w:rPr>
        <w:t>第一章竞争性磋商公告</w:t>
      </w:r>
      <w:bookmarkEnd w:id="1"/>
    </w:p>
    <w:bookmarkEnd w:id="0"/>
    <w:p>
      <w:pPr>
        <w:spacing w:line="360" w:lineRule="auto"/>
        <w:rPr>
          <w:rFonts w:ascii="宋体" w:hAnsi="宋体"/>
          <w:b/>
          <w:sz w:val="24"/>
        </w:rPr>
      </w:pPr>
      <w:bookmarkStart w:id="2" w:name="_Hlk97886687"/>
      <w:r>
        <w:rPr>
          <w:rFonts w:hint="eastAsia" w:ascii="宋体" w:hAnsi="宋体" w:cs="宋体"/>
          <w:b/>
          <w:kern w:val="0"/>
          <w:sz w:val="24"/>
        </w:rPr>
        <w:t>一、项目概况</w:t>
      </w:r>
    </w:p>
    <w:p>
      <w:pPr>
        <w:pStyle w:val="89"/>
        <w:numPr>
          <w:ilvl w:val="0"/>
          <w:numId w:val="5"/>
        </w:numPr>
        <w:spacing w:line="360" w:lineRule="auto"/>
        <w:ind w:firstLineChars="0"/>
        <w:rPr>
          <w:rFonts w:ascii="宋体" w:hAnsi="宋体"/>
          <w:sz w:val="24"/>
        </w:rPr>
      </w:pPr>
      <w:r>
        <w:rPr>
          <w:rFonts w:hint="eastAsia" w:ascii="宋体" w:hAnsi="宋体"/>
          <w:sz w:val="24"/>
        </w:rPr>
        <w:t>项目名称</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江苏省广电有线信息网络股份有限公司</w:t>
      </w:r>
      <w:r>
        <w:rPr>
          <w:rFonts w:hint="eastAsia" w:ascii="宋体" w:hAnsi="宋体" w:cs="宋体"/>
          <w:b/>
          <w:bCs/>
          <w:kern w:val="0"/>
          <w:sz w:val="24"/>
          <w:szCs w:val="22"/>
        </w:rPr>
        <w:t>省市县三级融合播控平台系统能力扩容-推流系统集成改造</w:t>
      </w:r>
      <w:r>
        <w:rPr>
          <w:rFonts w:hint="eastAsia" w:ascii="宋体" w:hAnsi="宋体" w:cs="宋体"/>
          <w:kern w:val="0"/>
          <w:sz w:val="24"/>
          <w:szCs w:val="22"/>
        </w:rPr>
        <w:t>采购。</w:t>
      </w:r>
    </w:p>
    <w:p>
      <w:pPr>
        <w:pStyle w:val="89"/>
        <w:numPr>
          <w:ilvl w:val="0"/>
          <w:numId w:val="5"/>
        </w:numPr>
        <w:spacing w:line="360" w:lineRule="auto"/>
        <w:ind w:firstLineChars="0"/>
        <w:rPr>
          <w:rFonts w:ascii="宋体" w:hAnsi="宋体"/>
          <w:sz w:val="24"/>
        </w:rPr>
      </w:pPr>
      <w:r>
        <w:rPr>
          <w:rFonts w:hint="eastAsia" w:ascii="宋体" w:hAnsi="宋体"/>
          <w:sz w:val="24"/>
        </w:rPr>
        <w:t>项目内容</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目前，全省推流系统同时存在IP及VOD两套平台。为了满足后续业务同时在不同终端、网络接入环境下的运营及维护，需要将两套平台融合。通过本次系统改造，利旧现有VOD系统，通过新增NGOD融合网关、索引服务器等模块，对接IPCDN平台，实现不同终端全业务全覆盖。本项目采购设备具体如下：</w:t>
      </w:r>
    </w:p>
    <w:tbl>
      <w:tblPr>
        <w:tblStyle w:val="53"/>
        <w:tblW w:w="85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982"/>
        <w:gridCol w:w="641"/>
        <w:gridCol w:w="5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采购货物名称</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64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类型</w:t>
            </w:r>
          </w:p>
        </w:tc>
        <w:tc>
          <w:tcPr>
            <w:tcW w:w="518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原VOD系统改造</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1套</w:t>
            </w:r>
          </w:p>
        </w:tc>
        <w:tc>
          <w:tcPr>
            <w:tcW w:w="641" w:type="dxa"/>
            <w:vMerge w:val="restart"/>
            <w:tcBorders>
              <w:top w:val="single" w:color="000000" w:sz="4" w:space="0"/>
              <w:left w:val="single" w:color="000000" w:sz="4" w:space="0"/>
              <w:right w:val="single" w:color="000000" w:sz="4" w:space="0"/>
            </w:tcBorders>
            <w:vAlign w:val="center"/>
          </w:tcPr>
          <w:p>
            <w:pPr>
              <w:pStyle w:val="7"/>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定制开发</w:t>
            </w:r>
          </w:p>
        </w:tc>
        <w:tc>
          <w:tcPr>
            <w:tcW w:w="5184" w:type="dxa"/>
            <w:tcBorders>
              <w:top w:val="single" w:color="000000" w:sz="4" w:space="0"/>
              <w:left w:val="single" w:color="000000" w:sz="4" w:space="0"/>
              <w:bottom w:val="single" w:color="000000" w:sz="4" w:space="0"/>
              <w:right w:val="single" w:color="000000" w:sz="4" w:space="0"/>
            </w:tcBorders>
            <w:vAlign w:val="center"/>
          </w:tcPr>
          <w:p>
            <w:pPr>
              <w:pStyle w:val="7"/>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成对现有推流设备的改造，使之能够按照要求完成与NGOD融合网关的对接集成，必须保证原推流设备的推流能力不受影响。完成原缓存设备改造（部分），使之能够按照要求完成与NGOD融合网关、推流设备的对接集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NGOD融合网关</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1套</w:t>
            </w:r>
          </w:p>
        </w:tc>
        <w:tc>
          <w:tcPr>
            <w:tcW w:w="641" w:type="dxa"/>
            <w:vMerge w:val="continue"/>
            <w:tcBorders>
              <w:left w:val="single" w:color="000000" w:sz="4" w:space="0"/>
              <w:right w:val="single" w:color="000000" w:sz="4" w:space="0"/>
            </w:tcBorders>
            <w:vAlign w:val="center"/>
          </w:tcPr>
          <w:p>
            <w:pPr>
              <w:pStyle w:val="7"/>
              <w:ind w:firstLine="0"/>
              <w:rPr>
                <w:rFonts w:asciiTheme="minorEastAsia" w:hAnsiTheme="minorEastAsia" w:eastAsiaTheme="minorEastAsia" w:cstheme="minorEastAsia"/>
                <w:sz w:val="21"/>
                <w:szCs w:val="21"/>
              </w:rPr>
            </w:pPr>
          </w:p>
        </w:tc>
        <w:tc>
          <w:tcPr>
            <w:tcW w:w="5184" w:type="dxa"/>
            <w:tcBorders>
              <w:top w:val="single" w:color="000000" w:sz="4" w:space="0"/>
              <w:left w:val="single" w:color="000000" w:sz="4" w:space="0"/>
              <w:bottom w:val="single" w:color="000000" w:sz="4" w:space="0"/>
              <w:right w:val="single" w:color="000000" w:sz="4" w:space="0"/>
            </w:tcBorders>
            <w:vAlign w:val="center"/>
          </w:tcPr>
          <w:p>
            <w:pPr>
              <w:pStyle w:val="7"/>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提供一套系统（包括软件和硬件），完成HLS-&gt;TS的实时转换，满足业务需求。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索引服务器</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1套</w:t>
            </w:r>
          </w:p>
        </w:tc>
        <w:tc>
          <w:tcPr>
            <w:tcW w:w="641" w:type="dxa"/>
            <w:vMerge w:val="continue"/>
            <w:tcBorders>
              <w:left w:val="single" w:color="000000" w:sz="4" w:space="0"/>
              <w:right w:val="single" w:color="000000" w:sz="4" w:space="0"/>
            </w:tcBorders>
            <w:vAlign w:val="center"/>
          </w:tcPr>
          <w:p>
            <w:pPr>
              <w:pStyle w:val="7"/>
              <w:ind w:firstLine="0"/>
              <w:rPr>
                <w:rFonts w:asciiTheme="minorEastAsia" w:hAnsiTheme="minorEastAsia" w:eastAsiaTheme="minorEastAsia" w:cstheme="minorEastAsia"/>
                <w:sz w:val="21"/>
                <w:szCs w:val="21"/>
              </w:rPr>
            </w:pPr>
          </w:p>
        </w:tc>
        <w:tc>
          <w:tcPr>
            <w:tcW w:w="5184" w:type="dxa"/>
            <w:tcBorders>
              <w:top w:val="single" w:color="000000" w:sz="4" w:space="0"/>
              <w:left w:val="single" w:color="000000" w:sz="4" w:space="0"/>
              <w:bottom w:val="single" w:color="000000" w:sz="4" w:space="0"/>
              <w:right w:val="single" w:color="000000" w:sz="4" w:space="0"/>
            </w:tcBorders>
            <w:vAlign w:val="center"/>
          </w:tcPr>
          <w:p>
            <w:pPr>
              <w:pStyle w:val="7"/>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提供一套系统（包括软件和硬件），完成索引文件的存储及调度，保证调度效率及安全性。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业务调度及网管</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1套</w:t>
            </w:r>
          </w:p>
        </w:tc>
        <w:tc>
          <w:tcPr>
            <w:tcW w:w="641" w:type="dxa"/>
            <w:vMerge w:val="continue"/>
            <w:tcBorders>
              <w:left w:val="single" w:color="000000" w:sz="4" w:space="0"/>
              <w:right w:val="single" w:color="000000" w:sz="4" w:space="0"/>
            </w:tcBorders>
            <w:vAlign w:val="center"/>
          </w:tcPr>
          <w:p>
            <w:pPr>
              <w:pStyle w:val="7"/>
              <w:ind w:firstLine="0"/>
              <w:rPr>
                <w:rFonts w:asciiTheme="minorEastAsia" w:hAnsiTheme="minorEastAsia" w:eastAsiaTheme="minorEastAsia" w:cstheme="minorEastAsia"/>
                <w:sz w:val="21"/>
                <w:szCs w:val="21"/>
              </w:rPr>
            </w:pPr>
          </w:p>
        </w:tc>
        <w:tc>
          <w:tcPr>
            <w:tcW w:w="5184" w:type="dxa"/>
            <w:tcBorders>
              <w:top w:val="single" w:color="000000" w:sz="4" w:space="0"/>
              <w:left w:val="single" w:color="000000" w:sz="4" w:space="0"/>
              <w:bottom w:val="single" w:color="000000" w:sz="4" w:space="0"/>
              <w:right w:val="single" w:color="000000" w:sz="4" w:space="0"/>
            </w:tcBorders>
            <w:vAlign w:val="center"/>
          </w:tcPr>
          <w:p>
            <w:pPr>
              <w:pStyle w:val="7"/>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提供一套系统（软件），实现全局业务调度能力，同时实现对本次项目集成改造设备的管理。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对接与集成</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1套</w:t>
            </w:r>
          </w:p>
        </w:tc>
        <w:tc>
          <w:tcPr>
            <w:tcW w:w="641" w:type="dxa"/>
            <w:vMerge w:val="continue"/>
            <w:tcBorders>
              <w:left w:val="single" w:color="000000" w:sz="4" w:space="0"/>
              <w:bottom w:val="single" w:color="000000" w:sz="4" w:space="0"/>
              <w:right w:val="single" w:color="000000" w:sz="4" w:space="0"/>
            </w:tcBorders>
            <w:vAlign w:val="center"/>
          </w:tcPr>
          <w:p>
            <w:pPr>
              <w:pStyle w:val="7"/>
              <w:ind w:firstLine="0"/>
              <w:rPr>
                <w:rFonts w:asciiTheme="minorEastAsia" w:hAnsiTheme="minorEastAsia" w:eastAsiaTheme="minorEastAsia" w:cstheme="minorEastAsia"/>
                <w:sz w:val="21"/>
                <w:szCs w:val="21"/>
              </w:rPr>
            </w:pPr>
          </w:p>
        </w:tc>
        <w:tc>
          <w:tcPr>
            <w:tcW w:w="5184" w:type="dxa"/>
            <w:tcBorders>
              <w:top w:val="single" w:color="000000" w:sz="4" w:space="0"/>
              <w:left w:val="single" w:color="000000" w:sz="4" w:space="0"/>
              <w:bottom w:val="single" w:color="000000" w:sz="4" w:space="0"/>
              <w:right w:val="single" w:color="000000" w:sz="4" w:space="0"/>
            </w:tcBorders>
            <w:vAlign w:val="center"/>
          </w:tcPr>
          <w:p>
            <w:pPr>
              <w:pStyle w:val="7"/>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与IPCDN对接与集成，与BO对接与集成，实现不同终端全业务全覆盖。</w:t>
            </w:r>
          </w:p>
        </w:tc>
      </w:tr>
    </w:tbl>
    <w:p>
      <w:pPr>
        <w:spacing w:line="360" w:lineRule="auto"/>
        <w:ind w:firstLine="236" w:firstLineChars="98"/>
        <w:rPr>
          <w:rFonts w:ascii="宋体" w:hAnsi="宋体" w:cs="宋体"/>
          <w:b/>
          <w:kern w:val="0"/>
          <w:sz w:val="24"/>
        </w:rPr>
      </w:pPr>
      <w:r>
        <w:rPr>
          <w:rFonts w:hint="eastAsia" w:ascii="宋体" w:hAnsi="宋体" w:cs="宋体"/>
          <w:b/>
          <w:kern w:val="0"/>
          <w:sz w:val="24"/>
        </w:rPr>
        <w:t>二、资格审查方式</w:t>
      </w:r>
    </w:p>
    <w:p>
      <w:pPr>
        <w:spacing w:line="360" w:lineRule="auto"/>
        <w:ind w:firstLine="234" w:firstLineChars="97"/>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241" w:firstLineChars="100"/>
      </w:pPr>
      <w:r>
        <w:rPr>
          <w:rFonts w:hint="eastAsia" w:ascii="宋体" w:hAnsi="宋体"/>
          <w:b/>
          <w:sz w:val="24"/>
        </w:rPr>
        <w:t>三、合格供应商的基本资格要求</w:t>
      </w:r>
    </w:p>
    <w:p>
      <w:pPr>
        <w:spacing w:line="360" w:lineRule="auto"/>
        <w:ind w:firstLine="480" w:firstLineChars="200"/>
        <w:jc w:val="left"/>
        <w:rPr>
          <w:rFonts w:ascii="宋体" w:hAnsi="宋体" w:cs="宋体"/>
          <w:kern w:val="0"/>
          <w:sz w:val="24"/>
          <w:szCs w:val="22"/>
        </w:rPr>
      </w:pPr>
      <w:bookmarkStart w:id="3" w:name="_Hlk74838219"/>
      <w:r>
        <w:rPr>
          <w:rFonts w:hint="eastAsia" w:ascii="宋体" w:hAnsi="宋体" w:cs="宋体"/>
          <w:kern w:val="0"/>
          <w:sz w:val="24"/>
          <w:szCs w:val="22"/>
        </w:rPr>
        <w:t>1.供应商须为在中华人民共和国境内合法注册的独立法人或其他组织，遵守中国有关法律、法规，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p>
    <w:bookmarkEnd w:id="3"/>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2.供应商须具有良好的业绩和经验，自201</w:t>
      </w:r>
      <w:r>
        <w:rPr>
          <w:rFonts w:ascii="宋体" w:hAnsi="宋体" w:cs="宋体"/>
          <w:kern w:val="0"/>
          <w:sz w:val="24"/>
          <w:szCs w:val="22"/>
        </w:rPr>
        <w:t>9</w:t>
      </w:r>
      <w:r>
        <w:rPr>
          <w:rFonts w:hint="eastAsia" w:ascii="宋体" w:hAnsi="宋体" w:cs="宋体"/>
          <w:kern w:val="0"/>
          <w:sz w:val="24"/>
          <w:szCs w:val="22"/>
        </w:rPr>
        <w:t>年1月1日至响应截止日前在国内相关行业实施过类似项目。（提供合同复印件，原件备查）</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3.供应商须是投标货物（或服务）的制造商或获得所投货物（或服务）制造商针对本项目的授权代理商，制造商和授权代理商不得同时参与本项目。（代理商提供授权书原件并加盖公章）</w:t>
      </w:r>
    </w:p>
    <w:p>
      <w:pPr>
        <w:spacing w:line="360" w:lineRule="auto"/>
        <w:ind w:firstLine="480" w:firstLineChars="200"/>
        <w:jc w:val="left"/>
        <w:rPr>
          <w:rFonts w:ascii="宋体" w:hAnsi="宋体" w:cs="宋体"/>
          <w:kern w:val="0"/>
          <w:sz w:val="24"/>
          <w:szCs w:val="22"/>
        </w:rPr>
      </w:pPr>
      <w:r>
        <w:rPr>
          <w:rFonts w:hint="eastAsia" w:ascii="宋体" w:hAnsi="宋体" w:cs="宋体"/>
          <w:color w:val="191919"/>
          <w:kern w:val="0"/>
          <w:sz w:val="24"/>
          <w:shd w:val="clear" w:color="auto" w:fill="FFFFFF"/>
        </w:rPr>
        <w:t>4.供应商须提供对本项目直接保修和服务的承诺。</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5.供应商须具备完整的售后服务体系、具有快速响应维护能力，在江苏须具有较大规模的销售和售后服务的组织机构及完善快捷的技术支持能力，拥有固定可靠的有效服务网点，或承诺中选后30天内在江苏设立售后服务机构（提供证明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6.供应商须保证，采购人在其本国使用供应商提供的货物时，不存在任何已知的不合法的情形，也不存在任何已知的与第三方专利权、著作权、商标权或工业设计权相关的任何争议。如果有任何因采购人使用供应商提供的货物而提起的侵权指控，供应商依法承担全部责任。</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7.供应商单位负责人为同一人或者存在直接控股、管理关系的不同供应商，不得参加同一标段磋商或者未划分标段的同一采购项目磋商。</w:t>
      </w:r>
    </w:p>
    <w:p>
      <w:pPr>
        <w:spacing w:line="360" w:lineRule="auto"/>
        <w:ind w:firstLine="480" w:firstLineChars="200"/>
        <w:jc w:val="left"/>
      </w:pPr>
      <w:r>
        <w:rPr>
          <w:rFonts w:hint="eastAsia" w:ascii="宋体" w:hAnsi="宋体" w:cs="宋体"/>
          <w:kern w:val="0"/>
          <w:sz w:val="24"/>
          <w:szCs w:val="22"/>
        </w:rPr>
        <w:t>8.法定代表人为同一个人的两个及两个以上法人，母公司与全资子公司/由其控股的子公司，不得同时参与本项目</w:t>
      </w:r>
      <w:r>
        <w:rPr>
          <w:rFonts w:ascii="宋体" w:hAnsi="宋体" w:cs="宋体"/>
          <w:kern w:val="0"/>
          <w:sz w:val="24"/>
          <w:szCs w:val="22"/>
        </w:rPr>
        <w:t>。</w:t>
      </w:r>
    </w:p>
    <w:p>
      <w:pPr>
        <w:ind w:firstLine="420"/>
        <w:rPr>
          <w:rFonts w:ascii="宋体" w:hAnsi="宋体" w:cs="宋体"/>
          <w:kern w:val="0"/>
          <w:sz w:val="24"/>
          <w:szCs w:val="22"/>
        </w:rPr>
      </w:pPr>
      <w:r>
        <w:rPr>
          <w:rFonts w:hint="eastAsia" w:ascii="宋体" w:hAnsi="宋体" w:cs="宋体"/>
          <w:kern w:val="0"/>
          <w:sz w:val="24"/>
          <w:szCs w:val="22"/>
        </w:rPr>
        <w:t>9.本项目不接受联合体响应。</w:t>
      </w:r>
    </w:p>
    <w:p>
      <w:pPr>
        <w:widowControl/>
        <w:spacing w:line="360" w:lineRule="auto"/>
        <w:jc w:val="left"/>
      </w:pPr>
      <w:r>
        <w:rPr>
          <w:rFonts w:hint="eastAsia" w:ascii="宋体" w:hAnsi="宋体" w:cs="宋体"/>
          <w:b/>
          <w:bCs/>
          <w:color w:val="191919"/>
          <w:kern w:val="0"/>
          <w:sz w:val="24"/>
          <w:shd w:val="clear" w:color="auto" w:fill="FFFFFF"/>
        </w:rPr>
        <w:t>四、竞争性磋商文件的获取</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发布及登记时间：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年8</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9日至202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年8</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15日止，每日上午9：00-12：00，下午14：00-17：00（北京时间，节假日除外）。</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发放方式：竞争性磋商文件在报名后自行下载，请响应人联系采购人项目联系人进行报名登记，具体报名方式为将确认磋商函加盖公司公章同时发至</w:t>
      </w:r>
      <w:r>
        <w:rPr>
          <w:rFonts w:hint="eastAsia" w:ascii="宋体" w:hAnsi="宋体" w:cs="宋体"/>
          <w:color w:val="191919"/>
          <w:kern w:val="0"/>
          <w:sz w:val="24"/>
        </w:rPr>
        <w:t>邮箱</w:t>
      </w:r>
      <w:r>
        <w:rPr>
          <w:rFonts w:ascii="宋体" w:hAnsi="宋体" w:cs="宋体"/>
          <w:color w:val="191919"/>
          <w:kern w:val="0"/>
          <w:sz w:val="24"/>
        </w:rPr>
        <w:t>jscn_zbzy@163.com</w:t>
      </w:r>
      <w:r>
        <w:rPr>
          <w:rFonts w:hint="eastAsia" w:ascii="宋体" w:hAnsi="宋体" w:cs="宋体"/>
          <w:color w:val="191919"/>
          <w:kern w:val="0"/>
          <w:sz w:val="24"/>
          <w:shd w:val="clear" w:color="auto" w:fill="FFFFFF"/>
        </w:rPr>
        <w:t>，未在文件发放日内完成登记的不得参与本项目。</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登记方式：请响应人将该项目负责人姓名、联系电话（手机）、联系信箱发至采购人该项目联系人（参考竞争性磋商文件第七章响应确认信息表），同时附营业执照扫面件和法定代表人授权委托函，超过</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年8</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15日下午17:00再登记的视为无效。</w:t>
      </w:r>
    </w:p>
    <w:p>
      <w:pPr>
        <w:widowControl/>
        <w:spacing w:line="360" w:lineRule="auto"/>
        <w:ind w:firstLine="420"/>
        <w:jc w:val="left"/>
        <w:rPr>
          <w:rFonts w:ascii="宋体" w:hAnsi="宋体" w:cs="宋体"/>
          <w:color w:val="191919"/>
          <w:kern w:val="0"/>
          <w:sz w:val="24"/>
        </w:rPr>
      </w:pPr>
      <w:r>
        <w:rPr>
          <w:rFonts w:hint="eastAsia" w:ascii="宋体" w:hAnsi="宋体" w:cs="宋体"/>
          <w:color w:val="191919"/>
          <w:kern w:val="0"/>
          <w:sz w:val="24"/>
          <w:shd w:val="clear" w:color="auto" w:fill="FFFFFF"/>
        </w:rPr>
        <w:t>项目联系人：苗峰（025-86731746）、</w:t>
      </w:r>
      <w:r>
        <w:rPr>
          <w:rFonts w:hint="eastAsia" w:ascii="宋体" w:hAnsi="宋体" w:cs="宋体"/>
          <w:color w:val="191919"/>
          <w:kern w:val="0"/>
          <w:sz w:val="24"/>
        </w:rPr>
        <w:t>秦晋（</w:t>
      </w:r>
      <w:r>
        <w:rPr>
          <w:rFonts w:ascii="宋体" w:hAnsi="宋体" w:cs="宋体"/>
          <w:color w:val="191919"/>
          <w:kern w:val="0"/>
          <w:sz w:val="24"/>
        </w:rPr>
        <w:t>025-86731524）</w:t>
      </w:r>
    </w:p>
    <w:p>
      <w:pPr>
        <w:widowControl/>
        <w:spacing w:line="360" w:lineRule="auto"/>
        <w:jc w:val="left"/>
      </w:pPr>
      <w:r>
        <w:rPr>
          <w:rFonts w:hint="eastAsia" w:ascii="宋体" w:hAnsi="宋体" w:cs="宋体"/>
          <w:b/>
          <w:bCs/>
          <w:color w:val="191919"/>
          <w:kern w:val="0"/>
          <w:sz w:val="24"/>
          <w:shd w:val="clear" w:color="auto" w:fill="FFFFFF"/>
        </w:rPr>
        <w:t>五、响应文件的递交和磋商</w:t>
      </w:r>
    </w:p>
    <w:p>
      <w:pPr>
        <w:widowControl/>
        <w:spacing w:line="360" w:lineRule="auto"/>
        <w:ind w:firstLine="420"/>
        <w:jc w:val="left"/>
      </w:pPr>
      <w:r>
        <w:rPr>
          <w:rFonts w:hint="eastAsia" w:ascii="宋体" w:hAnsi="宋体" w:cs="宋体"/>
          <w:color w:val="191919"/>
          <w:kern w:val="0"/>
          <w:sz w:val="24"/>
          <w:shd w:val="clear" w:color="auto" w:fill="FFFFFF"/>
        </w:rPr>
        <w:t>递交竞争性磋商响应文件截止时间：</w:t>
      </w:r>
      <w:r>
        <w:rPr>
          <w:rFonts w:eastAsia="微软雅黑"/>
          <w:color w:val="191919"/>
          <w:kern w:val="0"/>
          <w:sz w:val="24"/>
          <w:shd w:val="clear" w:color="auto" w:fill="FFFFFF"/>
        </w:rPr>
        <w:t>202</w:t>
      </w:r>
      <w:r>
        <w:rPr>
          <w:rFonts w:hint="eastAsia" w:eastAsia="微软雅黑"/>
          <w:color w:val="191919"/>
          <w:kern w:val="0"/>
          <w:sz w:val="24"/>
          <w:shd w:val="clear" w:color="auto" w:fill="FFFFFF"/>
        </w:rPr>
        <w:t>2</w:t>
      </w:r>
      <w:r>
        <w:rPr>
          <w:rFonts w:hint="eastAsia" w:ascii="宋体" w:hAnsi="宋体" w:cs="宋体"/>
          <w:color w:val="191919"/>
          <w:kern w:val="0"/>
          <w:sz w:val="24"/>
          <w:shd w:val="clear" w:color="auto" w:fill="FFFFFF"/>
        </w:rPr>
        <w:t>年</w:t>
      </w:r>
      <w:r>
        <w:rPr>
          <w:rFonts w:ascii="宋体" w:hAnsi="宋体" w:cs="宋体"/>
          <w:color w:val="191919"/>
          <w:kern w:val="0"/>
          <w:sz w:val="24"/>
          <w:shd w:val="clear" w:color="auto" w:fill="FFFFFF"/>
        </w:rPr>
        <w:t>8</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19</w:t>
      </w:r>
      <w:r>
        <w:rPr>
          <w:rFonts w:hint="eastAsia" w:ascii="宋体" w:hAnsi="宋体" w:cs="宋体"/>
          <w:color w:val="191919"/>
          <w:kern w:val="0"/>
          <w:sz w:val="24"/>
          <w:shd w:val="clear" w:color="auto" w:fill="FFFFFF"/>
        </w:rPr>
        <w:t>日下午</w:t>
      </w:r>
      <w:r>
        <w:rPr>
          <w:rFonts w:eastAsia="微软雅黑"/>
          <w:color w:val="191919"/>
          <w:kern w:val="0"/>
          <w:sz w:val="24"/>
          <w:shd w:val="clear" w:color="auto" w:fill="FFFFFF"/>
        </w:rPr>
        <w:t>14:30</w:t>
      </w:r>
      <w:r>
        <w:rPr>
          <w:rFonts w:hint="eastAsia" w:ascii="宋体" w:hAnsi="宋体" w:cs="宋体"/>
          <w:color w:val="191919"/>
          <w:kern w:val="0"/>
          <w:sz w:val="24"/>
          <w:shd w:val="clear" w:color="auto" w:fill="FFFFFF"/>
        </w:rPr>
        <w:t>，逾期收到或不按照竞争性磋商文件要求密封的响应文件恕不接受。</w:t>
      </w:r>
    </w:p>
    <w:p>
      <w:pPr>
        <w:widowControl/>
        <w:spacing w:line="360" w:lineRule="auto"/>
        <w:ind w:firstLine="420"/>
        <w:jc w:val="left"/>
      </w:pPr>
      <w:r>
        <w:rPr>
          <w:rFonts w:hint="eastAsia" w:ascii="宋体" w:hAnsi="宋体" w:cs="宋体"/>
          <w:color w:val="191919"/>
          <w:kern w:val="0"/>
          <w:sz w:val="24"/>
          <w:shd w:val="clear" w:color="auto" w:fill="FFFFFF"/>
        </w:rPr>
        <w:t>递交竞争性磋商响应文件地点：南京市玄武区运粮河西路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4</w:t>
      </w:r>
      <w:r>
        <w:rPr>
          <w:rFonts w:hint="eastAsia" w:ascii="宋体" w:hAnsi="宋体" w:cs="宋体"/>
          <w:color w:val="191919"/>
          <w:kern w:val="0"/>
          <w:sz w:val="24"/>
          <w:shd w:val="clear" w:color="auto" w:fill="FFFFFF"/>
        </w:rPr>
        <w:t>楼。</w:t>
      </w:r>
    </w:p>
    <w:p>
      <w:pPr>
        <w:widowControl/>
        <w:spacing w:line="360" w:lineRule="auto"/>
        <w:ind w:firstLine="420"/>
        <w:jc w:val="left"/>
      </w:pPr>
      <w:r>
        <w:rPr>
          <w:rFonts w:hint="eastAsia" w:ascii="宋体" w:hAnsi="宋体" w:cs="宋体"/>
          <w:color w:val="191919"/>
          <w:kern w:val="0"/>
          <w:sz w:val="24"/>
          <w:shd w:val="clear" w:color="auto" w:fill="FFFFFF"/>
        </w:rPr>
        <w:t>响应文件接收人：</w:t>
      </w:r>
      <w:r>
        <w:rPr>
          <w:rFonts w:hint="eastAsia" w:ascii="宋体" w:hAnsi="宋体" w:cs="宋体"/>
          <w:color w:val="191919"/>
          <w:kern w:val="0"/>
          <w:sz w:val="24"/>
        </w:rPr>
        <w:t>秦晋，电话：</w:t>
      </w:r>
      <w:r>
        <w:rPr>
          <w:rFonts w:ascii="宋体" w:hAnsi="宋体" w:cs="宋体"/>
          <w:color w:val="191919"/>
          <w:kern w:val="0"/>
          <w:sz w:val="24"/>
        </w:rPr>
        <w:t>025-86731524。</w:t>
      </w:r>
    </w:p>
    <w:p>
      <w:pPr>
        <w:widowControl/>
        <w:spacing w:line="360" w:lineRule="auto"/>
        <w:ind w:firstLine="420"/>
        <w:jc w:val="left"/>
      </w:pPr>
      <w:r>
        <w:rPr>
          <w:rFonts w:hint="eastAsia" w:ascii="宋体" w:hAnsi="宋体" w:cs="宋体"/>
          <w:color w:val="191919"/>
          <w:kern w:val="0"/>
          <w:sz w:val="24"/>
          <w:shd w:val="clear" w:color="auto" w:fill="FFFFFF"/>
        </w:rPr>
        <w:t>竞争性磋商时间：</w:t>
      </w:r>
      <w:r>
        <w:rPr>
          <w:rFonts w:eastAsia="微软雅黑"/>
          <w:color w:val="191919"/>
          <w:kern w:val="0"/>
          <w:sz w:val="24"/>
          <w:shd w:val="clear" w:color="auto" w:fill="FFFFFF"/>
        </w:rPr>
        <w:t>202</w:t>
      </w:r>
      <w:r>
        <w:rPr>
          <w:rFonts w:hint="eastAsia" w:eastAsia="微软雅黑"/>
          <w:color w:val="191919"/>
          <w:kern w:val="0"/>
          <w:sz w:val="24"/>
          <w:shd w:val="clear" w:color="auto" w:fill="FFFFFF"/>
        </w:rPr>
        <w:t>2</w:t>
      </w:r>
      <w:r>
        <w:rPr>
          <w:rFonts w:hint="eastAsia" w:ascii="宋体" w:hAnsi="宋体" w:cs="宋体"/>
          <w:color w:val="191919"/>
          <w:kern w:val="0"/>
          <w:sz w:val="24"/>
          <w:shd w:val="clear" w:color="auto" w:fill="FFFFFF"/>
        </w:rPr>
        <w:t>年</w:t>
      </w:r>
      <w:r>
        <w:rPr>
          <w:rFonts w:ascii="宋体" w:hAnsi="宋体" w:cs="宋体"/>
          <w:color w:val="191919"/>
          <w:kern w:val="0"/>
          <w:sz w:val="24"/>
          <w:shd w:val="clear" w:color="auto" w:fill="FFFFFF"/>
        </w:rPr>
        <w:t>8</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19</w:t>
      </w:r>
      <w:r>
        <w:rPr>
          <w:rFonts w:hint="eastAsia" w:ascii="宋体" w:hAnsi="宋体" w:cs="宋体"/>
          <w:color w:val="191919"/>
          <w:kern w:val="0"/>
          <w:sz w:val="24"/>
          <w:shd w:val="clear" w:color="auto" w:fill="FFFFFF"/>
        </w:rPr>
        <w:t>日下午</w:t>
      </w:r>
      <w:r>
        <w:rPr>
          <w:rFonts w:eastAsia="微软雅黑"/>
          <w:color w:val="191919"/>
          <w:kern w:val="0"/>
          <w:sz w:val="24"/>
          <w:shd w:val="clear" w:color="auto" w:fill="FFFFFF"/>
        </w:rPr>
        <w:t>14</w:t>
      </w:r>
      <w:r>
        <w:rPr>
          <w:rFonts w:hint="eastAsia" w:ascii="宋体" w:hAnsi="宋体" w:cs="宋体"/>
          <w:color w:val="191919"/>
          <w:kern w:val="0"/>
          <w:sz w:val="24"/>
          <w:shd w:val="clear" w:color="auto" w:fill="FFFFFF"/>
        </w:rPr>
        <w:t>点</w:t>
      </w:r>
      <w:r>
        <w:rPr>
          <w:rFonts w:eastAsia="微软雅黑"/>
          <w:color w:val="191919"/>
          <w:kern w:val="0"/>
          <w:sz w:val="24"/>
          <w:shd w:val="clear" w:color="auto" w:fill="FFFFFF"/>
        </w:rPr>
        <w:t>30</w:t>
      </w:r>
      <w:r>
        <w:rPr>
          <w:rFonts w:hint="eastAsia" w:ascii="宋体" w:hAnsi="宋体" w:cs="宋体"/>
          <w:color w:val="191919"/>
          <w:kern w:val="0"/>
          <w:sz w:val="24"/>
          <w:shd w:val="clear" w:color="auto" w:fill="FFFFFF"/>
        </w:rPr>
        <w:t>分。</w:t>
      </w:r>
    </w:p>
    <w:p>
      <w:pPr>
        <w:widowControl/>
        <w:spacing w:line="360" w:lineRule="auto"/>
        <w:ind w:firstLine="420"/>
        <w:jc w:val="left"/>
      </w:pPr>
      <w:r>
        <w:rPr>
          <w:rFonts w:hint="eastAsia" w:ascii="宋体" w:hAnsi="宋体" w:cs="宋体"/>
          <w:color w:val="191919"/>
          <w:kern w:val="0"/>
          <w:sz w:val="24"/>
          <w:shd w:val="clear" w:color="auto" w:fill="FFFFFF"/>
        </w:rPr>
        <w:t>竞争性磋商地点：南京市玄武区运粮河西路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4</w:t>
      </w:r>
      <w:r>
        <w:rPr>
          <w:rFonts w:hint="eastAsia" w:ascii="宋体" w:hAnsi="宋体" w:cs="宋体"/>
          <w:color w:val="191919"/>
          <w:kern w:val="0"/>
          <w:sz w:val="24"/>
          <w:shd w:val="clear" w:color="auto" w:fill="FFFFFF"/>
        </w:rPr>
        <w:t>楼会议室。</w:t>
      </w:r>
    </w:p>
    <w:p>
      <w:pPr>
        <w:widowControl/>
        <w:spacing w:line="360" w:lineRule="auto"/>
        <w:jc w:val="left"/>
      </w:pPr>
      <w:r>
        <w:rPr>
          <w:rFonts w:hint="eastAsia" w:ascii="宋体" w:hAnsi="宋体" w:cs="宋体"/>
          <w:b/>
          <w:bCs/>
          <w:color w:val="191919"/>
          <w:kern w:val="0"/>
          <w:sz w:val="24"/>
          <w:shd w:val="clear" w:color="auto" w:fill="FFFFFF"/>
        </w:rPr>
        <w:t>六、发布公告的媒介</w:t>
      </w:r>
    </w:p>
    <w:p>
      <w:pPr>
        <w:widowControl/>
        <w:spacing w:line="360" w:lineRule="auto"/>
        <w:ind w:firstLine="420"/>
        <w:jc w:val="left"/>
      </w:pPr>
      <w:r>
        <w:rPr>
          <w:rFonts w:hint="eastAsia" w:ascii="宋体" w:hAnsi="宋体" w:cs="宋体"/>
          <w:color w:val="191919"/>
          <w:kern w:val="0"/>
          <w:sz w:val="24"/>
          <w:shd w:val="clear" w:color="auto" w:fill="FFFFFF"/>
        </w:rPr>
        <w:t>本次采购事宜相关公告将在江苏省广电有线信息网络股份有限公司网站（网址：</w:t>
      </w:r>
      <w:r>
        <w:rPr>
          <w:rFonts w:eastAsia="微软雅黑"/>
          <w:color w:val="191919"/>
          <w:kern w:val="0"/>
          <w:sz w:val="24"/>
          <w:shd w:val="clear" w:color="auto" w:fill="FFFFFF"/>
        </w:rPr>
        <w:t>http://www.jscnnet.com/zbcg/</w:t>
      </w:r>
      <w:r>
        <w:rPr>
          <w:rFonts w:hint="eastAsia" w:ascii="宋体" w:hAnsi="宋体" w:cs="宋体"/>
          <w:color w:val="191919"/>
          <w:kern w:val="0"/>
          <w:sz w:val="24"/>
          <w:shd w:val="clear" w:color="auto" w:fill="FFFFFF"/>
        </w:rPr>
        <w:t>）“招标采购”栏目发布，其他媒介转载需注明出处。</w:t>
      </w:r>
    </w:p>
    <w:p>
      <w:pPr>
        <w:spacing w:line="360" w:lineRule="auto"/>
        <w:rPr>
          <w:rFonts w:ascii="宋体" w:hAnsi="宋体" w:cs="宋体"/>
          <w:b/>
          <w:kern w:val="0"/>
          <w:sz w:val="24"/>
        </w:rPr>
      </w:pPr>
      <w:r>
        <w:rPr>
          <w:rFonts w:hint="eastAsia" w:ascii="宋体" w:hAnsi="宋体" w:cs="宋体"/>
          <w:b/>
          <w:kern w:val="0"/>
          <w:sz w:val="24"/>
        </w:rPr>
        <w:t>七、其他说明事项</w:t>
      </w:r>
    </w:p>
    <w:p>
      <w:pPr>
        <w:widowControl/>
        <w:spacing w:line="360" w:lineRule="auto"/>
        <w:ind w:firstLine="480" w:firstLineChars="200"/>
        <w:jc w:val="left"/>
        <w:rPr>
          <w:rFonts w:ascii="宋体" w:cs="宋体"/>
          <w:bCs/>
          <w:sz w:val="24"/>
        </w:rPr>
      </w:pPr>
      <w:r>
        <w:rPr>
          <w:rFonts w:hint="eastAsia" w:ascii="宋体" w:cs="宋体"/>
          <w:bCs/>
          <w:sz w:val="24"/>
        </w:rPr>
        <w:t>由于疫情防控要求，本项目在供应商无法到达现场时可采取远程谈判形式（详见</w:t>
      </w:r>
      <w:r>
        <w:rPr>
          <w:rFonts w:hint="eastAsia" w:ascii="宋体" w:hAnsi="宋体" w:cs="宋体"/>
          <w:color w:val="191919"/>
          <w:kern w:val="0"/>
          <w:sz w:val="24"/>
          <w:shd w:val="clear" w:color="auto" w:fill="FFFFFF"/>
        </w:rPr>
        <w:t>竞争性磋商文件第七章</w:t>
      </w:r>
      <w:r>
        <w:rPr>
          <w:rFonts w:hint="eastAsia" w:ascii="宋体" w:cs="宋体"/>
          <w:bCs/>
          <w:sz w:val="24"/>
        </w:rPr>
        <w:t>）。供应商按规定时间先将响应文件盖章扫描件（PDF文档）加密后发至采购人信箱，并在谈判现场告知采购人密码，由采购人现场解密。完成谈判后，供应商须将响应文件及最终承诺的纸质版在谈判完成一周内寄至采购人所在地。如邮寄发出地为中高风险区须事先通过电子邮件告知采购人。联系人：秦晋；联系电话：025-86731524；电子邮箱:jscn_zbzy@163.com，地址：江苏省南京市运粮河西路101号麒麟科技创新园江苏有线三网融合枢纽中心一号楼425采购供应部；响应文件盖章扫描件（PDF文档）发送截止时间为2022年</w:t>
      </w:r>
      <w:r>
        <w:rPr>
          <w:rFonts w:ascii="宋体" w:cs="宋体"/>
          <w:bCs/>
          <w:sz w:val="24"/>
        </w:rPr>
        <w:t>8</w:t>
      </w:r>
      <w:r>
        <w:rPr>
          <w:rFonts w:hint="eastAsia" w:ascii="宋体" w:cs="宋体"/>
          <w:bCs/>
          <w:sz w:val="24"/>
        </w:rPr>
        <w:t>月</w:t>
      </w:r>
      <w:r>
        <w:rPr>
          <w:rFonts w:ascii="宋体" w:cs="宋体"/>
          <w:bCs/>
          <w:sz w:val="24"/>
        </w:rPr>
        <w:t>19</w:t>
      </w:r>
      <w:r>
        <w:rPr>
          <w:rFonts w:hint="eastAsia" w:ascii="宋体" w:cs="宋体"/>
          <w:bCs/>
          <w:sz w:val="24"/>
        </w:rPr>
        <w:t>日下午</w:t>
      </w:r>
      <w:r>
        <w:rPr>
          <w:rFonts w:ascii="宋体" w:cs="宋体"/>
          <w:bCs/>
          <w:sz w:val="24"/>
        </w:rPr>
        <w:t>14</w:t>
      </w:r>
      <w:r>
        <w:rPr>
          <w:rFonts w:hint="eastAsia" w:ascii="宋体" w:cs="宋体"/>
          <w:bCs/>
          <w:sz w:val="24"/>
        </w:rPr>
        <w:t>:</w:t>
      </w:r>
      <w:r>
        <w:rPr>
          <w:rFonts w:ascii="宋体" w:cs="宋体"/>
          <w:bCs/>
          <w:sz w:val="24"/>
        </w:rPr>
        <w:t>0</w:t>
      </w:r>
      <w:r>
        <w:rPr>
          <w:rFonts w:hint="eastAsia" w:ascii="宋体" w:cs="宋体"/>
          <w:bCs/>
          <w:sz w:val="24"/>
        </w:rPr>
        <w:t>0，随后组织单一来源谈判。</w:t>
      </w:r>
    </w:p>
    <w:p>
      <w:pPr>
        <w:widowControl/>
        <w:spacing w:line="360" w:lineRule="auto"/>
        <w:ind w:firstLine="480" w:firstLineChars="200"/>
        <w:jc w:val="left"/>
        <w:rPr>
          <w:rFonts w:ascii="宋体" w:hAnsi="宋体"/>
          <w:sz w:val="24"/>
        </w:rPr>
      </w:pPr>
      <w:r>
        <w:rPr>
          <w:rFonts w:hint="eastAsia" w:ascii="宋体" w:cs="宋体"/>
          <w:bCs/>
          <w:sz w:val="24"/>
        </w:rPr>
        <w:t>有关本次磋商的事项若存在变动或修改，敬请及时关注网上发布的信息更正公告</w:t>
      </w:r>
      <w:bookmarkStart w:id="4" w:name="bookmark1"/>
      <w:bookmarkEnd w:id="4"/>
      <w:r>
        <w:rPr>
          <w:rFonts w:hint="eastAsia" w:ascii="宋体" w:cs="宋体"/>
          <w:bCs/>
          <w:sz w:val="24"/>
        </w:rPr>
        <w:t>。</w:t>
      </w:r>
      <w:bookmarkEnd w:id="2"/>
      <w:r>
        <w:rPr>
          <w:rFonts w:ascii="宋体" w:hAnsi="宋体"/>
          <w:sz w:val="24"/>
        </w:rPr>
        <w:br w:type="page"/>
      </w:r>
    </w:p>
    <w:p>
      <w:pPr>
        <w:pStyle w:val="4"/>
        <w:numPr>
          <w:ilvl w:val="0"/>
          <w:numId w:val="0"/>
        </w:numPr>
        <w:spacing w:before="0" w:after="0" w:line="360" w:lineRule="auto"/>
        <w:rPr>
          <w:b/>
          <w:sz w:val="36"/>
          <w:szCs w:val="36"/>
        </w:rPr>
      </w:pPr>
      <w:bookmarkStart w:id="5" w:name="_Toc69378616"/>
      <w:bookmarkStart w:id="6" w:name="_Toc226969276"/>
      <w:bookmarkStart w:id="7" w:name="_Toc227057883"/>
      <w:bookmarkStart w:id="8" w:name="_Toc107822483"/>
      <w:r>
        <w:rPr>
          <w:rFonts w:hint="eastAsia"/>
          <w:b/>
          <w:sz w:val="36"/>
          <w:szCs w:val="36"/>
        </w:rPr>
        <w:t>第二章竞争性磋商</w:t>
      </w:r>
      <w:r>
        <w:rPr>
          <w:b/>
          <w:sz w:val="36"/>
          <w:szCs w:val="36"/>
        </w:rPr>
        <w:t>须知</w:t>
      </w:r>
    </w:p>
    <w:p>
      <w:pPr>
        <w:jc w:val="center"/>
        <w:rPr>
          <w:sz w:val="28"/>
          <w:szCs w:val="28"/>
        </w:rPr>
      </w:pPr>
      <w:r>
        <w:rPr>
          <w:rFonts w:hint="eastAsia"/>
          <w:sz w:val="28"/>
          <w:szCs w:val="28"/>
        </w:rPr>
        <w:t>供应商须知前附表</w:t>
      </w:r>
    </w:p>
    <w:p>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8854" w:type="dxa"/>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03"/>
        <w:gridCol w:w="476"/>
        <w:gridCol w:w="1351"/>
        <w:gridCol w:w="6024"/>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1003" w:type="dxa"/>
            <w:tcBorders>
              <w:top w:val="single" w:color="auto" w:sz="6" w:space="0"/>
            </w:tcBorders>
            <w:vAlign w:val="center"/>
          </w:tcPr>
          <w:p>
            <w:pPr>
              <w:jc w:val="center"/>
              <w:rPr>
                <w:b/>
                <w:sz w:val="24"/>
              </w:rPr>
            </w:pPr>
            <w:r>
              <w:rPr>
                <w:rFonts w:hint="eastAsia"/>
                <w:b/>
                <w:sz w:val="24"/>
              </w:rPr>
              <w:t>序号</w:t>
            </w:r>
          </w:p>
        </w:tc>
        <w:tc>
          <w:tcPr>
            <w:tcW w:w="476" w:type="dxa"/>
            <w:tcBorders>
              <w:top w:val="single" w:color="auto" w:sz="6" w:space="0"/>
            </w:tcBorders>
            <w:vAlign w:val="center"/>
          </w:tcPr>
          <w:p>
            <w:pPr>
              <w:jc w:val="center"/>
              <w:rPr>
                <w:b/>
                <w:sz w:val="24"/>
              </w:rPr>
            </w:pPr>
            <w:r>
              <w:rPr>
                <w:rFonts w:hint="eastAsia"/>
                <w:b/>
                <w:sz w:val="24"/>
              </w:rPr>
              <w:t>条款号</w:t>
            </w:r>
          </w:p>
        </w:tc>
        <w:tc>
          <w:tcPr>
            <w:tcW w:w="1351" w:type="dxa"/>
            <w:tcBorders>
              <w:top w:val="single" w:color="auto" w:sz="6" w:space="0"/>
            </w:tcBorders>
            <w:vAlign w:val="center"/>
          </w:tcPr>
          <w:p>
            <w:pPr>
              <w:jc w:val="center"/>
              <w:rPr>
                <w:b/>
                <w:sz w:val="24"/>
              </w:rPr>
            </w:pPr>
            <w:r>
              <w:rPr>
                <w:rFonts w:hint="eastAsia"/>
                <w:b/>
                <w:sz w:val="24"/>
              </w:rPr>
              <w:t>内容</w:t>
            </w:r>
          </w:p>
        </w:tc>
        <w:tc>
          <w:tcPr>
            <w:tcW w:w="6024" w:type="dxa"/>
            <w:tcBorders>
              <w:top w:val="single" w:color="auto" w:sz="6" w:space="0"/>
            </w:tcBorders>
            <w:vAlign w:val="center"/>
          </w:tcPr>
          <w:p>
            <w:pPr>
              <w:jc w:val="center"/>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1003" w:type="dxa"/>
            <w:vAlign w:val="center"/>
          </w:tcPr>
          <w:p>
            <w:pPr>
              <w:jc w:val="center"/>
              <w:rPr>
                <w:sz w:val="24"/>
              </w:rPr>
            </w:pPr>
            <w:r>
              <w:rPr>
                <w:sz w:val="24"/>
              </w:rPr>
              <w:t>1</w:t>
            </w:r>
          </w:p>
        </w:tc>
        <w:tc>
          <w:tcPr>
            <w:tcW w:w="476" w:type="dxa"/>
            <w:vAlign w:val="center"/>
          </w:tcPr>
          <w:p>
            <w:pPr>
              <w:jc w:val="center"/>
              <w:rPr>
                <w:sz w:val="24"/>
              </w:rPr>
            </w:pPr>
            <w:r>
              <w:rPr>
                <w:sz w:val="24"/>
              </w:rPr>
              <w:t>1.1</w:t>
            </w:r>
          </w:p>
        </w:tc>
        <w:tc>
          <w:tcPr>
            <w:tcW w:w="1351" w:type="dxa"/>
            <w:vAlign w:val="center"/>
          </w:tcPr>
          <w:p>
            <w:pPr>
              <w:jc w:val="center"/>
              <w:rPr>
                <w:sz w:val="24"/>
              </w:rPr>
            </w:pPr>
            <w:r>
              <w:rPr>
                <w:rFonts w:hint="eastAsia"/>
                <w:sz w:val="24"/>
              </w:rPr>
              <w:t>采购人</w:t>
            </w:r>
          </w:p>
        </w:tc>
        <w:tc>
          <w:tcPr>
            <w:tcW w:w="6024" w:type="dxa"/>
            <w:vAlign w:val="center"/>
          </w:tcPr>
          <w:p>
            <w:pPr>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1003" w:type="dxa"/>
            <w:vAlign w:val="center"/>
          </w:tcPr>
          <w:p>
            <w:pPr>
              <w:jc w:val="center"/>
              <w:rPr>
                <w:sz w:val="24"/>
              </w:rPr>
            </w:pPr>
            <w:r>
              <w:rPr>
                <w:sz w:val="24"/>
              </w:rPr>
              <w:t>2</w:t>
            </w:r>
          </w:p>
        </w:tc>
        <w:tc>
          <w:tcPr>
            <w:tcW w:w="476" w:type="dxa"/>
            <w:vAlign w:val="center"/>
          </w:tcPr>
          <w:p>
            <w:pPr>
              <w:jc w:val="center"/>
              <w:rPr>
                <w:sz w:val="24"/>
              </w:rPr>
            </w:pPr>
            <w:r>
              <w:rPr>
                <w:sz w:val="24"/>
              </w:rPr>
              <w:t>1.2</w:t>
            </w:r>
          </w:p>
        </w:tc>
        <w:tc>
          <w:tcPr>
            <w:tcW w:w="1351" w:type="dxa"/>
            <w:vAlign w:val="center"/>
          </w:tcPr>
          <w:p>
            <w:pPr>
              <w:jc w:val="center"/>
              <w:rPr>
                <w:sz w:val="24"/>
              </w:rPr>
            </w:pPr>
            <w:r>
              <w:rPr>
                <w:rFonts w:hint="eastAsia"/>
                <w:sz w:val="24"/>
              </w:rPr>
              <w:t>代理机构</w:t>
            </w:r>
          </w:p>
        </w:tc>
        <w:tc>
          <w:tcPr>
            <w:tcW w:w="6024" w:type="dxa"/>
            <w:vAlign w:val="center"/>
          </w:tcPr>
          <w:p>
            <w:pPr>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1003" w:type="dxa"/>
            <w:vAlign w:val="center"/>
          </w:tcPr>
          <w:p>
            <w:pPr>
              <w:jc w:val="center"/>
              <w:rPr>
                <w:sz w:val="24"/>
              </w:rPr>
            </w:pPr>
            <w:r>
              <w:rPr>
                <w:sz w:val="24"/>
              </w:rPr>
              <w:t>3</w:t>
            </w:r>
          </w:p>
        </w:tc>
        <w:tc>
          <w:tcPr>
            <w:tcW w:w="476" w:type="dxa"/>
            <w:vAlign w:val="center"/>
          </w:tcPr>
          <w:p>
            <w:pPr>
              <w:jc w:val="center"/>
              <w:rPr>
                <w:sz w:val="24"/>
              </w:rPr>
            </w:pPr>
            <w:r>
              <w:rPr>
                <w:sz w:val="24"/>
              </w:rPr>
              <w:t>1.3</w:t>
            </w:r>
          </w:p>
        </w:tc>
        <w:tc>
          <w:tcPr>
            <w:tcW w:w="1351" w:type="dxa"/>
            <w:vAlign w:val="center"/>
          </w:tcPr>
          <w:p>
            <w:pPr>
              <w:jc w:val="center"/>
              <w:rPr>
                <w:sz w:val="24"/>
              </w:rPr>
            </w:pPr>
            <w:r>
              <w:rPr>
                <w:rFonts w:hint="eastAsia"/>
                <w:sz w:val="24"/>
              </w:rPr>
              <w:t>合格的供应商</w:t>
            </w:r>
          </w:p>
        </w:tc>
        <w:tc>
          <w:tcPr>
            <w:tcW w:w="6024" w:type="dxa"/>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1003" w:type="dxa"/>
            <w:vAlign w:val="center"/>
          </w:tcPr>
          <w:p>
            <w:pPr>
              <w:jc w:val="center"/>
              <w:rPr>
                <w:sz w:val="24"/>
              </w:rPr>
            </w:pPr>
            <w:r>
              <w:rPr>
                <w:sz w:val="24"/>
              </w:rPr>
              <w:t>4</w:t>
            </w:r>
          </w:p>
        </w:tc>
        <w:tc>
          <w:tcPr>
            <w:tcW w:w="476" w:type="dxa"/>
            <w:vAlign w:val="center"/>
          </w:tcPr>
          <w:p>
            <w:pPr>
              <w:jc w:val="center"/>
              <w:rPr>
                <w:sz w:val="24"/>
              </w:rPr>
            </w:pPr>
            <w:r>
              <w:rPr>
                <w:sz w:val="24"/>
              </w:rPr>
              <w:t>20.1</w:t>
            </w:r>
          </w:p>
        </w:tc>
        <w:tc>
          <w:tcPr>
            <w:tcW w:w="1351" w:type="dxa"/>
            <w:vAlign w:val="center"/>
          </w:tcPr>
          <w:p>
            <w:pPr>
              <w:jc w:val="center"/>
              <w:rPr>
                <w:sz w:val="24"/>
              </w:rPr>
            </w:pPr>
            <w:r>
              <w:rPr>
                <w:rFonts w:hint="eastAsia"/>
                <w:sz w:val="24"/>
              </w:rPr>
              <w:t>保密</w:t>
            </w:r>
          </w:p>
        </w:tc>
        <w:tc>
          <w:tcPr>
            <w:tcW w:w="6024" w:type="dxa"/>
            <w:vAlign w:val="center"/>
          </w:tcPr>
          <w:p>
            <w:pPr>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1003" w:type="dxa"/>
            <w:vAlign w:val="center"/>
          </w:tcPr>
          <w:p>
            <w:pPr>
              <w:jc w:val="center"/>
              <w:rPr>
                <w:sz w:val="24"/>
              </w:rPr>
            </w:pPr>
            <w:r>
              <w:rPr>
                <w:sz w:val="24"/>
              </w:rPr>
              <w:t>5</w:t>
            </w:r>
          </w:p>
        </w:tc>
        <w:tc>
          <w:tcPr>
            <w:tcW w:w="476" w:type="dxa"/>
            <w:vAlign w:val="center"/>
          </w:tcPr>
          <w:p>
            <w:pPr>
              <w:jc w:val="center"/>
              <w:rPr>
                <w:sz w:val="24"/>
              </w:rPr>
            </w:pPr>
            <w:r>
              <w:rPr>
                <w:sz w:val="24"/>
              </w:rPr>
              <w:t>7.1</w:t>
            </w:r>
          </w:p>
          <w:p>
            <w:pPr>
              <w:jc w:val="center"/>
              <w:rPr>
                <w:sz w:val="24"/>
              </w:rPr>
            </w:pPr>
            <w:r>
              <w:rPr>
                <w:rFonts w:hint="eastAsia"/>
                <w:sz w:val="24"/>
              </w:rPr>
              <w:t>2）</w:t>
            </w:r>
          </w:p>
        </w:tc>
        <w:tc>
          <w:tcPr>
            <w:tcW w:w="1351" w:type="dxa"/>
            <w:vAlign w:val="center"/>
          </w:tcPr>
          <w:p>
            <w:pPr>
              <w:jc w:val="center"/>
              <w:rPr>
                <w:sz w:val="24"/>
              </w:rPr>
            </w:pPr>
            <w:r>
              <w:rPr>
                <w:rFonts w:hint="eastAsia"/>
                <w:sz w:val="24"/>
              </w:rPr>
              <w:t>经第三方审计的财务报表</w:t>
            </w:r>
          </w:p>
        </w:tc>
        <w:tc>
          <w:tcPr>
            <w:tcW w:w="6024" w:type="dxa"/>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1003" w:type="dxa"/>
            <w:vAlign w:val="center"/>
          </w:tcPr>
          <w:p>
            <w:pPr>
              <w:jc w:val="center"/>
              <w:rPr>
                <w:sz w:val="24"/>
              </w:rPr>
            </w:pPr>
            <w:r>
              <w:rPr>
                <w:sz w:val="24"/>
              </w:rPr>
              <w:t>6</w:t>
            </w:r>
          </w:p>
        </w:tc>
        <w:tc>
          <w:tcPr>
            <w:tcW w:w="476" w:type="dxa"/>
            <w:vAlign w:val="center"/>
          </w:tcPr>
          <w:p>
            <w:pPr>
              <w:jc w:val="center"/>
              <w:rPr>
                <w:sz w:val="24"/>
              </w:rPr>
            </w:pPr>
            <w:r>
              <w:rPr>
                <w:sz w:val="24"/>
              </w:rPr>
              <w:t>7.1</w:t>
            </w:r>
          </w:p>
          <w:p>
            <w:pPr>
              <w:jc w:val="center"/>
              <w:rPr>
                <w:sz w:val="24"/>
              </w:rPr>
            </w:pPr>
            <w:r>
              <w:rPr>
                <w:rFonts w:hint="eastAsia"/>
                <w:sz w:val="24"/>
              </w:rPr>
              <w:t>3）</w:t>
            </w:r>
          </w:p>
        </w:tc>
        <w:tc>
          <w:tcPr>
            <w:tcW w:w="1351" w:type="dxa"/>
            <w:vAlign w:val="center"/>
          </w:tcPr>
          <w:p>
            <w:pPr>
              <w:jc w:val="center"/>
              <w:rPr>
                <w:sz w:val="24"/>
              </w:rPr>
            </w:pPr>
            <w:r>
              <w:rPr>
                <w:rFonts w:hint="eastAsia"/>
                <w:sz w:val="24"/>
              </w:rPr>
              <w:t>响应文件的技术部分中必须包括的内容</w:t>
            </w:r>
          </w:p>
        </w:tc>
        <w:tc>
          <w:tcPr>
            <w:tcW w:w="6024" w:type="dxa"/>
          </w:tcPr>
          <w:p>
            <w:pPr>
              <w:rPr>
                <w:sz w:val="24"/>
              </w:rPr>
            </w:pPr>
            <w:r>
              <w:rPr>
                <w:rFonts w:hint="eastAsia"/>
                <w:sz w:val="24"/>
              </w:rPr>
              <w:t>对第五章《技术需求书》的逐项应答，逐项应答必须按照服务偏离表格式，对照竞争性磋商文件需求，依据供应商本身服务，如实逐条说明所提供产品及</w:t>
            </w:r>
            <w:r>
              <w:rPr>
                <w:sz w:val="24"/>
              </w:rPr>
              <w:t>/</w:t>
            </w:r>
            <w:r>
              <w:rPr>
                <w:rFonts w:hint="eastAsia"/>
                <w:sz w:val="24"/>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1003" w:type="dxa"/>
            <w:vAlign w:val="center"/>
          </w:tcPr>
          <w:p>
            <w:pPr>
              <w:jc w:val="center"/>
              <w:rPr>
                <w:sz w:val="24"/>
              </w:rPr>
            </w:pPr>
            <w:r>
              <w:rPr>
                <w:sz w:val="24"/>
              </w:rPr>
              <w:t>7</w:t>
            </w:r>
          </w:p>
        </w:tc>
        <w:tc>
          <w:tcPr>
            <w:tcW w:w="476" w:type="dxa"/>
            <w:vAlign w:val="center"/>
          </w:tcPr>
          <w:p>
            <w:pPr>
              <w:jc w:val="center"/>
              <w:rPr>
                <w:sz w:val="24"/>
              </w:rPr>
            </w:pPr>
            <w:r>
              <w:rPr>
                <w:sz w:val="24"/>
              </w:rPr>
              <w:t>7.1</w:t>
            </w:r>
          </w:p>
          <w:p>
            <w:pPr>
              <w:jc w:val="center"/>
              <w:rPr>
                <w:sz w:val="24"/>
              </w:rPr>
            </w:pPr>
            <w:r>
              <w:rPr>
                <w:rFonts w:hint="eastAsia"/>
                <w:sz w:val="24"/>
              </w:rPr>
              <w:t>6）</w:t>
            </w:r>
          </w:p>
        </w:tc>
        <w:tc>
          <w:tcPr>
            <w:tcW w:w="1351" w:type="dxa"/>
            <w:vAlign w:val="center"/>
          </w:tcPr>
          <w:p>
            <w:pPr>
              <w:jc w:val="center"/>
              <w:rPr>
                <w:sz w:val="24"/>
              </w:rPr>
            </w:pPr>
            <w:r>
              <w:rPr>
                <w:rFonts w:hint="eastAsia"/>
                <w:sz w:val="24"/>
              </w:rPr>
              <w:t>合同文本的提供</w:t>
            </w:r>
          </w:p>
        </w:tc>
        <w:tc>
          <w:tcPr>
            <w:tcW w:w="6024" w:type="dxa"/>
            <w:vAlign w:val="center"/>
          </w:tcPr>
          <w:p>
            <w:pPr>
              <w:rPr>
                <w:sz w:val="24"/>
              </w:rPr>
            </w:pPr>
            <w:r>
              <w:rPr>
                <w:rFonts w:hint="eastAsia"/>
                <w:sz w:val="24"/>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1003" w:type="dxa"/>
            <w:vAlign w:val="center"/>
          </w:tcPr>
          <w:p>
            <w:pPr>
              <w:jc w:val="center"/>
              <w:rPr>
                <w:sz w:val="24"/>
              </w:rPr>
            </w:pPr>
            <w:r>
              <w:rPr>
                <w:sz w:val="24"/>
              </w:rPr>
              <w:t>8</w:t>
            </w:r>
          </w:p>
        </w:tc>
        <w:tc>
          <w:tcPr>
            <w:tcW w:w="476" w:type="dxa"/>
            <w:vAlign w:val="center"/>
          </w:tcPr>
          <w:p>
            <w:pPr>
              <w:jc w:val="center"/>
              <w:rPr>
                <w:sz w:val="24"/>
              </w:rPr>
            </w:pPr>
            <w:r>
              <w:rPr>
                <w:sz w:val="24"/>
              </w:rPr>
              <w:t>8.1</w:t>
            </w:r>
          </w:p>
        </w:tc>
        <w:tc>
          <w:tcPr>
            <w:tcW w:w="1351" w:type="dxa"/>
            <w:vAlign w:val="center"/>
          </w:tcPr>
          <w:p>
            <w:pPr>
              <w:jc w:val="center"/>
              <w:rPr>
                <w:sz w:val="24"/>
              </w:rPr>
            </w:pPr>
            <w:r>
              <w:rPr>
                <w:rFonts w:hint="eastAsia"/>
                <w:sz w:val="24"/>
              </w:rPr>
              <w:t>响应文件的式样和签署</w:t>
            </w:r>
          </w:p>
        </w:tc>
        <w:tc>
          <w:tcPr>
            <w:tcW w:w="6024" w:type="dxa"/>
            <w:vAlign w:val="center"/>
          </w:tcPr>
          <w:p>
            <w:pPr>
              <w:rPr>
                <w:sz w:val="24"/>
              </w:rPr>
            </w:pPr>
            <w:r>
              <w:rPr>
                <w:rFonts w:hint="eastAsia"/>
                <w:sz w:val="24"/>
              </w:rPr>
              <w:t>响应文件一式3份（</w:t>
            </w:r>
            <w:r>
              <w:rPr>
                <w:sz w:val="24"/>
              </w:rPr>
              <w:t>1</w:t>
            </w:r>
            <w:r>
              <w:rPr>
                <w:rFonts w:hint="eastAsia"/>
                <w:sz w:val="24"/>
              </w:rPr>
              <w:t>份正本、2份副本），电子版本一份（电子版文件内容必须可搜索，U盘形式）。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1003" w:type="dxa"/>
            <w:vAlign w:val="center"/>
          </w:tcPr>
          <w:p>
            <w:pPr>
              <w:jc w:val="center"/>
              <w:rPr>
                <w:sz w:val="24"/>
              </w:rPr>
            </w:pPr>
            <w:r>
              <w:rPr>
                <w:sz w:val="24"/>
              </w:rPr>
              <w:t>9</w:t>
            </w:r>
          </w:p>
        </w:tc>
        <w:tc>
          <w:tcPr>
            <w:tcW w:w="476" w:type="dxa"/>
            <w:vAlign w:val="center"/>
          </w:tcPr>
          <w:p>
            <w:pPr>
              <w:jc w:val="center"/>
              <w:rPr>
                <w:sz w:val="24"/>
              </w:rPr>
            </w:pPr>
            <w:r>
              <w:rPr>
                <w:sz w:val="24"/>
              </w:rPr>
              <w:t>9.1</w:t>
            </w:r>
          </w:p>
        </w:tc>
        <w:tc>
          <w:tcPr>
            <w:tcW w:w="1351" w:type="dxa"/>
            <w:vAlign w:val="center"/>
          </w:tcPr>
          <w:p>
            <w:pPr>
              <w:jc w:val="center"/>
              <w:rPr>
                <w:sz w:val="24"/>
              </w:rPr>
            </w:pPr>
            <w:r>
              <w:rPr>
                <w:rFonts w:hint="eastAsia"/>
                <w:sz w:val="24"/>
              </w:rPr>
              <w:t>报价</w:t>
            </w:r>
          </w:p>
        </w:tc>
        <w:tc>
          <w:tcPr>
            <w:tcW w:w="6024" w:type="dxa"/>
            <w:vAlign w:val="center"/>
          </w:tcPr>
          <w:p>
            <w:pPr>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rPr>
                <w:sz w:val="24"/>
              </w:rPr>
            </w:pPr>
            <w:r>
              <w:rPr>
                <w:rFonts w:hint="eastAsia"/>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1003" w:type="dxa"/>
            <w:vAlign w:val="center"/>
          </w:tcPr>
          <w:p>
            <w:pPr>
              <w:jc w:val="center"/>
              <w:rPr>
                <w:sz w:val="24"/>
              </w:rPr>
            </w:pPr>
            <w:r>
              <w:rPr>
                <w:sz w:val="24"/>
              </w:rPr>
              <w:t>10</w:t>
            </w:r>
          </w:p>
        </w:tc>
        <w:tc>
          <w:tcPr>
            <w:tcW w:w="476" w:type="dxa"/>
            <w:vAlign w:val="center"/>
          </w:tcPr>
          <w:p>
            <w:pPr>
              <w:jc w:val="center"/>
              <w:rPr>
                <w:sz w:val="24"/>
              </w:rPr>
            </w:pPr>
          </w:p>
        </w:tc>
        <w:tc>
          <w:tcPr>
            <w:tcW w:w="1351" w:type="dxa"/>
            <w:vAlign w:val="center"/>
          </w:tcPr>
          <w:p>
            <w:pPr>
              <w:jc w:val="center"/>
              <w:rPr>
                <w:sz w:val="24"/>
              </w:rPr>
            </w:pPr>
            <w:r>
              <w:rPr>
                <w:rFonts w:hint="eastAsia"/>
                <w:sz w:val="24"/>
              </w:rPr>
              <w:t>响应文件的盖章或签字</w:t>
            </w:r>
          </w:p>
        </w:tc>
        <w:tc>
          <w:tcPr>
            <w:tcW w:w="6024" w:type="dxa"/>
            <w:vAlign w:val="center"/>
          </w:tcPr>
          <w:p>
            <w:pPr>
              <w:rPr>
                <w:sz w:val="24"/>
              </w:rPr>
            </w:pPr>
            <w:r>
              <w:rPr>
                <w:rFonts w:hint="eastAsia"/>
                <w:sz w:val="24"/>
              </w:rPr>
              <w:t>本条款增加规定：</w:t>
            </w:r>
          </w:p>
          <w:p>
            <w:pPr>
              <w:rPr>
                <w:sz w:val="24"/>
              </w:rPr>
            </w:pPr>
            <w:r>
              <w:rPr>
                <w:rFonts w:hint="eastAsia"/>
                <w:sz w:val="24"/>
              </w:rPr>
              <w:t>（1）竞争性磋商文件第六章“响应文件格式”中有单位名称和法定代表人或其委托代理人签字落款的响应文件必须加盖单位公章。</w:t>
            </w:r>
          </w:p>
          <w:p>
            <w:pPr>
              <w:rPr>
                <w:sz w:val="24"/>
              </w:rPr>
            </w:pPr>
            <w:r>
              <w:rPr>
                <w:rFonts w:hint="eastAsia"/>
                <w:sz w:val="24"/>
              </w:rPr>
              <w:t>（2）除上述文件以外的其他响应文件组成部分必须加盖骑缝章（骑缝章必须覆盖所有响应文件），或由法定代表人或其委托代理人逐页手签。</w:t>
            </w:r>
          </w:p>
          <w:p>
            <w:pPr>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1003" w:type="dxa"/>
            <w:vAlign w:val="center"/>
          </w:tcPr>
          <w:p>
            <w:pPr>
              <w:jc w:val="center"/>
              <w:rPr>
                <w:sz w:val="24"/>
              </w:rPr>
            </w:pPr>
            <w:r>
              <w:rPr>
                <w:sz w:val="24"/>
              </w:rPr>
              <w:t>11</w:t>
            </w:r>
          </w:p>
        </w:tc>
        <w:tc>
          <w:tcPr>
            <w:tcW w:w="476" w:type="dxa"/>
            <w:vAlign w:val="center"/>
          </w:tcPr>
          <w:p>
            <w:pPr>
              <w:jc w:val="center"/>
              <w:rPr>
                <w:sz w:val="24"/>
              </w:rPr>
            </w:pPr>
            <w:r>
              <w:rPr>
                <w:sz w:val="24"/>
              </w:rPr>
              <w:t>10.1</w:t>
            </w:r>
          </w:p>
        </w:tc>
        <w:tc>
          <w:tcPr>
            <w:tcW w:w="1351" w:type="dxa"/>
            <w:vAlign w:val="center"/>
          </w:tcPr>
          <w:p>
            <w:pPr>
              <w:jc w:val="center"/>
              <w:rPr>
                <w:sz w:val="24"/>
              </w:rPr>
            </w:pPr>
            <w:r>
              <w:rPr>
                <w:rFonts w:hint="eastAsia"/>
                <w:sz w:val="24"/>
              </w:rPr>
              <w:t>响应有效期</w:t>
            </w:r>
          </w:p>
        </w:tc>
        <w:tc>
          <w:tcPr>
            <w:tcW w:w="6024" w:type="dxa"/>
            <w:vAlign w:val="center"/>
          </w:tcPr>
          <w:p>
            <w:pPr>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1003" w:type="dxa"/>
            <w:vAlign w:val="center"/>
          </w:tcPr>
          <w:p>
            <w:pPr>
              <w:jc w:val="center"/>
              <w:rPr>
                <w:sz w:val="24"/>
              </w:rPr>
            </w:pPr>
            <w:r>
              <w:rPr>
                <w:sz w:val="24"/>
              </w:rPr>
              <w:t>12</w:t>
            </w:r>
          </w:p>
        </w:tc>
        <w:tc>
          <w:tcPr>
            <w:tcW w:w="476" w:type="dxa"/>
            <w:vAlign w:val="center"/>
          </w:tcPr>
          <w:p>
            <w:pPr>
              <w:jc w:val="center"/>
              <w:rPr>
                <w:sz w:val="24"/>
              </w:rPr>
            </w:pPr>
            <w:r>
              <w:rPr>
                <w:sz w:val="24"/>
              </w:rPr>
              <w:t>12.1</w:t>
            </w:r>
          </w:p>
        </w:tc>
        <w:tc>
          <w:tcPr>
            <w:tcW w:w="1351" w:type="dxa"/>
            <w:vAlign w:val="center"/>
          </w:tcPr>
          <w:p>
            <w:pPr>
              <w:jc w:val="center"/>
              <w:rPr>
                <w:sz w:val="24"/>
              </w:rPr>
            </w:pPr>
            <w:r>
              <w:rPr>
                <w:rFonts w:hint="eastAsia"/>
                <w:sz w:val="24"/>
              </w:rPr>
              <w:t>递交响应文件截止时间</w:t>
            </w:r>
          </w:p>
        </w:tc>
        <w:tc>
          <w:tcPr>
            <w:tcW w:w="6024" w:type="dxa"/>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1003" w:type="dxa"/>
            <w:vAlign w:val="center"/>
          </w:tcPr>
          <w:p>
            <w:pPr>
              <w:jc w:val="center"/>
              <w:rPr>
                <w:sz w:val="24"/>
              </w:rPr>
            </w:pPr>
            <w:r>
              <w:rPr>
                <w:sz w:val="24"/>
              </w:rPr>
              <w:t>13</w:t>
            </w:r>
          </w:p>
        </w:tc>
        <w:tc>
          <w:tcPr>
            <w:tcW w:w="476" w:type="dxa"/>
            <w:vAlign w:val="center"/>
          </w:tcPr>
          <w:p>
            <w:pPr>
              <w:jc w:val="center"/>
              <w:rPr>
                <w:sz w:val="24"/>
              </w:rPr>
            </w:pPr>
            <w:r>
              <w:rPr>
                <w:sz w:val="24"/>
              </w:rPr>
              <w:t>12.1</w:t>
            </w:r>
          </w:p>
        </w:tc>
        <w:tc>
          <w:tcPr>
            <w:tcW w:w="1351" w:type="dxa"/>
            <w:vAlign w:val="center"/>
          </w:tcPr>
          <w:p>
            <w:pPr>
              <w:jc w:val="center"/>
              <w:rPr>
                <w:sz w:val="24"/>
              </w:rPr>
            </w:pPr>
            <w:r>
              <w:rPr>
                <w:rFonts w:hint="eastAsia"/>
                <w:sz w:val="24"/>
              </w:rPr>
              <w:t>递交响应文件地点</w:t>
            </w:r>
          </w:p>
        </w:tc>
        <w:tc>
          <w:tcPr>
            <w:tcW w:w="6024" w:type="dxa"/>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1003" w:type="dxa"/>
            <w:vAlign w:val="center"/>
          </w:tcPr>
          <w:p>
            <w:pPr>
              <w:jc w:val="center"/>
              <w:rPr>
                <w:sz w:val="24"/>
              </w:rPr>
            </w:pPr>
            <w:r>
              <w:rPr>
                <w:sz w:val="24"/>
              </w:rPr>
              <w:t>14</w:t>
            </w:r>
          </w:p>
        </w:tc>
        <w:tc>
          <w:tcPr>
            <w:tcW w:w="476" w:type="dxa"/>
            <w:vAlign w:val="center"/>
          </w:tcPr>
          <w:p>
            <w:pPr>
              <w:jc w:val="center"/>
              <w:rPr>
                <w:sz w:val="24"/>
              </w:rPr>
            </w:pPr>
            <w:r>
              <w:rPr>
                <w:sz w:val="24"/>
              </w:rPr>
              <w:t>17.5</w:t>
            </w:r>
          </w:p>
        </w:tc>
        <w:tc>
          <w:tcPr>
            <w:tcW w:w="1351" w:type="dxa"/>
            <w:vAlign w:val="center"/>
          </w:tcPr>
          <w:p>
            <w:pPr>
              <w:jc w:val="center"/>
              <w:rPr>
                <w:sz w:val="24"/>
              </w:rPr>
            </w:pPr>
            <w:r>
              <w:rPr>
                <w:rFonts w:hint="eastAsia"/>
                <w:sz w:val="24"/>
              </w:rPr>
              <w:t>如发现下列情况之一的，其响应文件将可能被拒绝</w:t>
            </w:r>
          </w:p>
        </w:tc>
        <w:tc>
          <w:tcPr>
            <w:tcW w:w="6024" w:type="dxa"/>
            <w:vAlign w:val="center"/>
          </w:tcPr>
          <w:p>
            <w:pPr>
              <w:rPr>
                <w:sz w:val="24"/>
              </w:rPr>
            </w:pPr>
            <w:r>
              <w:rPr>
                <w:sz w:val="24"/>
              </w:rPr>
              <w:t>1</w:t>
            </w:r>
            <w:r>
              <w:rPr>
                <w:rFonts w:hint="eastAsia"/>
                <w:sz w:val="24"/>
              </w:rPr>
              <w:t>）不满足竞争性磋商文件对合格供应商的基本资质要求的；</w:t>
            </w:r>
          </w:p>
          <w:p>
            <w:pPr>
              <w:rPr>
                <w:sz w:val="24"/>
              </w:rPr>
            </w:pPr>
            <w:r>
              <w:rPr>
                <w:rFonts w:hint="eastAsia"/>
                <w:sz w:val="24"/>
              </w:rPr>
              <w:t>2）供应商在响应文件中提供的服务内容及质量不能实质性满足竞争性磋商文件要求或不能提供实质性满足证明的；</w:t>
            </w:r>
          </w:p>
          <w:p>
            <w:pPr>
              <w:rPr>
                <w:sz w:val="24"/>
              </w:rPr>
            </w:pPr>
            <w:r>
              <w:rPr>
                <w:rFonts w:hint="eastAsia"/>
                <w:sz w:val="24"/>
              </w:rPr>
              <w:t>3）供应商在响应文件中对于第四章《合同格式》有任何负偏离的；</w:t>
            </w:r>
          </w:p>
          <w:p>
            <w:pPr>
              <w:rPr>
                <w:sz w:val="24"/>
              </w:rPr>
            </w:pPr>
            <w:r>
              <w:rPr>
                <w:rFonts w:hint="eastAsia"/>
                <w:sz w:val="24"/>
              </w:rPr>
              <w:t>4）响应函、法人代表授权书不按照第六章《附件》的格式提供的；</w:t>
            </w:r>
          </w:p>
          <w:p>
            <w:pPr>
              <w:rPr>
                <w:sz w:val="24"/>
              </w:rPr>
            </w:pPr>
            <w:r>
              <w:rPr>
                <w:rFonts w:hint="eastAsia"/>
                <w:sz w:val="24"/>
              </w:rPr>
              <w:t>5）资格证明文件不全、失效或不符合竞争性磋商文件要求的；</w:t>
            </w:r>
          </w:p>
          <w:p>
            <w:pPr>
              <w:rPr>
                <w:sz w:val="24"/>
              </w:rPr>
            </w:pPr>
            <w:r>
              <w:rPr>
                <w:rFonts w:hint="eastAsia"/>
                <w:sz w:val="24"/>
              </w:rPr>
              <w:t>6）响应文件无法定代表人签字，或签字人无法定代表人有效授权的；</w:t>
            </w:r>
          </w:p>
          <w:p>
            <w:pPr>
              <w:rPr>
                <w:sz w:val="24"/>
              </w:rPr>
            </w:pPr>
            <w:r>
              <w:rPr>
                <w:rFonts w:hint="eastAsia"/>
                <w:sz w:val="24"/>
              </w:rPr>
              <w:t>8）响应文件或响应有效期不足的；</w:t>
            </w:r>
          </w:p>
          <w:p>
            <w:pPr>
              <w:rPr>
                <w:sz w:val="24"/>
              </w:rPr>
            </w:pPr>
            <w:r>
              <w:rPr>
                <w:rFonts w:hint="eastAsia"/>
                <w:sz w:val="24"/>
              </w:rPr>
              <w:t>8）响应文件中提供虚假或失实资料的；</w:t>
            </w:r>
          </w:p>
          <w:p>
            <w:pPr>
              <w:rPr>
                <w:sz w:val="24"/>
              </w:rPr>
            </w:pPr>
            <w:r>
              <w:rPr>
                <w:rFonts w:hint="eastAsia"/>
                <w:sz w:val="24"/>
              </w:rPr>
              <w:t>9）未按照竞争性磋商文件规定的方式领取竞争性磋商文件并按要求递交响应文件的；</w:t>
            </w:r>
          </w:p>
          <w:p>
            <w:pPr>
              <w:rPr>
                <w:sz w:val="24"/>
              </w:rPr>
            </w:pPr>
            <w:r>
              <w:rPr>
                <w:sz w:val="24"/>
              </w:rPr>
              <w:t>1</w:t>
            </w:r>
            <w:r>
              <w:rPr>
                <w:rFonts w:hint="eastAsia"/>
                <w:sz w:val="24"/>
              </w:rPr>
              <w:t>0）评审委员会认为不能实质上满足竞争性磋商文件其它要求的。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1003" w:type="dxa"/>
            <w:vAlign w:val="center"/>
          </w:tcPr>
          <w:p>
            <w:pPr>
              <w:jc w:val="center"/>
              <w:rPr>
                <w:sz w:val="24"/>
              </w:rPr>
            </w:pPr>
            <w:r>
              <w:rPr>
                <w:sz w:val="24"/>
              </w:rPr>
              <w:t>15</w:t>
            </w:r>
          </w:p>
        </w:tc>
        <w:tc>
          <w:tcPr>
            <w:tcW w:w="476" w:type="dxa"/>
            <w:vAlign w:val="center"/>
          </w:tcPr>
          <w:p>
            <w:pPr>
              <w:jc w:val="center"/>
              <w:rPr>
                <w:sz w:val="24"/>
              </w:rPr>
            </w:pPr>
            <w:r>
              <w:rPr>
                <w:sz w:val="24"/>
              </w:rPr>
              <w:t>19</w:t>
            </w:r>
          </w:p>
        </w:tc>
        <w:tc>
          <w:tcPr>
            <w:tcW w:w="1351" w:type="dxa"/>
            <w:vAlign w:val="center"/>
          </w:tcPr>
          <w:p>
            <w:pPr>
              <w:jc w:val="center"/>
              <w:rPr>
                <w:sz w:val="24"/>
              </w:rPr>
            </w:pPr>
            <w:r>
              <w:rPr>
                <w:rFonts w:hint="eastAsia"/>
                <w:sz w:val="24"/>
              </w:rPr>
              <w:t>评审</w:t>
            </w:r>
          </w:p>
        </w:tc>
        <w:tc>
          <w:tcPr>
            <w:tcW w:w="6024" w:type="dxa"/>
            <w:vAlign w:val="center"/>
          </w:tcPr>
          <w:p>
            <w:pPr>
              <w:rPr>
                <w:sz w:val="24"/>
              </w:rPr>
            </w:pPr>
            <w:r>
              <w:rPr>
                <w:sz w:val="24"/>
              </w:rPr>
              <w:t>1</w:t>
            </w:r>
            <w:r>
              <w:rPr>
                <w:rFonts w:hint="eastAsia"/>
                <w:sz w:val="24"/>
              </w:rPr>
              <w:t>）供应商的法定代表人或其授权代理应按采购人规定的时间到指定的地点，与评审委员会进行磋商并对评审委员会提出的问题作出澄清和答复；</w:t>
            </w:r>
          </w:p>
          <w:p>
            <w:pPr>
              <w:rPr>
                <w:sz w:val="24"/>
              </w:rPr>
            </w:pPr>
            <w:r>
              <w:rPr>
                <w:rFonts w:hint="eastAsia"/>
                <w:sz w:val="24"/>
              </w:rPr>
              <w:t>2）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rPr>
                <w:sz w:val="24"/>
              </w:rPr>
            </w:pPr>
            <w:r>
              <w:rPr>
                <w:rFonts w:hint="eastAsia"/>
                <w:sz w:val="24"/>
              </w:rPr>
              <w:t>3）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pPr>
              <w:rPr>
                <w:sz w:val="24"/>
              </w:rPr>
            </w:pPr>
            <w:r>
              <w:rPr>
                <w:rFonts w:hint="eastAsia"/>
                <w:sz w:val="24"/>
              </w:rPr>
              <w:t>4）评审委员会将对参加磋商且实质上响应竞争性磋商文件要求的各磋商供应商进行评价和比较。评审的依据为磋商供应商递交的竞争性磋商响应文件和磋商后递交的最终报价及承诺。详见第三章《评审办法》。</w:t>
            </w:r>
          </w:p>
          <w:p>
            <w:pPr>
              <w:rPr>
                <w:sz w:val="24"/>
              </w:rPr>
            </w:pPr>
            <w:r>
              <w:rPr>
                <w:sz w:val="24"/>
              </w:rPr>
              <w:t>5</w:t>
            </w:r>
            <w:r>
              <w:rPr>
                <w:rFonts w:hint="eastAsia"/>
                <w:sz w:val="24"/>
              </w:rPr>
              <w:t>）评审委员会就服务、合同内容和供应商报价进行磋商，磋商后将根据综合评估结果，对供应商按综合得分从高到低排序。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1003" w:type="dxa"/>
            <w:vAlign w:val="center"/>
          </w:tcPr>
          <w:p>
            <w:pPr>
              <w:jc w:val="center"/>
              <w:rPr>
                <w:sz w:val="24"/>
              </w:rPr>
            </w:pPr>
            <w:r>
              <w:rPr>
                <w:sz w:val="24"/>
              </w:rPr>
              <w:t>16</w:t>
            </w:r>
          </w:p>
        </w:tc>
        <w:tc>
          <w:tcPr>
            <w:tcW w:w="476" w:type="dxa"/>
            <w:vAlign w:val="center"/>
          </w:tcPr>
          <w:p>
            <w:pPr>
              <w:jc w:val="center"/>
              <w:rPr>
                <w:sz w:val="24"/>
              </w:rPr>
            </w:pPr>
            <w:r>
              <w:rPr>
                <w:sz w:val="24"/>
              </w:rPr>
              <w:t>22.1</w:t>
            </w:r>
          </w:p>
        </w:tc>
        <w:tc>
          <w:tcPr>
            <w:tcW w:w="1351" w:type="dxa"/>
            <w:vAlign w:val="center"/>
          </w:tcPr>
          <w:p>
            <w:pPr>
              <w:jc w:val="center"/>
              <w:rPr>
                <w:sz w:val="24"/>
              </w:rPr>
            </w:pPr>
            <w:r>
              <w:rPr>
                <w:rFonts w:hint="eastAsia"/>
                <w:sz w:val="24"/>
              </w:rPr>
              <w:t>成交</w:t>
            </w:r>
          </w:p>
          <w:p>
            <w:pPr>
              <w:jc w:val="center"/>
              <w:rPr>
                <w:sz w:val="24"/>
              </w:rPr>
            </w:pPr>
            <w:r>
              <w:rPr>
                <w:rFonts w:hint="eastAsia"/>
                <w:sz w:val="24"/>
              </w:rPr>
              <w:t>供应商数量</w:t>
            </w:r>
          </w:p>
        </w:tc>
        <w:tc>
          <w:tcPr>
            <w:tcW w:w="6024" w:type="dxa"/>
            <w:vAlign w:val="center"/>
          </w:tcPr>
          <w:p>
            <w:pPr>
              <w:rPr>
                <w:sz w:val="24"/>
              </w:rPr>
            </w:pPr>
            <w:r>
              <w:rPr>
                <w:rFonts w:hint="eastAsia"/>
                <w:sz w:val="24"/>
              </w:rPr>
              <w:t>1名成交供应商。推荐3名中标候选人。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1003" w:type="dxa"/>
            <w:vAlign w:val="center"/>
          </w:tcPr>
          <w:p>
            <w:pPr>
              <w:jc w:val="center"/>
              <w:rPr>
                <w:sz w:val="24"/>
              </w:rPr>
            </w:pPr>
            <w:r>
              <w:rPr>
                <w:sz w:val="24"/>
              </w:rPr>
              <w:t>17</w:t>
            </w:r>
          </w:p>
        </w:tc>
        <w:tc>
          <w:tcPr>
            <w:tcW w:w="476" w:type="dxa"/>
            <w:vAlign w:val="center"/>
          </w:tcPr>
          <w:p>
            <w:pPr>
              <w:jc w:val="center"/>
              <w:rPr>
                <w:sz w:val="24"/>
              </w:rPr>
            </w:pPr>
            <w:r>
              <w:rPr>
                <w:sz w:val="24"/>
              </w:rPr>
              <w:t>24</w:t>
            </w:r>
          </w:p>
        </w:tc>
        <w:tc>
          <w:tcPr>
            <w:tcW w:w="1351" w:type="dxa"/>
            <w:vAlign w:val="center"/>
          </w:tcPr>
          <w:p>
            <w:pPr>
              <w:jc w:val="center"/>
              <w:rPr>
                <w:sz w:val="24"/>
              </w:rPr>
            </w:pPr>
            <w:r>
              <w:rPr>
                <w:rFonts w:hint="eastAsia"/>
                <w:sz w:val="24"/>
              </w:rPr>
              <w:t>签约</w:t>
            </w:r>
          </w:p>
        </w:tc>
        <w:tc>
          <w:tcPr>
            <w:tcW w:w="6024" w:type="dxa"/>
            <w:vAlign w:val="center"/>
          </w:tcPr>
          <w:p>
            <w:pPr>
              <w:rPr>
                <w:sz w:val="24"/>
              </w:rPr>
            </w:pPr>
            <w:r>
              <w:rPr>
                <w:rFonts w:hint="eastAsia"/>
                <w:sz w:val="24"/>
              </w:rPr>
              <w:t>采购人与本次成交供应商按本竞争性磋商文件第四章合同格式签订合同。</w:t>
            </w:r>
          </w:p>
        </w:tc>
      </w:tr>
    </w:tbl>
    <w:p>
      <w:pPr>
        <w:ind w:firstLine="484" w:firstLineChars="202"/>
        <w:rPr>
          <w:sz w:val="24"/>
        </w:rPr>
      </w:pPr>
    </w:p>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8"/>
          <w:szCs w:val="28"/>
        </w:rPr>
      </w:pPr>
      <w:r>
        <w:rPr>
          <w:rFonts w:hint="eastAsia" w:ascii="宋体" w:hAnsi="宋体"/>
          <w:b/>
          <w:sz w:val="28"/>
          <w:szCs w:val="28"/>
        </w:rPr>
        <w:t>一、说明</w:t>
      </w:r>
    </w:p>
    <w:p>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pPr>
        <w:spacing w:line="360" w:lineRule="auto"/>
        <w:rPr>
          <w:rFonts w:ascii="宋体" w:hAnsi="宋体"/>
          <w:sz w:val="24"/>
        </w:rPr>
      </w:pPr>
      <w:r>
        <w:rPr>
          <w:rFonts w:ascii="宋体" w:hAnsi="宋体"/>
          <w:sz w:val="24"/>
        </w:rPr>
        <w:t>2.</w:t>
      </w:r>
      <w:r>
        <w:rPr>
          <w:rFonts w:hint="eastAsia" w:ascii="宋体" w:hAnsi="宋体"/>
          <w:sz w:val="24"/>
        </w:rPr>
        <w:t>费用</w:t>
      </w:r>
    </w:p>
    <w:p>
      <w:pPr>
        <w:spacing w:line="360" w:lineRule="auto"/>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pPr>
        <w:spacing w:line="360" w:lineRule="auto"/>
        <w:rPr>
          <w:rFonts w:ascii="宋体" w:hAnsi="宋体"/>
          <w:sz w:val="28"/>
          <w:szCs w:val="28"/>
        </w:rPr>
      </w:pPr>
      <w:r>
        <w:rPr>
          <w:rFonts w:hint="eastAsia" w:ascii="宋体" w:hAnsi="宋体"/>
          <w:b/>
          <w:sz w:val="28"/>
          <w:szCs w:val="28"/>
        </w:rPr>
        <w:t>二、竞争性磋商文件</w:t>
      </w:r>
    </w:p>
    <w:p>
      <w:pPr>
        <w:spacing w:line="360" w:lineRule="auto"/>
        <w:rPr>
          <w:rFonts w:ascii="宋体" w:hAnsi="宋体"/>
          <w:sz w:val="24"/>
        </w:rPr>
      </w:pPr>
      <w:r>
        <w:rPr>
          <w:rFonts w:ascii="宋体" w:hAnsi="宋体"/>
          <w:sz w:val="24"/>
        </w:rPr>
        <w:t>3.</w:t>
      </w:r>
      <w:r>
        <w:rPr>
          <w:rFonts w:hint="eastAsia" w:ascii="宋体" w:hAnsi="宋体"/>
          <w:sz w:val="24"/>
        </w:rPr>
        <w:t>竞争性磋商文件构成</w:t>
      </w:r>
    </w:p>
    <w:p>
      <w:pPr>
        <w:spacing w:line="360" w:lineRule="auto"/>
        <w:rPr>
          <w:rFonts w:ascii="宋体" w:hAnsi="宋体"/>
          <w:sz w:val="24"/>
        </w:rPr>
      </w:pPr>
      <w:r>
        <w:rPr>
          <w:rFonts w:ascii="宋体" w:hAnsi="宋体"/>
          <w:sz w:val="24"/>
        </w:rPr>
        <w:t xml:space="preserve">3.1 </w:t>
      </w:r>
      <w:r>
        <w:rPr>
          <w:rFonts w:hint="eastAsia" w:ascii="宋体" w:hAnsi="宋体"/>
          <w:sz w:val="24"/>
        </w:rPr>
        <w:t>竞争性磋商文件共六章，内容如下：</w:t>
      </w:r>
    </w:p>
    <w:p>
      <w:pPr>
        <w:spacing w:line="360" w:lineRule="auto"/>
        <w:rPr>
          <w:rFonts w:ascii="宋体" w:hAnsi="宋体"/>
          <w:sz w:val="24"/>
        </w:rPr>
      </w:pPr>
      <w:r>
        <w:rPr>
          <w:rFonts w:hint="eastAsia" w:ascii="宋体" w:hAnsi="宋体"/>
          <w:sz w:val="24"/>
        </w:rPr>
        <w:t>第一章竞争性磋商</w:t>
      </w:r>
      <w:r>
        <w:rPr>
          <w:rFonts w:ascii="宋体" w:hAnsi="宋体"/>
          <w:sz w:val="24"/>
        </w:rPr>
        <w:t>公告</w:t>
      </w:r>
    </w:p>
    <w:p>
      <w:pPr>
        <w:spacing w:line="360" w:lineRule="auto"/>
        <w:rPr>
          <w:rFonts w:ascii="宋体" w:hAnsi="宋体"/>
          <w:sz w:val="24"/>
        </w:rPr>
      </w:pPr>
      <w:r>
        <w:rPr>
          <w:rFonts w:hint="eastAsia" w:ascii="宋体" w:hAnsi="宋体"/>
          <w:sz w:val="24"/>
        </w:rPr>
        <w:t>第二章竞争性磋商须知</w:t>
      </w:r>
    </w:p>
    <w:p>
      <w:pPr>
        <w:spacing w:line="360" w:lineRule="auto"/>
        <w:rPr>
          <w:rFonts w:ascii="宋体" w:hAnsi="宋体"/>
          <w:sz w:val="24"/>
        </w:rPr>
      </w:pPr>
      <w:r>
        <w:rPr>
          <w:rFonts w:hint="eastAsia" w:ascii="宋体" w:hAnsi="宋体"/>
          <w:sz w:val="24"/>
        </w:rPr>
        <w:t>第三章评审办法</w:t>
      </w:r>
    </w:p>
    <w:p>
      <w:pPr>
        <w:spacing w:line="360" w:lineRule="auto"/>
        <w:rPr>
          <w:rFonts w:ascii="宋体" w:hAnsi="宋体"/>
          <w:sz w:val="24"/>
        </w:rPr>
      </w:pPr>
      <w:r>
        <w:rPr>
          <w:rFonts w:hint="eastAsia" w:ascii="宋体" w:hAnsi="宋体"/>
          <w:sz w:val="24"/>
        </w:rPr>
        <w:t>第四章合同格式</w:t>
      </w:r>
    </w:p>
    <w:p>
      <w:pPr>
        <w:spacing w:line="360" w:lineRule="auto"/>
        <w:rPr>
          <w:rFonts w:ascii="宋体" w:hAnsi="宋体"/>
          <w:sz w:val="24"/>
        </w:rPr>
      </w:pPr>
      <w:r>
        <w:rPr>
          <w:rFonts w:hint="eastAsia" w:ascii="宋体" w:hAnsi="宋体"/>
          <w:sz w:val="24"/>
        </w:rPr>
        <w:t>第五章技术需求书</w:t>
      </w:r>
    </w:p>
    <w:p>
      <w:pPr>
        <w:spacing w:line="360" w:lineRule="auto"/>
        <w:rPr>
          <w:rFonts w:ascii="宋体" w:hAnsi="宋体"/>
          <w:sz w:val="24"/>
        </w:rPr>
      </w:pPr>
      <w:r>
        <w:rPr>
          <w:rFonts w:hint="eastAsia" w:ascii="宋体" w:hAnsi="宋体"/>
          <w:sz w:val="24"/>
        </w:rPr>
        <w:t>第六章竞争性磋商响应文件格式</w:t>
      </w:r>
    </w:p>
    <w:p>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pPr>
        <w:spacing w:line="360" w:lineRule="auto"/>
        <w:rPr>
          <w:rFonts w:ascii="宋体" w:hAnsi="宋体"/>
          <w:sz w:val="24"/>
        </w:rPr>
      </w:pPr>
      <w:r>
        <w:rPr>
          <w:rFonts w:ascii="宋体" w:hAnsi="宋体"/>
          <w:sz w:val="24"/>
        </w:rPr>
        <w:t>4.</w:t>
      </w:r>
      <w:r>
        <w:rPr>
          <w:rFonts w:hint="eastAsia" w:ascii="宋体" w:hAnsi="宋体"/>
          <w:sz w:val="24"/>
        </w:rPr>
        <w:t>竞争性磋商文件的澄清</w:t>
      </w:r>
    </w:p>
    <w:p>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任何要求对竞争性磋商文件进行澄清的供应商，均应按规定的递交响应文件截止期五（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pPr>
        <w:spacing w:line="360" w:lineRule="auto"/>
        <w:rPr>
          <w:rFonts w:ascii="宋体" w:hAnsi="宋体"/>
          <w:sz w:val="24"/>
        </w:rPr>
      </w:pPr>
      <w:r>
        <w:rPr>
          <w:rFonts w:ascii="宋体" w:hAnsi="宋体"/>
          <w:sz w:val="24"/>
        </w:rPr>
        <w:t>5.</w:t>
      </w:r>
      <w:r>
        <w:rPr>
          <w:rFonts w:hint="eastAsia" w:ascii="宋体" w:hAnsi="宋体"/>
          <w:sz w:val="24"/>
        </w:rPr>
        <w:t>竞争性磋商文件的修改</w:t>
      </w:r>
    </w:p>
    <w:p>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为使供应商准备响应文件时有充分时间对竞争性磋商文件的修改部分进行研究，采购人可自行决定是否延长递交响应文件截止时间。</w:t>
      </w:r>
    </w:p>
    <w:p>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）天以前的任何时候，无论出于何种原因，采购人可主动地或在解答供应商提出的澄清问题时对竞争性磋商文件进行修改。</w:t>
      </w:r>
    </w:p>
    <w:p>
      <w:pPr>
        <w:spacing w:line="360" w:lineRule="auto"/>
        <w:rPr>
          <w:rFonts w:ascii="宋体" w:hAnsi="宋体"/>
          <w:sz w:val="24"/>
        </w:rPr>
      </w:pPr>
      <w:r>
        <w:rPr>
          <w:rFonts w:ascii="宋体" w:hAnsi="宋体"/>
          <w:sz w:val="24"/>
        </w:rPr>
        <w:t xml:space="preserve">5.3 </w:t>
      </w:r>
      <w:r>
        <w:rPr>
          <w:rFonts w:hint="eastAsia" w:ascii="宋体" w:hAnsi="宋体"/>
          <w:sz w:val="24"/>
        </w:rPr>
        <w:t>竞争性磋商文件的修改将以书面形式在递交响应文件截止时间（包含延长了的递交响应文件截止时间）五（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）天前通知参与竞争性磋商的供应商，并对其具有约束力。供应商在收到上述通知后，应立即向采购人回函确认已收到上述通知，但是供应商的回函不作为其收到上述通知的唯一证据。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rPr>
      </w:pPr>
      <w:r>
        <w:rPr>
          <w:rFonts w:hint="eastAsia" w:ascii="宋体" w:hAnsi="宋体"/>
          <w:b/>
          <w:sz w:val="28"/>
          <w:szCs w:val="28"/>
        </w:rPr>
        <w:t>三、响应文件的编制</w:t>
      </w:r>
    </w:p>
    <w:p>
      <w:pPr>
        <w:spacing w:line="360" w:lineRule="auto"/>
        <w:rPr>
          <w:rFonts w:ascii="宋体" w:hAnsi="宋体"/>
          <w:sz w:val="24"/>
        </w:rPr>
      </w:pPr>
      <w:r>
        <w:rPr>
          <w:rFonts w:ascii="宋体" w:hAnsi="宋体"/>
          <w:sz w:val="24"/>
        </w:rPr>
        <w:t>6.</w:t>
      </w:r>
      <w:r>
        <w:rPr>
          <w:rFonts w:hint="eastAsia" w:ascii="宋体" w:hAnsi="宋体"/>
          <w:sz w:val="24"/>
        </w:rPr>
        <w:t>响应文件的语言</w:t>
      </w:r>
    </w:p>
    <w:p>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rPr>
      </w:pPr>
      <w:r>
        <w:rPr>
          <w:rFonts w:ascii="宋体" w:hAnsi="宋体"/>
          <w:sz w:val="24"/>
        </w:rPr>
        <w:t>7.</w:t>
      </w:r>
      <w:r>
        <w:rPr>
          <w:rFonts w:hint="eastAsia" w:ascii="宋体" w:hAnsi="宋体"/>
          <w:sz w:val="24"/>
        </w:rPr>
        <w:t>响应文件构成</w:t>
      </w:r>
    </w:p>
    <w:p>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或服务的合格性和符合竞争性磋商文件规定的文件；竞争性磋商文件要求的其它文件；供应商认为其它需提供的文件。</w:t>
      </w:r>
    </w:p>
    <w:p>
      <w:pPr>
        <w:spacing w:line="360" w:lineRule="auto"/>
        <w:rPr>
          <w:rFonts w:ascii="宋体" w:hAnsi="宋体"/>
          <w:sz w:val="24"/>
        </w:rPr>
      </w:pPr>
      <w:r>
        <w:rPr>
          <w:rFonts w:ascii="宋体" w:hAnsi="宋体"/>
          <w:sz w:val="24"/>
        </w:rPr>
        <w:t>1</w:t>
      </w:r>
      <w:r>
        <w:rPr>
          <w:rFonts w:hint="eastAsia" w:ascii="宋体" w:hAnsi="宋体"/>
          <w:sz w:val="24"/>
        </w:rPr>
        <w:t>）响应文件基本文件</w:t>
      </w:r>
    </w:p>
    <w:p>
      <w:pPr>
        <w:spacing w:line="360" w:lineRule="auto"/>
        <w:rPr>
          <w:rFonts w:ascii="宋体" w:hAnsi="宋体"/>
          <w:sz w:val="24"/>
        </w:rPr>
      </w:pPr>
      <w:r>
        <w:rPr>
          <w:rFonts w:hint="eastAsia" w:ascii="宋体" w:hAnsi="宋体"/>
          <w:sz w:val="24"/>
        </w:rPr>
        <w:t>项目方案</w:t>
      </w:r>
    </w:p>
    <w:p>
      <w:pPr>
        <w:spacing w:line="360" w:lineRule="auto"/>
        <w:rPr>
          <w:rFonts w:ascii="宋体" w:hAnsi="宋体"/>
          <w:sz w:val="24"/>
        </w:rPr>
      </w:pPr>
      <w:r>
        <w:rPr>
          <w:rFonts w:hint="eastAsia" w:ascii="宋体" w:hAnsi="宋体"/>
          <w:sz w:val="24"/>
        </w:rPr>
        <w:t>响应函（格式见附件）</w:t>
      </w:r>
    </w:p>
    <w:p>
      <w:pPr>
        <w:spacing w:line="360" w:lineRule="auto"/>
        <w:rPr>
          <w:rFonts w:ascii="宋体" w:hAnsi="宋体"/>
          <w:sz w:val="24"/>
        </w:rPr>
      </w:pPr>
      <w:r>
        <w:rPr>
          <w:rFonts w:hint="eastAsia" w:ascii="宋体" w:hAnsi="宋体"/>
          <w:sz w:val="24"/>
        </w:rPr>
        <w:t>报价表（格式见附件）</w:t>
      </w:r>
    </w:p>
    <w:p>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）供应商提交的证明其合格且中选后有能力履行合同的资格证明文件（详见《竞争性磋商公告》）以及供应商认为需提供的其它文件和证书</w:t>
      </w:r>
    </w:p>
    <w:p>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pPr>
        <w:spacing w:line="360" w:lineRule="auto"/>
        <w:rPr>
          <w:rFonts w:ascii="宋体" w:hAnsi="宋体"/>
          <w:sz w:val="24"/>
        </w:rPr>
      </w:pPr>
      <w:r>
        <w:rPr>
          <w:rFonts w:ascii="宋体" w:hAnsi="宋体"/>
          <w:sz w:val="24"/>
        </w:rPr>
        <w:t>4</w:t>
      </w:r>
      <w:r>
        <w:rPr>
          <w:rFonts w:hint="eastAsia" w:ascii="宋体" w:hAnsi="宋体"/>
          <w:sz w:val="24"/>
        </w:rPr>
        <w:t>）竞争性磋商文件要求的其它内容和文件</w:t>
      </w:r>
    </w:p>
    <w:p>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pPr>
        <w:spacing w:line="360" w:lineRule="auto"/>
        <w:rPr>
          <w:rFonts w:ascii="宋体" w:hAnsi="宋体"/>
          <w:sz w:val="24"/>
        </w:rPr>
      </w:pPr>
      <w:r>
        <w:rPr>
          <w:rFonts w:ascii="宋体" w:hAnsi="宋体"/>
          <w:sz w:val="24"/>
        </w:rPr>
        <w:t>6）合同文本的提供（详见《供应商须知前附表》）</w:t>
      </w:r>
    </w:p>
    <w:p>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3</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2</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如供应商对竞争性磋商文件个别内容不能接受，应在响应文件中另做声明，否则将视为供应商接受竞争性磋商文件全部内容。</w:t>
      </w:r>
    </w:p>
    <w:p>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pPr>
        <w:spacing w:line="360" w:lineRule="auto"/>
        <w:rPr>
          <w:rFonts w:ascii="宋体" w:hAnsi="宋体"/>
          <w:sz w:val="24"/>
        </w:rPr>
      </w:pPr>
      <w:r>
        <w:rPr>
          <w:rFonts w:ascii="宋体" w:hAnsi="宋体"/>
          <w:sz w:val="24"/>
        </w:rPr>
        <w:t>9.</w:t>
      </w:r>
      <w:r>
        <w:rPr>
          <w:rFonts w:hint="eastAsia" w:ascii="宋体" w:hAnsi="宋体"/>
          <w:sz w:val="24"/>
        </w:rPr>
        <w:t>报价</w:t>
      </w:r>
    </w:p>
    <w:p>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报价：人民币报价。供应商应按照竞争性磋商文件要求，在响应文件中报出本项目包含的所有产品和服务的报价（格式见附件）。</w:t>
      </w:r>
    </w:p>
    <w:p>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 w:val="24"/>
        </w:rPr>
      </w:pPr>
      <w:r>
        <w:rPr>
          <w:rFonts w:ascii="宋体" w:hAnsi="宋体"/>
          <w:sz w:val="24"/>
        </w:rPr>
        <w:t>10. 响应有效期（详见《供应商须知前附表》）</w:t>
      </w:r>
    </w:p>
    <w:p>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rPr>
      </w:pPr>
      <w:r>
        <w:rPr>
          <w:rFonts w:hint="eastAsia" w:ascii="宋体" w:hAnsi="宋体"/>
          <w:b/>
          <w:sz w:val="28"/>
          <w:szCs w:val="28"/>
        </w:rPr>
        <w:t>四、响应文件的递交</w:t>
      </w:r>
    </w:p>
    <w:p>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pPr>
        <w:spacing w:line="360" w:lineRule="auto"/>
        <w:rPr>
          <w:rFonts w:ascii="宋体" w:hAnsi="宋体"/>
          <w:sz w:val="24"/>
        </w:rPr>
      </w:pPr>
      <w:r>
        <w:rPr>
          <w:rFonts w:ascii="宋体" w:hAnsi="宋体"/>
          <w:sz w:val="24"/>
        </w:rPr>
        <w:t>11.2</w:t>
      </w:r>
      <w:r>
        <w:rPr>
          <w:rFonts w:hint="eastAsia" w:ascii="宋体" w:hAnsi="宋体"/>
          <w:sz w:val="24"/>
        </w:rPr>
        <w:t>内外层信封均应：</w:t>
      </w:r>
    </w:p>
    <w:p>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采购人收到响应文件的时间不迟于（详见《竞争性磋商公告》）</w:t>
      </w:r>
    </w:p>
    <w:p>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条规定，通过修改竞争性磋商文件自行决定酌情延长递交响应文件截止时间。在此情况下，采购人和供应商受递交响应文件截止时间制约的所有权利和义务均应延长至新的截止期。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rPr>
      </w:pPr>
      <w:r>
        <w:rPr>
          <w:rFonts w:ascii="宋体" w:hAnsi="宋体"/>
          <w:sz w:val="24"/>
        </w:rPr>
        <w:t>13.</w:t>
      </w:r>
      <w:r>
        <w:rPr>
          <w:rFonts w:hint="eastAsia" w:ascii="宋体" w:hAnsi="宋体"/>
          <w:sz w:val="24"/>
        </w:rPr>
        <w:t>迟交的响应文件</w:t>
      </w:r>
    </w:p>
    <w:p>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rPr>
      </w:pPr>
      <w:r>
        <w:rPr>
          <w:rFonts w:hint="eastAsia" w:ascii="宋体" w:hAnsi="宋体"/>
          <w:b/>
          <w:sz w:val="28"/>
          <w:szCs w:val="28"/>
        </w:rPr>
        <w:t>五、评审</w:t>
      </w:r>
    </w:p>
    <w:p>
      <w:pPr>
        <w:spacing w:line="360" w:lineRule="auto"/>
        <w:rPr>
          <w:rFonts w:ascii="宋体" w:hAnsi="宋体"/>
          <w:sz w:val="24"/>
        </w:rPr>
      </w:pPr>
      <w:r>
        <w:rPr>
          <w:rFonts w:ascii="宋体" w:hAnsi="宋体"/>
          <w:sz w:val="24"/>
        </w:rPr>
        <w:t>15.</w:t>
      </w:r>
      <w:r>
        <w:rPr>
          <w:rFonts w:hint="eastAsia" w:ascii="宋体" w:hAnsi="宋体"/>
          <w:sz w:val="24"/>
        </w:rPr>
        <w:t>评审委员会</w:t>
      </w:r>
    </w:p>
    <w:p>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pPr>
        <w:spacing w:line="360" w:lineRule="auto"/>
        <w:rPr>
          <w:rFonts w:ascii="宋体" w:hAnsi="宋体"/>
          <w:sz w:val="24"/>
        </w:rPr>
      </w:pPr>
      <w:r>
        <w:rPr>
          <w:rFonts w:ascii="宋体" w:hAnsi="宋体"/>
          <w:sz w:val="24"/>
        </w:rPr>
        <w:t>16.</w:t>
      </w:r>
      <w:r>
        <w:rPr>
          <w:rFonts w:hint="eastAsia" w:ascii="宋体" w:hAnsi="宋体"/>
          <w:sz w:val="24"/>
        </w:rPr>
        <w:t>响应文件的澄清</w:t>
      </w:r>
    </w:p>
    <w:p>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pPr>
        <w:spacing w:line="360" w:lineRule="auto"/>
        <w:rPr>
          <w:rFonts w:ascii="宋体" w:hAnsi="宋体"/>
          <w:sz w:val="24"/>
        </w:rPr>
      </w:pPr>
      <w:r>
        <w:rPr>
          <w:rFonts w:ascii="宋体" w:hAnsi="宋体"/>
          <w:sz w:val="24"/>
        </w:rPr>
        <w:t>17.</w:t>
      </w:r>
      <w:r>
        <w:rPr>
          <w:rFonts w:hint="eastAsia" w:ascii="宋体" w:hAnsi="宋体"/>
          <w:sz w:val="24"/>
        </w:rPr>
        <w:t>响应文件的初审</w:t>
      </w:r>
    </w:p>
    <w:p>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采购人保留对通过初审的供应商进行进一步磋商或议价的权利。</w:t>
      </w:r>
    </w:p>
    <w:p>
      <w:pPr>
        <w:spacing w:line="360" w:lineRule="auto"/>
        <w:rPr>
          <w:rFonts w:ascii="宋体" w:hAnsi="宋体"/>
          <w:b/>
          <w:sz w:val="28"/>
          <w:szCs w:val="28"/>
        </w:rPr>
      </w:pPr>
      <w:r>
        <w:rPr>
          <w:rFonts w:hint="eastAsia" w:ascii="宋体" w:hAnsi="宋体"/>
          <w:b/>
          <w:sz w:val="28"/>
          <w:szCs w:val="28"/>
        </w:rPr>
        <w:t>六、磋商和成交供应商评审</w:t>
      </w:r>
    </w:p>
    <w:p>
      <w:pPr>
        <w:spacing w:line="360" w:lineRule="auto"/>
        <w:rPr>
          <w:rFonts w:ascii="宋体" w:hAnsi="宋体"/>
          <w:sz w:val="24"/>
        </w:rPr>
      </w:pPr>
      <w:r>
        <w:rPr>
          <w:rFonts w:ascii="宋体" w:hAnsi="宋体"/>
          <w:sz w:val="24"/>
        </w:rPr>
        <w:t>18.磋商</w:t>
      </w:r>
    </w:p>
    <w:p>
      <w:pPr>
        <w:spacing w:line="360" w:lineRule="auto"/>
        <w:rPr>
          <w:rFonts w:ascii="宋体" w:hAnsi="宋体"/>
          <w:sz w:val="24"/>
        </w:rPr>
      </w:pPr>
      <w:r>
        <w:rPr>
          <w:rFonts w:ascii="宋体" w:hAnsi="宋体"/>
          <w:sz w:val="24"/>
        </w:rPr>
        <w:t>18.1</w:t>
      </w:r>
      <w:r>
        <w:rPr>
          <w:rFonts w:hint="eastAsia" w:ascii="宋体" w:hAnsi="宋体"/>
          <w:sz w:val="24"/>
        </w:rPr>
        <w:t>获得磋商资格的供应商应按本须知及磋商通知要求准时参加磋商，并在磋商后按要求提供递交其最终报价和相关承诺，否则将视为在报价有效期内撤回竞争性磋商响应文件，其响应文件将被拒绝。</w:t>
      </w:r>
    </w:p>
    <w:p>
      <w:pPr>
        <w:spacing w:line="360" w:lineRule="auto"/>
        <w:rPr>
          <w:rFonts w:ascii="宋体" w:hAnsi="宋体"/>
          <w:sz w:val="24"/>
        </w:rPr>
      </w:pPr>
      <w:r>
        <w:rPr>
          <w:rFonts w:ascii="宋体" w:hAnsi="宋体"/>
          <w:sz w:val="24"/>
        </w:rPr>
        <w:t>18.2磋商开始时间预计为：递交竞争性磋商响应文件截止时间后当天（包括法定节假日，具体时间以采购人的通知为准），供应商应提前做好磋商准备。</w:t>
      </w:r>
    </w:p>
    <w:p>
      <w:pPr>
        <w:spacing w:line="360" w:lineRule="auto"/>
        <w:rPr>
          <w:rFonts w:ascii="宋体" w:hAnsi="宋体"/>
          <w:sz w:val="24"/>
        </w:rPr>
      </w:pPr>
      <w:r>
        <w:rPr>
          <w:rFonts w:ascii="宋体" w:hAnsi="宋体"/>
          <w:sz w:val="24"/>
        </w:rPr>
        <w:t>18.3进行磋商的各供应商应由其法定代表人或本项目的授权代表作为磋商代表，磋商过程中可有商务、技术及售后服务等人员（总人数不超过5人）共同参加磋商。</w:t>
      </w:r>
    </w:p>
    <w:p>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评审委员会将与获得磋商资格的各供应商分别进行磋商，磋商内容包括但不限于报价、技术、实施及服务等。在磋商中，磋商的任何一方不得透漏与磋商有关的其它供应商的技术资料、价格和其它信息。</w:t>
      </w:r>
    </w:p>
    <w:p>
      <w:pPr>
        <w:spacing w:line="360" w:lineRule="auto"/>
        <w:rPr>
          <w:rFonts w:ascii="宋体" w:hAnsi="宋体"/>
          <w:sz w:val="24"/>
        </w:rPr>
      </w:pPr>
      <w:r>
        <w:rPr>
          <w:rFonts w:ascii="宋体" w:hAnsi="宋体"/>
          <w:sz w:val="24"/>
        </w:rPr>
        <w:t xml:space="preserve">18.5 </w:t>
      </w:r>
      <w:r>
        <w:rPr>
          <w:rFonts w:hint="eastAsia" w:ascii="宋体" w:hAnsi="宋体"/>
          <w:sz w:val="24"/>
        </w:rPr>
        <w:t>磋商后，参加磋商的供应商应当在规定的时间内按评审委员会的要求递交针对本项目的最终报价和相关承诺。最终报价和相关承诺须由法定代表人或本项目的授权代表签字。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供应商应将其最终报价和相关承诺的正本一份密封装在一个信封中，信封上标明“项目名称及编号”、“供应商名称和地址”字样，并在规定的时间内递交至</w:t>
      </w:r>
      <w:r>
        <w:rPr>
          <w:rFonts w:hint="eastAsia" w:ascii="宋体" w:hAnsi="宋体"/>
          <w:color w:val="000000" w:themeColor="text1"/>
          <w:sz w:val="24"/>
          <w14:textFill>
            <w14:solidFill>
              <w14:schemeClr w14:val="tx1"/>
            </w14:solidFill>
          </w14:textFill>
        </w:rPr>
        <w:t>采购</w:t>
      </w:r>
      <w:r>
        <w:rPr>
          <w:rFonts w:hint="eastAsia" w:ascii="宋体" w:hAnsi="宋体"/>
          <w:color w:val="C00000"/>
          <w:sz w:val="24"/>
        </w:rPr>
        <w:t>人</w:t>
      </w:r>
      <w:r>
        <w:rPr>
          <w:rFonts w:hint="eastAsia" w:ascii="宋体" w:hAnsi="宋体"/>
          <w:sz w:val="24"/>
        </w:rPr>
        <w:t>。</w:t>
      </w:r>
    </w:p>
    <w:p>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pPr>
        <w:spacing w:line="360" w:lineRule="auto"/>
        <w:rPr>
          <w:rFonts w:ascii="宋体" w:hAnsi="宋体"/>
          <w:sz w:val="24"/>
        </w:rPr>
      </w:pPr>
      <w:r>
        <w:rPr>
          <w:rFonts w:ascii="宋体" w:hAnsi="宋体"/>
          <w:sz w:val="24"/>
        </w:rPr>
        <w:t>19.成交供应商的评审</w:t>
      </w:r>
    </w:p>
    <w:p>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评审委员会将对参加磋商且实质上响应竞争性磋商文件要求的各供应商进行成交供应商的评价和比价。评审的依据为供应商递交的竞争性磋商响应文件和磋商后递交的磋商报价、最终报价及承诺。</w:t>
      </w:r>
    </w:p>
    <w:p>
      <w:pPr>
        <w:spacing w:line="360" w:lineRule="auto"/>
        <w:rPr>
          <w:rFonts w:ascii="宋体" w:hAnsi="宋体"/>
          <w:sz w:val="24"/>
        </w:rPr>
      </w:pPr>
      <w:r>
        <w:rPr>
          <w:rFonts w:ascii="宋体" w:hAnsi="宋体"/>
          <w:sz w:val="24"/>
        </w:rPr>
        <w:t xml:space="preserve">19.2 </w:t>
      </w:r>
      <w:r>
        <w:rPr>
          <w:rFonts w:hint="eastAsia" w:ascii="宋体" w:hAnsi="宋体"/>
          <w:sz w:val="24"/>
        </w:rPr>
        <w:t>磋商后，评审委员会将对参加磋商的供应商进行综合评审，采用综合评审法并考虑以下因素：</w:t>
      </w:r>
    </w:p>
    <w:p>
      <w:pPr>
        <w:spacing w:line="360" w:lineRule="auto"/>
        <w:rPr>
          <w:rFonts w:ascii="宋体" w:hAnsi="宋体"/>
          <w:sz w:val="24"/>
        </w:rPr>
      </w:pPr>
      <w:r>
        <w:rPr>
          <w:rFonts w:hint="eastAsia" w:ascii="宋体" w:hAnsi="宋体"/>
          <w:sz w:val="24"/>
        </w:rPr>
        <w:t>注：具体评审办法详见第三章评审办法。</w:t>
      </w:r>
    </w:p>
    <w:p>
      <w:pPr>
        <w:spacing w:line="360" w:lineRule="auto"/>
        <w:rPr>
          <w:rFonts w:ascii="宋体" w:hAnsi="宋体"/>
          <w:sz w:val="24"/>
        </w:rPr>
      </w:pPr>
      <w:r>
        <w:rPr>
          <w:rFonts w:ascii="宋体" w:hAnsi="宋体"/>
          <w:sz w:val="24"/>
        </w:rPr>
        <w:t>19.3评审委员会将根据综合评估结果，对参加磋商且实质上响应竞争性磋商文件要求的供应商按综合得分排序向采购人推荐本项目的成交供应商候选人。</w:t>
      </w:r>
    </w:p>
    <w:p>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竞争性磋商响应文件</w:t>
      </w:r>
      <w:r>
        <w:rPr>
          <w:rFonts w:ascii="宋体" w:hAnsi="宋体"/>
          <w:sz w:val="24"/>
        </w:rPr>
        <w:t>应作为无效处理。</w:t>
      </w:r>
    </w:p>
    <w:p>
      <w:pPr>
        <w:spacing w:line="360" w:lineRule="auto"/>
        <w:rPr>
          <w:rFonts w:ascii="宋体" w:hAnsi="宋体"/>
          <w:b/>
          <w:sz w:val="28"/>
          <w:szCs w:val="28"/>
        </w:rPr>
      </w:pPr>
      <w:r>
        <w:rPr>
          <w:rFonts w:hint="eastAsia" w:ascii="宋体" w:hAnsi="宋体"/>
          <w:b/>
          <w:sz w:val="28"/>
          <w:szCs w:val="28"/>
        </w:rPr>
        <w:t>七、保密</w:t>
      </w:r>
    </w:p>
    <w:p>
      <w:pPr>
        <w:spacing w:line="360" w:lineRule="auto"/>
        <w:rPr>
          <w:rFonts w:ascii="宋体" w:hAnsi="宋体"/>
          <w:sz w:val="24"/>
        </w:rPr>
      </w:pPr>
      <w:r>
        <w:rPr>
          <w:rFonts w:ascii="宋体" w:hAnsi="宋体"/>
          <w:sz w:val="24"/>
        </w:rPr>
        <w:t>20.</w:t>
      </w:r>
      <w:r>
        <w:rPr>
          <w:rFonts w:hint="eastAsia" w:ascii="宋体" w:hAnsi="宋体"/>
          <w:sz w:val="24"/>
        </w:rPr>
        <w:t>与采购人的接触</w:t>
      </w:r>
    </w:p>
    <w:p>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17条和第19条规定外，从递交竞争性磋商响应文件之日起至授予合同期间，供应商不得就与其竞争性磋商响应文件有关的事项与采购人接触。</w:t>
      </w:r>
    </w:p>
    <w:p>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pPr>
        <w:spacing w:line="360" w:lineRule="auto"/>
        <w:rPr>
          <w:rFonts w:ascii="宋体" w:hAnsi="宋体"/>
          <w:b/>
          <w:sz w:val="28"/>
          <w:szCs w:val="28"/>
        </w:rPr>
      </w:pPr>
      <w:r>
        <w:rPr>
          <w:rFonts w:hint="eastAsia" w:ascii="宋体" w:hAnsi="宋体"/>
          <w:b/>
          <w:sz w:val="28"/>
          <w:szCs w:val="28"/>
        </w:rPr>
        <w:t>八、合同的签订</w:t>
      </w:r>
    </w:p>
    <w:p>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rPr>
      </w:pPr>
      <w:r>
        <w:rPr>
          <w:rFonts w:ascii="宋体" w:hAnsi="宋体"/>
          <w:sz w:val="24"/>
        </w:rPr>
        <w:t>23.</w:t>
      </w:r>
      <w:r>
        <w:rPr>
          <w:rFonts w:hint="eastAsia" w:ascii="宋体" w:hAnsi="宋体"/>
          <w:sz w:val="24"/>
        </w:rPr>
        <w:t>授予合同通知书</w:t>
      </w:r>
    </w:p>
    <w:p>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pPr>
        <w:spacing w:line="360" w:lineRule="auto"/>
        <w:rPr>
          <w:rFonts w:ascii="宋体" w:hAnsi="宋体"/>
          <w:sz w:val="24"/>
        </w:rPr>
      </w:pPr>
      <w:r>
        <w:rPr>
          <w:rFonts w:ascii="宋体" w:hAnsi="宋体"/>
          <w:sz w:val="24"/>
        </w:rPr>
        <w:t>24.</w:t>
      </w:r>
      <w:r>
        <w:rPr>
          <w:rFonts w:hint="eastAsia" w:ascii="宋体" w:hAnsi="宋体"/>
          <w:sz w:val="24"/>
        </w:rPr>
        <w:t>签订合同</w:t>
      </w:r>
    </w:p>
    <w:p>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pPr>
        <w:widowControl/>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5"/>
      <w:bookmarkEnd w:id="6"/>
      <w:bookmarkEnd w:id="7"/>
      <w:bookmarkEnd w:id="8"/>
      <w:bookmarkStart w:id="9" w:name="_Toc107822520"/>
      <w:bookmarkStart w:id="10" w:name="_Toc227057922"/>
      <w:bookmarkStart w:id="11" w:name="_Toc226969316"/>
      <w:r>
        <w:br w:type="page"/>
      </w:r>
    </w:p>
    <w:bookmarkEnd w:id="9"/>
    <w:bookmarkEnd w:id="10"/>
    <w:bookmarkEnd w:id="11"/>
    <w:p>
      <w:pPr>
        <w:pStyle w:val="4"/>
        <w:numPr>
          <w:ilvl w:val="0"/>
          <w:numId w:val="0"/>
        </w:numPr>
        <w:spacing w:before="0" w:after="0" w:line="360" w:lineRule="auto"/>
        <w:rPr>
          <w:b/>
          <w:sz w:val="36"/>
          <w:szCs w:val="36"/>
        </w:rPr>
      </w:pPr>
      <w:bookmarkStart w:id="12" w:name="_Toc69378617"/>
      <w:bookmarkStart w:id="13" w:name="_Toc226969352"/>
      <w:bookmarkStart w:id="14" w:name="_Toc227057958"/>
      <w:bookmarkStart w:id="15" w:name="_Toc107822556"/>
      <w:r>
        <w:rPr>
          <w:rFonts w:hint="eastAsia"/>
          <w:b/>
          <w:sz w:val="36"/>
          <w:szCs w:val="36"/>
        </w:rPr>
        <w:t>第三章评审办法</w:t>
      </w:r>
      <w:bookmarkEnd w:id="12"/>
    </w:p>
    <w:p>
      <w:pPr>
        <w:spacing w:line="360" w:lineRule="auto"/>
        <w:ind w:firstLine="480" w:firstLineChars="200"/>
        <w:jc w:val="left"/>
        <w:rPr>
          <w:rFonts w:ascii="宋体" w:hAnsi="宋体"/>
          <w:sz w:val="24"/>
        </w:rPr>
      </w:pPr>
      <w:r>
        <w:rPr>
          <w:rFonts w:hint="eastAsia" w:ascii="宋体" w:hAnsi="宋体"/>
          <w:sz w:val="24"/>
        </w:rPr>
        <w:t>供应商</w:t>
      </w:r>
      <w:r>
        <w:rPr>
          <w:rFonts w:ascii="宋体" w:hAnsi="宋体"/>
          <w:sz w:val="24"/>
        </w:rPr>
        <w:t>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pPr>
        <w:spacing w:line="360" w:lineRule="auto"/>
        <w:jc w:val="center"/>
        <w:rPr>
          <w:rFonts w:ascii="黑体" w:hAnsi="黑体" w:eastAsia="黑体"/>
          <w:sz w:val="24"/>
        </w:rPr>
      </w:pPr>
      <w:r>
        <w:rPr>
          <w:rFonts w:ascii="黑体" w:hAnsi="黑体" w:eastAsia="黑体"/>
          <w:sz w:val="24"/>
        </w:rPr>
        <w:t>（满分100分）</w:t>
      </w:r>
    </w:p>
    <w:tbl>
      <w:tblPr>
        <w:tblStyle w:val="5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912"/>
        <w:gridCol w:w="6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szCs w:val="21"/>
              </w:rPr>
            </w:pPr>
            <w:r>
              <w:rPr>
                <w:b/>
                <w:kern w:val="0"/>
                <w:szCs w:val="21"/>
              </w:rPr>
              <w:t>评标项目</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b/>
                <w:bCs/>
                <w:kern w:val="0"/>
                <w:szCs w:val="21"/>
              </w:rPr>
            </w:pPr>
            <w:r>
              <w:rPr>
                <w:b/>
                <w:bCs/>
                <w:kern w:val="0"/>
                <w:szCs w:val="21"/>
              </w:rPr>
              <w:t>分值</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cs="宋体"/>
                <w:b/>
                <w:color w:val="000000"/>
                <w:kern w:val="0"/>
                <w:szCs w:val="21"/>
              </w:rPr>
            </w:pPr>
            <w:r>
              <w:rPr>
                <w:rFonts w:cs="宋体"/>
                <w:b/>
                <w:color w:val="000000"/>
                <w:kern w:val="0"/>
                <w:szCs w:val="21"/>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价格</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50</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A、评审价的计算：</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1、供应商的最终报价如有缺漏项均视为不实质性响应；</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2、不接受选择性报价或者具有附加条件的报价；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3、投标文件中如果申报了非招标文件所要求的服务和产品，评审时不予以折价降低评审价；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4、供应商的报价经勘误后的值作为该供应商的评审价。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B、价格分的计算（保留小数点后2位）</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1、供应商评审价=经评审的该供应商不含税总价。</w:t>
            </w:r>
          </w:p>
          <w:p>
            <w:pPr>
              <w:widowControl/>
              <w:tabs>
                <w:tab w:val="left" w:pos="0"/>
              </w:tabs>
              <w:spacing w:line="360" w:lineRule="auto"/>
              <w:jc w:val="left"/>
              <w:rPr>
                <w:rFonts w:ascii="宋体" w:hAnsi="宋体"/>
                <w:szCs w:val="21"/>
              </w:rPr>
            </w:pPr>
            <w:r>
              <w:rPr>
                <w:rFonts w:hint="eastAsia" w:ascii="宋体" w:hAnsi="宋体"/>
                <w:szCs w:val="21"/>
              </w:rPr>
              <w:t>2、磋商基准价：</w:t>
            </w:r>
            <w:r>
              <w:rPr>
                <w:rFonts w:ascii="宋体" w:hAnsi="宋体"/>
                <w:kern w:val="0"/>
                <w:szCs w:val="21"/>
              </w:rPr>
              <w:t>将满足</w:t>
            </w:r>
            <w:r>
              <w:rPr>
                <w:rFonts w:hint="eastAsia" w:ascii="宋体" w:hAnsi="宋体"/>
                <w:kern w:val="0"/>
                <w:szCs w:val="21"/>
              </w:rPr>
              <w:t>响应文件</w:t>
            </w:r>
            <w:r>
              <w:rPr>
                <w:rFonts w:ascii="宋体" w:hAnsi="宋体"/>
                <w:kern w:val="0"/>
                <w:szCs w:val="21"/>
              </w:rPr>
              <w:t>要求的所有</w:t>
            </w:r>
            <w:r>
              <w:rPr>
                <w:rFonts w:hint="eastAsia" w:ascii="宋体" w:hAnsi="宋体"/>
              </w:rPr>
              <w:t>供应商</w:t>
            </w:r>
            <w:r>
              <w:rPr>
                <w:rFonts w:hint="eastAsia" w:ascii="宋体" w:hAnsi="宋体"/>
                <w:kern w:val="0"/>
                <w:szCs w:val="21"/>
              </w:rPr>
              <w:t>的最低</w:t>
            </w:r>
            <w:r>
              <w:rPr>
                <w:rFonts w:ascii="宋体" w:hAnsi="宋体"/>
                <w:kern w:val="0"/>
                <w:szCs w:val="21"/>
              </w:rPr>
              <w:t>价为评标基准价。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3、计算价格得分：（磋商基准价/供应商报价）×5</w:t>
            </w:r>
            <w:r>
              <w:rPr>
                <w:rFonts w:ascii="宋体" w:hAnsi="宋体"/>
                <w:szCs w:val="21"/>
              </w:rPr>
              <w:t>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综合实力</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3</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根据供应商的企业规模、企业获奖情况、荣誉证书、财务状况（总资产、负债率、利润等）打分。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优良(2，3]分；较好[1，2]分；一般[0，1)分。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产品业绩经验</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10</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根据供应商提供的自201</w:t>
            </w:r>
            <w:r>
              <w:rPr>
                <w:rFonts w:ascii="宋体" w:hAnsi="宋体"/>
                <w:szCs w:val="21"/>
              </w:rPr>
              <w:t>9</w:t>
            </w:r>
            <w:r>
              <w:rPr>
                <w:rFonts w:hint="eastAsia" w:ascii="宋体" w:hAnsi="宋体"/>
                <w:szCs w:val="21"/>
              </w:rPr>
              <w:t>年1月1日以来，作为本项目投标产品的应用案例打分，案例以合同为准。每有一个案例得1分，本项满分10分。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技术需求应答</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15</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根据供应商对招标文件第五章《技术需求书》的偏离情况打分，基本分12分。</w:t>
            </w:r>
          </w:p>
          <w:p>
            <w:r>
              <w:rPr>
                <w:rFonts w:hint="eastAsia" w:ascii="宋体" w:hAnsi="宋体"/>
                <w:szCs w:val="21"/>
              </w:rPr>
              <w:t>关键条款（“</w:t>
            </w:r>
            <w:r>
              <w:rPr>
                <w:rFonts w:ascii="Segoe UI Symbol" w:hAnsi="Segoe UI Symbol" w:cs="Segoe UI Symbol"/>
                <w:szCs w:val="21"/>
              </w:rPr>
              <w:t>★</w:t>
            </w:r>
            <w:r>
              <w:rPr>
                <w:rFonts w:hint="eastAsia" w:ascii="宋体" w:hAnsi="宋体"/>
                <w:szCs w:val="21"/>
              </w:rPr>
              <w:t>”号条款）不满足的否决投标；非关键条款（非“</w:t>
            </w:r>
            <w:r>
              <w:rPr>
                <w:rFonts w:ascii="Segoe UI Symbol" w:hAnsi="Segoe UI Symbol" w:cs="Segoe UI Symbol"/>
                <w:szCs w:val="21"/>
              </w:rPr>
              <w:t>★</w:t>
            </w:r>
            <w:r>
              <w:rPr>
                <w:rFonts w:hint="eastAsia" w:ascii="宋体" w:hAnsi="宋体"/>
                <w:szCs w:val="21"/>
              </w:rPr>
              <w:t>”号条款</w:t>
            </w:r>
            <w:r>
              <w:rPr>
                <w:rFonts w:ascii="宋体" w:hAnsi="宋体"/>
                <w:szCs w:val="21"/>
              </w:rPr>
              <w:t xml:space="preserve"> </w:t>
            </w:r>
            <w:r>
              <w:rPr>
                <w:rFonts w:hint="eastAsia" w:ascii="宋体" w:hAnsi="宋体"/>
                <w:szCs w:val="21"/>
              </w:rPr>
              <w:t>）</w:t>
            </w:r>
            <w:r>
              <w:rPr>
                <w:rFonts w:ascii="宋体" w:hAnsi="宋体"/>
                <w:szCs w:val="21"/>
              </w:rPr>
              <w:t>3</w:t>
            </w:r>
            <w:r>
              <w:rPr>
                <w:rFonts w:hint="eastAsia" w:ascii="宋体" w:hAnsi="宋体"/>
                <w:szCs w:val="21"/>
              </w:rPr>
              <w:t>条及以上不满足的否决投标，有1条非关键条款不满足扣2分，有2条非关键条款不满足扣4分，扣完为止。</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“技术要求”项目中各项参数指标等优于磋商文件要求的，经评委认定有效的，每一项加1分，最高加3分。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rPr>
                <w:rFonts w:ascii="宋体" w:hAnsi="宋体"/>
                <w:szCs w:val="21"/>
              </w:rPr>
            </w:pPr>
            <w:r>
              <w:rPr>
                <w:rFonts w:hint="eastAsia" w:ascii="宋体" w:hAnsi="宋体"/>
                <w:szCs w:val="21"/>
              </w:rPr>
              <w:t>技术方案</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4分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根据供应商提供的技术方案合理性、能力实现等情况进行评分：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技术方案</w:t>
            </w:r>
            <w:r>
              <w:rPr>
                <w:rFonts w:hint="eastAsia"/>
                <w:kern w:val="0"/>
                <w:szCs w:val="21"/>
              </w:rPr>
              <w:t>优良</w:t>
            </w:r>
            <w:r>
              <w:rPr>
                <w:rFonts w:hint="eastAsia" w:ascii="宋体" w:hAnsi="宋体"/>
                <w:szCs w:val="21"/>
              </w:rPr>
              <w:t>(1，2]分；一般[0，1)分。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能力实现</w:t>
            </w:r>
            <w:r>
              <w:rPr>
                <w:rFonts w:hint="eastAsia"/>
                <w:kern w:val="0"/>
                <w:szCs w:val="21"/>
              </w:rPr>
              <w:t>优良</w:t>
            </w:r>
            <w:r>
              <w:rPr>
                <w:rFonts w:hint="eastAsia" w:ascii="宋体" w:hAnsi="宋体"/>
                <w:szCs w:val="21"/>
              </w:rPr>
              <w:t>(1，2]分；一般[0，1)分。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项目实施方案</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6</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根据供应商提供的实施方案、施工进度及质量管理、应急管理方案及人员配备进行评分：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实施方案(施工进度、质量管理及应急管理方案等) 优良(2，3]分；较好[1，2]分；一般[0，1)分。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人员配备(专职项目经理及项目实施团队) 优良(2，3]分；较好[1，2]分；一般[0，1)分。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41" w:type="dxa"/>
            <w:vMerge w:val="restart"/>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服务能力</w:t>
            </w:r>
          </w:p>
        </w:tc>
        <w:tc>
          <w:tcPr>
            <w:tcW w:w="912" w:type="dxa"/>
            <w:vMerge w:val="restart"/>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10</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kern w:val="0"/>
                <w:szCs w:val="21"/>
              </w:rPr>
              <w:t>1、根据供应商的售后服务机构的实力打分：</w:t>
            </w:r>
            <w:r>
              <w:rPr>
                <w:rFonts w:hint="eastAsia" w:ascii="宋体" w:hAnsi="宋体"/>
                <w:szCs w:val="21"/>
              </w:rPr>
              <w:t>优良(</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]分；一般[0，1]；</w:t>
            </w:r>
          </w:p>
          <w:p>
            <w:pPr>
              <w:keepLines/>
              <w:widowControl/>
              <w:tabs>
                <w:tab w:val="left" w:pos="794"/>
                <w:tab w:val="left" w:pos="1191"/>
                <w:tab w:val="left" w:pos="1588"/>
                <w:tab w:val="left" w:pos="1985"/>
              </w:tabs>
              <w:autoSpaceDE w:val="0"/>
              <w:autoSpaceDN w:val="0"/>
              <w:adjustRightInd w:val="0"/>
              <w:jc w:val="left"/>
              <w:rPr>
                <w:kern w:val="0"/>
                <w:szCs w:val="21"/>
              </w:rPr>
            </w:pPr>
            <w:r>
              <w:rPr>
                <w:kern w:val="0"/>
                <w:szCs w:val="21"/>
              </w:rPr>
              <w:t>2</w:t>
            </w:r>
            <w:r>
              <w:rPr>
                <w:rFonts w:hint="eastAsia"/>
                <w:kern w:val="0"/>
                <w:szCs w:val="21"/>
              </w:rPr>
              <w:t>、根据供应商服务响应时间横向比较打分，满分</w:t>
            </w:r>
            <w:r>
              <w:rPr>
                <w:kern w:val="0"/>
                <w:szCs w:val="21"/>
              </w:rPr>
              <w:t>3</w:t>
            </w:r>
            <w:r>
              <w:rPr>
                <w:rFonts w:hint="eastAsia"/>
                <w:kern w:val="0"/>
                <w:szCs w:val="21"/>
              </w:rPr>
              <w:t>分。</w:t>
            </w:r>
          </w:p>
          <w:p>
            <w:pPr>
              <w:keepLines/>
              <w:widowControl/>
              <w:tabs>
                <w:tab w:val="left" w:pos="794"/>
                <w:tab w:val="left" w:pos="1191"/>
                <w:tab w:val="left" w:pos="1588"/>
                <w:tab w:val="left" w:pos="1985"/>
              </w:tabs>
              <w:autoSpaceDE w:val="0"/>
              <w:autoSpaceDN w:val="0"/>
              <w:adjustRightInd w:val="0"/>
              <w:jc w:val="left"/>
              <w:rPr>
                <w:szCs w:val="21"/>
              </w:rPr>
            </w:pPr>
            <w:r>
              <w:rPr>
                <w:rFonts w:hint="eastAsia"/>
                <w:kern w:val="0"/>
                <w:szCs w:val="21"/>
              </w:rPr>
              <w:t>优良</w:t>
            </w:r>
            <w:r>
              <w:rPr>
                <w:kern w:val="0"/>
                <w:szCs w:val="21"/>
              </w:rPr>
              <w:t>(1</w:t>
            </w:r>
            <w:r>
              <w:rPr>
                <w:rFonts w:hint="eastAsia"/>
                <w:kern w:val="0"/>
                <w:szCs w:val="21"/>
              </w:rPr>
              <w:t>，</w:t>
            </w:r>
            <w:r>
              <w:rPr>
                <w:kern w:val="0"/>
                <w:szCs w:val="21"/>
              </w:rPr>
              <w:t>2]分；一般[0，1]；</w:t>
            </w:r>
            <w:r>
              <w:rPr>
                <w:rFonts w:hint="eastAsia"/>
                <w:kern w:val="0"/>
                <w:szCs w:val="21"/>
              </w:rPr>
              <w:t>服务响应时间小于</w:t>
            </w:r>
            <w:r>
              <w:rPr>
                <w:kern w:val="0"/>
                <w:szCs w:val="21"/>
              </w:rPr>
              <w:t>2</w:t>
            </w:r>
            <w:r>
              <w:rPr>
                <w:rFonts w:hint="eastAsia"/>
                <w:kern w:val="0"/>
                <w:szCs w:val="21"/>
              </w:rPr>
              <w:t>小时，加</w:t>
            </w:r>
            <w:r>
              <w:rPr>
                <w:kern w:val="0"/>
                <w:szCs w:val="21"/>
              </w:rPr>
              <w:t>1</w:t>
            </w:r>
            <w:r>
              <w:rPr>
                <w:rFonts w:hint="eastAsia"/>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vMerge w:val="continue"/>
            <w:tcBorders>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912" w:type="dxa"/>
            <w:vMerge w:val="continue"/>
            <w:tcBorders>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6993" w:type="dxa"/>
            <w:tcBorders>
              <w:top w:val="single" w:color="auto" w:sz="4" w:space="0"/>
              <w:left w:val="single" w:color="auto" w:sz="4" w:space="0"/>
              <w:bottom w:val="single" w:color="auto" w:sz="4" w:space="0"/>
              <w:right w:val="single" w:color="auto" w:sz="4" w:space="0"/>
            </w:tcBorders>
            <w:vAlign w:val="center"/>
          </w:tcPr>
          <w:p>
            <w:pPr>
              <w:snapToGrid w:val="0"/>
              <w:rPr>
                <w:kern w:val="0"/>
                <w:szCs w:val="21"/>
              </w:rPr>
            </w:pPr>
            <w:r>
              <w:rPr>
                <w:kern w:val="0"/>
                <w:szCs w:val="21"/>
              </w:rPr>
              <w:t>根据</w:t>
            </w:r>
            <w:r>
              <w:rPr>
                <w:rFonts w:hint="eastAsia"/>
                <w:kern w:val="0"/>
                <w:szCs w:val="21"/>
              </w:rPr>
              <w:t>供应商交货期、备品备件支持、免费包修期限进行</w:t>
            </w:r>
            <w:r>
              <w:rPr>
                <w:kern w:val="0"/>
                <w:szCs w:val="21"/>
              </w:rPr>
              <w:t>比较打分</w:t>
            </w:r>
            <w:r>
              <w:rPr>
                <w:rFonts w:hint="eastAsia"/>
                <w:kern w:val="0"/>
                <w:szCs w:val="21"/>
              </w:rPr>
              <w:t>，满分5分</w:t>
            </w:r>
            <w:r>
              <w:rPr>
                <w:kern w:val="0"/>
                <w:szCs w:val="21"/>
              </w:rPr>
              <w:t>。</w:t>
            </w:r>
          </w:p>
          <w:p>
            <w:pPr>
              <w:keepLines/>
              <w:widowControl/>
              <w:tabs>
                <w:tab w:val="left" w:pos="794"/>
                <w:tab w:val="left" w:pos="1191"/>
                <w:tab w:val="left" w:pos="1588"/>
                <w:tab w:val="left" w:pos="1985"/>
              </w:tabs>
              <w:autoSpaceDE w:val="0"/>
              <w:autoSpaceDN w:val="0"/>
              <w:adjustRightInd w:val="0"/>
              <w:jc w:val="left"/>
              <w:rPr>
                <w:kern w:val="0"/>
                <w:szCs w:val="21"/>
              </w:rPr>
            </w:pPr>
            <w:r>
              <w:rPr>
                <w:rFonts w:hint="eastAsia"/>
                <w:kern w:val="0"/>
                <w:szCs w:val="21"/>
              </w:rPr>
              <w:t>优良</w:t>
            </w:r>
            <w:r>
              <w:rPr>
                <w:kern w:val="0"/>
                <w:szCs w:val="21"/>
              </w:rPr>
              <w:t>(1</w:t>
            </w:r>
            <w:r>
              <w:rPr>
                <w:rFonts w:hint="eastAsia"/>
                <w:kern w:val="0"/>
                <w:szCs w:val="21"/>
              </w:rPr>
              <w:t>，</w:t>
            </w:r>
            <w:r>
              <w:rPr>
                <w:kern w:val="0"/>
                <w:szCs w:val="21"/>
              </w:rPr>
              <w:t>2]分；一般[0，1]；</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kern w:val="0"/>
                <w:szCs w:val="21"/>
              </w:rPr>
              <w:t>免费包修期等于</w:t>
            </w:r>
            <w:r>
              <w:rPr>
                <w:kern w:val="0"/>
                <w:szCs w:val="21"/>
              </w:rPr>
              <w:t>3年不得分，每增加一年得</w:t>
            </w:r>
            <w:r>
              <w:rPr>
                <w:rFonts w:hint="eastAsia"/>
                <w:kern w:val="0"/>
                <w:szCs w:val="21"/>
              </w:rPr>
              <w:t>2</w:t>
            </w:r>
            <w:r>
              <w:rPr>
                <w:kern w:val="0"/>
                <w:szCs w:val="21"/>
              </w:rPr>
              <w:t>分，满分</w:t>
            </w:r>
            <w:r>
              <w:rPr>
                <w:rFonts w:hint="eastAsia"/>
                <w:kern w:val="0"/>
                <w:szCs w:val="21"/>
              </w:rPr>
              <w:t>4</w:t>
            </w:r>
            <w:r>
              <w:rPr>
                <w:kern w:val="0"/>
                <w:szCs w:val="21"/>
              </w:rPr>
              <w:t>分。</w:t>
            </w:r>
          </w:p>
        </w:tc>
      </w:tr>
    </w:tbl>
    <w:p>
      <w:pPr>
        <w:pStyle w:val="4"/>
        <w:numPr>
          <w:ilvl w:val="0"/>
          <w:numId w:val="0"/>
        </w:numPr>
        <w:spacing w:before="0" w:after="0" w:line="360" w:lineRule="auto"/>
        <w:rPr>
          <w:b/>
          <w:color w:val="000000"/>
          <w:sz w:val="36"/>
          <w:szCs w:val="36"/>
        </w:rPr>
      </w:pPr>
      <w:r>
        <w:br w:type="page"/>
      </w:r>
      <w:bookmarkStart w:id="16" w:name="_Toc69378618"/>
      <w:r>
        <w:rPr>
          <w:rFonts w:hint="eastAsia"/>
          <w:b/>
          <w:sz w:val="36"/>
          <w:szCs w:val="36"/>
        </w:rPr>
        <w:t>第四章</w:t>
      </w:r>
      <w:r>
        <w:rPr>
          <w:b/>
          <w:sz w:val="36"/>
          <w:szCs w:val="36"/>
        </w:rPr>
        <w:t>合同格式</w:t>
      </w:r>
      <w:bookmarkEnd w:id="16"/>
    </w:p>
    <w:p>
      <w:pPr>
        <w:widowControl/>
        <w:spacing w:line="360" w:lineRule="auto"/>
        <w:ind w:firstLine="480" w:firstLineChars="200"/>
        <w:jc w:val="left"/>
        <w:rPr>
          <w:sz w:val="24"/>
        </w:rPr>
      </w:pPr>
      <w:r>
        <w:rPr>
          <w:sz w:val="24"/>
        </w:rPr>
        <w:t>除了对</w:t>
      </w:r>
      <w:r>
        <w:rPr>
          <w:rFonts w:hint="eastAsia"/>
          <w:sz w:val="24"/>
        </w:rPr>
        <w:t>磋商</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磋商</w:t>
      </w:r>
      <w:r>
        <w:rPr>
          <w:sz w:val="24"/>
        </w:rPr>
        <w:t>文件第</w:t>
      </w:r>
      <w:r>
        <w:rPr>
          <w:rFonts w:hint="eastAsia"/>
          <w:sz w:val="24"/>
        </w:rPr>
        <w:t>四</w:t>
      </w:r>
      <w:r>
        <w:rPr>
          <w:sz w:val="24"/>
        </w:rPr>
        <w:t>章《合同格式》内容的任何负偏离均将导致废标。</w:t>
      </w:r>
    </w:p>
    <w:p>
      <w:pPr>
        <w:widowControl/>
        <w:spacing w:line="300" w:lineRule="auto"/>
        <w:jc w:val="left"/>
        <w:rPr>
          <w:b/>
          <w:color w:val="000000"/>
        </w:rPr>
      </w:pPr>
      <w:r>
        <w:rPr>
          <w:rFonts w:eastAsia="黑体"/>
          <w:bCs/>
          <w:color w:val="000000"/>
          <w:sz w:val="52"/>
          <w:szCs w:val="52"/>
        </w:rPr>
        <w:br w:type="page"/>
      </w:r>
    </w:p>
    <w:p>
      <w:pPr>
        <w:spacing w:line="300" w:lineRule="auto"/>
        <w:jc w:val="center"/>
        <w:rPr>
          <w:rFonts w:ascii="黑体" w:hAnsi="宋体" w:eastAsia="黑体"/>
          <w:color w:val="000000"/>
          <w:kern w:val="0"/>
        </w:rPr>
      </w:pPr>
      <w:r>
        <w:rPr>
          <w:rFonts w:hint="eastAsia" w:eastAsia="黑体"/>
          <w:color w:val="000000"/>
          <w:sz w:val="37"/>
        </w:rPr>
        <w:t>合同格式</w:t>
      </w:r>
    </w:p>
    <w:p>
      <w:pPr>
        <w:spacing w:line="360" w:lineRule="auto"/>
        <w:ind w:firstLine="422" w:firstLineChars="200"/>
        <w:rPr>
          <w:rFonts w:ascii="宋体" w:hAnsi="宋体"/>
          <w:color w:val="000000"/>
          <w:szCs w:val="21"/>
        </w:rPr>
      </w:pPr>
      <w:r>
        <w:rPr>
          <w:rFonts w:ascii="宋体" w:hAnsi="宋体"/>
          <w:b/>
          <w:color w:val="000000"/>
          <w:szCs w:val="21"/>
          <w:u w:val="single"/>
        </w:rPr>
        <w:t>江苏省广电有线信息网络股份有限公司（以下简称“甲方”）</w:t>
      </w:r>
      <w:r>
        <w:rPr>
          <w:rFonts w:ascii="宋体" w:hAnsi="宋体"/>
          <w:color w:val="000000"/>
          <w:szCs w:val="21"/>
        </w:rPr>
        <w:t>就</w:t>
      </w:r>
      <w:r>
        <w:rPr>
          <w:rFonts w:hint="eastAsia" w:ascii="宋体" w:hAnsi="宋体"/>
          <w:b/>
          <w:color w:val="000000"/>
          <w:szCs w:val="21"/>
          <w:u w:val="single"/>
        </w:rPr>
        <w:t>省市县三级融合播控平台2022系统能力扩容-推流系统集成改造</w:t>
      </w:r>
      <w:r>
        <w:rPr>
          <w:rFonts w:ascii="宋体" w:hAnsi="宋体"/>
          <w:color w:val="000000"/>
          <w:szCs w:val="21"/>
        </w:rPr>
        <w:t>的采购及相关服务组织了</w:t>
      </w:r>
      <w:r>
        <w:rPr>
          <w:rFonts w:hint="eastAsia" w:ascii="宋体" w:hAnsi="宋体"/>
          <w:color w:val="000000"/>
          <w:szCs w:val="21"/>
        </w:rPr>
        <w:t>竞争性磋商</w:t>
      </w:r>
      <w:r>
        <w:rPr>
          <w:rFonts w:ascii="宋体" w:hAnsi="宋体"/>
          <w:color w:val="000000"/>
          <w:szCs w:val="21"/>
        </w:rPr>
        <w:t>，经评委会严格评审，本项目由</w:t>
      </w:r>
      <w:r>
        <w:rPr>
          <w:rFonts w:hint="eastAsia" w:ascii="宋体" w:hAnsi="宋体"/>
          <w:color w:val="000000"/>
          <w:szCs w:val="21"/>
          <w:u w:val="single"/>
        </w:rPr>
        <w:t xml:space="preserve">                          </w:t>
      </w:r>
      <w:r>
        <w:rPr>
          <w:rFonts w:ascii="宋体" w:hAnsi="宋体"/>
          <w:b/>
          <w:color w:val="000000"/>
          <w:szCs w:val="21"/>
          <w:u w:val="single"/>
        </w:rPr>
        <w:t>公司</w:t>
      </w:r>
      <w:r>
        <w:rPr>
          <w:rFonts w:ascii="宋体" w:hAnsi="宋体"/>
          <w:b/>
          <w:color w:val="000000"/>
          <w:szCs w:val="21"/>
        </w:rPr>
        <w:t>（以下简称“乙方”）</w:t>
      </w:r>
      <w:r>
        <w:rPr>
          <w:rFonts w:ascii="宋体" w:hAnsi="宋体"/>
          <w:color w:val="000000"/>
          <w:szCs w:val="21"/>
        </w:rPr>
        <w:t>中标。</w:t>
      </w:r>
    </w:p>
    <w:p>
      <w:pPr>
        <w:spacing w:line="360" w:lineRule="auto"/>
        <w:ind w:firstLine="420" w:firstLineChars="200"/>
        <w:rPr>
          <w:rFonts w:ascii="宋体" w:hAnsi="宋体"/>
          <w:color w:val="000000"/>
          <w:szCs w:val="21"/>
        </w:rPr>
      </w:pPr>
      <w:r>
        <w:rPr>
          <w:rFonts w:hint="eastAsia" w:ascii="宋体" w:hAnsi="宋体"/>
          <w:bCs/>
          <w:color w:val="000000"/>
          <w:szCs w:val="21"/>
        </w:rPr>
        <w:t>甲</w:t>
      </w:r>
      <w:r>
        <w:rPr>
          <w:rFonts w:ascii="宋体" w:hAnsi="宋体"/>
          <w:bCs/>
          <w:color w:val="000000"/>
          <w:szCs w:val="21"/>
        </w:rPr>
        <w:t>、</w:t>
      </w:r>
      <w:r>
        <w:rPr>
          <w:rFonts w:hint="eastAsia" w:ascii="宋体" w:hAnsi="宋体"/>
          <w:bCs/>
          <w:color w:val="000000"/>
          <w:szCs w:val="21"/>
        </w:rPr>
        <w:t>乙</w:t>
      </w:r>
      <w:r>
        <w:rPr>
          <w:rFonts w:ascii="宋体" w:hAnsi="宋体"/>
          <w:bCs/>
          <w:color w:val="000000"/>
          <w:szCs w:val="21"/>
        </w:rPr>
        <w:t>双方根据</w:t>
      </w:r>
      <w:r>
        <w:rPr>
          <w:rFonts w:hint="eastAsia" w:ascii="宋体" w:hAnsi="宋体"/>
          <w:color w:val="000000"/>
          <w:szCs w:val="21"/>
        </w:rPr>
        <w:t>竞争性磋商</w:t>
      </w:r>
      <w:r>
        <w:rPr>
          <w:rFonts w:ascii="宋体" w:hAnsi="宋体"/>
          <w:color w:val="000000"/>
          <w:szCs w:val="21"/>
        </w:rPr>
        <w:t>文件的规定、乙方</w:t>
      </w:r>
      <w:r>
        <w:rPr>
          <w:rFonts w:hint="eastAsia" w:ascii="宋体" w:hAnsi="宋体"/>
          <w:color w:val="000000"/>
          <w:szCs w:val="21"/>
        </w:rPr>
        <w:t>响应</w:t>
      </w:r>
      <w:r>
        <w:rPr>
          <w:rFonts w:ascii="宋体" w:hAnsi="宋体"/>
          <w:color w:val="000000"/>
          <w:szCs w:val="21"/>
        </w:rPr>
        <w:t>文件及</w:t>
      </w:r>
      <w:r>
        <w:rPr>
          <w:rFonts w:hint="eastAsia" w:ascii="宋体" w:hAnsi="宋体"/>
          <w:color w:val="000000"/>
          <w:szCs w:val="21"/>
        </w:rPr>
        <w:t>磋商</w:t>
      </w:r>
      <w:r>
        <w:rPr>
          <w:rFonts w:ascii="宋体" w:hAnsi="宋体"/>
          <w:color w:val="000000"/>
          <w:szCs w:val="21"/>
        </w:rPr>
        <w:t>时乙方做出的书面承诺，依法签订本合同。</w:t>
      </w:r>
    </w:p>
    <w:p>
      <w:pPr>
        <w:pStyle w:val="4"/>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17" w:name="_Toc69378619"/>
      <w:r>
        <w:rPr>
          <w:rFonts w:ascii="宋体" w:hAnsi="宋体" w:eastAsia="宋体" w:cs="宋体"/>
          <w:b/>
          <w:bCs w:val="0"/>
          <w:sz w:val="21"/>
          <w:szCs w:val="21"/>
        </w:rPr>
        <w:t>一、项目标的和内容</w:t>
      </w:r>
      <w:bookmarkEnd w:id="17"/>
    </w:p>
    <w:p>
      <w:pPr>
        <w:spacing w:line="360" w:lineRule="auto"/>
        <w:ind w:firstLine="420" w:firstLineChars="200"/>
        <w:rPr>
          <w:color w:val="000000"/>
          <w:szCs w:val="21"/>
        </w:rPr>
      </w:pPr>
      <w:bookmarkStart w:id="18" w:name="_Toc69378620"/>
      <w:r>
        <w:rPr>
          <w:color w:val="262626"/>
          <w:szCs w:val="21"/>
        </w:rPr>
        <w:t>项目标的内容包括乙方按照甲方具体要求供应</w:t>
      </w:r>
      <w:r>
        <w:rPr>
          <w:rFonts w:hint="eastAsia" w:ascii="Tahoma" w:hAnsi="Tahoma"/>
          <w:color w:val="262626"/>
          <w:sz w:val="24"/>
          <w:u w:val="single"/>
        </w:rPr>
        <w:t>“”</w:t>
      </w:r>
      <w:r>
        <w:rPr>
          <w:color w:val="262626"/>
          <w:szCs w:val="21"/>
        </w:rPr>
        <w:t>相</w:t>
      </w:r>
      <w:r>
        <w:rPr>
          <w:color w:val="000000"/>
          <w:szCs w:val="21"/>
        </w:rPr>
        <w:t>关软</w:t>
      </w:r>
      <w:r>
        <w:rPr>
          <w:rFonts w:hint="eastAsia"/>
          <w:color w:val="000000"/>
          <w:szCs w:val="21"/>
        </w:rPr>
        <w:t>硬</w:t>
      </w:r>
      <w:r>
        <w:rPr>
          <w:color w:val="000000"/>
          <w:szCs w:val="21"/>
        </w:rPr>
        <w:t>件、</w:t>
      </w:r>
      <w:r>
        <w:rPr>
          <w:rFonts w:hint="eastAsia"/>
          <w:color w:val="000000"/>
          <w:szCs w:val="21"/>
        </w:rPr>
        <w:t>授权</w:t>
      </w:r>
      <w:r>
        <w:rPr>
          <w:color w:val="000000"/>
          <w:szCs w:val="21"/>
        </w:rPr>
        <w:t>，并完成所有软、硬件的安装、调试及操作培训工作，同时</w:t>
      </w:r>
      <w:r>
        <w:rPr>
          <w:rFonts w:hint="eastAsia"/>
          <w:color w:val="000000"/>
          <w:szCs w:val="21"/>
        </w:rPr>
        <w:t>乙</w:t>
      </w:r>
      <w:r>
        <w:rPr>
          <w:color w:val="000000"/>
          <w:szCs w:val="21"/>
        </w:rPr>
        <w:t>方承诺配合</w:t>
      </w:r>
      <w:r>
        <w:rPr>
          <w:rFonts w:hint="eastAsia"/>
          <w:color w:val="000000"/>
          <w:szCs w:val="21"/>
        </w:rPr>
        <w:t>甲</w:t>
      </w:r>
      <w:r>
        <w:rPr>
          <w:color w:val="000000"/>
          <w:szCs w:val="21"/>
        </w:rPr>
        <w:t>方及</w:t>
      </w:r>
      <w:r>
        <w:rPr>
          <w:rFonts w:hint="eastAsia"/>
          <w:color w:val="000000"/>
          <w:szCs w:val="21"/>
        </w:rPr>
        <w:t>乙</w:t>
      </w:r>
      <w:r>
        <w:rPr>
          <w:color w:val="000000"/>
          <w:szCs w:val="21"/>
        </w:rPr>
        <w:t>方指定的厂商完成相关的系统集成。具体设备名称、规格型号、配置、数量、价格明细及总价等详见附件一：</w:t>
      </w:r>
      <w:r>
        <w:rPr>
          <w:rFonts w:hint="eastAsia"/>
          <w:color w:val="000000"/>
          <w:szCs w:val="21"/>
        </w:rPr>
        <w:t>价格表</w:t>
      </w:r>
      <w:r>
        <w:rPr>
          <w:color w:val="000000"/>
          <w:szCs w:val="21"/>
        </w:rPr>
        <w:t>。</w:t>
      </w:r>
    </w:p>
    <w:p>
      <w:pPr>
        <w:pStyle w:val="4"/>
        <w:widowControl/>
        <w:numPr>
          <w:ilvl w:val="0"/>
          <w:numId w:val="0"/>
        </w:numPr>
        <w:tabs>
          <w:tab w:val="left" w:pos="25"/>
        </w:tabs>
        <w:spacing w:before="0" w:after="0" w:line="360" w:lineRule="auto"/>
        <w:jc w:val="left"/>
        <w:rPr>
          <w:rFonts w:ascii="宋体" w:hAnsi="宋体" w:eastAsia="宋体" w:cs="宋体"/>
          <w:b/>
          <w:bCs w:val="0"/>
          <w:sz w:val="21"/>
          <w:szCs w:val="21"/>
        </w:rPr>
      </w:pPr>
      <w:r>
        <w:rPr>
          <w:rFonts w:ascii="宋体" w:hAnsi="宋体" w:eastAsia="宋体" w:cs="宋体"/>
          <w:b/>
          <w:bCs w:val="0"/>
          <w:sz w:val="21"/>
          <w:szCs w:val="21"/>
        </w:rPr>
        <w:t>二、合同总价</w:t>
      </w:r>
      <w:bookmarkEnd w:id="18"/>
    </w:p>
    <w:p>
      <w:pPr>
        <w:numPr>
          <w:ilvl w:val="1"/>
          <w:numId w:val="6"/>
        </w:numPr>
        <w:tabs>
          <w:tab w:val="left" w:pos="0"/>
          <w:tab w:val="clear" w:pos="1155"/>
        </w:tabs>
        <w:spacing w:line="360" w:lineRule="auto"/>
        <w:ind w:left="0" w:firstLine="0"/>
        <w:rPr>
          <w:rFonts w:ascii="宋体" w:hAnsi="宋体"/>
          <w:color w:val="000000"/>
          <w:szCs w:val="21"/>
        </w:rPr>
      </w:pPr>
      <w:r>
        <w:rPr>
          <w:rFonts w:ascii="宋体" w:hAnsi="宋体"/>
          <w:color w:val="000000"/>
          <w:szCs w:val="21"/>
        </w:rPr>
        <w:t>合同总价</w:t>
      </w:r>
      <w:r>
        <w:rPr>
          <w:rFonts w:ascii="宋体" w:hAnsi="宋体"/>
          <w:b/>
          <w:color w:val="000000"/>
          <w:szCs w:val="21"/>
        </w:rPr>
        <w:t>（人民币大写）：</w:t>
      </w:r>
      <w:r>
        <w:rPr>
          <w:rFonts w:ascii="宋体" w:hAnsi="宋体"/>
          <w:b/>
          <w:color w:val="000000"/>
          <w:szCs w:val="21"/>
          <w:u w:val="single"/>
        </w:rPr>
        <w:t xml:space="preserve">                </w:t>
      </w:r>
      <w:r>
        <w:rPr>
          <w:rFonts w:ascii="宋体" w:hAnsi="宋体"/>
          <w:color w:val="000000"/>
          <w:szCs w:val="21"/>
        </w:rPr>
        <w:t>。</w:t>
      </w:r>
    </w:p>
    <w:p>
      <w:pPr>
        <w:spacing w:line="360" w:lineRule="auto"/>
        <w:ind w:firstLine="1265" w:firstLineChars="600"/>
        <w:rPr>
          <w:rFonts w:ascii="宋体" w:hAnsi="宋体"/>
          <w:color w:val="000000"/>
          <w:szCs w:val="21"/>
        </w:rPr>
      </w:pPr>
      <w:r>
        <w:rPr>
          <w:rFonts w:ascii="宋体" w:hAnsi="宋体"/>
          <w:b/>
          <w:color w:val="000000"/>
          <w:szCs w:val="21"/>
        </w:rPr>
        <w:t>（人民币小写）：</w:t>
      </w:r>
      <w:r>
        <w:rPr>
          <w:rFonts w:ascii="宋体" w:hAnsi="宋体"/>
          <w:b/>
          <w:color w:val="000000"/>
          <w:szCs w:val="21"/>
          <w:u w:val="single"/>
        </w:rPr>
        <w:t>￥</w:t>
      </w:r>
      <w:r>
        <w:rPr>
          <w:rFonts w:hint="eastAsia" w:ascii="宋体" w:hAnsi="宋体"/>
          <w:b/>
          <w:color w:val="000000"/>
          <w:szCs w:val="21"/>
          <w:u w:val="single"/>
        </w:rPr>
        <w:t xml:space="preserve"> </w:t>
      </w:r>
      <w:r>
        <w:rPr>
          <w:rFonts w:ascii="宋体" w:hAnsi="宋体"/>
          <w:b/>
          <w:color w:val="000000"/>
          <w:szCs w:val="21"/>
          <w:u w:val="single"/>
        </w:rPr>
        <w:t xml:space="preserve">              </w:t>
      </w:r>
      <w:r>
        <w:rPr>
          <w:rFonts w:ascii="宋体" w:hAnsi="宋体"/>
          <w:color w:val="000000"/>
          <w:szCs w:val="21"/>
        </w:rPr>
        <w:t>。</w:t>
      </w:r>
    </w:p>
    <w:p>
      <w:pPr>
        <w:numPr>
          <w:ilvl w:val="1"/>
          <w:numId w:val="6"/>
        </w:numPr>
        <w:tabs>
          <w:tab w:val="left" w:pos="0"/>
          <w:tab w:val="clear" w:pos="1155"/>
        </w:tabs>
        <w:spacing w:line="360" w:lineRule="auto"/>
        <w:ind w:left="0" w:firstLine="0"/>
        <w:rPr>
          <w:szCs w:val="21"/>
        </w:rPr>
      </w:pPr>
      <w:bookmarkStart w:id="19" w:name="_Hlk70610090"/>
      <w:r>
        <w:rPr>
          <w:szCs w:val="21"/>
        </w:rPr>
        <w:t>合同总价系指按本合同的规定，</w:t>
      </w:r>
      <w:r>
        <w:rPr>
          <w:rFonts w:hint="eastAsia"/>
          <w:szCs w:val="21"/>
        </w:rPr>
        <w:t>乙</w:t>
      </w:r>
      <w:r>
        <w:rPr>
          <w:szCs w:val="21"/>
        </w:rPr>
        <w:t>方在完全履行了合同的义务后，</w:t>
      </w:r>
      <w:r>
        <w:rPr>
          <w:rFonts w:hint="eastAsia"/>
          <w:szCs w:val="21"/>
        </w:rPr>
        <w:t>甲</w:t>
      </w:r>
      <w:r>
        <w:rPr>
          <w:szCs w:val="21"/>
        </w:rPr>
        <w:t>方支付给</w:t>
      </w:r>
      <w:r>
        <w:rPr>
          <w:rFonts w:hint="eastAsia"/>
          <w:szCs w:val="21"/>
        </w:rPr>
        <w:t>乙</w:t>
      </w:r>
      <w:r>
        <w:rPr>
          <w:szCs w:val="21"/>
        </w:rPr>
        <w:t>方的总价款，包括但不限于软硬件的采购费、包装费、运输费、保险费、安装调试费、随机提供的备品备件和专用工具费、检测验收费、培训费、售后服务费，以及与所供产品和服务有关的一切税费</w:t>
      </w:r>
      <w:r>
        <w:rPr>
          <w:rFonts w:hint="eastAsia"/>
          <w:szCs w:val="21"/>
        </w:rPr>
        <w:t>，除此之外，</w:t>
      </w:r>
      <w:r>
        <w:rPr>
          <w:color w:val="262626"/>
          <w:szCs w:val="21"/>
        </w:rPr>
        <w:t>甲</w:t>
      </w:r>
      <w:r>
        <w:rPr>
          <w:rFonts w:hint="eastAsia"/>
          <w:szCs w:val="21"/>
        </w:rPr>
        <w:t>方不再以任何名义、任何方式向</w:t>
      </w:r>
      <w:r>
        <w:rPr>
          <w:color w:val="262626"/>
          <w:szCs w:val="21"/>
        </w:rPr>
        <w:t>乙</w:t>
      </w:r>
      <w:r>
        <w:rPr>
          <w:rFonts w:hint="eastAsia"/>
          <w:szCs w:val="21"/>
        </w:rPr>
        <w:t>方支付费用</w:t>
      </w:r>
      <w:r>
        <w:rPr>
          <w:szCs w:val="21"/>
        </w:rPr>
        <w:t>。</w:t>
      </w:r>
    </w:p>
    <w:p>
      <w:pPr>
        <w:numPr>
          <w:ilvl w:val="1"/>
          <w:numId w:val="6"/>
        </w:numPr>
        <w:tabs>
          <w:tab w:val="left" w:pos="0"/>
          <w:tab w:val="clear" w:pos="1155"/>
        </w:tabs>
        <w:spacing w:line="360" w:lineRule="auto"/>
        <w:ind w:left="0" w:firstLine="0"/>
        <w:rPr>
          <w:szCs w:val="21"/>
        </w:rPr>
      </w:pPr>
      <w:r>
        <w:t>当国家法定增值税税率发生变更，甲乙双方约定以含税价格不变作为基准，调整增值税税额</w:t>
      </w:r>
      <w:bookmarkEnd w:id="19"/>
      <w:r>
        <w:rPr>
          <w:rFonts w:hint="eastAsia"/>
        </w:rPr>
        <w:t>。</w:t>
      </w:r>
    </w:p>
    <w:p>
      <w:pPr>
        <w:pStyle w:val="4"/>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三</w:t>
      </w:r>
      <w:r>
        <w:rPr>
          <w:rFonts w:ascii="宋体" w:hAnsi="宋体" w:eastAsia="宋体" w:cs="宋体"/>
          <w:b/>
          <w:bCs w:val="0"/>
          <w:sz w:val="21"/>
          <w:szCs w:val="21"/>
        </w:rPr>
        <w:t>、付款方式及期限</w:t>
      </w:r>
    </w:p>
    <w:p>
      <w:pPr>
        <w:tabs>
          <w:tab w:val="left" w:pos="0"/>
        </w:tabs>
        <w:spacing w:line="360" w:lineRule="auto"/>
        <w:rPr>
          <w:color w:val="000000"/>
          <w:szCs w:val="21"/>
        </w:rPr>
      </w:pPr>
      <w:bookmarkStart w:id="20" w:name="_Toc69378621"/>
      <w:r>
        <w:rPr>
          <w:rFonts w:hint="eastAsia"/>
          <w:szCs w:val="21"/>
        </w:rPr>
        <w:t>1、</w:t>
      </w:r>
      <w:r>
        <w:rPr>
          <w:szCs w:val="21"/>
        </w:rPr>
        <w:t>付款方式：</w:t>
      </w:r>
      <w:r>
        <w:rPr>
          <w:rFonts w:hint="eastAsia" w:ascii="宋体" w:hAnsi="宋体"/>
          <w:szCs w:val="21"/>
        </w:rPr>
        <w:t>合同总价的</w:t>
      </w:r>
      <w:r>
        <w:rPr>
          <w:rFonts w:ascii="宋体" w:hAnsi="宋体"/>
          <w:szCs w:val="21"/>
        </w:rPr>
        <w:t>6</w:t>
      </w:r>
      <w:r>
        <w:rPr>
          <w:rFonts w:hint="eastAsia" w:ascii="宋体" w:hAnsi="宋体"/>
          <w:szCs w:val="21"/>
        </w:rPr>
        <w:t>0%，以半年期银行承兑汇票支付；剩余部分以转账的方式支付卖.</w:t>
      </w:r>
      <w:r>
        <w:rPr>
          <w:szCs w:val="21"/>
        </w:rPr>
        <w:t>禁止将货款划入其他账号或支付现金。如收款方的账号和开户行变更，须及时以书面形式通知付款方，通知上必须同时盖有收款方的</w:t>
      </w:r>
      <w:r>
        <w:rPr>
          <w:rFonts w:hint="eastAsia"/>
          <w:szCs w:val="21"/>
        </w:rPr>
        <w:t>公</w:t>
      </w:r>
      <w:r>
        <w:rPr>
          <w:szCs w:val="21"/>
        </w:rPr>
        <w:t>章</w:t>
      </w:r>
      <w:r>
        <w:rPr>
          <w:rFonts w:hint="eastAsia"/>
          <w:szCs w:val="21"/>
        </w:rPr>
        <w:t>或</w:t>
      </w:r>
      <w:r>
        <w:rPr>
          <w:szCs w:val="21"/>
        </w:rPr>
        <w:t>财务</w:t>
      </w:r>
      <w:r>
        <w:rPr>
          <w:rFonts w:hint="eastAsia"/>
          <w:szCs w:val="21"/>
        </w:rPr>
        <w:t>专用</w:t>
      </w:r>
      <w:r>
        <w:rPr>
          <w:szCs w:val="21"/>
        </w:rPr>
        <w:t>章</w:t>
      </w:r>
      <w:r>
        <w:rPr>
          <w:rFonts w:hint="eastAsia"/>
          <w:szCs w:val="21"/>
        </w:rPr>
        <w:t>。</w:t>
      </w:r>
    </w:p>
    <w:p>
      <w:pPr>
        <w:tabs>
          <w:tab w:val="left" w:pos="0"/>
        </w:tabs>
        <w:spacing w:line="360" w:lineRule="auto"/>
        <w:rPr>
          <w:color w:val="000000"/>
          <w:szCs w:val="21"/>
        </w:rPr>
      </w:pPr>
      <w:r>
        <w:rPr>
          <w:rFonts w:hint="eastAsia"/>
          <w:color w:val="000000"/>
          <w:szCs w:val="21"/>
        </w:rPr>
        <w:t>2、</w:t>
      </w:r>
      <w:r>
        <w:rPr>
          <w:color w:val="000000"/>
          <w:szCs w:val="21"/>
        </w:rPr>
        <w:t>付款期限：</w:t>
      </w:r>
      <w:r>
        <w:rPr>
          <w:rFonts w:hint="eastAsia"/>
          <w:color w:val="000000"/>
          <w:szCs w:val="21"/>
        </w:rPr>
        <w:t>设备到货且初验合格后15天内转账支付合同总额的30%，即人民币</w:t>
      </w:r>
      <w:r>
        <w:rPr>
          <w:color w:val="000000"/>
          <w:szCs w:val="21"/>
          <w:u w:val="single"/>
        </w:rPr>
        <w:t xml:space="preserve">       </w:t>
      </w:r>
      <w:r>
        <w:rPr>
          <w:rFonts w:hint="eastAsia"/>
          <w:color w:val="000000"/>
          <w:szCs w:val="21"/>
        </w:rPr>
        <w:t>；系统通过终验后银行承兑汇票支付合同额的60%，即人民币</w:t>
      </w:r>
      <w:r>
        <w:rPr>
          <w:color w:val="000000"/>
          <w:szCs w:val="21"/>
          <w:u w:val="single"/>
        </w:rPr>
        <w:t xml:space="preserve">       </w:t>
      </w:r>
      <w:r>
        <w:rPr>
          <w:rFonts w:hint="eastAsia"/>
          <w:color w:val="000000"/>
          <w:szCs w:val="21"/>
        </w:rPr>
        <w:t>；10%余款即人民币，作为质量保证金，在终验合格一年后的10个工作日之内支付7%，如乙方此时向甲方开据合同总额3%的银行保函（此保函须在免费包修期结束后到期），甲方在收到银行保函</w:t>
      </w:r>
      <w:r>
        <w:rPr>
          <w:color w:val="000000"/>
          <w:szCs w:val="21"/>
        </w:rPr>
        <w:t>45</w:t>
      </w:r>
      <w:r>
        <w:rPr>
          <w:rFonts w:hint="eastAsia"/>
          <w:color w:val="000000"/>
          <w:szCs w:val="21"/>
        </w:rPr>
        <w:t>日内将尾款结清（即合同总价的10%），否则甲方将在免费保修期结束后的10个工作日之内支付剩余的3%给乙方。如乙方违反本合同第十五条廉洁条款第二点，甲方有权全部扣除合同总额的10%，若此时合同总额已经全部支付或余款不足10%的，甲方有权根据此合同向乙方进一步追诉。</w:t>
      </w:r>
    </w:p>
    <w:p>
      <w:pPr>
        <w:spacing w:line="360" w:lineRule="auto"/>
        <w:rPr>
          <w:color w:val="000000"/>
          <w:szCs w:val="21"/>
        </w:rPr>
      </w:pPr>
      <w:r>
        <w:rPr>
          <w:rFonts w:hint="eastAsia"/>
          <w:color w:val="000000"/>
        </w:rPr>
        <w:t>3、</w:t>
      </w:r>
      <w:r>
        <w:rPr>
          <w:color w:val="000000"/>
        </w:rPr>
        <w:t>质量保证金：质量保证金包含对履约的保证、对质量的保证和廉政的保证。在合同履行过程中，如</w:t>
      </w:r>
      <w:r>
        <w:rPr>
          <w:rFonts w:hint="eastAsia"/>
          <w:color w:val="000000"/>
        </w:rPr>
        <w:t>乙</w:t>
      </w:r>
      <w:r>
        <w:rPr>
          <w:color w:val="000000"/>
        </w:rPr>
        <w:t>方应承担履约保证、质量保证或廉政保证中约定的保证责任，</w:t>
      </w:r>
      <w:r>
        <w:rPr>
          <w:rFonts w:hint="eastAsia"/>
          <w:color w:val="000000"/>
        </w:rPr>
        <w:t>甲</w:t>
      </w:r>
      <w:r>
        <w:rPr>
          <w:color w:val="000000"/>
        </w:rPr>
        <w:t>方有权直接在质量保证金中扣除；扣除后保证金不足的，</w:t>
      </w:r>
      <w:r>
        <w:rPr>
          <w:rFonts w:hint="eastAsia"/>
          <w:color w:val="000000"/>
        </w:rPr>
        <w:t>乙</w:t>
      </w:r>
      <w:r>
        <w:rPr>
          <w:color w:val="000000"/>
        </w:rPr>
        <w:t>方应在五个工作日内补足，或由</w:t>
      </w:r>
      <w:r>
        <w:rPr>
          <w:rFonts w:hint="eastAsia"/>
          <w:color w:val="000000"/>
        </w:rPr>
        <w:t>甲</w:t>
      </w:r>
      <w:r>
        <w:rPr>
          <w:color w:val="000000"/>
        </w:rPr>
        <w:t>方直接在应付账款中扣除。</w:t>
      </w:r>
    </w:p>
    <w:p>
      <w:pPr>
        <w:tabs>
          <w:tab w:val="left" w:pos="0"/>
        </w:tabs>
        <w:spacing w:line="360" w:lineRule="auto"/>
        <w:rPr>
          <w:color w:val="000000"/>
          <w:szCs w:val="21"/>
        </w:rPr>
      </w:pPr>
      <w:r>
        <w:rPr>
          <w:rFonts w:hint="eastAsia"/>
          <w:color w:val="000000"/>
          <w:szCs w:val="21"/>
        </w:rPr>
        <w:t>4、付款前，乙方必须按照国家有关发票管理规定，向甲方</w:t>
      </w:r>
      <w:r>
        <w:rPr>
          <w:rFonts w:hint="eastAsia"/>
          <w:szCs w:val="21"/>
        </w:rPr>
        <w:t>一次性提供</w:t>
      </w:r>
      <w:r>
        <w:rPr>
          <w:rFonts w:hint="eastAsia"/>
        </w:rPr>
        <w:t>合同总额的</w:t>
      </w:r>
      <w:r>
        <w:rPr>
          <w:rFonts w:hint="eastAsia"/>
          <w:color w:val="000000"/>
        </w:rPr>
        <w:t>增值税专用发票</w:t>
      </w:r>
      <w:r>
        <w:rPr>
          <w:rFonts w:hint="eastAsia"/>
          <w:color w:val="000000"/>
          <w:szCs w:val="21"/>
        </w:rPr>
        <w:t>，由甲方审核无误后再支付货款，</w:t>
      </w:r>
      <w:r>
        <w:rPr>
          <w:rFonts w:hint="eastAsia"/>
          <w:szCs w:val="21"/>
        </w:rPr>
        <w:t>否则</w:t>
      </w:r>
      <w:r>
        <w:rPr>
          <w:rFonts w:hint="eastAsia"/>
          <w:color w:val="000000"/>
          <w:szCs w:val="21"/>
        </w:rPr>
        <w:t>甲</w:t>
      </w:r>
      <w:r>
        <w:rPr>
          <w:rFonts w:hint="eastAsia"/>
          <w:szCs w:val="21"/>
        </w:rPr>
        <w:t>方有权拒绝或迟延支付货款，且不影响</w:t>
      </w:r>
      <w:r>
        <w:rPr>
          <w:rFonts w:hint="eastAsia"/>
          <w:color w:val="000000"/>
          <w:szCs w:val="21"/>
        </w:rPr>
        <w:t>乙</w:t>
      </w:r>
      <w:r>
        <w:rPr>
          <w:rFonts w:hint="eastAsia"/>
          <w:szCs w:val="21"/>
        </w:rPr>
        <w:t>方履行本合同项下的义务，</w:t>
      </w:r>
      <w:r>
        <w:rPr>
          <w:rFonts w:hint="eastAsia"/>
          <w:color w:val="000000"/>
          <w:szCs w:val="21"/>
        </w:rPr>
        <w:t>给甲方造成的损失由乙方承担。</w:t>
      </w:r>
    </w:p>
    <w:p>
      <w:pPr>
        <w:tabs>
          <w:tab w:val="left" w:pos="0"/>
        </w:tabs>
        <w:spacing w:line="360" w:lineRule="auto"/>
        <w:rPr>
          <w:color w:val="000000"/>
          <w:szCs w:val="21"/>
        </w:rPr>
      </w:pPr>
      <w:r>
        <w:rPr>
          <w:rFonts w:hint="eastAsia"/>
          <w:color w:val="000000"/>
          <w:szCs w:val="21"/>
        </w:rPr>
        <w:t>5、扣款细则</w:t>
      </w:r>
    </w:p>
    <w:p>
      <w:pPr>
        <w:spacing w:line="360" w:lineRule="auto"/>
        <w:rPr>
          <w:color w:val="000000"/>
          <w:szCs w:val="21"/>
        </w:rPr>
      </w:pPr>
      <w:r>
        <w:rPr>
          <w:rFonts w:hint="eastAsia"/>
          <w:color w:val="000000"/>
          <w:szCs w:val="21"/>
        </w:rPr>
        <w:t>乙方履行义务期间，存在以下情况时，甲方可视情况进行相应的扣款。</w:t>
      </w:r>
    </w:p>
    <w:tbl>
      <w:tblPr>
        <w:tblStyle w:val="53"/>
        <w:tblW w:w="95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135"/>
        <w:gridCol w:w="2552"/>
        <w:gridCol w:w="1938"/>
        <w:gridCol w:w="1476"/>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674" w:type="dxa"/>
            <w:vAlign w:val="center"/>
          </w:tcPr>
          <w:p>
            <w:pPr>
              <w:jc w:val="center"/>
              <w:rPr>
                <w:rFonts w:ascii="宋体" w:hAnsi="宋体"/>
                <w:b/>
                <w:szCs w:val="21"/>
              </w:rPr>
            </w:pPr>
            <w:r>
              <w:rPr>
                <w:rFonts w:hint="eastAsia" w:ascii="宋体" w:hAnsi="宋体"/>
                <w:b/>
                <w:szCs w:val="21"/>
              </w:rPr>
              <w:t>序号</w:t>
            </w:r>
          </w:p>
        </w:tc>
        <w:tc>
          <w:tcPr>
            <w:tcW w:w="1135" w:type="dxa"/>
            <w:vAlign w:val="center"/>
          </w:tcPr>
          <w:p>
            <w:pPr>
              <w:jc w:val="center"/>
              <w:rPr>
                <w:rFonts w:ascii="宋体" w:hAnsi="宋体"/>
                <w:b/>
                <w:szCs w:val="21"/>
              </w:rPr>
            </w:pPr>
            <w:r>
              <w:rPr>
                <w:rFonts w:hint="eastAsia" w:ascii="宋体" w:hAnsi="宋体"/>
                <w:b/>
                <w:szCs w:val="21"/>
              </w:rPr>
              <w:t>费用类别</w:t>
            </w:r>
          </w:p>
        </w:tc>
        <w:tc>
          <w:tcPr>
            <w:tcW w:w="2552" w:type="dxa"/>
            <w:vAlign w:val="center"/>
          </w:tcPr>
          <w:p>
            <w:pPr>
              <w:jc w:val="center"/>
              <w:rPr>
                <w:rFonts w:ascii="宋体" w:hAnsi="宋体"/>
                <w:b/>
                <w:szCs w:val="21"/>
              </w:rPr>
            </w:pPr>
            <w:r>
              <w:rPr>
                <w:rFonts w:hint="eastAsia" w:ascii="宋体" w:hAnsi="宋体"/>
                <w:b/>
                <w:szCs w:val="21"/>
              </w:rPr>
              <w:t>适用状况</w:t>
            </w:r>
          </w:p>
        </w:tc>
        <w:tc>
          <w:tcPr>
            <w:tcW w:w="1938" w:type="dxa"/>
            <w:vAlign w:val="center"/>
          </w:tcPr>
          <w:p>
            <w:pPr>
              <w:jc w:val="center"/>
              <w:rPr>
                <w:rFonts w:ascii="宋体" w:hAnsi="宋体"/>
                <w:b/>
                <w:szCs w:val="21"/>
              </w:rPr>
            </w:pPr>
            <w:r>
              <w:rPr>
                <w:rFonts w:hint="eastAsia" w:ascii="宋体" w:hAnsi="宋体"/>
                <w:b/>
                <w:szCs w:val="21"/>
              </w:rPr>
              <w:t>执行方法</w:t>
            </w:r>
          </w:p>
        </w:tc>
        <w:tc>
          <w:tcPr>
            <w:tcW w:w="1476" w:type="dxa"/>
            <w:vAlign w:val="center"/>
          </w:tcPr>
          <w:p>
            <w:pPr>
              <w:jc w:val="center"/>
              <w:rPr>
                <w:rFonts w:ascii="宋体" w:hAnsi="宋体"/>
                <w:b/>
                <w:szCs w:val="21"/>
              </w:rPr>
            </w:pPr>
            <w:r>
              <w:rPr>
                <w:rFonts w:hint="eastAsia" w:ascii="宋体" w:hAnsi="宋体"/>
                <w:b/>
                <w:szCs w:val="21"/>
              </w:rPr>
              <w:t>罚款金额</w:t>
            </w:r>
          </w:p>
        </w:tc>
        <w:tc>
          <w:tcPr>
            <w:tcW w:w="1810" w:type="dxa"/>
            <w:vAlign w:val="center"/>
          </w:tcPr>
          <w:p>
            <w:pPr>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1</w:t>
            </w:r>
          </w:p>
        </w:tc>
        <w:tc>
          <w:tcPr>
            <w:tcW w:w="1135" w:type="dxa"/>
            <w:vAlign w:val="center"/>
          </w:tcPr>
          <w:p>
            <w:pPr>
              <w:rPr>
                <w:rFonts w:ascii="宋体" w:hAnsi="宋体"/>
                <w:szCs w:val="21"/>
              </w:rPr>
            </w:pPr>
            <w:r>
              <w:rPr>
                <w:rFonts w:hint="eastAsia" w:ascii="宋体" w:hAnsi="宋体"/>
                <w:szCs w:val="21"/>
              </w:rPr>
              <w:t>项目人员缺勤费用</w:t>
            </w:r>
          </w:p>
        </w:tc>
        <w:tc>
          <w:tcPr>
            <w:tcW w:w="2552" w:type="dxa"/>
            <w:vAlign w:val="center"/>
          </w:tcPr>
          <w:p>
            <w:pPr>
              <w:rPr>
                <w:rFonts w:ascii="宋体" w:hAnsi="宋体"/>
                <w:szCs w:val="21"/>
              </w:rPr>
            </w:pPr>
            <w:r>
              <w:rPr>
                <w:rFonts w:hint="eastAsia" w:ascii="宋体" w:hAnsi="宋体"/>
                <w:szCs w:val="21"/>
              </w:rPr>
              <w:t>乙方未按照甲方的考勤要求开展工作或未经甲方同意擅自更换项目人员。</w:t>
            </w:r>
          </w:p>
        </w:tc>
        <w:tc>
          <w:tcPr>
            <w:tcW w:w="1938" w:type="dxa"/>
            <w:vAlign w:val="center"/>
          </w:tcPr>
          <w:p>
            <w:pPr>
              <w:rPr>
                <w:rFonts w:ascii="宋体" w:hAnsi="宋体"/>
                <w:szCs w:val="21"/>
              </w:rPr>
            </w:pPr>
            <w:r>
              <w:rPr>
                <w:rFonts w:hint="eastAsia" w:ascii="宋体" w:hAnsi="宋体"/>
                <w:szCs w:val="21"/>
              </w:rPr>
              <w:t>由甲方项目经理提交项目考勤表</w:t>
            </w:r>
            <w:r>
              <w:rPr>
                <w:rFonts w:ascii="宋体" w:hAnsi="宋体"/>
                <w:szCs w:val="21"/>
              </w:rPr>
              <w:t>,</w:t>
            </w:r>
            <w:r>
              <w:rPr>
                <w:rFonts w:hint="eastAsia" w:ascii="宋体" w:hAnsi="宋体"/>
                <w:szCs w:val="21"/>
              </w:rPr>
              <w:t>提交财务部扣款</w:t>
            </w:r>
          </w:p>
        </w:tc>
        <w:tc>
          <w:tcPr>
            <w:tcW w:w="1476" w:type="dxa"/>
            <w:vAlign w:val="center"/>
          </w:tcPr>
          <w:p>
            <w:pPr>
              <w:rPr>
                <w:szCs w:val="21"/>
              </w:rPr>
            </w:pPr>
            <w:r>
              <w:rPr>
                <w:szCs w:val="21"/>
              </w:rPr>
              <w:t>100</w:t>
            </w:r>
            <w:r>
              <w:rPr>
                <w:rFonts w:hAnsi="宋体"/>
                <w:szCs w:val="21"/>
              </w:rPr>
              <w:t>元</w:t>
            </w:r>
            <w:r>
              <w:rPr>
                <w:szCs w:val="21"/>
              </w:rPr>
              <w:t>/</w:t>
            </w:r>
            <w:r>
              <w:rPr>
                <w:rFonts w:hAnsi="宋体"/>
                <w:szCs w:val="21"/>
              </w:rPr>
              <w:t>人天</w:t>
            </w:r>
          </w:p>
        </w:tc>
        <w:tc>
          <w:tcPr>
            <w:tcW w:w="1810"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2</w:t>
            </w:r>
          </w:p>
        </w:tc>
        <w:tc>
          <w:tcPr>
            <w:tcW w:w="1135" w:type="dxa"/>
            <w:vAlign w:val="center"/>
          </w:tcPr>
          <w:p>
            <w:pPr>
              <w:rPr>
                <w:rFonts w:ascii="宋体" w:hAnsi="宋体"/>
                <w:szCs w:val="21"/>
              </w:rPr>
            </w:pPr>
            <w:r>
              <w:rPr>
                <w:rFonts w:hint="eastAsia" w:ascii="宋体" w:hAnsi="宋体"/>
                <w:szCs w:val="21"/>
              </w:rPr>
              <w:t>项目进度滞后费用</w:t>
            </w:r>
          </w:p>
        </w:tc>
        <w:tc>
          <w:tcPr>
            <w:tcW w:w="2552" w:type="dxa"/>
            <w:vAlign w:val="center"/>
          </w:tcPr>
          <w:p>
            <w:pPr>
              <w:rPr>
                <w:rFonts w:ascii="宋体" w:hAnsi="宋体"/>
                <w:szCs w:val="21"/>
              </w:rPr>
            </w:pPr>
            <w:r>
              <w:rPr>
                <w:rFonts w:hint="eastAsia" w:ascii="宋体" w:hAnsi="宋体"/>
                <w:szCs w:val="21"/>
              </w:rPr>
              <w:t>乙方未按照提交的项目进度按时完成阶段性工作。</w:t>
            </w:r>
          </w:p>
        </w:tc>
        <w:tc>
          <w:tcPr>
            <w:tcW w:w="1938" w:type="dxa"/>
            <w:vAlign w:val="center"/>
          </w:tcPr>
          <w:p>
            <w:pPr>
              <w:rPr>
                <w:rFonts w:ascii="宋体" w:hAnsi="宋体"/>
                <w:szCs w:val="21"/>
              </w:rPr>
            </w:pPr>
            <w:r>
              <w:rPr>
                <w:rFonts w:hint="eastAsia" w:ascii="宋体" w:hAnsi="宋体"/>
                <w:szCs w:val="21"/>
              </w:rPr>
              <w:t>由甲方项目经理完成项目进度确认表，提交财务部扣款</w:t>
            </w:r>
          </w:p>
        </w:tc>
        <w:tc>
          <w:tcPr>
            <w:tcW w:w="1476" w:type="dxa"/>
            <w:vAlign w:val="center"/>
          </w:tcPr>
          <w:p>
            <w:pPr>
              <w:rPr>
                <w:szCs w:val="21"/>
              </w:rPr>
            </w:pPr>
            <w:r>
              <w:rPr>
                <w:szCs w:val="21"/>
              </w:rPr>
              <w:t>5000</w:t>
            </w:r>
            <w:r>
              <w:rPr>
                <w:rFonts w:hAnsi="宋体"/>
                <w:szCs w:val="21"/>
              </w:rPr>
              <w:t>元</w:t>
            </w:r>
            <w:r>
              <w:rPr>
                <w:szCs w:val="21"/>
              </w:rPr>
              <w:t>/</w:t>
            </w:r>
            <w:r>
              <w:rPr>
                <w:rFonts w:hAnsi="宋体"/>
                <w:szCs w:val="21"/>
              </w:rPr>
              <w:t>天</w:t>
            </w:r>
          </w:p>
        </w:tc>
        <w:tc>
          <w:tcPr>
            <w:tcW w:w="1810" w:type="dxa"/>
            <w:vAlign w:val="center"/>
          </w:tcPr>
          <w:p>
            <w:pPr>
              <w:rPr>
                <w:rFonts w:ascii="宋体" w:hAnsi="宋体"/>
                <w:szCs w:val="21"/>
              </w:rPr>
            </w:pPr>
            <w:r>
              <w:rPr>
                <w:rFonts w:hint="eastAsia" w:ascii="宋体" w:hAnsi="宋体"/>
                <w:szCs w:val="21"/>
              </w:rPr>
              <w:t>由于项目风险等不可抗力原因，进度滞后五个工作日内，提供合理说明经项目经理确认后可免责。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3</w:t>
            </w:r>
          </w:p>
        </w:tc>
        <w:tc>
          <w:tcPr>
            <w:tcW w:w="1135" w:type="dxa"/>
            <w:vAlign w:val="center"/>
          </w:tcPr>
          <w:p>
            <w:pPr>
              <w:rPr>
                <w:rFonts w:ascii="宋体" w:hAnsi="宋体"/>
                <w:szCs w:val="21"/>
              </w:rPr>
            </w:pPr>
            <w:r>
              <w:rPr>
                <w:rFonts w:hint="eastAsia" w:ascii="宋体" w:hAnsi="宋体"/>
                <w:szCs w:val="21"/>
              </w:rPr>
              <w:t>服务质量不合格</w:t>
            </w:r>
          </w:p>
        </w:tc>
        <w:tc>
          <w:tcPr>
            <w:tcW w:w="2552" w:type="dxa"/>
            <w:vAlign w:val="center"/>
          </w:tcPr>
          <w:p>
            <w:pPr>
              <w:rPr>
                <w:rFonts w:ascii="宋体" w:hAnsi="宋体"/>
                <w:szCs w:val="21"/>
              </w:rPr>
            </w:pPr>
            <w:r>
              <w:rPr>
                <w:rFonts w:hint="eastAsia" w:ascii="宋体" w:hAnsi="宋体"/>
                <w:szCs w:val="21"/>
              </w:rPr>
              <w:t>乙方提供的服务不满足事先约定的质量要求。</w:t>
            </w:r>
          </w:p>
        </w:tc>
        <w:tc>
          <w:tcPr>
            <w:tcW w:w="1938" w:type="dxa"/>
            <w:vAlign w:val="center"/>
          </w:tcPr>
          <w:p>
            <w:pPr>
              <w:rPr>
                <w:rFonts w:ascii="宋体" w:hAnsi="宋体"/>
                <w:szCs w:val="21"/>
              </w:rPr>
            </w:pPr>
            <w:r>
              <w:rPr>
                <w:rFonts w:hint="eastAsia" w:ascii="宋体" w:hAnsi="宋体"/>
                <w:szCs w:val="21"/>
              </w:rPr>
              <w:t>由甲方项目经理完成产品质量缺陷说明，提交财务部扣款</w:t>
            </w:r>
          </w:p>
        </w:tc>
        <w:tc>
          <w:tcPr>
            <w:tcW w:w="1476" w:type="dxa"/>
            <w:vAlign w:val="center"/>
          </w:tcPr>
          <w:p>
            <w:pPr>
              <w:rPr>
                <w:szCs w:val="21"/>
              </w:rPr>
            </w:pPr>
            <w:r>
              <w:rPr>
                <w:rFonts w:hAnsi="宋体"/>
                <w:szCs w:val="21"/>
              </w:rPr>
              <w:t>合同款</w:t>
            </w:r>
            <w:r>
              <w:rPr>
                <w:szCs w:val="21"/>
              </w:rPr>
              <w:t>*5%~10%</w:t>
            </w:r>
          </w:p>
        </w:tc>
        <w:tc>
          <w:tcPr>
            <w:tcW w:w="1810" w:type="dxa"/>
            <w:vAlign w:val="center"/>
          </w:tcPr>
          <w:p>
            <w:pPr>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4</w:t>
            </w:r>
          </w:p>
        </w:tc>
        <w:tc>
          <w:tcPr>
            <w:tcW w:w="1135" w:type="dxa"/>
            <w:vAlign w:val="center"/>
          </w:tcPr>
          <w:p>
            <w:pPr>
              <w:rPr>
                <w:rFonts w:ascii="宋体" w:hAnsi="宋体"/>
                <w:szCs w:val="21"/>
              </w:rPr>
            </w:pPr>
            <w:r>
              <w:rPr>
                <w:rFonts w:hint="eastAsia" w:ascii="宋体" w:hAnsi="宋体"/>
                <w:szCs w:val="21"/>
              </w:rPr>
              <w:t>技术支持延迟或售后不合格</w:t>
            </w:r>
          </w:p>
        </w:tc>
        <w:tc>
          <w:tcPr>
            <w:tcW w:w="2552" w:type="dxa"/>
            <w:vAlign w:val="center"/>
          </w:tcPr>
          <w:p>
            <w:pPr>
              <w:rPr>
                <w:rFonts w:ascii="宋体" w:hAnsi="宋体"/>
                <w:szCs w:val="21"/>
              </w:rPr>
            </w:pPr>
            <w:r>
              <w:rPr>
                <w:rFonts w:hint="eastAsia" w:ascii="宋体" w:hAnsi="宋体"/>
                <w:szCs w:val="21"/>
              </w:rPr>
              <w:t>乙方未在要求的时间内解决甲方提出的符合包修或技术支持范围的问题</w:t>
            </w:r>
          </w:p>
        </w:tc>
        <w:tc>
          <w:tcPr>
            <w:tcW w:w="1938" w:type="dxa"/>
            <w:vAlign w:val="center"/>
          </w:tcPr>
          <w:p>
            <w:pPr>
              <w:rPr>
                <w:rFonts w:ascii="宋体" w:hAnsi="宋体"/>
                <w:szCs w:val="21"/>
              </w:rPr>
            </w:pPr>
            <w:r>
              <w:rPr>
                <w:rFonts w:hint="eastAsia" w:ascii="宋体" w:hAnsi="宋体"/>
                <w:szCs w:val="21"/>
              </w:rPr>
              <w:t>由甲方项目经理完成售后反馈表，提交财务部扣款</w:t>
            </w:r>
          </w:p>
        </w:tc>
        <w:tc>
          <w:tcPr>
            <w:tcW w:w="1476" w:type="dxa"/>
            <w:vAlign w:val="center"/>
          </w:tcPr>
          <w:p>
            <w:pPr>
              <w:rPr>
                <w:szCs w:val="21"/>
              </w:rPr>
            </w:pPr>
            <w:r>
              <w:rPr>
                <w:rFonts w:hAnsi="宋体"/>
                <w:szCs w:val="21"/>
              </w:rPr>
              <w:t>合同款</w:t>
            </w:r>
            <w:r>
              <w:rPr>
                <w:szCs w:val="21"/>
              </w:rPr>
              <w:t>*5%~10%</w:t>
            </w:r>
          </w:p>
        </w:tc>
        <w:tc>
          <w:tcPr>
            <w:tcW w:w="1810" w:type="dxa"/>
            <w:vAlign w:val="center"/>
          </w:tcPr>
          <w:p>
            <w:pPr>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hint="eastAsia" w:ascii="宋体" w:hAnsi="宋体"/>
                <w:szCs w:val="21"/>
              </w:rPr>
              <w:t>5</w:t>
            </w:r>
          </w:p>
        </w:tc>
        <w:tc>
          <w:tcPr>
            <w:tcW w:w="1135" w:type="dxa"/>
            <w:vAlign w:val="center"/>
          </w:tcPr>
          <w:p>
            <w:pPr>
              <w:rPr>
                <w:rFonts w:ascii="宋体" w:hAnsi="宋体"/>
                <w:szCs w:val="21"/>
              </w:rPr>
            </w:pPr>
            <w:r>
              <w:rPr>
                <w:rFonts w:hint="eastAsia" w:ascii="宋体" w:hAnsi="宋体"/>
                <w:szCs w:val="21"/>
              </w:rPr>
              <w:t>文档缺失或质量不合格</w:t>
            </w:r>
          </w:p>
        </w:tc>
        <w:tc>
          <w:tcPr>
            <w:tcW w:w="2552" w:type="dxa"/>
            <w:vAlign w:val="center"/>
          </w:tcPr>
          <w:p>
            <w:pPr>
              <w:rPr>
                <w:rFonts w:ascii="宋体" w:hAnsi="宋体"/>
                <w:szCs w:val="21"/>
              </w:rPr>
            </w:pPr>
            <w:r>
              <w:rPr>
                <w:rFonts w:hint="eastAsia" w:ascii="宋体" w:hAnsi="宋体"/>
                <w:szCs w:val="21"/>
              </w:rPr>
              <w:t>乙方未提供或提供的技术规范、培训材料等文档</w:t>
            </w:r>
          </w:p>
        </w:tc>
        <w:tc>
          <w:tcPr>
            <w:tcW w:w="1938" w:type="dxa"/>
            <w:vAlign w:val="center"/>
          </w:tcPr>
          <w:p>
            <w:pPr>
              <w:rPr>
                <w:rFonts w:ascii="宋体" w:hAnsi="宋体"/>
                <w:szCs w:val="21"/>
              </w:rPr>
            </w:pPr>
            <w:r>
              <w:rPr>
                <w:rFonts w:hint="eastAsia" w:ascii="宋体" w:hAnsi="宋体"/>
                <w:szCs w:val="21"/>
              </w:rPr>
              <w:t>由甲方项目经理确认文档条目，提交财务部扣款</w:t>
            </w:r>
          </w:p>
        </w:tc>
        <w:tc>
          <w:tcPr>
            <w:tcW w:w="1476" w:type="dxa"/>
            <w:vAlign w:val="center"/>
          </w:tcPr>
          <w:p>
            <w:pPr>
              <w:rPr>
                <w:szCs w:val="21"/>
              </w:rPr>
            </w:pPr>
            <w:r>
              <w:rPr>
                <w:rFonts w:hAnsi="宋体"/>
                <w:szCs w:val="21"/>
              </w:rPr>
              <w:t>合同款</w:t>
            </w:r>
            <w:r>
              <w:rPr>
                <w:szCs w:val="21"/>
              </w:rPr>
              <w:t>*5%~10%</w:t>
            </w:r>
          </w:p>
        </w:tc>
        <w:tc>
          <w:tcPr>
            <w:tcW w:w="1810" w:type="dxa"/>
            <w:vAlign w:val="center"/>
          </w:tcPr>
          <w:p>
            <w:pPr>
              <w:rPr>
                <w:rFonts w:ascii="宋体" w:hAnsi="宋体"/>
                <w:szCs w:val="21"/>
              </w:rPr>
            </w:pPr>
            <w:r>
              <w:rPr>
                <w:rFonts w:hint="eastAsia" w:ascii="宋体" w:hAnsi="宋体"/>
                <w:szCs w:val="21"/>
              </w:rPr>
              <w:t>视文档重要性</w:t>
            </w:r>
          </w:p>
        </w:tc>
      </w:tr>
    </w:tbl>
    <w:p/>
    <w:p>
      <w:pPr>
        <w:rPr>
          <w:color w:val="000000"/>
        </w:rPr>
      </w:pPr>
    </w:p>
    <w:p>
      <w:pPr>
        <w:pStyle w:val="4"/>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四</w:t>
      </w:r>
      <w:r>
        <w:rPr>
          <w:rFonts w:ascii="宋体" w:hAnsi="宋体" w:eastAsia="宋体" w:cs="宋体"/>
          <w:b/>
          <w:bCs w:val="0"/>
          <w:sz w:val="21"/>
          <w:szCs w:val="21"/>
        </w:rPr>
        <w:t>、</w:t>
      </w:r>
      <w:r>
        <w:rPr>
          <w:rFonts w:hint="eastAsia" w:ascii="宋体" w:hAnsi="宋体" w:eastAsia="宋体" w:cs="宋体"/>
          <w:b/>
          <w:bCs w:val="0"/>
          <w:sz w:val="21"/>
          <w:szCs w:val="21"/>
        </w:rPr>
        <w:t>产品的质量要求</w:t>
      </w:r>
    </w:p>
    <w:p>
      <w:pPr>
        <w:spacing w:line="360" w:lineRule="auto"/>
        <w:ind w:firstLine="420" w:firstLineChars="200"/>
        <w:rPr>
          <w:rFonts w:ascii="宋体" w:hAnsi="宋体" w:cs="宋体"/>
          <w:szCs w:val="21"/>
        </w:rPr>
      </w:pPr>
      <w:r>
        <w:rPr>
          <w:rFonts w:hint="eastAsia" w:ascii="宋体" w:hAnsi="宋体" w:cs="宋体"/>
          <w:szCs w:val="21"/>
        </w:rPr>
        <w:t>乙方所提供产品的技术指标和生产工艺必须完全满足甲方在“省市县三级融合播控平台2022系统能力扩容-推流系统集成改造”竞争性磋商文件中提出的技术要求，乙方所提供产品的功能与服务实现必须完全遵守响应文件和磋商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bookmarkEnd w:id="20"/>
    <w:p>
      <w:pPr>
        <w:pStyle w:val="4"/>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五</w:t>
      </w:r>
      <w:r>
        <w:rPr>
          <w:rFonts w:ascii="宋体" w:hAnsi="宋体" w:eastAsia="宋体" w:cs="宋体"/>
          <w:b/>
          <w:bCs w:val="0"/>
          <w:sz w:val="21"/>
          <w:szCs w:val="21"/>
        </w:rPr>
        <w:t>、</w:t>
      </w:r>
      <w:r>
        <w:rPr>
          <w:rFonts w:hint="eastAsia" w:ascii="宋体" w:hAnsi="宋体" w:eastAsia="宋体" w:cs="宋体"/>
          <w:b/>
          <w:bCs w:val="0"/>
          <w:sz w:val="21"/>
          <w:szCs w:val="21"/>
        </w:rPr>
        <w:t>产品的包装</w:t>
      </w:r>
    </w:p>
    <w:p>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所有产品由乙方负责妥善包装，附件、清单完整齐全，注明储运标志，并适合于长途运输。由此不当而引起的所有损失和责任由乙方承担。</w:t>
      </w:r>
    </w:p>
    <w:p>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每件包装外面应清楚地打上记号，这些记号或标志应在运单上说明。</w:t>
      </w:r>
    </w:p>
    <w:p>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备品备件及专用工具应在箱内运送并与产品分别包装，所有备件应加上标签，以示区别。</w:t>
      </w:r>
    </w:p>
    <w:p>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乙方应提前3天通知甲方负责收货的联系人，告知产品运送到项目现场的具体日期。</w:t>
      </w:r>
    </w:p>
    <w:p>
      <w:pPr>
        <w:pStyle w:val="4"/>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1" w:name="_Toc69378622"/>
      <w:r>
        <w:rPr>
          <w:rFonts w:hint="eastAsia" w:ascii="宋体" w:hAnsi="宋体" w:eastAsia="宋体" w:cs="宋体"/>
          <w:b/>
          <w:bCs w:val="0"/>
          <w:sz w:val="21"/>
          <w:szCs w:val="21"/>
        </w:rPr>
        <w:t>六、产品交付</w:t>
      </w:r>
    </w:p>
    <w:p>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产品的交货地点为甲方指定地点、指定楼层。</w:t>
      </w:r>
    </w:p>
    <w:p>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乙方交货时应提供下列技术资料：</w:t>
      </w:r>
    </w:p>
    <w:p>
      <w:pPr>
        <w:spacing w:line="360" w:lineRule="auto"/>
        <w:rPr>
          <w:rFonts w:ascii="宋体" w:hAnsi="宋体" w:cs="宋体"/>
          <w:szCs w:val="21"/>
        </w:rPr>
      </w:pPr>
      <w:r>
        <w:rPr>
          <w:rFonts w:hint="eastAsia" w:ascii="宋体" w:hAnsi="宋体" w:cs="宋体"/>
          <w:szCs w:val="21"/>
        </w:rPr>
        <w:t>（1）产品原厂或原产地证明；</w:t>
      </w:r>
    </w:p>
    <w:p>
      <w:pPr>
        <w:spacing w:line="360" w:lineRule="auto"/>
        <w:rPr>
          <w:rFonts w:ascii="宋体" w:hAnsi="宋体" w:cs="宋体"/>
          <w:szCs w:val="21"/>
        </w:rPr>
      </w:pPr>
      <w:r>
        <w:rPr>
          <w:rFonts w:hint="eastAsia" w:ascii="宋体" w:hAnsi="宋体" w:cs="宋体"/>
          <w:szCs w:val="21"/>
        </w:rPr>
        <w:t>（2）产品出厂检验报告和产品合格证；</w:t>
      </w:r>
    </w:p>
    <w:p>
      <w:pPr>
        <w:spacing w:line="360" w:lineRule="auto"/>
        <w:rPr>
          <w:rFonts w:ascii="宋体" w:hAnsi="宋体" w:cs="宋体"/>
          <w:szCs w:val="21"/>
        </w:rPr>
      </w:pPr>
      <w:r>
        <w:rPr>
          <w:rFonts w:hint="eastAsia" w:ascii="宋体" w:hAnsi="宋体" w:cs="宋体"/>
          <w:szCs w:val="21"/>
        </w:rPr>
        <w:t>（3）竞争性磋商文件中所要求提交的资料。</w:t>
      </w:r>
    </w:p>
    <w:p>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设备到货后，甲方负责清点货物包装箱件数。在设备安装调试前，甲乙双方代表在施工现场共同开箱清点验收货物。若一方因故无法抵达施工现场，则无条件接受另一方开箱清点验收结果。</w:t>
      </w:r>
    </w:p>
    <w:p>
      <w:pPr>
        <w:numPr>
          <w:ilvl w:val="255"/>
          <w:numId w:val="0"/>
        </w:numPr>
        <w:tabs>
          <w:tab w:val="left" w:pos="0"/>
        </w:tabs>
        <w:spacing w:line="360" w:lineRule="auto"/>
        <w:ind w:firstLine="420" w:firstLineChars="200"/>
        <w:rPr>
          <w:color w:val="000000"/>
          <w:szCs w:val="21"/>
        </w:rPr>
      </w:pPr>
      <w:r>
        <w:rPr>
          <w:rFonts w:hint="eastAsia" w:ascii="宋体" w:hAnsi="宋体" w:cs="宋体"/>
          <w:szCs w:val="21"/>
        </w:rPr>
        <w:t>甲方有权拒收运抵现场的被损坏或有缺陷的或不符合竞争性磋商文件、乙方响应文件和磋商时乙方做出的书面承诺的任何产品。</w:t>
      </w:r>
    </w:p>
    <w:bookmarkEnd w:id="21"/>
    <w:p>
      <w:pPr>
        <w:pStyle w:val="4"/>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2" w:name="_Toc69378629"/>
      <w:r>
        <w:rPr>
          <w:rFonts w:hint="eastAsia" w:ascii="宋体" w:hAnsi="宋体" w:eastAsia="宋体" w:cs="宋体"/>
          <w:b/>
          <w:bCs w:val="0"/>
          <w:sz w:val="21"/>
          <w:szCs w:val="21"/>
        </w:rPr>
        <w:t>七、</w:t>
      </w:r>
      <w:bookmarkEnd w:id="22"/>
      <w:bookmarkStart w:id="23" w:name="_Toc69378632"/>
      <w:r>
        <w:rPr>
          <w:rFonts w:hint="eastAsia" w:ascii="宋体" w:hAnsi="宋体" w:eastAsia="宋体" w:cs="宋体"/>
          <w:b/>
          <w:bCs w:val="0"/>
          <w:sz w:val="21"/>
          <w:szCs w:val="21"/>
        </w:rPr>
        <w:t>运输费用</w:t>
      </w:r>
    </w:p>
    <w:p>
      <w:pPr>
        <w:spacing w:line="360" w:lineRule="auto"/>
        <w:ind w:firstLine="420" w:firstLineChars="200"/>
        <w:rPr>
          <w:rFonts w:ascii="宋体" w:hAnsi="宋体" w:cs="宋体"/>
          <w:szCs w:val="21"/>
        </w:rPr>
      </w:pPr>
      <w:r>
        <w:rPr>
          <w:rFonts w:hint="eastAsia" w:ascii="宋体" w:hAnsi="宋体" w:cs="宋体"/>
          <w:szCs w:val="21"/>
        </w:rPr>
        <w:t>乙方承担所有产品的运输、装卸和保险等费用。</w:t>
      </w:r>
    </w:p>
    <w:p>
      <w:pPr>
        <w:pStyle w:val="4"/>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八、供货周期</w:t>
      </w:r>
    </w:p>
    <w:p>
      <w:pPr>
        <w:numPr>
          <w:ilvl w:val="255"/>
          <w:numId w:val="0"/>
        </w:numPr>
        <w:spacing w:line="360" w:lineRule="auto"/>
        <w:ind w:firstLine="420" w:firstLineChars="200"/>
        <w:rPr>
          <w:rFonts w:ascii="宋体" w:hAnsi="宋体" w:cs="宋体"/>
          <w:szCs w:val="21"/>
        </w:rPr>
      </w:pPr>
      <w:r>
        <w:rPr>
          <w:rFonts w:hint="eastAsia" w:ascii="宋体" w:hAnsi="宋体" w:cs="宋体"/>
          <w:szCs w:val="21"/>
        </w:rPr>
        <w:t>所有货物在合同生效后</w:t>
      </w:r>
      <w:r>
        <w:rPr>
          <w:rFonts w:ascii="宋体" w:hAnsi="宋体" w:cs="宋体"/>
          <w:szCs w:val="21"/>
          <w:u w:val="single"/>
        </w:rPr>
        <w:t xml:space="preserve">   </w:t>
      </w:r>
      <w:r>
        <w:rPr>
          <w:rFonts w:hint="eastAsia" w:ascii="宋体" w:hAnsi="宋体" w:cs="宋体"/>
          <w:szCs w:val="21"/>
        </w:rPr>
        <w:t>天内（不超过3</w:t>
      </w:r>
      <w:r>
        <w:rPr>
          <w:rFonts w:ascii="宋体" w:hAnsi="宋体" w:cs="宋体"/>
          <w:szCs w:val="21"/>
        </w:rPr>
        <w:t>0</w:t>
      </w:r>
      <w:r>
        <w:rPr>
          <w:rFonts w:hint="eastAsia" w:ascii="宋体" w:hAnsi="宋体" w:cs="宋体"/>
          <w:szCs w:val="21"/>
        </w:rPr>
        <w:t>天）运抵甲方工地现场并安装、调试结束，验收合格。现场集成对接时间不得超过四周。乙方每逾期一天交货（不足一天按一天计算），按设备总价的5‰收取滞纳金，滞纳金从合同款中扣除。如逾期时间超过6周仍未能交付全部或部分设备（软件），在不妨碍甲方其他救济手段的情况下，甲方可以向乙方发出书面违约通知从而全部或部分地终止合同，并向乙方索赔。</w:t>
      </w:r>
    </w:p>
    <w:p>
      <w:pPr>
        <w:numPr>
          <w:ilvl w:val="255"/>
          <w:numId w:val="0"/>
        </w:numPr>
        <w:spacing w:line="360" w:lineRule="auto"/>
        <w:ind w:firstLine="420" w:firstLineChars="200"/>
        <w:rPr>
          <w:rFonts w:ascii="宋体" w:hAnsi="宋体"/>
          <w:color w:val="000000"/>
          <w:szCs w:val="21"/>
        </w:rPr>
      </w:pPr>
      <w:r>
        <w:rPr>
          <w:rFonts w:hint="eastAsia" w:ascii="宋体" w:hAnsi="宋体" w:cs="宋体"/>
          <w:szCs w:val="21"/>
        </w:rPr>
        <w:t>乙方逾期交货，甲方接受的，不影响甲方追究乙方逾期交货的违约责任。</w:t>
      </w:r>
      <w:bookmarkEnd w:id="23"/>
    </w:p>
    <w:p>
      <w:pPr>
        <w:pStyle w:val="4"/>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4" w:name="_Toc69378633"/>
      <w:r>
        <w:rPr>
          <w:rFonts w:hint="eastAsia" w:ascii="宋体" w:hAnsi="宋体" w:eastAsia="宋体" w:cs="宋体"/>
          <w:b/>
          <w:bCs w:val="0"/>
          <w:sz w:val="21"/>
          <w:szCs w:val="21"/>
        </w:rPr>
        <w:t>九、验收标准</w:t>
      </w:r>
    </w:p>
    <w:p>
      <w:pPr>
        <w:numPr>
          <w:ilvl w:val="0"/>
          <w:numId w:val="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需免费提供验收所需的测试工具、并搭建测试环境，按甲方竞争性磋商文件、乙方响应文件、磋商时乙方做出的书面承诺以及甲乙双方共同签订的补充协议的要求进行验收。乙方在货到安装调试完毕、系统达到技术要求规定的指标并开通业务后，向甲方提交“”系统初验申请报告，甲方应在接到乙方提供的系统初验申请报告后</w:t>
      </w:r>
      <w:r>
        <w:rPr>
          <w:rFonts w:ascii="宋体" w:hAnsi="宋体"/>
          <w:szCs w:val="21"/>
        </w:rPr>
        <w:t>10</w:t>
      </w:r>
      <w:r>
        <w:rPr>
          <w:rFonts w:hint="eastAsia" w:ascii="宋体" w:hAnsi="宋体"/>
          <w:szCs w:val="21"/>
        </w:rPr>
        <w:t>个工作日内组织有关部门进行初验。初验合格的，甲乙双方确定系统试运行开始日期、试运行方案及终验方案。试运行期为初验通过后的3个月。在试运行期结束后，如系统的设备性能和业务功能满足标书及合同要求，乙方应提交终验申请报告和试运行报告，试运行报告应包括所有数据记录和故障处理过程。甲方应在收到终验申请报告及全部文件后的</w:t>
      </w:r>
      <w:r>
        <w:rPr>
          <w:rFonts w:ascii="宋体" w:hAnsi="宋体"/>
          <w:szCs w:val="21"/>
        </w:rPr>
        <w:t>10</w:t>
      </w:r>
      <w:r>
        <w:rPr>
          <w:rFonts w:hint="eastAsia" w:ascii="宋体" w:hAnsi="宋体"/>
          <w:szCs w:val="21"/>
        </w:rPr>
        <w:t>个工作日内组织有关部门验收，并在验收后</w:t>
      </w:r>
      <w:r>
        <w:rPr>
          <w:rFonts w:ascii="宋体" w:hAnsi="宋体"/>
          <w:szCs w:val="21"/>
        </w:rPr>
        <w:t>10</w:t>
      </w:r>
      <w:r>
        <w:rPr>
          <w:rFonts w:hint="eastAsia" w:ascii="宋体" w:hAnsi="宋体"/>
          <w:szCs w:val="21"/>
        </w:rPr>
        <w:t>个工作日内给予验收结果或提出修改意见。</w:t>
      </w:r>
    </w:p>
    <w:p>
      <w:pPr>
        <w:numPr>
          <w:ilvl w:val="0"/>
          <w:numId w:val="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如第一次初验或终验未通过，甲方应将有关不符合要求的情况书面通知乙方，乙方应在收到甲方书面通知后</w:t>
      </w:r>
      <w:r>
        <w:rPr>
          <w:rFonts w:ascii="宋体" w:hAnsi="宋体"/>
          <w:szCs w:val="21"/>
        </w:rPr>
        <w:t>20</w:t>
      </w:r>
      <w:r>
        <w:rPr>
          <w:rFonts w:hint="eastAsia" w:ascii="宋体" w:hAnsi="宋体"/>
          <w:szCs w:val="21"/>
        </w:rPr>
        <w:t>天内完成对系统的调整，使系统达到验收标准，并再次向甲方提出验收申请。甲方应在接到调整后的系统验收申请报告</w:t>
      </w:r>
      <w:r>
        <w:rPr>
          <w:rFonts w:ascii="宋体" w:hAnsi="宋体"/>
          <w:szCs w:val="21"/>
        </w:rPr>
        <w:t>10</w:t>
      </w:r>
      <w:r>
        <w:rPr>
          <w:rFonts w:hint="eastAsia" w:ascii="宋体" w:hAnsi="宋体"/>
          <w:szCs w:val="21"/>
        </w:rPr>
        <w:t>个工作日内组织第二次验收。如系统仍未通过验收，则视为系统不合格，甲方有权按照本合同的相关条款追究乙方的责任。</w:t>
      </w:r>
    </w:p>
    <w:p>
      <w:pPr>
        <w:numPr>
          <w:ilvl w:val="0"/>
          <w:numId w:val="9"/>
        </w:numPr>
        <w:adjustRightInd w:val="0"/>
        <w:snapToGrid w:val="0"/>
        <w:spacing w:line="360" w:lineRule="auto"/>
        <w:rPr>
          <w:rFonts w:ascii="宋体"/>
          <w:szCs w:val="21"/>
        </w:rPr>
      </w:pPr>
      <w:r>
        <w:rPr>
          <w:rFonts w:hint="eastAsia" w:ascii="宋体" w:hAnsi="宋体"/>
          <w:szCs w:val="21"/>
        </w:rPr>
        <w:t>因甲方原因未能及时组织初验或终验，甲方应在乙方的协助下尽快解决问题。</w:t>
      </w:r>
    </w:p>
    <w:p>
      <w:pPr>
        <w:numPr>
          <w:ilvl w:val="0"/>
          <w:numId w:val="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甲乙双方应按合同规定的时间进行初验和终验，验收时间因各种原因需要更改的，甲乙双方应共同商定修改验收日期。</w:t>
      </w:r>
    </w:p>
    <w:p>
      <w:pPr>
        <w:numPr>
          <w:ilvl w:val="0"/>
          <w:numId w:val="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在初验和终验过程中，若一方对验收过程或结果提出质疑，且经协商不成的，可由甲方选择法定检验机构进行检验，检验费用由乙方承担。</w:t>
      </w:r>
    </w:p>
    <w:p>
      <w:pPr>
        <w:pStyle w:val="4"/>
        <w:numPr>
          <w:ilvl w:val="255"/>
          <w:numId w:val="0"/>
        </w:numPr>
        <w:adjustRightInd w:val="0"/>
        <w:snapToGrid w:val="0"/>
        <w:spacing w:before="0" w:after="0" w:line="360" w:lineRule="auto"/>
        <w:ind w:left="4"/>
        <w:jc w:val="left"/>
        <w:rPr>
          <w:rFonts w:ascii="宋体" w:hAnsi="宋体" w:eastAsia="宋体"/>
          <w:b/>
          <w:kern w:val="2"/>
          <w:sz w:val="21"/>
          <w:szCs w:val="21"/>
        </w:rPr>
      </w:pPr>
      <w:bookmarkStart w:id="25" w:name="_Toc72326302"/>
      <w:r>
        <w:rPr>
          <w:rFonts w:hint="eastAsia" w:ascii="宋体" w:hAnsi="宋体" w:eastAsia="宋体"/>
          <w:b/>
          <w:kern w:val="2"/>
          <w:sz w:val="21"/>
          <w:szCs w:val="21"/>
        </w:rPr>
        <w:t>十、售后服务</w:t>
      </w:r>
      <w:bookmarkEnd w:id="25"/>
    </w:p>
    <w:p>
      <w:pPr>
        <w:numPr>
          <w:ilvl w:val="0"/>
          <w:numId w:val="10"/>
        </w:numPr>
        <w:adjustRightInd w:val="0"/>
        <w:snapToGrid w:val="0"/>
        <w:spacing w:line="360" w:lineRule="auto"/>
        <w:ind w:left="0" w:firstLine="0"/>
        <w:rPr>
          <w:rFonts w:ascii="宋体"/>
          <w:szCs w:val="21"/>
        </w:rPr>
      </w:pPr>
      <w:r>
        <w:rPr>
          <w:rFonts w:hint="eastAsia" w:ascii="宋体" w:hAnsi="宋体"/>
          <w:szCs w:val="21"/>
        </w:rPr>
        <w:t>服务响应时间：乙方提供每周</w:t>
      </w:r>
      <w:r>
        <w:rPr>
          <w:rFonts w:ascii="宋体" w:hAnsi="宋体"/>
          <w:szCs w:val="21"/>
        </w:rPr>
        <w:t>7</w:t>
      </w:r>
      <w:r>
        <w:rPr>
          <w:rFonts w:hint="eastAsia" w:ascii="宋体" w:hAnsi="宋体"/>
          <w:szCs w:val="21"/>
        </w:rPr>
        <w:t>天×</w:t>
      </w:r>
      <w:r>
        <w:rPr>
          <w:rFonts w:ascii="宋体" w:hAnsi="宋体"/>
          <w:szCs w:val="21"/>
        </w:rPr>
        <w:t>24</w:t>
      </w:r>
      <w:r>
        <w:rPr>
          <w:rFonts w:hint="eastAsia" w:ascii="宋体" w:hAnsi="宋体"/>
          <w:szCs w:val="21"/>
        </w:rPr>
        <w:t>小时的技术支持和服务。如果出现技术问题或故障，乙方应按响应文件和磋商时做出的书面承诺提供相应的服务和技术支持。</w:t>
      </w:r>
      <w:r>
        <w:rPr>
          <w:rFonts w:ascii="宋体" w:hAnsi="宋体"/>
          <w:szCs w:val="21"/>
        </w:rPr>
        <w:t>在接到通知后1小时内应答，6小时内派出代表到达现场进行处理。在得到</w:t>
      </w:r>
      <w:r>
        <w:rPr>
          <w:rFonts w:hint="eastAsia" w:ascii="宋体" w:hAnsi="宋体"/>
          <w:szCs w:val="21"/>
        </w:rPr>
        <w:t>乙方</w:t>
      </w:r>
      <w:r>
        <w:rPr>
          <w:rFonts w:ascii="宋体" w:hAnsi="宋体"/>
          <w:szCs w:val="21"/>
        </w:rPr>
        <w:t>同意后，或在规定期限内，</w:t>
      </w:r>
      <w:r>
        <w:rPr>
          <w:rFonts w:hint="eastAsia" w:ascii="宋体" w:hAnsi="宋体"/>
          <w:szCs w:val="21"/>
        </w:rPr>
        <w:t>乙方</w:t>
      </w:r>
      <w:r>
        <w:rPr>
          <w:rFonts w:ascii="宋体" w:hAnsi="宋体"/>
          <w:szCs w:val="21"/>
        </w:rPr>
        <w:t>代表仍未到达现场，</w:t>
      </w:r>
      <w:r>
        <w:rPr>
          <w:rFonts w:hint="eastAsia" w:ascii="宋体" w:hAnsi="宋体"/>
          <w:szCs w:val="21"/>
        </w:rPr>
        <w:t>甲方</w:t>
      </w:r>
      <w:r>
        <w:rPr>
          <w:rFonts w:ascii="宋体" w:hAnsi="宋体"/>
          <w:szCs w:val="21"/>
        </w:rPr>
        <w:t>可以自己进行故障处理，并要求</w:t>
      </w:r>
      <w:r>
        <w:rPr>
          <w:rFonts w:hint="eastAsia" w:ascii="宋体" w:hAnsi="宋体"/>
          <w:szCs w:val="21"/>
        </w:rPr>
        <w:t>乙方</w:t>
      </w:r>
      <w:r>
        <w:rPr>
          <w:rFonts w:ascii="宋体" w:hAnsi="宋体"/>
          <w:szCs w:val="21"/>
        </w:rPr>
        <w:t>承担相应费用。重大技术故障</w:t>
      </w:r>
      <w:r>
        <w:rPr>
          <w:rFonts w:hint="eastAsia" w:ascii="宋体" w:hAnsi="宋体"/>
          <w:szCs w:val="21"/>
        </w:rPr>
        <w:t>乙方</w:t>
      </w:r>
      <w:r>
        <w:rPr>
          <w:rFonts w:ascii="宋体" w:hAnsi="宋体"/>
          <w:szCs w:val="21"/>
        </w:rPr>
        <w:t>需要明确处理的时间。</w:t>
      </w:r>
    </w:p>
    <w:p>
      <w:pPr>
        <w:numPr>
          <w:ilvl w:val="0"/>
          <w:numId w:val="10"/>
        </w:numPr>
        <w:adjustRightInd w:val="0"/>
        <w:snapToGrid w:val="0"/>
        <w:spacing w:line="360" w:lineRule="auto"/>
        <w:ind w:left="0" w:firstLine="0"/>
        <w:rPr>
          <w:rFonts w:ascii="宋体" w:hAnsi="宋体"/>
          <w:szCs w:val="21"/>
        </w:rPr>
      </w:pPr>
      <w:r>
        <w:rPr>
          <w:rFonts w:hint="eastAsia" w:ascii="宋体" w:hAnsi="宋体"/>
          <w:szCs w:val="21"/>
        </w:rPr>
        <w:t>包修期：免费包修期</w:t>
      </w:r>
      <w:r>
        <w:rPr>
          <w:rFonts w:hint="eastAsia" w:ascii="宋体" w:hAnsi="宋体" w:cs="宋体"/>
          <w:szCs w:val="21"/>
        </w:rPr>
        <w:t>为</w:t>
      </w:r>
      <w:r>
        <w:rPr>
          <w:rFonts w:ascii="宋体" w:hAnsi="宋体" w:cs="宋体"/>
          <w:szCs w:val="21"/>
          <w:u w:val="single"/>
        </w:rPr>
        <w:t xml:space="preserve">   </w:t>
      </w:r>
      <w:r>
        <w:rPr>
          <w:rFonts w:hint="eastAsia" w:ascii="宋体" w:hAnsi="宋体" w:cs="宋体"/>
          <w:szCs w:val="21"/>
        </w:rPr>
        <w:t>年（不少于3年）</w:t>
      </w:r>
      <w:r>
        <w:rPr>
          <w:rFonts w:hint="eastAsia" w:ascii="宋体" w:hAnsi="宋体"/>
          <w:szCs w:val="21"/>
        </w:rPr>
        <w:t>，自初验通过之日起计算。免费包修期</w:t>
      </w:r>
      <w:r>
        <w:rPr>
          <w:rFonts w:ascii="宋体" w:hAnsi="宋体"/>
          <w:szCs w:val="21"/>
        </w:rPr>
        <w:t>，故障设备</w:t>
      </w:r>
      <w:r>
        <w:rPr>
          <w:rFonts w:hint="eastAsia" w:ascii="宋体" w:hAnsi="宋体"/>
          <w:szCs w:val="21"/>
        </w:rPr>
        <w:t>乙方</w:t>
      </w:r>
      <w:r>
        <w:rPr>
          <w:rFonts w:ascii="宋体" w:hAnsi="宋体"/>
          <w:szCs w:val="21"/>
        </w:rPr>
        <w:t>应在6小时内予以更换，更换故障部件的</w:t>
      </w:r>
      <w:r>
        <w:rPr>
          <w:rFonts w:hint="eastAsia" w:ascii="宋体" w:hAnsi="宋体"/>
          <w:szCs w:val="21"/>
        </w:rPr>
        <w:t>免费包修期</w:t>
      </w:r>
      <w:r>
        <w:rPr>
          <w:rFonts w:ascii="宋体" w:hAnsi="宋体"/>
          <w:szCs w:val="21"/>
        </w:rPr>
        <w:t>从更换日期起重新计算。</w:t>
      </w:r>
      <w:r>
        <w:rPr>
          <w:rFonts w:hint="eastAsia" w:ascii="宋体" w:hAnsi="宋体"/>
          <w:szCs w:val="21"/>
        </w:rPr>
        <w:t>超过免费质保期后，乙方对其提供的产品在设备寿命期内提供有偿保修服务。每年</w:t>
      </w:r>
      <w:r>
        <w:rPr>
          <w:rFonts w:hint="eastAsia"/>
          <w:color w:val="000000"/>
          <w:szCs w:val="21"/>
        </w:rPr>
        <w:t>价格不得高于需要保修设备成交价的</w:t>
      </w:r>
      <w:r>
        <w:rPr>
          <w:color w:val="000000"/>
          <w:szCs w:val="21"/>
          <w:u w:val="single"/>
        </w:rPr>
        <w:t xml:space="preserve">   </w:t>
      </w:r>
      <w:r>
        <w:rPr>
          <w:rFonts w:hint="eastAsia"/>
          <w:color w:val="000000"/>
          <w:szCs w:val="21"/>
        </w:rPr>
        <w:t>%（不高于5%）。</w:t>
      </w:r>
    </w:p>
    <w:p>
      <w:pPr>
        <w:pStyle w:val="370"/>
        <w:numPr>
          <w:ilvl w:val="0"/>
          <w:numId w:val="10"/>
        </w:numPr>
        <w:tabs>
          <w:tab w:val="clear" w:pos="360"/>
        </w:tabs>
        <w:ind w:left="0" w:firstLine="0"/>
        <w:rPr>
          <w:rFonts w:ascii="宋体" w:hAnsi="宋体"/>
          <w:szCs w:val="21"/>
        </w:rPr>
      </w:pPr>
      <w:r>
        <w:rPr>
          <w:rFonts w:hint="eastAsia" w:ascii="宋体" w:hAnsi="宋体"/>
          <w:szCs w:val="21"/>
        </w:rPr>
        <w:t>培训：</w:t>
      </w:r>
      <w:r>
        <w:rPr>
          <w:rFonts w:hint="eastAsia" w:ascii="宋体" w:hAnsi="宋体"/>
          <w:sz w:val="21"/>
          <w:szCs w:val="21"/>
        </w:rPr>
        <w:t>包括响应文件和磋商时做出的书面承诺的培训。乙方另行提供的其它培训，往返路程费用、住宿及餐饮等费用由乙方承担。</w:t>
      </w:r>
    </w:p>
    <w:p>
      <w:pPr>
        <w:pStyle w:val="370"/>
        <w:numPr>
          <w:ilvl w:val="0"/>
          <w:numId w:val="10"/>
        </w:numPr>
        <w:tabs>
          <w:tab w:val="clear" w:pos="360"/>
        </w:tabs>
        <w:ind w:left="0" w:firstLine="0"/>
        <w:rPr>
          <w:rFonts w:ascii="宋体" w:hAnsi="宋体"/>
          <w:szCs w:val="21"/>
        </w:rPr>
      </w:pPr>
      <w:r>
        <w:rPr>
          <w:rFonts w:hint="eastAsia" w:ascii="宋体" w:hAnsi="宋体"/>
          <w:szCs w:val="21"/>
        </w:rPr>
        <w:t>原厂服务：</w:t>
      </w:r>
      <w:r>
        <w:rPr>
          <w:rFonts w:hint="eastAsia" w:ascii="宋体" w:hAnsi="宋体"/>
          <w:sz w:val="21"/>
          <w:szCs w:val="21"/>
        </w:rPr>
        <w:t>乙方所提供的技术服务都由各产品制造商原厂提供，所销售的产品均已包含3年期每周7天×24小时原厂服务。如乙方停止代理销售本合同涉及的品牌产品，则乙方保证由各产品制造商原厂继续提供所有的售后服务，且不免除乙方对此应承担的责任。</w:t>
      </w:r>
    </w:p>
    <w:p>
      <w:pPr>
        <w:numPr>
          <w:ilvl w:val="0"/>
          <w:numId w:val="10"/>
        </w:numPr>
        <w:adjustRightInd w:val="0"/>
        <w:snapToGrid w:val="0"/>
        <w:spacing w:line="360" w:lineRule="auto"/>
        <w:ind w:left="0" w:firstLine="0"/>
        <w:rPr>
          <w:rFonts w:ascii="宋体" w:hAnsi="宋体"/>
          <w:szCs w:val="21"/>
        </w:rPr>
      </w:pPr>
      <w:r>
        <w:rPr>
          <w:rFonts w:hint="eastAsia" w:ascii="宋体" w:hAnsi="宋体"/>
          <w:szCs w:val="21"/>
        </w:rPr>
        <w:t>如果在系统发生故障后，乙方未能按照要求时间排除系统故障，甲方有权请第三方解决问题，由此产生的费用由乙方承担。造成甲方业务损失的，由乙方承担相应责任。</w:t>
      </w:r>
    </w:p>
    <w:p>
      <w:pPr>
        <w:numPr>
          <w:ilvl w:val="0"/>
          <w:numId w:val="10"/>
        </w:numPr>
        <w:adjustRightInd w:val="0"/>
        <w:snapToGrid w:val="0"/>
        <w:spacing w:line="360" w:lineRule="auto"/>
        <w:ind w:left="360" w:hanging="360"/>
        <w:rPr>
          <w:rFonts w:ascii="宋体" w:hAnsi="宋体"/>
          <w:szCs w:val="21"/>
        </w:rPr>
      </w:pPr>
      <w:r>
        <w:rPr>
          <w:rFonts w:hint="eastAsia" w:ascii="宋体" w:hAnsi="宋体"/>
          <w:szCs w:val="21"/>
        </w:rPr>
        <w:t>乙方保证立即响应并至少通过电话做远程诊断，尝试排除故障或进行紧急处理。</w:t>
      </w:r>
    </w:p>
    <w:p>
      <w:pPr>
        <w:numPr>
          <w:ilvl w:val="0"/>
          <w:numId w:val="10"/>
        </w:numPr>
        <w:tabs>
          <w:tab w:val="left" w:pos="210"/>
        </w:tabs>
        <w:adjustRightInd w:val="0"/>
        <w:snapToGrid w:val="0"/>
        <w:spacing w:line="360" w:lineRule="auto"/>
        <w:ind w:left="0" w:firstLine="0"/>
        <w:rPr>
          <w:rFonts w:ascii="宋体" w:hAnsi="宋体"/>
          <w:szCs w:val="21"/>
        </w:rPr>
      </w:pPr>
      <w:r>
        <w:rPr>
          <w:rFonts w:hint="eastAsia" w:ascii="宋体" w:hAnsi="宋体"/>
          <w:szCs w:val="21"/>
        </w:rPr>
        <w:t>乙方保证提供完善的备件支持服务，用以保障甲方应急替换。若某部件发生故障，乙方承诺在6小时内为甲方替换部件。</w:t>
      </w:r>
    </w:p>
    <w:p>
      <w:pPr>
        <w:numPr>
          <w:ilvl w:val="0"/>
          <w:numId w:val="10"/>
        </w:numPr>
        <w:adjustRightInd w:val="0"/>
        <w:snapToGrid w:val="0"/>
        <w:spacing w:line="360" w:lineRule="auto"/>
        <w:ind w:left="360" w:hanging="360"/>
        <w:rPr>
          <w:rFonts w:ascii="宋体" w:hAnsi="宋体"/>
          <w:szCs w:val="21"/>
        </w:rPr>
      </w:pPr>
      <w:r>
        <w:rPr>
          <w:rFonts w:hint="eastAsia" w:ascii="宋体" w:hAnsi="宋体"/>
          <w:szCs w:val="21"/>
        </w:rPr>
        <w:t>乙方在招标人工地安装、调试期间，一切费用由乙方自理。</w:t>
      </w:r>
    </w:p>
    <w:p>
      <w:pPr>
        <w:numPr>
          <w:ilvl w:val="0"/>
          <w:numId w:val="10"/>
        </w:numPr>
        <w:adjustRightInd w:val="0"/>
        <w:snapToGrid w:val="0"/>
        <w:spacing w:line="360" w:lineRule="auto"/>
        <w:ind w:left="0" w:firstLine="0"/>
        <w:rPr>
          <w:rFonts w:ascii="宋体" w:hAnsi="宋体"/>
          <w:szCs w:val="21"/>
        </w:rPr>
      </w:pPr>
      <w:r>
        <w:rPr>
          <w:rFonts w:hint="eastAsia" w:ascii="宋体" w:hAnsi="宋体"/>
          <w:szCs w:val="21"/>
        </w:rPr>
        <w:t>乙方所供货物要求实行终身维保；乙方应提供货物最低使用年限，在此期间内，不应发生非人为操作原因的重大故障，否则甲方有权追溯乙方的责任。</w:t>
      </w:r>
    </w:p>
    <w:p>
      <w:pPr>
        <w:pStyle w:val="4"/>
        <w:numPr>
          <w:ilvl w:val="255"/>
          <w:numId w:val="0"/>
        </w:numPr>
        <w:adjustRightInd w:val="0"/>
        <w:snapToGrid w:val="0"/>
        <w:spacing w:before="0" w:after="0" w:line="360" w:lineRule="auto"/>
        <w:ind w:left="4"/>
        <w:jc w:val="both"/>
        <w:rPr>
          <w:rFonts w:ascii="宋体" w:hAnsi="宋体" w:eastAsia="宋体"/>
          <w:b/>
          <w:kern w:val="2"/>
          <w:sz w:val="21"/>
          <w:szCs w:val="21"/>
        </w:rPr>
      </w:pPr>
      <w:bookmarkStart w:id="26" w:name="_Toc72326303"/>
      <w:r>
        <w:rPr>
          <w:rFonts w:hint="eastAsia" w:ascii="宋体" w:hAnsi="宋体" w:eastAsia="宋体"/>
          <w:b/>
          <w:kern w:val="2"/>
          <w:sz w:val="21"/>
          <w:szCs w:val="21"/>
        </w:rPr>
        <w:t>十一、技术升级和优惠条件</w:t>
      </w:r>
      <w:bookmarkEnd w:id="26"/>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乙方对所开发软件在包修期内提供免费的不增加新功能的软件升级服务，并在该等升级后为甲方提供免费的培训。</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对所供硬件及第三方软件在设备寿命期内提供免费的软件升级服务（包括设备模板），并在升级后为</w:t>
      </w:r>
      <w:r>
        <w:rPr>
          <w:rFonts w:hint="eastAsia" w:ascii="宋体" w:hAnsi="宋体"/>
          <w:szCs w:val="21"/>
        </w:rPr>
        <w:t>甲方</w:t>
      </w:r>
      <w:r>
        <w:rPr>
          <w:rFonts w:ascii="宋体" w:hAnsi="宋体"/>
          <w:szCs w:val="21"/>
        </w:rPr>
        <w:t>提供免费的培训。</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承诺升级后的软件没有版权及权属争议等其它问题，并且保证到下次升级时可正常使用。</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ascii="宋体" w:hAnsi="宋体"/>
          <w:szCs w:val="21"/>
        </w:rPr>
        <w:t>本次合同范围，即</w:t>
      </w:r>
      <w:r>
        <w:rPr>
          <w:rFonts w:hint="eastAsia" w:ascii="宋体" w:hAnsi="宋体"/>
          <w:szCs w:val="21"/>
        </w:rPr>
        <w:t>“</w:t>
      </w:r>
      <w:r>
        <w:rPr>
          <w:rFonts w:ascii="宋体" w:hAnsi="宋体"/>
          <w:szCs w:val="21"/>
          <w:u w:val="single"/>
        </w:rPr>
        <w:t xml:space="preserve">      </w:t>
      </w:r>
      <w:r>
        <w:rPr>
          <w:rFonts w:hint="eastAsia" w:ascii="宋体" w:hAnsi="宋体"/>
          <w:szCs w:val="21"/>
        </w:rPr>
        <w:t>”</w:t>
      </w:r>
      <w:r>
        <w:rPr>
          <w:rFonts w:ascii="宋体" w:hAnsi="宋体"/>
          <w:szCs w:val="21"/>
        </w:rPr>
        <w:t>项目范围，对于系统今后新增设备和软件的所有集成，</w:t>
      </w:r>
      <w:r>
        <w:rPr>
          <w:rFonts w:hint="eastAsia" w:ascii="宋体" w:hAnsi="宋体"/>
          <w:szCs w:val="21"/>
        </w:rPr>
        <w:t>乙方</w:t>
      </w:r>
      <w:r>
        <w:rPr>
          <w:rFonts w:ascii="宋体" w:hAnsi="宋体"/>
          <w:szCs w:val="21"/>
        </w:rPr>
        <w:t>全部免收集成费。</w:t>
      </w:r>
    </w:p>
    <w:p>
      <w:pPr>
        <w:numPr>
          <w:ilvl w:val="0"/>
          <w:numId w:val="11"/>
        </w:numPr>
        <w:tabs>
          <w:tab w:val="clear" w:pos="420"/>
        </w:tabs>
        <w:adjustRightInd w:val="0"/>
        <w:snapToGrid w:val="0"/>
        <w:spacing w:line="360" w:lineRule="auto"/>
        <w:ind w:left="0" w:firstLine="0"/>
        <w:rPr>
          <w:rFonts w:ascii="宋体" w:hAnsi="宋体"/>
          <w:szCs w:val="21"/>
        </w:rPr>
      </w:pPr>
      <w:r>
        <w:rPr>
          <w:rFonts w:hint="eastAsia" w:ascii="宋体" w:hAnsi="宋体"/>
          <w:szCs w:val="21"/>
        </w:rPr>
        <w:t>甲方</w:t>
      </w:r>
      <w:r>
        <w:rPr>
          <w:rFonts w:ascii="宋体" w:hAnsi="宋体"/>
          <w:szCs w:val="21"/>
        </w:rPr>
        <w:t>在本系统扩容时，</w:t>
      </w:r>
      <w:r>
        <w:rPr>
          <w:rFonts w:hint="eastAsia" w:ascii="宋体" w:hAnsi="宋体"/>
          <w:szCs w:val="21"/>
        </w:rPr>
        <w:t>乙方</w:t>
      </w:r>
      <w:r>
        <w:rPr>
          <w:rFonts w:ascii="宋体" w:hAnsi="宋体"/>
          <w:szCs w:val="21"/>
        </w:rPr>
        <w:t>提供的同类设备、配件、软件及相关服务等报价应不高于本项目的中标价格、折扣，且不高于当时市场价格。</w:t>
      </w:r>
    </w:p>
    <w:p>
      <w:pPr>
        <w:numPr>
          <w:ilvl w:val="255"/>
          <w:numId w:val="0"/>
        </w:numPr>
        <w:adjustRightInd w:val="0"/>
        <w:snapToGrid w:val="0"/>
        <w:spacing w:line="360" w:lineRule="auto"/>
        <w:rPr>
          <w:rFonts w:ascii="宋体" w:hAnsi="宋体"/>
          <w:b/>
          <w:szCs w:val="21"/>
        </w:rPr>
      </w:pPr>
      <w:bookmarkStart w:id="27" w:name="_Toc72326304"/>
      <w:r>
        <w:rPr>
          <w:rFonts w:hint="eastAsia" w:ascii="宋体" w:hAnsi="宋体"/>
          <w:b/>
          <w:bCs/>
          <w:szCs w:val="21"/>
        </w:rPr>
        <w:t>十二</w:t>
      </w:r>
      <w:r>
        <w:rPr>
          <w:rFonts w:hint="eastAsia" w:ascii="宋体" w:hAnsi="宋体"/>
          <w:szCs w:val="21"/>
        </w:rPr>
        <w:t>、</w:t>
      </w:r>
      <w:bookmarkEnd w:id="27"/>
      <w:bookmarkStart w:id="28" w:name="_Toc72326305"/>
      <w:r>
        <w:rPr>
          <w:rFonts w:hint="eastAsia" w:ascii="宋体" w:hAnsi="宋体"/>
          <w:b/>
          <w:bCs/>
          <w:szCs w:val="21"/>
        </w:rPr>
        <w:t>双方责任</w:t>
      </w:r>
      <w:bookmarkEnd w:id="28"/>
    </w:p>
    <w:p>
      <w:pPr>
        <w:numPr>
          <w:ilvl w:val="255"/>
          <w:numId w:val="0"/>
        </w:numPr>
        <w:adjustRightInd w:val="0"/>
        <w:snapToGrid w:val="0"/>
        <w:spacing w:line="360" w:lineRule="auto"/>
        <w:rPr>
          <w:rFonts w:ascii="宋体" w:hAnsi="宋体"/>
          <w:szCs w:val="21"/>
        </w:rPr>
      </w:pPr>
      <w:r>
        <w:rPr>
          <w:rFonts w:hint="eastAsia" w:ascii="宋体" w:hAnsi="宋体"/>
          <w:szCs w:val="21"/>
        </w:rPr>
        <w:t>甲方责任</w:t>
      </w:r>
    </w:p>
    <w:p>
      <w:pPr>
        <w:numPr>
          <w:ilvl w:val="0"/>
          <w:numId w:val="12"/>
        </w:numPr>
        <w:adjustRightInd w:val="0"/>
        <w:snapToGrid w:val="0"/>
        <w:spacing w:line="360" w:lineRule="auto"/>
        <w:rPr>
          <w:rFonts w:ascii="宋体"/>
          <w:szCs w:val="21"/>
        </w:rPr>
      </w:pPr>
      <w:r>
        <w:rPr>
          <w:rFonts w:hint="eastAsia" w:ascii="宋体" w:hAnsi="宋体"/>
          <w:szCs w:val="21"/>
        </w:rPr>
        <w:t>甲方需为乙方提供项目实施便利，积极配合乙方进行项目实施安装及调试。</w:t>
      </w:r>
    </w:p>
    <w:p>
      <w:pPr>
        <w:numPr>
          <w:ilvl w:val="0"/>
          <w:numId w:val="12"/>
        </w:numPr>
        <w:adjustRightInd w:val="0"/>
        <w:snapToGrid w:val="0"/>
        <w:spacing w:line="360" w:lineRule="auto"/>
        <w:rPr>
          <w:rFonts w:ascii="宋体"/>
          <w:szCs w:val="21"/>
        </w:rPr>
      </w:pPr>
      <w:r>
        <w:rPr>
          <w:rFonts w:hint="eastAsia" w:ascii="宋体" w:hAnsi="宋体"/>
          <w:szCs w:val="21"/>
        </w:rPr>
        <w:t>甲方需为乙方协调各方关系提供便利。</w:t>
      </w:r>
    </w:p>
    <w:p>
      <w:pPr>
        <w:numPr>
          <w:ilvl w:val="0"/>
          <w:numId w:val="12"/>
        </w:numPr>
        <w:adjustRightInd w:val="0"/>
        <w:snapToGrid w:val="0"/>
        <w:spacing w:line="360" w:lineRule="auto"/>
        <w:rPr>
          <w:rFonts w:ascii="宋体"/>
          <w:szCs w:val="21"/>
        </w:rPr>
      </w:pPr>
      <w:r>
        <w:rPr>
          <w:rFonts w:hint="eastAsia" w:ascii="宋体" w:hAnsi="宋体"/>
          <w:szCs w:val="21"/>
        </w:rPr>
        <w:t>甲方应指派管理人员、技术人员参加项目系统安装、系统测试和其它工作。</w:t>
      </w:r>
    </w:p>
    <w:p>
      <w:pPr>
        <w:numPr>
          <w:ilvl w:val="0"/>
          <w:numId w:val="12"/>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因乙方未按合同质量或要求交货产品，甲方有权拒收，甲方的该项权利不因产品在启运前通过甲方的验收而受到任何限制或影响。</w:t>
      </w:r>
    </w:p>
    <w:p>
      <w:pPr>
        <w:numPr>
          <w:ilvl w:val="255"/>
          <w:numId w:val="0"/>
        </w:numPr>
        <w:adjustRightInd w:val="0"/>
        <w:snapToGrid w:val="0"/>
        <w:spacing w:line="360" w:lineRule="auto"/>
        <w:rPr>
          <w:rFonts w:ascii="宋体" w:hAnsi="宋体"/>
          <w:bCs/>
          <w:szCs w:val="21"/>
        </w:rPr>
      </w:pPr>
      <w:r>
        <w:rPr>
          <w:rFonts w:hint="eastAsia" w:ascii="宋体" w:hAnsi="宋体"/>
          <w:szCs w:val="21"/>
        </w:rPr>
        <w:t>乙方责任</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乙方承诺：除响应文件及后续书面承诺标明的偏离外，乙方提供的产品和服务均满足竞争性磋商文件要求。</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乙方应按照竞争性磋商文件、响应文件、乙方后续书面承诺的技术要求以及甲乙双方协定补充文件，提供合格的产品，并保证通过甲方的验收。</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在系统安装、调试、开发过程中，乙方须保证不影响甲方现有系统的正常运行和现有业务的正常发展。</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乙方保证在系统安装、调试、开发过程中不非法使用第三方软件，否则由此产生的纠纷由乙方自行负责。</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在产品安装、调试、开发过程中须派驻足够的有经验的工程技术人员到施工现场进行安装指导，在甲方的组织安排下负责完成系统调试、现场性能试验和验收，服从甲方的现场安排。非因甲方原因，乙方人员遭受人身、财产损害，或乙方人员造成甲方、第三人人身财产损害的，由乙方承担全部责任。</w:t>
      </w:r>
    </w:p>
    <w:p>
      <w:pPr>
        <w:numPr>
          <w:ilvl w:val="0"/>
          <w:numId w:val="13"/>
        </w:numPr>
        <w:adjustRightInd w:val="0"/>
        <w:snapToGrid w:val="0"/>
        <w:spacing w:line="360" w:lineRule="auto"/>
        <w:rPr>
          <w:rFonts w:ascii="宋体"/>
          <w:szCs w:val="21"/>
        </w:rPr>
      </w:pPr>
      <w:r>
        <w:rPr>
          <w:rFonts w:hint="eastAsia" w:ascii="宋体" w:hAnsi="宋体"/>
          <w:szCs w:val="21"/>
        </w:rPr>
        <w:t>乙方按照要求提供产品合格证书、产品检测记录、调试记录等技术资料。</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乙方负责与硬件设备相配套的软件厂家、其它设备的制造商、第三方软件厂家和售后服务部门等联系沟通，完成安装、调试，配置相关的产品。</w:t>
      </w:r>
    </w:p>
    <w:p>
      <w:pPr>
        <w:numPr>
          <w:ilvl w:val="0"/>
          <w:numId w:val="13"/>
        </w:numPr>
        <w:adjustRightInd w:val="0"/>
        <w:snapToGrid w:val="0"/>
        <w:spacing w:line="360" w:lineRule="auto"/>
        <w:rPr>
          <w:rFonts w:ascii="宋体"/>
          <w:szCs w:val="21"/>
        </w:rPr>
      </w:pPr>
      <w:r>
        <w:rPr>
          <w:rFonts w:hint="eastAsia" w:ascii="宋体" w:hAnsi="宋体"/>
          <w:szCs w:val="21"/>
        </w:rPr>
        <w:t>乙方负责配合相关厂家，定期检查产品、及时排查硬件故障。</w:t>
      </w:r>
    </w:p>
    <w:p>
      <w:pPr>
        <w:numPr>
          <w:ilvl w:val="0"/>
          <w:numId w:val="13"/>
        </w:numPr>
        <w:adjustRightInd w:val="0"/>
        <w:snapToGrid w:val="0"/>
        <w:spacing w:line="360" w:lineRule="auto"/>
        <w:rPr>
          <w:rFonts w:ascii="宋体"/>
          <w:szCs w:val="21"/>
        </w:rPr>
      </w:pPr>
      <w:r>
        <w:rPr>
          <w:rFonts w:hint="eastAsia" w:ascii="宋体" w:hAnsi="宋体"/>
          <w:szCs w:val="21"/>
        </w:rPr>
        <w:t>乙方未按合同规定的质量要求交货产品，甲方拒收时，乙方应承担合同的违约责任。</w:t>
      </w:r>
    </w:p>
    <w:p>
      <w:pPr>
        <w:numPr>
          <w:ilvl w:val="0"/>
          <w:numId w:val="13"/>
        </w:numPr>
        <w:adjustRightInd w:val="0"/>
        <w:snapToGrid w:val="0"/>
        <w:spacing w:line="360" w:lineRule="auto"/>
        <w:rPr>
          <w:rFonts w:ascii="宋体"/>
          <w:szCs w:val="21"/>
        </w:rPr>
      </w:pPr>
      <w:r>
        <w:rPr>
          <w:rFonts w:hint="eastAsia" w:ascii="宋体" w:hAnsi="宋体"/>
          <w:szCs w:val="21"/>
        </w:rPr>
        <w:t>迟延履行，甲方书面确定一个合理的期限，如乙方仍不能履行，按乙方不履行合同处理。</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本合同所有产品的制造，都必须由响应文件和磋商时做出的书面承诺中明确的制造商承担，否则将按乙方不履行合同处理。</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乙方保证不在软件中对功能、性能、容量进行人为限制，不得含有陷阱、逻辑炸弹、后门等非法程序代码。</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pPr>
        <w:numPr>
          <w:ilvl w:val="0"/>
          <w:numId w:val="13"/>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保证，甲方在其本国使用供应商提供的货物或服务时，不存在任何已知的不合法的情形，也不存在任何已知的与第三方专利权、著作权、商标权或工业设计权相关的任何争议。如果有任何因甲方使用乙方提供的货物及</w:t>
      </w:r>
      <w:r>
        <w:rPr>
          <w:rFonts w:ascii="宋体" w:hAnsi="宋体"/>
          <w:szCs w:val="21"/>
        </w:rPr>
        <w:t>/</w:t>
      </w:r>
      <w:r>
        <w:rPr>
          <w:rFonts w:hint="eastAsia" w:ascii="宋体" w:hAnsi="宋体"/>
          <w:szCs w:val="21"/>
        </w:rPr>
        <w:t>或服务而提起的侵权指控，乙方须依法承担全部责任</w:t>
      </w:r>
    </w:p>
    <w:p>
      <w:pPr>
        <w:pStyle w:val="4"/>
        <w:numPr>
          <w:ilvl w:val="255"/>
          <w:numId w:val="0"/>
        </w:numPr>
        <w:adjustRightInd w:val="0"/>
        <w:snapToGrid w:val="0"/>
        <w:spacing w:before="0" w:after="0" w:line="360" w:lineRule="auto"/>
        <w:ind w:left="4"/>
        <w:jc w:val="both"/>
        <w:rPr>
          <w:rFonts w:ascii="宋体" w:hAnsi="宋体" w:eastAsia="宋体"/>
          <w:b/>
          <w:kern w:val="2"/>
          <w:sz w:val="21"/>
          <w:szCs w:val="21"/>
        </w:rPr>
      </w:pPr>
      <w:bookmarkStart w:id="29" w:name="_Toc72326306"/>
      <w:r>
        <w:rPr>
          <w:rFonts w:hint="eastAsia" w:ascii="宋体" w:hAnsi="宋体" w:eastAsia="宋体"/>
          <w:b/>
          <w:kern w:val="2"/>
          <w:sz w:val="21"/>
          <w:szCs w:val="21"/>
        </w:rPr>
        <w:t>十三、违约责任</w:t>
      </w:r>
      <w:bookmarkEnd w:id="29"/>
    </w:p>
    <w:p>
      <w:pPr>
        <w:numPr>
          <w:ilvl w:val="0"/>
          <w:numId w:val="14"/>
        </w:numPr>
        <w:adjustRightInd w:val="0"/>
        <w:snapToGrid w:val="0"/>
        <w:spacing w:line="360" w:lineRule="auto"/>
        <w:rPr>
          <w:rFonts w:ascii="宋体" w:hAnsi="宋体"/>
          <w:szCs w:val="21"/>
        </w:rPr>
      </w:pPr>
      <w:r>
        <w:rPr>
          <w:rFonts w:hint="eastAsia" w:ascii="宋体" w:hAnsi="宋体"/>
          <w:szCs w:val="21"/>
        </w:rPr>
        <w:t>乙方承担本合同约定事项的违约责任，且不因设备或软是由第三方制造或开发设计等因素而受到影响。</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由于乙方提供的开发服务不符合竞争性磋商文件及本合同第四条所规定的要求时，甲方有权要求乙方更换，如果乙方产品在更换后仍不符合要求，甲方有权终止合同，乙方应支付合同总额20%的违约金给甲方。</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若甲方已有系统是由乙方提供开发服务的，则乙方应按甲方要求进行技术服务，保证业务的正常运营和系统的正常运行，否则甲方有权终止本合同。</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在合同规定的包修期内，如果乙方维修售后服务不及时，产品质量不稳定，则甲方有权酌情扣除质量保证金，并追究乙方赔偿损失的责任。</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在合同规定的包修期内，如因乙方原因造成甲方其他经济损失的，乙方须承担赔偿损失的责任。</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甲方有权根据当地质检部门出具的检验报告，就乙方提供的开发服务及系统质量问题向乙方提出索赔，检测费用由乙方承担。</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如果在甲方发出索赔通知后20日内，乙方未作书面答复，视为乙方接受索赔要求，乙方应当立即支付赔偿金。</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违约导致甲方终止合同的，在乙方应将甲方已付的所有合同价款及利息退还甲方，此后，甲方将相关系统成果及资料退还乙方，要求乙方承担本合同约定的违约责任，乙方应支付甲方合同总价款的20%作为违约金，同时赔偿因此给甲方造成的全部损失。</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无论本合同其他条款如何规定，因乙方违约（包括但不限于：违反对系统、软件性能、功能的担保等）需对甲方承担的违约责任和赔偿总额累计不超过合同总额（但此赔偿不能解除乙方相关责任、义务的继续履行，如修正、更换）；且乙方对甲方赔偿金的支付已被认为足额补偿采购人的全部损失。</w:t>
      </w:r>
    </w:p>
    <w:p>
      <w:pPr>
        <w:pStyle w:val="4"/>
        <w:numPr>
          <w:ilvl w:val="255"/>
          <w:numId w:val="0"/>
        </w:numPr>
        <w:adjustRightInd w:val="0"/>
        <w:snapToGrid w:val="0"/>
        <w:spacing w:before="0" w:after="0" w:line="360" w:lineRule="auto"/>
        <w:ind w:left="4"/>
        <w:jc w:val="both"/>
        <w:rPr>
          <w:rFonts w:ascii="宋体" w:hAnsi="宋体" w:eastAsia="宋体"/>
          <w:b/>
          <w:kern w:val="2"/>
          <w:sz w:val="21"/>
          <w:szCs w:val="21"/>
        </w:rPr>
      </w:pPr>
      <w:bookmarkStart w:id="30" w:name="_Toc72326307"/>
      <w:r>
        <w:rPr>
          <w:rFonts w:hint="eastAsia" w:ascii="宋体" w:hAnsi="宋体" w:eastAsia="宋体"/>
          <w:b/>
          <w:kern w:val="2"/>
          <w:sz w:val="21"/>
          <w:szCs w:val="21"/>
        </w:rPr>
        <w:t>十四、廉洁条款</w:t>
      </w:r>
      <w:bookmarkEnd w:id="30"/>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pPr>
        <w:pStyle w:val="4"/>
        <w:numPr>
          <w:ilvl w:val="255"/>
          <w:numId w:val="0"/>
        </w:numPr>
        <w:adjustRightInd w:val="0"/>
        <w:snapToGrid w:val="0"/>
        <w:spacing w:before="0" w:after="0" w:line="360" w:lineRule="auto"/>
        <w:ind w:left="4"/>
        <w:jc w:val="both"/>
        <w:rPr>
          <w:rFonts w:ascii="宋体" w:hAnsi="宋体" w:eastAsia="宋体"/>
          <w:b/>
          <w:kern w:val="2"/>
          <w:sz w:val="21"/>
          <w:szCs w:val="21"/>
        </w:rPr>
      </w:pPr>
      <w:bookmarkStart w:id="31" w:name="_Toc72326308"/>
      <w:r>
        <w:rPr>
          <w:rFonts w:hint="eastAsia" w:ascii="宋体" w:hAnsi="宋体" w:eastAsia="宋体"/>
          <w:b/>
          <w:kern w:val="2"/>
          <w:sz w:val="21"/>
          <w:szCs w:val="21"/>
        </w:rPr>
        <w:t>十五、不可抗力</w:t>
      </w:r>
      <w:bookmarkEnd w:id="31"/>
    </w:p>
    <w:p>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当发生不可抗拒事故时，受影响一方应于</w:t>
      </w:r>
      <w:r>
        <w:rPr>
          <w:rFonts w:ascii="宋体" w:hAnsi="宋体"/>
          <w:szCs w:val="21"/>
        </w:rPr>
        <w:t>10</w:t>
      </w:r>
      <w:r>
        <w:rPr>
          <w:rFonts w:hint="eastAsia" w:ascii="宋体" w:hAnsi="宋体"/>
          <w:szCs w:val="21"/>
        </w:rPr>
        <w:t>日内以书面形式通知对方，以减轻可能给对方造成的损失，并应当在合理期限内提供公证机构出具的有效证明文件证明。</w:t>
      </w:r>
    </w:p>
    <w:p>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当不可抗力事故终止后，受影响一方应以书面的形式通知对方，双方商定合同是否继续履行。</w:t>
      </w:r>
    </w:p>
    <w:p>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不可抗力，互不追究或承担违约责任。但有违约因素的除外。</w:t>
      </w:r>
    </w:p>
    <w:p>
      <w:pPr>
        <w:pStyle w:val="4"/>
        <w:numPr>
          <w:ilvl w:val="255"/>
          <w:numId w:val="0"/>
        </w:numPr>
        <w:adjustRightInd w:val="0"/>
        <w:snapToGrid w:val="0"/>
        <w:spacing w:before="0" w:after="0" w:line="360" w:lineRule="auto"/>
        <w:ind w:left="4"/>
        <w:jc w:val="both"/>
        <w:rPr>
          <w:rFonts w:ascii="宋体" w:hAnsi="宋体" w:eastAsia="宋体"/>
          <w:b/>
          <w:kern w:val="2"/>
          <w:sz w:val="21"/>
          <w:szCs w:val="21"/>
        </w:rPr>
      </w:pPr>
      <w:bookmarkStart w:id="32" w:name="_Toc72326309"/>
      <w:r>
        <w:rPr>
          <w:rFonts w:hint="eastAsia" w:ascii="宋体" w:hAnsi="宋体" w:eastAsia="宋体"/>
          <w:b/>
          <w:kern w:val="2"/>
          <w:sz w:val="21"/>
          <w:szCs w:val="21"/>
        </w:rPr>
        <w:t>十六、解决纠纷的方式</w:t>
      </w:r>
      <w:bookmarkEnd w:id="32"/>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凡由执行本合同引起或与合同有关的争议，均应通过友好协商解决；协商不成的，由甲方所在地有管辖权的人民法院裁决。</w:t>
      </w:r>
    </w:p>
    <w:p>
      <w:pPr>
        <w:numPr>
          <w:ilvl w:val="0"/>
          <w:numId w:val="17"/>
        </w:numPr>
        <w:adjustRightInd w:val="0"/>
        <w:snapToGrid w:val="0"/>
        <w:spacing w:line="360" w:lineRule="auto"/>
        <w:rPr>
          <w:rFonts w:ascii="宋体"/>
          <w:szCs w:val="21"/>
        </w:rPr>
      </w:pPr>
      <w:r>
        <w:rPr>
          <w:rFonts w:hint="eastAsia" w:ascii="宋体" w:hAnsi="宋体"/>
          <w:szCs w:val="21"/>
        </w:rPr>
        <w:t>除争议事项待处理外，双方应继续执行合同无争议部分，除非无争议部分不可单独履行。</w:t>
      </w:r>
    </w:p>
    <w:p>
      <w:pPr>
        <w:numPr>
          <w:ilvl w:val="0"/>
          <w:numId w:val="17"/>
        </w:numPr>
        <w:adjustRightInd w:val="0"/>
        <w:snapToGrid w:val="0"/>
        <w:spacing w:line="360" w:lineRule="auto"/>
        <w:rPr>
          <w:rFonts w:ascii="宋体"/>
          <w:szCs w:val="21"/>
        </w:rPr>
      </w:pPr>
      <w:r>
        <w:rPr>
          <w:rFonts w:hint="eastAsia" w:ascii="宋体" w:hAnsi="宋体"/>
          <w:szCs w:val="21"/>
        </w:rPr>
        <w:t>本合同适用于中华人民共和国大陆地区现行有效的法律。</w:t>
      </w:r>
    </w:p>
    <w:p>
      <w:pPr>
        <w:pStyle w:val="4"/>
        <w:numPr>
          <w:ilvl w:val="255"/>
          <w:numId w:val="0"/>
        </w:numPr>
        <w:adjustRightInd w:val="0"/>
        <w:snapToGrid w:val="0"/>
        <w:spacing w:before="0" w:after="0" w:line="360" w:lineRule="auto"/>
        <w:ind w:left="4"/>
        <w:jc w:val="both"/>
        <w:rPr>
          <w:rFonts w:ascii="宋体" w:hAnsi="宋体" w:eastAsia="宋体"/>
          <w:b/>
          <w:kern w:val="2"/>
          <w:sz w:val="21"/>
          <w:szCs w:val="21"/>
        </w:rPr>
      </w:pPr>
      <w:bookmarkStart w:id="33" w:name="_Toc72326310"/>
      <w:r>
        <w:rPr>
          <w:rFonts w:hint="eastAsia" w:ascii="宋体" w:hAnsi="宋体" w:eastAsia="宋体"/>
          <w:b/>
          <w:kern w:val="2"/>
          <w:sz w:val="21"/>
          <w:szCs w:val="21"/>
        </w:rPr>
        <w:t>十七、合同生效及其他</w:t>
      </w:r>
      <w:bookmarkEnd w:id="33"/>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合同的生效期：本合同一式四份（甲乙双方各二份），每份均具有同等法律效力，自甲乙双方盖章之日起生效。</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本合同所有附件为本合同不可分割的组成部分，与合同正文有同等的法律效力：</w:t>
      </w:r>
    </w:p>
    <w:p>
      <w:pPr>
        <w:adjustRightInd w:val="0"/>
        <w:snapToGrid w:val="0"/>
        <w:spacing w:line="360" w:lineRule="auto"/>
        <w:rPr>
          <w:rFonts w:ascii="宋体"/>
          <w:szCs w:val="21"/>
        </w:rPr>
      </w:pPr>
      <w:r>
        <w:rPr>
          <w:rFonts w:hint="eastAsia" w:ascii="宋体" w:hAnsi="宋体"/>
          <w:szCs w:val="21"/>
        </w:rPr>
        <w:t>（1）甲方的竞争性磋商文件、乙方的响应文件、乙方的</w:t>
      </w:r>
      <w:r>
        <w:rPr>
          <w:rFonts w:ascii="宋体" w:hAnsi="宋体"/>
          <w:szCs w:val="21"/>
        </w:rPr>
        <w:t>报价</w:t>
      </w:r>
      <w:r>
        <w:rPr>
          <w:rFonts w:hint="eastAsia" w:ascii="宋体" w:hAnsi="宋体"/>
          <w:szCs w:val="21"/>
        </w:rPr>
        <w:t>表、磋商时乙方做出的书面承诺及其它补充修改的部分；</w:t>
      </w:r>
    </w:p>
    <w:p>
      <w:pPr>
        <w:adjustRightInd w:val="0"/>
        <w:snapToGrid w:val="0"/>
        <w:spacing w:line="360" w:lineRule="auto"/>
        <w:rPr>
          <w:rFonts w:ascii="宋体"/>
          <w:szCs w:val="21"/>
        </w:rPr>
      </w:pPr>
      <w:r>
        <w:rPr>
          <w:rFonts w:hint="eastAsia" w:ascii="宋体" w:hAnsi="宋体"/>
          <w:szCs w:val="21"/>
        </w:rPr>
        <w:t>（2）在执行本合同期间，甲乙双方的所有通知均应采用书面的方式。</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本合同与上述文件如对相同内容有不同约定，且约定内容有冲突的，除另有特别约定外，依下列原则处理：</w:t>
      </w:r>
    </w:p>
    <w:p>
      <w:pPr>
        <w:adjustRightInd w:val="0"/>
        <w:snapToGrid w:val="0"/>
        <w:spacing w:line="360" w:lineRule="auto"/>
        <w:rPr>
          <w:rFonts w:ascii="宋体"/>
          <w:szCs w:val="21"/>
        </w:rPr>
      </w:pPr>
      <w:r>
        <w:rPr>
          <w:rFonts w:hint="eastAsia" w:ascii="宋体" w:hAnsi="宋体"/>
          <w:szCs w:val="21"/>
        </w:rPr>
        <w:t>（1）合同条款优先于竞争性磋商文件和响应文件条款；</w:t>
      </w:r>
    </w:p>
    <w:p>
      <w:pPr>
        <w:adjustRightInd w:val="0"/>
        <w:snapToGrid w:val="0"/>
        <w:spacing w:line="360" w:lineRule="auto"/>
        <w:rPr>
          <w:rFonts w:ascii="宋体"/>
          <w:szCs w:val="21"/>
        </w:rPr>
      </w:pPr>
      <w:r>
        <w:rPr>
          <w:rFonts w:hint="eastAsia" w:ascii="宋体" w:hAnsi="宋体"/>
          <w:szCs w:val="21"/>
        </w:rPr>
        <w:t>（2）在后文件的效力优先于在先文件的效力。</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甲乙双方对合同条款的理解有争议时，应当按照合同的有关条款、合同的目的、交易习惯以及诚实信用原则，确定该条款的真实含义。</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对本合同的任何修改和增补，以双方盖章的书面文件为准。</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甲乙双方对本合同中产品的具体价格和交易方式有保密的责任，未经对方的书面许可，任何一方不得向第三方透露。</w:t>
      </w:r>
    </w:p>
    <w:p>
      <w:pPr>
        <w:numPr>
          <w:ilvl w:val="0"/>
          <w:numId w:val="18"/>
        </w:numPr>
        <w:adjustRightInd w:val="0"/>
        <w:snapToGrid w:val="0"/>
        <w:spacing w:line="360" w:lineRule="auto"/>
        <w:rPr>
          <w:rFonts w:ascii="宋体"/>
          <w:szCs w:val="21"/>
        </w:rPr>
      </w:pPr>
      <w:r>
        <w:rPr>
          <w:rFonts w:hint="eastAsia" w:ascii="宋体" w:hAnsi="宋体"/>
          <w:szCs w:val="21"/>
        </w:rPr>
        <w:t>本合同中的未尽事宜，甲乙双方协商解决，并按《中华人民共和国民法典》调整。</w:t>
      </w:r>
    </w:p>
    <w:p>
      <w:pPr>
        <w:pStyle w:val="4"/>
        <w:numPr>
          <w:ilvl w:val="255"/>
          <w:numId w:val="0"/>
        </w:numPr>
        <w:adjustRightInd w:val="0"/>
        <w:snapToGrid w:val="0"/>
        <w:spacing w:before="0" w:after="0" w:line="360" w:lineRule="auto"/>
        <w:ind w:left="4"/>
        <w:jc w:val="left"/>
        <w:rPr>
          <w:rFonts w:ascii="宋体" w:hAnsi="宋体" w:eastAsia="宋体"/>
          <w:b/>
          <w:kern w:val="2"/>
          <w:sz w:val="21"/>
          <w:szCs w:val="21"/>
        </w:rPr>
      </w:pPr>
      <w:bookmarkStart w:id="34" w:name="_Toc72326311"/>
      <w:r>
        <w:rPr>
          <w:rFonts w:hint="eastAsia" w:ascii="宋体" w:hAnsi="宋体" w:eastAsia="宋体"/>
          <w:b/>
          <w:kern w:val="2"/>
          <w:sz w:val="21"/>
          <w:szCs w:val="21"/>
        </w:rPr>
        <w:t>十九、附件列表</w:t>
      </w:r>
      <w:bookmarkEnd w:id="34"/>
    </w:p>
    <w:p>
      <w:pPr>
        <w:adjustRightInd w:val="0"/>
        <w:snapToGrid w:val="0"/>
        <w:spacing w:line="360" w:lineRule="auto"/>
        <w:rPr>
          <w:rFonts w:ascii="宋体" w:hAnsi="宋体"/>
          <w:szCs w:val="21"/>
        </w:rPr>
      </w:pPr>
      <w:r>
        <w:rPr>
          <w:rFonts w:hint="eastAsia" w:ascii="宋体" w:hAnsi="宋体"/>
          <w:szCs w:val="21"/>
        </w:rPr>
        <w:t>相关文件的优先支配地位的次序如下：</w:t>
      </w:r>
    </w:p>
    <w:p>
      <w:pPr>
        <w:adjustRightInd w:val="0"/>
        <w:snapToGrid w:val="0"/>
        <w:spacing w:line="360" w:lineRule="auto"/>
        <w:rPr>
          <w:rFonts w:ascii="宋体"/>
          <w:szCs w:val="21"/>
        </w:rPr>
      </w:pPr>
      <w:r>
        <w:rPr>
          <w:rFonts w:hint="eastAsia" w:ascii="宋体" w:hAnsi="宋体"/>
          <w:szCs w:val="21"/>
        </w:rPr>
        <w:t>附件一供货清单（包含产品名称、规格型号和配置、数量和总价）</w:t>
      </w:r>
    </w:p>
    <w:p>
      <w:pPr>
        <w:adjustRightInd w:val="0"/>
        <w:snapToGrid w:val="0"/>
        <w:spacing w:line="360" w:lineRule="auto"/>
        <w:rPr>
          <w:rFonts w:ascii="宋体"/>
          <w:szCs w:val="21"/>
        </w:rPr>
      </w:pPr>
      <w:r>
        <w:rPr>
          <w:rFonts w:hint="eastAsia" w:ascii="宋体" w:hAnsi="宋体"/>
          <w:szCs w:val="21"/>
        </w:rPr>
        <w:t>附件二中标通知书</w:t>
      </w:r>
    </w:p>
    <w:p>
      <w:pPr>
        <w:adjustRightInd w:val="0"/>
        <w:snapToGrid w:val="0"/>
        <w:spacing w:line="360" w:lineRule="auto"/>
        <w:rPr>
          <w:rFonts w:ascii="宋体"/>
          <w:szCs w:val="21"/>
        </w:rPr>
      </w:pPr>
      <w:r>
        <w:rPr>
          <w:rFonts w:hint="eastAsia" w:ascii="宋体" w:hAnsi="宋体"/>
          <w:szCs w:val="21"/>
        </w:rPr>
        <w:t>附件三响应文件</w:t>
      </w:r>
      <w:r>
        <w:rPr>
          <w:rFonts w:ascii="宋体" w:hAnsi="宋体"/>
          <w:szCs w:val="21"/>
        </w:rPr>
        <w:t>(</w:t>
      </w:r>
      <w:r>
        <w:rPr>
          <w:rFonts w:hint="eastAsia" w:ascii="宋体" w:hAnsi="宋体"/>
          <w:szCs w:val="21"/>
        </w:rPr>
        <w:t>包括澄清文件</w:t>
      </w:r>
      <w:r>
        <w:rPr>
          <w:rFonts w:ascii="宋体" w:hAnsi="宋体"/>
          <w:szCs w:val="21"/>
        </w:rPr>
        <w:t>)</w:t>
      </w:r>
    </w:p>
    <w:p>
      <w:pPr>
        <w:adjustRightInd w:val="0"/>
        <w:snapToGrid w:val="0"/>
        <w:spacing w:line="360" w:lineRule="auto"/>
        <w:rPr>
          <w:rFonts w:ascii="宋体"/>
          <w:szCs w:val="21"/>
        </w:rPr>
      </w:pPr>
      <w:r>
        <w:rPr>
          <w:rFonts w:hint="eastAsia" w:ascii="宋体" w:hAnsi="宋体"/>
          <w:szCs w:val="21"/>
        </w:rPr>
        <w:t>附件四竞争性磋商文件</w:t>
      </w:r>
      <w:r>
        <w:rPr>
          <w:rFonts w:ascii="宋体" w:hAnsi="宋体"/>
          <w:szCs w:val="21"/>
        </w:rPr>
        <w:t>(</w:t>
      </w:r>
      <w:r>
        <w:rPr>
          <w:rFonts w:hint="eastAsia" w:ascii="宋体" w:hAnsi="宋体"/>
          <w:szCs w:val="21"/>
        </w:rPr>
        <w:t>含竞争性磋商文件补充通知</w:t>
      </w:r>
      <w:r>
        <w:rPr>
          <w:rFonts w:ascii="宋体" w:hAnsi="宋体"/>
          <w:szCs w:val="21"/>
        </w:rPr>
        <w:t>)</w:t>
      </w: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rPr>
        <w:t>乙方</w:t>
      </w:r>
      <w:r>
        <w:rPr>
          <w:szCs w:val="21"/>
        </w:rPr>
        <w:t>：</w:t>
      </w:r>
      <w:r>
        <w:rPr>
          <w:szCs w:val="21"/>
          <w:u w:val="single"/>
        </w:rPr>
        <w:t xml:space="preserve">                       公司</w:t>
      </w:r>
    </w:p>
    <w:p>
      <w:pPr>
        <w:adjustRightInd w:val="0"/>
        <w:snapToGrid w:val="0"/>
        <w:spacing w:line="360" w:lineRule="auto"/>
        <w:rPr>
          <w:szCs w:val="21"/>
        </w:rPr>
      </w:pPr>
      <w:r>
        <w:rPr>
          <w:szCs w:val="21"/>
        </w:rPr>
        <w:t>（盖章）_________________________          （盖章）_______________________</w:t>
      </w:r>
    </w:p>
    <w:p>
      <w:pPr>
        <w:adjustRightInd w:val="0"/>
        <w:snapToGrid w:val="0"/>
        <w:spacing w:line="360" w:lineRule="auto"/>
        <w:ind w:firstLine="35" w:firstLineChars="17"/>
        <w:rPr>
          <w:szCs w:val="21"/>
        </w:rPr>
      </w:pPr>
      <w:r>
        <w:rPr>
          <w:szCs w:val="21"/>
        </w:rPr>
        <w:t>法人代表或授权代表：____________           法人代表或授权代表：_________________</w:t>
      </w:r>
    </w:p>
    <w:p>
      <w:pPr>
        <w:adjustRightInd w:val="0"/>
        <w:snapToGrid w:val="0"/>
        <w:spacing w:line="360" w:lineRule="auto"/>
        <w:ind w:firstLine="105" w:firstLineChars="50"/>
        <w:rPr>
          <w:szCs w:val="21"/>
        </w:rPr>
      </w:pPr>
      <w:r>
        <w:rPr>
          <w:szCs w:val="21"/>
        </w:rPr>
        <w:t>地址：___________________                  地址：____________________</w:t>
      </w:r>
    </w:p>
    <w:p>
      <w:pPr>
        <w:adjustRightInd w:val="0"/>
        <w:snapToGrid w:val="0"/>
        <w:spacing w:line="360" w:lineRule="auto"/>
        <w:ind w:firstLine="105" w:firstLineChars="50"/>
        <w:rPr>
          <w:szCs w:val="21"/>
        </w:rPr>
      </w:pPr>
      <w:r>
        <w:rPr>
          <w:szCs w:val="21"/>
        </w:rPr>
        <w:t>电话：</w:t>
      </w:r>
      <w:r>
        <w:rPr>
          <w:szCs w:val="21"/>
          <w:u w:val="single"/>
        </w:rPr>
        <w:t xml:space="preserve">                    </w:t>
      </w:r>
      <w:r>
        <w:rPr>
          <w:szCs w:val="21"/>
        </w:rPr>
        <w:t xml:space="preserve">                 电话：___________________</w:t>
      </w:r>
    </w:p>
    <w:p>
      <w:pPr>
        <w:adjustRightInd w:val="0"/>
        <w:snapToGrid w:val="0"/>
        <w:spacing w:line="360" w:lineRule="auto"/>
        <w:ind w:firstLine="105" w:firstLineChars="50"/>
        <w:rPr>
          <w:szCs w:val="21"/>
        </w:rPr>
      </w:pPr>
      <w:r>
        <w:rPr>
          <w:szCs w:val="21"/>
        </w:rPr>
        <w:t>传真：</w:t>
      </w:r>
      <w:r>
        <w:rPr>
          <w:rFonts w:hint="eastAsia"/>
          <w:szCs w:val="21"/>
        </w:rPr>
        <w:t xml:space="preserve"> </w:t>
      </w:r>
      <w:r>
        <w:rPr>
          <w:szCs w:val="21"/>
          <w:u w:val="single"/>
        </w:rPr>
        <w:t xml:space="preserve">                </w:t>
      </w:r>
      <w:r>
        <w:rPr>
          <w:szCs w:val="21"/>
        </w:rPr>
        <w:t xml:space="preserve">                    传真：___________________</w:t>
      </w:r>
    </w:p>
    <w:p>
      <w:pPr>
        <w:adjustRightInd w:val="0"/>
        <w:snapToGrid w:val="0"/>
        <w:spacing w:line="360" w:lineRule="auto"/>
        <w:ind w:firstLine="105" w:firstLineChars="50"/>
        <w:rPr>
          <w:szCs w:val="21"/>
        </w:rPr>
      </w:pPr>
      <w:r>
        <w:rPr>
          <w:szCs w:val="21"/>
        </w:rPr>
        <w:t>邮编：</w:t>
      </w:r>
      <w:r>
        <w:rPr>
          <w:rFonts w:hint="eastAsia"/>
          <w:szCs w:val="21"/>
        </w:rPr>
        <w:t xml:space="preserve"> </w:t>
      </w:r>
      <w:r>
        <w:rPr>
          <w:szCs w:val="21"/>
          <w:u w:val="single"/>
        </w:rPr>
        <w:t xml:space="preserve">                  </w:t>
      </w:r>
      <w:r>
        <w:rPr>
          <w:szCs w:val="21"/>
        </w:rPr>
        <w:t xml:space="preserve">                 邮编：___________________</w:t>
      </w:r>
    </w:p>
    <w:p>
      <w:pPr>
        <w:adjustRightInd w:val="0"/>
        <w:snapToGrid w:val="0"/>
        <w:spacing w:line="360" w:lineRule="auto"/>
        <w:ind w:firstLine="105" w:firstLineChars="50"/>
        <w:rPr>
          <w:szCs w:val="21"/>
          <w:u w:val="single"/>
        </w:rPr>
      </w:pPr>
      <w:r>
        <w:rPr>
          <w:szCs w:val="21"/>
        </w:rPr>
        <w:t>开户银行：</w:t>
      </w:r>
      <w:r>
        <w:rPr>
          <w:rFonts w:hint="eastAsia"/>
          <w:szCs w:val="21"/>
        </w:rPr>
        <w:t xml:space="preserve"> </w:t>
      </w:r>
      <w:r>
        <w:rPr>
          <w:szCs w:val="21"/>
          <w:u w:val="single"/>
        </w:rPr>
        <w:t xml:space="preserve">                 </w:t>
      </w:r>
      <w:r>
        <w:rPr>
          <w:szCs w:val="21"/>
        </w:rPr>
        <w:t xml:space="preserve">              开户银行：___________________</w:t>
      </w:r>
    </w:p>
    <w:p>
      <w:pPr>
        <w:adjustRightInd w:val="0"/>
        <w:snapToGrid w:val="0"/>
        <w:spacing w:line="360" w:lineRule="auto"/>
        <w:ind w:firstLine="105" w:firstLineChars="50"/>
        <w:rPr>
          <w:szCs w:val="21"/>
        </w:rPr>
      </w:pPr>
      <w:r>
        <w:rPr>
          <w:szCs w:val="21"/>
        </w:rPr>
        <w:t>银行账号：</w:t>
      </w:r>
      <w:r>
        <w:rPr>
          <w:szCs w:val="21"/>
          <w:u w:val="single"/>
        </w:rPr>
        <w:t xml:space="preserve">                      </w:t>
      </w:r>
      <w:r>
        <w:rPr>
          <w:szCs w:val="21"/>
        </w:rPr>
        <w:t xml:space="preserve">           银行账号：___________________</w:t>
      </w:r>
    </w:p>
    <w:p>
      <w:pPr>
        <w:spacing w:line="300" w:lineRule="auto"/>
        <w:ind w:firstLine="5040" w:firstLineChars="2400"/>
        <w:rPr>
          <w:szCs w:val="21"/>
        </w:rPr>
      </w:pPr>
    </w:p>
    <w:p>
      <w:pPr>
        <w:spacing w:line="300" w:lineRule="auto"/>
        <w:ind w:firstLine="5040" w:firstLineChars="2400"/>
        <w:rPr>
          <w:rFonts w:ascii="宋体" w:hAnsi="宋体" w:cs="宋体"/>
          <w:color w:val="000000"/>
        </w:rPr>
      </w:pPr>
      <w:r>
        <w:rPr>
          <w:rFonts w:hint="eastAsia"/>
          <w:szCs w:val="21"/>
        </w:rPr>
        <w:t>签订日期：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bookmarkEnd w:id="24"/>
      <w:r>
        <w:rPr>
          <w:rFonts w:ascii="宋体" w:hAnsi="宋体" w:cs="宋体"/>
          <w:color w:val="000000"/>
        </w:rPr>
        <w:br w:type="page"/>
      </w:r>
    </w:p>
    <w:p>
      <w:pPr>
        <w:pStyle w:val="4"/>
        <w:numPr>
          <w:ilvl w:val="0"/>
          <w:numId w:val="0"/>
        </w:numPr>
        <w:spacing w:before="0" w:after="0" w:line="360" w:lineRule="auto"/>
        <w:rPr>
          <w:b/>
          <w:color w:val="000000"/>
          <w:sz w:val="36"/>
          <w:szCs w:val="36"/>
        </w:rPr>
      </w:pPr>
      <w:bookmarkStart w:id="35" w:name="_Toc69378637"/>
      <w:r>
        <w:rPr>
          <w:rFonts w:hint="eastAsia"/>
          <w:b/>
          <w:sz w:val="36"/>
          <w:szCs w:val="36"/>
        </w:rPr>
        <w:t>第五章技术需求书</w:t>
      </w:r>
      <w:bookmarkEnd w:id="35"/>
    </w:p>
    <w:p>
      <w:pPr>
        <w:pStyle w:val="89"/>
        <w:numPr>
          <w:ilvl w:val="0"/>
          <w:numId w:val="19"/>
        </w:numPr>
        <w:spacing w:line="300" w:lineRule="auto"/>
        <w:ind w:left="0" w:firstLine="426" w:firstLineChars="0"/>
        <w:rPr>
          <w:rFonts w:ascii="宋体" w:hAnsi="宋体"/>
          <w:color w:val="000000"/>
          <w:sz w:val="21"/>
          <w:szCs w:val="21"/>
        </w:rPr>
      </w:pPr>
      <w:r>
        <w:rPr>
          <w:rFonts w:ascii="宋体" w:hAnsi="宋体"/>
          <w:color w:val="000000"/>
          <w:sz w:val="21"/>
          <w:szCs w:val="21"/>
        </w:rPr>
        <w:t>供应商须对照本《技术需求书》，依据第三方检测报告、供应商本身产品说明书及样本，逐条说明所提供货物和服务已对竞争性磋商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磋商文件技术要求或简单标注“符合”“满足”的响应文件将可能取消评审。供应商在合同签订中的任何偏差都不得超越技术偏离表中已被供应商确认的条款。</w:t>
      </w:r>
    </w:p>
    <w:p>
      <w:pPr>
        <w:pStyle w:val="89"/>
        <w:numPr>
          <w:ilvl w:val="0"/>
          <w:numId w:val="19"/>
        </w:numPr>
        <w:spacing w:line="300" w:lineRule="auto"/>
        <w:ind w:left="0" w:firstLine="426" w:firstLineChars="0"/>
        <w:rPr>
          <w:rFonts w:ascii="宋体" w:hAnsi="宋体"/>
          <w:color w:val="000000"/>
          <w:sz w:val="21"/>
          <w:szCs w:val="21"/>
        </w:rPr>
      </w:pPr>
      <w:r>
        <w:rPr>
          <w:rFonts w:hint="eastAsia" w:ascii="宋体" w:hAnsi="宋体" w:eastAsia="宋体" w:cs="宋体"/>
          <w:color w:val="000000"/>
          <w:sz w:val="21"/>
          <w:szCs w:val="21"/>
        </w:rPr>
        <w:t>竞争性磋商文件技术要求中所</w:t>
      </w:r>
      <w:r>
        <w:rPr>
          <w:rFonts w:ascii="宋体" w:hAnsi="宋体"/>
          <w:color w:val="000000"/>
          <w:sz w:val="21"/>
          <w:szCs w:val="21"/>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pPr>
        <w:pStyle w:val="89"/>
        <w:numPr>
          <w:ilvl w:val="0"/>
          <w:numId w:val="19"/>
        </w:numPr>
        <w:spacing w:line="300" w:lineRule="auto"/>
        <w:ind w:left="0" w:firstLine="426" w:firstLineChars="0"/>
        <w:rPr>
          <w:rFonts w:ascii="宋体" w:hAnsi="宋体"/>
          <w:color w:val="000000"/>
          <w:sz w:val="21"/>
          <w:szCs w:val="21"/>
        </w:rPr>
      </w:pPr>
      <w:r>
        <w:rPr>
          <w:rFonts w:hint="eastAsia" w:ascii="宋体" w:hAnsi="宋体" w:eastAsia="宋体" w:cs="宋体"/>
          <w:color w:val="000000"/>
          <w:sz w:val="21"/>
          <w:szCs w:val="21"/>
        </w:rPr>
        <w:t>技术需求书中</w:t>
      </w:r>
      <w:r>
        <w:rPr>
          <w:rFonts w:ascii="宋体" w:hAnsi="宋体"/>
          <w:color w:val="000000"/>
          <w:sz w:val="21"/>
          <w:szCs w:val="21"/>
        </w:rPr>
        <w:t>带“</w:t>
      </w:r>
      <w:r>
        <w:rPr>
          <w:rFonts w:ascii="宋体" w:hAnsi="宋体" w:cs="宋体"/>
          <w:color w:val="000000" w:themeColor="text1"/>
          <w:sz w:val="21"/>
          <w:szCs w:val="21"/>
          <w14:textFill>
            <w14:solidFill>
              <w14:schemeClr w14:val="tx1"/>
            </w14:solidFill>
          </w14:textFill>
        </w:rPr>
        <w:t>★</w:t>
      </w:r>
      <w:r>
        <w:rPr>
          <w:rFonts w:hint="eastAsia" w:ascii="宋体" w:hAnsi="宋体"/>
          <w:color w:val="000000"/>
          <w:sz w:val="21"/>
          <w:szCs w:val="21"/>
        </w:rPr>
        <w:t>”</w:t>
      </w:r>
      <w:r>
        <w:rPr>
          <w:rFonts w:ascii="宋体" w:hAnsi="宋体"/>
          <w:color w:val="000000"/>
          <w:sz w:val="21"/>
          <w:szCs w:val="21"/>
        </w:rPr>
        <w:t>部分为必须保证满足要求的条款。</w:t>
      </w:r>
    </w:p>
    <w:p>
      <w:pPr>
        <w:pStyle w:val="89"/>
        <w:numPr>
          <w:ilvl w:val="0"/>
          <w:numId w:val="19"/>
        </w:numPr>
        <w:spacing w:line="360" w:lineRule="auto"/>
        <w:ind w:left="0" w:firstLine="426" w:firstLineChars="0"/>
        <w:rPr>
          <w:rFonts w:ascii="宋体" w:hAnsi="宋体"/>
          <w:sz w:val="21"/>
          <w:szCs w:val="21"/>
        </w:rPr>
      </w:pPr>
      <w:r>
        <w:rPr>
          <w:rFonts w:ascii="宋体" w:hAnsi="宋体"/>
          <w:sz w:val="21"/>
          <w:szCs w:val="21"/>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pPr>
        <w:pStyle w:val="5"/>
        <w:numPr>
          <w:ilvl w:val="1"/>
          <w:numId w:val="0"/>
        </w:numPr>
        <w:spacing w:before="0" w:after="0" w:line="360" w:lineRule="auto"/>
        <w:jc w:val="center"/>
        <w:rPr>
          <w:rFonts w:ascii="宋体" w:hAnsi="宋体" w:eastAsia="宋体"/>
          <w:szCs w:val="21"/>
        </w:rPr>
        <w:sectPr>
          <w:headerReference r:id="rId9" w:type="default"/>
          <w:footerReference r:id="rId10" w:type="default"/>
          <w:pgSz w:w="11906" w:h="16838"/>
          <w:pgMar w:top="1440" w:right="1800" w:bottom="1440" w:left="1800" w:header="851" w:footer="992" w:gutter="0"/>
          <w:cols w:space="720" w:num="1"/>
          <w:docGrid w:type="lines" w:linePitch="312" w:charSpace="0"/>
        </w:sectPr>
      </w:pPr>
      <w:bookmarkStart w:id="36" w:name="_Toc30212"/>
      <w:bookmarkStart w:id="37" w:name="_Toc51053569"/>
      <w:bookmarkStart w:id="38" w:name="_Toc31826"/>
      <w:bookmarkStart w:id="39" w:name="_Toc76996580"/>
      <w:bookmarkStart w:id="40" w:name="_Toc76856250"/>
    </w:p>
    <w:bookmarkEnd w:id="13"/>
    <w:bookmarkEnd w:id="14"/>
    <w:bookmarkEnd w:id="15"/>
    <w:bookmarkEnd w:id="36"/>
    <w:bookmarkEnd w:id="37"/>
    <w:bookmarkEnd w:id="38"/>
    <w:bookmarkEnd w:id="39"/>
    <w:bookmarkEnd w:id="40"/>
    <w:p>
      <w:pPr>
        <w:outlineLvl w:val="1"/>
        <w:rPr>
          <w:rFonts w:ascii="宋体" w:hAnsi="宋体"/>
          <w:b/>
          <w:bCs/>
          <w:sz w:val="28"/>
          <w:szCs w:val="28"/>
        </w:rPr>
      </w:pPr>
      <w:bookmarkStart w:id="41" w:name="_Toc69378657"/>
      <w:bookmarkStart w:id="42" w:name="_Toc502914229"/>
      <w:r>
        <w:rPr>
          <w:rFonts w:hint="eastAsia" w:ascii="宋体" w:hAnsi="宋体"/>
          <w:b/>
          <w:bCs/>
          <w:sz w:val="28"/>
          <w:szCs w:val="28"/>
        </w:rPr>
        <w:t>1、项目概述</w:t>
      </w:r>
    </w:p>
    <w:p>
      <w:pPr>
        <w:spacing w:line="360" w:lineRule="auto"/>
        <w:ind w:firstLine="420" w:firstLineChars="200"/>
        <w:rPr>
          <w:rFonts w:eastAsiaTheme="minorEastAsia"/>
        </w:rPr>
      </w:pPr>
      <w:r>
        <w:rPr>
          <w:rFonts w:eastAsiaTheme="minorEastAsia"/>
        </w:rPr>
        <w:t>互动电视平台经过10年建设，已经完成全省基于NGOD CDN构架的视频点播系统部署，覆盖全省13个地市，64个区县，在除扬州之外的其它12个地市，均部署了分前端，支撑全省约800万互动电视用户。截止2022年3月，互动电视平台VOD系统并发能力29.6万，设备总流量1083G（按照VOD采购时定义的3.75Mbps的码率带宽计算）。</w:t>
      </w:r>
    </w:p>
    <w:p>
      <w:pPr>
        <w:spacing w:line="360" w:lineRule="auto"/>
        <w:ind w:firstLine="420" w:firstLineChars="200"/>
        <w:rPr>
          <w:rFonts w:eastAsiaTheme="minorEastAsia"/>
        </w:rPr>
      </w:pPr>
      <w:r>
        <w:rPr>
          <w:rFonts w:eastAsiaTheme="minorEastAsia"/>
        </w:rPr>
        <w:t>IP推流平台经过多年发展，存储空间达到3P，推流能力13.5万，支撑奇异影视、芒果TV、孝乐神州、强国TV等18个点播类业务。为满足后续业务同时在不同终端、网络接入环境下的运营及维护，需要将两套平台进一步融合。本期项目将利旧现有VOD推流设备，通过新增NGOD融合网关，实现与IPCDN的集成对接，从而实现</w:t>
      </w:r>
      <w:r>
        <w:rPr>
          <w:rFonts w:eastAsiaTheme="minorEastAsia"/>
          <w:szCs w:val="21"/>
        </w:rPr>
        <w:t>不同终端全业务全覆盖</w:t>
      </w:r>
      <w:r>
        <w:rPr>
          <w:rFonts w:eastAsiaTheme="minorEastAsia"/>
        </w:rPr>
        <w:t>。</w:t>
      </w:r>
    </w:p>
    <w:p>
      <w:pPr>
        <w:outlineLvl w:val="1"/>
        <w:rPr>
          <w:rFonts w:ascii="宋体" w:hAnsi="宋体"/>
          <w:b/>
          <w:bCs/>
          <w:sz w:val="28"/>
          <w:szCs w:val="28"/>
        </w:rPr>
      </w:pPr>
      <w:r>
        <w:rPr>
          <w:rFonts w:hint="eastAsia" w:ascii="宋体" w:hAnsi="宋体"/>
          <w:b/>
          <w:bCs/>
          <w:sz w:val="28"/>
          <w:szCs w:val="28"/>
        </w:rPr>
        <w:t>2、项目总体要求</w:t>
      </w:r>
    </w:p>
    <w:p>
      <w:pPr>
        <w:spacing w:line="360" w:lineRule="auto"/>
        <w:ind w:firstLine="420" w:firstLineChars="200"/>
        <w:rPr>
          <w:rFonts w:eastAsiaTheme="minorEastAsia"/>
        </w:rPr>
      </w:pPr>
      <w:r>
        <w:rPr>
          <w:rFonts w:eastAsiaTheme="minorEastAsia"/>
        </w:rPr>
        <w:t>系统设计必须遵循规范化、标准化的开放兼容的原则，立足需求、以技术为基础，以运营为目的，总体规划、分步实施。</w:t>
      </w:r>
    </w:p>
    <w:p>
      <w:pPr>
        <w:spacing w:line="360" w:lineRule="auto"/>
        <w:rPr>
          <w:rFonts w:ascii="宋体" w:hAnsi="宋体"/>
          <w:b/>
          <w:szCs w:val="21"/>
        </w:rPr>
      </w:pPr>
      <w:r>
        <w:rPr>
          <w:rFonts w:hint="eastAsia" w:ascii="宋体" w:hAnsi="宋体"/>
          <w:b/>
          <w:szCs w:val="21"/>
        </w:rPr>
        <w:t>2.1、系统支撑能力要求</w:t>
      </w:r>
    </w:p>
    <w:p>
      <w:pPr>
        <w:spacing w:line="360" w:lineRule="auto"/>
        <w:ind w:firstLine="420" w:firstLineChars="200"/>
        <w:rPr>
          <w:rFonts w:eastAsiaTheme="minorEastAsia"/>
        </w:rPr>
      </w:pPr>
      <w:r>
        <w:rPr>
          <w:rFonts w:hint="eastAsia" w:eastAsiaTheme="minorEastAsia"/>
        </w:rPr>
        <w:t>供应商提供的融合推流平台改造系统需要完成对全省推流设备（思科）的软件改造，使之能够按照要求完成与NGOD融合网关的对接集成，必须保证原推流设备的推流能力不受影响。</w:t>
      </w:r>
    </w:p>
    <w:p>
      <w:pPr>
        <w:spacing w:line="360" w:lineRule="auto"/>
        <w:ind w:firstLine="420" w:firstLineChars="200"/>
        <w:rPr>
          <w:rFonts w:eastAsiaTheme="minorEastAsia"/>
        </w:rPr>
      </w:pPr>
      <w:r>
        <w:rPr>
          <w:rFonts w:hint="eastAsia" w:eastAsiaTheme="minorEastAsia"/>
        </w:rPr>
        <w:t>供应商提供的融合推流平台改造系统（NGOD融合网关）提供的HLS-&gt;TS实时转换能力不低于14G。</w:t>
      </w:r>
    </w:p>
    <w:p>
      <w:pPr>
        <w:spacing w:line="360" w:lineRule="auto"/>
        <w:ind w:firstLine="420" w:firstLineChars="200"/>
        <w:rPr>
          <w:rFonts w:eastAsiaTheme="minorEastAsia"/>
        </w:rPr>
      </w:pPr>
      <w:r>
        <w:rPr>
          <w:rFonts w:hint="eastAsia" w:eastAsiaTheme="minorEastAsia"/>
        </w:rPr>
        <w:t>供应商提供的融合推流平台改造系统（边缘缓存）必须能够满足400G推流流量的调度需求。</w:t>
      </w:r>
    </w:p>
    <w:p>
      <w:pPr>
        <w:spacing w:line="360" w:lineRule="auto"/>
        <w:rPr>
          <w:rFonts w:ascii="宋体" w:hAnsi="宋体"/>
          <w:b/>
          <w:szCs w:val="21"/>
        </w:rPr>
      </w:pPr>
      <w:r>
        <w:rPr>
          <w:rFonts w:hint="eastAsia" w:ascii="宋体" w:hAnsi="宋体"/>
          <w:b/>
          <w:szCs w:val="21"/>
        </w:rPr>
        <w:t>2.2、符合NGOD、HTTP、HLS标准协议</w:t>
      </w:r>
    </w:p>
    <w:p>
      <w:pPr>
        <w:spacing w:line="360" w:lineRule="auto"/>
        <w:ind w:firstLine="420" w:firstLineChars="200"/>
        <w:rPr>
          <w:rFonts w:eastAsiaTheme="minorEastAsia"/>
        </w:rPr>
      </w:pPr>
      <w:r>
        <w:rPr>
          <w:rFonts w:hint="eastAsia" w:eastAsiaTheme="minorEastAsia"/>
        </w:rPr>
        <w:t>供应商提供的融合推流平台改造系统须遵循NGOD、HTTP、HLS标准协议，能够提供合法有效的证明材料说明所支持的所有规范、接口及相关接口协议标准，及对各种接口所有方法的支持情况说明。本条目中NGOD规范为《Next Generation On Demand 2.0/I03》，HLS规范为《HTTP Live Streaming v4》，m3u8的格式符合</w:t>
      </w:r>
      <w:r>
        <w:fldChar w:fldCharType="begin"/>
      </w:r>
      <w:r>
        <w:instrText xml:space="preserve"> HYPERLINK "https://datatracker.ietf.org/doc/html/rfc8216" </w:instrText>
      </w:r>
      <w:r>
        <w:fldChar w:fldCharType="separate"/>
      </w:r>
      <w:r>
        <w:rPr>
          <w:rFonts w:hint="eastAsia" w:eastAsiaTheme="minorEastAsia"/>
        </w:rPr>
        <w:t>RFC8216</w:t>
      </w:r>
      <w:r>
        <w:rPr>
          <w:rFonts w:hint="eastAsia" w:eastAsiaTheme="minorEastAsia"/>
        </w:rPr>
        <w:fldChar w:fldCharType="end"/>
      </w:r>
      <w:r>
        <w:rPr>
          <w:rFonts w:hint="eastAsia" w:eastAsiaTheme="minorEastAsia"/>
        </w:rPr>
        <w:t>标准要求。</w:t>
      </w:r>
    </w:p>
    <w:p>
      <w:pPr>
        <w:spacing w:line="360" w:lineRule="auto"/>
        <w:rPr>
          <w:rFonts w:ascii="宋体" w:hAnsi="宋体"/>
          <w:b/>
          <w:szCs w:val="21"/>
        </w:rPr>
      </w:pPr>
      <w:r>
        <w:rPr>
          <w:rFonts w:hint="eastAsia" w:ascii="宋体" w:hAnsi="宋体"/>
          <w:b/>
          <w:szCs w:val="21"/>
        </w:rPr>
        <w:t>2.3、能够适配江苏有线已采购的网络设备</w:t>
      </w:r>
    </w:p>
    <w:p>
      <w:pPr>
        <w:spacing w:line="360" w:lineRule="auto"/>
        <w:ind w:firstLine="420" w:firstLineChars="200"/>
        <w:rPr>
          <w:rFonts w:eastAsiaTheme="minorEastAsia"/>
        </w:rPr>
      </w:pPr>
      <w:r>
        <w:rPr>
          <w:rFonts w:hint="eastAsia" w:eastAsiaTheme="minorEastAsia"/>
        </w:rPr>
        <w:t>供应商提供的融合推流平台改造系统必须能够适配江苏有线已采购的网络设备，江苏有线已采购的网络设备包括思科Nexus7000系列交换机、华三S5500系列S9810系列交换机等。</w:t>
      </w:r>
    </w:p>
    <w:p>
      <w:pPr>
        <w:spacing w:line="360" w:lineRule="auto"/>
        <w:rPr>
          <w:rFonts w:ascii="宋体" w:hAnsi="宋体"/>
          <w:b/>
          <w:szCs w:val="21"/>
        </w:rPr>
      </w:pPr>
      <w:r>
        <w:rPr>
          <w:rFonts w:hint="eastAsia" w:ascii="宋体" w:hAnsi="宋体"/>
          <w:b/>
          <w:szCs w:val="21"/>
        </w:rPr>
        <w:t>2.4、架构灵活，扩展性强</w:t>
      </w:r>
    </w:p>
    <w:p>
      <w:pPr>
        <w:spacing w:line="360" w:lineRule="auto"/>
        <w:ind w:firstLine="420" w:firstLineChars="200"/>
        <w:rPr>
          <w:rFonts w:eastAsiaTheme="minorEastAsia"/>
        </w:rPr>
      </w:pPr>
      <w:r>
        <w:rPr>
          <w:rFonts w:hint="eastAsia" w:eastAsiaTheme="minorEastAsia"/>
        </w:rPr>
        <w:t>供应商提供的融合推流平台改造系统灵活度高，可扩展性强，满足按需部署的要求。</w:t>
      </w:r>
    </w:p>
    <w:p>
      <w:pPr>
        <w:spacing w:line="360" w:lineRule="auto"/>
        <w:rPr>
          <w:rFonts w:ascii="宋体" w:hAnsi="宋体"/>
          <w:b/>
          <w:szCs w:val="21"/>
        </w:rPr>
      </w:pPr>
      <w:r>
        <w:rPr>
          <w:rFonts w:hint="eastAsia" w:ascii="宋体" w:hAnsi="宋体"/>
          <w:b/>
          <w:szCs w:val="21"/>
        </w:rPr>
        <w:t>2.5、技术先进，架构领先</w:t>
      </w:r>
    </w:p>
    <w:p>
      <w:pPr>
        <w:spacing w:line="360" w:lineRule="auto"/>
        <w:ind w:firstLine="420" w:firstLineChars="200"/>
        <w:rPr>
          <w:rFonts w:eastAsiaTheme="minorEastAsia"/>
        </w:rPr>
      </w:pPr>
      <w:r>
        <w:rPr>
          <w:rFonts w:hint="eastAsia" w:eastAsiaTheme="minorEastAsia"/>
        </w:rPr>
        <w:t>供应商提供的融合推流平台改造系统必须采用先进的架构设计，符合国际主流运营商的系统建设思路，不断创新与发展。</w:t>
      </w:r>
    </w:p>
    <w:p>
      <w:pPr>
        <w:spacing w:line="360" w:lineRule="auto"/>
        <w:ind w:firstLine="420" w:firstLineChars="200"/>
        <w:rPr>
          <w:rFonts w:eastAsiaTheme="minorEastAsia"/>
        </w:rPr>
      </w:pPr>
      <w:r>
        <w:rPr>
          <w:rFonts w:hint="eastAsia" w:eastAsiaTheme="minorEastAsia"/>
        </w:rPr>
        <w:t>供应商需根据技术需求书中的项目总体要求，结合提供的产品，提供详细的系统建设方案。</w:t>
      </w:r>
    </w:p>
    <w:p>
      <w:pPr>
        <w:outlineLvl w:val="1"/>
        <w:rPr>
          <w:rFonts w:ascii="宋体" w:hAnsi="宋体"/>
          <w:b/>
          <w:bCs/>
          <w:sz w:val="28"/>
          <w:szCs w:val="28"/>
        </w:rPr>
      </w:pPr>
      <w:r>
        <w:rPr>
          <w:rFonts w:hint="eastAsia" w:ascii="宋体" w:hAnsi="宋体"/>
          <w:b/>
          <w:bCs/>
          <w:sz w:val="28"/>
          <w:szCs w:val="28"/>
        </w:rPr>
        <w:t>3、融合推流平台改造系统技术要求</w:t>
      </w:r>
    </w:p>
    <w:p>
      <w:pPr>
        <w:spacing w:line="360" w:lineRule="auto"/>
        <w:rPr>
          <w:rFonts w:ascii="宋体" w:hAnsi="宋体"/>
          <w:b/>
          <w:szCs w:val="21"/>
        </w:rPr>
      </w:pPr>
      <w:r>
        <w:rPr>
          <w:rFonts w:hint="eastAsia" w:ascii="宋体" w:hAnsi="宋体"/>
          <w:b/>
          <w:szCs w:val="21"/>
        </w:rPr>
        <w:t>3.1、融合推流平台改造系统总体要求</w:t>
      </w:r>
    </w:p>
    <w:p>
      <w:pPr>
        <w:spacing w:line="360" w:lineRule="auto"/>
        <w:ind w:firstLine="420" w:firstLineChars="200"/>
        <w:rPr>
          <w:rFonts w:eastAsiaTheme="minorEastAsia"/>
        </w:rPr>
      </w:pPr>
      <w:r>
        <w:rPr>
          <w:rFonts w:hint="eastAsia" w:eastAsiaTheme="minorEastAsia"/>
        </w:rPr>
        <w:t>3.1.1</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供应商提供的融合推流平台改造系统必须完成对全省推流设备（思科）的软件改造，使之能够按照要求完成与NGOD融合网关的对接集成，必须保证原推流设备的推流能力不受影响。</w:t>
      </w:r>
    </w:p>
    <w:p>
      <w:pPr>
        <w:spacing w:line="360" w:lineRule="auto"/>
        <w:ind w:firstLine="420" w:firstLineChars="200"/>
        <w:rPr>
          <w:rFonts w:eastAsiaTheme="minorEastAsia"/>
        </w:rPr>
      </w:pPr>
      <w:r>
        <w:rPr>
          <w:rFonts w:hint="eastAsia" w:eastAsiaTheme="minorEastAsia"/>
        </w:rPr>
        <w:t>3.1.2</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供应商提供的融合推流平台改造系统必须支持NGOD、HTTP、HLS标准协议。</w:t>
      </w:r>
    </w:p>
    <w:p>
      <w:pPr>
        <w:spacing w:line="360" w:lineRule="auto"/>
        <w:ind w:firstLine="420" w:firstLineChars="200"/>
        <w:rPr>
          <w:rFonts w:eastAsiaTheme="minorEastAsia"/>
        </w:rPr>
      </w:pPr>
      <w:r>
        <w:rPr>
          <w:rFonts w:hint="eastAsia" w:eastAsiaTheme="minorEastAsia"/>
        </w:rPr>
        <w:t>3.1.3</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供应商提供的融合推流平台改造系统（NGOD融合网关）必须完成与IPCDN的对接集成，实现HLS文件的实时TS转换，并生成索引文件。</w:t>
      </w:r>
    </w:p>
    <w:p>
      <w:pPr>
        <w:spacing w:line="360" w:lineRule="auto"/>
        <w:ind w:firstLine="420" w:firstLineChars="200"/>
        <w:rPr>
          <w:rFonts w:eastAsiaTheme="minorEastAsia"/>
        </w:rPr>
      </w:pPr>
      <w:r>
        <w:rPr>
          <w:rFonts w:hint="eastAsia" w:eastAsiaTheme="minorEastAsia"/>
        </w:rPr>
        <w:t>3.1.4</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供应商提供的融合推流平台改造系统必须能够将推流设备关于TS文件及索引文件的请求准确解析成HLS文件的请求，并返回TS文件及索引文件。</w:t>
      </w:r>
    </w:p>
    <w:p>
      <w:pPr>
        <w:spacing w:line="360" w:lineRule="auto"/>
        <w:ind w:firstLine="420" w:firstLineChars="200"/>
        <w:rPr>
          <w:rFonts w:eastAsiaTheme="minorEastAsia"/>
        </w:rPr>
      </w:pPr>
      <w:r>
        <w:rPr>
          <w:rFonts w:hint="eastAsia" w:eastAsiaTheme="minorEastAsia"/>
        </w:rPr>
        <w:t>3.1.5</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供应商提供的融合推流平台改造系统必须支持索引文件的多级缓存，包括边缘缓存、NGOD融合网关、索引服务器等，并且保证在上述缓存都未命中的情况下，能够实时生成索引文件。</w:t>
      </w:r>
    </w:p>
    <w:p>
      <w:pPr>
        <w:spacing w:line="360" w:lineRule="auto"/>
        <w:ind w:firstLine="420" w:firstLineChars="200"/>
        <w:rPr>
          <w:rFonts w:eastAsiaTheme="minorEastAsia"/>
        </w:rPr>
      </w:pPr>
      <w:r>
        <w:rPr>
          <w:rFonts w:hint="eastAsia" w:eastAsiaTheme="minorEastAsia"/>
        </w:rPr>
        <w:t>3.1.6</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供应商提供的融合推流平台改造系统必须支持TS文件的多级缓存，包括边缘缓存、NGOD融合网关等，并且保证在上述缓存都未命中的情况下，能够实时生成TS文件。</w:t>
      </w:r>
    </w:p>
    <w:p>
      <w:pPr>
        <w:spacing w:line="360" w:lineRule="auto"/>
        <w:ind w:firstLine="420" w:firstLineChars="200"/>
      </w:pPr>
      <w:r>
        <w:rPr>
          <w:rFonts w:hint="eastAsia" w:eastAsiaTheme="minorEastAsia"/>
        </w:rPr>
        <w:t>3.1.7</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供应商提供的融合推流平台改造系统（边缘缓存）必须支持缓存TS文件和索引文件，支持基于HTTP协议的缓存及HTTP头部重</w:t>
      </w:r>
      <w:r>
        <w:rPr>
          <w:rFonts w:hint="eastAsia"/>
        </w:rPr>
        <w:t>写。</w:t>
      </w:r>
    </w:p>
    <w:p>
      <w:pPr>
        <w:spacing w:line="360" w:lineRule="auto"/>
        <w:ind w:firstLine="420" w:firstLineChars="200"/>
        <w:rPr>
          <w:rFonts w:eastAsiaTheme="minorEastAsia"/>
        </w:rPr>
      </w:pPr>
      <w:r>
        <w:rPr>
          <w:rFonts w:hint="eastAsia" w:eastAsiaTheme="minorEastAsia"/>
        </w:rPr>
        <w:t>3.1.8</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供应商提供的融合推流平台改造系统（边缘缓存）支持向多个NOGD融合网关回源。</w:t>
      </w:r>
    </w:p>
    <w:p>
      <w:pPr>
        <w:spacing w:line="360" w:lineRule="auto"/>
        <w:ind w:firstLine="420" w:firstLineChars="200"/>
        <w:rPr>
          <w:rFonts w:eastAsiaTheme="minorEastAsia"/>
        </w:rPr>
      </w:pPr>
      <w:r>
        <w:rPr>
          <w:rFonts w:hint="eastAsia" w:eastAsiaTheme="minorEastAsia"/>
        </w:rPr>
        <w:t>3.1.9</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供应商提供的融合推流平台改造系统（Traffic Router）支持全局调度，能够将推流设备的请求转发给相应设备处理，包括但不限于NGOD融合网关、边缘缓存。</w:t>
      </w:r>
    </w:p>
    <w:p>
      <w:pPr>
        <w:spacing w:line="360" w:lineRule="auto"/>
        <w:ind w:firstLine="420" w:firstLineChars="200"/>
        <w:rPr>
          <w:rFonts w:eastAsiaTheme="minorEastAsia"/>
        </w:rPr>
      </w:pPr>
      <w:r>
        <w:rPr>
          <w:rFonts w:hint="eastAsia" w:eastAsiaTheme="minorEastAsia"/>
        </w:rPr>
        <w:t>3.1.10</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供应商提供的融合推流平台改造系统所有模块组件必须采用冗余设计，无单点故障点。必须采用集群化部署，未来可进行横向扩容以满足系统容量需求。</w:t>
      </w:r>
    </w:p>
    <w:p>
      <w:pPr>
        <w:spacing w:line="360" w:lineRule="auto"/>
        <w:ind w:firstLine="420" w:firstLineChars="200"/>
        <w:rPr>
          <w:rFonts w:eastAsiaTheme="minorEastAsia"/>
        </w:rPr>
      </w:pPr>
      <w:r>
        <w:rPr>
          <w:rFonts w:hint="eastAsia" w:eastAsiaTheme="minorEastAsia"/>
        </w:rPr>
        <w:t>3.1.11</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供应商提供的融合推流平台改造系统支持虚拟化部署和实体机部署两种形式，支持软硬分离，所有软件都可以部署在通用的x86服务器上。</w:t>
      </w:r>
    </w:p>
    <w:p>
      <w:pPr>
        <w:spacing w:line="360" w:lineRule="auto"/>
        <w:ind w:firstLine="420" w:firstLineChars="200"/>
        <w:rPr>
          <w:rFonts w:eastAsiaTheme="minorEastAsia"/>
        </w:rPr>
      </w:pPr>
      <w:r>
        <w:rPr>
          <w:rFonts w:hint="eastAsia" w:eastAsiaTheme="minorEastAsia"/>
        </w:rPr>
        <w:t>3.1.12</w:t>
      </w:r>
      <w:r>
        <w:rPr>
          <w:rFonts w:ascii="宋体" w:hAnsi="宋体" w:cs="宋体"/>
          <w:color w:val="000000" w:themeColor="text1"/>
          <w:szCs w:val="21"/>
          <w14:textFill>
            <w14:solidFill>
              <w14:schemeClr w14:val="tx1"/>
            </w14:solidFill>
          </w14:textFill>
        </w:rPr>
        <w:t>★</w:t>
      </w:r>
      <w:r>
        <w:rPr>
          <w:rFonts w:hint="eastAsia" w:eastAsiaTheme="minorEastAsia"/>
        </w:rPr>
        <w:t>供应商提供融合推流平台改造系统出现任意设备（模块）宕机、网络中断、软件异常终止、软件假死等状况时，具备在线无缝自动切换功能（切换时间必须小于30s）。</w:t>
      </w:r>
    </w:p>
    <w:p>
      <w:pPr>
        <w:spacing w:line="360" w:lineRule="auto"/>
        <w:ind w:firstLine="420" w:firstLineChars="200"/>
        <w:rPr>
          <w:rFonts w:eastAsiaTheme="minorEastAsia"/>
        </w:rPr>
      </w:pPr>
      <w:r>
        <w:rPr>
          <w:rFonts w:hint="eastAsia" w:eastAsiaTheme="minorEastAsia"/>
        </w:rPr>
        <w:t>3.1.13供应商提供融合推流平台改造系统必须支持与江苏有线NGOD-CDN系统以及NGOD架构的后台管理系统对接集成。</w:t>
      </w:r>
    </w:p>
    <w:p>
      <w:pPr>
        <w:spacing w:line="360" w:lineRule="auto"/>
        <w:ind w:firstLine="420" w:firstLineChars="200"/>
        <w:rPr>
          <w:rFonts w:eastAsiaTheme="minorEastAsia"/>
        </w:rPr>
      </w:pPr>
      <w:r>
        <w:rPr>
          <w:rFonts w:hint="eastAsia" w:eastAsiaTheme="minorEastAsia"/>
        </w:rPr>
        <w:t>3.1.13.1</w:t>
      </w:r>
      <w:r>
        <w:rPr>
          <w:rFonts w:ascii="宋体" w:hAnsi="宋体" w:cs="宋体"/>
          <w:color w:val="000000" w:themeColor="text1"/>
          <w:szCs w:val="21"/>
          <w14:textFill>
            <w14:solidFill>
              <w14:schemeClr w14:val="tx1"/>
            </w14:solidFill>
          </w14:textFill>
        </w:rPr>
        <w:t>★</w:t>
      </w:r>
      <w:r>
        <w:rPr>
          <w:rFonts w:hint="eastAsia" w:eastAsiaTheme="minorEastAsia"/>
        </w:rPr>
        <w:t>供应商提供融合推流平台改造系统必须支持NGOD中定义的推流服务器资源接口R2，实现后台管理系统对推流服务器的调度与管理。</w:t>
      </w:r>
    </w:p>
    <w:p>
      <w:pPr>
        <w:spacing w:line="360" w:lineRule="auto"/>
        <w:ind w:firstLine="420" w:firstLineChars="200"/>
        <w:rPr>
          <w:rFonts w:eastAsiaTheme="minorEastAsia"/>
        </w:rPr>
      </w:pPr>
      <w:r>
        <w:rPr>
          <w:rFonts w:hint="eastAsia" w:eastAsiaTheme="minorEastAsia"/>
        </w:rPr>
        <w:t>3.1.13.2</w:t>
      </w:r>
      <w:r>
        <w:rPr>
          <w:rFonts w:ascii="宋体" w:hAnsi="宋体" w:cs="宋体"/>
          <w:color w:val="000000" w:themeColor="text1"/>
          <w:szCs w:val="21"/>
          <w14:textFill>
            <w14:solidFill>
              <w14:schemeClr w14:val="tx1"/>
            </w14:solidFill>
          </w14:textFill>
        </w:rPr>
        <w:t>★</w:t>
      </w:r>
      <w:r>
        <w:rPr>
          <w:rFonts w:hint="eastAsia" w:eastAsiaTheme="minorEastAsia"/>
        </w:rPr>
        <w:t>供应商提供融合推流平台改造系统必须支持NGOD中定义的流控制接口C1，要求该接口支持DSM-CC和RTSP标准，从而兼容江苏省网已有的ISA标准机顶盒终端和新增的NGOD协议的终端。</w:t>
      </w:r>
    </w:p>
    <w:p>
      <w:pPr>
        <w:spacing w:line="360" w:lineRule="auto"/>
        <w:ind w:firstLine="420" w:firstLineChars="200"/>
        <w:rPr>
          <w:rFonts w:eastAsiaTheme="minorEastAsia"/>
        </w:rPr>
      </w:pPr>
      <w:r>
        <w:rPr>
          <w:rFonts w:hint="eastAsia" w:eastAsiaTheme="minorEastAsia"/>
        </w:rPr>
        <w:t>3.1.13.3</w:t>
      </w:r>
      <w:r>
        <w:rPr>
          <w:rFonts w:ascii="宋体" w:hAnsi="宋体" w:cs="宋体"/>
          <w:color w:val="000000" w:themeColor="text1"/>
          <w:szCs w:val="21"/>
          <w14:textFill>
            <w14:solidFill>
              <w14:schemeClr w14:val="tx1"/>
            </w14:solidFill>
          </w14:textFill>
        </w:rPr>
        <w:t>★</w:t>
      </w:r>
      <w:r>
        <w:rPr>
          <w:rFonts w:hint="eastAsia" w:eastAsiaTheme="minorEastAsia"/>
        </w:rPr>
        <w:t>供应商提供融合推流平台改造系统必须支持NGOD中定义的内容定位和传输协议接口C2，支持与江苏有线NGOD-CDN系统对接。</w:t>
      </w:r>
    </w:p>
    <w:p>
      <w:pPr>
        <w:spacing w:line="360" w:lineRule="auto"/>
        <w:ind w:firstLine="420" w:firstLineChars="200"/>
        <w:rPr>
          <w:rFonts w:eastAsiaTheme="minorEastAsia"/>
        </w:rPr>
      </w:pPr>
      <w:r>
        <w:rPr>
          <w:rFonts w:hint="eastAsia" w:eastAsiaTheme="minorEastAsia"/>
        </w:rPr>
        <w:t>供应商需提供合法有效的证明资料说明提供的所支持的相关接口协议标准，及对各种接口所有方法的支持情况说明。</w:t>
      </w:r>
    </w:p>
    <w:p>
      <w:pPr>
        <w:spacing w:line="360" w:lineRule="auto"/>
        <w:ind w:firstLine="420" w:firstLineChars="200"/>
        <w:rPr>
          <w:rFonts w:eastAsiaTheme="minorEastAsia"/>
        </w:rPr>
      </w:pPr>
      <w:r>
        <w:rPr>
          <w:rFonts w:hint="eastAsia" w:eastAsiaTheme="minorEastAsia"/>
        </w:rPr>
        <w:t>3.1.14</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供应商提供的融合推流平台改造系统必须能够保证稳定运行，且正常运行时间必须高于江苏有线制定的系统可用度考核指标。如不满足，供应商需按照合同违约责任中的相应条款进行赔偿。</w:t>
      </w:r>
    </w:p>
    <w:p>
      <w:pPr>
        <w:spacing w:line="360" w:lineRule="auto"/>
        <w:ind w:firstLine="420" w:firstLineChars="200"/>
        <w:rPr>
          <w:rFonts w:eastAsiaTheme="minorEastAsia"/>
        </w:rPr>
      </w:pPr>
      <w:r>
        <w:rPr>
          <w:rFonts w:hint="eastAsia" w:eastAsiaTheme="minorEastAsia"/>
        </w:rPr>
        <w:t>3.1.15</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供应商提供的融合推流平台改造系统中包含的设备在自动或手动下线的情况下，不会影响已经播出和正在点播的视频流，请供应商提供测试样例和验证数据。</w:t>
      </w:r>
    </w:p>
    <w:p>
      <w:pPr>
        <w:spacing w:line="360" w:lineRule="auto"/>
        <w:ind w:firstLine="420" w:firstLineChars="200"/>
        <w:rPr>
          <w:rFonts w:eastAsiaTheme="minorEastAsia"/>
        </w:rPr>
      </w:pPr>
      <w:r>
        <w:rPr>
          <w:rFonts w:hint="eastAsia" w:eastAsiaTheme="minorEastAsia"/>
        </w:rPr>
        <w:t>3.1.16</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供应商提供的融合推流平台改造系统必须具备友好的管理界面，便于进行部署及相关的管理和维护。</w:t>
      </w:r>
    </w:p>
    <w:p>
      <w:pPr>
        <w:spacing w:line="360" w:lineRule="auto"/>
        <w:rPr>
          <w:rFonts w:ascii="宋体" w:hAnsi="宋体"/>
          <w:b/>
          <w:szCs w:val="21"/>
        </w:rPr>
      </w:pPr>
      <w:r>
        <w:rPr>
          <w:rFonts w:hint="eastAsia" w:ascii="宋体" w:hAnsi="宋体"/>
          <w:b/>
          <w:szCs w:val="21"/>
        </w:rPr>
        <w:t>3.2、融合推流平台改造系统硬件要求</w:t>
      </w:r>
    </w:p>
    <w:p>
      <w:pPr>
        <w:spacing w:line="360" w:lineRule="auto"/>
        <w:ind w:firstLine="420" w:firstLineChars="200"/>
        <w:rPr>
          <w:rFonts w:eastAsiaTheme="minorEastAsia"/>
        </w:rPr>
      </w:pPr>
      <w:r>
        <w:rPr>
          <w:rFonts w:hint="eastAsia" w:eastAsiaTheme="minorEastAsia"/>
        </w:rPr>
        <w:t>3.2.1 NGOD融合网关硬件要求</w:t>
      </w:r>
    </w:p>
    <w:p>
      <w:pPr>
        <w:spacing w:line="360" w:lineRule="auto"/>
        <w:ind w:firstLine="420" w:firstLineChars="200"/>
        <w:rPr>
          <w:rFonts w:eastAsiaTheme="minorEastAsia"/>
        </w:rPr>
      </w:pPr>
      <w:r>
        <w:rPr>
          <w:rFonts w:hint="eastAsia" w:eastAsiaTheme="minorEastAsia"/>
        </w:rPr>
        <w:t>3.2.1.1</w:t>
      </w:r>
      <w:r>
        <w:rPr>
          <w:rFonts w:ascii="宋体" w:hAnsi="宋体" w:cs="宋体"/>
          <w:color w:val="000000" w:themeColor="text1"/>
          <w:szCs w:val="21"/>
          <w14:textFill>
            <w14:solidFill>
              <w14:schemeClr w14:val="tx1"/>
            </w14:solidFill>
          </w14:textFill>
        </w:rPr>
        <w:t>★</w:t>
      </w:r>
      <w:r>
        <w:rPr>
          <w:rFonts w:hint="eastAsia" w:eastAsiaTheme="minorEastAsia"/>
        </w:rPr>
        <w:t>NGOD融合网关单台服务器内存容量不低于96G，CPU内核数不低于10个。</w:t>
      </w:r>
    </w:p>
    <w:p>
      <w:pPr>
        <w:spacing w:line="360" w:lineRule="auto"/>
        <w:ind w:firstLine="420" w:firstLineChars="200"/>
        <w:rPr>
          <w:rFonts w:eastAsiaTheme="minorEastAsia"/>
        </w:rPr>
      </w:pPr>
      <w:r>
        <w:rPr>
          <w:rFonts w:hint="eastAsia" w:eastAsiaTheme="minorEastAsia"/>
        </w:rPr>
        <w:t>3.2.1.2</w:t>
      </w:r>
      <w:r>
        <w:rPr>
          <w:rFonts w:ascii="宋体" w:hAnsi="宋体" w:cs="宋体"/>
          <w:color w:val="000000" w:themeColor="text1"/>
          <w:szCs w:val="21"/>
          <w14:textFill>
            <w14:solidFill>
              <w14:schemeClr w14:val="tx1"/>
            </w14:solidFill>
          </w14:textFill>
        </w:rPr>
        <w:t>★</w:t>
      </w:r>
      <w:r>
        <w:rPr>
          <w:rFonts w:hint="eastAsia" w:eastAsiaTheme="minorEastAsia"/>
        </w:rPr>
        <w:t>在满负荷HLS-&gt;TS转换输出条件下，CPU利用率&lt;60%。</w:t>
      </w:r>
    </w:p>
    <w:p>
      <w:pPr>
        <w:spacing w:line="360" w:lineRule="auto"/>
        <w:ind w:firstLine="420" w:firstLineChars="200"/>
        <w:rPr>
          <w:rFonts w:eastAsiaTheme="minorEastAsia"/>
        </w:rPr>
      </w:pPr>
      <w:r>
        <w:rPr>
          <w:rFonts w:hint="eastAsia" w:eastAsiaTheme="minorEastAsia"/>
        </w:rPr>
        <w:t>3.2.1.3</w:t>
      </w:r>
      <w:r>
        <w:rPr>
          <w:rFonts w:ascii="宋体" w:hAnsi="宋体" w:cs="宋体"/>
          <w:color w:val="000000" w:themeColor="text1"/>
          <w:szCs w:val="21"/>
          <w14:textFill>
            <w14:solidFill>
              <w14:schemeClr w14:val="tx1"/>
            </w14:solidFill>
          </w14:textFill>
        </w:rPr>
        <w:t>★</w:t>
      </w:r>
      <w:r>
        <w:rPr>
          <w:rFonts w:hint="eastAsia" w:eastAsiaTheme="minorEastAsia"/>
        </w:rPr>
        <w:t>TS输出必须根据招标人的实际需要，采用SFP（850nm、1310nm）或1000BaseSX（850nm、1310nm）模块。单台设备至少配备2个万兆端口及模块。</w:t>
      </w:r>
    </w:p>
    <w:p>
      <w:pPr>
        <w:spacing w:line="360" w:lineRule="auto"/>
        <w:ind w:firstLine="420" w:firstLineChars="200"/>
        <w:rPr>
          <w:rFonts w:eastAsiaTheme="minorEastAsia"/>
        </w:rPr>
      </w:pPr>
      <w:r>
        <w:rPr>
          <w:rFonts w:hint="eastAsia" w:eastAsiaTheme="minorEastAsia"/>
        </w:rPr>
        <w:t>3.2.2</w:t>
      </w:r>
      <w:r>
        <w:rPr>
          <w:rFonts w:ascii="宋体" w:hAnsi="宋体" w:cs="宋体"/>
          <w:color w:val="000000" w:themeColor="text1"/>
          <w:szCs w:val="21"/>
          <w14:textFill>
            <w14:solidFill>
              <w14:schemeClr w14:val="tx1"/>
            </w14:solidFill>
          </w14:textFill>
        </w:rPr>
        <w:t>★</w:t>
      </w:r>
      <w:r>
        <w:rPr>
          <w:rFonts w:hint="eastAsia" w:eastAsiaTheme="minorEastAsia"/>
        </w:rPr>
        <w:t>物理尺寸</w:t>
      </w:r>
    </w:p>
    <w:p>
      <w:pPr>
        <w:spacing w:line="360" w:lineRule="auto"/>
        <w:ind w:firstLine="420" w:firstLineChars="200"/>
        <w:rPr>
          <w:rFonts w:eastAsiaTheme="minorEastAsia"/>
        </w:rPr>
      </w:pPr>
      <w:r>
        <w:rPr>
          <w:rFonts w:hint="eastAsia" w:eastAsiaTheme="minorEastAsia"/>
        </w:rPr>
        <w:t>供应商所提供硬件设备物理尺寸必须可以安装在采购人机房的标准19寸机架，硬件设备满足机房承重要求，供应商需提供设备采用的设备型号及物理尺寸。</w:t>
      </w:r>
    </w:p>
    <w:p>
      <w:pPr>
        <w:spacing w:line="360" w:lineRule="auto"/>
        <w:ind w:firstLine="420" w:firstLineChars="200"/>
        <w:rPr>
          <w:rFonts w:eastAsiaTheme="minorEastAsia"/>
        </w:rPr>
      </w:pPr>
      <w:r>
        <w:rPr>
          <w:rFonts w:hint="eastAsia" w:eastAsiaTheme="minorEastAsia"/>
        </w:rPr>
        <w:t>3.2.3</w:t>
      </w:r>
      <w:r>
        <w:rPr>
          <w:rFonts w:ascii="宋体" w:hAnsi="宋体" w:cs="宋体"/>
          <w:color w:val="000000" w:themeColor="text1"/>
          <w:szCs w:val="21"/>
          <w14:textFill>
            <w14:solidFill>
              <w14:schemeClr w14:val="tx1"/>
            </w14:solidFill>
          </w14:textFill>
        </w:rPr>
        <w:t>★</w:t>
      </w:r>
      <w:r>
        <w:rPr>
          <w:rFonts w:hint="eastAsia" w:eastAsiaTheme="minorEastAsia"/>
        </w:rPr>
        <w:t>操作系统</w:t>
      </w:r>
    </w:p>
    <w:p>
      <w:pPr>
        <w:spacing w:line="360" w:lineRule="auto"/>
        <w:ind w:firstLine="420" w:firstLineChars="200"/>
        <w:rPr>
          <w:rFonts w:eastAsiaTheme="minorEastAsia"/>
        </w:rPr>
      </w:pPr>
      <w:r>
        <w:rPr>
          <w:rFonts w:hint="eastAsia" w:eastAsiaTheme="minorEastAsia"/>
        </w:rPr>
        <w:t>供应商提供的设备采用基于Linux优化的且易操作操作系统，保证系统易控易管。</w:t>
      </w:r>
    </w:p>
    <w:p>
      <w:pPr>
        <w:spacing w:line="360" w:lineRule="auto"/>
        <w:ind w:firstLine="420" w:firstLineChars="200"/>
        <w:rPr>
          <w:rFonts w:eastAsiaTheme="minorEastAsia"/>
        </w:rPr>
      </w:pPr>
      <w:r>
        <w:rPr>
          <w:rFonts w:hint="eastAsia" w:eastAsiaTheme="minorEastAsia"/>
        </w:rPr>
        <w:t>3.2.4</w:t>
      </w:r>
      <w:r>
        <w:rPr>
          <w:rFonts w:ascii="宋体" w:hAnsi="宋体" w:cs="宋体"/>
          <w:color w:val="000000" w:themeColor="text1"/>
          <w:szCs w:val="21"/>
          <w14:textFill>
            <w14:solidFill>
              <w14:schemeClr w14:val="tx1"/>
            </w14:solidFill>
          </w14:textFill>
        </w:rPr>
        <w:t>★</w:t>
      </w:r>
      <w:r>
        <w:rPr>
          <w:rFonts w:hint="eastAsia" w:eastAsiaTheme="minorEastAsia"/>
        </w:rPr>
        <w:t>硬件冗余</w:t>
      </w:r>
    </w:p>
    <w:p>
      <w:pPr>
        <w:spacing w:line="360" w:lineRule="auto"/>
        <w:ind w:firstLine="420" w:firstLineChars="200"/>
        <w:rPr>
          <w:rFonts w:eastAsiaTheme="minorEastAsia"/>
        </w:rPr>
      </w:pPr>
      <w:r>
        <w:rPr>
          <w:rFonts w:hint="eastAsia" w:eastAsiaTheme="minorEastAsia"/>
        </w:rPr>
        <w:t>服务器系统中各组件都必须支持集群工作方式，单台设备宕机不影响系统播出。</w:t>
      </w:r>
    </w:p>
    <w:p>
      <w:pPr>
        <w:spacing w:line="360" w:lineRule="auto"/>
        <w:ind w:firstLine="420" w:firstLineChars="200"/>
        <w:rPr>
          <w:rFonts w:eastAsiaTheme="minorEastAsia"/>
        </w:rPr>
      </w:pPr>
      <w:r>
        <w:rPr>
          <w:rFonts w:hint="eastAsia" w:eastAsiaTheme="minorEastAsia"/>
        </w:rPr>
        <w:t>3.2.5</w:t>
      </w:r>
      <w:r>
        <w:rPr>
          <w:rFonts w:ascii="宋体" w:hAnsi="宋体" w:cs="宋体"/>
          <w:color w:val="000000" w:themeColor="text1"/>
          <w:szCs w:val="21"/>
          <w14:textFill>
            <w14:solidFill>
              <w14:schemeClr w14:val="tx1"/>
            </w14:solidFill>
          </w14:textFill>
        </w:rPr>
        <w:t>★</w:t>
      </w:r>
      <w:r>
        <w:rPr>
          <w:rFonts w:hint="eastAsia" w:eastAsiaTheme="minorEastAsia"/>
        </w:rPr>
        <w:t>电源冗余</w:t>
      </w:r>
    </w:p>
    <w:p>
      <w:pPr>
        <w:spacing w:line="360" w:lineRule="auto"/>
        <w:ind w:firstLine="420" w:firstLineChars="200"/>
        <w:rPr>
          <w:rFonts w:eastAsiaTheme="minorEastAsia"/>
        </w:rPr>
      </w:pPr>
      <w:r>
        <w:rPr>
          <w:rFonts w:hint="eastAsia" w:eastAsiaTheme="minorEastAsia"/>
        </w:rPr>
        <w:t>各硬件设备都必须支持冗余电源及风扇；供应商需详细说明提供的设备的冗余能力。</w:t>
      </w:r>
    </w:p>
    <w:p>
      <w:pPr>
        <w:spacing w:line="360" w:lineRule="auto"/>
        <w:ind w:firstLine="420" w:firstLineChars="200"/>
        <w:rPr>
          <w:rFonts w:eastAsiaTheme="minorEastAsia"/>
        </w:rPr>
      </w:pPr>
      <w:r>
        <w:rPr>
          <w:rFonts w:hint="eastAsia" w:eastAsiaTheme="minorEastAsia"/>
        </w:rPr>
        <w:t>3.2.6</w:t>
      </w:r>
      <w:r>
        <w:rPr>
          <w:rFonts w:ascii="宋体" w:hAnsi="宋体" w:cs="宋体"/>
          <w:color w:val="000000" w:themeColor="text1"/>
          <w:szCs w:val="21"/>
          <w14:textFill>
            <w14:solidFill>
              <w14:schemeClr w14:val="tx1"/>
            </w14:solidFill>
          </w14:textFill>
        </w:rPr>
        <w:t>★</w:t>
      </w:r>
      <w:r>
        <w:rPr>
          <w:rFonts w:hint="eastAsia" w:eastAsiaTheme="minorEastAsia"/>
        </w:rPr>
        <w:t>设备物理环境要求</w:t>
      </w:r>
    </w:p>
    <w:p>
      <w:pPr>
        <w:spacing w:line="360" w:lineRule="auto"/>
        <w:ind w:firstLine="420" w:firstLineChars="200"/>
        <w:rPr>
          <w:rFonts w:eastAsiaTheme="minorEastAsia"/>
        </w:rPr>
      </w:pPr>
      <w:r>
        <w:rPr>
          <w:rFonts w:hint="eastAsia" w:eastAsiaTheme="minorEastAsia"/>
        </w:rPr>
        <w:t>设备支持的正常工作环境温度0°C～40°C，设备支持的正常工作相对湿度20％～80％，设备支持正常工作电压220V±10％V。供应商需提供设备各组件详细的功耗值。</w:t>
      </w:r>
    </w:p>
    <w:p>
      <w:pPr>
        <w:spacing w:line="360" w:lineRule="auto"/>
        <w:rPr>
          <w:rFonts w:ascii="宋体" w:hAnsi="宋体"/>
          <w:b/>
          <w:szCs w:val="21"/>
        </w:rPr>
      </w:pPr>
      <w:r>
        <w:rPr>
          <w:rFonts w:hint="eastAsia" w:ascii="宋体" w:hAnsi="宋体"/>
          <w:b/>
          <w:szCs w:val="21"/>
        </w:rPr>
        <w:t>3.3、融合推流平台改造系统核心功能要求</w:t>
      </w:r>
    </w:p>
    <w:p>
      <w:pPr>
        <w:spacing w:line="360" w:lineRule="auto"/>
        <w:ind w:firstLine="420" w:firstLineChars="200"/>
        <w:rPr>
          <w:rFonts w:eastAsiaTheme="minorEastAsia"/>
        </w:rPr>
      </w:pPr>
      <w:r>
        <w:rPr>
          <w:rFonts w:hint="eastAsia" w:eastAsiaTheme="minorEastAsia"/>
        </w:rPr>
        <w:t>在满足上述系统架构和建设要求的基础上，供应商提供的融合推流平台改造系统还需满足以下系统功能：</w:t>
      </w:r>
    </w:p>
    <w:p>
      <w:pPr>
        <w:spacing w:line="360" w:lineRule="auto"/>
        <w:ind w:firstLine="420" w:firstLineChars="200"/>
        <w:rPr>
          <w:rFonts w:eastAsiaTheme="minorEastAsia"/>
        </w:rPr>
      </w:pPr>
      <w:r>
        <w:rPr>
          <w:rFonts w:hint="eastAsia" w:eastAsiaTheme="minorEastAsia"/>
        </w:rPr>
        <w:t>3.3.1 NGOD融合网关的功能要求</w:t>
      </w:r>
    </w:p>
    <w:p>
      <w:pPr>
        <w:spacing w:line="360" w:lineRule="auto"/>
        <w:ind w:firstLine="420" w:firstLineChars="200"/>
        <w:rPr>
          <w:rFonts w:eastAsiaTheme="minorEastAsia"/>
        </w:rPr>
      </w:pPr>
      <w:r>
        <w:rPr>
          <w:rFonts w:hint="eastAsia" w:eastAsiaTheme="minorEastAsia"/>
        </w:rPr>
        <w:t>3.3.1.1</w:t>
      </w:r>
      <w:r>
        <w:rPr>
          <w:rFonts w:ascii="宋体" w:hAnsi="宋体" w:cs="宋体"/>
          <w:color w:val="000000" w:themeColor="text1"/>
          <w:szCs w:val="21"/>
          <w14:textFill>
            <w14:solidFill>
              <w14:schemeClr w14:val="tx1"/>
            </w14:solidFill>
          </w14:textFill>
        </w:rPr>
        <w:t>★</w:t>
      </w:r>
      <w:r>
        <w:rPr>
          <w:rFonts w:hint="eastAsia" w:eastAsiaTheme="minorEastAsia"/>
        </w:rPr>
        <w:t>支持HTTP/HLS标准协议。</w:t>
      </w:r>
    </w:p>
    <w:p>
      <w:pPr>
        <w:spacing w:line="360" w:lineRule="auto"/>
        <w:ind w:firstLine="420" w:firstLineChars="200"/>
        <w:rPr>
          <w:rFonts w:eastAsiaTheme="minorEastAsia"/>
        </w:rPr>
      </w:pPr>
      <w:r>
        <w:rPr>
          <w:rFonts w:hint="eastAsia" w:eastAsiaTheme="minorEastAsia"/>
        </w:rPr>
        <w:t>3.3.1.2</w:t>
      </w:r>
      <w:r>
        <w:rPr>
          <w:rFonts w:ascii="宋体" w:hAnsi="宋体" w:cs="宋体"/>
          <w:color w:val="000000" w:themeColor="text1"/>
          <w:szCs w:val="21"/>
          <w14:textFill>
            <w14:solidFill>
              <w14:schemeClr w14:val="tx1"/>
            </w14:solidFill>
          </w14:textFill>
        </w:rPr>
        <w:t>★</w:t>
      </w:r>
      <w:r>
        <w:rPr>
          <w:rFonts w:hint="eastAsia" w:eastAsiaTheme="minorEastAsia"/>
        </w:rPr>
        <w:t>支持HLS节目的实时TS转换，并生成索引文件。</w:t>
      </w:r>
    </w:p>
    <w:p>
      <w:pPr>
        <w:spacing w:line="360" w:lineRule="auto"/>
        <w:ind w:firstLine="420" w:firstLineChars="200"/>
        <w:rPr>
          <w:rFonts w:eastAsiaTheme="minorEastAsia"/>
        </w:rPr>
      </w:pPr>
      <w:r>
        <w:rPr>
          <w:rFonts w:hint="eastAsia" w:eastAsiaTheme="minorEastAsia"/>
        </w:rPr>
        <w:t>3.3.1.3</w:t>
      </w:r>
      <w:r>
        <w:rPr>
          <w:rFonts w:ascii="宋体" w:hAnsi="宋体" w:cs="宋体"/>
          <w:color w:val="000000" w:themeColor="text1"/>
          <w:szCs w:val="21"/>
          <w14:textFill>
            <w14:solidFill>
              <w14:schemeClr w14:val="tx1"/>
            </w14:solidFill>
          </w14:textFill>
        </w:rPr>
        <w:t>★</w:t>
      </w:r>
      <w:r>
        <w:rPr>
          <w:rFonts w:hint="eastAsia" w:eastAsiaTheme="minorEastAsia"/>
        </w:rPr>
        <w:t>支持转换后的TS文件及索引文件的本地缓存，减少IPCDN系统的调度压力。</w:t>
      </w:r>
    </w:p>
    <w:p>
      <w:pPr>
        <w:spacing w:line="360" w:lineRule="auto"/>
        <w:ind w:firstLine="420" w:firstLineChars="200"/>
        <w:rPr>
          <w:rFonts w:eastAsiaTheme="minorEastAsia"/>
        </w:rPr>
      </w:pPr>
      <w:r>
        <w:rPr>
          <w:rFonts w:hint="eastAsia" w:eastAsiaTheme="minorEastAsia"/>
        </w:rPr>
        <w:t>3.3.1.4</w:t>
      </w:r>
      <w:r>
        <w:rPr>
          <w:rFonts w:ascii="宋体" w:hAnsi="宋体" w:cs="宋体"/>
          <w:color w:val="000000" w:themeColor="text1"/>
          <w:szCs w:val="21"/>
          <w14:textFill>
            <w14:solidFill>
              <w14:schemeClr w14:val="tx1"/>
            </w14:solidFill>
          </w14:textFill>
        </w:rPr>
        <w:t>★</w:t>
      </w:r>
      <w:r>
        <w:rPr>
          <w:rFonts w:hint="eastAsia" w:eastAsiaTheme="minorEastAsia"/>
        </w:rPr>
        <w:t>支持将生成的TS文件保存至边缘缓存上，减少IPCDN系统的调度压力。</w:t>
      </w:r>
    </w:p>
    <w:p>
      <w:pPr>
        <w:spacing w:line="360" w:lineRule="auto"/>
        <w:ind w:firstLine="420" w:firstLineChars="200"/>
        <w:rPr>
          <w:rFonts w:eastAsiaTheme="minorEastAsia"/>
        </w:rPr>
      </w:pPr>
      <w:r>
        <w:rPr>
          <w:rFonts w:hint="eastAsia" w:eastAsiaTheme="minorEastAsia"/>
        </w:rPr>
        <w:t>3.3.1.5</w:t>
      </w:r>
      <w:r>
        <w:rPr>
          <w:rFonts w:ascii="宋体" w:hAnsi="宋体" w:cs="宋体"/>
          <w:color w:val="000000" w:themeColor="text1"/>
          <w:szCs w:val="21"/>
          <w14:textFill>
            <w14:solidFill>
              <w14:schemeClr w14:val="tx1"/>
            </w14:solidFill>
          </w14:textFill>
        </w:rPr>
        <w:t>★</w:t>
      </w:r>
      <w:r>
        <w:rPr>
          <w:rFonts w:hint="eastAsia" w:eastAsiaTheme="minorEastAsia"/>
        </w:rPr>
        <w:t>支持将生成的索引文件保存至索引服务器上，并支持从索引服务器调度索引文件。</w:t>
      </w:r>
    </w:p>
    <w:p>
      <w:pPr>
        <w:spacing w:line="360" w:lineRule="auto"/>
        <w:ind w:firstLine="420" w:firstLineChars="200"/>
        <w:rPr>
          <w:rFonts w:eastAsiaTheme="minorEastAsia"/>
        </w:rPr>
      </w:pPr>
      <w:r>
        <w:rPr>
          <w:rFonts w:hint="eastAsia" w:eastAsiaTheme="minorEastAsia"/>
        </w:rPr>
        <w:t>3.3.1.6</w:t>
      </w:r>
      <w:r>
        <w:rPr>
          <w:rFonts w:ascii="宋体" w:hAnsi="宋体" w:cs="宋体"/>
          <w:color w:val="000000" w:themeColor="text1"/>
          <w:szCs w:val="21"/>
          <w14:textFill>
            <w14:solidFill>
              <w14:schemeClr w14:val="tx1"/>
            </w14:solidFill>
          </w14:textFill>
        </w:rPr>
        <w:t>★</w:t>
      </w:r>
      <w:r>
        <w:rPr>
          <w:rFonts w:hint="eastAsia" w:eastAsiaTheme="minorEastAsia"/>
        </w:rPr>
        <w:t>必须支持MPEG-2、MPEG-4、H.264、H.265、AVS、WMA、RMVB等主流视频格式的高、标清视频节目的正常转换。</w:t>
      </w:r>
    </w:p>
    <w:p>
      <w:pPr>
        <w:spacing w:line="360" w:lineRule="auto"/>
        <w:ind w:firstLine="420" w:firstLineChars="200"/>
        <w:rPr>
          <w:rFonts w:eastAsiaTheme="minorEastAsia"/>
        </w:rPr>
      </w:pPr>
      <w:r>
        <w:rPr>
          <w:rFonts w:hint="eastAsia" w:eastAsiaTheme="minorEastAsia"/>
        </w:rPr>
        <w:t>3.3.1.7</w:t>
      </w:r>
      <w:r>
        <w:rPr>
          <w:rFonts w:ascii="宋体" w:hAnsi="宋体" w:cs="宋体"/>
          <w:color w:val="000000" w:themeColor="text1"/>
          <w:szCs w:val="21"/>
          <w14:textFill>
            <w14:solidFill>
              <w14:schemeClr w14:val="tx1"/>
            </w14:solidFill>
          </w14:textFill>
        </w:rPr>
        <w:t>★</w:t>
      </w:r>
      <w:r>
        <w:rPr>
          <w:rFonts w:hint="eastAsia" w:eastAsiaTheme="minorEastAsia"/>
        </w:rPr>
        <w:t>必须支持MPEG-2 audio、MP3、WAV、2.0 channel AC-3以及5.1 channel AC-3音频编码格式节目内容（包含实时及非实时）的正常转换。</w:t>
      </w:r>
    </w:p>
    <w:p>
      <w:pPr>
        <w:spacing w:line="360" w:lineRule="auto"/>
        <w:ind w:firstLine="420" w:firstLineChars="200"/>
        <w:rPr>
          <w:rFonts w:eastAsiaTheme="minorEastAsia"/>
        </w:rPr>
      </w:pPr>
      <w:r>
        <w:rPr>
          <w:rFonts w:hint="eastAsia" w:eastAsiaTheme="minorEastAsia"/>
        </w:rPr>
        <w:t>3.3.1.8</w:t>
      </w:r>
      <w:r>
        <w:rPr>
          <w:rFonts w:ascii="宋体" w:hAnsi="宋体" w:cs="宋体"/>
          <w:color w:val="000000" w:themeColor="text1"/>
          <w:szCs w:val="21"/>
          <w14:textFill>
            <w14:solidFill>
              <w14:schemeClr w14:val="tx1"/>
            </w14:solidFill>
          </w14:textFill>
        </w:rPr>
        <w:t>★</w:t>
      </w:r>
      <w:r>
        <w:rPr>
          <w:rFonts w:hint="eastAsia" w:eastAsiaTheme="minorEastAsia"/>
        </w:rPr>
        <w:t>必须支持3D编码格式的视频节目的正常转换。</w:t>
      </w:r>
    </w:p>
    <w:p>
      <w:pPr>
        <w:spacing w:line="360" w:lineRule="auto"/>
        <w:ind w:firstLine="420" w:firstLineChars="200"/>
        <w:rPr>
          <w:rFonts w:eastAsiaTheme="minorEastAsia"/>
        </w:rPr>
      </w:pPr>
      <w:r>
        <w:rPr>
          <w:rFonts w:hint="eastAsia" w:eastAsiaTheme="minorEastAsia"/>
        </w:rPr>
        <w:t>3.3.1.9</w:t>
      </w:r>
      <w:r>
        <w:rPr>
          <w:rFonts w:ascii="宋体" w:hAnsi="宋体" w:cs="宋体"/>
          <w:color w:val="000000" w:themeColor="text1"/>
          <w:szCs w:val="21"/>
          <w14:textFill>
            <w14:solidFill>
              <w14:schemeClr w14:val="tx1"/>
            </w14:solidFill>
          </w14:textFill>
        </w:rPr>
        <w:t>★</w:t>
      </w:r>
      <w:r>
        <w:rPr>
          <w:rFonts w:hint="eastAsia" w:eastAsiaTheme="minorEastAsia"/>
        </w:rPr>
        <w:t>必须支持多音轨节目内容（非实时）的正常转换。</w:t>
      </w:r>
    </w:p>
    <w:p>
      <w:pPr>
        <w:spacing w:line="360" w:lineRule="auto"/>
        <w:ind w:firstLine="420" w:firstLineChars="200"/>
        <w:rPr>
          <w:rFonts w:eastAsiaTheme="minorEastAsia"/>
        </w:rPr>
      </w:pPr>
      <w:r>
        <w:rPr>
          <w:rFonts w:hint="eastAsia" w:eastAsiaTheme="minorEastAsia"/>
        </w:rPr>
        <w:t>3.3.1.10</w:t>
      </w:r>
      <w:r>
        <w:rPr>
          <w:rFonts w:ascii="宋体" w:hAnsi="宋体" w:cs="宋体"/>
          <w:color w:val="000000" w:themeColor="text1"/>
          <w:szCs w:val="21"/>
          <w14:textFill>
            <w14:solidFill>
              <w14:schemeClr w14:val="tx1"/>
            </w14:solidFill>
          </w14:textFill>
        </w:rPr>
        <w:t>★</w:t>
      </w:r>
      <w:r>
        <w:rPr>
          <w:rFonts w:hint="eastAsia" w:eastAsiaTheme="minorEastAsia"/>
        </w:rPr>
        <w:t>必须支持透明TS流或预先加密TS流的正常转换。</w:t>
      </w:r>
    </w:p>
    <w:p>
      <w:pPr>
        <w:spacing w:line="360" w:lineRule="auto"/>
        <w:ind w:firstLine="420" w:firstLineChars="200"/>
        <w:rPr>
          <w:rFonts w:eastAsiaTheme="minorEastAsia"/>
        </w:rPr>
      </w:pPr>
      <w:r>
        <w:rPr>
          <w:rFonts w:hint="eastAsia" w:eastAsiaTheme="minorEastAsia"/>
        </w:rPr>
        <w:t>3.3.2边缘缓存功能要求</w:t>
      </w:r>
    </w:p>
    <w:p>
      <w:pPr>
        <w:spacing w:line="360" w:lineRule="auto"/>
        <w:ind w:firstLine="420" w:firstLineChars="200"/>
        <w:rPr>
          <w:rFonts w:eastAsiaTheme="minorEastAsia"/>
        </w:rPr>
      </w:pPr>
      <w:r>
        <w:rPr>
          <w:rFonts w:hint="eastAsia" w:eastAsiaTheme="minorEastAsia"/>
        </w:rPr>
        <w:t>3.3.2.1</w:t>
      </w:r>
      <w:r>
        <w:rPr>
          <w:rFonts w:ascii="宋体" w:hAnsi="宋体" w:cs="宋体"/>
          <w:color w:val="000000" w:themeColor="text1"/>
          <w:szCs w:val="21"/>
          <w14:textFill>
            <w14:solidFill>
              <w14:schemeClr w14:val="tx1"/>
            </w14:solidFill>
          </w14:textFill>
        </w:rPr>
        <w:t>★</w:t>
      </w:r>
      <w:r>
        <w:rPr>
          <w:rFonts w:hint="eastAsia" w:eastAsiaTheme="minorEastAsia"/>
        </w:rPr>
        <w:t>支持与NGOD融合网关按照标准协议对接</w:t>
      </w:r>
    </w:p>
    <w:p>
      <w:pPr>
        <w:spacing w:line="360" w:lineRule="auto"/>
        <w:ind w:firstLine="420" w:firstLineChars="200"/>
        <w:rPr>
          <w:rFonts w:eastAsiaTheme="minorEastAsia"/>
        </w:rPr>
      </w:pPr>
      <w:r>
        <w:rPr>
          <w:rFonts w:hint="eastAsia" w:eastAsiaTheme="minorEastAsia"/>
        </w:rPr>
        <w:t>3.3.2.2</w:t>
      </w:r>
      <w:r>
        <w:rPr>
          <w:rFonts w:ascii="宋体" w:hAnsi="宋体" w:cs="宋体"/>
          <w:color w:val="000000" w:themeColor="text1"/>
          <w:szCs w:val="21"/>
          <w14:textFill>
            <w14:solidFill>
              <w14:schemeClr w14:val="tx1"/>
            </w14:solidFill>
          </w14:textFill>
        </w:rPr>
        <w:t>★</w:t>
      </w:r>
      <w:r>
        <w:rPr>
          <w:rFonts w:hint="eastAsia" w:eastAsiaTheme="minorEastAsia"/>
        </w:rPr>
        <w:t>支持TS文件及索引文件的缓存</w:t>
      </w:r>
    </w:p>
    <w:p>
      <w:pPr>
        <w:spacing w:line="360" w:lineRule="auto"/>
        <w:ind w:firstLine="420" w:firstLineChars="200"/>
        <w:rPr>
          <w:rFonts w:eastAsiaTheme="minorEastAsia"/>
        </w:rPr>
      </w:pPr>
      <w:r>
        <w:rPr>
          <w:rFonts w:hint="eastAsia" w:eastAsiaTheme="minorEastAsia"/>
        </w:rPr>
        <w:t>3.3.2.3</w:t>
      </w:r>
      <w:r>
        <w:rPr>
          <w:rFonts w:ascii="宋体" w:hAnsi="宋体" w:cs="宋体"/>
          <w:color w:val="000000" w:themeColor="text1"/>
          <w:szCs w:val="21"/>
          <w14:textFill>
            <w14:solidFill>
              <w14:schemeClr w14:val="tx1"/>
            </w14:solidFill>
          </w14:textFill>
        </w:rPr>
        <w:t>★</w:t>
      </w:r>
      <w:r>
        <w:rPr>
          <w:rFonts w:hint="eastAsia" w:eastAsiaTheme="minorEastAsia"/>
        </w:rPr>
        <w:t>支持与融合推流按照标准协议对接</w:t>
      </w:r>
    </w:p>
    <w:p>
      <w:pPr>
        <w:spacing w:line="360" w:lineRule="auto"/>
        <w:ind w:firstLine="420" w:firstLineChars="200"/>
        <w:rPr>
          <w:rFonts w:eastAsiaTheme="minorEastAsia"/>
        </w:rPr>
      </w:pPr>
      <w:r>
        <w:rPr>
          <w:rFonts w:hint="eastAsia" w:eastAsiaTheme="minorEastAsia"/>
        </w:rPr>
        <w:t>3.3.2.4</w:t>
      </w:r>
      <w:r>
        <w:rPr>
          <w:rFonts w:ascii="宋体" w:hAnsi="宋体" w:cs="宋体"/>
          <w:color w:val="000000" w:themeColor="text1"/>
          <w:szCs w:val="21"/>
          <w14:textFill>
            <w14:solidFill>
              <w14:schemeClr w14:val="tx1"/>
            </w14:solidFill>
          </w14:textFill>
        </w:rPr>
        <w:t>★</w:t>
      </w:r>
      <w:r>
        <w:rPr>
          <w:rFonts w:hint="eastAsia" w:eastAsiaTheme="minorEastAsia"/>
        </w:rPr>
        <w:t>支持合理的冷热片机制，并提供相关技术文档说明其机制的合理和高效性。</w:t>
      </w:r>
    </w:p>
    <w:p>
      <w:pPr>
        <w:spacing w:line="360" w:lineRule="auto"/>
        <w:ind w:firstLine="420" w:firstLineChars="200"/>
        <w:rPr>
          <w:rFonts w:eastAsiaTheme="minorEastAsia"/>
        </w:rPr>
      </w:pPr>
      <w:r>
        <w:rPr>
          <w:rFonts w:hint="eastAsia" w:eastAsiaTheme="minorEastAsia"/>
        </w:rPr>
        <w:t>3.3.2.5</w:t>
      </w:r>
      <w:r>
        <w:rPr>
          <w:rFonts w:ascii="宋体" w:hAnsi="宋体" w:cs="宋体"/>
          <w:color w:val="000000" w:themeColor="text1"/>
          <w:szCs w:val="21"/>
          <w14:textFill>
            <w14:solidFill>
              <w14:schemeClr w14:val="tx1"/>
            </w14:solidFill>
          </w14:textFill>
        </w:rPr>
        <w:t>★</w:t>
      </w:r>
      <w:r>
        <w:rPr>
          <w:rFonts w:hint="eastAsia" w:eastAsiaTheme="minorEastAsia"/>
        </w:rPr>
        <w:t>支持各种视频、音频规格TS文件的缓存及调度，详细规格可参照3.3.1.6/3.3.1.7。</w:t>
      </w:r>
    </w:p>
    <w:p>
      <w:pPr>
        <w:spacing w:line="360" w:lineRule="auto"/>
        <w:ind w:firstLine="420" w:firstLineChars="200"/>
        <w:rPr>
          <w:rFonts w:eastAsiaTheme="minorEastAsia"/>
        </w:rPr>
      </w:pPr>
      <w:r>
        <w:rPr>
          <w:rFonts w:hint="eastAsia" w:eastAsiaTheme="minorEastAsia"/>
        </w:rPr>
        <w:t>3.3.3融合推流能力要求</w:t>
      </w:r>
    </w:p>
    <w:p>
      <w:pPr>
        <w:spacing w:line="360" w:lineRule="auto"/>
        <w:ind w:firstLine="420" w:firstLineChars="200"/>
        <w:rPr>
          <w:rFonts w:eastAsiaTheme="minorEastAsia"/>
        </w:rPr>
      </w:pPr>
      <w:r>
        <w:rPr>
          <w:rFonts w:hint="eastAsia" w:eastAsiaTheme="minorEastAsia"/>
        </w:rPr>
        <w:t>3.3.3.1</w:t>
      </w:r>
      <w:r>
        <w:rPr>
          <w:rFonts w:ascii="宋体" w:hAnsi="宋体" w:cs="宋体"/>
          <w:color w:val="000000" w:themeColor="text1"/>
          <w:szCs w:val="21"/>
          <w14:textFill>
            <w14:solidFill>
              <w14:schemeClr w14:val="tx1"/>
            </w14:solidFill>
          </w14:textFill>
        </w:rPr>
        <w:t>★</w:t>
      </w:r>
      <w:r>
        <w:rPr>
          <w:rFonts w:hint="eastAsia" w:eastAsiaTheme="minorEastAsia"/>
        </w:rPr>
        <w:t>必须支持各种常见格式（MPEG-2\H.264\H.265等）视频流的播出能力</w:t>
      </w:r>
    </w:p>
    <w:p>
      <w:pPr>
        <w:spacing w:line="360" w:lineRule="auto"/>
        <w:ind w:firstLine="420" w:firstLineChars="200"/>
        <w:rPr>
          <w:rFonts w:eastAsiaTheme="minorEastAsia"/>
        </w:rPr>
      </w:pPr>
      <w:r>
        <w:rPr>
          <w:rFonts w:hint="eastAsia" w:eastAsiaTheme="minorEastAsia"/>
        </w:rPr>
        <w:t>3.3.3.2</w:t>
      </w:r>
      <w:r>
        <w:rPr>
          <w:rFonts w:ascii="宋体" w:hAnsi="宋体" w:cs="宋体"/>
          <w:color w:val="000000" w:themeColor="text1"/>
          <w:szCs w:val="21"/>
          <w14:textFill>
            <w14:solidFill>
              <w14:schemeClr w14:val="tx1"/>
            </w14:solidFill>
          </w14:textFill>
        </w:rPr>
        <w:t>★</w:t>
      </w:r>
      <w:r>
        <w:rPr>
          <w:rFonts w:hint="eastAsia" w:eastAsiaTheme="minorEastAsia"/>
        </w:rPr>
        <w:t>必须提供缓存能力，用于缓存热播的视频内容，减少NGOD-CDN/IPCDN系统的调度压力。</w:t>
      </w:r>
    </w:p>
    <w:p>
      <w:pPr>
        <w:spacing w:line="360" w:lineRule="auto"/>
        <w:ind w:firstLine="420" w:firstLineChars="200"/>
        <w:rPr>
          <w:rFonts w:eastAsiaTheme="minorEastAsia"/>
        </w:rPr>
      </w:pPr>
      <w:r>
        <w:rPr>
          <w:rFonts w:hint="eastAsia" w:eastAsiaTheme="minorEastAsia"/>
        </w:rPr>
        <w:t>3.3.3.3</w:t>
      </w:r>
      <w:r>
        <w:rPr>
          <w:rFonts w:ascii="宋体" w:hAnsi="宋体" w:cs="宋体"/>
          <w:color w:val="000000" w:themeColor="text1"/>
          <w:szCs w:val="21"/>
          <w14:textFill>
            <w14:solidFill>
              <w14:schemeClr w14:val="tx1"/>
            </w14:solidFill>
          </w14:textFill>
        </w:rPr>
        <w:t>★</w:t>
      </w:r>
      <w:r>
        <w:rPr>
          <w:rFonts w:hint="eastAsia" w:eastAsiaTheme="minorEastAsia"/>
        </w:rPr>
        <w:t>能同时调度NGOD-CDN及IPCDN中的实时与非实时内容进行统一播出。</w:t>
      </w:r>
    </w:p>
    <w:p>
      <w:pPr>
        <w:spacing w:line="360" w:lineRule="auto"/>
        <w:ind w:firstLine="420" w:firstLineChars="200"/>
        <w:rPr>
          <w:rFonts w:eastAsiaTheme="minorEastAsia"/>
        </w:rPr>
      </w:pPr>
      <w:r>
        <w:rPr>
          <w:rFonts w:hint="eastAsia" w:eastAsiaTheme="minorEastAsia"/>
        </w:rPr>
        <w:t>3.3.3.4</w:t>
      </w:r>
      <w:r>
        <w:rPr>
          <w:rFonts w:ascii="宋体" w:hAnsi="宋体" w:cs="宋体"/>
          <w:color w:val="000000" w:themeColor="text1"/>
          <w:szCs w:val="21"/>
          <w14:textFill>
            <w14:solidFill>
              <w14:schemeClr w14:val="tx1"/>
            </w14:solidFill>
          </w14:textFill>
        </w:rPr>
        <w:t>★</w:t>
      </w:r>
      <w:r>
        <w:rPr>
          <w:rFonts w:hint="eastAsia" w:eastAsiaTheme="minorEastAsia"/>
        </w:rPr>
        <w:t>必须支持MPEG-2、MPEG-4、H.264、H.265、AVS、WMA、RMVB等采购人要求的主流视频格式的高、标清视频节目的正常播出。</w:t>
      </w:r>
    </w:p>
    <w:p>
      <w:pPr>
        <w:spacing w:line="360" w:lineRule="auto"/>
        <w:ind w:firstLine="420" w:firstLineChars="200"/>
        <w:rPr>
          <w:rFonts w:eastAsiaTheme="minorEastAsia"/>
        </w:rPr>
      </w:pPr>
      <w:r>
        <w:rPr>
          <w:rFonts w:hint="eastAsia" w:eastAsiaTheme="minorEastAsia"/>
        </w:rPr>
        <w:t>3.3.3.5</w:t>
      </w:r>
      <w:r>
        <w:rPr>
          <w:rFonts w:ascii="宋体" w:hAnsi="宋体" w:cs="宋体"/>
          <w:color w:val="000000" w:themeColor="text1"/>
          <w:szCs w:val="21"/>
          <w14:textFill>
            <w14:solidFill>
              <w14:schemeClr w14:val="tx1"/>
            </w14:solidFill>
          </w14:textFill>
        </w:rPr>
        <w:t>★</w:t>
      </w:r>
      <w:r>
        <w:rPr>
          <w:rFonts w:hint="eastAsia" w:eastAsiaTheme="minorEastAsia"/>
        </w:rPr>
        <w:t>必须支持MPEG-2 audio、MP3、WAV、2.0 channel AC-3以及5.1 channel AC-3音频编码格式节目内容（包含实时及非实时）的正常播出。</w:t>
      </w:r>
    </w:p>
    <w:p>
      <w:pPr>
        <w:spacing w:line="360" w:lineRule="auto"/>
        <w:ind w:firstLine="420" w:firstLineChars="200"/>
        <w:rPr>
          <w:rFonts w:eastAsiaTheme="minorEastAsia"/>
        </w:rPr>
      </w:pPr>
      <w:r>
        <w:rPr>
          <w:rFonts w:hint="eastAsia" w:eastAsiaTheme="minorEastAsia"/>
        </w:rPr>
        <w:t>3.3.3.6</w:t>
      </w:r>
      <w:r>
        <w:rPr>
          <w:rFonts w:ascii="宋体" w:hAnsi="宋体" w:cs="宋体"/>
          <w:color w:val="000000" w:themeColor="text1"/>
          <w:szCs w:val="21"/>
          <w14:textFill>
            <w14:solidFill>
              <w14:schemeClr w14:val="tx1"/>
            </w14:solidFill>
          </w14:textFill>
        </w:rPr>
        <w:t>★</w:t>
      </w:r>
      <w:r>
        <w:rPr>
          <w:rFonts w:hint="eastAsia" w:eastAsiaTheme="minorEastAsia"/>
        </w:rPr>
        <w:t>必须支持3D编码格式的视频节目的正常播出。</w:t>
      </w:r>
    </w:p>
    <w:p>
      <w:pPr>
        <w:spacing w:line="360" w:lineRule="auto"/>
        <w:ind w:firstLine="420" w:firstLineChars="200"/>
        <w:rPr>
          <w:rFonts w:eastAsiaTheme="minorEastAsia"/>
        </w:rPr>
      </w:pPr>
      <w:r>
        <w:rPr>
          <w:rFonts w:hint="eastAsia" w:eastAsiaTheme="minorEastAsia"/>
        </w:rPr>
        <w:t>3.3.3.7</w:t>
      </w:r>
      <w:r>
        <w:rPr>
          <w:rFonts w:ascii="宋体" w:hAnsi="宋体" w:cs="宋体"/>
          <w:color w:val="000000" w:themeColor="text1"/>
          <w:szCs w:val="21"/>
          <w14:textFill>
            <w14:solidFill>
              <w14:schemeClr w14:val="tx1"/>
            </w14:solidFill>
          </w14:textFill>
        </w:rPr>
        <w:t>★</w:t>
      </w:r>
      <w:r>
        <w:rPr>
          <w:rFonts w:hint="eastAsia" w:eastAsiaTheme="minorEastAsia"/>
        </w:rPr>
        <w:t>必须支持多音轨节目内容（包含实时及非实时）的正常播出。</w:t>
      </w:r>
    </w:p>
    <w:p>
      <w:pPr>
        <w:spacing w:line="360" w:lineRule="auto"/>
        <w:ind w:firstLine="420" w:firstLineChars="200"/>
        <w:rPr>
          <w:rFonts w:eastAsiaTheme="minorEastAsia"/>
        </w:rPr>
      </w:pPr>
      <w:r>
        <w:rPr>
          <w:rFonts w:hint="eastAsia" w:eastAsiaTheme="minorEastAsia"/>
        </w:rPr>
        <w:t>3.3.3.8</w:t>
      </w:r>
      <w:r>
        <w:rPr>
          <w:rFonts w:ascii="宋体" w:hAnsi="宋体" w:cs="宋体"/>
          <w:color w:val="000000" w:themeColor="text1"/>
          <w:szCs w:val="21"/>
          <w14:textFill>
            <w14:solidFill>
              <w14:schemeClr w14:val="tx1"/>
            </w14:solidFill>
          </w14:textFill>
        </w:rPr>
        <w:t>★</w:t>
      </w:r>
      <w:r>
        <w:rPr>
          <w:rFonts w:hint="eastAsia" w:eastAsiaTheme="minorEastAsia"/>
        </w:rPr>
        <w:t>必须支持透明TS流或预先加密TS流的正常播出。</w:t>
      </w:r>
    </w:p>
    <w:p>
      <w:pPr>
        <w:spacing w:line="360" w:lineRule="auto"/>
        <w:ind w:firstLine="420" w:firstLineChars="200"/>
        <w:rPr>
          <w:rFonts w:eastAsiaTheme="minorEastAsia"/>
        </w:rPr>
      </w:pPr>
      <w:r>
        <w:rPr>
          <w:rFonts w:hint="eastAsia" w:eastAsiaTheme="minorEastAsia"/>
        </w:rPr>
        <w:t>3.3.3.9</w:t>
      </w:r>
      <w:r>
        <w:rPr>
          <w:rFonts w:ascii="宋体" w:hAnsi="宋体" w:cs="宋体"/>
          <w:color w:val="000000" w:themeColor="text1"/>
          <w:szCs w:val="21"/>
          <w14:textFill>
            <w14:solidFill>
              <w14:schemeClr w14:val="tx1"/>
            </w14:solidFill>
          </w14:textFill>
        </w:rPr>
        <w:t>★</w:t>
      </w:r>
      <w:r>
        <w:rPr>
          <w:rFonts w:hint="eastAsia" w:eastAsiaTheme="minorEastAsia"/>
        </w:rPr>
        <w:t>可以支持动态适应网络状态的统一视频内容不同码率节目推送功能。</w:t>
      </w:r>
    </w:p>
    <w:p>
      <w:pPr>
        <w:spacing w:line="360" w:lineRule="auto"/>
        <w:ind w:firstLine="420" w:firstLineChars="200"/>
        <w:rPr>
          <w:rFonts w:eastAsiaTheme="minorEastAsia"/>
        </w:rPr>
      </w:pPr>
      <w:r>
        <w:rPr>
          <w:rFonts w:hint="eastAsia" w:eastAsiaTheme="minorEastAsia"/>
        </w:rPr>
        <w:t>3.3.3.10</w:t>
      </w:r>
      <w:r>
        <w:rPr>
          <w:rFonts w:ascii="宋体" w:hAnsi="宋体" w:cs="宋体"/>
          <w:color w:val="000000" w:themeColor="text1"/>
          <w:szCs w:val="21"/>
          <w14:textFill>
            <w14:solidFill>
              <w14:schemeClr w14:val="tx1"/>
            </w14:solidFill>
          </w14:textFill>
        </w:rPr>
        <w:t>★</w:t>
      </w:r>
      <w:r>
        <w:rPr>
          <w:rFonts w:hint="eastAsia" w:eastAsiaTheme="minorEastAsia"/>
        </w:rPr>
        <w:t>必须支持与多家后台管理系统集成，包括但不限于与江苏有线现有后台管理系统和后续采购的后台管理系统的集成。</w:t>
      </w:r>
    </w:p>
    <w:p>
      <w:pPr>
        <w:spacing w:line="360" w:lineRule="auto"/>
        <w:ind w:firstLine="420" w:firstLineChars="200"/>
        <w:rPr>
          <w:rFonts w:eastAsiaTheme="minorEastAsia"/>
        </w:rPr>
      </w:pPr>
      <w:r>
        <w:rPr>
          <w:rFonts w:hint="eastAsia" w:eastAsiaTheme="minorEastAsia"/>
        </w:rPr>
        <w:t>3.3.3.11</w:t>
      </w:r>
      <w:r>
        <w:rPr>
          <w:rFonts w:ascii="宋体" w:hAnsi="宋体" w:cs="宋体"/>
          <w:color w:val="000000" w:themeColor="text1"/>
          <w:szCs w:val="21"/>
          <w14:textFill>
            <w14:solidFill>
              <w14:schemeClr w14:val="tx1"/>
            </w14:solidFill>
          </w14:textFill>
        </w:rPr>
        <w:t>★</w:t>
      </w:r>
      <w:r>
        <w:rPr>
          <w:rFonts w:hint="eastAsia" w:eastAsiaTheme="minorEastAsia"/>
        </w:rPr>
        <w:t>在系统运营过程中，系统可以支持播出内容在各级系统的自动缓存。</w:t>
      </w:r>
    </w:p>
    <w:p>
      <w:pPr>
        <w:spacing w:line="360" w:lineRule="auto"/>
        <w:ind w:firstLine="420" w:firstLineChars="200"/>
        <w:rPr>
          <w:rFonts w:eastAsiaTheme="minorEastAsia"/>
        </w:rPr>
      </w:pPr>
      <w:r>
        <w:rPr>
          <w:rFonts w:hint="eastAsia" w:eastAsiaTheme="minorEastAsia"/>
        </w:rPr>
        <w:t>3.3.3.12</w:t>
      </w:r>
      <w:r>
        <w:rPr>
          <w:rFonts w:ascii="宋体" w:hAnsi="宋体" w:cs="宋体"/>
          <w:color w:val="000000" w:themeColor="text1"/>
          <w:szCs w:val="21"/>
          <w14:textFill>
            <w14:solidFill>
              <w14:schemeClr w14:val="tx1"/>
            </w14:solidFill>
          </w14:textFill>
        </w:rPr>
        <w:t>★</w:t>
      </w:r>
      <w:r>
        <w:rPr>
          <w:rFonts w:hint="eastAsia" w:eastAsiaTheme="minorEastAsia"/>
        </w:rPr>
        <w:t>必须支持“快进”、“快退”、“选时播放”、“暂停”、“播放”、“退出”等基本操作，在“暂停”操作时，推流系统仍能够保持视频流码率的稳定。</w:t>
      </w:r>
    </w:p>
    <w:p>
      <w:pPr>
        <w:spacing w:line="360" w:lineRule="auto"/>
        <w:ind w:firstLine="420" w:firstLineChars="200"/>
        <w:rPr>
          <w:rFonts w:eastAsiaTheme="minorEastAsia"/>
        </w:rPr>
      </w:pPr>
      <w:r>
        <w:rPr>
          <w:rFonts w:hint="eastAsia" w:eastAsiaTheme="minorEastAsia"/>
        </w:rPr>
        <w:t>3.3.3.13</w:t>
      </w:r>
      <w:r>
        <w:rPr>
          <w:rFonts w:ascii="宋体" w:hAnsi="宋体" w:cs="宋体"/>
          <w:color w:val="000000" w:themeColor="text1"/>
          <w:szCs w:val="21"/>
          <w14:textFill>
            <w14:solidFill>
              <w14:schemeClr w14:val="tx1"/>
            </w14:solidFill>
          </w14:textFill>
        </w:rPr>
        <w:t>★</w:t>
      </w:r>
      <w:r>
        <w:rPr>
          <w:rFonts w:hint="eastAsia" w:eastAsiaTheme="minorEastAsia"/>
        </w:rPr>
        <w:t>播放时“快进\快退”必须支持±9\±33共计4种倍速。</w:t>
      </w:r>
    </w:p>
    <w:p>
      <w:pPr>
        <w:spacing w:line="360" w:lineRule="auto"/>
        <w:ind w:firstLine="420" w:firstLineChars="200"/>
        <w:rPr>
          <w:rFonts w:eastAsiaTheme="minorEastAsia"/>
        </w:rPr>
      </w:pPr>
      <w:r>
        <w:rPr>
          <w:rFonts w:hint="eastAsia" w:eastAsiaTheme="minorEastAsia"/>
        </w:rPr>
        <w:t>3.3.3.14</w:t>
      </w:r>
      <w:r>
        <w:rPr>
          <w:rFonts w:ascii="宋体" w:hAnsi="宋体" w:cs="宋体"/>
          <w:color w:val="000000" w:themeColor="text1"/>
          <w:szCs w:val="21"/>
          <w14:textFill>
            <w14:solidFill>
              <w14:schemeClr w14:val="tx1"/>
            </w14:solidFill>
          </w14:textFill>
        </w:rPr>
        <w:t>★</w:t>
      </w:r>
      <w:r>
        <w:rPr>
          <w:rFonts w:hint="eastAsia" w:eastAsiaTheme="minorEastAsia"/>
        </w:rPr>
        <w:t>必须支持节目播放列表功能。</w:t>
      </w:r>
    </w:p>
    <w:p>
      <w:pPr>
        <w:spacing w:line="360" w:lineRule="auto"/>
        <w:ind w:firstLine="420" w:firstLineChars="200"/>
        <w:rPr>
          <w:rFonts w:eastAsiaTheme="minorEastAsia"/>
        </w:rPr>
      </w:pPr>
      <w:r>
        <w:rPr>
          <w:rFonts w:hint="eastAsia" w:eastAsiaTheme="minorEastAsia"/>
        </w:rPr>
        <w:t>3.3.3.15</w:t>
      </w:r>
      <w:r>
        <w:rPr>
          <w:rFonts w:ascii="宋体" w:hAnsi="宋体" w:cs="宋体"/>
          <w:color w:val="000000" w:themeColor="text1"/>
          <w:szCs w:val="21"/>
          <w14:textFill>
            <w14:solidFill>
              <w14:schemeClr w14:val="tx1"/>
            </w14:solidFill>
          </w14:textFill>
        </w:rPr>
        <w:t>★</w:t>
      </w:r>
      <w:r>
        <w:rPr>
          <w:rFonts w:hint="eastAsia" w:eastAsiaTheme="minorEastAsia"/>
        </w:rPr>
        <w:t>必须支持按照后台管理系统发送来的节目播放列表消息播放节目和广告。</w:t>
      </w:r>
    </w:p>
    <w:p>
      <w:pPr>
        <w:spacing w:line="360" w:lineRule="auto"/>
        <w:ind w:firstLine="420" w:firstLineChars="200"/>
        <w:rPr>
          <w:rFonts w:eastAsiaTheme="minorEastAsia"/>
        </w:rPr>
      </w:pPr>
      <w:r>
        <w:rPr>
          <w:rFonts w:hint="eastAsia" w:eastAsiaTheme="minorEastAsia"/>
        </w:rPr>
        <w:t>3.3.3.16</w:t>
      </w:r>
      <w:r>
        <w:rPr>
          <w:rFonts w:ascii="宋体" w:hAnsi="宋体" w:cs="宋体"/>
          <w:color w:val="000000" w:themeColor="text1"/>
          <w:szCs w:val="21"/>
          <w14:textFill>
            <w14:solidFill>
              <w14:schemeClr w14:val="tx1"/>
            </w14:solidFill>
          </w14:textFill>
        </w:rPr>
        <w:t>★</w:t>
      </w:r>
      <w:r>
        <w:rPr>
          <w:rFonts w:hint="eastAsia" w:eastAsiaTheme="minorEastAsia"/>
        </w:rPr>
        <w:t>必须支持节目播放列表中广告在节目的不同时间位置插入。</w:t>
      </w:r>
    </w:p>
    <w:p>
      <w:pPr>
        <w:spacing w:line="360" w:lineRule="auto"/>
        <w:ind w:firstLine="420" w:firstLineChars="200"/>
        <w:rPr>
          <w:rFonts w:eastAsiaTheme="minorEastAsia"/>
        </w:rPr>
      </w:pPr>
      <w:r>
        <w:rPr>
          <w:rFonts w:hint="eastAsia" w:eastAsiaTheme="minorEastAsia"/>
        </w:rPr>
        <w:t>3.3.3.17</w:t>
      </w:r>
      <w:r>
        <w:rPr>
          <w:rFonts w:ascii="宋体" w:hAnsi="宋体" w:cs="宋体"/>
          <w:color w:val="000000" w:themeColor="text1"/>
          <w:szCs w:val="21"/>
          <w14:textFill>
            <w14:solidFill>
              <w14:schemeClr w14:val="tx1"/>
            </w14:solidFill>
          </w14:textFill>
        </w:rPr>
        <w:t>★</w:t>
      </w:r>
      <w:r>
        <w:rPr>
          <w:rFonts w:hint="eastAsia" w:eastAsiaTheme="minorEastAsia"/>
        </w:rPr>
        <w:t>必须支持节目播放列表中节目和广告连续播放的无缝拼接。</w:t>
      </w:r>
    </w:p>
    <w:p>
      <w:pPr>
        <w:spacing w:line="360" w:lineRule="auto"/>
        <w:ind w:firstLine="420" w:firstLineChars="200"/>
        <w:rPr>
          <w:rFonts w:eastAsiaTheme="minorEastAsia"/>
        </w:rPr>
      </w:pPr>
      <w:r>
        <w:rPr>
          <w:rFonts w:hint="eastAsia" w:eastAsiaTheme="minorEastAsia"/>
        </w:rPr>
        <w:t>3.3.3.18</w:t>
      </w:r>
      <w:r>
        <w:rPr>
          <w:rFonts w:ascii="宋体" w:hAnsi="宋体" w:cs="宋体"/>
          <w:color w:val="000000" w:themeColor="text1"/>
          <w:szCs w:val="21"/>
          <w14:textFill>
            <w14:solidFill>
              <w14:schemeClr w14:val="tx1"/>
            </w14:solidFill>
          </w14:textFill>
        </w:rPr>
        <w:t>★</w:t>
      </w:r>
      <w:r>
        <w:rPr>
          <w:rFonts w:hint="eastAsia" w:eastAsiaTheme="minorEastAsia"/>
        </w:rPr>
        <w:t>必须支持按照后台管理系统发送来的节目播放列表消息对广告播放过程中禁用各种“快进\快退\选时”操作。</w:t>
      </w:r>
    </w:p>
    <w:p>
      <w:pPr>
        <w:spacing w:line="360" w:lineRule="auto"/>
        <w:ind w:firstLine="420" w:firstLineChars="200"/>
        <w:rPr>
          <w:rFonts w:eastAsiaTheme="minorEastAsia"/>
        </w:rPr>
      </w:pPr>
      <w:r>
        <w:rPr>
          <w:rFonts w:hint="eastAsia" w:eastAsiaTheme="minorEastAsia"/>
        </w:rPr>
        <w:t>3.3.3.17</w:t>
      </w:r>
      <w:r>
        <w:rPr>
          <w:rFonts w:ascii="宋体" w:hAnsi="宋体" w:cs="宋体"/>
          <w:color w:val="000000" w:themeColor="text1"/>
          <w:szCs w:val="21"/>
          <w14:textFill>
            <w14:solidFill>
              <w14:schemeClr w14:val="tx1"/>
            </w14:solidFill>
          </w14:textFill>
        </w:rPr>
        <w:t>★</w:t>
      </w:r>
      <w:r>
        <w:rPr>
          <w:rFonts w:hint="eastAsia" w:eastAsiaTheme="minorEastAsia"/>
        </w:rPr>
        <w:t>必须支持跳过片头片尾功能：节目列表播出的过程中，可以按照后台管理系统的要求，根据节目中打点信息选择跳过节目的片头片尾播放。</w:t>
      </w:r>
    </w:p>
    <w:p>
      <w:pPr>
        <w:spacing w:line="360" w:lineRule="auto"/>
        <w:ind w:firstLine="420" w:firstLineChars="200"/>
        <w:rPr>
          <w:rFonts w:eastAsiaTheme="minorEastAsia"/>
        </w:rPr>
      </w:pPr>
      <w:r>
        <w:rPr>
          <w:rFonts w:hint="eastAsia" w:eastAsiaTheme="minorEastAsia"/>
        </w:rPr>
        <w:t>3.3.3.20可以支持节目预览功能：支持按照后台管理系统的要求，播放指定时间段内的节目片段，作为节目片花预览。</w:t>
      </w:r>
    </w:p>
    <w:p>
      <w:pPr>
        <w:spacing w:line="360" w:lineRule="auto"/>
        <w:ind w:firstLine="420" w:firstLineChars="200"/>
        <w:rPr>
          <w:rFonts w:eastAsiaTheme="minorEastAsia"/>
        </w:rPr>
      </w:pPr>
      <w:r>
        <w:rPr>
          <w:rFonts w:hint="eastAsia" w:eastAsiaTheme="minorEastAsia"/>
        </w:rPr>
        <w:t>3.3.3.21</w:t>
      </w:r>
      <w:r>
        <w:rPr>
          <w:rFonts w:ascii="宋体" w:hAnsi="宋体" w:cs="宋体"/>
          <w:color w:val="000000" w:themeColor="text1"/>
          <w:szCs w:val="21"/>
          <w14:textFill>
            <w14:solidFill>
              <w14:schemeClr w14:val="tx1"/>
            </w14:solidFill>
          </w14:textFill>
        </w:rPr>
        <w:t>★</w:t>
      </w:r>
      <w:r>
        <w:rPr>
          <w:rFonts w:hint="eastAsia" w:eastAsiaTheme="minorEastAsia"/>
        </w:rPr>
        <w:t>必须支持与现有后台管理系统、终端设备以及其它相关设备的集成工作并提供接口集成规范。</w:t>
      </w:r>
    </w:p>
    <w:p>
      <w:pPr>
        <w:spacing w:line="360" w:lineRule="auto"/>
        <w:ind w:firstLine="420" w:firstLineChars="200"/>
        <w:rPr>
          <w:rFonts w:eastAsiaTheme="minorEastAsia"/>
        </w:rPr>
      </w:pPr>
      <w:r>
        <w:rPr>
          <w:rFonts w:hint="eastAsia" w:eastAsiaTheme="minorEastAsia"/>
        </w:rPr>
        <w:t>3.3.3.22</w:t>
      </w:r>
      <w:r>
        <w:rPr>
          <w:rFonts w:ascii="宋体" w:hAnsi="宋体" w:cs="宋体"/>
          <w:color w:val="000000" w:themeColor="text1"/>
          <w:szCs w:val="21"/>
          <w14:textFill>
            <w14:solidFill>
              <w14:schemeClr w14:val="tx1"/>
            </w14:solidFill>
          </w14:textFill>
        </w:rPr>
        <w:t>★</w:t>
      </w:r>
      <w:r>
        <w:rPr>
          <w:rFonts w:hint="eastAsia" w:eastAsiaTheme="minorEastAsia"/>
        </w:rPr>
        <w:t>必须支持SSP、TCP/IP、UDP/IP、FTP等通讯协议。</w:t>
      </w:r>
    </w:p>
    <w:p>
      <w:pPr>
        <w:spacing w:line="360" w:lineRule="auto"/>
        <w:ind w:firstLine="420" w:firstLineChars="200"/>
        <w:rPr>
          <w:rFonts w:eastAsiaTheme="minorEastAsia"/>
        </w:rPr>
      </w:pPr>
      <w:r>
        <w:rPr>
          <w:rFonts w:hint="eastAsia" w:eastAsiaTheme="minorEastAsia"/>
        </w:rPr>
        <w:t>3.3.3.23</w:t>
      </w:r>
      <w:r>
        <w:rPr>
          <w:rFonts w:ascii="宋体" w:hAnsi="宋体" w:cs="宋体"/>
          <w:color w:val="000000" w:themeColor="text1"/>
          <w:szCs w:val="21"/>
          <w14:textFill>
            <w14:solidFill>
              <w14:schemeClr w14:val="tx1"/>
            </w14:solidFill>
          </w14:textFill>
        </w:rPr>
        <w:t>★</w:t>
      </w:r>
      <w:r>
        <w:rPr>
          <w:rFonts w:hint="eastAsia" w:eastAsiaTheme="minorEastAsia"/>
        </w:rPr>
        <w:t>必须支持SNMP协议，并提供完整的MIB库。要求能够按照NGOD N接口规范进行MIB管理的各种操作，对所有的异常事件必须有明确的Trap信息定义，配合完成与采购人采购的监控系统对融合推流服务器系统状态监控的接口对接。</w:t>
      </w:r>
    </w:p>
    <w:p>
      <w:pPr>
        <w:spacing w:line="360" w:lineRule="auto"/>
        <w:ind w:firstLine="420" w:firstLineChars="200"/>
        <w:rPr>
          <w:rFonts w:eastAsiaTheme="minorEastAsia"/>
        </w:rPr>
      </w:pPr>
      <w:r>
        <w:rPr>
          <w:rFonts w:hint="eastAsia" w:eastAsiaTheme="minorEastAsia"/>
        </w:rPr>
        <w:t>3.3.3.24</w:t>
      </w:r>
      <w:r>
        <w:rPr>
          <w:rFonts w:ascii="宋体" w:hAnsi="宋体" w:cs="宋体"/>
          <w:color w:val="000000" w:themeColor="text1"/>
          <w:szCs w:val="21"/>
          <w14:textFill>
            <w14:solidFill>
              <w14:schemeClr w14:val="tx1"/>
            </w14:solidFill>
          </w14:textFill>
        </w:rPr>
        <w:t>★</w:t>
      </w:r>
      <w:r>
        <w:rPr>
          <w:rFonts w:hint="eastAsia" w:eastAsiaTheme="minorEastAsia"/>
        </w:rPr>
        <w:t>必须支持LSCP流控协议。</w:t>
      </w:r>
    </w:p>
    <w:p>
      <w:pPr>
        <w:spacing w:line="360" w:lineRule="auto"/>
        <w:ind w:firstLine="420" w:firstLineChars="200"/>
        <w:rPr>
          <w:rFonts w:eastAsiaTheme="minorEastAsia"/>
        </w:rPr>
      </w:pPr>
      <w:r>
        <w:rPr>
          <w:rFonts w:hint="eastAsia" w:eastAsiaTheme="minorEastAsia"/>
        </w:rPr>
        <w:t>3.3.3.25</w:t>
      </w:r>
      <w:r>
        <w:rPr>
          <w:rFonts w:ascii="宋体" w:hAnsi="宋体" w:cs="宋体"/>
          <w:color w:val="000000" w:themeColor="text1"/>
          <w:szCs w:val="21"/>
          <w14:textFill>
            <w14:solidFill>
              <w14:schemeClr w14:val="tx1"/>
            </w14:solidFill>
          </w14:textFill>
        </w:rPr>
        <w:t>★</w:t>
      </w:r>
      <w:r>
        <w:rPr>
          <w:rFonts w:hint="eastAsia" w:eastAsiaTheme="minorEastAsia"/>
        </w:rPr>
        <w:t>必须支持RTSP流控协议。</w:t>
      </w:r>
    </w:p>
    <w:p>
      <w:pPr>
        <w:spacing w:line="360" w:lineRule="auto"/>
        <w:ind w:firstLine="420" w:firstLineChars="200"/>
        <w:rPr>
          <w:rFonts w:eastAsiaTheme="minorEastAsia"/>
        </w:rPr>
      </w:pPr>
      <w:r>
        <w:rPr>
          <w:rFonts w:hint="eastAsia" w:eastAsiaTheme="minorEastAsia"/>
        </w:rPr>
        <w:t>3.3.3.26可以支持HTTP流控协议。</w:t>
      </w:r>
    </w:p>
    <w:p>
      <w:pPr>
        <w:spacing w:line="360" w:lineRule="auto"/>
        <w:ind w:firstLine="420" w:firstLineChars="200"/>
        <w:rPr>
          <w:rFonts w:eastAsiaTheme="minorEastAsia"/>
        </w:rPr>
      </w:pPr>
      <w:r>
        <w:rPr>
          <w:rFonts w:hint="eastAsia" w:eastAsiaTheme="minorEastAsia"/>
        </w:rPr>
        <w:t>3.3.3.27</w:t>
      </w:r>
      <w:r>
        <w:rPr>
          <w:rFonts w:ascii="宋体" w:hAnsi="宋体" w:cs="宋体"/>
          <w:color w:val="000000" w:themeColor="text1"/>
          <w:szCs w:val="21"/>
          <w14:textFill>
            <w14:solidFill>
              <w14:schemeClr w14:val="tx1"/>
            </w14:solidFill>
          </w14:textFill>
        </w:rPr>
        <w:t>★</w:t>
      </w:r>
      <w:r>
        <w:rPr>
          <w:rFonts w:hint="eastAsia" w:eastAsiaTheme="minorEastAsia"/>
        </w:rPr>
        <w:t>必须支持实时将服务日志输入至采购人提供的日志服务器。</w:t>
      </w:r>
    </w:p>
    <w:p>
      <w:pPr>
        <w:spacing w:line="360" w:lineRule="auto"/>
        <w:ind w:firstLine="420" w:firstLineChars="200"/>
        <w:rPr>
          <w:rFonts w:eastAsiaTheme="minorEastAsia"/>
        </w:rPr>
      </w:pPr>
      <w:r>
        <w:rPr>
          <w:rFonts w:hint="eastAsia" w:eastAsiaTheme="minorEastAsia"/>
        </w:rPr>
        <w:t>3.3.3.28</w:t>
      </w:r>
      <w:r>
        <w:rPr>
          <w:rFonts w:ascii="宋体" w:hAnsi="宋体" w:cs="宋体"/>
          <w:color w:val="000000" w:themeColor="text1"/>
          <w:szCs w:val="21"/>
          <w14:textFill>
            <w14:solidFill>
              <w14:schemeClr w14:val="tx1"/>
            </w14:solidFill>
          </w14:textFill>
        </w:rPr>
        <w:t>★</w:t>
      </w:r>
      <w:r>
        <w:rPr>
          <w:rFonts w:hint="eastAsia" w:eastAsiaTheme="minorEastAsia"/>
        </w:rPr>
        <w:t>必须支持提供SYSLOG协议接口，并对所有的管理事件、业务事件、故障事件报出详细的Log信息。</w:t>
      </w:r>
    </w:p>
    <w:p>
      <w:pPr>
        <w:spacing w:line="360" w:lineRule="auto"/>
        <w:ind w:firstLine="420" w:firstLineChars="200"/>
        <w:rPr>
          <w:rFonts w:eastAsiaTheme="minorEastAsia"/>
        </w:rPr>
      </w:pPr>
      <w:r>
        <w:rPr>
          <w:rFonts w:hint="eastAsia" w:eastAsiaTheme="minorEastAsia"/>
        </w:rPr>
        <w:t>3.3.3.29</w:t>
      </w:r>
      <w:r>
        <w:rPr>
          <w:rFonts w:ascii="宋体" w:hAnsi="宋体" w:cs="宋体"/>
          <w:color w:val="000000" w:themeColor="text1"/>
          <w:szCs w:val="21"/>
          <w14:textFill>
            <w14:solidFill>
              <w14:schemeClr w14:val="tx1"/>
            </w14:solidFill>
          </w14:textFill>
        </w:rPr>
        <w:t>★</w:t>
      </w:r>
      <w:r>
        <w:rPr>
          <w:rFonts w:hint="eastAsia" w:eastAsiaTheme="minorEastAsia"/>
        </w:rPr>
        <w:t>供应商提出在自身系统可以支持的接口以及通信协议，并提供详细的接口规范。</w:t>
      </w:r>
    </w:p>
    <w:p>
      <w:pPr>
        <w:spacing w:line="360" w:lineRule="auto"/>
        <w:ind w:firstLine="420" w:firstLineChars="200"/>
        <w:rPr>
          <w:rFonts w:eastAsiaTheme="minorEastAsia"/>
        </w:rPr>
      </w:pPr>
      <w:r>
        <w:rPr>
          <w:rFonts w:hint="eastAsia" w:eastAsiaTheme="minorEastAsia"/>
        </w:rPr>
        <w:t>3.3.3.30</w:t>
      </w:r>
      <w:r>
        <w:rPr>
          <w:rFonts w:ascii="宋体" w:hAnsi="宋体" w:cs="宋体"/>
          <w:color w:val="000000" w:themeColor="text1"/>
          <w:szCs w:val="21"/>
          <w14:textFill>
            <w14:solidFill>
              <w14:schemeClr w14:val="tx1"/>
            </w14:solidFill>
          </w14:textFill>
        </w:rPr>
        <w:t>★</w:t>
      </w:r>
      <w:r>
        <w:rPr>
          <w:rFonts w:hint="eastAsia" w:eastAsiaTheme="minorEastAsia"/>
        </w:rPr>
        <w:t>必须支持对正在录制的时移节目进行快进操作，播放到当前时间点时，可自动转换为单倍速率播放，支持现有的对快进到当前时间点的处理方式。</w:t>
      </w:r>
    </w:p>
    <w:p>
      <w:pPr>
        <w:spacing w:line="360" w:lineRule="auto"/>
        <w:ind w:firstLine="420" w:firstLineChars="200"/>
        <w:rPr>
          <w:rFonts w:eastAsiaTheme="minorEastAsia"/>
        </w:rPr>
      </w:pPr>
      <w:r>
        <w:rPr>
          <w:rFonts w:hint="eastAsia" w:eastAsiaTheme="minorEastAsia"/>
        </w:rPr>
        <w:t>3.3.3.31</w:t>
      </w:r>
      <w:r>
        <w:rPr>
          <w:rFonts w:ascii="宋体" w:hAnsi="宋体" w:cs="宋体"/>
          <w:color w:val="000000" w:themeColor="text1"/>
          <w:szCs w:val="21"/>
          <w14:textFill>
            <w14:solidFill>
              <w14:schemeClr w14:val="tx1"/>
            </w14:solidFill>
          </w14:textFill>
        </w:rPr>
        <w:t>★</w:t>
      </w:r>
      <w:r>
        <w:rPr>
          <w:rFonts w:hint="eastAsia" w:eastAsiaTheme="minorEastAsia"/>
        </w:rPr>
        <w:t>必须支持做正常播放、快进\快退、选时播放等操作时，进度条响应点与实际快进快退的时间点相匹配。</w:t>
      </w:r>
    </w:p>
    <w:p>
      <w:pPr>
        <w:spacing w:line="360" w:lineRule="auto"/>
        <w:ind w:firstLine="420" w:firstLineChars="200"/>
        <w:rPr>
          <w:rFonts w:eastAsiaTheme="minorEastAsia"/>
        </w:rPr>
      </w:pPr>
      <w:r>
        <w:rPr>
          <w:rFonts w:hint="eastAsia" w:eastAsiaTheme="minorEastAsia"/>
        </w:rPr>
        <w:t>3.3.4融合推流对接功能要求</w:t>
      </w:r>
    </w:p>
    <w:p>
      <w:pPr>
        <w:spacing w:line="360" w:lineRule="auto"/>
        <w:ind w:firstLine="420" w:firstLineChars="200"/>
        <w:rPr>
          <w:rFonts w:eastAsiaTheme="minorEastAsia"/>
        </w:rPr>
      </w:pPr>
      <w:r>
        <w:rPr>
          <w:rFonts w:hint="eastAsia" w:eastAsiaTheme="minorEastAsia"/>
        </w:rPr>
        <w:t>3.3.4.1</w:t>
      </w:r>
      <w:r>
        <w:rPr>
          <w:rFonts w:ascii="宋体" w:hAnsi="宋体" w:cs="宋体"/>
          <w:color w:val="000000" w:themeColor="text1"/>
          <w:szCs w:val="21"/>
          <w14:textFill>
            <w14:solidFill>
              <w14:schemeClr w14:val="tx1"/>
            </w14:solidFill>
          </w14:textFill>
        </w:rPr>
        <w:t>★</w:t>
      </w:r>
      <w:r>
        <w:rPr>
          <w:rFonts w:hint="eastAsia" w:eastAsiaTheme="minorEastAsia"/>
        </w:rPr>
        <w:t>融合推流服务器与NGOD-CDN/NGOD融合网关/边缘缓存之间消息响应正常，XML消息体对Range参数的支持正常。</w:t>
      </w:r>
    </w:p>
    <w:p>
      <w:pPr>
        <w:spacing w:line="360" w:lineRule="auto"/>
        <w:ind w:firstLine="420" w:firstLineChars="200"/>
        <w:rPr>
          <w:rFonts w:eastAsiaTheme="minorEastAsia"/>
        </w:rPr>
      </w:pPr>
      <w:r>
        <w:rPr>
          <w:rFonts w:hint="eastAsia" w:eastAsiaTheme="minorEastAsia"/>
        </w:rPr>
        <w:t>3.3.4.2</w:t>
      </w:r>
      <w:r>
        <w:rPr>
          <w:rFonts w:ascii="宋体" w:hAnsi="宋体" w:cs="宋体"/>
          <w:color w:val="000000" w:themeColor="text1"/>
          <w:szCs w:val="21"/>
          <w14:textFill>
            <w14:solidFill>
              <w14:schemeClr w14:val="tx1"/>
            </w14:solidFill>
          </w14:textFill>
        </w:rPr>
        <w:t>★</w:t>
      </w:r>
      <w:r>
        <w:rPr>
          <w:rFonts w:hint="eastAsia" w:eastAsiaTheme="minorEastAsia"/>
        </w:rPr>
        <w:t>融合推流服务器能够从NGOD-CDN/NGOD融合网关/边缘缓存获取Index文件，并能够按照NGOD标准进行正确解析。</w:t>
      </w:r>
    </w:p>
    <w:p>
      <w:pPr>
        <w:spacing w:line="360" w:lineRule="auto"/>
        <w:ind w:firstLine="420" w:firstLineChars="200"/>
        <w:rPr>
          <w:rFonts w:eastAsiaTheme="minorEastAsia"/>
        </w:rPr>
      </w:pPr>
      <w:r>
        <w:rPr>
          <w:rFonts w:hint="eastAsia" w:eastAsiaTheme="minorEastAsia"/>
        </w:rPr>
        <w:t>3.3.4.3</w:t>
      </w:r>
      <w:r>
        <w:rPr>
          <w:rFonts w:ascii="宋体" w:hAnsi="宋体" w:cs="宋体"/>
          <w:color w:val="000000" w:themeColor="text1"/>
          <w:szCs w:val="21"/>
          <w14:textFill>
            <w14:solidFill>
              <w14:schemeClr w14:val="tx1"/>
            </w14:solidFill>
          </w14:textFill>
        </w:rPr>
        <w:t>★</w:t>
      </w:r>
      <w:r>
        <w:rPr>
          <w:rFonts w:hint="eastAsia" w:eastAsiaTheme="minorEastAsia"/>
        </w:rPr>
        <w:t>融合推流服务器能获取NGOD-CDN/NGOD融合网关/边缘缓存中实时更新的Index文件。</w:t>
      </w:r>
    </w:p>
    <w:p>
      <w:pPr>
        <w:spacing w:line="360" w:lineRule="auto"/>
        <w:ind w:firstLine="420" w:firstLineChars="200"/>
        <w:rPr>
          <w:rFonts w:eastAsiaTheme="minorEastAsia"/>
        </w:rPr>
      </w:pPr>
      <w:r>
        <w:rPr>
          <w:rFonts w:hint="eastAsia" w:eastAsiaTheme="minorEastAsia"/>
        </w:rPr>
        <w:t>3.3.4.4</w:t>
      </w:r>
      <w:r>
        <w:rPr>
          <w:rFonts w:ascii="宋体" w:hAnsi="宋体" w:cs="宋体"/>
          <w:color w:val="000000" w:themeColor="text1"/>
          <w:szCs w:val="21"/>
          <w14:textFill>
            <w14:solidFill>
              <w14:schemeClr w14:val="tx1"/>
            </w14:solidFill>
          </w14:textFill>
        </w:rPr>
        <w:t>★</w:t>
      </w:r>
      <w:r>
        <w:rPr>
          <w:rFonts w:hint="eastAsia" w:eastAsiaTheme="minorEastAsia"/>
        </w:rPr>
        <w:t>融合推流服务器能够缓存Index文件，对于缓存中已有的文件优先出流，减少从NGOD-CDN/NGOD融合网关/边缘缓存的调度。</w:t>
      </w:r>
    </w:p>
    <w:p>
      <w:pPr>
        <w:spacing w:line="360" w:lineRule="auto"/>
        <w:ind w:firstLine="420" w:firstLineChars="200"/>
        <w:rPr>
          <w:rFonts w:eastAsiaTheme="minorEastAsia"/>
        </w:rPr>
      </w:pPr>
      <w:r>
        <w:rPr>
          <w:rFonts w:hint="eastAsia" w:eastAsiaTheme="minorEastAsia"/>
        </w:rPr>
        <w:t>3.3.4.5</w:t>
      </w:r>
      <w:r>
        <w:rPr>
          <w:rFonts w:ascii="宋体" w:hAnsi="宋体" w:cs="宋体"/>
          <w:color w:val="000000" w:themeColor="text1"/>
          <w:szCs w:val="21"/>
          <w14:textFill>
            <w14:solidFill>
              <w14:schemeClr w14:val="tx1"/>
            </w14:solidFill>
          </w14:textFill>
        </w:rPr>
        <w:t>★</w:t>
      </w:r>
      <w:r>
        <w:rPr>
          <w:rFonts w:hint="eastAsia" w:eastAsiaTheme="minorEastAsia"/>
        </w:rPr>
        <w:t>融合推流服务器与NGOD-CDN/NGOD融合网关/边缘缓存之间消息响应正常，包括对静态、Trick文件和正在注入实时内容的请求。</w:t>
      </w:r>
    </w:p>
    <w:p>
      <w:pPr>
        <w:spacing w:line="360" w:lineRule="auto"/>
        <w:ind w:firstLine="420" w:firstLineChars="200"/>
        <w:rPr>
          <w:rFonts w:eastAsiaTheme="minorEastAsia"/>
        </w:rPr>
      </w:pPr>
      <w:r>
        <w:rPr>
          <w:rFonts w:hint="eastAsia" w:eastAsiaTheme="minorEastAsia"/>
        </w:rPr>
        <w:t>3.3.4.6</w:t>
      </w:r>
      <w:r>
        <w:rPr>
          <w:rFonts w:ascii="宋体" w:hAnsi="宋体" w:cs="宋体"/>
          <w:color w:val="000000" w:themeColor="text1"/>
          <w:szCs w:val="21"/>
          <w14:textFill>
            <w14:solidFill>
              <w14:schemeClr w14:val="tx1"/>
            </w14:solidFill>
          </w14:textFill>
        </w:rPr>
        <w:t>★</w:t>
      </w:r>
      <w:r>
        <w:rPr>
          <w:rFonts w:hint="eastAsia" w:eastAsiaTheme="minorEastAsia"/>
        </w:rPr>
        <w:t>融合推流服务器能够从NGOD-CDN中调度时移内容并播出，快进\快退、跳转等正常。</w:t>
      </w:r>
    </w:p>
    <w:p>
      <w:pPr>
        <w:spacing w:line="360" w:lineRule="auto"/>
        <w:ind w:firstLine="420" w:firstLineChars="200"/>
        <w:rPr>
          <w:rFonts w:eastAsiaTheme="minorEastAsia"/>
        </w:rPr>
      </w:pPr>
      <w:r>
        <w:rPr>
          <w:rFonts w:hint="eastAsia" w:eastAsiaTheme="minorEastAsia"/>
        </w:rPr>
        <w:t>3.3.4.7</w:t>
      </w:r>
      <w:r>
        <w:rPr>
          <w:rFonts w:ascii="宋体" w:hAnsi="宋体" w:cs="宋体"/>
          <w:color w:val="000000" w:themeColor="text1"/>
          <w:szCs w:val="21"/>
          <w14:textFill>
            <w14:solidFill>
              <w14:schemeClr w14:val="tx1"/>
            </w14:solidFill>
          </w14:textFill>
        </w:rPr>
        <w:t>★</w:t>
      </w:r>
      <w:r>
        <w:rPr>
          <w:rFonts w:hint="eastAsia" w:eastAsiaTheme="minorEastAsia"/>
        </w:rPr>
        <w:t>融合推流服务器能够正确找到NGOD-CDN正在录制的时移频道的实时时间点，并在快进至当前时间点时转为正常播放。</w:t>
      </w:r>
    </w:p>
    <w:p>
      <w:pPr>
        <w:spacing w:line="360" w:lineRule="auto"/>
        <w:ind w:firstLine="420" w:firstLineChars="200"/>
        <w:rPr>
          <w:rFonts w:eastAsiaTheme="minorEastAsia"/>
        </w:rPr>
      </w:pPr>
      <w:r>
        <w:rPr>
          <w:rFonts w:hint="eastAsia" w:eastAsiaTheme="minorEastAsia"/>
        </w:rPr>
        <w:t>3.3.4.8</w:t>
      </w:r>
      <w:r>
        <w:rPr>
          <w:rFonts w:ascii="宋体" w:hAnsi="宋体" w:cs="宋体"/>
          <w:color w:val="000000" w:themeColor="text1"/>
          <w:szCs w:val="21"/>
          <w14:textFill>
            <w14:solidFill>
              <w14:schemeClr w14:val="tx1"/>
            </w14:solidFill>
          </w14:textFill>
        </w:rPr>
        <w:t>★</w:t>
      </w:r>
      <w:r>
        <w:rPr>
          <w:rFonts w:hint="eastAsia" w:eastAsiaTheme="minorEastAsia"/>
        </w:rPr>
        <w:t>融合推流服务器能够正确响应Session setup messages，Session teardown messages，Announce messages，Get_Parameter messages等消息。</w:t>
      </w:r>
    </w:p>
    <w:p>
      <w:pPr>
        <w:spacing w:line="360" w:lineRule="auto"/>
        <w:ind w:firstLine="420" w:firstLineChars="200"/>
        <w:rPr>
          <w:rFonts w:eastAsiaTheme="minorEastAsia"/>
        </w:rPr>
      </w:pPr>
      <w:r>
        <w:rPr>
          <w:rFonts w:hint="eastAsia" w:eastAsiaTheme="minorEastAsia"/>
        </w:rPr>
        <w:t>3.3.4.9</w:t>
      </w:r>
      <w:r>
        <w:rPr>
          <w:rFonts w:ascii="宋体" w:hAnsi="宋体" w:cs="宋体"/>
          <w:color w:val="000000" w:themeColor="text1"/>
          <w:szCs w:val="21"/>
          <w14:textFill>
            <w14:solidFill>
              <w14:schemeClr w14:val="tx1"/>
            </w14:solidFill>
          </w14:textFill>
        </w:rPr>
        <w:t>★</w:t>
      </w:r>
      <w:r>
        <w:rPr>
          <w:rFonts w:hint="eastAsia" w:eastAsiaTheme="minorEastAsia"/>
        </w:rPr>
        <w:t>融合推流服务器系统播放本地未存储的内容，融合推流服务器能按请求实时从NGOD-CDN/NGOD融合网关/边缘缓存中调度相应内容并将调度内容播出，播放MPEG-2高\标清节目、H.264高\标清节目、H.265等视频流畅无马赛克。</w:t>
      </w:r>
    </w:p>
    <w:p>
      <w:pPr>
        <w:spacing w:line="360" w:lineRule="auto"/>
        <w:ind w:firstLine="420" w:firstLineChars="200"/>
        <w:rPr>
          <w:rFonts w:eastAsiaTheme="minorEastAsia"/>
        </w:rPr>
      </w:pPr>
      <w:r>
        <w:rPr>
          <w:rFonts w:hint="eastAsia" w:eastAsiaTheme="minorEastAsia"/>
        </w:rPr>
        <w:t>3.3.4.10</w:t>
      </w:r>
      <w:r>
        <w:rPr>
          <w:rFonts w:ascii="宋体" w:hAnsi="宋体" w:cs="宋体"/>
          <w:color w:val="000000" w:themeColor="text1"/>
          <w:szCs w:val="21"/>
          <w14:textFill>
            <w14:solidFill>
              <w14:schemeClr w14:val="tx1"/>
            </w14:solidFill>
          </w14:textFill>
        </w:rPr>
        <w:t>★</w:t>
      </w:r>
      <w:r>
        <w:rPr>
          <w:rFonts w:hint="eastAsia" w:eastAsiaTheme="minorEastAsia"/>
        </w:rPr>
        <w:t>融合推流服务器播放本地未存储的内容，并在播放过程中进行各种倍数的快进\快退等操作时，能按请求从NGOD-CDN中调度相应的快进快退文件并连续播出，或者提供trick-on-fly功能，即VSS通过实时抽取I帧，向机顶盒提供快进快退支持，且操作切换时可保持连续播放，包括MPEG-2高\标清节目、H.264高\标清节目、H.265。</w:t>
      </w:r>
    </w:p>
    <w:p>
      <w:pPr>
        <w:spacing w:line="360" w:lineRule="auto"/>
        <w:ind w:firstLine="420" w:firstLineChars="200"/>
        <w:rPr>
          <w:rFonts w:eastAsiaTheme="minorEastAsia"/>
        </w:rPr>
      </w:pPr>
      <w:r>
        <w:rPr>
          <w:rFonts w:hint="eastAsia" w:eastAsiaTheme="minorEastAsia"/>
        </w:rPr>
        <w:t>3.3.4.11</w:t>
      </w:r>
      <w:r>
        <w:rPr>
          <w:rFonts w:ascii="宋体" w:hAnsi="宋体" w:cs="宋体"/>
          <w:color w:val="000000" w:themeColor="text1"/>
          <w:szCs w:val="21"/>
          <w14:textFill>
            <w14:solidFill>
              <w14:schemeClr w14:val="tx1"/>
            </w14:solidFill>
          </w14:textFill>
        </w:rPr>
        <w:t>★</w:t>
      </w:r>
      <w:r>
        <w:rPr>
          <w:rFonts w:hint="eastAsia" w:eastAsiaTheme="minorEastAsia"/>
        </w:rPr>
        <w:t>融合推流服务器播放本地未存储的内容，并在播放过程中进行跳转操作时，能按请求向NGOD-CDN/NGOD融合网关/边缘缓存调度相应文件段并连续播出，且操作切换时可保持连续播放，包括MPEG-2高\标清节目、H.264高\标清节目、H.265。</w:t>
      </w:r>
    </w:p>
    <w:p>
      <w:pPr>
        <w:spacing w:line="360" w:lineRule="auto"/>
        <w:ind w:firstLine="420" w:firstLineChars="200"/>
        <w:rPr>
          <w:rFonts w:eastAsiaTheme="minorEastAsia"/>
        </w:rPr>
      </w:pPr>
      <w:r>
        <w:rPr>
          <w:rFonts w:hint="eastAsia" w:eastAsiaTheme="minorEastAsia"/>
        </w:rPr>
        <w:t>3.3.4.12</w:t>
      </w:r>
      <w:r>
        <w:rPr>
          <w:rFonts w:ascii="宋体" w:hAnsi="宋体" w:cs="宋体"/>
          <w:color w:val="000000" w:themeColor="text1"/>
          <w:szCs w:val="21"/>
          <w14:textFill>
            <w14:solidFill>
              <w14:schemeClr w14:val="tx1"/>
            </w14:solidFill>
          </w14:textFill>
        </w:rPr>
        <w:t>★</w:t>
      </w:r>
      <w:r>
        <w:rPr>
          <w:rFonts w:hint="eastAsia" w:eastAsiaTheme="minorEastAsia"/>
        </w:rPr>
        <w:t>融合推流服务器能自动按策略将从NGOD-CDN/NGOD融合网关/边缘缓存中调度来的视频内容进行缓存，并实现对之后点播相同内容的请求直接从本地播出，并明确热片缓存策略。</w:t>
      </w:r>
    </w:p>
    <w:p>
      <w:pPr>
        <w:spacing w:line="360" w:lineRule="auto"/>
        <w:ind w:firstLine="420" w:firstLineChars="200"/>
        <w:rPr>
          <w:rFonts w:eastAsiaTheme="minorEastAsia"/>
        </w:rPr>
      </w:pPr>
      <w:r>
        <w:rPr>
          <w:rFonts w:hint="eastAsia" w:eastAsiaTheme="minorEastAsia"/>
        </w:rPr>
        <w:t>3.3.4.13</w:t>
      </w:r>
      <w:r>
        <w:rPr>
          <w:rFonts w:ascii="宋体" w:hAnsi="宋体" w:cs="宋体"/>
          <w:color w:val="000000" w:themeColor="text1"/>
          <w:szCs w:val="21"/>
          <w14:textFill>
            <w14:solidFill>
              <w14:schemeClr w14:val="tx1"/>
            </w14:solidFill>
          </w14:textFill>
        </w:rPr>
        <w:t>★</w:t>
      </w:r>
      <w:r>
        <w:rPr>
          <w:rFonts w:hint="eastAsia" w:eastAsiaTheme="minorEastAsia"/>
        </w:rPr>
        <w:t>融合服务器中缓存的节目可以指定删除。</w:t>
      </w:r>
    </w:p>
    <w:p>
      <w:pPr>
        <w:spacing w:line="360" w:lineRule="auto"/>
        <w:ind w:firstLine="420" w:firstLineChars="200"/>
        <w:rPr>
          <w:rFonts w:eastAsiaTheme="minorEastAsia"/>
        </w:rPr>
      </w:pPr>
      <w:r>
        <w:rPr>
          <w:rFonts w:hint="eastAsia" w:eastAsiaTheme="minorEastAsia"/>
        </w:rPr>
        <w:t>3.3.4.14</w:t>
      </w:r>
      <w:r>
        <w:rPr>
          <w:rFonts w:ascii="宋体" w:hAnsi="宋体" w:cs="宋体"/>
          <w:color w:val="000000" w:themeColor="text1"/>
          <w:szCs w:val="21"/>
          <w14:textFill>
            <w14:solidFill>
              <w14:schemeClr w14:val="tx1"/>
            </w14:solidFill>
          </w14:textFill>
        </w:rPr>
        <w:t>★</w:t>
      </w:r>
      <w:r>
        <w:rPr>
          <w:rFonts w:hint="eastAsia" w:eastAsiaTheme="minorEastAsia"/>
        </w:rPr>
        <w:t>融合推流服务器播放NGOD-CDN/NGOD融合网关/边缘缓存中已存储的内容，并在播放过程中进行各种倍数的快进\退等操作时，能按请求相应地进行快进\快退等响应，且操作切换时可保持连续播放，包括MPEG-2高\标清节目、H.264高\标清节目、H.265。</w:t>
      </w:r>
    </w:p>
    <w:p>
      <w:pPr>
        <w:spacing w:line="360" w:lineRule="auto"/>
        <w:ind w:firstLine="420" w:firstLineChars="200"/>
        <w:rPr>
          <w:rFonts w:eastAsiaTheme="minorEastAsia"/>
        </w:rPr>
      </w:pPr>
      <w:r>
        <w:rPr>
          <w:rFonts w:hint="eastAsia" w:eastAsiaTheme="minorEastAsia"/>
        </w:rPr>
        <w:t>3.3.5供应商提供的融合推流平台改造系统（Traffic Router）必须支持灵活的节目调度策略</w:t>
      </w:r>
    </w:p>
    <w:p>
      <w:pPr>
        <w:spacing w:line="360" w:lineRule="auto"/>
        <w:ind w:firstLine="420" w:firstLineChars="200"/>
        <w:rPr>
          <w:rFonts w:eastAsiaTheme="minorEastAsia"/>
        </w:rPr>
      </w:pPr>
      <w:r>
        <w:rPr>
          <w:rFonts w:hint="eastAsia" w:eastAsiaTheme="minorEastAsia"/>
        </w:rPr>
        <w:t>3.3.5.1</w:t>
      </w:r>
      <w:r>
        <w:rPr>
          <w:rFonts w:ascii="宋体" w:hAnsi="宋体" w:cs="宋体"/>
          <w:color w:val="000000" w:themeColor="text1"/>
          <w:szCs w:val="21"/>
          <w14:textFill>
            <w14:solidFill>
              <w14:schemeClr w14:val="tx1"/>
            </w14:solidFill>
          </w14:textFill>
        </w:rPr>
        <w:t>★</w:t>
      </w:r>
      <w:r>
        <w:rPr>
          <w:rFonts w:hint="eastAsia" w:eastAsiaTheme="minorEastAsia"/>
        </w:rPr>
        <w:t>必须支持通过调度策略从NGOD-CDN/NGOD融合网关/边缘缓存实时调度节目。</w:t>
      </w:r>
    </w:p>
    <w:p>
      <w:pPr>
        <w:spacing w:line="360" w:lineRule="auto"/>
        <w:ind w:firstLine="420" w:firstLineChars="200"/>
        <w:rPr>
          <w:rFonts w:eastAsiaTheme="minorEastAsia"/>
        </w:rPr>
      </w:pPr>
      <w:r>
        <w:rPr>
          <w:rFonts w:hint="eastAsia" w:eastAsiaTheme="minorEastAsia"/>
        </w:rPr>
        <w:t>3.3.5.2</w:t>
      </w:r>
      <w:r>
        <w:rPr>
          <w:rFonts w:ascii="宋体" w:hAnsi="宋体" w:cs="宋体"/>
          <w:color w:val="000000" w:themeColor="text1"/>
          <w:szCs w:val="21"/>
          <w14:textFill>
            <w14:solidFill>
              <w14:schemeClr w14:val="tx1"/>
            </w14:solidFill>
          </w14:textFill>
        </w:rPr>
        <w:t>★</w:t>
      </w:r>
      <w:r>
        <w:rPr>
          <w:rFonts w:hint="eastAsia" w:eastAsiaTheme="minorEastAsia"/>
        </w:rPr>
        <w:t>必须保证分发策略判断效率（保证系统热片的实时调度和冷片的实时删除）。</w:t>
      </w:r>
    </w:p>
    <w:p>
      <w:pPr>
        <w:spacing w:line="360" w:lineRule="auto"/>
        <w:ind w:firstLine="420" w:firstLineChars="200"/>
        <w:rPr>
          <w:rFonts w:eastAsiaTheme="minorEastAsia"/>
        </w:rPr>
      </w:pPr>
      <w:r>
        <w:rPr>
          <w:rFonts w:hint="eastAsia" w:eastAsiaTheme="minorEastAsia"/>
        </w:rPr>
        <w:t>3.3.5.3</w:t>
      </w:r>
      <w:r>
        <w:rPr>
          <w:rFonts w:ascii="宋体" w:hAnsi="宋体" w:cs="宋体"/>
          <w:color w:val="000000" w:themeColor="text1"/>
          <w:szCs w:val="21"/>
          <w14:textFill>
            <w14:solidFill>
              <w14:schemeClr w14:val="tx1"/>
            </w14:solidFill>
          </w14:textFill>
        </w:rPr>
        <w:t>★</w:t>
      </w:r>
      <w:r>
        <w:rPr>
          <w:rFonts w:hint="eastAsia" w:eastAsiaTheme="minorEastAsia"/>
        </w:rPr>
        <w:t>必须保证调度策略的高效性，策略的配置/更新等操作对视频点播业务不会造成任何影响。</w:t>
      </w:r>
    </w:p>
    <w:p>
      <w:pPr>
        <w:spacing w:line="360" w:lineRule="auto"/>
        <w:ind w:firstLine="420" w:firstLineChars="200"/>
        <w:rPr>
          <w:rFonts w:eastAsiaTheme="minorEastAsia"/>
        </w:rPr>
      </w:pPr>
      <w:r>
        <w:rPr>
          <w:rFonts w:hint="eastAsia" w:eastAsiaTheme="minorEastAsia"/>
        </w:rPr>
        <w:t>3.3.5.4</w:t>
      </w:r>
      <w:r>
        <w:rPr>
          <w:rFonts w:ascii="宋体" w:hAnsi="宋体" w:cs="宋体"/>
          <w:color w:val="000000" w:themeColor="text1"/>
          <w:szCs w:val="21"/>
          <w14:textFill>
            <w14:solidFill>
              <w14:schemeClr w14:val="tx1"/>
            </w14:solidFill>
          </w14:textFill>
        </w:rPr>
        <w:t>★</w:t>
      </w:r>
      <w:r>
        <w:rPr>
          <w:rFonts w:hint="eastAsia" w:eastAsiaTheme="minorEastAsia"/>
        </w:rPr>
        <w:t>必须支持调度策略的可配置性。</w:t>
      </w:r>
    </w:p>
    <w:p>
      <w:pPr>
        <w:spacing w:line="360" w:lineRule="auto"/>
        <w:ind w:firstLine="420" w:firstLineChars="200"/>
        <w:rPr>
          <w:rFonts w:eastAsiaTheme="minorEastAsia"/>
        </w:rPr>
      </w:pPr>
      <w:r>
        <w:rPr>
          <w:rFonts w:hint="eastAsia" w:eastAsiaTheme="minorEastAsia"/>
        </w:rPr>
        <w:t>3.3.6 4K节目播出要求</w:t>
      </w:r>
    </w:p>
    <w:p>
      <w:pPr>
        <w:spacing w:line="360" w:lineRule="auto"/>
        <w:ind w:firstLine="420" w:firstLineChars="200"/>
        <w:rPr>
          <w:rFonts w:eastAsiaTheme="minorEastAsia"/>
        </w:rPr>
      </w:pPr>
      <w:r>
        <w:rPr>
          <w:rFonts w:hint="eastAsia" w:eastAsiaTheme="minorEastAsia"/>
        </w:rPr>
        <w:t>3.3.6.1</w:t>
      </w:r>
      <w:r>
        <w:rPr>
          <w:rFonts w:ascii="宋体" w:hAnsi="宋体" w:cs="宋体"/>
          <w:color w:val="000000" w:themeColor="text1"/>
          <w:szCs w:val="21"/>
          <w14:textFill>
            <w14:solidFill>
              <w14:schemeClr w14:val="tx1"/>
            </w14:solidFill>
          </w14:textFill>
        </w:rPr>
        <w:t>★</w:t>
      </w:r>
      <w:r>
        <w:rPr>
          <w:rFonts w:hint="eastAsia" w:eastAsiaTheme="minorEastAsia"/>
        </w:rPr>
        <w:t>必须完成与IPCDN系统关于4K节目的相关集成工作，能够正常播放4K节目。</w:t>
      </w:r>
    </w:p>
    <w:p>
      <w:pPr>
        <w:spacing w:line="360" w:lineRule="auto"/>
        <w:ind w:firstLine="420" w:firstLineChars="200"/>
        <w:rPr>
          <w:rFonts w:eastAsiaTheme="minorEastAsia"/>
        </w:rPr>
      </w:pPr>
      <w:r>
        <w:rPr>
          <w:rFonts w:hint="eastAsia" w:eastAsiaTheme="minorEastAsia"/>
        </w:rPr>
        <w:t>3.3.6.2</w:t>
      </w:r>
      <w:r>
        <w:rPr>
          <w:rFonts w:ascii="宋体" w:hAnsi="宋体" w:cs="宋体"/>
          <w:color w:val="000000" w:themeColor="text1"/>
          <w:szCs w:val="21"/>
          <w14:textFill>
            <w14:solidFill>
              <w14:schemeClr w14:val="tx1"/>
            </w14:solidFill>
          </w14:textFill>
        </w:rPr>
        <w:t>★</w:t>
      </w:r>
      <w:r>
        <w:rPr>
          <w:rFonts w:hint="eastAsia" w:eastAsiaTheme="minorEastAsia"/>
        </w:rPr>
        <w:t>必须支持4K视频H.265编码格式。</w:t>
      </w:r>
    </w:p>
    <w:p>
      <w:pPr>
        <w:spacing w:line="360" w:lineRule="auto"/>
        <w:ind w:firstLine="420" w:firstLineChars="200"/>
        <w:rPr>
          <w:rFonts w:eastAsiaTheme="minorEastAsia"/>
        </w:rPr>
      </w:pPr>
      <w:r>
        <w:rPr>
          <w:rFonts w:hint="eastAsia" w:eastAsiaTheme="minorEastAsia"/>
        </w:rPr>
        <w:t>3.3.6.3</w:t>
      </w:r>
      <w:r>
        <w:rPr>
          <w:rFonts w:ascii="宋体" w:hAnsi="宋体" w:cs="宋体"/>
          <w:color w:val="000000" w:themeColor="text1"/>
          <w:szCs w:val="21"/>
          <w14:textFill>
            <w14:solidFill>
              <w14:schemeClr w14:val="tx1"/>
            </w14:solidFill>
          </w14:textFill>
        </w:rPr>
        <w:t>★</w:t>
      </w:r>
      <w:r>
        <w:rPr>
          <w:rFonts w:hint="eastAsia" w:eastAsiaTheme="minorEastAsia"/>
        </w:rPr>
        <w:t>必必须支持4K视频3840*2160的分辨率。</w:t>
      </w:r>
    </w:p>
    <w:p>
      <w:pPr>
        <w:spacing w:line="360" w:lineRule="auto"/>
        <w:ind w:firstLine="420" w:firstLineChars="200"/>
        <w:rPr>
          <w:rFonts w:eastAsiaTheme="minorEastAsia"/>
        </w:rPr>
      </w:pPr>
      <w:r>
        <w:rPr>
          <w:rFonts w:hint="eastAsia" w:eastAsiaTheme="minorEastAsia"/>
        </w:rPr>
        <w:t>3.3.6.4</w:t>
      </w:r>
      <w:r>
        <w:rPr>
          <w:rFonts w:ascii="宋体" w:hAnsi="宋体" w:cs="宋体"/>
          <w:color w:val="000000" w:themeColor="text1"/>
          <w:szCs w:val="21"/>
          <w14:textFill>
            <w14:solidFill>
              <w14:schemeClr w14:val="tx1"/>
            </w14:solidFill>
          </w14:textFill>
        </w:rPr>
        <w:t>★</w:t>
      </w:r>
      <w:r>
        <w:rPr>
          <w:rFonts w:hint="eastAsia" w:eastAsiaTheme="minorEastAsia"/>
        </w:rPr>
        <w:t>必须支持4K视频8比特和10比特两种位深。</w:t>
      </w:r>
    </w:p>
    <w:p>
      <w:pPr>
        <w:spacing w:line="360" w:lineRule="auto"/>
        <w:rPr>
          <w:rFonts w:ascii="宋体" w:hAnsi="宋体"/>
          <w:b/>
          <w:szCs w:val="21"/>
        </w:rPr>
      </w:pPr>
      <w:r>
        <w:rPr>
          <w:rFonts w:hint="eastAsia" w:ascii="宋体" w:hAnsi="宋体"/>
          <w:b/>
          <w:szCs w:val="21"/>
        </w:rPr>
        <w:t>3.4、融合推流平台改造系统部署要求</w:t>
      </w:r>
    </w:p>
    <w:p>
      <w:pPr>
        <w:spacing w:line="360" w:lineRule="auto"/>
        <w:ind w:firstLine="420" w:firstLineChars="200"/>
        <w:rPr>
          <w:rFonts w:eastAsiaTheme="minorEastAsia"/>
        </w:rPr>
      </w:pPr>
      <w:r>
        <w:rPr>
          <w:rFonts w:hint="eastAsia" w:eastAsiaTheme="minorEastAsia"/>
        </w:rPr>
        <w:t>3.4.1</w:t>
      </w:r>
      <w:r>
        <w:rPr>
          <w:rFonts w:ascii="宋体" w:hAnsi="宋体" w:cs="宋体"/>
          <w:color w:val="000000" w:themeColor="text1"/>
          <w:szCs w:val="21"/>
          <w14:textFill>
            <w14:solidFill>
              <w14:schemeClr w14:val="tx1"/>
            </w14:solidFill>
          </w14:textFill>
        </w:rPr>
        <w:t>★</w:t>
      </w:r>
      <w:r>
        <w:rPr>
          <w:rFonts w:hint="eastAsia" w:eastAsiaTheme="minorEastAsia"/>
        </w:rPr>
        <w:t>必须提供符合现网架构的系统部署方案。</w:t>
      </w:r>
    </w:p>
    <w:p>
      <w:pPr>
        <w:spacing w:line="360" w:lineRule="auto"/>
        <w:ind w:firstLine="420" w:firstLineChars="200"/>
        <w:rPr>
          <w:rFonts w:eastAsiaTheme="minorEastAsia"/>
        </w:rPr>
      </w:pPr>
      <w:r>
        <w:rPr>
          <w:rFonts w:hint="eastAsia" w:eastAsiaTheme="minorEastAsia"/>
        </w:rPr>
        <w:t>3.4.2</w:t>
      </w:r>
      <w:r>
        <w:rPr>
          <w:rFonts w:ascii="宋体" w:hAnsi="宋体" w:cs="宋体"/>
          <w:color w:val="000000" w:themeColor="text1"/>
          <w:szCs w:val="21"/>
          <w14:textFill>
            <w14:solidFill>
              <w14:schemeClr w14:val="tx1"/>
            </w14:solidFill>
          </w14:textFill>
        </w:rPr>
        <w:t>★</w:t>
      </w:r>
      <w:r>
        <w:rPr>
          <w:rFonts w:hint="eastAsia" w:eastAsiaTheme="minorEastAsia"/>
        </w:rPr>
        <w:t>必须支持系统license及设备可以根据实际部署方案进行灵活调配。</w:t>
      </w:r>
    </w:p>
    <w:p>
      <w:pPr>
        <w:spacing w:line="360" w:lineRule="auto"/>
        <w:rPr>
          <w:rFonts w:ascii="宋体" w:hAnsi="宋体"/>
          <w:b/>
          <w:szCs w:val="21"/>
        </w:rPr>
      </w:pPr>
      <w:r>
        <w:rPr>
          <w:rFonts w:hint="eastAsia" w:ascii="宋体" w:hAnsi="宋体"/>
          <w:b/>
          <w:szCs w:val="21"/>
        </w:rPr>
        <w:t>3.5、融合推流平台改造系统核心性能要求</w:t>
      </w:r>
    </w:p>
    <w:p>
      <w:pPr>
        <w:spacing w:line="360" w:lineRule="auto"/>
        <w:ind w:firstLine="420" w:firstLineChars="200"/>
        <w:rPr>
          <w:rFonts w:eastAsiaTheme="minorEastAsia"/>
        </w:rPr>
      </w:pPr>
      <w:r>
        <w:rPr>
          <w:rFonts w:hint="eastAsia" w:eastAsiaTheme="minorEastAsia"/>
        </w:rPr>
        <w:t>在满足上述系统功能的基础上，供应商提供的融合推流平台改造系统还需满足以下性能要求：</w:t>
      </w:r>
    </w:p>
    <w:p>
      <w:pPr>
        <w:spacing w:line="360" w:lineRule="auto"/>
        <w:ind w:firstLine="420" w:firstLineChars="200"/>
        <w:rPr>
          <w:rFonts w:eastAsiaTheme="minorEastAsia"/>
        </w:rPr>
      </w:pPr>
      <w:r>
        <w:rPr>
          <w:rFonts w:hint="eastAsia" w:eastAsiaTheme="minorEastAsia"/>
        </w:rPr>
        <w:t>3.5.1、NGOD融合网关核心性能要求</w:t>
      </w:r>
    </w:p>
    <w:p>
      <w:pPr>
        <w:spacing w:line="360" w:lineRule="auto"/>
        <w:ind w:firstLine="420" w:firstLineChars="200"/>
        <w:rPr>
          <w:rFonts w:eastAsiaTheme="minorEastAsia"/>
        </w:rPr>
      </w:pPr>
      <w:r>
        <w:rPr>
          <w:rFonts w:hint="eastAsia" w:eastAsiaTheme="minorEastAsia"/>
        </w:rPr>
        <w:t>3.5.1.1</w:t>
      </w:r>
      <w:r>
        <w:rPr>
          <w:rFonts w:ascii="宋体" w:hAnsi="宋体" w:cs="宋体"/>
          <w:color w:val="000000" w:themeColor="text1"/>
          <w:szCs w:val="21"/>
          <w14:textFill>
            <w14:solidFill>
              <w14:schemeClr w14:val="tx1"/>
            </w14:solidFill>
          </w14:textFill>
        </w:rPr>
        <w:t>★</w:t>
      </w:r>
      <w:r>
        <w:rPr>
          <w:rFonts w:hint="eastAsia" w:eastAsiaTheme="minorEastAsia"/>
        </w:rPr>
        <w:t>单台服务器必须支持不低于7G的HLS节目输入能力。</w:t>
      </w:r>
    </w:p>
    <w:p>
      <w:pPr>
        <w:spacing w:line="360" w:lineRule="auto"/>
        <w:ind w:firstLine="420" w:firstLineChars="200"/>
        <w:rPr>
          <w:rFonts w:eastAsiaTheme="minorEastAsia"/>
        </w:rPr>
      </w:pPr>
      <w:r>
        <w:rPr>
          <w:rFonts w:hint="eastAsia" w:eastAsiaTheme="minorEastAsia"/>
        </w:rPr>
        <w:t>3.5.1.2</w:t>
      </w:r>
      <w:r>
        <w:rPr>
          <w:rFonts w:ascii="宋体" w:hAnsi="宋体" w:cs="宋体"/>
          <w:color w:val="000000" w:themeColor="text1"/>
          <w:szCs w:val="21"/>
          <w14:textFill>
            <w14:solidFill>
              <w14:schemeClr w14:val="tx1"/>
            </w14:solidFill>
          </w14:textFill>
        </w:rPr>
        <w:t>★</w:t>
      </w:r>
      <w:r>
        <w:rPr>
          <w:rFonts w:hint="eastAsia" w:eastAsiaTheme="minorEastAsia"/>
        </w:rPr>
        <w:t>单台服务器必须支持不低于7G的TS节目输出能力。</w:t>
      </w:r>
    </w:p>
    <w:p>
      <w:pPr>
        <w:spacing w:line="360" w:lineRule="auto"/>
        <w:ind w:firstLine="420" w:firstLineChars="200"/>
        <w:rPr>
          <w:rFonts w:eastAsiaTheme="minorEastAsia"/>
        </w:rPr>
      </w:pPr>
      <w:r>
        <w:rPr>
          <w:rFonts w:hint="eastAsia" w:eastAsiaTheme="minorEastAsia"/>
        </w:rPr>
        <w:t>3.5.1.3</w:t>
      </w:r>
      <w:r>
        <w:rPr>
          <w:rFonts w:ascii="宋体" w:hAnsi="宋体" w:cs="宋体"/>
          <w:color w:val="000000" w:themeColor="text1"/>
          <w:szCs w:val="21"/>
          <w14:textFill>
            <w14:solidFill>
              <w14:schemeClr w14:val="tx1"/>
            </w14:solidFill>
          </w14:textFill>
        </w:rPr>
        <w:t>★</w:t>
      </w:r>
      <w:r>
        <w:rPr>
          <w:rFonts w:hint="eastAsia" w:eastAsiaTheme="minorEastAsia"/>
        </w:rPr>
        <w:t>单台服务器的连接数不低于1500。</w:t>
      </w:r>
    </w:p>
    <w:p>
      <w:pPr>
        <w:spacing w:line="360" w:lineRule="auto"/>
        <w:ind w:firstLine="420" w:firstLineChars="200"/>
        <w:rPr>
          <w:rFonts w:eastAsiaTheme="minorEastAsia"/>
        </w:rPr>
      </w:pPr>
      <w:r>
        <w:rPr>
          <w:rFonts w:hint="eastAsia" w:eastAsiaTheme="minorEastAsia"/>
        </w:rPr>
        <w:t>3.5.1.4</w:t>
      </w:r>
      <w:r>
        <w:rPr>
          <w:rFonts w:ascii="宋体" w:hAnsi="宋体" w:cs="宋体"/>
          <w:color w:val="000000" w:themeColor="text1"/>
          <w:szCs w:val="21"/>
          <w14:textFill>
            <w14:solidFill>
              <w14:schemeClr w14:val="tx1"/>
            </w14:solidFill>
          </w14:textFill>
        </w:rPr>
        <w:t>★</w:t>
      </w:r>
      <w:r>
        <w:rPr>
          <w:rFonts w:hint="eastAsia" w:eastAsiaTheme="minorEastAsia"/>
        </w:rPr>
        <w:t>单台服务器在满负荷时，HLS-&gt;TS最大延时不得高于500ms。</w:t>
      </w:r>
    </w:p>
    <w:p>
      <w:pPr>
        <w:spacing w:line="360" w:lineRule="auto"/>
        <w:ind w:firstLine="420" w:firstLineChars="200"/>
        <w:rPr>
          <w:rFonts w:eastAsiaTheme="minorEastAsia"/>
        </w:rPr>
      </w:pPr>
      <w:r>
        <w:rPr>
          <w:rFonts w:hint="eastAsia" w:eastAsiaTheme="minorEastAsia"/>
        </w:rPr>
        <w:t>3.5.1.5</w:t>
      </w:r>
      <w:r>
        <w:rPr>
          <w:rFonts w:ascii="宋体" w:hAnsi="宋体" w:cs="宋体"/>
          <w:color w:val="000000" w:themeColor="text1"/>
          <w:szCs w:val="21"/>
          <w14:textFill>
            <w14:solidFill>
              <w14:schemeClr w14:val="tx1"/>
            </w14:solidFill>
          </w14:textFill>
        </w:rPr>
        <w:t>★</w:t>
      </w:r>
      <w:r>
        <w:rPr>
          <w:rFonts w:hint="eastAsia" w:eastAsiaTheme="minorEastAsia"/>
        </w:rPr>
        <w:t>索引服务器至少能够存储5万小时节目的Index文件，并保证index文件下载延时不高于50ms。</w:t>
      </w:r>
    </w:p>
    <w:p>
      <w:pPr>
        <w:spacing w:line="360" w:lineRule="auto"/>
        <w:ind w:firstLine="420" w:firstLineChars="200"/>
        <w:rPr>
          <w:rFonts w:eastAsiaTheme="minorEastAsia"/>
        </w:rPr>
      </w:pPr>
      <w:r>
        <w:rPr>
          <w:rFonts w:hint="eastAsia" w:eastAsiaTheme="minorEastAsia"/>
        </w:rPr>
        <w:t>3.5.2、缓存设备性能要求</w:t>
      </w:r>
    </w:p>
    <w:p>
      <w:pPr>
        <w:spacing w:line="360" w:lineRule="auto"/>
        <w:ind w:firstLine="420" w:firstLineChars="200"/>
        <w:rPr>
          <w:rFonts w:eastAsiaTheme="minorEastAsia"/>
        </w:rPr>
      </w:pPr>
      <w:r>
        <w:rPr>
          <w:rFonts w:hint="eastAsia" w:eastAsiaTheme="minorEastAsia"/>
        </w:rPr>
        <w:t>3.5.2.1</w:t>
      </w:r>
      <w:r>
        <w:rPr>
          <w:rFonts w:ascii="宋体" w:hAnsi="宋体" w:cs="宋体"/>
          <w:color w:val="000000" w:themeColor="text1"/>
          <w:szCs w:val="21"/>
          <w14:textFill>
            <w14:solidFill>
              <w14:schemeClr w14:val="tx1"/>
            </w14:solidFill>
          </w14:textFill>
        </w:rPr>
        <w:t>★</w:t>
      </w:r>
      <w:r>
        <w:rPr>
          <w:rFonts w:hint="eastAsia" w:eastAsiaTheme="minorEastAsia"/>
        </w:rPr>
        <w:t>单台服务器（CDE290）必须支持不低于10G的节目调入能力，单台服务器（CDE280）必须支持不低于8G的节目调入能力。</w:t>
      </w:r>
    </w:p>
    <w:p>
      <w:pPr>
        <w:spacing w:line="360" w:lineRule="auto"/>
        <w:ind w:firstLine="420" w:firstLineChars="200"/>
        <w:rPr>
          <w:rFonts w:eastAsiaTheme="minorEastAsia"/>
        </w:rPr>
      </w:pPr>
      <w:r>
        <w:rPr>
          <w:rFonts w:hint="eastAsia" w:eastAsiaTheme="minorEastAsia"/>
        </w:rPr>
        <w:t>3.5.2.2</w:t>
      </w:r>
      <w:r>
        <w:rPr>
          <w:rFonts w:ascii="宋体" w:hAnsi="宋体" w:cs="宋体"/>
          <w:color w:val="000000" w:themeColor="text1"/>
          <w:szCs w:val="21"/>
          <w14:textFill>
            <w14:solidFill>
              <w14:schemeClr w14:val="tx1"/>
            </w14:solidFill>
          </w14:textFill>
        </w:rPr>
        <w:t>★</w:t>
      </w:r>
      <w:r>
        <w:rPr>
          <w:rFonts w:hint="eastAsia" w:eastAsiaTheme="minorEastAsia"/>
        </w:rPr>
        <w:t>单台服务器（CDE290）必须支持不低于40G的节目输出能力，单台服务器（CDE280）必须支持不低于30G的节目输出能力。</w:t>
      </w:r>
    </w:p>
    <w:p>
      <w:pPr>
        <w:spacing w:line="360" w:lineRule="auto"/>
        <w:ind w:firstLine="420" w:firstLineChars="200"/>
        <w:rPr>
          <w:rFonts w:eastAsiaTheme="minorEastAsia"/>
        </w:rPr>
      </w:pPr>
      <w:r>
        <w:rPr>
          <w:rFonts w:hint="eastAsia" w:eastAsiaTheme="minorEastAsia"/>
        </w:rPr>
        <w:t>3.5.2.3</w:t>
      </w:r>
      <w:r>
        <w:rPr>
          <w:rFonts w:ascii="宋体" w:hAnsi="宋体" w:cs="宋体"/>
          <w:color w:val="000000" w:themeColor="text1"/>
          <w:szCs w:val="21"/>
          <w14:textFill>
            <w14:solidFill>
              <w14:schemeClr w14:val="tx1"/>
            </w14:solidFill>
          </w14:textFill>
        </w:rPr>
        <w:t>★</w:t>
      </w:r>
      <w:r>
        <w:rPr>
          <w:rFonts w:hint="eastAsia" w:eastAsiaTheme="minorEastAsia"/>
        </w:rPr>
        <w:t>单台服务器（CDE290）的连接数不低于10000，单台服务器（CDE280）的连接数不低于8000。</w:t>
      </w:r>
    </w:p>
    <w:p>
      <w:pPr>
        <w:spacing w:line="360" w:lineRule="auto"/>
        <w:ind w:firstLine="420" w:firstLineChars="200"/>
        <w:rPr>
          <w:rFonts w:eastAsiaTheme="minorEastAsia"/>
        </w:rPr>
      </w:pPr>
      <w:r>
        <w:rPr>
          <w:rFonts w:hint="eastAsia" w:eastAsiaTheme="minorEastAsia"/>
        </w:rPr>
        <w:t>3.5.2.4</w:t>
      </w:r>
      <w:r>
        <w:rPr>
          <w:rFonts w:ascii="宋体" w:hAnsi="宋体" w:cs="宋体"/>
          <w:color w:val="000000" w:themeColor="text1"/>
          <w:szCs w:val="21"/>
          <w14:textFill>
            <w14:solidFill>
              <w14:schemeClr w14:val="tx1"/>
            </w14:solidFill>
          </w14:textFill>
        </w:rPr>
        <w:t>★</w:t>
      </w:r>
      <w:r>
        <w:rPr>
          <w:rFonts w:hint="eastAsia" w:eastAsiaTheme="minorEastAsia"/>
        </w:rPr>
        <w:t>单台服务器在满负荷时，最大延时不得高于500ms。</w:t>
      </w:r>
    </w:p>
    <w:p>
      <w:pPr>
        <w:spacing w:line="360" w:lineRule="auto"/>
        <w:ind w:firstLine="420" w:firstLineChars="200"/>
        <w:rPr>
          <w:rFonts w:eastAsiaTheme="minorEastAsia"/>
        </w:rPr>
      </w:pPr>
      <w:r>
        <w:rPr>
          <w:rFonts w:hint="eastAsia" w:eastAsiaTheme="minorEastAsia"/>
        </w:rPr>
        <w:t>3.5.3、融合推流性能要求</w:t>
      </w:r>
    </w:p>
    <w:p>
      <w:pPr>
        <w:spacing w:line="360" w:lineRule="auto"/>
        <w:ind w:firstLine="420" w:firstLineChars="200"/>
        <w:rPr>
          <w:rFonts w:eastAsiaTheme="minorEastAsia"/>
        </w:rPr>
      </w:pPr>
      <w:r>
        <w:rPr>
          <w:rFonts w:hint="eastAsia" w:eastAsiaTheme="minorEastAsia"/>
        </w:rPr>
        <w:t>3.5.3.1</w:t>
      </w:r>
      <w:r>
        <w:rPr>
          <w:rFonts w:ascii="宋体" w:hAnsi="宋体" w:cs="宋体"/>
          <w:color w:val="000000" w:themeColor="text1"/>
          <w:szCs w:val="21"/>
          <w14:textFill>
            <w14:solidFill>
              <w14:schemeClr w14:val="tx1"/>
            </w14:solidFill>
          </w14:textFill>
        </w:rPr>
        <w:t>★</w:t>
      </w:r>
      <w:r>
        <w:rPr>
          <w:rFonts w:hint="eastAsia" w:eastAsiaTheme="minorEastAsia"/>
        </w:rPr>
        <w:t>融合推流服务器对CDN（包括NGOD-CDN/NGOD融合网关/边缘缓存）调度播流能力要求：必须支持当 CDN系统调度容量达到设备支持最大并发的40%时（如单台设备最大支持5000并发，当CDN调度并发达到2000时），可以正常播放、快进\快退、跳转等操作时，播放高\标清节目无马赛克、无卡顿现象，流控正常。</w:t>
      </w:r>
    </w:p>
    <w:p>
      <w:pPr>
        <w:spacing w:line="360" w:lineRule="auto"/>
        <w:ind w:firstLine="420" w:firstLineChars="200"/>
        <w:rPr>
          <w:rFonts w:eastAsiaTheme="minorEastAsia"/>
        </w:rPr>
      </w:pPr>
      <w:r>
        <w:rPr>
          <w:rFonts w:hint="eastAsia" w:eastAsiaTheme="minorEastAsia"/>
        </w:rPr>
        <w:t>3.5.3.2</w:t>
      </w:r>
      <w:r>
        <w:rPr>
          <w:rFonts w:ascii="宋体" w:hAnsi="宋体" w:cs="宋体"/>
          <w:color w:val="000000" w:themeColor="text1"/>
          <w:szCs w:val="21"/>
          <w14:textFill>
            <w14:solidFill>
              <w14:schemeClr w14:val="tx1"/>
            </w14:solidFill>
          </w14:textFill>
        </w:rPr>
        <w:t>★</w:t>
      </w:r>
      <w:r>
        <w:rPr>
          <w:rFonts w:hint="eastAsia" w:eastAsiaTheme="minorEastAsia"/>
        </w:rPr>
        <w:t>融合推流服务器对本地推流能力要求：单台设备硬件最大流输出带宽至少20G，License有效输出授权至少具备5000个3.75M流输出能力，播放效果流畅且无马赛克，流控正常；至少具备2500个7.5Mbps高清视频流出流能力，播放效果流畅且无马赛克，流控正常。</w:t>
      </w:r>
    </w:p>
    <w:p>
      <w:pPr>
        <w:spacing w:line="360" w:lineRule="auto"/>
        <w:ind w:firstLine="420" w:firstLineChars="200"/>
        <w:rPr>
          <w:rFonts w:eastAsiaTheme="minorEastAsia"/>
        </w:rPr>
      </w:pPr>
      <w:r>
        <w:rPr>
          <w:rFonts w:hint="eastAsia" w:eastAsiaTheme="minorEastAsia"/>
        </w:rPr>
        <w:t>3.5.3.3</w:t>
      </w:r>
      <w:r>
        <w:rPr>
          <w:rFonts w:ascii="宋体" w:hAnsi="宋体" w:cs="宋体"/>
          <w:color w:val="000000" w:themeColor="text1"/>
          <w:szCs w:val="21"/>
          <w14:textFill>
            <w14:solidFill>
              <w14:schemeClr w14:val="tx1"/>
            </w14:solidFill>
          </w14:textFill>
        </w:rPr>
        <w:t>★</w:t>
      </w:r>
      <w:r>
        <w:rPr>
          <w:rFonts w:hint="eastAsia" w:eastAsiaTheme="minorEastAsia"/>
        </w:rPr>
        <w:t>融合推流服务器可扩展性要求：融合推流服务器能按设备进行线性扩展，无单节点上限限制。</w:t>
      </w:r>
    </w:p>
    <w:p>
      <w:pPr>
        <w:spacing w:line="360" w:lineRule="auto"/>
        <w:ind w:firstLine="420" w:firstLineChars="200"/>
        <w:rPr>
          <w:rFonts w:eastAsiaTheme="minorEastAsia"/>
        </w:rPr>
      </w:pPr>
      <w:r>
        <w:rPr>
          <w:rFonts w:hint="eastAsia" w:eastAsiaTheme="minorEastAsia"/>
        </w:rPr>
        <w:t>3.5.3.4</w:t>
      </w:r>
      <w:r>
        <w:rPr>
          <w:rFonts w:ascii="宋体" w:hAnsi="宋体" w:cs="宋体"/>
          <w:color w:val="000000" w:themeColor="text1"/>
          <w:szCs w:val="21"/>
          <w14:textFill>
            <w14:solidFill>
              <w14:schemeClr w14:val="tx1"/>
            </w14:solidFill>
          </w14:textFill>
        </w:rPr>
        <w:t>★</w:t>
      </w:r>
      <w:r>
        <w:rPr>
          <w:rFonts w:hint="eastAsia" w:eastAsiaTheme="minorEastAsia"/>
        </w:rPr>
        <w:t>融合推流服务器对在线无缝扩容要求：在系统进行播流、调度等应用时，对系统进行设备的扩容，对现有业务无影响；扩容设备可持续提供服务。</w:t>
      </w:r>
    </w:p>
    <w:p>
      <w:pPr>
        <w:spacing w:line="360" w:lineRule="auto"/>
        <w:ind w:firstLine="420" w:firstLineChars="200"/>
        <w:rPr>
          <w:rFonts w:eastAsiaTheme="minorEastAsia"/>
        </w:rPr>
      </w:pPr>
      <w:r>
        <w:rPr>
          <w:rFonts w:hint="eastAsia" w:eastAsiaTheme="minorEastAsia"/>
        </w:rPr>
        <w:t>3.5.3.5</w:t>
      </w:r>
      <w:r>
        <w:rPr>
          <w:rFonts w:ascii="宋体" w:hAnsi="宋体" w:cs="宋体"/>
          <w:color w:val="000000" w:themeColor="text1"/>
          <w:szCs w:val="21"/>
          <w14:textFill>
            <w14:solidFill>
              <w14:schemeClr w14:val="tx1"/>
            </w14:solidFill>
          </w14:textFill>
        </w:rPr>
        <w:t>★</w:t>
      </w:r>
      <w:r>
        <w:rPr>
          <w:rFonts w:hint="eastAsia" w:eastAsiaTheme="minorEastAsia"/>
        </w:rPr>
        <w:t>融合推流服务器对时移节目延时要求：融合推流服务器播放正在录制的时移节目时，播放效果流畅且无马赛克，流控正常。快进至当前时间点时可以转成正常播放，与直播相比时延不大于15秒。</w:t>
      </w:r>
    </w:p>
    <w:p>
      <w:pPr>
        <w:spacing w:line="360" w:lineRule="auto"/>
        <w:ind w:firstLine="420" w:firstLineChars="200"/>
        <w:rPr>
          <w:rFonts w:eastAsiaTheme="minorEastAsia"/>
        </w:rPr>
      </w:pPr>
      <w:r>
        <w:rPr>
          <w:rFonts w:hint="eastAsia" w:eastAsiaTheme="minorEastAsia"/>
        </w:rPr>
        <w:t>3.5.3.6</w:t>
      </w:r>
      <w:r>
        <w:rPr>
          <w:rFonts w:ascii="宋体" w:hAnsi="宋体" w:cs="宋体"/>
          <w:color w:val="000000" w:themeColor="text1"/>
          <w:szCs w:val="21"/>
          <w14:textFill>
            <w14:solidFill>
              <w14:schemeClr w14:val="tx1"/>
            </w14:solidFill>
          </w14:textFill>
        </w:rPr>
        <w:t>★</w:t>
      </w:r>
      <w:r>
        <w:rPr>
          <w:rFonts w:hint="eastAsia" w:eastAsiaTheme="minorEastAsia"/>
        </w:rPr>
        <w:t>在系统可负载的条件下，融合推流服务器出流模块从NGOD-CDN系统/IPCDN系统调度节目出流时，融合推流服务器“内容调度请求”的最大时延不得超过0.5秒。要求供应商详细说明最大时延的保证机制，提供相关性能指标；同时必须提供在融合推流服务器无某点播内容的情况下，需要从NGOD-CDN系统/IPCDN系统调度内容时，视频点播服务器在0.5秒内向用户推出点播流的用例。</w:t>
      </w:r>
    </w:p>
    <w:p>
      <w:pPr>
        <w:spacing w:line="360" w:lineRule="auto"/>
        <w:ind w:firstLine="420" w:firstLineChars="200"/>
        <w:rPr>
          <w:rFonts w:eastAsiaTheme="minorEastAsia"/>
        </w:rPr>
      </w:pPr>
      <w:r>
        <w:rPr>
          <w:rFonts w:hint="eastAsia" w:eastAsiaTheme="minorEastAsia"/>
        </w:rPr>
        <w:t>3.5.3.7</w:t>
      </w:r>
      <w:r>
        <w:rPr>
          <w:rFonts w:ascii="宋体" w:hAnsi="宋体" w:cs="宋体"/>
          <w:color w:val="000000" w:themeColor="text1"/>
          <w:szCs w:val="21"/>
          <w14:textFill>
            <w14:solidFill>
              <w14:schemeClr w14:val="tx1"/>
            </w14:solidFill>
          </w14:textFill>
        </w:rPr>
        <w:t>★</w:t>
      </w:r>
      <w:r>
        <w:rPr>
          <w:rFonts w:hint="eastAsia" w:eastAsiaTheme="minorEastAsia"/>
        </w:rPr>
        <w:t>必须支持高\标清视频节目混播。</w:t>
      </w:r>
    </w:p>
    <w:p>
      <w:pPr>
        <w:spacing w:line="360" w:lineRule="auto"/>
        <w:ind w:firstLine="420" w:firstLineChars="200"/>
        <w:rPr>
          <w:rFonts w:eastAsiaTheme="minorEastAsia"/>
        </w:rPr>
      </w:pPr>
      <w:r>
        <w:rPr>
          <w:rFonts w:hint="eastAsia" w:eastAsiaTheme="minorEastAsia"/>
        </w:rPr>
        <w:t>3.5.3.8</w:t>
      </w:r>
      <w:r>
        <w:rPr>
          <w:rFonts w:ascii="宋体" w:hAnsi="宋体" w:cs="宋体"/>
          <w:color w:val="000000" w:themeColor="text1"/>
          <w:szCs w:val="21"/>
          <w14:textFill>
            <w14:solidFill>
              <w14:schemeClr w14:val="tx1"/>
            </w14:solidFill>
          </w14:textFill>
        </w:rPr>
        <w:t>★</w:t>
      </w:r>
      <w:r>
        <w:rPr>
          <w:rFonts w:hint="eastAsia" w:eastAsiaTheme="minorEastAsia"/>
        </w:rPr>
        <w:t>在融合推流服务器满负荷运行时，多用户并发启动VCR控制时，不会造成融合推流服务器的并发输出能力的下降。</w:t>
      </w:r>
    </w:p>
    <w:p>
      <w:pPr>
        <w:spacing w:line="360" w:lineRule="auto"/>
        <w:ind w:firstLine="420" w:firstLineChars="200"/>
        <w:rPr>
          <w:rFonts w:eastAsiaTheme="minorEastAsia"/>
        </w:rPr>
      </w:pPr>
      <w:r>
        <w:rPr>
          <w:rFonts w:hint="eastAsia" w:eastAsiaTheme="minorEastAsia"/>
        </w:rPr>
        <w:t>3.5.3.9</w:t>
      </w:r>
      <w:r>
        <w:rPr>
          <w:rFonts w:ascii="宋体" w:hAnsi="宋体" w:cs="宋体"/>
          <w:color w:val="000000" w:themeColor="text1"/>
          <w:szCs w:val="21"/>
          <w14:textFill>
            <w14:solidFill>
              <w14:schemeClr w14:val="tx1"/>
            </w14:solidFill>
          </w14:textFill>
        </w:rPr>
        <w:t>★</w:t>
      </w:r>
      <w:r>
        <w:rPr>
          <w:rFonts w:hint="eastAsia" w:eastAsiaTheme="minorEastAsia"/>
        </w:rPr>
        <w:t>可以正确响应连续VCR控制操作，且响应延时&lt;1s。</w:t>
      </w:r>
    </w:p>
    <w:p>
      <w:pPr>
        <w:spacing w:line="360" w:lineRule="auto"/>
        <w:ind w:firstLine="420" w:firstLineChars="200"/>
        <w:rPr>
          <w:rFonts w:eastAsiaTheme="minorEastAsia"/>
        </w:rPr>
      </w:pPr>
      <w:r>
        <w:rPr>
          <w:rFonts w:hint="eastAsia" w:eastAsiaTheme="minorEastAsia"/>
        </w:rPr>
        <w:t>3.5.3.10</w:t>
      </w:r>
      <w:r>
        <w:rPr>
          <w:rFonts w:ascii="宋体" w:hAnsi="宋体" w:cs="宋体"/>
          <w:color w:val="000000" w:themeColor="text1"/>
          <w:szCs w:val="21"/>
          <w14:textFill>
            <w14:solidFill>
              <w14:schemeClr w14:val="tx1"/>
            </w14:solidFill>
          </w14:textFill>
        </w:rPr>
        <w:t>★</w:t>
      </w:r>
      <w:r>
        <w:rPr>
          <w:rFonts w:hint="eastAsia" w:eastAsiaTheme="minorEastAsia"/>
        </w:rPr>
        <w:t>融合推流服务器出流模块必须支持基于硬件的视频流处理能力。</w:t>
      </w:r>
    </w:p>
    <w:p>
      <w:pPr>
        <w:spacing w:line="360" w:lineRule="auto"/>
        <w:ind w:firstLine="420" w:firstLineChars="200"/>
        <w:rPr>
          <w:rFonts w:eastAsiaTheme="minorEastAsia"/>
        </w:rPr>
      </w:pPr>
      <w:r>
        <w:rPr>
          <w:rFonts w:hint="eastAsia" w:eastAsiaTheme="minorEastAsia"/>
        </w:rPr>
        <w:t>3.5.3.11</w:t>
      </w:r>
      <w:r>
        <w:rPr>
          <w:rFonts w:ascii="宋体" w:hAnsi="宋体" w:cs="宋体"/>
          <w:color w:val="000000" w:themeColor="text1"/>
          <w:szCs w:val="21"/>
          <w14:textFill>
            <w14:solidFill>
              <w14:schemeClr w14:val="tx1"/>
            </w14:solidFill>
          </w14:textFill>
        </w:rPr>
        <w:t>★</w:t>
      </w:r>
      <w:r>
        <w:rPr>
          <w:rFonts w:hint="eastAsia" w:eastAsiaTheme="minorEastAsia"/>
        </w:rPr>
        <w:t>融合推流服务器出流模块必须保证节目输出指标符合国标或行业标准。</w:t>
      </w:r>
    </w:p>
    <w:p>
      <w:pPr>
        <w:spacing w:line="360" w:lineRule="auto"/>
        <w:ind w:firstLine="420" w:firstLineChars="200"/>
        <w:rPr>
          <w:rFonts w:eastAsiaTheme="minorEastAsia"/>
        </w:rPr>
      </w:pPr>
      <w:r>
        <w:rPr>
          <w:rFonts w:hint="eastAsia" w:eastAsiaTheme="minorEastAsia"/>
        </w:rPr>
        <w:t>3.5.3.12</w:t>
      </w:r>
      <w:r>
        <w:rPr>
          <w:rFonts w:ascii="宋体" w:hAnsi="宋体" w:cs="宋体"/>
          <w:color w:val="000000" w:themeColor="text1"/>
          <w:szCs w:val="21"/>
          <w14:textFill>
            <w14:solidFill>
              <w14:schemeClr w14:val="tx1"/>
            </w14:solidFill>
          </w14:textFill>
        </w:rPr>
        <w:t>★</w:t>
      </w:r>
      <w:r>
        <w:rPr>
          <w:rFonts w:hint="eastAsia" w:eastAsiaTheme="minorEastAsia"/>
        </w:rPr>
        <w:t>融合推流服务器必须具备内容缓存能力，能够调度并且存储点播的视频内容（分片或整片），并且保证存储热片的命中率达到80%。</w:t>
      </w:r>
    </w:p>
    <w:p>
      <w:pPr>
        <w:spacing w:line="360" w:lineRule="auto"/>
        <w:ind w:firstLine="420" w:firstLineChars="200"/>
        <w:rPr>
          <w:rFonts w:eastAsiaTheme="minorEastAsia"/>
        </w:rPr>
      </w:pPr>
      <w:r>
        <w:rPr>
          <w:rFonts w:hint="eastAsia" w:eastAsiaTheme="minorEastAsia"/>
        </w:rPr>
        <w:t>3.5.3.13</w:t>
      </w:r>
      <w:r>
        <w:rPr>
          <w:rFonts w:ascii="宋体" w:hAnsi="宋体" w:cs="宋体"/>
          <w:color w:val="000000" w:themeColor="text1"/>
          <w:szCs w:val="21"/>
          <w14:textFill>
            <w14:solidFill>
              <w14:schemeClr w14:val="tx1"/>
            </w14:solidFill>
          </w14:textFill>
        </w:rPr>
        <w:t>★</w:t>
      </w:r>
      <w:r>
        <w:rPr>
          <w:rFonts w:hint="eastAsia" w:eastAsiaTheme="minorEastAsia"/>
        </w:rPr>
        <w:t>融合推流服务器必须采用合理的内容调度策略，避免在高负载并发出流压力下，系统频繁调用NGOD-CDN系统/IPCDN系统资源。</w:t>
      </w:r>
    </w:p>
    <w:p>
      <w:pPr>
        <w:spacing w:line="360" w:lineRule="auto"/>
        <w:ind w:firstLine="420" w:firstLineChars="200"/>
        <w:rPr>
          <w:rFonts w:eastAsiaTheme="minorEastAsia"/>
        </w:rPr>
      </w:pPr>
      <w:r>
        <w:rPr>
          <w:rFonts w:hint="eastAsia" w:eastAsiaTheme="minorEastAsia"/>
        </w:rPr>
        <w:t>3.5.4</w:t>
      </w:r>
      <w:r>
        <w:rPr>
          <w:rFonts w:ascii="宋体" w:hAnsi="宋体" w:cs="宋体"/>
          <w:color w:val="000000" w:themeColor="text1"/>
          <w:szCs w:val="21"/>
          <w14:textFill>
            <w14:solidFill>
              <w14:schemeClr w14:val="tx1"/>
            </w14:solidFill>
          </w14:textFill>
        </w:rPr>
        <w:t>★</w:t>
      </w:r>
      <w:r>
        <w:rPr>
          <w:rFonts w:hint="eastAsia" w:eastAsiaTheme="minorEastAsia"/>
        </w:rPr>
        <w:t>融合推流平台改造系统的缓存命中率&gt;70%。</w:t>
      </w:r>
    </w:p>
    <w:p>
      <w:pPr>
        <w:spacing w:line="360" w:lineRule="auto"/>
        <w:ind w:firstLine="420" w:firstLineChars="200"/>
        <w:rPr>
          <w:rFonts w:eastAsiaTheme="minorEastAsia"/>
        </w:rPr>
      </w:pPr>
      <w:r>
        <w:rPr>
          <w:rFonts w:hint="eastAsia" w:eastAsiaTheme="minorEastAsia"/>
        </w:rPr>
        <w:t>供应商需结合自身系统特点，明确说明提供的设备所采用的内容调度策略，并提供视频点播服务器缓存的配比关系，以及缓存命中率的统计办法。</w:t>
      </w:r>
    </w:p>
    <w:p>
      <w:pPr>
        <w:spacing w:line="360" w:lineRule="auto"/>
        <w:rPr>
          <w:rFonts w:ascii="宋体" w:hAnsi="宋体"/>
          <w:b/>
          <w:szCs w:val="21"/>
        </w:rPr>
      </w:pPr>
      <w:r>
        <w:rPr>
          <w:rFonts w:hint="eastAsia" w:ascii="宋体" w:hAnsi="宋体"/>
          <w:b/>
          <w:szCs w:val="21"/>
        </w:rPr>
        <w:t>3.6、融合推流系统改造系统冗余及安全性要求</w:t>
      </w:r>
    </w:p>
    <w:p>
      <w:pPr>
        <w:spacing w:line="360" w:lineRule="auto"/>
        <w:ind w:firstLine="420" w:firstLineChars="200"/>
        <w:rPr>
          <w:rFonts w:eastAsiaTheme="minorEastAsia"/>
        </w:rPr>
      </w:pPr>
      <w:r>
        <w:rPr>
          <w:rFonts w:hint="eastAsia" w:eastAsiaTheme="minorEastAsia"/>
        </w:rPr>
        <w:t>3.6.1</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供应商提供的融合推流平台改造系统在所部署节点内，必须支持冗余，若其上的部分网口、硬盘等出现故障，不会造成此部署节点的视频流中断，并且要求其整体播出能力依旧达到本标书要求的播出能力。</w:t>
      </w:r>
    </w:p>
    <w:p>
      <w:pPr>
        <w:spacing w:line="360" w:lineRule="auto"/>
        <w:ind w:firstLine="420" w:firstLineChars="200"/>
        <w:rPr>
          <w:rFonts w:eastAsiaTheme="minorEastAsia"/>
        </w:rPr>
      </w:pPr>
      <w:r>
        <w:rPr>
          <w:rFonts w:hint="eastAsia" w:eastAsiaTheme="minorEastAsia"/>
        </w:rPr>
        <w:t>3.6.2供应商提供的融合推流平台改造系统，在保证系统承载能力的基础上，可以支持视频流在部署节点内的服务器进行自动切换功能。</w:t>
      </w:r>
    </w:p>
    <w:p>
      <w:pPr>
        <w:spacing w:line="360" w:lineRule="auto"/>
        <w:ind w:firstLine="420" w:firstLineChars="200"/>
        <w:rPr>
          <w:rFonts w:eastAsiaTheme="minorEastAsia"/>
        </w:rPr>
      </w:pPr>
      <w:r>
        <w:rPr>
          <w:rFonts w:hint="eastAsia" w:eastAsiaTheme="minorEastAsia"/>
        </w:rPr>
        <w:t>3.6.3</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在所部署的节点内，单台设备的硬盘、网口等故障时，必须保证正在播出的视频流不中断，切换时间&lt;1s，且不影响所部属节点整体的出流能力。供应商需根据提供的产品的技术特点，明确说明实现的技术路线以及为实现该功能所需的备份条件。</w:t>
      </w:r>
    </w:p>
    <w:p>
      <w:pPr>
        <w:spacing w:line="360" w:lineRule="auto"/>
        <w:ind w:firstLine="420" w:firstLineChars="200"/>
        <w:rPr>
          <w:rFonts w:eastAsiaTheme="minorEastAsia"/>
        </w:rPr>
      </w:pPr>
      <w:r>
        <w:rPr>
          <w:rFonts w:hint="eastAsia" w:eastAsiaTheme="minorEastAsia"/>
        </w:rPr>
        <w:t>3.6.4</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供应商提供的融合推流平台改造系统中的硬件模块，可以支持热插拨且不影响在线业务。供应商需根据提供的产品的技术特点，明确说明提供的系统中可以支持热拔插的硬件模块。</w:t>
      </w:r>
    </w:p>
    <w:p>
      <w:pPr>
        <w:spacing w:line="360" w:lineRule="auto"/>
        <w:ind w:firstLine="420" w:firstLineChars="200"/>
        <w:rPr>
          <w:rFonts w:eastAsiaTheme="minorEastAsia"/>
        </w:rPr>
      </w:pPr>
      <w:r>
        <w:rPr>
          <w:rFonts w:hint="eastAsia" w:eastAsiaTheme="minorEastAsia"/>
        </w:rPr>
        <w:t>3.6.5</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供应商提供的融合推流平台改造系统必须保证其正常运行率达到或高于江苏有线制定的系统可用度考核指标。</w:t>
      </w:r>
    </w:p>
    <w:p>
      <w:pPr>
        <w:spacing w:line="360" w:lineRule="auto"/>
        <w:ind w:firstLine="420" w:firstLineChars="200"/>
        <w:rPr>
          <w:rFonts w:eastAsiaTheme="minorEastAsia"/>
        </w:rPr>
      </w:pPr>
      <w:r>
        <w:rPr>
          <w:rFonts w:hint="eastAsia" w:eastAsiaTheme="minorEastAsia"/>
        </w:rPr>
        <w:t>3.6.6</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供应商提供的融合推流平台改造系统必须支持集群模式运行，保证正常运行率达到99.99%。</w:t>
      </w:r>
    </w:p>
    <w:p>
      <w:pPr>
        <w:spacing w:line="360" w:lineRule="auto"/>
        <w:ind w:firstLine="420" w:firstLineChars="200"/>
        <w:rPr>
          <w:rFonts w:eastAsiaTheme="minorEastAsia"/>
        </w:rPr>
      </w:pPr>
      <w:r>
        <w:rPr>
          <w:rFonts w:hint="eastAsia" w:eastAsiaTheme="minorEastAsia"/>
        </w:rPr>
        <w:t>3.6.7</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供应商提供的融合推流平台改造系统必须支持跨区域视频流调度能力，或支持与后台管理系统集成实现跨区域视频流调度功能。</w:t>
      </w:r>
    </w:p>
    <w:p>
      <w:pPr>
        <w:spacing w:line="360" w:lineRule="auto"/>
        <w:ind w:firstLine="420" w:firstLineChars="200"/>
        <w:rPr>
          <w:rFonts w:eastAsiaTheme="minorEastAsia"/>
        </w:rPr>
      </w:pPr>
      <w:r>
        <w:rPr>
          <w:rFonts w:hint="eastAsia" w:eastAsiaTheme="minorEastAsia"/>
        </w:rPr>
        <w:t>3.6.8</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供应商提供的融合推流平台改造系统中某个CDN调度端口故障时不影响此部署节点其它推流服务器调度端口的使用。</w:t>
      </w:r>
    </w:p>
    <w:p>
      <w:pPr>
        <w:spacing w:line="360" w:lineRule="auto"/>
        <w:ind w:firstLine="420" w:firstLineChars="200"/>
        <w:rPr>
          <w:rFonts w:eastAsiaTheme="minorEastAsia"/>
        </w:rPr>
      </w:pPr>
      <w:r>
        <w:rPr>
          <w:rFonts w:hint="eastAsia" w:eastAsiaTheme="minorEastAsia"/>
        </w:rPr>
        <w:t>3.6.9</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供应商提供的融合推流平台改造系统，对单台设备保护能力要求：单台服务器故障时不影响所在节点视频流播出，即故障设备正在播放的视频流由其它设备自动切换接管，保障用户正常点播。</w:t>
      </w:r>
    </w:p>
    <w:p>
      <w:pPr>
        <w:spacing w:line="360" w:lineRule="auto"/>
        <w:ind w:firstLine="420" w:firstLineChars="200"/>
        <w:rPr>
          <w:rFonts w:eastAsiaTheme="minorEastAsia"/>
        </w:rPr>
      </w:pPr>
      <w:r>
        <w:rPr>
          <w:rFonts w:hint="eastAsia" w:eastAsiaTheme="minorEastAsia"/>
        </w:rPr>
        <w:t>3.6.10</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供应商提供的融合推流平台改造系统中对涉及视频流的服务器硬盘读写要求实现负载均衡。</w:t>
      </w:r>
    </w:p>
    <w:p>
      <w:pPr>
        <w:spacing w:line="360" w:lineRule="auto"/>
        <w:ind w:firstLine="420" w:firstLineChars="200"/>
        <w:rPr>
          <w:rFonts w:eastAsiaTheme="minorEastAsia"/>
        </w:rPr>
      </w:pPr>
      <w:r>
        <w:rPr>
          <w:rFonts w:hint="eastAsia" w:eastAsiaTheme="minorEastAsia"/>
        </w:rPr>
        <w:t>3.6.11</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供应商提供的融合推流平台改造系统中对涉及视频流的服务器推流端口要求实现负载均衡。</w:t>
      </w:r>
    </w:p>
    <w:p>
      <w:pPr>
        <w:spacing w:line="360" w:lineRule="auto"/>
        <w:ind w:firstLine="420" w:firstLineChars="200"/>
        <w:rPr>
          <w:rFonts w:eastAsiaTheme="minorEastAsia"/>
        </w:rPr>
      </w:pPr>
      <w:r>
        <w:rPr>
          <w:rFonts w:hint="eastAsia" w:eastAsiaTheme="minorEastAsia"/>
        </w:rPr>
        <w:t>3.6.12</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供应商提供的融合推流平台改造系统中对涉及视频流的服务器的CDN调度端口要求实现负载均衡。</w:t>
      </w:r>
    </w:p>
    <w:p>
      <w:pPr>
        <w:spacing w:line="360" w:lineRule="auto"/>
        <w:ind w:firstLine="420" w:firstLineChars="200"/>
        <w:rPr>
          <w:rFonts w:eastAsiaTheme="minorEastAsia"/>
        </w:rPr>
      </w:pPr>
      <w:r>
        <w:rPr>
          <w:rFonts w:hint="eastAsia" w:eastAsiaTheme="minorEastAsia"/>
        </w:rPr>
        <w:t>3.6.13</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供应商提供的融合推流平台改造系统要求以集群方式组建，且视频流推送在集群内的不同服务器要求实现负载均衡。</w:t>
      </w:r>
    </w:p>
    <w:p>
      <w:pPr>
        <w:spacing w:line="360" w:lineRule="auto"/>
        <w:rPr>
          <w:rFonts w:ascii="宋体" w:hAnsi="宋体"/>
          <w:b/>
          <w:szCs w:val="21"/>
        </w:rPr>
      </w:pPr>
      <w:r>
        <w:rPr>
          <w:rFonts w:hint="eastAsia" w:ascii="宋体" w:hAnsi="宋体"/>
          <w:b/>
          <w:szCs w:val="21"/>
        </w:rPr>
        <w:t>3.7、融合推流平台改造系统监控及运行维护要求</w:t>
      </w:r>
    </w:p>
    <w:p>
      <w:pPr>
        <w:spacing w:line="360" w:lineRule="auto"/>
        <w:ind w:firstLine="420" w:firstLineChars="200"/>
        <w:rPr>
          <w:rFonts w:eastAsiaTheme="minorEastAsia"/>
        </w:rPr>
      </w:pPr>
      <w:r>
        <w:rPr>
          <w:rFonts w:hint="eastAsia" w:eastAsiaTheme="minorEastAsia"/>
        </w:rPr>
        <w:t>3.7.1统一监控及管理平台</w:t>
      </w:r>
    </w:p>
    <w:p>
      <w:pPr>
        <w:spacing w:line="360" w:lineRule="auto"/>
        <w:ind w:firstLine="420" w:firstLineChars="200"/>
        <w:rPr>
          <w:rFonts w:eastAsiaTheme="minorEastAsia"/>
        </w:rPr>
      </w:pPr>
      <w:r>
        <w:rPr>
          <w:rFonts w:hint="eastAsia" w:eastAsiaTheme="minorEastAsia"/>
        </w:rPr>
        <w:t>3.7.1.1</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供应商提供的融合推流平台改造系统必须能够提供统一的监控及管理平台，实现对整个平台运行状态的监控以及配置。</w:t>
      </w:r>
    </w:p>
    <w:p>
      <w:pPr>
        <w:spacing w:line="360" w:lineRule="auto"/>
        <w:ind w:firstLine="420" w:firstLineChars="200"/>
        <w:rPr>
          <w:rFonts w:eastAsiaTheme="minorEastAsia"/>
        </w:rPr>
      </w:pPr>
      <w:r>
        <w:rPr>
          <w:rFonts w:hint="eastAsia" w:eastAsiaTheme="minorEastAsia"/>
        </w:rPr>
        <w:t>3.7.1.2</w:t>
      </w:r>
      <w:r>
        <w:rPr>
          <w:rFonts w:ascii="宋体" w:hAnsi="宋体" w:cs="宋体"/>
          <w:color w:val="000000" w:themeColor="text1"/>
          <w:szCs w:val="21"/>
          <w14:textFill>
            <w14:solidFill>
              <w14:schemeClr w14:val="tx1"/>
            </w14:solidFill>
          </w14:textFill>
        </w:rPr>
        <w:t>★</w:t>
      </w:r>
      <w:r>
        <w:rPr>
          <w:rFonts w:hint="eastAsia" w:eastAsiaTheme="minorEastAsia"/>
        </w:rPr>
        <w:t>监控及管理平台支持对点播请求统计，点播历史数据的查询。</w:t>
      </w:r>
    </w:p>
    <w:p>
      <w:pPr>
        <w:spacing w:line="360" w:lineRule="auto"/>
        <w:ind w:firstLine="420" w:firstLineChars="200"/>
        <w:rPr>
          <w:rFonts w:eastAsiaTheme="minorEastAsia"/>
        </w:rPr>
      </w:pPr>
      <w:r>
        <w:rPr>
          <w:rFonts w:hint="eastAsia" w:eastAsiaTheme="minorEastAsia"/>
        </w:rPr>
        <w:t>3.7.1.3</w:t>
      </w:r>
      <w:r>
        <w:rPr>
          <w:rFonts w:ascii="宋体" w:hAnsi="宋体" w:cs="宋体"/>
          <w:color w:val="000000" w:themeColor="text1"/>
          <w:szCs w:val="21"/>
          <w14:textFill>
            <w14:solidFill>
              <w14:schemeClr w14:val="tx1"/>
            </w14:solidFill>
          </w14:textFill>
        </w:rPr>
        <w:t>★</w:t>
      </w:r>
      <w:r>
        <w:rPr>
          <w:rFonts w:hint="eastAsia" w:eastAsiaTheme="minorEastAsia"/>
        </w:rPr>
        <w:t>监控及管理平台支持对点播请求的删除、清空等处理。</w:t>
      </w:r>
    </w:p>
    <w:p>
      <w:pPr>
        <w:spacing w:line="360" w:lineRule="auto"/>
        <w:ind w:firstLine="420" w:firstLineChars="200"/>
        <w:rPr>
          <w:rFonts w:eastAsiaTheme="minorEastAsia"/>
        </w:rPr>
      </w:pPr>
      <w:r>
        <w:rPr>
          <w:rFonts w:hint="eastAsia" w:eastAsiaTheme="minorEastAsia"/>
        </w:rPr>
        <w:t>3.7.1.4</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供应商提供的融合推流平台改造系统要求：具备用户权限分级管理和操作日志管理功能，具备对设备级别、阵列级别和整个系统级别的配置、维护、管理功能。</w:t>
      </w:r>
    </w:p>
    <w:p>
      <w:pPr>
        <w:spacing w:line="360" w:lineRule="auto"/>
        <w:ind w:firstLine="420" w:firstLineChars="200"/>
        <w:rPr>
          <w:rFonts w:eastAsiaTheme="minorEastAsia"/>
        </w:rPr>
      </w:pPr>
      <w:r>
        <w:rPr>
          <w:rFonts w:hint="eastAsia" w:eastAsiaTheme="minorEastAsia"/>
        </w:rPr>
        <w:t>3.7.2运行监控要求</w:t>
      </w:r>
    </w:p>
    <w:p>
      <w:pPr>
        <w:spacing w:line="360" w:lineRule="auto"/>
        <w:ind w:firstLine="420" w:firstLineChars="200"/>
        <w:rPr>
          <w:rFonts w:eastAsiaTheme="minorEastAsia"/>
        </w:rPr>
      </w:pPr>
      <w:r>
        <w:rPr>
          <w:rFonts w:hint="eastAsia" w:eastAsiaTheme="minorEastAsia"/>
        </w:rPr>
        <w:t>3.7.2.1</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供应商提供的融合推流平台改造系统必须支持提供图形监控界面，实现对整个平台的统一实时监控。</w:t>
      </w:r>
    </w:p>
    <w:p>
      <w:pPr>
        <w:spacing w:line="360" w:lineRule="auto"/>
        <w:ind w:firstLine="420" w:firstLineChars="200"/>
        <w:rPr>
          <w:rFonts w:eastAsiaTheme="minorEastAsia"/>
        </w:rPr>
      </w:pPr>
      <w:r>
        <w:rPr>
          <w:rFonts w:hint="eastAsia" w:eastAsiaTheme="minorEastAsia"/>
        </w:rPr>
        <w:t>3.7.2.2</w:t>
      </w:r>
      <w:r>
        <w:rPr>
          <w:rFonts w:ascii="宋体" w:hAnsi="宋体" w:cs="宋体"/>
          <w:color w:val="000000" w:themeColor="text1"/>
          <w:szCs w:val="21"/>
          <w14:textFill>
            <w14:solidFill>
              <w14:schemeClr w14:val="tx1"/>
            </w14:solidFill>
          </w14:textFill>
        </w:rPr>
        <w:t>★</w:t>
      </w:r>
      <w:r>
        <w:rPr>
          <w:rFonts w:hint="eastAsia" w:eastAsiaTheme="minorEastAsia"/>
        </w:rPr>
        <w:t>必须支持监视系统所涉及的所有服务器系统运行状态、硬件状态、网络使用率、索引文件和TS文件的并发请求数等。</w:t>
      </w:r>
    </w:p>
    <w:p>
      <w:pPr>
        <w:spacing w:line="360" w:lineRule="auto"/>
        <w:ind w:firstLine="420" w:firstLineChars="200"/>
        <w:rPr>
          <w:rFonts w:eastAsiaTheme="minorEastAsia"/>
        </w:rPr>
      </w:pPr>
      <w:r>
        <w:rPr>
          <w:rFonts w:hint="eastAsia" w:eastAsiaTheme="minorEastAsia"/>
        </w:rPr>
        <w:t>3.7.2.3</w:t>
      </w:r>
      <w:r>
        <w:rPr>
          <w:rFonts w:ascii="宋体" w:hAnsi="宋体" w:cs="宋体"/>
          <w:color w:val="000000" w:themeColor="text1"/>
          <w:szCs w:val="21"/>
          <w14:textFill>
            <w14:solidFill>
              <w14:schemeClr w14:val="tx1"/>
            </w14:solidFill>
          </w14:textFill>
        </w:rPr>
        <w:t>★</w:t>
      </w:r>
      <w:r>
        <w:rPr>
          <w:rFonts w:hint="eastAsia" w:eastAsiaTheme="minorEastAsia"/>
        </w:rPr>
        <w:t>必须支持监视系统运营级活动包括：当前用户点播状态统计、当前节目使用状态统计等。</w:t>
      </w:r>
    </w:p>
    <w:p>
      <w:pPr>
        <w:spacing w:line="360" w:lineRule="auto"/>
        <w:ind w:firstLine="420" w:firstLineChars="200"/>
        <w:rPr>
          <w:rFonts w:eastAsiaTheme="minorEastAsia"/>
        </w:rPr>
      </w:pPr>
      <w:r>
        <w:rPr>
          <w:rFonts w:hint="eastAsia" w:eastAsiaTheme="minorEastAsia"/>
        </w:rPr>
        <w:t>3.7.2.4</w:t>
      </w:r>
      <w:r>
        <w:rPr>
          <w:rFonts w:ascii="宋体" w:hAnsi="宋体" w:cs="宋体"/>
          <w:color w:val="000000" w:themeColor="text1"/>
          <w:szCs w:val="21"/>
          <w14:textFill>
            <w14:solidFill>
              <w14:schemeClr w14:val="tx1"/>
            </w14:solidFill>
          </w14:textFill>
        </w:rPr>
        <w:t>★</w:t>
      </w:r>
      <w:r>
        <w:rPr>
          <w:rFonts w:hint="eastAsia" w:eastAsiaTheme="minorEastAsia"/>
        </w:rPr>
        <w:t>必须支持监视系统运行状态并分级显示告警信息及详细说明。</w:t>
      </w:r>
    </w:p>
    <w:p>
      <w:pPr>
        <w:spacing w:line="360" w:lineRule="auto"/>
        <w:ind w:firstLine="420" w:firstLineChars="200"/>
        <w:rPr>
          <w:rFonts w:eastAsiaTheme="minorEastAsia"/>
        </w:rPr>
      </w:pPr>
      <w:r>
        <w:rPr>
          <w:rFonts w:hint="eastAsia" w:eastAsiaTheme="minorEastAsia"/>
        </w:rPr>
        <w:t>3.7.2.5</w:t>
      </w:r>
      <w:r>
        <w:rPr>
          <w:rFonts w:ascii="宋体" w:hAnsi="宋体" w:cs="宋体"/>
          <w:color w:val="000000" w:themeColor="text1"/>
          <w:szCs w:val="21"/>
          <w14:textFill>
            <w14:solidFill>
              <w14:schemeClr w14:val="tx1"/>
            </w14:solidFill>
          </w14:textFill>
        </w:rPr>
        <w:t>★</w:t>
      </w:r>
      <w:r>
        <w:rPr>
          <w:rFonts w:hint="eastAsia" w:eastAsiaTheme="minorEastAsia"/>
        </w:rPr>
        <w:t>必须支持服务器硬件状态监控，主要包括：服务器的端口状态，服务器的电源状态，磁盘状态（工作状态、系统容量及已使用容量等）。且当硬件出现故障或者的超过了设定的阀值时，需要有报警信息。</w:t>
      </w:r>
    </w:p>
    <w:p>
      <w:pPr>
        <w:spacing w:line="360" w:lineRule="auto"/>
        <w:ind w:firstLine="420" w:firstLineChars="200"/>
        <w:rPr>
          <w:rFonts w:eastAsiaTheme="minorEastAsia"/>
        </w:rPr>
      </w:pPr>
      <w:r>
        <w:rPr>
          <w:rFonts w:hint="eastAsia" w:eastAsiaTheme="minorEastAsia"/>
        </w:rPr>
        <w:t>3.7.2.6</w:t>
      </w:r>
      <w:r>
        <w:rPr>
          <w:rFonts w:ascii="宋体" w:hAnsi="宋体" w:cs="宋体"/>
          <w:color w:val="000000" w:themeColor="text1"/>
          <w:szCs w:val="21"/>
          <w14:textFill>
            <w14:solidFill>
              <w14:schemeClr w14:val="tx1"/>
            </w14:solidFill>
          </w14:textFill>
        </w:rPr>
        <w:t>★</w:t>
      </w:r>
      <w:r>
        <w:rPr>
          <w:rFonts w:hint="eastAsia" w:eastAsiaTheme="minorEastAsia"/>
        </w:rPr>
        <w:t>必须支持服务器系统播出状态监控，主要包括：各个端口流输出带宽能力，正使用中的流的带宽等。且当视频流输出发生故障或者带宽使用率超过了设定的阀值时，需要有报警信息，并提供详细说明。</w:t>
      </w:r>
    </w:p>
    <w:p>
      <w:pPr>
        <w:spacing w:line="360" w:lineRule="auto"/>
        <w:ind w:firstLine="420" w:firstLineChars="200"/>
        <w:rPr>
          <w:rFonts w:eastAsiaTheme="minorEastAsia"/>
        </w:rPr>
      </w:pPr>
      <w:r>
        <w:rPr>
          <w:rFonts w:hint="eastAsia" w:eastAsiaTheme="minorEastAsia"/>
        </w:rPr>
        <w:t>3.7.2.7</w:t>
      </w:r>
      <w:r>
        <w:rPr>
          <w:rFonts w:ascii="宋体" w:hAnsi="宋体" w:cs="宋体"/>
          <w:color w:val="000000" w:themeColor="text1"/>
          <w:szCs w:val="21"/>
          <w14:textFill>
            <w14:solidFill>
              <w14:schemeClr w14:val="tx1"/>
            </w14:solidFill>
          </w14:textFill>
        </w:rPr>
        <w:t>★</w:t>
      </w:r>
      <w:r>
        <w:rPr>
          <w:rFonts w:hint="eastAsia" w:eastAsiaTheme="minorEastAsia"/>
        </w:rPr>
        <w:t>必须支持监视系统对服务器要求能够检查或搜索正在播出的视频流的状态。</w:t>
      </w:r>
    </w:p>
    <w:p>
      <w:pPr>
        <w:spacing w:line="360" w:lineRule="auto"/>
        <w:ind w:firstLine="420" w:firstLineChars="200"/>
        <w:rPr>
          <w:rFonts w:eastAsiaTheme="minorEastAsia"/>
        </w:rPr>
      </w:pPr>
      <w:r>
        <w:rPr>
          <w:rFonts w:hint="eastAsia" w:eastAsiaTheme="minorEastAsia"/>
        </w:rPr>
        <w:t>3.7.2.8</w:t>
      </w:r>
      <w:r>
        <w:rPr>
          <w:rFonts w:ascii="宋体" w:hAnsi="宋体" w:cs="宋体"/>
          <w:color w:val="000000" w:themeColor="text1"/>
          <w:szCs w:val="21"/>
          <w14:textFill>
            <w14:solidFill>
              <w14:schemeClr w14:val="tx1"/>
            </w14:solidFill>
          </w14:textFill>
        </w:rPr>
        <w:t>★</w:t>
      </w:r>
      <w:r>
        <w:rPr>
          <w:rFonts w:hint="eastAsia" w:eastAsiaTheme="minorEastAsia"/>
        </w:rPr>
        <w:t>必须支持监视系统对服务器要求可实现设备概要状态、网卡状态、磁盘状态、应用程序状态、推流状态、CDN的调度状态、缓存状态等的实时监控。</w:t>
      </w:r>
    </w:p>
    <w:p>
      <w:pPr>
        <w:spacing w:line="360" w:lineRule="auto"/>
        <w:ind w:firstLine="420" w:firstLineChars="200"/>
        <w:rPr>
          <w:rFonts w:eastAsiaTheme="minorEastAsia"/>
        </w:rPr>
      </w:pPr>
      <w:r>
        <w:rPr>
          <w:rFonts w:hint="eastAsia" w:eastAsiaTheme="minorEastAsia"/>
        </w:rPr>
        <w:t>3.7.2.9</w:t>
      </w:r>
      <w:r>
        <w:rPr>
          <w:rFonts w:ascii="宋体" w:hAnsi="宋体" w:cs="宋体"/>
          <w:color w:val="000000" w:themeColor="text1"/>
          <w:szCs w:val="21"/>
          <w14:textFill>
            <w14:solidFill>
              <w14:schemeClr w14:val="tx1"/>
            </w14:solidFill>
          </w14:textFill>
        </w:rPr>
        <w:t>★</w:t>
      </w:r>
      <w:r>
        <w:rPr>
          <w:rFonts w:hint="eastAsia" w:eastAsiaTheme="minorEastAsia"/>
        </w:rPr>
        <w:t>必须支持服务器系统管理模块故障时应不能影响正常视频流相关服务。</w:t>
      </w:r>
    </w:p>
    <w:p>
      <w:pPr>
        <w:spacing w:line="360" w:lineRule="auto"/>
        <w:ind w:firstLine="420" w:firstLineChars="200"/>
        <w:rPr>
          <w:rFonts w:eastAsiaTheme="minorEastAsia"/>
        </w:rPr>
      </w:pPr>
      <w:r>
        <w:rPr>
          <w:rFonts w:hint="eastAsia" w:eastAsiaTheme="minorEastAsia"/>
        </w:rPr>
        <w:t>3.7.2.10</w:t>
      </w:r>
      <w:r>
        <w:rPr>
          <w:rFonts w:ascii="宋体" w:hAnsi="宋体" w:cs="宋体"/>
          <w:color w:val="000000" w:themeColor="text1"/>
          <w:szCs w:val="21"/>
          <w14:textFill>
            <w14:solidFill>
              <w14:schemeClr w14:val="tx1"/>
            </w14:solidFill>
          </w14:textFill>
        </w:rPr>
        <w:t>★</w:t>
      </w:r>
      <w:r>
        <w:rPr>
          <w:rFonts w:hint="eastAsia" w:eastAsiaTheme="minorEastAsia"/>
        </w:rPr>
        <w:t>必须支持服务器应具备完善的日志系统，能够记录建流、拉流、推流的正常及非正常日志信息，并可按需将日志信息进行输出。并支持SNMP统一网管，提供专用MIB库，能够提供Syslog用于日志统一收集。</w:t>
      </w:r>
    </w:p>
    <w:p>
      <w:pPr>
        <w:spacing w:line="360" w:lineRule="auto"/>
        <w:ind w:firstLine="420" w:firstLineChars="200"/>
        <w:rPr>
          <w:rFonts w:eastAsiaTheme="minorEastAsia"/>
        </w:rPr>
      </w:pPr>
      <w:r>
        <w:rPr>
          <w:rFonts w:hint="eastAsia" w:eastAsiaTheme="minorEastAsia"/>
        </w:rPr>
        <w:t>3.7.3配置管理要求</w:t>
      </w:r>
    </w:p>
    <w:p>
      <w:pPr>
        <w:spacing w:line="360" w:lineRule="auto"/>
        <w:ind w:firstLine="420" w:firstLineChars="200"/>
        <w:rPr>
          <w:rFonts w:eastAsiaTheme="minorEastAsia"/>
        </w:rPr>
      </w:pPr>
      <w:r>
        <w:rPr>
          <w:rFonts w:hint="eastAsia" w:eastAsiaTheme="minorEastAsia"/>
        </w:rPr>
        <w:t>3.7.3.1</w:t>
      </w:r>
      <w:r>
        <w:rPr>
          <w:rFonts w:ascii="宋体" w:hAnsi="宋体" w:cs="宋体"/>
          <w:color w:val="000000" w:themeColor="text1"/>
          <w:szCs w:val="21"/>
          <w14:textFill>
            <w14:solidFill>
              <w14:schemeClr w14:val="tx1"/>
            </w14:solidFill>
          </w14:textFill>
        </w:rPr>
        <w:t>★</w:t>
      </w:r>
      <w:r>
        <w:rPr>
          <w:rFonts w:hint="eastAsia" w:eastAsiaTheme="minorEastAsia"/>
        </w:rPr>
        <w:t>必须支持页面修改系统配置且不影响用户正常点播。</w:t>
      </w:r>
    </w:p>
    <w:p>
      <w:pPr>
        <w:spacing w:line="360" w:lineRule="auto"/>
        <w:ind w:firstLine="420" w:firstLineChars="200"/>
        <w:rPr>
          <w:rFonts w:eastAsiaTheme="minorEastAsia"/>
        </w:rPr>
      </w:pPr>
      <w:r>
        <w:rPr>
          <w:rFonts w:hint="eastAsia" w:eastAsiaTheme="minorEastAsia"/>
        </w:rPr>
        <w:t>3.7.3.2</w:t>
      </w:r>
      <w:r>
        <w:rPr>
          <w:rFonts w:ascii="宋体" w:hAnsi="宋体" w:cs="宋体"/>
          <w:color w:val="000000" w:themeColor="text1"/>
          <w:szCs w:val="21"/>
          <w14:textFill>
            <w14:solidFill>
              <w14:schemeClr w14:val="tx1"/>
            </w14:solidFill>
          </w14:textFill>
        </w:rPr>
        <w:t>★</w:t>
      </w:r>
      <w:r>
        <w:rPr>
          <w:rFonts w:hint="eastAsia" w:eastAsiaTheme="minorEastAsia"/>
        </w:rPr>
        <w:t>必须支持通过统一管理平台，完成系统的相关配置。</w:t>
      </w:r>
    </w:p>
    <w:p>
      <w:pPr>
        <w:spacing w:line="360" w:lineRule="auto"/>
        <w:ind w:firstLine="420" w:firstLineChars="200"/>
        <w:rPr>
          <w:rFonts w:eastAsiaTheme="minorEastAsia"/>
        </w:rPr>
      </w:pPr>
      <w:r>
        <w:rPr>
          <w:rFonts w:hint="eastAsia" w:eastAsiaTheme="minorEastAsia"/>
        </w:rPr>
        <w:t>3.7.3.3</w:t>
      </w:r>
      <w:r>
        <w:rPr>
          <w:rFonts w:ascii="宋体" w:hAnsi="宋体" w:cs="宋体"/>
          <w:color w:val="000000" w:themeColor="text1"/>
          <w:szCs w:val="21"/>
          <w14:textFill>
            <w14:solidFill>
              <w14:schemeClr w14:val="tx1"/>
            </w14:solidFill>
          </w14:textFill>
        </w:rPr>
        <w:t>★</w:t>
      </w:r>
      <w:r>
        <w:rPr>
          <w:rFonts w:hint="eastAsia" w:eastAsiaTheme="minorEastAsia"/>
        </w:rPr>
        <w:t>必须支持修改配置，并且配置动态生效必须不影响视频点播业务。</w:t>
      </w:r>
    </w:p>
    <w:p>
      <w:pPr>
        <w:spacing w:line="360" w:lineRule="auto"/>
        <w:ind w:firstLine="420" w:firstLineChars="200"/>
        <w:rPr>
          <w:rFonts w:eastAsiaTheme="minorEastAsia"/>
        </w:rPr>
      </w:pPr>
      <w:r>
        <w:rPr>
          <w:rFonts w:hint="eastAsia" w:eastAsiaTheme="minorEastAsia"/>
        </w:rPr>
        <w:t>3.7.3.4</w:t>
      </w:r>
      <w:r>
        <w:rPr>
          <w:rFonts w:ascii="宋体" w:hAnsi="宋体" w:cs="宋体"/>
          <w:color w:val="000000" w:themeColor="text1"/>
          <w:szCs w:val="21"/>
          <w14:textFill>
            <w14:solidFill>
              <w14:schemeClr w14:val="tx1"/>
            </w14:solidFill>
          </w14:textFill>
        </w:rPr>
        <w:t>★</w:t>
      </w:r>
      <w:r>
        <w:rPr>
          <w:rFonts w:hint="eastAsia" w:eastAsiaTheme="minorEastAsia"/>
        </w:rPr>
        <w:t>必须支持相关配置文件的导出\导入。</w:t>
      </w:r>
    </w:p>
    <w:p>
      <w:pPr>
        <w:spacing w:line="360" w:lineRule="auto"/>
        <w:ind w:firstLine="420" w:firstLineChars="200"/>
        <w:rPr>
          <w:rFonts w:eastAsiaTheme="minorEastAsia"/>
        </w:rPr>
      </w:pPr>
      <w:r>
        <w:rPr>
          <w:rFonts w:hint="eastAsia" w:eastAsiaTheme="minorEastAsia"/>
        </w:rPr>
        <w:t>3.7.3.5</w:t>
      </w:r>
      <w:r>
        <w:rPr>
          <w:rFonts w:ascii="宋体" w:hAnsi="宋体" w:cs="宋体"/>
          <w:color w:val="000000" w:themeColor="text1"/>
          <w:szCs w:val="21"/>
          <w14:textFill>
            <w14:solidFill>
              <w14:schemeClr w14:val="tx1"/>
            </w14:solidFill>
          </w14:textFill>
        </w:rPr>
        <w:t>★</w:t>
      </w:r>
      <w:r>
        <w:rPr>
          <w:rFonts w:hint="eastAsia" w:eastAsiaTheme="minorEastAsia"/>
        </w:rPr>
        <w:t>必须支持系统之间的配置同步。</w:t>
      </w:r>
    </w:p>
    <w:p>
      <w:pPr>
        <w:spacing w:line="360" w:lineRule="auto"/>
        <w:ind w:firstLine="420" w:firstLineChars="200"/>
        <w:rPr>
          <w:rFonts w:eastAsiaTheme="minorEastAsia"/>
        </w:rPr>
      </w:pPr>
      <w:r>
        <w:rPr>
          <w:rFonts w:hint="eastAsia" w:eastAsiaTheme="minorEastAsia"/>
        </w:rPr>
        <w:t>3.7.3.6</w:t>
      </w:r>
      <w:r>
        <w:rPr>
          <w:rFonts w:ascii="宋体" w:hAnsi="宋体" w:cs="宋体"/>
          <w:color w:val="000000" w:themeColor="text1"/>
          <w:szCs w:val="21"/>
          <w14:textFill>
            <w14:solidFill>
              <w14:schemeClr w14:val="tx1"/>
            </w14:solidFill>
          </w14:textFill>
        </w:rPr>
        <w:t>★</w:t>
      </w:r>
      <w:r>
        <w:rPr>
          <w:rFonts w:hint="eastAsia" w:eastAsiaTheme="minorEastAsia"/>
        </w:rPr>
        <w:t>必须支持配置硬件参数，主要包括：端口地址、属性、路由、状态等相关信息；服务器（板卡）地址、属性、路由、状态等相关信息；存储设备地址、属性等相关信息。</w:t>
      </w:r>
    </w:p>
    <w:p>
      <w:pPr>
        <w:spacing w:line="360" w:lineRule="auto"/>
        <w:ind w:firstLine="420" w:firstLineChars="200"/>
        <w:rPr>
          <w:rFonts w:eastAsiaTheme="minorEastAsia"/>
        </w:rPr>
      </w:pPr>
      <w:r>
        <w:rPr>
          <w:rFonts w:hint="eastAsia" w:eastAsiaTheme="minorEastAsia"/>
        </w:rPr>
        <w:t>3.7.3.7</w:t>
      </w:r>
      <w:r>
        <w:rPr>
          <w:rFonts w:ascii="宋体" w:hAnsi="宋体" w:cs="宋体"/>
          <w:color w:val="000000" w:themeColor="text1"/>
          <w:szCs w:val="21"/>
          <w14:textFill>
            <w14:solidFill>
              <w14:schemeClr w14:val="tx1"/>
            </w14:solidFill>
          </w14:textFill>
        </w:rPr>
        <w:t>★</w:t>
      </w:r>
      <w:r>
        <w:rPr>
          <w:rFonts w:hint="eastAsia" w:eastAsiaTheme="minorEastAsia"/>
        </w:rPr>
        <w:t>必须支持配置系统日志存储地址及日志等级。</w:t>
      </w:r>
    </w:p>
    <w:p>
      <w:pPr>
        <w:spacing w:line="360" w:lineRule="auto"/>
        <w:ind w:firstLine="420" w:firstLineChars="200"/>
        <w:rPr>
          <w:rFonts w:eastAsiaTheme="minorEastAsia"/>
        </w:rPr>
      </w:pPr>
      <w:r>
        <w:rPr>
          <w:rFonts w:hint="eastAsia" w:eastAsiaTheme="minorEastAsia"/>
        </w:rPr>
        <w:t>3.7.3.8</w:t>
      </w:r>
      <w:r>
        <w:rPr>
          <w:rFonts w:ascii="宋体" w:hAnsi="宋体" w:cs="宋体"/>
          <w:color w:val="000000" w:themeColor="text1"/>
          <w:szCs w:val="21"/>
          <w14:textFill>
            <w14:solidFill>
              <w14:schemeClr w14:val="tx1"/>
            </w14:solidFill>
          </w14:textFill>
        </w:rPr>
        <w:t>★</w:t>
      </w:r>
      <w:r>
        <w:rPr>
          <w:rFonts w:hint="eastAsia" w:eastAsiaTheme="minorEastAsia"/>
        </w:rPr>
        <w:t>必须支持配置时间同步服务地址等。</w:t>
      </w:r>
    </w:p>
    <w:p>
      <w:pPr>
        <w:spacing w:line="360" w:lineRule="auto"/>
        <w:ind w:firstLine="420" w:firstLineChars="200"/>
        <w:rPr>
          <w:rFonts w:eastAsiaTheme="minorEastAsia"/>
        </w:rPr>
      </w:pPr>
      <w:r>
        <w:rPr>
          <w:rFonts w:hint="eastAsia" w:eastAsiaTheme="minorEastAsia"/>
        </w:rPr>
        <w:t>3.7.3.9可以支持中文化的配置管理界面。</w:t>
      </w:r>
    </w:p>
    <w:p>
      <w:pPr>
        <w:spacing w:line="360" w:lineRule="auto"/>
        <w:ind w:firstLine="420" w:firstLineChars="200"/>
        <w:rPr>
          <w:rFonts w:eastAsiaTheme="minorEastAsia"/>
        </w:rPr>
      </w:pPr>
      <w:r>
        <w:rPr>
          <w:rFonts w:hint="eastAsia" w:eastAsiaTheme="minorEastAsia"/>
        </w:rPr>
        <w:t>3.7.4安全保障要求</w:t>
      </w:r>
    </w:p>
    <w:p>
      <w:pPr>
        <w:spacing w:line="360" w:lineRule="auto"/>
        <w:ind w:firstLine="420" w:firstLineChars="200"/>
        <w:rPr>
          <w:rFonts w:eastAsiaTheme="minorEastAsia"/>
        </w:rPr>
      </w:pPr>
      <w:r>
        <w:rPr>
          <w:rFonts w:hint="eastAsia" w:eastAsiaTheme="minorEastAsia"/>
        </w:rPr>
        <w:t>3.7.4.1</w:t>
      </w:r>
      <w:r>
        <w:rPr>
          <w:rFonts w:ascii="宋体" w:hAnsi="宋体" w:cs="宋体"/>
          <w:color w:val="000000" w:themeColor="text1"/>
          <w:szCs w:val="21"/>
          <w14:textFill>
            <w14:solidFill>
              <w14:schemeClr w14:val="tx1"/>
            </w14:solidFill>
          </w14:textFill>
        </w:rPr>
        <w:t>★</w:t>
      </w:r>
      <w:r>
        <w:rPr>
          <w:rFonts w:hint="eastAsia" w:eastAsiaTheme="minorEastAsia"/>
        </w:rPr>
        <w:t>必须支持远程监控管理能力。</w:t>
      </w:r>
    </w:p>
    <w:p>
      <w:pPr>
        <w:spacing w:line="360" w:lineRule="auto"/>
        <w:ind w:firstLine="420" w:firstLineChars="200"/>
        <w:rPr>
          <w:rFonts w:eastAsiaTheme="minorEastAsia"/>
        </w:rPr>
      </w:pPr>
      <w:r>
        <w:rPr>
          <w:rFonts w:hint="eastAsia" w:eastAsiaTheme="minorEastAsia"/>
        </w:rPr>
        <w:t>3.7.4.2</w:t>
      </w:r>
      <w:r>
        <w:rPr>
          <w:rFonts w:ascii="宋体" w:hAnsi="宋体" w:cs="宋体"/>
          <w:color w:val="000000" w:themeColor="text1"/>
          <w:szCs w:val="21"/>
          <w14:textFill>
            <w14:solidFill>
              <w14:schemeClr w14:val="tx1"/>
            </w14:solidFill>
          </w14:textFill>
        </w:rPr>
        <w:t>★</w:t>
      </w:r>
      <w:r>
        <w:rPr>
          <w:rFonts w:hint="eastAsia" w:eastAsiaTheme="minorEastAsia"/>
        </w:rPr>
        <w:t>必须支持提供分权、分域的管理模式。</w:t>
      </w:r>
    </w:p>
    <w:p>
      <w:pPr>
        <w:spacing w:line="360" w:lineRule="auto"/>
        <w:ind w:firstLine="420" w:firstLineChars="200"/>
        <w:rPr>
          <w:rFonts w:eastAsiaTheme="minorEastAsia"/>
        </w:rPr>
      </w:pPr>
      <w:r>
        <w:rPr>
          <w:rFonts w:hint="eastAsia" w:eastAsiaTheme="minorEastAsia"/>
        </w:rPr>
        <w:t>3.7.4.3</w:t>
      </w:r>
      <w:r>
        <w:rPr>
          <w:rFonts w:ascii="宋体" w:hAnsi="宋体" w:cs="宋体"/>
          <w:color w:val="000000" w:themeColor="text1"/>
          <w:szCs w:val="21"/>
          <w14:textFill>
            <w14:solidFill>
              <w14:schemeClr w14:val="tx1"/>
            </w14:solidFill>
          </w14:textFill>
        </w:rPr>
        <w:t>★</w:t>
      </w:r>
      <w:r>
        <w:rPr>
          <w:rFonts w:hint="eastAsia" w:eastAsiaTheme="minorEastAsia"/>
        </w:rPr>
        <w:t>必须支持根据地理域或者业务域划分不同的管理权限分配给不同用户。</w:t>
      </w:r>
    </w:p>
    <w:p>
      <w:pPr>
        <w:spacing w:line="360" w:lineRule="auto"/>
        <w:ind w:firstLine="420" w:firstLineChars="200"/>
        <w:rPr>
          <w:rFonts w:eastAsiaTheme="minorEastAsia"/>
        </w:rPr>
      </w:pPr>
      <w:r>
        <w:rPr>
          <w:rFonts w:hint="eastAsia" w:eastAsiaTheme="minorEastAsia"/>
        </w:rPr>
        <w:t>3.7.4.4</w:t>
      </w:r>
      <w:r>
        <w:rPr>
          <w:rFonts w:ascii="宋体" w:hAnsi="宋体" w:cs="宋体"/>
          <w:color w:val="000000" w:themeColor="text1"/>
          <w:szCs w:val="21"/>
          <w14:textFill>
            <w14:solidFill>
              <w14:schemeClr w14:val="tx1"/>
            </w14:solidFill>
          </w14:textFill>
        </w:rPr>
        <w:t>★</w:t>
      </w:r>
      <w:r>
        <w:rPr>
          <w:rFonts w:hint="eastAsia" w:eastAsiaTheme="minorEastAsia"/>
        </w:rPr>
        <w:t>系统记录安全日志，提供超时管理，安全注销等安全管理功能。</w:t>
      </w:r>
    </w:p>
    <w:p>
      <w:pPr>
        <w:spacing w:line="360" w:lineRule="auto"/>
        <w:ind w:firstLine="420" w:firstLineChars="200"/>
        <w:rPr>
          <w:rFonts w:eastAsiaTheme="minorEastAsia"/>
        </w:rPr>
      </w:pPr>
      <w:r>
        <w:rPr>
          <w:rFonts w:hint="eastAsia" w:eastAsiaTheme="minorEastAsia"/>
        </w:rPr>
        <w:t>3.7.4.5</w:t>
      </w:r>
      <w:r>
        <w:rPr>
          <w:rFonts w:ascii="宋体" w:hAnsi="宋体" w:cs="宋体"/>
          <w:color w:val="000000" w:themeColor="text1"/>
          <w:szCs w:val="21"/>
          <w14:textFill>
            <w14:solidFill>
              <w14:schemeClr w14:val="tx1"/>
            </w14:solidFill>
          </w14:textFill>
        </w:rPr>
        <w:t>★</w:t>
      </w:r>
      <w:r>
        <w:rPr>
          <w:rFonts w:hint="eastAsia" w:eastAsiaTheme="minorEastAsia"/>
        </w:rPr>
        <w:t>必须支持与采购人现有网络设备兼容，包括端口互联方式、端口速率、数据转发能力等。</w:t>
      </w:r>
    </w:p>
    <w:p>
      <w:pPr>
        <w:spacing w:line="360" w:lineRule="auto"/>
        <w:ind w:firstLine="420" w:firstLineChars="200"/>
        <w:rPr>
          <w:rFonts w:eastAsiaTheme="minorEastAsia"/>
        </w:rPr>
      </w:pPr>
      <w:r>
        <w:rPr>
          <w:rFonts w:hint="eastAsia" w:eastAsiaTheme="minorEastAsia"/>
        </w:rPr>
        <w:t>3.7.4.6</w:t>
      </w:r>
      <w:r>
        <w:rPr>
          <w:rFonts w:ascii="宋体" w:hAnsi="宋体" w:cs="宋体"/>
          <w:color w:val="000000" w:themeColor="text1"/>
          <w:szCs w:val="21"/>
          <w14:textFill>
            <w14:solidFill>
              <w14:schemeClr w14:val="tx1"/>
            </w14:solidFill>
          </w14:textFill>
        </w:rPr>
        <w:t>★</w:t>
      </w:r>
      <w:r>
        <w:rPr>
          <w:rFonts w:hint="eastAsia" w:eastAsiaTheme="minorEastAsia"/>
        </w:rPr>
        <w:t>必须支持与采购人现有的运营监控系统集成，包括开放监控接口，日志实时输出，告警监控等。</w:t>
      </w:r>
    </w:p>
    <w:p>
      <w:pPr>
        <w:spacing w:line="360" w:lineRule="auto"/>
        <w:ind w:firstLine="420" w:firstLineChars="200"/>
      </w:pPr>
    </w:p>
    <w:p>
      <w:pPr>
        <w:spacing w:line="360" w:lineRule="auto"/>
        <w:ind w:firstLine="420" w:firstLineChars="200"/>
        <w:rPr>
          <w:rFonts w:eastAsia="黑体"/>
          <w:b/>
          <w:bCs/>
          <w:kern w:val="44"/>
          <w:sz w:val="36"/>
          <w:szCs w:val="36"/>
        </w:rPr>
      </w:pPr>
      <w:r>
        <w:br w:type="page"/>
      </w:r>
    </w:p>
    <w:p>
      <w:pPr>
        <w:autoSpaceDE w:val="0"/>
        <w:autoSpaceDN w:val="0"/>
        <w:spacing w:line="240" w:lineRule="atLeast"/>
        <w:jc w:val="center"/>
        <w:outlineLvl w:val="0"/>
        <w:rPr>
          <w:rFonts w:eastAsia="黑体"/>
          <w:b/>
          <w:bCs/>
          <w:kern w:val="44"/>
          <w:sz w:val="36"/>
          <w:szCs w:val="36"/>
        </w:rPr>
      </w:pPr>
      <w:r>
        <w:rPr>
          <w:rFonts w:hint="eastAsia" w:eastAsia="黑体"/>
          <w:b/>
          <w:bCs/>
          <w:kern w:val="44"/>
          <w:sz w:val="36"/>
          <w:szCs w:val="36"/>
        </w:rPr>
        <w:t>第六章竞争性磋商响应文件格式</w:t>
      </w:r>
      <w:bookmarkEnd w:id="41"/>
    </w:p>
    <w:p/>
    <w:p/>
    <w:p/>
    <w:p/>
    <w:p/>
    <w:p/>
    <w:p/>
    <w:p>
      <w:pPr>
        <w:jc w:val="center"/>
        <w:rPr>
          <w:rFonts w:ascii="宋体" w:hAnsi="宋体"/>
          <w:sz w:val="44"/>
          <w:szCs w:val="44"/>
        </w:rPr>
      </w:pPr>
      <w:bookmarkStart w:id="43" w:name="_Toc26259736"/>
      <w:r>
        <w:rPr>
          <w:rFonts w:hint="eastAsia" w:ascii="宋体" w:hAnsi="宋体"/>
          <w:sz w:val="44"/>
          <w:szCs w:val="44"/>
        </w:rPr>
        <w:t>江苏省广电有线信息网络股份有限公司</w:t>
      </w:r>
    </w:p>
    <w:bookmarkEnd w:id="43"/>
    <w:p>
      <w:pPr>
        <w:jc w:val="center"/>
        <w:rPr>
          <w:sz w:val="48"/>
          <w:szCs w:val="48"/>
        </w:rPr>
      </w:pPr>
      <w:r>
        <w:rPr>
          <w:rFonts w:hint="eastAsia"/>
          <w:sz w:val="48"/>
          <w:szCs w:val="48"/>
        </w:rPr>
        <w:t>省市县三级融合播控平台2022系统能力扩容-推流系统集成改造采购</w:t>
      </w:r>
    </w:p>
    <w:p/>
    <w:p>
      <w:pPr>
        <w:pStyle w:val="22"/>
        <w:kinsoku w:val="0"/>
        <w:overflowPunct w:val="0"/>
        <w:adjustRightInd w:val="0"/>
        <w:snapToGrid w:val="0"/>
        <w:spacing w:before="312" w:beforeLines="100" w:after="312" w:afterLines="100"/>
        <w:ind w:left="210" w:leftChars="100" w:right="210" w:rightChars="100" w:firstLine="400" w:firstLineChars="200"/>
        <w:jc w:val="left"/>
        <w:rPr>
          <w:sz w:val="20"/>
        </w:rPr>
      </w:pPr>
    </w:p>
    <w:p>
      <w:pPr>
        <w:pStyle w:val="22"/>
        <w:adjustRightInd w:val="0"/>
        <w:snapToGrid w:val="0"/>
        <w:spacing w:before="312" w:beforeLines="100" w:after="312" w:afterLines="100"/>
        <w:ind w:left="210" w:leftChars="100" w:right="210" w:rightChars="100" w:firstLine="1440" w:firstLineChars="300"/>
        <w:rPr>
          <w:sz w:val="48"/>
          <w:szCs w:val="48"/>
        </w:rPr>
      </w:pPr>
      <w:r>
        <w:rPr>
          <w:rFonts w:hint="eastAsia"/>
          <w:sz w:val="48"/>
          <w:szCs w:val="48"/>
        </w:rPr>
        <w:t>竞争性磋商响应文件</w:t>
      </w:r>
    </w:p>
    <w:p>
      <w:pPr>
        <w:pStyle w:val="22"/>
        <w:kinsoku w:val="0"/>
        <w:overflowPunct w:val="0"/>
        <w:adjustRightInd w:val="0"/>
        <w:snapToGrid w:val="0"/>
        <w:spacing w:before="312" w:beforeLines="100" w:after="312" w:afterLines="100"/>
        <w:ind w:left="210" w:leftChars="100" w:right="210" w:rightChars="100" w:firstLine="880" w:firstLineChars="200"/>
        <w:jc w:val="left"/>
        <w:rPr>
          <w:sz w:val="44"/>
          <w:szCs w:val="44"/>
        </w:rPr>
      </w:pPr>
    </w:p>
    <w:p>
      <w:pPr>
        <w:pStyle w:val="22"/>
        <w:kinsoku w:val="0"/>
        <w:overflowPunct w:val="0"/>
        <w:adjustRightInd w:val="0"/>
        <w:snapToGrid w:val="0"/>
        <w:spacing w:before="312" w:beforeLines="100" w:after="312" w:afterLines="100"/>
        <w:ind w:right="210" w:rightChars="100"/>
        <w:jc w:val="left"/>
        <w:rPr>
          <w:sz w:val="44"/>
          <w:szCs w:val="44"/>
        </w:rPr>
      </w:pPr>
    </w:p>
    <w:p>
      <w:pPr>
        <w:pStyle w:val="22"/>
        <w:kinsoku w:val="0"/>
        <w:overflowPunct w:val="0"/>
        <w:adjustRightInd w:val="0"/>
        <w:snapToGrid w:val="0"/>
        <w:spacing w:before="312" w:beforeLines="100" w:after="312" w:afterLines="100"/>
        <w:ind w:right="210" w:rightChars="100"/>
        <w:jc w:val="left"/>
        <w:rPr>
          <w:sz w:val="44"/>
          <w:szCs w:val="44"/>
        </w:rPr>
      </w:pPr>
    </w:p>
    <w:p>
      <w:pPr>
        <w:pStyle w:val="22"/>
        <w:kinsoku w:val="0"/>
        <w:overflowPunct w:val="0"/>
        <w:adjustRightInd w:val="0"/>
        <w:snapToGrid w:val="0"/>
        <w:spacing w:before="312" w:beforeLines="100" w:after="312" w:afterLines="100"/>
        <w:ind w:right="210" w:rightChars="100"/>
        <w:jc w:val="left"/>
        <w:rPr>
          <w:sz w:val="44"/>
          <w:szCs w:val="44"/>
        </w:rPr>
      </w:pPr>
    </w:p>
    <w:p>
      <w:pPr>
        <w:pStyle w:val="22"/>
        <w:kinsoku w:val="0"/>
        <w:overflowPunct w:val="0"/>
        <w:adjustRightInd w:val="0"/>
        <w:snapToGrid w:val="0"/>
        <w:spacing w:before="312" w:beforeLines="100" w:after="312" w:afterLines="100"/>
        <w:ind w:right="210" w:rightChars="100"/>
        <w:jc w:val="left"/>
        <w:rPr>
          <w:sz w:val="44"/>
          <w:szCs w:val="44"/>
        </w:rPr>
      </w:pPr>
    </w:p>
    <w:p>
      <w:pPr>
        <w:pStyle w:val="22"/>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22"/>
        <w:adjustRightInd w:val="0"/>
        <w:snapToGrid w:val="0"/>
        <w:spacing w:before="312" w:beforeLines="100" w:after="312" w:afterLines="100"/>
        <w:ind w:left="210" w:leftChars="100" w:right="210" w:rightChars="100" w:firstLine="560" w:firstLineChars="200"/>
        <w:jc w:val="left"/>
        <w:rPr>
          <w:szCs w:val="28"/>
        </w:rPr>
      </w:pPr>
      <w:r>
        <w:rPr>
          <w:rFonts w:hint="eastAsia"/>
          <w:szCs w:val="28"/>
        </w:rPr>
        <w:t>供应商：（盖单位章）</w:t>
      </w:r>
    </w:p>
    <w:p>
      <w:pPr>
        <w:pStyle w:val="22"/>
        <w:adjustRightInd w:val="0"/>
        <w:snapToGrid w:val="0"/>
        <w:spacing w:before="312" w:beforeLines="100" w:after="312" w:afterLines="100"/>
        <w:ind w:left="210" w:leftChars="100" w:right="210" w:rightChars="100" w:firstLine="560" w:firstLineChars="200"/>
        <w:jc w:val="left"/>
        <w:rPr>
          <w:szCs w:val="28"/>
        </w:rPr>
      </w:pPr>
      <w:r>
        <w:rPr>
          <w:rFonts w:hint="eastAsia"/>
          <w:szCs w:val="28"/>
        </w:rPr>
        <w:t>法定代表人或其委托代理人：（签字）</w:t>
      </w:r>
    </w:p>
    <w:p>
      <w:pPr>
        <w:pStyle w:val="22"/>
        <w:adjustRightInd w:val="0"/>
        <w:snapToGrid w:val="0"/>
        <w:spacing w:before="312" w:beforeLines="100" w:after="312" w:afterLines="100"/>
        <w:ind w:left="210" w:leftChars="100" w:right="210" w:rightChars="100" w:firstLine="560" w:firstLineChars="200"/>
        <w:jc w:val="left"/>
        <w:rPr>
          <w:rFonts w:ascii="Arial" w:hAnsi="Arial" w:eastAsia="黑体" w:cs="Arial"/>
        </w:rPr>
      </w:pPr>
      <w:r>
        <w:rPr>
          <w:rFonts w:hint="eastAsia"/>
          <w:szCs w:val="28"/>
        </w:rPr>
        <w:t>年</w:t>
      </w:r>
      <w:r>
        <w:rPr>
          <w:rFonts w:hint="eastAsia"/>
          <w:spacing w:val="-3"/>
          <w:szCs w:val="28"/>
        </w:rPr>
        <w:t>月</w:t>
      </w:r>
      <w:r>
        <w:rPr>
          <w:rFonts w:hint="eastAsia"/>
          <w:szCs w:val="28"/>
        </w:rPr>
        <w:t>日</w:t>
      </w:r>
      <w:r>
        <w:rPr>
          <w:rFonts w:ascii="Arial" w:hAnsi="Arial" w:eastAsia="黑体" w:cs="Arial"/>
        </w:rPr>
        <w:br w:type="page"/>
      </w:r>
    </w:p>
    <w:p>
      <w:pPr>
        <w:pStyle w:val="5"/>
        <w:numPr>
          <w:ilvl w:val="0"/>
          <w:numId w:val="0"/>
        </w:numPr>
        <w:jc w:val="center"/>
      </w:pPr>
      <w:bookmarkStart w:id="44" w:name="_Toc26259737"/>
      <w:bookmarkStart w:id="45" w:name="_Toc529538374"/>
      <w:bookmarkStart w:id="46" w:name="_Toc472689687"/>
      <w:bookmarkStart w:id="47" w:name="_Toc26260030"/>
      <w:bookmarkStart w:id="48" w:name="_Toc69378658"/>
      <w:bookmarkStart w:id="49" w:name="_Toc447265603"/>
      <w:bookmarkStart w:id="50" w:name="_Toc438052118"/>
      <w:bookmarkStart w:id="51" w:name="_Toc447265317"/>
      <w:r>
        <w:rPr>
          <w:rFonts w:hint="eastAsia"/>
        </w:rPr>
        <w:t>评审索引表</w:t>
      </w:r>
      <w:bookmarkEnd w:id="44"/>
      <w:bookmarkEnd w:id="45"/>
      <w:bookmarkEnd w:id="46"/>
      <w:bookmarkEnd w:id="47"/>
      <w:bookmarkEnd w:id="48"/>
    </w:p>
    <w:p>
      <w:pPr>
        <w:spacing w:line="276" w:lineRule="auto"/>
        <w:rPr>
          <w:b/>
          <w:sz w:val="24"/>
        </w:rPr>
      </w:pPr>
      <w:r>
        <w:rPr>
          <w:rFonts w:hint="eastAsia"/>
          <w:b/>
          <w:sz w:val="24"/>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pPr>
        <w:pStyle w:val="7"/>
        <w:rPr>
          <w:rFonts w:ascii="宋体" w:hAnsi="宋体" w:eastAsia="宋体"/>
          <w:b/>
          <w:sz w:val="24"/>
        </w:rPr>
      </w:pPr>
      <w:bookmarkStart w:id="52" w:name="_Toc529538375"/>
      <w:bookmarkStart w:id="53" w:name="_Toc485737092"/>
      <w:bookmarkStart w:id="54" w:name="_Toc401216443"/>
      <w:bookmarkStart w:id="55" w:name="_Toc429954241"/>
      <w:bookmarkStart w:id="56" w:name="_Toc26260031"/>
      <w:bookmarkStart w:id="57" w:name="_Toc401151285"/>
      <w:bookmarkStart w:id="58" w:name="_Toc401133270"/>
      <w:bookmarkStart w:id="59" w:name="_Toc427071030"/>
      <w:bookmarkStart w:id="60" w:name="_Toc26259738"/>
    </w:p>
    <w:p>
      <w:pPr>
        <w:pStyle w:val="6"/>
        <w:spacing w:before="260" w:after="260" w:line="416" w:lineRule="auto"/>
        <w:jc w:val="center"/>
        <w:rPr>
          <w:rFonts w:ascii="宋体" w:hAnsi="宋体" w:eastAsia="宋体"/>
          <w:b/>
          <w:bCs/>
          <w:sz w:val="22"/>
          <w:szCs w:val="28"/>
        </w:rPr>
      </w:pPr>
      <w:bookmarkStart w:id="61" w:name="_Toc69378659"/>
      <w:r>
        <w:rPr>
          <w:rFonts w:hint="eastAsia" w:ascii="宋体" w:hAnsi="宋体" w:eastAsia="宋体"/>
          <w:b/>
          <w:bCs/>
          <w:sz w:val="22"/>
          <w:szCs w:val="28"/>
        </w:rPr>
        <w:t>初步</w:t>
      </w:r>
      <w:r>
        <w:rPr>
          <w:rFonts w:ascii="宋体" w:hAnsi="宋体" w:eastAsia="宋体"/>
          <w:b/>
          <w:bCs/>
          <w:sz w:val="22"/>
          <w:szCs w:val="28"/>
        </w:rPr>
        <w:t>评审索引表</w:t>
      </w:r>
      <w:bookmarkEnd w:id="52"/>
      <w:bookmarkEnd w:id="53"/>
      <w:bookmarkEnd w:id="54"/>
      <w:bookmarkEnd w:id="55"/>
      <w:bookmarkEnd w:id="56"/>
      <w:bookmarkEnd w:id="57"/>
      <w:bookmarkEnd w:id="58"/>
      <w:bookmarkEnd w:id="59"/>
      <w:bookmarkEnd w:id="60"/>
      <w:bookmarkEnd w:id="61"/>
    </w:p>
    <w:tbl>
      <w:tblPr>
        <w:tblStyle w:val="5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6429"/>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83" w:type="dxa"/>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6429" w:type="dxa"/>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1108" w:type="dxa"/>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1</w:t>
            </w:r>
          </w:p>
        </w:tc>
        <w:tc>
          <w:tcPr>
            <w:tcW w:w="6429" w:type="dxa"/>
            <w:vAlign w:val="center"/>
          </w:tcPr>
          <w:p>
            <w:pPr>
              <w:widowControl/>
              <w:spacing w:line="300" w:lineRule="auto"/>
              <w:jc w:val="left"/>
              <w:rPr>
                <w:rFonts w:ascii="宋体" w:hAnsi="宋体"/>
                <w:color w:val="000000"/>
                <w:kern w:val="0"/>
                <w:highlight w:val="yellow"/>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2</w:t>
            </w:r>
          </w:p>
        </w:tc>
        <w:tc>
          <w:tcPr>
            <w:tcW w:w="6429" w:type="dxa"/>
            <w:vAlign w:val="center"/>
          </w:tcPr>
          <w:p>
            <w:pPr>
              <w:widowControl/>
              <w:spacing w:line="300" w:lineRule="auto"/>
              <w:jc w:val="left"/>
              <w:rPr>
                <w:rFonts w:ascii="宋体" w:hAnsi="宋体"/>
                <w:color w:val="000000"/>
                <w:kern w:val="0"/>
                <w:highlight w:val="yellow"/>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3</w:t>
            </w:r>
          </w:p>
        </w:tc>
        <w:tc>
          <w:tcPr>
            <w:tcW w:w="6429" w:type="dxa"/>
            <w:vAlign w:val="center"/>
          </w:tcPr>
          <w:p>
            <w:pPr>
              <w:widowControl/>
              <w:spacing w:line="300" w:lineRule="auto"/>
              <w:jc w:val="left"/>
              <w:rPr>
                <w:rFonts w:ascii="宋体" w:hAnsi="宋体"/>
                <w:color w:val="000000"/>
                <w:kern w:val="0"/>
                <w:highlight w:val="yellow"/>
              </w:rPr>
            </w:pPr>
          </w:p>
        </w:tc>
        <w:tc>
          <w:tcPr>
            <w:tcW w:w="1108" w:type="dxa"/>
            <w:vAlign w:val="center"/>
          </w:tcPr>
          <w:p>
            <w:pPr>
              <w:widowControl/>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83" w:type="dxa"/>
            <w:vAlign w:val="center"/>
          </w:tcPr>
          <w:p>
            <w:pPr>
              <w:widowControl/>
              <w:jc w:val="center"/>
              <w:rPr>
                <w:rFonts w:ascii="宋体" w:hAnsi="宋体"/>
              </w:rPr>
            </w:pPr>
            <w:r>
              <w:rPr>
                <w:rFonts w:hint="eastAsia" w:ascii="宋体" w:hAnsi="宋体"/>
              </w:rPr>
              <w:t>4</w:t>
            </w:r>
          </w:p>
        </w:tc>
        <w:tc>
          <w:tcPr>
            <w:tcW w:w="6429" w:type="dxa"/>
            <w:vAlign w:val="center"/>
          </w:tcPr>
          <w:p>
            <w:pPr>
              <w:widowControl/>
              <w:spacing w:line="300" w:lineRule="auto"/>
              <w:jc w:val="left"/>
              <w:rPr>
                <w:rFonts w:ascii="宋体" w:hAnsi="宋体"/>
                <w:color w:val="000000"/>
                <w:kern w:val="0"/>
                <w:highlight w:val="yellow"/>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5</w:t>
            </w:r>
          </w:p>
        </w:tc>
        <w:tc>
          <w:tcPr>
            <w:tcW w:w="6429" w:type="dxa"/>
            <w:vAlign w:val="center"/>
          </w:tcPr>
          <w:p>
            <w:pPr>
              <w:widowControl/>
              <w:spacing w:line="300" w:lineRule="auto"/>
              <w:jc w:val="left"/>
              <w:rPr>
                <w:rFonts w:ascii="宋体" w:hAnsi="宋体"/>
                <w:color w:val="000000"/>
                <w:kern w:val="0"/>
                <w:highlight w:val="yellow"/>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6</w:t>
            </w:r>
          </w:p>
        </w:tc>
        <w:tc>
          <w:tcPr>
            <w:tcW w:w="6429" w:type="dxa"/>
            <w:vAlign w:val="center"/>
          </w:tcPr>
          <w:p>
            <w:pPr>
              <w:widowControl/>
              <w:spacing w:line="300" w:lineRule="auto"/>
              <w:jc w:val="left"/>
              <w:rPr>
                <w:rFonts w:ascii="宋体" w:hAnsi="宋体"/>
                <w:color w:val="000000"/>
                <w:kern w:val="0"/>
                <w:highlight w:val="yellow"/>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7</w:t>
            </w:r>
          </w:p>
        </w:tc>
        <w:tc>
          <w:tcPr>
            <w:tcW w:w="6429" w:type="dxa"/>
            <w:vAlign w:val="center"/>
          </w:tcPr>
          <w:p>
            <w:pPr>
              <w:widowControl/>
              <w:spacing w:line="300" w:lineRule="auto"/>
              <w:jc w:val="left"/>
              <w:rPr>
                <w:rFonts w:ascii="宋体" w:hAnsi="宋体"/>
                <w:color w:val="000000"/>
                <w:kern w:val="0"/>
                <w:highlight w:val="yellow"/>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8</w:t>
            </w:r>
          </w:p>
        </w:tc>
        <w:tc>
          <w:tcPr>
            <w:tcW w:w="6429" w:type="dxa"/>
            <w:vAlign w:val="center"/>
          </w:tcPr>
          <w:p>
            <w:pPr>
              <w:widowControl/>
              <w:spacing w:line="300" w:lineRule="auto"/>
              <w:jc w:val="left"/>
              <w:rPr>
                <w:rFonts w:ascii="宋体" w:hAnsi="宋体"/>
                <w:color w:val="000000"/>
                <w:kern w:val="0"/>
                <w:highlight w:val="yellow"/>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9</w:t>
            </w:r>
          </w:p>
        </w:tc>
        <w:tc>
          <w:tcPr>
            <w:tcW w:w="6429" w:type="dxa"/>
            <w:vAlign w:val="center"/>
          </w:tcPr>
          <w:p>
            <w:pPr>
              <w:widowControl/>
              <w:spacing w:line="300" w:lineRule="auto"/>
              <w:jc w:val="left"/>
              <w:rPr>
                <w:rFonts w:ascii="宋体" w:hAnsi="宋体"/>
                <w:color w:val="000000"/>
                <w:kern w:val="0"/>
                <w:highlight w:val="yellow"/>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10</w:t>
            </w:r>
          </w:p>
        </w:tc>
        <w:tc>
          <w:tcPr>
            <w:tcW w:w="6429" w:type="dxa"/>
            <w:vAlign w:val="center"/>
          </w:tcPr>
          <w:p>
            <w:pPr>
              <w:widowControl/>
              <w:spacing w:line="300" w:lineRule="auto"/>
              <w:jc w:val="left"/>
              <w:rPr>
                <w:rFonts w:ascii="宋体" w:hAnsi="宋体"/>
                <w:color w:val="000000"/>
                <w:kern w:val="0"/>
                <w:highlight w:val="yellow"/>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11</w:t>
            </w:r>
          </w:p>
        </w:tc>
        <w:tc>
          <w:tcPr>
            <w:tcW w:w="6429" w:type="dxa"/>
            <w:vAlign w:val="center"/>
          </w:tcPr>
          <w:p>
            <w:pPr>
              <w:widowControl/>
              <w:spacing w:line="300" w:lineRule="auto"/>
              <w:jc w:val="left"/>
              <w:rPr>
                <w:rFonts w:ascii="宋体" w:hAnsi="宋体"/>
                <w:color w:val="000000"/>
                <w:kern w:val="0"/>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1</w:t>
            </w:r>
            <w:r>
              <w:rPr>
                <w:rFonts w:ascii="宋体" w:hAnsi="宋体"/>
              </w:rPr>
              <w:t>2</w:t>
            </w:r>
          </w:p>
        </w:tc>
        <w:tc>
          <w:tcPr>
            <w:tcW w:w="6429" w:type="dxa"/>
            <w:vAlign w:val="center"/>
          </w:tcPr>
          <w:p>
            <w:pPr>
              <w:widowControl/>
              <w:spacing w:line="300" w:lineRule="auto"/>
              <w:jc w:val="left"/>
              <w:rPr>
                <w:rFonts w:ascii="宋体" w:hAnsi="宋体"/>
                <w:color w:val="000000"/>
                <w:kern w:val="0"/>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1</w:t>
            </w:r>
            <w:r>
              <w:rPr>
                <w:rFonts w:ascii="宋体" w:hAnsi="宋体"/>
              </w:rPr>
              <w:t>3</w:t>
            </w:r>
          </w:p>
        </w:tc>
        <w:tc>
          <w:tcPr>
            <w:tcW w:w="6429" w:type="dxa"/>
            <w:vAlign w:val="center"/>
          </w:tcPr>
          <w:p>
            <w:pPr>
              <w:widowControl/>
              <w:spacing w:line="300" w:lineRule="auto"/>
              <w:jc w:val="left"/>
              <w:rPr>
                <w:rFonts w:ascii="宋体" w:hAnsi="宋体"/>
                <w:color w:val="000000"/>
                <w:kern w:val="0"/>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1</w:t>
            </w:r>
            <w:r>
              <w:rPr>
                <w:rFonts w:ascii="宋体" w:hAnsi="宋体"/>
              </w:rPr>
              <w:t>4</w:t>
            </w:r>
          </w:p>
        </w:tc>
        <w:tc>
          <w:tcPr>
            <w:tcW w:w="6429" w:type="dxa"/>
            <w:vAlign w:val="center"/>
          </w:tcPr>
          <w:p>
            <w:pPr>
              <w:widowControl/>
              <w:spacing w:line="300" w:lineRule="auto"/>
              <w:jc w:val="left"/>
              <w:rPr>
                <w:rFonts w:ascii="宋体" w:hAnsi="宋体"/>
                <w:color w:val="000000"/>
                <w:kern w:val="0"/>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p>
        </w:tc>
        <w:tc>
          <w:tcPr>
            <w:tcW w:w="6429" w:type="dxa"/>
            <w:vAlign w:val="center"/>
          </w:tcPr>
          <w:p>
            <w:pPr>
              <w:widowControl/>
              <w:spacing w:line="300" w:lineRule="auto"/>
              <w:jc w:val="left"/>
              <w:rPr>
                <w:rFonts w:ascii="宋体" w:hAnsi="宋体"/>
                <w:color w:val="000000"/>
                <w:kern w:val="0"/>
              </w:rPr>
            </w:pPr>
          </w:p>
        </w:tc>
        <w:tc>
          <w:tcPr>
            <w:tcW w:w="1108" w:type="dxa"/>
            <w:vAlign w:val="center"/>
          </w:tcPr>
          <w:p>
            <w:pPr>
              <w:widowControl/>
              <w:rPr>
                <w:rFonts w:ascii="宋体" w:hAnsi="宋体" w:cs="宋体"/>
                <w:color w:val="000000"/>
                <w:kern w:val="0"/>
                <w:szCs w:val="21"/>
              </w:rPr>
            </w:pPr>
          </w:p>
        </w:tc>
      </w:tr>
    </w:tbl>
    <w:p/>
    <w:p>
      <w:pPr>
        <w:pStyle w:val="52"/>
        <w:ind w:firstLine="560"/>
      </w:pPr>
    </w:p>
    <w:p>
      <w:pPr>
        <w:pStyle w:val="52"/>
        <w:ind w:firstLine="560"/>
      </w:pPr>
    </w:p>
    <w:p>
      <w:pPr>
        <w:pStyle w:val="52"/>
        <w:ind w:firstLine="560"/>
      </w:pPr>
    </w:p>
    <w:p>
      <w:pPr>
        <w:pStyle w:val="6"/>
        <w:spacing w:before="260" w:after="260" w:line="416" w:lineRule="auto"/>
        <w:jc w:val="center"/>
        <w:rPr>
          <w:rFonts w:ascii="宋体" w:hAnsi="宋体" w:eastAsia="宋体"/>
          <w:b/>
          <w:bCs/>
          <w:sz w:val="22"/>
          <w:szCs w:val="28"/>
        </w:rPr>
      </w:pPr>
      <w:bookmarkStart w:id="62" w:name="_Toc26259739"/>
      <w:bookmarkStart w:id="63" w:name="_Toc69378660"/>
      <w:bookmarkStart w:id="64" w:name="_Toc26260032"/>
      <w:r>
        <w:rPr>
          <w:rFonts w:hint="eastAsia" w:ascii="宋体" w:hAnsi="宋体" w:eastAsia="宋体"/>
          <w:b/>
          <w:bCs/>
          <w:sz w:val="22"/>
          <w:szCs w:val="28"/>
        </w:rPr>
        <w:t>详细</w:t>
      </w:r>
      <w:r>
        <w:rPr>
          <w:rFonts w:ascii="宋体" w:hAnsi="宋体" w:eastAsia="宋体"/>
          <w:b/>
          <w:bCs/>
          <w:sz w:val="22"/>
          <w:szCs w:val="28"/>
        </w:rPr>
        <w:t>评审索引表</w:t>
      </w:r>
      <w:bookmarkEnd w:id="62"/>
      <w:bookmarkEnd w:id="63"/>
      <w:bookmarkEnd w:id="64"/>
    </w:p>
    <w:tbl>
      <w:tblPr>
        <w:tblStyle w:val="5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1840"/>
        <w:gridCol w:w="493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kern w:val="0"/>
                <w:szCs w:val="21"/>
              </w:rPr>
            </w:pPr>
            <w:r>
              <w:rPr>
                <w:b/>
                <w:kern w:val="0"/>
                <w:szCs w:val="21"/>
              </w:rPr>
              <w:t>评标项目</w:t>
            </w:r>
          </w:p>
        </w:tc>
        <w:tc>
          <w:tcPr>
            <w:tcW w:w="6778" w:type="dxa"/>
            <w:gridSpan w:val="2"/>
            <w:vAlign w:val="center"/>
          </w:tcPr>
          <w:p>
            <w:pPr>
              <w:jc w:val="center"/>
              <w:rPr>
                <w:b/>
              </w:rPr>
            </w:pPr>
            <w:r>
              <w:rPr>
                <w:b/>
                <w:kern w:val="0"/>
                <w:szCs w:val="21"/>
              </w:rPr>
              <w:t>评分要求</w:t>
            </w:r>
          </w:p>
        </w:tc>
        <w:tc>
          <w:tcPr>
            <w:tcW w:w="1141" w:type="dxa"/>
            <w:vAlign w:val="center"/>
          </w:tcPr>
          <w:p>
            <w:pPr>
              <w:jc w:val="center"/>
              <w:rPr>
                <w:b/>
              </w:rPr>
            </w:pPr>
            <w:r>
              <w:rPr>
                <w:rFonts w:hint="eastAsia"/>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00" w:lineRule="auto"/>
              <w:jc w:val="center"/>
              <w:rPr>
                <w:kern w:val="0"/>
                <w:szCs w:val="21"/>
              </w:rPr>
            </w:pPr>
            <w:r>
              <w:rPr>
                <w:kern w:val="0"/>
                <w:szCs w:val="21"/>
              </w:rPr>
              <w:t>1</w:t>
            </w:r>
          </w:p>
        </w:tc>
        <w:tc>
          <w:tcPr>
            <w:tcW w:w="1211" w:type="dxa"/>
            <w:vAlign w:val="center"/>
          </w:tcPr>
          <w:p>
            <w:pPr>
              <w:widowControl/>
              <w:spacing w:line="300" w:lineRule="auto"/>
              <w:jc w:val="center"/>
              <w:rPr>
                <w:kern w:val="0"/>
                <w:szCs w:val="21"/>
              </w:rPr>
            </w:pPr>
          </w:p>
        </w:tc>
        <w:tc>
          <w:tcPr>
            <w:tcW w:w="6778" w:type="dxa"/>
            <w:gridSpan w:val="2"/>
          </w:tcPr>
          <w:p>
            <w:pPr>
              <w:widowControl/>
              <w:tabs>
                <w:tab w:val="left" w:pos="402"/>
              </w:tabs>
              <w:ind w:left="420"/>
              <w:rPr>
                <w:kern w:val="0"/>
                <w:szCs w:val="21"/>
              </w:rPr>
            </w:pPr>
          </w:p>
        </w:tc>
        <w:tc>
          <w:tcPr>
            <w:tcW w:w="1141" w:type="dxa"/>
          </w:tcPr>
          <w:p>
            <w:pPr>
              <w:widowControl/>
              <w:tabs>
                <w:tab w:val="left" w:pos="0"/>
                <w:tab w:val="left" w:pos="402"/>
              </w:tabs>
              <w:spacing w:line="30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pPr>
            <w:r>
              <w:rPr>
                <w:rFonts w:hint="eastAsia"/>
                <w:kern w:val="0"/>
                <w:szCs w:val="21"/>
              </w:rPr>
              <w:t>2</w:t>
            </w:r>
          </w:p>
        </w:tc>
        <w:tc>
          <w:tcPr>
            <w:tcW w:w="1211" w:type="dxa"/>
            <w:vAlign w:val="center"/>
          </w:tcPr>
          <w:p>
            <w:pPr>
              <w:jc w:val="center"/>
              <w:rPr>
                <w:kern w:val="0"/>
                <w:szCs w:val="21"/>
              </w:rPr>
            </w:pPr>
          </w:p>
        </w:tc>
        <w:tc>
          <w:tcPr>
            <w:tcW w:w="6778" w:type="dxa"/>
            <w:gridSpan w:val="2"/>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rPr>
                <w:kern w:val="0"/>
                <w:szCs w:val="21"/>
              </w:rPr>
            </w:pPr>
            <w:r>
              <w:rPr>
                <w:rFonts w:hint="eastAsia"/>
                <w:kern w:val="0"/>
                <w:szCs w:val="21"/>
              </w:rPr>
              <w:t>3</w:t>
            </w:r>
          </w:p>
        </w:tc>
        <w:tc>
          <w:tcPr>
            <w:tcW w:w="1211" w:type="dxa"/>
            <w:vAlign w:val="center"/>
          </w:tcPr>
          <w:p>
            <w:pPr>
              <w:jc w:val="center"/>
              <w:rPr>
                <w:rFonts w:ascii="宋体" w:hAnsi="宋体"/>
                <w:b/>
              </w:rPr>
            </w:pPr>
          </w:p>
        </w:tc>
        <w:tc>
          <w:tcPr>
            <w:tcW w:w="6778" w:type="dxa"/>
            <w:gridSpan w:val="2"/>
            <w:vAlign w:val="center"/>
          </w:tcPr>
          <w:p>
            <w:pPr>
              <w:widowControl/>
              <w:jc w:val="left"/>
              <w:rPr>
                <w:rFonts w:ascii="宋体" w:hAnsi="宋体"/>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center"/>
            </w:pPr>
            <w:r>
              <w:rPr>
                <w:rFonts w:hint="eastAsia"/>
              </w:rPr>
              <w:t>4</w:t>
            </w:r>
          </w:p>
        </w:tc>
        <w:tc>
          <w:tcPr>
            <w:tcW w:w="1211" w:type="dxa"/>
            <w:vAlign w:val="center"/>
          </w:tcPr>
          <w:p>
            <w:pPr>
              <w:jc w:val="center"/>
              <w:rPr>
                <w:kern w:val="0"/>
                <w:szCs w:val="21"/>
                <w:highlight w:val="yellow"/>
              </w:rPr>
            </w:pPr>
          </w:p>
        </w:tc>
        <w:tc>
          <w:tcPr>
            <w:tcW w:w="6778" w:type="dxa"/>
            <w:gridSpan w:val="2"/>
          </w:tcPr>
          <w:p>
            <w:pPr>
              <w:widowControl/>
              <w:jc w:val="left"/>
              <w:rPr>
                <w:kern w:val="0"/>
                <w:szCs w:val="21"/>
                <w:highlight w:val="yellow"/>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Merge w:val="restart"/>
            <w:vAlign w:val="center"/>
          </w:tcPr>
          <w:p>
            <w:pPr>
              <w:widowControl/>
              <w:jc w:val="center"/>
              <w:rPr>
                <w:kern w:val="0"/>
                <w:szCs w:val="21"/>
              </w:rPr>
            </w:pPr>
            <w:r>
              <w:rPr>
                <w:rFonts w:hint="eastAsia"/>
                <w:kern w:val="0"/>
                <w:szCs w:val="21"/>
              </w:rPr>
              <w:t>5</w:t>
            </w:r>
          </w:p>
        </w:tc>
        <w:tc>
          <w:tcPr>
            <w:tcW w:w="1211" w:type="dxa"/>
            <w:vMerge w:val="restart"/>
            <w:vAlign w:val="center"/>
          </w:tcPr>
          <w:p>
            <w:pPr>
              <w:jc w:val="center"/>
              <w:rPr>
                <w:kern w:val="0"/>
                <w:szCs w:val="21"/>
              </w:rPr>
            </w:pPr>
          </w:p>
        </w:tc>
        <w:tc>
          <w:tcPr>
            <w:tcW w:w="1840" w:type="dxa"/>
            <w:vAlign w:val="center"/>
          </w:tcPr>
          <w:p>
            <w:pPr>
              <w:jc w:val="center"/>
              <w:rPr>
                <w:kern w:val="0"/>
                <w:szCs w:val="21"/>
              </w:rPr>
            </w:pPr>
          </w:p>
        </w:tc>
        <w:tc>
          <w:tcPr>
            <w:tcW w:w="493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4" w:type="dxa"/>
            <w:vMerge w:val="continue"/>
            <w:vAlign w:val="center"/>
          </w:tcPr>
          <w:p>
            <w:pPr>
              <w:widowControl/>
              <w:jc w:val="center"/>
              <w:rPr>
                <w:kern w:val="0"/>
                <w:szCs w:val="21"/>
              </w:rPr>
            </w:pPr>
          </w:p>
        </w:tc>
        <w:tc>
          <w:tcPr>
            <w:tcW w:w="1211" w:type="dxa"/>
            <w:vMerge w:val="continue"/>
            <w:vAlign w:val="center"/>
          </w:tcPr>
          <w:p>
            <w:pPr>
              <w:jc w:val="center"/>
              <w:rPr>
                <w:kern w:val="0"/>
                <w:szCs w:val="21"/>
              </w:rPr>
            </w:pPr>
          </w:p>
        </w:tc>
        <w:tc>
          <w:tcPr>
            <w:tcW w:w="1840" w:type="dxa"/>
            <w:vAlign w:val="center"/>
          </w:tcPr>
          <w:p>
            <w:pPr>
              <w:widowControl/>
              <w:jc w:val="center"/>
              <w:rPr>
                <w:kern w:val="0"/>
                <w:szCs w:val="21"/>
              </w:rPr>
            </w:pPr>
          </w:p>
        </w:tc>
        <w:tc>
          <w:tcPr>
            <w:tcW w:w="493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Merge w:val="restart"/>
            <w:vAlign w:val="center"/>
          </w:tcPr>
          <w:p>
            <w:pPr>
              <w:jc w:val="center"/>
              <w:rPr>
                <w:kern w:val="0"/>
                <w:szCs w:val="21"/>
              </w:rPr>
            </w:pPr>
            <w:r>
              <w:rPr>
                <w:rFonts w:hint="eastAsia"/>
                <w:kern w:val="0"/>
                <w:szCs w:val="21"/>
              </w:rPr>
              <w:t>6</w:t>
            </w:r>
          </w:p>
        </w:tc>
        <w:tc>
          <w:tcPr>
            <w:tcW w:w="1211" w:type="dxa"/>
            <w:vMerge w:val="restart"/>
            <w:vAlign w:val="center"/>
          </w:tcPr>
          <w:p>
            <w:pPr>
              <w:jc w:val="center"/>
              <w:rPr>
                <w:kern w:val="0"/>
                <w:szCs w:val="21"/>
              </w:rPr>
            </w:pPr>
          </w:p>
        </w:tc>
        <w:tc>
          <w:tcPr>
            <w:tcW w:w="6778" w:type="dxa"/>
            <w:gridSpan w:val="2"/>
            <w:vAlign w:val="center"/>
          </w:tcPr>
          <w:p>
            <w:pPr>
              <w:widowControl/>
              <w:rPr>
                <w:rFonts w:eastAsia="仿宋_GB2312"/>
                <w:b/>
                <w:bCs/>
                <w:kern w:val="0"/>
                <w:sz w:val="24"/>
              </w:rPr>
            </w:pPr>
          </w:p>
        </w:tc>
        <w:tc>
          <w:tcPr>
            <w:tcW w:w="1141" w:type="dxa"/>
            <w:vAlign w:val="center"/>
          </w:tcPr>
          <w:p>
            <w:pPr>
              <w:widowControl/>
              <w:jc w:val="left"/>
              <w:rPr>
                <w:rFonts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rPr>
                <w:kern w:val="0"/>
                <w:szCs w:val="21"/>
              </w:rPr>
            </w:pPr>
          </w:p>
        </w:tc>
        <w:tc>
          <w:tcPr>
            <w:tcW w:w="1211" w:type="dxa"/>
            <w:vMerge w:val="continue"/>
            <w:vAlign w:val="center"/>
          </w:tcPr>
          <w:p>
            <w:pPr>
              <w:jc w:val="center"/>
              <w:rPr>
                <w:kern w:val="0"/>
                <w:szCs w:val="21"/>
              </w:rPr>
            </w:pPr>
          </w:p>
        </w:tc>
        <w:tc>
          <w:tcPr>
            <w:tcW w:w="6778" w:type="dxa"/>
            <w:gridSpan w:val="2"/>
            <w:vAlign w:val="center"/>
          </w:tcPr>
          <w:p/>
        </w:tc>
        <w:tc>
          <w:tcPr>
            <w:tcW w:w="1141" w:type="dxa"/>
          </w:tcPr>
          <w:p/>
        </w:tc>
      </w:tr>
    </w:tbl>
    <w:p>
      <w:pPr>
        <w:pStyle w:val="7"/>
      </w:pPr>
    </w:p>
    <w:bookmarkEnd w:id="49"/>
    <w:bookmarkEnd w:id="50"/>
    <w:bookmarkEnd w:id="51"/>
    <w:p/>
    <w:p>
      <w:pPr>
        <w:sectPr>
          <w:pgSz w:w="11906" w:h="16838"/>
          <w:pgMar w:top="1440" w:right="1800" w:bottom="1440" w:left="1800" w:header="851" w:footer="992" w:gutter="0"/>
          <w:cols w:space="720" w:num="1"/>
          <w:docGrid w:type="lines" w:linePitch="312" w:charSpace="0"/>
        </w:sectPr>
      </w:pPr>
    </w:p>
    <w:p>
      <w:pPr>
        <w:pStyle w:val="5"/>
        <w:numPr>
          <w:ilvl w:val="0"/>
          <w:numId w:val="0"/>
        </w:numPr>
        <w:snapToGrid w:val="0"/>
        <w:spacing w:before="312" w:beforeLines="100" w:after="312" w:afterLines="100"/>
        <w:ind w:right="210" w:rightChars="100"/>
        <w:rPr>
          <w:rStyle w:val="106"/>
          <w:rFonts w:hAnsi="宋体"/>
          <w:b w:val="0"/>
          <w:bCs w:val="0"/>
          <w:sz w:val="24"/>
          <w:szCs w:val="24"/>
        </w:rPr>
      </w:pPr>
      <w:bookmarkStart w:id="65" w:name="_Toc161767428"/>
      <w:bookmarkStart w:id="66" w:name="_Toc135999006"/>
      <w:bookmarkStart w:id="67" w:name="_Toc69378663"/>
      <w:bookmarkStart w:id="68" w:name="_Toc26260033"/>
      <w:bookmarkStart w:id="69" w:name="_Toc438052120"/>
      <w:bookmarkStart w:id="70" w:name="_Toc472689688"/>
      <w:bookmarkStart w:id="71" w:name="_Toc529538377"/>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65"/>
      <w:bookmarkEnd w:id="66"/>
      <w:r>
        <w:rPr>
          <w:rStyle w:val="106"/>
          <w:rFonts w:hint="eastAsia" w:hAnsi="宋体"/>
          <w:b w:val="0"/>
          <w:bCs w:val="0"/>
          <w:sz w:val="24"/>
          <w:szCs w:val="24"/>
        </w:rPr>
        <w:t>响应函</w:t>
      </w:r>
      <w:bookmarkEnd w:id="67"/>
      <w:bookmarkEnd w:id="68"/>
    </w:p>
    <w:p>
      <w:pPr>
        <w:snapToGrid w:val="0"/>
        <w:spacing w:before="312" w:beforeLines="100" w:after="312" w:afterLines="100"/>
        <w:ind w:left="210" w:leftChars="100" w:right="210" w:rightChars="100" w:firstLine="643" w:firstLineChars="200"/>
        <w:jc w:val="center"/>
        <w:rPr>
          <w:rStyle w:val="106"/>
          <w:rFonts w:ascii="宋体" w:hAnsi="宋体"/>
        </w:rPr>
      </w:pPr>
      <w:r>
        <w:rPr>
          <w:rStyle w:val="106"/>
          <w:rFonts w:hint="eastAsia" w:ascii="宋体" w:hAnsi="宋体"/>
        </w:rPr>
        <w:t>响应函</w:t>
      </w:r>
    </w:p>
    <w:p>
      <w:pPr>
        <w:snapToGrid w:val="0"/>
        <w:spacing w:before="312" w:beforeLines="100" w:after="312" w:afterLines="100"/>
        <w:ind w:left="210" w:leftChars="100" w:right="210" w:rightChars="100" w:firstLine="420" w:firstLineChars="200"/>
        <w:rPr>
          <w:rFonts w:ascii="宋体"/>
          <w:szCs w:val="21"/>
        </w:rPr>
      </w:pPr>
    </w:p>
    <w:p>
      <w:pPr>
        <w:spacing w:line="360" w:lineRule="auto"/>
        <w:rPr>
          <w:rFonts w:ascii="宋体" w:hAnsi="宋体"/>
          <w:sz w:val="24"/>
        </w:rPr>
      </w:pPr>
      <w:r>
        <w:rPr>
          <w:rFonts w:hint="eastAsia" w:ascii="宋体" w:hAnsi="宋体"/>
          <w:sz w:val="24"/>
        </w:rPr>
        <w:t>江苏省广电有线信息网络股份有限公司：</w:t>
      </w:r>
    </w:p>
    <w:p>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[ 1 ]</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[ 1 ]</w:t>
      </w:r>
      <w:r>
        <w:rPr>
          <w:rFonts w:hint="eastAsia" w:ascii="宋体" w:hAnsi="宋体"/>
          <w:sz w:val="24"/>
        </w:rPr>
        <w:t>份）。</w:t>
      </w:r>
    </w:p>
    <w:p>
      <w:pPr>
        <w:spacing w:line="360" w:lineRule="auto"/>
        <w:rPr>
          <w:rFonts w:ascii="宋体" w:hAnsi="宋体"/>
          <w:sz w:val="24"/>
        </w:rPr>
      </w:pPr>
      <w:r>
        <w:rPr>
          <w:rFonts w:hint="eastAsia" w:ascii="宋体" w:hAnsi="宋体"/>
          <w:sz w:val="24"/>
        </w:rPr>
        <w:t>（2）提供按竞争性磋商文件要求的产品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pPr>
        <w:spacing w:line="360" w:lineRule="auto"/>
        <w:rPr>
          <w:rFonts w:ascii="宋体" w:hAnsi="宋体"/>
          <w:sz w:val="24"/>
        </w:rPr>
      </w:pPr>
      <w:r>
        <w:rPr>
          <w:rFonts w:hint="eastAsia" w:ascii="宋体" w:hAnsi="宋体"/>
          <w:sz w:val="24"/>
        </w:rPr>
        <w:t>（3）供应商将按竞争性磋商文件的规定履行全部责任和义务。</w:t>
      </w:r>
    </w:p>
    <w:p>
      <w:pPr>
        <w:spacing w:line="360" w:lineRule="auto"/>
        <w:rPr>
          <w:rFonts w:ascii="宋体" w:hAnsi="宋体"/>
          <w:sz w:val="24"/>
        </w:rPr>
      </w:pPr>
      <w:r>
        <w:rPr>
          <w:rFonts w:hint="eastAsia" w:ascii="宋体" w:hAnsi="宋体"/>
          <w:sz w:val="24"/>
        </w:rPr>
        <w:t>（4）供应商已详细审查全部竞争性磋商文件，我们完全理解并同意放弃对竞争性磋商文件提出质疑及</w:t>
      </w:r>
      <w:r>
        <w:rPr>
          <w:rFonts w:ascii="宋体" w:hAnsi="宋体"/>
          <w:sz w:val="24"/>
        </w:rPr>
        <w:t>/</w:t>
      </w:r>
      <w:r>
        <w:rPr>
          <w:rFonts w:hint="eastAsia" w:ascii="宋体" w:hAnsi="宋体"/>
          <w:sz w:val="24"/>
        </w:rPr>
        <w:t>或争议的权利。</w:t>
      </w:r>
    </w:p>
    <w:p>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rPr>
      </w:pPr>
      <w:r>
        <w:rPr>
          <w:rFonts w:hint="eastAsia" w:ascii="宋体" w:hAnsi="宋体"/>
          <w:sz w:val="24"/>
        </w:rPr>
        <w:t>（9）我方在法律和财务上独立、合法运作并独立于采购人。</w:t>
      </w:r>
    </w:p>
    <w:p>
      <w:pPr>
        <w:spacing w:line="360" w:lineRule="auto"/>
        <w:rPr>
          <w:rFonts w:ascii="宋体" w:hAnsi="宋体"/>
          <w:sz w:val="24"/>
        </w:rPr>
      </w:pPr>
      <w:r>
        <w:rPr>
          <w:rFonts w:hint="eastAsia" w:ascii="宋体" w:hAnsi="宋体"/>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）我方具有较大规模的销售和售后服务的组织机构及完善快捷的技术支持能力，承诺在南京地区拥有固定可靠的有效服务网点。</w:t>
      </w:r>
    </w:p>
    <w:p>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）根据本项目要求，我单位委派（姓名）（身份证号）作为本项目的项目负责人。</w:t>
      </w:r>
    </w:p>
    <w:p>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）与本响应文件有关的一切往来通讯请寄：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地址传真：</w:t>
      </w:r>
    </w:p>
    <w:p>
      <w:pPr>
        <w:spacing w:line="360" w:lineRule="auto"/>
        <w:rPr>
          <w:rFonts w:ascii="宋体" w:hAnsi="宋体"/>
          <w:sz w:val="24"/>
        </w:rPr>
      </w:pPr>
      <w:r>
        <w:rPr>
          <w:rFonts w:hint="eastAsia" w:ascii="宋体" w:hAnsi="宋体"/>
          <w:sz w:val="24"/>
        </w:rPr>
        <w:t>电话电子函件：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供应商名称（盖章）：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napToGrid w:val="0"/>
        <w:spacing w:before="312" w:beforeLines="100" w:after="312" w:afterLines="100"/>
        <w:ind w:left="210" w:leftChars="100" w:right="210" w:rightChars="100" w:firstLine="420" w:firstLineChars="200"/>
        <w:rPr>
          <w:u w:val="single"/>
        </w:rPr>
      </w:pPr>
    </w:p>
    <w:p>
      <w:pPr>
        <w:snapToGrid w:val="0"/>
        <w:spacing w:before="312" w:beforeLines="100" w:after="312" w:afterLines="100"/>
        <w:ind w:left="210" w:leftChars="100" w:right="210" w:rightChars="100" w:firstLine="420" w:firstLineChars="200"/>
        <w:rPr>
          <w:u w:val="single"/>
        </w:rPr>
      </w:pPr>
    </w:p>
    <w:p>
      <w:pPr>
        <w:pStyle w:val="5"/>
        <w:numPr>
          <w:ilvl w:val="0"/>
          <w:numId w:val="0"/>
        </w:numPr>
        <w:snapToGrid w:val="0"/>
        <w:spacing w:before="312" w:beforeLines="100" w:after="312" w:afterLines="100"/>
        <w:ind w:right="210" w:rightChars="100"/>
        <w:rPr>
          <w:szCs w:val="24"/>
        </w:rPr>
      </w:pPr>
      <w:r>
        <w:rPr>
          <w:szCs w:val="24"/>
        </w:rPr>
        <w:br w:type="page"/>
      </w:r>
      <w:bookmarkStart w:id="72" w:name="_Toc26260034"/>
      <w:bookmarkStart w:id="73" w:name="_Toc26259740"/>
      <w:bookmarkStart w:id="74" w:name="_Toc69378664"/>
    </w:p>
    <w:p>
      <w:pPr>
        <w:pStyle w:val="5"/>
        <w:numPr>
          <w:ilvl w:val="0"/>
          <w:numId w:val="0"/>
        </w:numPr>
        <w:snapToGrid w:val="0"/>
        <w:spacing w:before="312" w:beforeLines="100" w:after="312" w:afterLines="100"/>
        <w:ind w:right="210" w:rightChars="100"/>
        <w:rPr>
          <w:rStyle w:val="106"/>
          <w:rFonts w:hAnsi="宋体"/>
          <w:b w:val="0"/>
          <w:bCs/>
          <w:sz w:val="24"/>
          <w:szCs w:val="24"/>
        </w:rPr>
      </w:pPr>
      <w:r>
        <w:rPr>
          <w:rStyle w:val="106"/>
          <w:rFonts w:hint="eastAsia" w:hAnsi="宋体"/>
          <w:b w:val="0"/>
          <w:bCs w:val="0"/>
          <w:sz w:val="24"/>
          <w:szCs w:val="24"/>
        </w:rPr>
        <w:t>附件</w:t>
      </w:r>
      <w:r>
        <w:rPr>
          <w:rStyle w:val="106"/>
          <w:rFonts w:hAnsi="宋体"/>
          <w:b w:val="0"/>
          <w:bCs w:val="0"/>
          <w:sz w:val="24"/>
          <w:szCs w:val="24"/>
        </w:rPr>
        <w:t>2</w:t>
      </w:r>
      <w:r>
        <w:rPr>
          <w:rStyle w:val="106"/>
          <w:rFonts w:hint="eastAsia" w:hAnsi="宋体"/>
          <w:b w:val="0"/>
          <w:bCs w:val="0"/>
          <w:sz w:val="24"/>
          <w:szCs w:val="24"/>
        </w:rPr>
        <w:t>：制造商的授权函和承诺函</w:t>
      </w:r>
      <w:r>
        <w:rPr>
          <w:rStyle w:val="106"/>
          <w:rFonts w:hAnsi="宋体"/>
          <w:b w:val="0"/>
          <w:bCs w:val="0"/>
          <w:sz w:val="24"/>
          <w:szCs w:val="24"/>
        </w:rPr>
        <w:br w:type="page"/>
      </w:r>
    </w:p>
    <w:p>
      <w:pPr>
        <w:pStyle w:val="5"/>
        <w:numPr>
          <w:ilvl w:val="0"/>
          <w:numId w:val="0"/>
        </w:numPr>
        <w:snapToGrid w:val="0"/>
        <w:spacing w:before="312" w:beforeLines="100" w:after="312" w:afterLines="100"/>
        <w:ind w:right="210" w:rightChars="100"/>
        <w:rPr>
          <w:rStyle w:val="80"/>
          <w:rFonts w:hAnsi="Times New Roman" w:eastAsia="宋体"/>
          <w:bCs w:val="0"/>
          <w:szCs w:val="24"/>
        </w:rPr>
      </w:pPr>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-1：报价表</w:t>
      </w:r>
      <w:r>
        <w:rPr>
          <w:rStyle w:val="106"/>
          <w:rFonts w:hAnsi="宋体"/>
          <w:b w:val="0"/>
          <w:bCs w:val="0"/>
          <w:sz w:val="24"/>
          <w:szCs w:val="24"/>
        </w:rPr>
        <w:t>(</w:t>
      </w:r>
      <w:r>
        <w:rPr>
          <w:rStyle w:val="106"/>
          <w:rFonts w:hint="eastAsia" w:hAnsi="宋体"/>
          <w:b w:val="0"/>
          <w:bCs w:val="0"/>
          <w:sz w:val="24"/>
          <w:szCs w:val="24"/>
        </w:rPr>
        <w:t>格式</w:t>
      </w:r>
      <w:r>
        <w:rPr>
          <w:rStyle w:val="106"/>
          <w:rFonts w:hAnsi="宋体"/>
          <w:b w:val="0"/>
          <w:bCs w:val="0"/>
          <w:sz w:val="24"/>
          <w:szCs w:val="24"/>
        </w:rPr>
        <w:t>)</w:t>
      </w:r>
      <w:bookmarkEnd w:id="72"/>
      <w:bookmarkEnd w:id="73"/>
      <w:bookmarkEnd w:id="74"/>
    </w:p>
    <w:p>
      <w:pPr>
        <w:spacing w:line="360" w:lineRule="auto"/>
      </w:pPr>
      <w:r>
        <w:t>项目名称：</w:t>
      </w:r>
      <w:r>
        <w:rPr>
          <w:rFonts w:hint="eastAsia"/>
        </w:rPr>
        <w:t>省市县三级融合播控平台2022系统能力扩容-推流系统集成改造</w:t>
      </w:r>
    </w:p>
    <w:tbl>
      <w:tblPr>
        <w:tblStyle w:val="53"/>
        <w:tblpPr w:leftFromText="180" w:rightFromText="180" w:vertAnchor="text" w:horzAnchor="page" w:tblpX="1067" w:tblpY="455"/>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10"/>
        <w:gridCol w:w="850"/>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80" w:type="dxa"/>
            <w:vAlign w:val="center"/>
          </w:tcPr>
          <w:p>
            <w:pPr>
              <w:jc w:val="center"/>
              <w:rPr>
                <w:rFonts w:ascii="宋体" w:hAnsi="宋体" w:cs="宋体"/>
                <w:b/>
                <w:szCs w:val="21"/>
              </w:rPr>
            </w:pPr>
            <w:r>
              <w:rPr>
                <w:rFonts w:hint="eastAsia" w:ascii="宋体" w:hAnsi="宋体" w:cs="宋体"/>
                <w:b/>
                <w:szCs w:val="21"/>
              </w:rPr>
              <w:t>产品名称</w:t>
            </w:r>
          </w:p>
        </w:tc>
        <w:tc>
          <w:tcPr>
            <w:tcW w:w="2410" w:type="dxa"/>
            <w:vAlign w:val="center"/>
          </w:tcPr>
          <w:p>
            <w:pPr>
              <w:jc w:val="center"/>
              <w:rPr>
                <w:rFonts w:ascii="宋体" w:hAnsi="宋体" w:cs="宋体"/>
                <w:b/>
                <w:szCs w:val="21"/>
              </w:rPr>
            </w:pPr>
            <w:r>
              <w:rPr>
                <w:rFonts w:hint="eastAsia" w:ascii="宋体" w:hAnsi="宋体" w:cs="宋体"/>
                <w:b/>
                <w:szCs w:val="21"/>
              </w:rPr>
              <w:t>内容</w:t>
            </w:r>
          </w:p>
        </w:tc>
        <w:tc>
          <w:tcPr>
            <w:tcW w:w="850" w:type="dxa"/>
            <w:vAlign w:val="center"/>
          </w:tcPr>
          <w:p>
            <w:pPr>
              <w:jc w:val="center"/>
              <w:rPr>
                <w:rFonts w:ascii="宋体" w:hAnsi="宋体" w:cs="宋体"/>
                <w:b/>
                <w:szCs w:val="21"/>
              </w:rPr>
            </w:pPr>
            <w:r>
              <w:rPr>
                <w:rFonts w:hint="eastAsia" w:ascii="宋体" w:hAnsi="宋体" w:cs="宋体"/>
                <w:b/>
                <w:szCs w:val="21"/>
              </w:rPr>
              <w:t>数量</w:t>
            </w:r>
          </w:p>
        </w:tc>
        <w:tc>
          <w:tcPr>
            <w:tcW w:w="3402" w:type="dxa"/>
            <w:vAlign w:val="center"/>
          </w:tcPr>
          <w:p>
            <w:pPr>
              <w:jc w:val="center"/>
              <w:rPr>
                <w:rFonts w:ascii="宋体" w:hAnsi="宋体" w:cs="宋体"/>
                <w:b/>
                <w:szCs w:val="21"/>
              </w:rPr>
            </w:pPr>
            <w:r>
              <w:rPr>
                <w:rFonts w:hint="eastAsia" w:ascii="宋体" w:hAnsi="宋体" w:cs="宋体"/>
                <w:b/>
                <w:szCs w:val="21"/>
              </w:rPr>
              <w:t>含税单价（元）</w:t>
            </w:r>
          </w:p>
        </w:tc>
        <w:tc>
          <w:tcPr>
            <w:tcW w:w="1843" w:type="dxa"/>
            <w:vAlign w:val="center"/>
          </w:tcPr>
          <w:p>
            <w:pPr>
              <w:jc w:val="center"/>
              <w:rPr>
                <w:rFonts w:ascii="宋体" w:hAnsi="宋体" w:cs="宋体"/>
                <w:b/>
                <w:szCs w:val="21"/>
              </w:rPr>
            </w:pPr>
            <w:r>
              <w:rPr>
                <w:rFonts w:hint="eastAsia" w:ascii="宋体" w:hAnsi="宋体" w:cs="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r>
              <w:rPr>
                <w:rFonts w:hint="eastAsia" w:asciiTheme="minorEastAsia" w:hAnsiTheme="minorEastAsia" w:eastAsiaTheme="minorEastAsia" w:cstheme="minorEastAsia"/>
                <w:szCs w:val="21"/>
              </w:rPr>
              <w:t>原VOD系统改造</w:t>
            </w:r>
          </w:p>
        </w:tc>
        <w:tc>
          <w:tcPr>
            <w:tcW w:w="2410" w:type="dxa"/>
            <w:vAlign w:val="center"/>
          </w:tcPr>
          <w:p>
            <w:pPr>
              <w:jc w:val="center"/>
              <w:rPr>
                <w:sz w:val="18"/>
                <w:szCs w:val="18"/>
              </w:rPr>
            </w:pPr>
            <w:r>
              <w:rPr>
                <w:rFonts w:hint="eastAsia" w:hAnsi="宋体"/>
                <w:szCs w:val="21"/>
              </w:rPr>
              <w:t>完成对现有推流系统的改造，包括推流设备和缓存设备（部分）</w:t>
            </w:r>
          </w:p>
        </w:tc>
        <w:tc>
          <w:tcPr>
            <w:tcW w:w="850" w:type="dxa"/>
            <w:vAlign w:val="center"/>
          </w:tcPr>
          <w:p>
            <w:pPr>
              <w:jc w:val="center"/>
              <w:rPr>
                <w:szCs w:val="21"/>
              </w:rPr>
            </w:pPr>
            <w:r>
              <w:rPr>
                <w:rFonts w:hint="eastAsia"/>
                <w:szCs w:val="21"/>
              </w:rPr>
              <w:t>1套</w:t>
            </w: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pPr>
            <w:r>
              <w:rPr>
                <w:rFonts w:hint="eastAsia" w:asciiTheme="minorEastAsia" w:hAnsiTheme="minorEastAsia" w:eastAsiaTheme="minorEastAsia" w:cstheme="minorEastAsia"/>
                <w:szCs w:val="21"/>
              </w:rPr>
              <w:t>NGOD融合网关</w:t>
            </w:r>
          </w:p>
        </w:tc>
        <w:tc>
          <w:tcPr>
            <w:tcW w:w="2410" w:type="dxa"/>
            <w:vAlign w:val="center"/>
          </w:tcPr>
          <w:p>
            <w:pPr>
              <w:jc w:val="center"/>
              <w:rPr>
                <w:rFonts w:hAnsi="宋体"/>
                <w:szCs w:val="21"/>
              </w:rPr>
            </w:pPr>
            <w:r>
              <w:rPr>
                <w:rFonts w:hint="eastAsia" w:asciiTheme="minorEastAsia" w:hAnsiTheme="minorEastAsia" w:eastAsiaTheme="minorEastAsia" w:cstheme="minorEastAsia"/>
                <w:szCs w:val="21"/>
              </w:rPr>
              <w:t>提供一套系统（包括软件和硬件），完成HLS-&gt;TS的实时转换，满足业务需求。</w:t>
            </w:r>
          </w:p>
        </w:tc>
        <w:tc>
          <w:tcPr>
            <w:tcW w:w="850" w:type="dxa"/>
            <w:vAlign w:val="center"/>
          </w:tcPr>
          <w:p>
            <w:pPr>
              <w:jc w:val="center"/>
              <w:rPr>
                <w:szCs w:val="21"/>
              </w:rPr>
            </w:pPr>
            <w:r>
              <w:rPr>
                <w:rFonts w:hint="eastAsia"/>
                <w:szCs w:val="21"/>
              </w:rPr>
              <w:t>1套</w:t>
            </w: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pPr>
            <w:r>
              <w:rPr>
                <w:rFonts w:hint="eastAsia" w:asciiTheme="minorEastAsia" w:hAnsiTheme="minorEastAsia" w:eastAsiaTheme="minorEastAsia" w:cstheme="minorEastAsia"/>
                <w:szCs w:val="21"/>
              </w:rPr>
              <w:t>索引服务器</w:t>
            </w:r>
          </w:p>
        </w:tc>
        <w:tc>
          <w:tcPr>
            <w:tcW w:w="2410" w:type="dxa"/>
            <w:vAlign w:val="center"/>
          </w:tcPr>
          <w:p>
            <w:pPr>
              <w:jc w:val="center"/>
              <w:rPr>
                <w:rFonts w:hAnsi="宋体"/>
                <w:szCs w:val="21"/>
              </w:rPr>
            </w:pPr>
            <w:r>
              <w:rPr>
                <w:rFonts w:hint="eastAsia" w:asciiTheme="minorEastAsia" w:hAnsiTheme="minorEastAsia" w:eastAsiaTheme="minorEastAsia" w:cstheme="minorEastAsia"/>
                <w:szCs w:val="21"/>
              </w:rPr>
              <w:t>提供一套系统（包括软件和硬件），完成索引文件的存储及调度，保证调度效率及安全性。</w:t>
            </w:r>
          </w:p>
        </w:tc>
        <w:tc>
          <w:tcPr>
            <w:tcW w:w="850" w:type="dxa"/>
            <w:vAlign w:val="center"/>
          </w:tcPr>
          <w:p>
            <w:pPr>
              <w:jc w:val="center"/>
              <w:rPr>
                <w:szCs w:val="21"/>
              </w:rPr>
            </w:pPr>
            <w:r>
              <w:rPr>
                <w:rFonts w:hint="eastAsia"/>
                <w:szCs w:val="21"/>
              </w:rPr>
              <w:t>1套</w:t>
            </w: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pPr>
            <w:r>
              <w:rPr>
                <w:rFonts w:hint="eastAsia" w:asciiTheme="minorEastAsia" w:hAnsiTheme="minorEastAsia" w:eastAsiaTheme="minorEastAsia" w:cstheme="minorEastAsia"/>
                <w:szCs w:val="21"/>
              </w:rPr>
              <w:t>业务调度及网管</w:t>
            </w:r>
          </w:p>
        </w:tc>
        <w:tc>
          <w:tcPr>
            <w:tcW w:w="2410" w:type="dxa"/>
            <w:vAlign w:val="center"/>
          </w:tcPr>
          <w:p>
            <w:pPr>
              <w:jc w:val="center"/>
              <w:rPr>
                <w:rFonts w:hAnsi="宋体"/>
                <w:szCs w:val="21"/>
              </w:rPr>
            </w:pPr>
            <w:r>
              <w:rPr>
                <w:rFonts w:hint="eastAsia" w:asciiTheme="minorEastAsia" w:hAnsiTheme="minorEastAsia" w:eastAsiaTheme="minorEastAsia" w:cstheme="minorEastAsia"/>
                <w:szCs w:val="21"/>
              </w:rPr>
              <w:t>提供一套系统（软件），实现全局业务调度能力，同时实现对本次项目集成改造设备的管理。</w:t>
            </w:r>
          </w:p>
        </w:tc>
        <w:tc>
          <w:tcPr>
            <w:tcW w:w="850" w:type="dxa"/>
            <w:vAlign w:val="center"/>
          </w:tcPr>
          <w:p>
            <w:pPr>
              <w:jc w:val="center"/>
              <w:rPr>
                <w:szCs w:val="21"/>
              </w:rPr>
            </w:pPr>
            <w:r>
              <w:rPr>
                <w:rFonts w:hint="eastAsia"/>
                <w:szCs w:val="21"/>
              </w:rPr>
              <w:t>1套</w:t>
            </w: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pPr>
            <w:r>
              <w:rPr>
                <w:rFonts w:hint="eastAsia" w:asciiTheme="minorEastAsia" w:hAnsiTheme="minorEastAsia" w:eastAsiaTheme="minorEastAsia" w:cstheme="minorEastAsia"/>
                <w:szCs w:val="21"/>
              </w:rPr>
              <w:t>对接与集成</w:t>
            </w:r>
          </w:p>
        </w:tc>
        <w:tc>
          <w:tcPr>
            <w:tcW w:w="2410" w:type="dxa"/>
            <w:vAlign w:val="center"/>
          </w:tcPr>
          <w:p>
            <w:pPr>
              <w:jc w:val="center"/>
              <w:rPr>
                <w:rFonts w:hAnsi="宋体"/>
                <w:szCs w:val="21"/>
              </w:rPr>
            </w:pPr>
            <w:r>
              <w:rPr>
                <w:rFonts w:hint="eastAsia" w:asciiTheme="minorEastAsia" w:hAnsiTheme="minorEastAsia" w:eastAsiaTheme="minorEastAsia" w:cstheme="minorEastAsia"/>
                <w:szCs w:val="21"/>
              </w:rPr>
              <w:t>与IPCDN对接与集成，与BO对接与集成，实现不同终端全业务全覆盖。</w:t>
            </w:r>
          </w:p>
        </w:tc>
        <w:tc>
          <w:tcPr>
            <w:tcW w:w="850" w:type="dxa"/>
            <w:vAlign w:val="center"/>
          </w:tcPr>
          <w:p>
            <w:pPr>
              <w:jc w:val="center"/>
              <w:rPr>
                <w:szCs w:val="21"/>
              </w:rPr>
            </w:pPr>
            <w:r>
              <w:rPr>
                <w:rFonts w:hint="eastAsia"/>
                <w:szCs w:val="21"/>
              </w:rPr>
              <w:t>1套</w:t>
            </w: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交货期</w:t>
            </w:r>
          </w:p>
        </w:tc>
        <w:tc>
          <w:tcPr>
            <w:tcW w:w="8505" w:type="dxa"/>
            <w:gridSpan w:val="4"/>
            <w:vAlign w:val="center"/>
          </w:tcPr>
          <w:p>
            <w:pPr>
              <w:spacing w:line="360" w:lineRule="auto"/>
              <w:rPr>
                <w:rFonts w:ascii="宋体" w:hAnsi="宋体"/>
                <w:szCs w:val="21"/>
              </w:rPr>
            </w:pPr>
            <w:r>
              <w:rPr>
                <w:rFonts w:hint="eastAsia" w:ascii="宋体" w:hAnsi="宋体" w:cs="宋体"/>
              </w:rPr>
              <w:t>合同签订后</w:t>
            </w:r>
            <w:r>
              <w:rPr>
                <w:rFonts w:ascii="宋体" w:hAnsi="宋体" w:cs="宋体"/>
                <w:u w:val="single"/>
              </w:rPr>
              <w:t xml:space="preserve">   </w:t>
            </w:r>
            <w:r>
              <w:rPr>
                <w:rFonts w:hint="eastAsia" w:ascii="宋体" w:hAnsi="宋体" w:cs="宋体"/>
              </w:rPr>
              <w:t>天（不超过</w:t>
            </w:r>
            <w:r>
              <w:rPr>
                <w:rFonts w:hint="eastAsia" w:ascii="宋体" w:hAnsi="宋体"/>
                <w:color w:val="FF0000"/>
                <w:szCs w:val="21"/>
              </w:rPr>
              <w:t>3</w:t>
            </w:r>
            <w:r>
              <w:rPr>
                <w:rFonts w:ascii="宋体" w:hAnsi="宋体"/>
                <w:color w:val="FF0000"/>
                <w:szCs w:val="21"/>
              </w:rPr>
              <w:t>0</w:t>
            </w:r>
            <w:r>
              <w:rPr>
                <w:rFonts w:hint="eastAsia" w:ascii="宋体" w:hAnsi="宋体"/>
                <w:color w:val="FF0000"/>
                <w:szCs w:val="21"/>
              </w:rPr>
              <w:t>天</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交货地点</w:t>
            </w:r>
          </w:p>
        </w:tc>
        <w:tc>
          <w:tcPr>
            <w:tcW w:w="8505" w:type="dxa"/>
            <w:gridSpan w:val="4"/>
            <w:vAlign w:val="center"/>
          </w:tcPr>
          <w:p>
            <w:pPr>
              <w:spacing w:line="360" w:lineRule="auto"/>
              <w:rPr>
                <w:rFonts w:ascii="宋体" w:hAnsi="宋体"/>
                <w:szCs w:val="21"/>
              </w:rPr>
            </w:pPr>
            <w:r>
              <w:rPr>
                <w:rFonts w:hint="eastAsia" w:ascii="宋体" w:hAnsi="宋体" w:cs="宋体"/>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80" w:type="dxa"/>
            <w:vAlign w:val="center"/>
          </w:tcPr>
          <w:p>
            <w:pPr>
              <w:spacing w:line="360" w:lineRule="auto"/>
              <w:jc w:val="center"/>
              <w:rPr>
                <w:rFonts w:ascii="宋体" w:hAnsi="宋体" w:cs="宋体"/>
              </w:rPr>
            </w:pPr>
            <w:r>
              <w:rPr>
                <w:rFonts w:hint="eastAsia" w:ascii="宋体" w:hAnsi="宋体" w:cs="宋体"/>
              </w:rPr>
              <w:t>免费包修期</w:t>
            </w:r>
          </w:p>
        </w:tc>
        <w:tc>
          <w:tcPr>
            <w:tcW w:w="8505" w:type="dxa"/>
            <w:gridSpan w:val="4"/>
            <w:vAlign w:val="center"/>
          </w:tcPr>
          <w:p>
            <w:pPr>
              <w:spacing w:line="360" w:lineRule="auto"/>
              <w:rPr>
                <w:rFonts w:ascii="宋体" w:hAnsi="宋体"/>
                <w:szCs w:val="21"/>
              </w:rPr>
            </w:pPr>
            <w:r>
              <w:rPr>
                <w:rFonts w:hint="eastAsia" w:ascii="宋体" w:hAnsi="宋体" w:cs="宋体"/>
              </w:rPr>
              <w:t>初验通过后</w:t>
            </w:r>
            <w:r>
              <w:rPr>
                <w:rFonts w:ascii="宋体" w:hAnsi="宋体" w:cs="宋体"/>
                <w:u w:val="single"/>
              </w:rPr>
              <w:t xml:space="preserve">    </w:t>
            </w:r>
            <w:r>
              <w:rPr>
                <w:rFonts w:hint="eastAsia" w:ascii="宋体" w:hAnsi="宋体" w:cs="宋体"/>
              </w:rPr>
              <w:t>年（不少于三年）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包修期内的服务内容</w:t>
            </w:r>
          </w:p>
        </w:tc>
        <w:tc>
          <w:tcPr>
            <w:tcW w:w="8505" w:type="dxa"/>
            <w:gridSpan w:val="4"/>
            <w:vAlign w:val="center"/>
          </w:tcPr>
          <w:p>
            <w:pPr>
              <w:spacing w:line="360" w:lineRule="auto"/>
              <w:rPr>
                <w:rFonts w:ascii="宋体" w:hAnsi="宋体" w:cs="宋体"/>
              </w:rPr>
            </w:pPr>
            <w:r>
              <w:rPr>
                <w:rFonts w:hint="eastAsia"/>
                <w:color w:val="000000"/>
              </w:rPr>
              <w:t>竞争性磋商文件</w:t>
            </w:r>
            <w:r>
              <w:rPr>
                <w:color w:val="000000"/>
              </w:rPr>
              <w:t>第五章《技术及服务要求》中所有要求的内容，以及：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400" w:lineRule="exact"/>
              <w:jc w:val="center"/>
              <w:rPr>
                <w:rFonts w:ascii="宋体" w:hAnsi="宋体" w:cs="宋体"/>
              </w:rPr>
            </w:pPr>
            <w:r>
              <w:rPr>
                <w:color w:val="000000"/>
              </w:rPr>
              <w:t>包修期满后的服务价格</w:t>
            </w:r>
          </w:p>
        </w:tc>
        <w:tc>
          <w:tcPr>
            <w:tcW w:w="8505" w:type="dxa"/>
            <w:gridSpan w:val="4"/>
            <w:vAlign w:val="center"/>
          </w:tcPr>
          <w:p>
            <w:pPr>
              <w:spacing w:line="400" w:lineRule="exact"/>
              <w:rPr>
                <w:color w:val="000000"/>
              </w:rPr>
            </w:pPr>
            <w:r>
              <w:rPr>
                <w:color w:val="000000"/>
              </w:rPr>
              <w:t>维保价格：</w:t>
            </w:r>
            <w:r>
              <w:rPr>
                <w:color w:val="000000"/>
                <w:u w:val="single"/>
              </w:rPr>
              <w:t xml:space="preserve">    </w:t>
            </w:r>
            <w:r>
              <w:rPr>
                <w:color w:val="000000"/>
              </w:rPr>
              <w:t>元/年（</w:t>
            </w:r>
            <w:r>
              <w:rPr>
                <w:color w:val="000000"/>
                <w:szCs w:val="21"/>
              </w:rPr>
              <w:t>年维保费用不得高于合同价格的</w:t>
            </w:r>
            <w:r>
              <w:rPr>
                <w:rFonts w:hint="eastAsia"/>
                <w:color w:val="000000"/>
                <w:szCs w:val="21"/>
              </w:rPr>
              <w:t>5</w:t>
            </w:r>
            <w:r>
              <w:rPr>
                <w:color w:val="000000"/>
                <w:szCs w:val="21"/>
              </w:rPr>
              <w:t>%</w:t>
            </w:r>
            <w:r>
              <w:rPr>
                <w:color w:val="000000"/>
              </w:rPr>
              <w:t>）</w:t>
            </w:r>
          </w:p>
          <w:p>
            <w:pPr>
              <w:spacing w:line="400" w:lineRule="exact"/>
              <w:rPr>
                <w:rFonts w:ascii="宋体" w:hAnsi="宋体" w:cs="宋体"/>
              </w:rPr>
            </w:pPr>
            <w:r>
              <w:rPr>
                <w:color w:val="000000"/>
              </w:rPr>
              <w:t>包含内容：</w:t>
            </w:r>
            <w:r>
              <w:rPr>
                <w:color w:val="000000"/>
                <w:u w:val="single"/>
              </w:rPr>
              <w:t>按照包修期内的服务内容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0" w:type="dxa"/>
            <w:vAlign w:val="center"/>
          </w:tcPr>
          <w:p>
            <w:pPr>
              <w:jc w:val="center"/>
              <w:rPr>
                <w:rFonts w:ascii="宋体" w:hAnsi="宋体" w:cs="宋体"/>
              </w:rPr>
            </w:pPr>
            <w:r>
              <w:rPr>
                <w:rFonts w:hint="eastAsia" w:ascii="宋体" w:hAnsi="宋体" w:cs="宋体"/>
              </w:rPr>
              <w:t>备注</w:t>
            </w:r>
          </w:p>
        </w:tc>
        <w:tc>
          <w:tcPr>
            <w:tcW w:w="8505" w:type="dxa"/>
            <w:gridSpan w:val="4"/>
          </w:tcPr>
          <w:p>
            <w:pPr>
              <w:rPr>
                <w:rFonts w:ascii="宋体" w:hAnsi="宋体" w:cs="宋体"/>
              </w:rPr>
            </w:pPr>
          </w:p>
        </w:tc>
      </w:tr>
    </w:tbl>
    <w:p/>
    <w:p>
      <w:pPr>
        <w:snapToGrid w:val="0"/>
        <w:spacing w:line="360" w:lineRule="auto"/>
        <w:rPr>
          <w:color w:val="000000"/>
          <w:szCs w:val="21"/>
        </w:rPr>
      </w:pPr>
      <w:r>
        <w:rPr>
          <w:rFonts w:hint="eastAsia"/>
          <w:color w:val="000000"/>
        </w:rPr>
        <w:t>注</w:t>
      </w:r>
      <w:r>
        <w:rPr>
          <w:color w:val="000000"/>
        </w:rPr>
        <w:t>：1.</w:t>
      </w:r>
      <w:r>
        <w:rPr>
          <w:rFonts w:hint="eastAsia"/>
          <w:color w:val="000000"/>
          <w:szCs w:val="21"/>
        </w:rPr>
        <w:t>供应商</w:t>
      </w:r>
      <w:r>
        <w:rPr>
          <w:color w:val="000000"/>
          <w:szCs w:val="21"/>
        </w:rPr>
        <w:t>须按照</w:t>
      </w:r>
      <w:r>
        <w:rPr>
          <w:rFonts w:hint="eastAsia"/>
          <w:color w:val="000000"/>
          <w:szCs w:val="21"/>
        </w:rPr>
        <w:t>竞争性磋商文件</w:t>
      </w:r>
      <w:r>
        <w:rPr>
          <w:color w:val="000000"/>
          <w:szCs w:val="21"/>
        </w:rPr>
        <w:t>要求，提供货到用户指定现场（到楼层）并提供全部服务的含税</w:t>
      </w:r>
      <w:r>
        <w:rPr>
          <w:rFonts w:hint="eastAsia"/>
          <w:color w:val="000000"/>
          <w:szCs w:val="21"/>
        </w:rPr>
        <w:t>价。</w:t>
      </w:r>
    </w:p>
    <w:p>
      <w:pPr>
        <w:snapToGrid w:val="0"/>
        <w:spacing w:line="360" w:lineRule="auto"/>
        <w:rPr>
          <w:color w:val="000000"/>
          <w:szCs w:val="21"/>
        </w:rPr>
      </w:pPr>
      <w:r>
        <w:rPr>
          <w:rFonts w:hint="eastAsia"/>
          <w:color w:val="000000"/>
          <w:szCs w:val="21"/>
        </w:rPr>
        <w:t>2.报价时请仔细阅读竞争性磋商文件《竞争性磋商须知》中关于报价的要求。</w:t>
      </w:r>
    </w:p>
    <w:p>
      <w:pPr>
        <w:snapToGrid w:val="0"/>
        <w:spacing w:line="360" w:lineRule="auto"/>
        <w:rPr>
          <w:color w:val="000000"/>
          <w:szCs w:val="21"/>
        </w:rPr>
      </w:pPr>
      <w:r>
        <w:rPr>
          <w:rFonts w:hint="eastAsia"/>
          <w:color w:val="000000"/>
          <w:szCs w:val="21"/>
        </w:rPr>
        <w:t>3.供应商应按照竞争性磋商文件中要求提供的服务内容报价。未在表中明确列出的服务项，采购人将视作供应商免费提供。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w:t>
      </w:r>
      <w:r>
        <w:rPr>
          <w:rFonts w:ascii="宋体" w:hAnsi="宋体"/>
          <w:szCs w:val="21"/>
        </w:rPr>
        <w:t>代表签字</w:t>
      </w:r>
      <w:r>
        <w:rPr>
          <w:rFonts w:ascii="宋体" w:hAnsi="宋体"/>
          <w:szCs w:val="21"/>
          <w:u w:val="single"/>
        </w:rPr>
        <w:t>：</w:t>
      </w:r>
    </w:p>
    <w:p>
      <w:pPr>
        <w:ind w:firstLine="630" w:firstLineChars="300"/>
      </w:pPr>
      <w:r>
        <w:rPr>
          <w:rFonts w:hint="eastAsia"/>
        </w:rPr>
        <w:t>日期：</w:t>
      </w:r>
    </w:p>
    <w:p>
      <w:pPr>
        <w:snapToGrid w:val="0"/>
        <w:spacing w:before="312" w:beforeLines="100" w:after="312" w:afterLines="100"/>
        <w:ind w:right="210" w:rightChars="100"/>
        <w:rPr>
          <w:rStyle w:val="106"/>
          <w:rFonts w:hAnsi="宋体"/>
          <w:b w:val="0"/>
          <w:sz w:val="24"/>
          <w:szCs w:val="24"/>
        </w:rPr>
      </w:pPr>
      <w:r>
        <w:rPr>
          <w:rFonts w:hint="eastAsia"/>
        </w:rPr>
        <w:br w:type="page"/>
      </w:r>
      <w:bookmarkStart w:id="75" w:name="_Toc161767431"/>
      <w:bookmarkStart w:id="76" w:name="_Toc135999010"/>
      <w:bookmarkStart w:id="77" w:name="_Toc26260036"/>
      <w:bookmarkStart w:id="78" w:name="_Toc69378666"/>
      <w:bookmarkStart w:id="79" w:name="_Toc26259742"/>
      <w:bookmarkStart w:id="80" w:name="_Toc69378665"/>
      <w:bookmarkStart w:id="81" w:name="_Toc26260035"/>
      <w:bookmarkStart w:id="82" w:name="_Toc26259741"/>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-2：分项报价表</w:t>
      </w:r>
    </w:p>
    <w:p>
      <w:pPr>
        <w:spacing w:line="360" w:lineRule="auto"/>
        <w:rPr>
          <w:color w:val="000000"/>
          <w:szCs w:val="21"/>
        </w:rPr>
      </w:pPr>
      <w:r>
        <w:rPr>
          <w:rFonts w:hint="eastAsia"/>
          <w:color w:val="000000"/>
        </w:rPr>
        <w:t>项目</w:t>
      </w:r>
      <w:r>
        <w:rPr>
          <w:color w:val="000000"/>
        </w:rPr>
        <w:t>名称：</w:t>
      </w:r>
      <w:r>
        <w:rPr>
          <w:rFonts w:hint="eastAsia"/>
          <w:color w:val="000000"/>
          <w:szCs w:val="21"/>
        </w:rPr>
        <w:t xml:space="preserve"> </w:t>
      </w:r>
    </w:p>
    <w:p>
      <w:pPr>
        <w:spacing w:line="360" w:lineRule="auto"/>
        <w:rPr>
          <w:color w:val="000000"/>
          <w:u w:val="single"/>
        </w:rPr>
      </w:pPr>
    </w:p>
    <w:tbl>
      <w:tblPr>
        <w:tblStyle w:val="53"/>
        <w:tblW w:w="50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144"/>
        <w:gridCol w:w="858"/>
        <w:gridCol w:w="862"/>
        <w:gridCol w:w="764"/>
        <w:gridCol w:w="978"/>
        <w:gridCol w:w="809"/>
        <w:gridCol w:w="912"/>
        <w:gridCol w:w="718"/>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9" w:type="pct"/>
            <w:vAlign w:val="center"/>
          </w:tcPr>
          <w:p>
            <w:pPr>
              <w:jc w:val="center"/>
              <w:rPr>
                <w:color w:val="000000"/>
              </w:rPr>
            </w:pPr>
            <w:r>
              <w:rPr>
                <w:color w:val="000000"/>
              </w:rPr>
              <w:t>序号</w:t>
            </w:r>
          </w:p>
        </w:tc>
        <w:tc>
          <w:tcPr>
            <w:tcW w:w="660" w:type="pct"/>
            <w:vAlign w:val="center"/>
          </w:tcPr>
          <w:p>
            <w:r>
              <w:rPr>
                <w:rFonts w:hint="eastAsia"/>
                <w:color w:val="000000"/>
              </w:rPr>
              <w:t>分类</w:t>
            </w:r>
          </w:p>
          <w:p>
            <w:pPr>
              <w:jc w:val="center"/>
              <w:rPr>
                <w:color w:val="000000"/>
              </w:rPr>
            </w:pPr>
          </w:p>
        </w:tc>
        <w:tc>
          <w:tcPr>
            <w:tcW w:w="495" w:type="pct"/>
            <w:vAlign w:val="center"/>
          </w:tcPr>
          <w:p>
            <w:pPr>
              <w:jc w:val="center"/>
              <w:rPr>
                <w:color w:val="000000"/>
              </w:rPr>
            </w:pPr>
            <w:r>
              <w:rPr>
                <w:color w:val="000000"/>
              </w:rPr>
              <w:t>主要部件型号</w:t>
            </w:r>
          </w:p>
          <w:p>
            <w:pPr>
              <w:jc w:val="center"/>
              <w:rPr>
                <w:color w:val="000000"/>
              </w:rPr>
            </w:pPr>
            <w:r>
              <w:rPr>
                <w:color w:val="000000"/>
              </w:rPr>
              <w:t>（定货号）</w:t>
            </w:r>
          </w:p>
        </w:tc>
        <w:tc>
          <w:tcPr>
            <w:tcW w:w="496" w:type="pct"/>
            <w:vAlign w:val="center"/>
          </w:tcPr>
          <w:p>
            <w:pPr>
              <w:jc w:val="center"/>
              <w:rPr>
                <w:color w:val="000000"/>
              </w:rPr>
            </w:pPr>
            <w:r>
              <w:rPr>
                <w:color w:val="000000"/>
              </w:rPr>
              <w:t>功能的中文说明</w:t>
            </w:r>
          </w:p>
        </w:tc>
        <w:tc>
          <w:tcPr>
            <w:tcW w:w="441" w:type="pct"/>
            <w:vAlign w:val="center"/>
          </w:tcPr>
          <w:p>
            <w:pPr>
              <w:jc w:val="center"/>
              <w:rPr>
                <w:color w:val="000000"/>
              </w:rPr>
            </w:pPr>
            <w:r>
              <w:rPr>
                <w:color w:val="000000"/>
              </w:rPr>
              <w:t>制造商 / 品牌</w:t>
            </w:r>
          </w:p>
        </w:tc>
        <w:tc>
          <w:tcPr>
            <w:tcW w:w="564" w:type="pct"/>
            <w:vAlign w:val="center"/>
          </w:tcPr>
          <w:p>
            <w:pPr>
              <w:jc w:val="center"/>
              <w:rPr>
                <w:color w:val="000000"/>
              </w:rPr>
            </w:pPr>
            <w:r>
              <w:rPr>
                <w:color w:val="000000"/>
              </w:rPr>
              <w:t>列表单价(人民币元)</w:t>
            </w:r>
          </w:p>
        </w:tc>
        <w:tc>
          <w:tcPr>
            <w:tcW w:w="467" w:type="pct"/>
            <w:vAlign w:val="center"/>
          </w:tcPr>
          <w:p>
            <w:pPr>
              <w:jc w:val="center"/>
              <w:rPr>
                <w:color w:val="000000"/>
              </w:rPr>
            </w:pPr>
            <w:r>
              <w:rPr>
                <w:color w:val="000000"/>
              </w:rPr>
              <w:t>折扣率（%）</w:t>
            </w:r>
          </w:p>
        </w:tc>
        <w:tc>
          <w:tcPr>
            <w:tcW w:w="526" w:type="pct"/>
          </w:tcPr>
          <w:p>
            <w:pPr>
              <w:jc w:val="center"/>
              <w:rPr>
                <w:color w:val="000000"/>
              </w:rPr>
            </w:pPr>
            <w:r>
              <w:rPr>
                <w:color w:val="000000"/>
              </w:rPr>
              <w:t>实际单价(人民币元)</w:t>
            </w:r>
          </w:p>
        </w:tc>
        <w:tc>
          <w:tcPr>
            <w:tcW w:w="414" w:type="pct"/>
          </w:tcPr>
          <w:p>
            <w:pPr>
              <w:jc w:val="center"/>
              <w:rPr>
                <w:color w:val="000000"/>
              </w:rPr>
            </w:pPr>
            <w:r>
              <w:rPr>
                <w:rFonts w:hint="eastAsia"/>
                <w:color w:val="000000"/>
              </w:rPr>
              <w:t>数量</w:t>
            </w:r>
          </w:p>
        </w:tc>
        <w:tc>
          <w:tcPr>
            <w:tcW w:w="613" w:type="pct"/>
          </w:tcPr>
          <w:p>
            <w:pPr>
              <w:jc w:val="center"/>
              <w:rPr>
                <w:color w:val="000000"/>
              </w:rPr>
            </w:pPr>
            <w:r>
              <w:rPr>
                <w:rFonts w:hint="eastAsia"/>
                <w:color w:val="000000"/>
              </w:rPr>
              <w:t>小计</w:t>
            </w:r>
            <w:r>
              <w:rPr>
                <w:color w:val="000000"/>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9" w:type="pct"/>
          </w:tcPr>
          <w:p>
            <w:pPr>
              <w:rPr>
                <w:color w:val="000000"/>
                <w:szCs w:val="21"/>
              </w:rPr>
            </w:pPr>
            <w:r>
              <w:rPr>
                <w:rFonts w:hint="eastAsia"/>
                <w:color w:val="000000"/>
                <w:szCs w:val="21"/>
              </w:rPr>
              <w:t>1</w:t>
            </w:r>
          </w:p>
        </w:tc>
        <w:tc>
          <w:tcPr>
            <w:tcW w:w="660" w:type="pct"/>
          </w:tcPr>
          <w:p>
            <w:pPr>
              <w:jc w:val="center"/>
              <w:rPr>
                <w:color w:val="000000"/>
                <w:sz w:val="18"/>
                <w:szCs w:val="18"/>
              </w:rPr>
            </w:pPr>
          </w:p>
        </w:tc>
        <w:tc>
          <w:tcPr>
            <w:tcW w:w="495" w:type="pct"/>
          </w:tcPr>
          <w:p>
            <w:pPr>
              <w:rPr>
                <w:b/>
                <w:color w:val="000000"/>
                <w:szCs w:val="21"/>
              </w:rPr>
            </w:pPr>
          </w:p>
        </w:tc>
        <w:tc>
          <w:tcPr>
            <w:tcW w:w="496" w:type="pct"/>
          </w:tcPr>
          <w:p>
            <w:pPr>
              <w:rPr>
                <w:b/>
                <w:color w:val="000000"/>
                <w:szCs w:val="21"/>
              </w:rPr>
            </w:pPr>
          </w:p>
        </w:tc>
        <w:tc>
          <w:tcPr>
            <w:tcW w:w="441" w:type="pct"/>
            <w:vAlign w:val="center"/>
          </w:tcPr>
          <w:p>
            <w:pPr>
              <w:rPr>
                <w:color w:val="000000"/>
              </w:rPr>
            </w:pPr>
          </w:p>
        </w:tc>
        <w:tc>
          <w:tcPr>
            <w:tcW w:w="564" w:type="pct"/>
          </w:tcPr>
          <w:p>
            <w:pPr>
              <w:jc w:val="right"/>
              <w:rPr>
                <w:color w:val="000000"/>
              </w:rPr>
            </w:pPr>
          </w:p>
        </w:tc>
        <w:tc>
          <w:tcPr>
            <w:tcW w:w="467" w:type="pct"/>
            <w:vAlign w:val="center"/>
          </w:tcPr>
          <w:p>
            <w:pPr>
              <w:jc w:val="right"/>
              <w:rPr>
                <w:color w:val="000000"/>
              </w:rPr>
            </w:pPr>
          </w:p>
        </w:tc>
        <w:tc>
          <w:tcPr>
            <w:tcW w:w="526" w:type="pct"/>
          </w:tcPr>
          <w:p>
            <w:pPr>
              <w:jc w:val="right"/>
              <w:rPr>
                <w:color w:val="000000"/>
              </w:rPr>
            </w:pPr>
          </w:p>
        </w:tc>
        <w:tc>
          <w:tcPr>
            <w:tcW w:w="414" w:type="pct"/>
          </w:tcPr>
          <w:p>
            <w:pPr>
              <w:jc w:val="right"/>
              <w:rPr>
                <w:color w:val="000000"/>
              </w:rPr>
            </w:pPr>
          </w:p>
        </w:tc>
        <w:tc>
          <w:tcPr>
            <w:tcW w:w="613" w:type="pct"/>
          </w:tcPr>
          <w:p>
            <w:pPr>
              <w:jc w:val="righ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9" w:type="pct"/>
          </w:tcPr>
          <w:p>
            <w:pPr>
              <w:rPr>
                <w:color w:val="000000"/>
                <w:szCs w:val="21"/>
              </w:rPr>
            </w:pPr>
            <w:r>
              <w:rPr>
                <w:rFonts w:hint="eastAsia"/>
                <w:color w:val="000000"/>
                <w:szCs w:val="21"/>
              </w:rPr>
              <w:t>2</w:t>
            </w:r>
          </w:p>
        </w:tc>
        <w:tc>
          <w:tcPr>
            <w:tcW w:w="660" w:type="pct"/>
          </w:tcPr>
          <w:p>
            <w:pPr>
              <w:jc w:val="center"/>
              <w:rPr>
                <w:color w:val="000000"/>
                <w:sz w:val="18"/>
                <w:szCs w:val="18"/>
              </w:rPr>
            </w:pPr>
          </w:p>
        </w:tc>
        <w:tc>
          <w:tcPr>
            <w:tcW w:w="495" w:type="pct"/>
          </w:tcPr>
          <w:p>
            <w:pPr>
              <w:rPr>
                <w:color w:val="000000"/>
                <w:szCs w:val="21"/>
              </w:rPr>
            </w:pPr>
          </w:p>
        </w:tc>
        <w:tc>
          <w:tcPr>
            <w:tcW w:w="496" w:type="pct"/>
          </w:tcPr>
          <w:p>
            <w:pPr>
              <w:rPr>
                <w:color w:val="000000"/>
                <w:szCs w:val="21"/>
              </w:rPr>
            </w:pPr>
          </w:p>
        </w:tc>
        <w:tc>
          <w:tcPr>
            <w:tcW w:w="441" w:type="pct"/>
            <w:vAlign w:val="center"/>
          </w:tcPr>
          <w:p>
            <w:pPr>
              <w:rPr>
                <w:color w:val="000000"/>
              </w:rPr>
            </w:pPr>
          </w:p>
        </w:tc>
        <w:tc>
          <w:tcPr>
            <w:tcW w:w="564" w:type="pct"/>
          </w:tcPr>
          <w:p>
            <w:pPr>
              <w:jc w:val="right"/>
              <w:rPr>
                <w:color w:val="000000"/>
              </w:rPr>
            </w:pPr>
          </w:p>
        </w:tc>
        <w:tc>
          <w:tcPr>
            <w:tcW w:w="467" w:type="pct"/>
            <w:vAlign w:val="center"/>
          </w:tcPr>
          <w:p>
            <w:pPr>
              <w:jc w:val="right"/>
              <w:rPr>
                <w:color w:val="000000"/>
              </w:rPr>
            </w:pPr>
          </w:p>
        </w:tc>
        <w:tc>
          <w:tcPr>
            <w:tcW w:w="526" w:type="pct"/>
          </w:tcPr>
          <w:p>
            <w:pPr>
              <w:jc w:val="right"/>
              <w:rPr>
                <w:color w:val="000000"/>
              </w:rPr>
            </w:pPr>
          </w:p>
        </w:tc>
        <w:tc>
          <w:tcPr>
            <w:tcW w:w="414" w:type="pct"/>
          </w:tcPr>
          <w:p>
            <w:pPr>
              <w:jc w:val="right"/>
              <w:rPr>
                <w:color w:val="000000"/>
              </w:rPr>
            </w:pPr>
          </w:p>
        </w:tc>
        <w:tc>
          <w:tcPr>
            <w:tcW w:w="613" w:type="pct"/>
          </w:tcPr>
          <w:p>
            <w:pPr>
              <w:jc w:val="righ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9" w:type="pct"/>
            <w:vAlign w:val="center"/>
          </w:tcPr>
          <w:p>
            <w:pPr>
              <w:rPr>
                <w:color w:val="000000"/>
                <w:szCs w:val="21"/>
              </w:rPr>
            </w:pPr>
            <w:r>
              <w:rPr>
                <w:rFonts w:hint="eastAsia"/>
                <w:color w:val="000000"/>
                <w:szCs w:val="21"/>
              </w:rPr>
              <w:t>3</w:t>
            </w:r>
          </w:p>
        </w:tc>
        <w:tc>
          <w:tcPr>
            <w:tcW w:w="660" w:type="pct"/>
            <w:vAlign w:val="center"/>
          </w:tcPr>
          <w:p>
            <w:pPr>
              <w:jc w:val="center"/>
              <w:rPr>
                <w:bCs/>
                <w:color w:val="000000"/>
                <w:sz w:val="18"/>
                <w:szCs w:val="18"/>
              </w:rPr>
            </w:pPr>
          </w:p>
        </w:tc>
        <w:tc>
          <w:tcPr>
            <w:tcW w:w="495" w:type="pct"/>
          </w:tcPr>
          <w:p>
            <w:pPr>
              <w:rPr>
                <w:color w:val="000000"/>
                <w:szCs w:val="21"/>
              </w:rPr>
            </w:pPr>
          </w:p>
        </w:tc>
        <w:tc>
          <w:tcPr>
            <w:tcW w:w="496" w:type="pct"/>
          </w:tcPr>
          <w:p>
            <w:pPr>
              <w:rPr>
                <w:color w:val="000000"/>
                <w:szCs w:val="21"/>
              </w:rPr>
            </w:pPr>
          </w:p>
        </w:tc>
        <w:tc>
          <w:tcPr>
            <w:tcW w:w="441" w:type="pct"/>
            <w:vAlign w:val="center"/>
          </w:tcPr>
          <w:p>
            <w:pPr>
              <w:rPr>
                <w:color w:val="000000"/>
              </w:rPr>
            </w:pPr>
          </w:p>
        </w:tc>
        <w:tc>
          <w:tcPr>
            <w:tcW w:w="564" w:type="pct"/>
          </w:tcPr>
          <w:p>
            <w:pPr>
              <w:jc w:val="right"/>
              <w:rPr>
                <w:color w:val="000000"/>
              </w:rPr>
            </w:pPr>
          </w:p>
        </w:tc>
        <w:tc>
          <w:tcPr>
            <w:tcW w:w="467" w:type="pct"/>
            <w:vAlign w:val="center"/>
          </w:tcPr>
          <w:p>
            <w:pPr>
              <w:jc w:val="right"/>
              <w:rPr>
                <w:color w:val="000000"/>
              </w:rPr>
            </w:pPr>
          </w:p>
        </w:tc>
        <w:tc>
          <w:tcPr>
            <w:tcW w:w="526" w:type="pct"/>
          </w:tcPr>
          <w:p>
            <w:pPr>
              <w:jc w:val="right"/>
              <w:rPr>
                <w:color w:val="000000"/>
              </w:rPr>
            </w:pPr>
          </w:p>
        </w:tc>
        <w:tc>
          <w:tcPr>
            <w:tcW w:w="414" w:type="pct"/>
          </w:tcPr>
          <w:p>
            <w:pPr>
              <w:jc w:val="right"/>
              <w:rPr>
                <w:color w:val="000000"/>
              </w:rPr>
            </w:pPr>
          </w:p>
        </w:tc>
        <w:tc>
          <w:tcPr>
            <w:tcW w:w="613" w:type="pct"/>
          </w:tcPr>
          <w:p>
            <w:pPr>
              <w:jc w:val="righ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319" w:type="pct"/>
            <w:vAlign w:val="center"/>
          </w:tcPr>
          <w:p>
            <w:pPr>
              <w:rPr>
                <w:color w:val="000000"/>
                <w:szCs w:val="21"/>
              </w:rPr>
            </w:pPr>
            <w:r>
              <w:rPr>
                <w:rFonts w:hint="eastAsia"/>
                <w:color w:val="000000"/>
                <w:szCs w:val="21"/>
              </w:rPr>
              <w:t>4</w:t>
            </w:r>
          </w:p>
        </w:tc>
        <w:tc>
          <w:tcPr>
            <w:tcW w:w="660" w:type="pct"/>
            <w:vAlign w:val="center"/>
          </w:tcPr>
          <w:p>
            <w:pPr>
              <w:jc w:val="center"/>
              <w:rPr>
                <w:bCs/>
                <w:color w:val="000000"/>
                <w:sz w:val="18"/>
                <w:szCs w:val="18"/>
              </w:rPr>
            </w:pPr>
          </w:p>
        </w:tc>
        <w:tc>
          <w:tcPr>
            <w:tcW w:w="495" w:type="pct"/>
          </w:tcPr>
          <w:p>
            <w:pPr>
              <w:rPr>
                <w:color w:val="000000"/>
                <w:szCs w:val="21"/>
              </w:rPr>
            </w:pPr>
          </w:p>
        </w:tc>
        <w:tc>
          <w:tcPr>
            <w:tcW w:w="496" w:type="pct"/>
          </w:tcPr>
          <w:p>
            <w:pPr>
              <w:rPr>
                <w:color w:val="000000"/>
                <w:szCs w:val="21"/>
              </w:rPr>
            </w:pPr>
          </w:p>
        </w:tc>
        <w:tc>
          <w:tcPr>
            <w:tcW w:w="441" w:type="pct"/>
            <w:vAlign w:val="center"/>
          </w:tcPr>
          <w:p>
            <w:pPr>
              <w:rPr>
                <w:color w:val="000000"/>
              </w:rPr>
            </w:pPr>
          </w:p>
        </w:tc>
        <w:tc>
          <w:tcPr>
            <w:tcW w:w="564" w:type="pct"/>
          </w:tcPr>
          <w:p>
            <w:pPr>
              <w:jc w:val="right"/>
              <w:rPr>
                <w:color w:val="000000"/>
              </w:rPr>
            </w:pPr>
          </w:p>
        </w:tc>
        <w:tc>
          <w:tcPr>
            <w:tcW w:w="467" w:type="pct"/>
            <w:vAlign w:val="center"/>
          </w:tcPr>
          <w:p>
            <w:pPr>
              <w:jc w:val="right"/>
              <w:rPr>
                <w:color w:val="000000"/>
              </w:rPr>
            </w:pPr>
          </w:p>
        </w:tc>
        <w:tc>
          <w:tcPr>
            <w:tcW w:w="526" w:type="pct"/>
          </w:tcPr>
          <w:p>
            <w:pPr>
              <w:jc w:val="right"/>
              <w:rPr>
                <w:color w:val="000000"/>
              </w:rPr>
            </w:pPr>
          </w:p>
        </w:tc>
        <w:tc>
          <w:tcPr>
            <w:tcW w:w="414" w:type="pct"/>
          </w:tcPr>
          <w:p>
            <w:pPr>
              <w:jc w:val="right"/>
              <w:rPr>
                <w:color w:val="000000"/>
              </w:rPr>
            </w:pPr>
          </w:p>
        </w:tc>
        <w:tc>
          <w:tcPr>
            <w:tcW w:w="613" w:type="pct"/>
          </w:tcPr>
          <w:p>
            <w:pPr>
              <w:jc w:val="righ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9" w:type="pct"/>
            <w:vAlign w:val="center"/>
          </w:tcPr>
          <w:p>
            <w:pPr>
              <w:rPr>
                <w:color w:val="000000"/>
                <w:szCs w:val="21"/>
              </w:rPr>
            </w:pPr>
            <w:r>
              <w:rPr>
                <w:rFonts w:hint="eastAsia"/>
                <w:color w:val="000000"/>
                <w:szCs w:val="21"/>
              </w:rPr>
              <w:t>5</w:t>
            </w:r>
          </w:p>
        </w:tc>
        <w:tc>
          <w:tcPr>
            <w:tcW w:w="660" w:type="pct"/>
            <w:vAlign w:val="center"/>
          </w:tcPr>
          <w:p>
            <w:pPr>
              <w:jc w:val="center"/>
              <w:rPr>
                <w:bCs/>
                <w:color w:val="000000"/>
                <w:sz w:val="18"/>
                <w:szCs w:val="18"/>
              </w:rPr>
            </w:pPr>
          </w:p>
        </w:tc>
        <w:tc>
          <w:tcPr>
            <w:tcW w:w="495" w:type="pct"/>
          </w:tcPr>
          <w:p>
            <w:pPr>
              <w:rPr>
                <w:color w:val="000000"/>
                <w:szCs w:val="21"/>
              </w:rPr>
            </w:pPr>
          </w:p>
        </w:tc>
        <w:tc>
          <w:tcPr>
            <w:tcW w:w="496" w:type="pct"/>
          </w:tcPr>
          <w:p>
            <w:pPr>
              <w:rPr>
                <w:color w:val="000000"/>
                <w:szCs w:val="21"/>
              </w:rPr>
            </w:pPr>
          </w:p>
        </w:tc>
        <w:tc>
          <w:tcPr>
            <w:tcW w:w="441" w:type="pct"/>
            <w:vAlign w:val="center"/>
          </w:tcPr>
          <w:p>
            <w:pPr>
              <w:rPr>
                <w:color w:val="000000"/>
              </w:rPr>
            </w:pPr>
          </w:p>
        </w:tc>
        <w:tc>
          <w:tcPr>
            <w:tcW w:w="564" w:type="pct"/>
          </w:tcPr>
          <w:p>
            <w:pPr>
              <w:jc w:val="right"/>
              <w:rPr>
                <w:color w:val="000000"/>
              </w:rPr>
            </w:pPr>
          </w:p>
        </w:tc>
        <w:tc>
          <w:tcPr>
            <w:tcW w:w="467" w:type="pct"/>
            <w:vAlign w:val="center"/>
          </w:tcPr>
          <w:p>
            <w:pPr>
              <w:jc w:val="right"/>
              <w:rPr>
                <w:color w:val="000000"/>
              </w:rPr>
            </w:pPr>
          </w:p>
        </w:tc>
        <w:tc>
          <w:tcPr>
            <w:tcW w:w="526" w:type="pct"/>
          </w:tcPr>
          <w:p>
            <w:pPr>
              <w:jc w:val="right"/>
              <w:rPr>
                <w:color w:val="000000"/>
              </w:rPr>
            </w:pPr>
          </w:p>
        </w:tc>
        <w:tc>
          <w:tcPr>
            <w:tcW w:w="414" w:type="pct"/>
          </w:tcPr>
          <w:p>
            <w:pPr>
              <w:jc w:val="right"/>
              <w:rPr>
                <w:color w:val="000000"/>
              </w:rPr>
            </w:pPr>
          </w:p>
        </w:tc>
        <w:tc>
          <w:tcPr>
            <w:tcW w:w="613" w:type="pct"/>
          </w:tcPr>
          <w:p>
            <w:pPr>
              <w:jc w:val="righ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9" w:type="pct"/>
            <w:vAlign w:val="center"/>
          </w:tcPr>
          <w:p>
            <w:pPr>
              <w:rPr>
                <w:color w:val="000000"/>
                <w:szCs w:val="21"/>
              </w:rPr>
            </w:pPr>
            <w:r>
              <w:rPr>
                <w:rFonts w:hint="eastAsia"/>
                <w:color w:val="000000"/>
                <w:szCs w:val="21"/>
              </w:rPr>
              <w:t>6</w:t>
            </w:r>
          </w:p>
        </w:tc>
        <w:tc>
          <w:tcPr>
            <w:tcW w:w="660" w:type="pct"/>
            <w:vAlign w:val="center"/>
          </w:tcPr>
          <w:p>
            <w:pPr>
              <w:jc w:val="center"/>
              <w:rPr>
                <w:color w:val="000000"/>
                <w:sz w:val="18"/>
                <w:szCs w:val="18"/>
              </w:rPr>
            </w:pPr>
          </w:p>
        </w:tc>
        <w:tc>
          <w:tcPr>
            <w:tcW w:w="495" w:type="pct"/>
          </w:tcPr>
          <w:p>
            <w:pPr>
              <w:rPr>
                <w:color w:val="000000"/>
                <w:szCs w:val="21"/>
              </w:rPr>
            </w:pPr>
          </w:p>
        </w:tc>
        <w:tc>
          <w:tcPr>
            <w:tcW w:w="496" w:type="pct"/>
          </w:tcPr>
          <w:p>
            <w:pPr>
              <w:rPr>
                <w:color w:val="000000"/>
                <w:szCs w:val="21"/>
              </w:rPr>
            </w:pPr>
          </w:p>
        </w:tc>
        <w:tc>
          <w:tcPr>
            <w:tcW w:w="441" w:type="pct"/>
            <w:vAlign w:val="center"/>
          </w:tcPr>
          <w:p>
            <w:pPr>
              <w:rPr>
                <w:color w:val="000000"/>
              </w:rPr>
            </w:pPr>
          </w:p>
        </w:tc>
        <w:tc>
          <w:tcPr>
            <w:tcW w:w="564" w:type="pct"/>
          </w:tcPr>
          <w:p>
            <w:pPr>
              <w:jc w:val="right"/>
              <w:rPr>
                <w:color w:val="000000"/>
              </w:rPr>
            </w:pPr>
          </w:p>
        </w:tc>
        <w:tc>
          <w:tcPr>
            <w:tcW w:w="467" w:type="pct"/>
            <w:vAlign w:val="center"/>
          </w:tcPr>
          <w:p>
            <w:pPr>
              <w:jc w:val="right"/>
              <w:rPr>
                <w:color w:val="000000"/>
              </w:rPr>
            </w:pPr>
          </w:p>
        </w:tc>
        <w:tc>
          <w:tcPr>
            <w:tcW w:w="526" w:type="pct"/>
          </w:tcPr>
          <w:p>
            <w:pPr>
              <w:jc w:val="right"/>
              <w:rPr>
                <w:color w:val="000000"/>
              </w:rPr>
            </w:pPr>
          </w:p>
        </w:tc>
        <w:tc>
          <w:tcPr>
            <w:tcW w:w="414" w:type="pct"/>
          </w:tcPr>
          <w:p>
            <w:pPr>
              <w:jc w:val="right"/>
              <w:rPr>
                <w:color w:val="000000"/>
              </w:rPr>
            </w:pPr>
          </w:p>
        </w:tc>
        <w:tc>
          <w:tcPr>
            <w:tcW w:w="613" w:type="pct"/>
          </w:tcPr>
          <w:p>
            <w:pPr>
              <w:jc w:val="righ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9" w:type="pct"/>
            <w:vAlign w:val="center"/>
          </w:tcPr>
          <w:p>
            <w:pPr>
              <w:rPr>
                <w:color w:val="000000"/>
                <w:szCs w:val="21"/>
              </w:rPr>
            </w:pPr>
            <w:r>
              <w:rPr>
                <w:rFonts w:hint="eastAsia"/>
                <w:color w:val="000000"/>
                <w:szCs w:val="21"/>
              </w:rPr>
              <w:t>7</w:t>
            </w:r>
          </w:p>
        </w:tc>
        <w:tc>
          <w:tcPr>
            <w:tcW w:w="660" w:type="pct"/>
            <w:vAlign w:val="center"/>
          </w:tcPr>
          <w:p>
            <w:pPr>
              <w:jc w:val="center"/>
              <w:rPr>
                <w:bCs/>
                <w:color w:val="000000"/>
                <w:sz w:val="18"/>
                <w:szCs w:val="18"/>
              </w:rPr>
            </w:pPr>
          </w:p>
        </w:tc>
        <w:tc>
          <w:tcPr>
            <w:tcW w:w="495" w:type="pct"/>
          </w:tcPr>
          <w:p>
            <w:pPr>
              <w:rPr>
                <w:color w:val="000000"/>
                <w:szCs w:val="21"/>
              </w:rPr>
            </w:pPr>
          </w:p>
        </w:tc>
        <w:tc>
          <w:tcPr>
            <w:tcW w:w="496" w:type="pct"/>
          </w:tcPr>
          <w:p>
            <w:pPr>
              <w:rPr>
                <w:color w:val="000000"/>
                <w:szCs w:val="21"/>
              </w:rPr>
            </w:pPr>
          </w:p>
        </w:tc>
        <w:tc>
          <w:tcPr>
            <w:tcW w:w="441" w:type="pct"/>
            <w:vAlign w:val="center"/>
          </w:tcPr>
          <w:p>
            <w:pPr>
              <w:rPr>
                <w:color w:val="000000"/>
              </w:rPr>
            </w:pPr>
          </w:p>
        </w:tc>
        <w:tc>
          <w:tcPr>
            <w:tcW w:w="564" w:type="pct"/>
          </w:tcPr>
          <w:p>
            <w:pPr>
              <w:jc w:val="right"/>
              <w:rPr>
                <w:color w:val="000000"/>
              </w:rPr>
            </w:pPr>
          </w:p>
        </w:tc>
        <w:tc>
          <w:tcPr>
            <w:tcW w:w="467" w:type="pct"/>
            <w:vAlign w:val="center"/>
          </w:tcPr>
          <w:p>
            <w:pPr>
              <w:jc w:val="right"/>
              <w:rPr>
                <w:color w:val="000000"/>
              </w:rPr>
            </w:pPr>
          </w:p>
        </w:tc>
        <w:tc>
          <w:tcPr>
            <w:tcW w:w="526" w:type="pct"/>
          </w:tcPr>
          <w:p>
            <w:pPr>
              <w:jc w:val="right"/>
              <w:rPr>
                <w:color w:val="000000"/>
              </w:rPr>
            </w:pPr>
          </w:p>
        </w:tc>
        <w:tc>
          <w:tcPr>
            <w:tcW w:w="414" w:type="pct"/>
          </w:tcPr>
          <w:p>
            <w:pPr>
              <w:jc w:val="right"/>
              <w:rPr>
                <w:color w:val="000000"/>
              </w:rPr>
            </w:pPr>
          </w:p>
        </w:tc>
        <w:tc>
          <w:tcPr>
            <w:tcW w:w="613" w:type="pct"/>
          </w:tcPr>
          <w:p>
            <w:pPr>
              <w:jc w:val="righ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9" w:type="pct"/>
            <w:vAlign w:val="center"/>
          </w:tcPr>
          <w:p>
            <w:pPr>
              <w:rPr>
                <w:color w:val="000000"/>
                <w:szCs w:val="21"/>
              </w:rPr>
            </w:pPr>
            <w:r>
              <w:rPr>
                <w:rFonts w:hint="eastAsia"/>
                <w:color w:val="000000"/>
                <w:szCs w:val="21"/>
              </w:rPr>
              <w:t>8</w:t>
            </w:r>
          </w:p>
        </w:tc>
        <w:tc>
          <w:tcPr>
            <w:tcW w:w="660" w:type="pct"/>
            <w:vAlign w:val="center"/>
          </w:tcPr>
          <w:p>
            <w:pPr>
              <w:jc w:val="center"/>
              <w:rPr>
                <w:bCs/>
                <w:color w:val="000000"/>
                <w:sz w:val="18"/>
                <w:szCs w:val="18"/>
              </w:rPr>
            </w:pPr>
          </w:p>
        </w:tc>
        <w:tc>
          <w:tcPr>
            <w:tcW w:w="495" w:type="pct"/>
          </w:tcPr>
          <w:p>
            <w:pPr>
              <w:rPr>
                <w:color w:val="000000"/>
                <w:szCs w:val="21"/>
              </w:rPr>
            </w:pPr>
          </w:p>
        </w:tc>
        <w:tc>
          <w:tcPr>
            <w:tcW w:w="496" w:type="pct"/>
          </w:tcPr>
          <w:p>
            <w:pPr>
              <w:rPr>
                <w:color w:val="000000"/>
                <w:szCs w:val="21"/>
              </w:rPr>
            </w:pPr>
          </w:p>
        </w:tc>
        <w:tc>
          <w:tcPr>
            <w:tcW w:w="441" w:type="pct"/>
            <w:vAlign w:val="center"/>
          </w:tcPr>
          <w:p>
            <w:pPr>
              <w:rPr>
                <w:color w:val="000000"/>
              </w:rPr>
            </w:pPr>
          </w:p>
        </w:tc>
        <w:tc>
          <w:tcPr>
            <w:tcW w:w="564" w:type="pct"/>
          </w:tcPr>
          <w:p>
            <w:pPr>
              <w:jc w:val="right"/>
              <w:rPr>
                <w:color w:val="000000"/>
              </w:rPr>
            </w:pPr>
          </w:p>
        </w:tc>
        <w:tc>
          <w:tcPr>
            <w:tcW w:w="467" w:type="pct"/>
            <w:vAlign w:val="center"/>
          </w:tcPr>
          <w:p>
            <w:pPr>
              <w:jc w:val="right"/>
              <w:rPr>
                <w:color w:val="000000"/>
              </w:rPr>
            </w:pPr>
          </w:p>
        </w:tc>
        <w:tc>
          <w:tcPr>
            <w:tcW w:w="526" w:type="pct"/>
          </w:tcPr>
          <w:p>
            <w:pPr>
              <w:jc w:val="right"/>
              <w:rPr>
                <w:color w:val="000000"/>
              </w:rPr>
            </w:pPr>
          </w:p>
        </w:tc>
        <w:tc>
          <w:tcPr>
            <w:tcW w:w="414" w:type="pct"/>
          </w:tcPr>
          <w:p>
            <w:pPr>
              <w:jc w:val="right"/>
              <w:rPr>
                <w:color w:val="000000"/>
              </w:rPr>
            </w:pPr>
          </w:p>
        </w:tc>
        <w:tc>
          <w:tcPr>
            <w:tcW w:w="613" w:type="pct"/>
          </w:tcPr>
          <w:p>
            <w:pPr>
              <w:jc w:val="righ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9" w:type="pct"/>
            <w:vAlign w:val="center"/>
          </w:tcPr>
          <w:p>
            <w:pPr>
              <w:rPr>
                <w:color w:val="000000"/>
                <w:szCs w:val="21"/>
              </w:rPr>
            </w:pPr>
            <w:r>
              <w:rPr>
                <w:rFonts w:hint="eastAsia"/>
                <w:color w:val="000000"/>
                <w:szCs w:val="21"/>
              </w:rPr>
              <w:t>9</w:t>
            </w:r>
          </w:p>
        </w:tc>
        <w:tc>
          <w:tcPr>
            <w:tcW w:w="660" w:type="pct"/>
            <w:vAlign w:val="center"/>
          </w:tcPr>
          <w:p>
            <w:pPr>
              <w:jc w:val="center"/>
              <w:rPr>
                <w:bCs/>
                <w:color w:val="000000"/>
                <w:sz w:val="18"/>
                <w:szCs w:val="18"/>
              </w:rPr>
            </w:pPr>
          </w:p>
        </w:tc>
        <w:tc>
          <w:tcPr>
            <w:tcW w:w="495" w:type="pct"/>
          </w:tcPr>
          <w:p>
            <w:pPr>
              <w:rPr>
                <w:color w:val="000000"/>
                <w:szCs w:val="21"/>
              </w:rPr>
            </w:pPr>
          </w:p>
        </w:tc>
        <w:tc>
          <w:tcPr>
            <w:tcW w:w="496" w:type="pct"/>
          </w:tcPr>
          <w:p>
            <w:pPr>
              <w:rPr>
                <w:color w:val="000000"/>
                <w:szCs w:val="21"/>
              </w:rPr>
            </w:pPr>
          </w:p>
        </w:tc>
        <w:tc>
          <w:tcPr>
            <w:tcW w:w="441" w:type="pct"/>
            <w:vAlign w:val="center"/>
          </w:tcPr>
          <w:p>
            <w:pPr>
              <w:rPr>
                <w:color w:val="000000"/>
              </w:rPr>
            </w:pPr>
          </w:p>
        </w:tc>
        <w:tc>
          <w:tcPr>
            <w:tcW w:w="564" w:type="pct"/>
          </w:tcPr>
          <w:p>
            <w:pPr>
              <w:jc w:val="right"/>
              <w:rPr>
                <w:color w:val="000000"/>
              </w:rPr>
            </w:pPr>
          </w:p>
        </w:tc>
        <w:tc>
          <w:tcPr>
            <w:tcW w:w="467" w:type="pct"/>
            <w:vAlign w:val="center"/>
          </w:tcPr>
          <w:p>
            <w:pPr>
              <w:jc w:val="right"/>
              <w:rPr>
                <w:color w:val="000000"/>
              </w:rPr>
            </w:pPr>
          </w:p>
        </w:tc>
        <w:tc>
          <w:tcPr>
            <w:tcW w:w="526" w:type="pct"/>
          </w:tcPr>
          <w:p>
            <w:pPr>
              <w:jc w:val="right"/>
              <w:rPr>
                <w:color w:val="000000"/>
              </w:rPr>
            </w:pPr>
          </w:p>
        </w:tc>
        <w:tc>
          <w:tcPr>
            <w:tcW w:w="414" w:type="pct"/>
          </w:tcPr>
          <w:p>
            <w:pPr>
              <w:jc w:val="right"/>
              <w:rPr>
                <w:color w:val="000000"/>
              </w:rPr>
            </w:pPr>
          </w:p>
        </w:tc>
        <w:tc>
          <w:tcPr>
            <w:tcW w:w="613" w:type="pct"/>
          </w:tcPr>
          <w:p>
            <w:pPr>
              <w:jc w:val="righ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9" w:type="pct"/>
            <w:vAlign w:val="center"/>
          </w:tcPr>
          <w:p>
            <w:pPr>
              <w:rPr>
                <w:color w:val="000000"/>
                <w:szCs w:val="21"/>
              </w:rPr>
            </w:pPr>
            <w:r>
              <w:rPr>
                <w:rFonts w:hint="eastAsia"/>
                <w:color w:val="000000"/>
                <w:szCs w:val="21"/>
              </w:rPr>
              <w:t>10</w:t>
            </w:r>
          </w:p>
        </w:tc>
        <w:tc>
          <w:tcPr>
            <w:tcW w:w="660" w:type="pct"/>
            <w:vAlign w:val="center"/>
          </w:tcPr>
          <w:p>
            <w:pPr>
              <w:jc w:val="center"/>
              <w:rPr>
                <w:bCs/>
                <w:color w:val="000000"/>
                <w:sz w:val="18"/>
                <w:szCs w:val="18"/>
              </w:rPr>
            </w:pPr>
          </w:p>
        </w:tc>
        <w:tc>
          <w:tcPr>
            <w:tcW w:w="495" w:type="pct"/>
          </w:tcPr>
          <w:p>
            <w:pPr>
              <w:rPr>
                <w:color w:val="000000"/>
                <w:szCs w:val="21"/>
              </w:rPr>
            </w:pPr>
          </w:p>
        </w:tc>
        <w:tc>
          <w:tcPr>
            <w:tcW w:w="496" w:type="pct"/>
          </w:tcPr>
          <w:p>
            <w:pPr>
              <w:rPr>
                <w:color w:val="000000"/>
                <w:szCs w:val="21"/>
              </w:rPr>
            </w:pPr>
          </w:p>
        </w:tc>
        <w:tc>
          <w:tcPr>
            <w:tcW w:w="441" w:type="pct"/>
            <w:vAlign w:val="center"/>
          </w:tcPr>
          <w:p>
            <w:pPr>
              <w:rPr>
                <w:color w:val="000000"/>
              </w:rPr>
            </w:pPr>
          </w:p>
        </w:tc>
        <w:tc>
          <w:tcPr>
            <w:tcW w:w="564" w:type="pct"/>
          </w:tcPr>
          <w:p>
            <w:pPr>
              <w:jc w:val="right"/>
              <w:rPr>
                <w:color w:val="000000"/>
              </w:rPr>
            </w:pPr>
          </w:p>
        </w:tc>
        <w:tc>
          <w:tcPr>
            <w:tcW w:w="467" w:type="pct"/>
            <w:vAlign w:val="center"/>
          </w:tcPr>
          <w:p>
            <w:pPr>
              <w:jc w:val="right"/>
              <w:rPr>
                <w:color w:val="000000"/>
              </w:rPr>
            </w:pPr>
          </w:p>
        </w:tc>
        <w:tc>
          <w:tcPr>
            <w:tcW w:w="526" w:type="pct"/>
          </w:tcPr>
          <w:p>
            <w:pPr>
              <w:jc w:val="right"/>
              <w:rPr>
                <w:color w:val="000000"/>
              </w:rPr>
            </w:pPr>
          </w:p>
        </w:tc>
        <w:tc>
          <w:tcPr>
            <w:tcW w:w="414" w:type="pct"/>
          </w:tcPr>
          <w:p>
            <w:pPr>
              <w:jc w:val="right"/>
              <w:rPr>
                <w:color w:val="000000"/>
              </w:rPr>
            </w:pPr>
          </w:p>
        </w:tc>
        <w:tc>
          <w:tcPr>
            <w:tcW w:w="613" w:type="pct"/>
          </w:tcPr>
          <w:p>
            <w:pPr>
              <w:jc w:val="righ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9" w:type="pct"/>
            <w:vAlign w:val="center"/>
          </w:tcPr>
          <w:p>
            <w:pPr>
              <w:rPr>
                <w:color w:val="000000"/>
                <w:szCs w:val="21"/>
              </w:rPr>
            </w:pPr>
            <w:r>
              <w:rPr>
                <w:rFonts w:hint="eastAsia"/>
                <w:color w:val="000000"/>
                <w:szCs w:val="21"/>
              </w:rPr>
              <w:t>11</w:t>
            </w:r>
          </w:p>
        </w:tc>
        <w:tc>
          <w:tcPr>
            <w:tcW w:w="660" w:type="pct"/>
            <w:vAlign w:val="center"/>
          </w:tcPr>
          <w:p>
            <w:pPr>
              <w:jc w:val="center"/>
              <w:rPr>
                <w:bCs/>
                <w:color w:val="000000"/>
                <w:sz w:val="18"/>
                <w:szCs w:val="18"/>
              </w:rPr>
            </w:pPr>
          </w:p>
        </w:tc>
        <w:tc>
          <w:tcPr>
            <w:tcW w:w="495" w:type="pct"/>
          </w:tcPr>
          <w:p>
            <w:pPr>
              <w:rPr>
                <w:color w:val="000000"/>
                <w:szCs w:val="21"/>
              </w:rPr>
            </w:pPr>
          </w:p>
        </w:tc>
        <w:tc>
          <w:tcPr>
            <w:tcW w:w="496" w:type="pct"/>
          </w:tcPr>
          <w:p>
            <w:pPr>
              <w:rPr>
                <w:color w:val="000000"/>
                <w:szCs w:val="21"/>
              </w:rPr>
            </w:pPr>
          </w:p>
        </w:tc>
        <w:tc>
          <w:tcPr>
            <w:tcW w:w="441" w:type="pct"/>
            <w:vAlign w:val="center"/>
          </w:tcPr>
          <w:p>
            <w:pPr>
              <w:rPr>
                <w:color w:val="000000"/>
              </w:rPr>
            </w:pPr>
          </w:p>
        </w:tc>
        <w:tc>
          <w:tcPr>
            <w:tcW w:w="564" w:type="pct"/>
          </w:tcPr>
          <w:p>
            <w:pPr>
              <w:jc w:val="right"/>
              <w:rPr>
                <w:color w:val="000000"/>
              </w:rPr>
            </w:pPr>
          </w:p>
        </w:tc>
        <w:tc>
          <w:tcPr>
            <w:tcW w:w="467" w:type="pct"/>
            <w:vAlign w:val="center"/>
          </w:tcPr>
          <w:p>
            <w:pPr>
              <w:jc w:val="right"/>
              <w:rPr>
                <w:color w:val="000000"/>
              </w:rPr>
            </w:pPr>
          </w:p>
        </w:tc>
        <w:tc>
          <w:tcPr>
            <w:tcW w:w="526" w:type="pct"/>
          </w:tcPr>
          <w:p>
            <w:pPr>
              <w:jc w:val="right"/>
              <w:rPr>
                <w:color w:val="000000"/>
              </w:rPr>
            </w:pPr>
          </w:p>
        </w:tc>
        <w:tc>
          <w:tcPr>
            <w:tcW w:w="414" w:type="pct"/>
          </w:tcPr>
          <w:p>
            <w:pPr>
              <w:jc w:val="right"/>
              <w:rPr>
                <w:color w:val="000000"/>
              </w:rPr>
            </w:pPr>
          </w:p>
        </w:tc>
        <w:tc>
          <w:tcPr>
            <w:tcW w:w="613" w:type="pct"/>
          </w:tcPr>
          <w:p>
            <w:pPr>
              <w:jc w:val="righ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9" w:type="pct"/>
            <w:vAlign w:val="center"/>
          </w:tcPr>
          <w:p>
            <w:pPr>
              <w:rPr>
                <w:color w:val="000000"/>
                <w:szCs w:val="21"/>
              </w:rPr>
            </w:pPr>
            <w:r>
              <w:rPr>
                <w:rFonts w:hint="eastAsia"/>
                <w:color w:val="000000"/>
                <w:szCs w:val="21"/>
              </w:rPr>
              <w:t>12</w:t>
            </w:r>
          </w:p>
        </w:tc>
        <w:tc>
          <w:tcPr>
            <w:tcW w:w="660" w:type="pct"/>
            <w:vAlign w:val="center"/>
          </w:tcPr>
          <w:p>
            <w:pPr>
              <w:jc w:val="center"/>
              <w:rPr>
                <w:bCs/>
                <w:color w:val="000000"/>
                <w:sz w:val="18"/>
                <w:szCs w:val="18"/>
              </w:rPr>
            </w:pPr>
          </w:p>
        </w:tc>
        <w:tc>
          <w:tcPr>
            <w:tcW w:w="495" w:type="pct"/>
          </w:tcPr>
          <w:p>
            <w:pPr>
              <w:rPr>
                <w:color w:val="000000"/>
                <w:szCs w:val="21"/>
              </w:rPr>
            </w:pPr>
          </w:p>
        </w:tc>
        <w:tc>
          <w:tcPr>
            <w:tcW w:w="496" w:type="pct"/>
          </w:tcPr>
          <w:p>
            <w:pPr>
              <w:rPr>
                <w:color w:val="000000"/>
                <w:szCs w:val="21"/>
              </w:rPr>
            </w:pPr>
          </w:p>
        </w:tc>
        <w:tc>
          <w:tcPr>
            <w:tcW w:w="441" w:type="pct"/>
            <w:vAlign w:val="center"/>
          </w:tcPr>
          <w:p>
            <w:pPr>
              <w:rPr>
                <w:color w:val="000000"/>
              </w:rPr>
            </w:pPr>
          </w:p>
        </w:tc>
        <w:tc>
          <w:tcPr>
            <w:tcW w:w="564" w:type="pct"/>
          </w:tcPr>
          <w:p>
            <w:pPr>
              <w:jc w:val="right"/>
              <w:rPr>
                <w:color w:val="000000"/>
              </w:rPr>
            </w:pPr>
          </w:p>
        </w:tc>
        <w:tc>
          <w:tcPr>
            <w:tcW w:w="467" w:type="pct"/>
            <w:vAlign w:val="center"/>
          </w:tcPr>
          <w:p>
            <w:pPr>
              <w:jc w:val="right"/>
              <w:rPr>
                <w:color w:val="000000"/>
              </w:rPr>
            </w:pPr>
          </w:p>
        </w:tc>
        <w:tc>
          <w:tcPr>
            <w:tcW w:w="526" w:type="pct"/>
          </w:tcPr>
          <w:p>
            <w:pPr>
              <w:jc w:val="right"/>
              <w:rPr>
                <w:color w:val="000000"/>
              </w:rPr>
            </w:pPr>
          </w:p>
        </w:tc>
        <w:tc>
          <w:tcPr>
            <w:tcW w:w="414" w:type="pct"/>
          </w:tcPr>
          <w:p>
            <w:pPr>
              <w:jc w:val="right"/>
              <w:rPr>
                <w:color w:val="000000"/>
              </w:rPr>
            </w:pPr>
          </w:p>
        </w:tc>
        <w:tc>
          <w:tcPr>
            <w:tcW w:w="613" w:type="pct"/>
          </w:tcPr>
          <w:p>
            <w:pPr>
              <w:jc w:val="righ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9" w:type="pct"/>
            <w:vAlign w:val="center"/>
          </w:tcPr>
          <w:p>
            <w:pPr>
              <w:rPr>
                <w:color w:val="000000"/>
                <w:szCs w:val="21"/>
              </w:rPr>
            </w:pPr>
            <w:r>
              <w:rPr>
                <w:rFonts w:hint="eastAsia"/>
                <w:color w:val="000000"/>
                <w:szCs w:val="21"/>
              </w:rPr>
              <w:t>13</w:t>
            </w:r>
          </w:p>
        </w:tc>
        <w:tc>
          <w:tcPr>
            <w:tcW w:w="660" w:type="pct"/>
            <w:vAlign w:val="center"/>
          </w:tcPr>
          <w:p>
            <w:pPr>
              <w:jc w:val="center"/>
              <w:rPr>
                <w:bCs/>
                <w:color w:val="000000"/>
                <w:sz w:val="18"/>
                <w:szCs w:val="18"/>
              </w:rPr>
            </w:pPr>
          </w:p>
        </w:tc>
        <w:tc>
          <w:tcPr>
            <w:tcW w:w="495" w:type="pct"/>
          </w:tcPr>
          <w:p>
            <w:pPr>
              <w:rPr>
                <w:color w:val="000000"/>
                <w:szCs w:val="21"/>
              </w:rPr>
            </w:pPr>
          </w:p>
        </w:tc>
        <w:tc>
          <w:tcPr>
            <w:tcW w:w="496" w:type="pct"/>
          </w:tcPr>
          <w:p>
            <w:pPr>
              <w:rPr>
                <w:color w:val="000000"/>
                <w:szCs w:val="21"/>
              </w:rPr>
            </w:pPr>
          </w:p>
        </w:tc>
        <w:tc>
          <w:tcPr>
            <w:tcW w:w="441" w:type="pct"/>
            <w:vAlign w:val="center"/>
          </w:tcPr>
          <w:p>
            <w:pPr>
              <w:rPr>
                <w:color w:val="000000"/>
              </w:rPr>
            </w:pPr>
          </w:p>
        </w:tc>
        <w:tc>
          <w:tcPr>
            <w:tcW w:w="564" w:type="pct"/>
          </w:tcPr>
          <w:p>
            <w:pPr>
              <w:jc w:val="right"/>
              <w:rPr>
                <w:color w:val="000000"/>
              </w:rPr>
            </w:pPr>
          </w:p>
        </w:tc>
        <w:tc>
          <w:tcPr>
            <w:tcW w:w="467" w:type="pct"/>
            <w:vAlign w:val="center"/>
          </w:tcPr>
          <w:p>
            <w:pPr>
              <w:jc w:val="right"/>
              <w:rPr>
                <w:color w:val="000000"/>
              </w:rPr>
            </w:pPr>
          </w:p>
        </w:tc>
        <w:tc>
          <w:tcPr>
            <w:tcW w:w="526" w:type="pct"/>
          </w:tcPr>
          <w:p>
            <w:pPr>
              <w:jc w:val="right"/>
              <w:rPr>
                <w:color w:val="000000"/>
              </w:rPr>
            </w:pPr>
          </w:p>
        </w:tc>
        <w:tc>
          <w:tcPr>
            <w:tcW w:w="414" w:type="pct"/>
          </w:tcPr>
          <w:p>
            <w:pPr>
              <w:jc w:val="right"/>
              <w:rPr>
                <w:color w:val="000000"/>
              </w:rPr>
            </w:pPr>
          </w:p>
        </w:tc>
        <w:tc>
          <w:tcPr>
            <w:tcW w:w="613" w:type="pct"/>
          </w:tcPr>
          <w:p>
            <w:pPr>
              <w:jc w:val="righ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9" w:type="pct"/>
            <w:vAlign w:val="center"/>
          </w:tcPr>
          <w:p>
            <w:pPr>
              <w:rPr>
                <w:color w:val="000000"/>
                <w:szCs w:val="21"/>
              </w:rPr>
            </w:pPr>
            <w:r>
              <w:rPr>
                <w:rFonts w:hint="eastAsia"/>
                <w:color w:val="000000"/>
                <w:szCs w:val="21"/>
              </w:rPr>
              <w:t>14</w:t>
            </w:r>
          </w:p>
        </w:tc>
        <w:tc>
          <w:tcPr>
            <w:tcW w:w="660" w:type="pct"/>
            <w:vAlign w:val="center"/>
          </w:tcPr>
          <w:p>
            <w:pPr>
              <w:jc w:val="center"/>
              <w:rPr>
                <w:bCs/>
                <w:color w:val="000000"/>
                <w:sz w:val="18"/>
                <w:szCs w:val="18"/>
              </w:rPr>
            </w:pPr>
          </w:p>
        </w:tc>
        <w:tc>
          <w:tcPr>
            <w:tcW w:w="495" w:type="pct"/>
          </w:tcPr>
          <w:p>
            <w:pPr>
              <w:rPr>
                <w:color w:val="000000"/>
                <w:szCs w:val="21"/>
              </w:rPr>
            </w:pPr>
          </w:p>
        </w:tc>
        <w:tc>
          <w:tcPr>
            <w:tcW w:w="496" w:type="pct"/>
          </w:tcPr>
          <w:p>
            <w:pPr>
              <w:rPr>
                <w:color w:val="000000"/>
                <w:szCs w:val="21"/>
              </w:rPr>
            </w:pPr>
          </w:p>
        </w:tc>
        <w:tc>
          <w:tcPr>
            <w:tcW w:w="441" w:type="pct"/>
            <w:vAlign w:val="center"/>
          </w:tcPr>
          <w:p>
            <w:pPr>
              <w:rPr>
                <w:color w:val="000000"/>
              </w:rPr>
            </w:pPr>
          </w:p>
        </w:tc>
        <w:tc>
          <w:tcPr>
            <w:tcW w:w="564" w:type="pct"/>
          </w:tcPr>
          <w:p>
            <w:pPr>
              <w:jc w:val="right"/>
              <w:rPr>
                <w:color w:val="000000"/>
              </w:rPr>
            </w:pPr>
          </w:p>
        </w:tc>
        <w:tc>
          <w:tcPr>
            <w:tcW w:w="467" w:type="pct"/>
            <w:vAlign w:val="center"/>
          </w:tcPr>
          <w:p>
            <w:pPr>
              <w:jc w:val="right"/>
              <w:rPr>
                <w:color w:val="000000"/>
              </w:rPr>
            </w:pPr>
          </w:p>
        </w:tc>
        <w:tc>
          <w:tcPr>
            <w:tcW w:w="526" w:type="pct"/>
          </w:tcPr>
          <w:p>
            <w:pPr>
              <w:jc w:val="right"/>
              <w:rPr>
                <w:color w:val="000000"/>
              </w:rPr>
            </w:pPr>
          </w:p>
        </w:tc>
        <w:tc>
          <w:tcPr>
            <w:tcW w:w="414" w:type="pct"/>
          </w:tcPr>
          <w:p>
            <w:pPr>
              <w:jc w:val="right"/>
              <w:rPr>
                <w:color w:val="000000"/>
              </w:rPr>
            </w:pPr>
          </w:p>
        </w:tc>
        <w:tc>
          <w:tcPr>
            <w:tcW w:w="613" w:type="pct"/>
          </w:tcPr>
          <w:p>
            <w:pPr>
              <w:jc w:val="righ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9" w:type="pct"/>
            <w:vAlign w:val="center"/>
          </w:tcPr>
          <w:p>
            <w:pPr>
              <w:rPr>
                <w:color w:val="000000"/>
                <w:szCs w:val="21"/>
              </w:rPr>
            </w:pPr>
            <w:r>
              <w:rPr>
                <w:rFonts w:hint="eastAsia"/>
                <w:color w:val="000000"/>
                <w:szCs w:val="21"/>
              </w:rPr>
              <w:t>15</w:t>
            </w:r>
          </w:p>
        </w:tc>
        <w:tc>
          <w:tcPr>
            <w:tcW w:w="660" w:type="pct"/>
            <w:vAlign w:val="center"/>
          </w:tcPr>
          <w:p>
            <w:pPr>
              <w:jc w:val="center"/>
              <w:rPr>
                <w:bCs/>
                <w:color w:val="000000"/>
                <w:sz w:val="18"/>
                <w:szCs w:val="18"/>
              </w:rPr>
            </w:pPr>
          </w:p>
        </w:tc>
        <w:tc>
          <w:tcPr>
            <w:tcW w:w="495" w:type="pct"/>
          </w:tcPr>
          <w:p>
            <w:pPr>
              <w:rPr>
                <w:color w:val="000000"/>
                <w:szCs w:val="21"/>
              </w:rPr>
            </w:pPr>
          </w:p>
        </w:tc>
        <w:tc>
          <w:tcPr>
            <w:tcW w:w="496" w:type="pct"/>
          </w:tcPr>
          <w:p>
            <w:pPr>
              <w:rPr>
                <w:color w:val="000000"/>
                <w:szCs w:val="21"/>
              </w:rPr>
            </w:pPr>
          </w:p>
        </w:tc>
        <w:tc>
          <w:tcPr>
            <w:tcW w:w="441" w:type="pct"/>
            <w:vAlign w:val="center"/>
          </w:tcPr>
          <w:p>
            <w:pPr>
              <w:rPr>
                <w:color w:val="000000"/>
              </w:rPr>
            </w:pPr>
          </w:p>
        </w:tc>
        <w:tc>
          <w:tcPr>
            <w:tcW w:w="564" w:type="pct"/>
          </w:tcPr>
          <w:p>
            <w:pPr>
              <w:jc w:val="right"/>
              <w:rPr>
                <w:color w:val="000000"/>
              </w:rPr>
            </w:pPr>
          </w:p>
        </w:tc>
        <w:tc>
          <w:tcPr>
            <w:tcW w:w="467" w:type="pct"/>
            <w:vAlign w:val="center"/>
          </w:tcPr>
          <w:p>
            <w:pPr>
              <w:jc w:val="right"/>
              <w:rPr>
                <w:color w:val="000000"/>
              </w:rPr>
            </w:pPr>
          </w:p>
        </w:tc>
        <w:tc>
          <w:tcPr>
            <w:tcW w:w="526" w:type="pct"/>
          </w:tcPr>
          <w:p>
            <w:pPr>
              <w:jc w:val="right"/>
              <w:rPr>
                <w:color w:val="000000"/>
              </w:rPr>
            </w:pPr>
          </w:p>
        </w:tc>
        <w:tc>
          <w:tcPr>
            <w:tcW w:w="414" w:type="pct"/>
          </w:tcPr>
          <w:p>
            <w:pPr>
              <w:jc w:val="right"/>
              <w:rPr>
                <w:color w:val="000000"/>
              </w:rPr>
            </w:pPr>
          </w:p>
        </w:tc>
        <w:tc>
          <w:tcPr>
            <w:tcW w:w="613" w:type="pct"/>
          </w:tcPr>
          <w:p>
            <w:pPr>
              <w:jc w:val="righ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9" w:type="pct"/>
            <w:vAlign w:val="center"/>
          </w:tcPr>
          <w:p>
            <w:pPr>
              <w:rPr>
                <w:color w:val="000000"/>
                <w:szCs w:val="21"/>
              </w:rPr>
            </w:pPr>
            <w:r>
              <w:rPr>
                <w:rFonts w:hint="eastAsia"/>
                <w:color w:val="000000"/>
                <w:szCs w:val="21"/>
              </w:rPr>
              <w:t>16</w:t>
            </w:r>
          </w:p>
        </w:tc>
        <w:tc>
          <w:tcPr>
            <w:tcW w:w="660" w:type="pct"/>
            <w:vAlign w:val="center"/>
          </w:tcPr>
          <w:p>
            <w:pPr>
              <w:jc w:val="center"/>
              <w:rPr>
                <w:bCs/>
                <w:color w:val="000000"/>
                <w:sz w:val="18"/>
                <w:szCs w:val="18"/>
              </w:rPr>
            </w:pPr>
          </w:p>
        </w:tc>
        <w:tc>
          <w:tcPr>
            <w:tcW w:w="495" w:type="pct"/>
          </w:tcPr>
          <w:p>
            <w:pPr>
              <w:rPr>
                <w:color w:val="000000"/>
                <w:szCs w:val="21"/>
              </w:rPr>
            </w:pPr>
          </w:p>
        </w:tc>
        <w:tc>
          <w:tcPr>
            <w:tcW w:w="496" w:type="pct"/>
          </w:tcPr>
          <w:p>
            <w:pPr>
              <w:rPr>
                <w:color w:val="000000"/>
                <w:szCs w:val="21"/>
              </w:rPr>
            </w:pPr>
          </w:p>
        </w:tc>
        <w:tc>
          <w:tcPr>
            <w:tcW w:w="441" w:type="pct"/>
            <w:vAlign w:val="center"/>
          </w:tcPr>
          <w:p>
            <w:pPr>
              <w:rPr>
                <w:color w:val="000000"/>
              </w:rPr>
            </w:pPr>
          </w:p>
        </w:tc>
        <w:tc>
          <w:tcPr>
            <w:tcW w:w="564" w:type="pct"/>
          </w:tcPr>
          <w:p>
            <w:pPr>
              <w:jc w:val="right"/>
              <w:rPr>
                <w:color w:val="000000"/>
              </w:rPr>
            </w:pPr>
          </w:p>
        </w:tc>
        <w:tc>
          <w:tcPr>
            <w:tcW w:w="467" w:type="pct"/>
            <w:vAlign w:val="center"/>
          </w:tcPr>
          <w:p>
            <w:pPr>
              <w:jc w:val="right"/>
              <w:rPr>
                <w:color w:val="000000"/>
              </w:rPr>
            </w:pPr>
          </w:p>
        </w:tc>
        <w:tc>
          <w:tcPr>
            <w:tcW w:w="526" w:type="pct"/>
          </w:tcPr>
          <w:p>
            <w:pPr>
              <w:jc w:val="right"/>
              <w:rPr>
                <w:color w:val="000000"/>
              </w:rPr>
            </w:pPr>
          </w:p>
        </w:tc>
        <w:tc>
          <w:tcPr>
            <w:tcW w:w="414" w:type="pct"/>
          </w:tcPr>
          <w:p>
            <w:pPr>
              <w:jc w:val="right"/>
              <w:rPr>
                <w:color w:val="000000"/>
              </w:rPr>
            </w:pPr>
          </w:p>
        </w:tc>
        <w:tc>
          <w:tcPr>
            <w:tcW w:w="613" w:type="pct"/>
          </w:tcPr>
          <w:p>
            <w:pPr>
              <w:jc w:val="righ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9" w:type="pct"/>
            <w:vAlign w:val="center"/>
          </w:tcPr>
          <w:p>
            <w:pPr>
              <w:rPr>
                <w:color w:val="000000"/>
                <w:szCs w:val="21"/>
              </w:rPr>
            </w:pPr>
            <w:r>
              <w:rPr>
                <w:rFonts w:hint="eastAsia"/>
                <w:color w:val="000000"/>
                <w:szCs w:val="21"/>
              </w:rPr>
              <w:t>17</w:t>
            </w:r>
          </w:p>
        </w:tc>
        <w:tc>
          <w:tcPr>
            <w:tcW w:w="660" w:type="pct"/>
            <w:vAlign w:val="center"/>
          </w:tcPr>
          <w:p>
            <w:pPr>
              <w:jc w:val="center"/>
              <w:rPr>
                <w:bCs/>
                <w:color w:val="000000"/>
                <w:sz w:val="18"/>
                <w:szCs w:val="18"/>
              </w:rPr>
            </w:pPr>
          </w:p>
        </w:tc>
        <w:tc>
          <w:tcPr>
            <w:tcW w:w="495" w:type="pct"/>
          </w:tcPr>
          <w:p>
            <w:pPr>
              <w:rPr>
                <w:color w:val="000000"/>
                <w:szCs w:val="21"/>
              </w:rPr>
            </w:pPr>
          </w:p>
        </w:tc>
        <w:tc>
          <w:tcPr>
            <w:tcW w:w="496" w:type="pct"/>
          </w:tcPr>
          <w:p>
            <w:pPr>
              <w:rPr>
                <w:color w:val="000000"/>
                <w:szCs w:val="21"/>
              </w:rPr>
            </w:pPr>
          </w:p>
        </w:tc>
        <w:tc>
          <w:tcPr>
            <w:tcW w:w="441" w:type="pct"/>
            <w:vAlign w:val="center"/>
          </w:tcPr>
          <w:p>
            <w:pPr>
              <w:rPr>
                <w:color w:val="000000"/>
              </w:rPr>
            </w:pPr>
          </w:p>
        </w:tc>
        <w:tc>
          <w:tcPr>
            <w:tcW w:w="564" w:type="pct"/>
          </w:tcPr>
          <w:p>
            <w:pPr>
              <w:jc w:val="right"/>
              <w:rPr>
                <w:color w:val="000000"/>
              </w:rPr>
            </w:pPr>
          </w:p>
        </w:tc>
        <w:tc>
          <w:tcPr>
            <w:tcW w:w="467" w:type="pct"/>
            <w:vAlign w:val="center"/>
          </w:tcPr>
          <w:p>
            <w:pPr>
              <w:jc w:val="right"/>
              <w:rPr>
                <w:color w:val="000000"/>
              </w:rPr>
            </w:pPr>
          </w:p>
        </w:tc>
        <w:tc>
          <w:tcPr>
            <w:tcW w:w="526" w:type="pct"/>
          </w:tcPr>
          <w:p>
            <w:pPr>
              <w:jc w:val="right"/>
              <w:rPr>
                <w:color w:val="000000"/>
              </w:rPr>
            </w:pPr>
          </w:p>
        </w:tc>
        <w:tc>
          <w:tcPr>
            <w:tcW w:w="414" w:type="pct"/>
          </w:tcPr>
          <w:p>
            <w:pPr>
              <w:jc w:val="right"/>
              <w:rPr>
                <w:color w:val="000000"/>
              </w:rPr>
            </w:pPr>
          </w:p>
        </w:tc>
        <w:tc>
          <w:tcPr>
            <w:tcW w:w="613" w:type="pct"/>
          </w:tcPr>
          <w:p>
            <w:pPr>
              <w:jc w:val="righ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9" w:type="pct"/>
            <w:vAlign w:val="center"/>
          </w:tcPr>
          <w:p>
            <w:pPr>
              <w:rPr>
                <w:color w:val="000000"/>
                <w:szCs w:val="21"/>
              </w:rPr>
            </w:pPr>
            <w:r>
              <w:rPr>
                <w:rFonts w:hint="eastAsia"/>
                <w:color w:val="000000"/>
                <w:szCs w:val="21"/>
              </w:rPr>
              <w:t>18</w:t>
            </w:r>
          </w:p>
        </w:tc>
        <w:tc>
          <w:tcPr>
            <w:tcW w:w="660" w:type="pct"/>
            <w:vAlign w:val="center"/>
          </w:tcPr>
          <w:p>
            <w:pPr>
              <w:jc w:val="center"/>
              <w:rPr>
                <w:bCs/>
                <w:color w:val="000000"/>
                <w:sz w:val="18"/>
                <w:szCs w:val="18"/>
              </w:rPr>
            </w:pPr>
          </w:p>
        </w:tc>
        <w:tc>
          <w:tcPr>
            <w:tcW w:w="495" w:type="pct"/>
          </w:tcPr>
          <w:p>
            <w:pPr>
              <w:rPr>
                <w:color w:val="000000"/>
                <w:szCs w:val="21"/>
              </w:rPr>
            </w:pPr>
          </w:p>
        </w:tc>
        <w:tc>
          <w:tcPr>
            <w:tcW w:w="496" w:type="pct"/>
          </w:tcPr>
          <w:p>
            <w:pPr>
              <w:rPr>
                <w:color w:val="000000"/>
                <w:szCs w:val="21"/>
              </w:rPr>
            </w:pPr>
          </w:p>
        </w:tc>
        <w:tc>
          <w:tcPr>
            <w:tcW w:w="441" w:type="pct"/>
            <w:vAlign w:val="center"/>
          </w:tcPr>
          <w:p>
            <w:pPr>
              <w:rPr>
                <w:color w:val="000000"/>
              </w:rPr>
            </w:pPr>
          </w:p>
        </w:tc>
        <w:tc>
          <w:tcPr>
            <w:tcW w:w="564" w:type="pct"/>
          </w:tcPr>
          <w:p>
            <w:pPr>
              <w:jc w:val="right"/>
              <w:rPr>
                <w:color w:val="000000"/>
              </w:rPr>
            </w:pPr>
          </w:p>
        </w:tc>
        <w:tc>
          <w:tcPr>
            <w:tcW w:w="467" w:type="pct"/>
            <w:vAlign w:val="center"/>
          </w:tcPr>
          <w:p>
            <w:pPr>
              <w:jc w:val="right"/>
              <w:rPr>
                <w:color w:val="000000"/>
              </w:rPr>
            </w:pPr>
          </w:p>
        </w:tc>
        <w:tc>
          <w:tcPr>
            <w:tcW w:w="526" w:type="pct"/>
          </w:tcPr>
          <w:p>
            <w:pPr>
              <w:jc w:val="right"/>
              <w:rPr>
                <w:color w:val="000000"/>
              </w:rPr>
            </w:pPr>
          </w:p>
        </w:tc>
        <w:tc>
          <w:tcPr>
            <w:tcW w:w="414" w:type="pct"/>
          </w:tcPr>
          <w:p>
            <w:pPr>
              <w:jc w:val="right"/>
              <w:rPr>
                <w:color w:val="000000"/>
              </w:rPr>
            </w:pPr>
          </w:p>
        </w:tc>
        <w:tc>
          <w:tcPr>
            <w:tcW w:w="613" w:type="pct"/>
          </w:tcPr>
          <w:p>
            <w:pPr>
              <w:jc w:val="righ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319" w:type="pct"/>
            <w:vAlign w:val="center"/>
          </w:tcPr>
          <w:p>
            <w:pPr>
              <w:rPr>
                <w:color w:val="000000"/>
                <w:szCs w:val="21"/>
              </w:rPr>
            </w:pPr>
          </w:p>
        </w:tc>
        <w:tc>
          <w:tcPr>
            <w:tcW w:w="660" w:type="pct"/>
            <w:vAlign w:val="center"/>
          </w:tcPr>
          <w:p>
            <w:pPr>
              <w:jc w:val="center"/>
              <w:rPr>
                <w:bCs/>
                <w:color w:val="000000"/>
                <w:sz w:val="18"/>
                <w:szCs w:val="18"/>
              </w:rPr>
            </w:pPr>
          </w:p>
        </w:tc>
        <w:tc>
          <w:tcPr>
            <w:tcW w:w="495" w:type="pct"/>
          </w:tcPr>
          <w:p>
            <w:pPr>
              <w:rPr>
                <w:color w:val="000000"/>
                <w:szCs w:val="21"/>
              </w:rPr>
            </w:pPr>
          </w:p>
        </w:tc>
        <w:tc>
          <w:tcPr>
            <w:tcW w:w="496" w:type="pct"/>
          </w:tcPr>
          <w:p>
            <w:pPr>
              <w:rPr>
                <w:color w:val="000000"/>
                <w:szCs w:val="21"/>
              </w:rPr>
            </w:pPr>
          </w:p>
        </w:tc>
        <w:tc>
          <w:tcPr>
            <w:tcW w:w="441" w:type="pct"/>
            <w:vAlign w:val="center"/>
          </w:tcPr>
          <w:p>
            <w:pPr>
              <w:rPr>
                <w:color w:val="000000"/>
              </w:rPr>
            </w:pPr>
          </w:p>
        </w:tc>
        <w:tc>
          <w:tcPr>
            <w:tcW w:w="564" w:type="pct"/>
          </w:tcPr>
          <w:p>
            <w:pPr>
              <w:jc w:val="right"/>
              <w:rPr>
                <w:color w:val="000000"/>
              </w:rPr>
            </w:pPr>
          </w:p>
        </w:tc>
        <w:tc>
          <w:tcPr>
            <w:tcW w:w="467" w:type="pct"/>
            <w:vAlign w:val="center"/>
          </w:tcPr>
          <w:p>
            <w:pPr>
              <w:jc w:val="right"/>
              <w:rPr>
                <w:color w:val="000000"/>
              </w:rPr>
            </w:pPr>
          </w:p>
        </w:tc>
        <w:tc>
          <w:tcPr>
            <w:tcW w:w="526" w:type="pct"/>
          </w:tcPr>
          <w:p>
            <w:pPr>
              <w:jc w:val="right"/>
              <w:rPr>
                <w:color w:val="000000"/>
              </w:rPr>
            </w:pPr>
          </w:p>
        </w:tc>
        <w:tc>
          <w:tcPr>
            <w:tcW w:w="414" w:type="pct"/>
          </w:tcPr>
          <w:p>
            <w:pPr>
              <w:jc w:val="right"/>
              <w:rPr>
                <w:color w:val="000000"/>
              </w:rPr>
            </w:pPr>
          </w:p>
        </w:tc>
        <w:tc>
          <w:tcPr>
            <w:tcW w:w="613" w:type="pct"/>
          </w:tcPr>
          <w:p>
            <w:pPr>
              <w:jc w:val="righ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pct"/>
            <w:gridSpan w:val="4"/>
            <w:vAlign w:val="center"/>
          </w:tcPr>
          <w:p>
            <w:pPr>
              <w:rPr>
                <w:color w:val="000000"/>
              </w:rPr>
            </w:pPr>
            <w:r>
              <w:rPr>
                <w:color w:val="000000"/>
              </w:rPr>
              <w:t>货物总价（单位：人民币）</w:t>
            </w:r>
          </w:p>
          <w:p>
            <w:pPr>
              <w:rPr>
                <w:color w:val="000000"/>
              </w:rPr>
            </w:pPr>
            <w:r>
              <w:rPr>
                <w:color w:val="000000"/>
              </w:rPr>
              <w:t>本总价必须与开标一览表中相同货物的投标单价相一致。</w:t>
            </w:r>
          </w:p>
        </w:tc>
        <w:tc>
          <w:tcPr>
            <w:tcW w:w="3028" w:type="pct"/>
            <w:gridSpan w:val="6"/>
            <w:vAlign w:val="center"/>
          </w:tcPr>
          <w:p>
            <w:pPr>
              <w:jc w:val="right"/>
              <w:rPr>
                <w:color w:val="000000"/>
              </w:rPr>
            </w:pPr>
          </w:p>
        </w:tc>
      </w:tr>
    </w:tbl>
    <w:p>
      <w:pPr>
        <w:spacing w:line="360" w:lineRule="auto"/>
        <w:rPr>
          <w:rFonts w:ascii="宋体" w:hAnsi="宋体"/>
        </w:rPr>
      </w:pPr>
      <w:r>
        <w:rPr>
          <w:color w:val="000000"/>
          <w:u w:val="single"/>
        </w:rPr>
        <w:t xml:space="preserve">      </w:t>
      </w:r>
      <w:r>
        <w:rPr>
          <w:rFonts w:hint="eastAsia"/>
          <w:color w:val="000000"/>
          <w:u w:val="single"/>
        </w:rPr>
        <w:t xml:space="preserve">    </w:t>
      </w:r>
      <w:r>
        <w:rPr>
          <w:rFonts w:ascii="宋体" w:hAnsi="宋体"/>
          <w:u w:val="single"/>
        </w:rPr>
        <w:t xml:space="preserve">        </w:t>
      </w:r>
    </w:p>
    <w:p>
      <w:pPr>
        <w:spacing w:line="360" w:lineRule="auto"/>
        <w:rPr>
          <w:rFonts w:ascii="宋体" w:hAnsi="宋体"/>
        </w:rPr>
      </w:pPr>
      <w:r>
        <w:rPr>
          <w:rFonts w:ascii="宋体" w:hAnsi="宋体"/>
        </w:rPr>
        <w:t>注：1. 开标一览表中的每种货物及/或服务均单独列表。</w:t>
      </w:r>
    </w:p>
    <w:p>
      <w:pPr>
        <w:spacing w:line="360" w:lineRule="auto"/>
        <w:rPr>
          <w:rFonts w:ascii="宋体" w:hAnsi="宋体"/>
        </w:rPr>
      </w:pPr>
      <w:r>
        <w:rPr>
          <w:rFonts w:ascii="宋体" w:hAnsi="宋体"/>
        </w:rPr>
        <w:t xml:space="preserve">    2. </w:t>
      </w:r>
      <w:r>
        <w:rPr>
          <w:rFonts w:hint="eastAsia" w:ascii="宋体" w:hAnsi="宋体"/>
          <w:szCs w:val="21"/>
        </w:rPr>
        <w:t>供应商</w:t>
      </w:r>
      <w:r>
        <w:rPr>
          <w:rFonts w:ascii="宋体" w:hAnsi="宋体"/>
          <w:szCs w:val="21"/>
        </w:rPr>
        <w:t>须按照</w:t>
      </w:r>
      <w:r>
        <w:rPr>
          <w:rFonts w:hint="eastAsia" w:ascii="宋体" w:hAnsi="宋体"/>
          <w:szCs w:val="21"/>
        </w:rPr>
        <w:t>竞争性磋商</w:t>
      </w:r>
      <w:r>
        <w:rPr>
          <w:rFonts w:ascii="宋体" w:hAnsi="宋体"/>
          <w:szCs w:val="21"/>
        </w:rPr>
        <w:t>文件要求，提供货到用户指定现场（到楼层）并提供全部服务的含税价。</w:t>
      </w:r>
    </w:p>
    <w:p>
      <w:pPr>
        <w:snapToGrid w:val="0"/>
        <w:spacing w:before="312" w:beforeLines="100" w:after="312" w:afterLines="100"/>
        <w:ind w:right="210" w:rightChars="100"/>
      </w:pPr>
      <w:r>
        <w:rPr>
          <w:rFonts w:hint="eastAsia"/>
        </w:rPr>
        <w:br w:type="page"/>
      </w:r>
    </w:p>
    <w:p>
      <w:pPr>
        <w:pStyle w:val="5"/>
        <w:numPr>
          <w:ilvl w:val="0"/>
          <w:numId w:val="0"/>
        </w:numPr>
        <w:snapToGrid w:val="0"/>
        <w:spacing w:before="312" w:beforeLines="100" w:after="312" w:afterLines="100"/>
        <w:ind w:right="210" w:rightChars="100"/>
        <w:rPr>
          <w:szCs w:val="24"/>
          <w:u w:val="single"/>
        </w:rPr>
      </w:pPr>
      <w:r>
        <w:rPr>
          <w:rStyle w:val="106"/>
          <w:rFonts w:hint="eastAsia" w:hAnsi="宋体"/>
          <w:b w:val="0"/>
          <w:bCs w:val="0"/>
          <w:sz w:val="24"/>
          <w:szCs w:val="24"/>
        </w:rPr>
        <w:t>附件</w:t>
      </w:r>
      <w:r>
        <w:rPr>
          <w:rStyle w:val="106"/>
          <w:rFonts w:hAnsi="宋体"/>
          <w:b w:val="0"/>
          <w:bCs w:val="0"/>
          <w:sz w:val="24"/>
          <w:szCs w:val="24"/>
        </w:rPr>
        <w:t>4</w:t>
      </w:r>
      <w:r>
        <w:rPr>
          <w:rStyle w:val="106"/>
          <w:rFonts w:hint="eastAsia" w:hAnsi="宋体"/>
          <w:b w:val="0"/>
          <w:bCs w:val="0"/>
          <w:sz w:val="24"/>
          <w:szCs w:val="24"/>
        </w:rPr>
        <w:t>：商务条款偏离表</w:t>
      </w:r>
      <w:bookmarkEnd w:id="75"/>
      <w:bookmarkEnd w:id="76"/>
      <w:bookmarkEnd w:id="77"/>
      <w:bookmarkEnd w:id="78"/>
      <w:bookmarkEnd w:id="79"/>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 xml:space="preserve">供应商名称： </w:t>
      </w:r>
      <w:r>
        <w:rPr>
          <w:rFonts w:ascii="宋体" w:hAnsi="宋体"/>
          <w:szCs w:val="21"/>
        </w:rPr>
        <w:t xml:space="preserve">          </w:t>
      </w:r>
    </w:p>
    <w:tbl>
      <w:tblPr>
        <w:tblStyle w:val="53"/>
        <w:tblW w:w="851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74"/>
        <w:gridCol w:w="2220"/>
        <w:gridCol w:w="2004"/>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8" w:type="dxa"/>
            <w:tcBorders>
              <w:top w:val="single" w:color="auto" w:sz="12" w:space="0"/>
            </w:tcBorders>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774" w:type="dxa"/>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竞争性磋商文件条目号</w:t>
            </w:r>
          </w:p>
        </w:tc>
        <w:tc>
          <w:tcPr>
            <w:tcW w:w="2220" w:type="dxa"/>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竞争性磋商文件的商务条款</w:t>
            </w:r>
          </w:p>
        </w:tc>
        <w:tc>
          <w:tcPr>
            <w:tcW w:w="2004" w:type="dxa"/>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1573" w:type="dxa"/>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8"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774"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22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004"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7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8"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774"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22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004"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7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8"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774"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22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004"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7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8"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774"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22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004"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7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8"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774"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22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004"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7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偏离包括正、负偏离，正偏离指供应商的响应高于竞争性磋商文件要求，负偏离指供应商的响应低于竞争性磋商文件要求。</w:t>
      </w:r>
    </w:p>
    <w:p>
      <w:pPr>
        <w:widowControl/>
        <w:jc w:val="left"/>
        <w:rPr>
          <w:rStyle w:val="106"/>
          <w:rFonts w:hAnsi="宋体"/>
          <w:b w:val="0"/>
          <w:bCs w:val="0"/>
          <w:sz w:val="24"/>
          <w:szCs w:val="24"/>
        </w:rPr>
      </w:pPr>
      <w:r>
        <w:rPr>
          <w:rStyle w:val="106"/>
          <w:rFonts w:hAnsi="宋体"/>
          <w:b w:val="0"/>
          <w:sz w:val="24"/>
          <w:szCs w:val="24"/>
        </w:rPr>
        <w:br w:type="page"/>
      </w:r>
    </w:p>
    <w:p>
      <w:pPr>
        <w:pStyle w:val="5"/>
        <w:numPr>
          <w:ilvl w:val="0"/>
          <w:numId w:val="0"/>
        </w:numPr>
        <w:snapToGrid w:val="0"/>
        <w:spacing w:before="312" w:beforeLines="100" w:after="312" w:afterLines="100"/>
        <w:ind w:right="210" w:rightChars="100"/>
        <w:rPr>
          <w:rFonts w:ascii="黑体"/>
          <w:b/>
          <w:kern w:val="44"/>
          <w:sz w:val="32"/>
        </w:rPr>
      </w:pPr>
      <w:r>
        <w:rPr>
          <w:rStyle w:val="106"/>
          <w:rFonts w:hint="eastAsia" w:hAnsi="宋体"/>
          <w:b w:val="0"/>
          <w:bCs w:val="0"/>
          <w:sz w:val="24"/>
          <w:szCs w:val="24"/>
        </w:rPr>
        <w:t>附件</w:t>
      </w:r>
      <w:r>
        <w:rPr>
          <w:rStyle w:val="106"/>
          <w:rFonts w:hAnsi="宋体"/>
          <w:b w:val="0"/>
          <w:bCs w:val="0"/>
          <w:sz w:val="24"/>
          <w:szCs w:val="24"/>
        </w:rPr>
        <w:t>5</w:t>
      </w:r>
      <w:r>
        <w:rPr>
          <w:rStyle w:val="106"/>
          <w:rFonts w:hint="eastAsia" w:hAnsi="宋体"/>
          <w:b w:val="0"/>
          <w:bCs w:val="0"/>
          <w:sz w:val="24"/>
          <w:szCs w:val="24"/>
        </w:rPr>
        <w:t>：法定代表人身份证明及授权委托书</w:t>
      </w:r>
      <w:bookmarkEnd w:id="80"/>
      <w:bookmarkEnd w:id="81"/>
      <w:bookmarkEnd w:id="82"/>
    </w:p>
    <w:p>
      <w:pPr>
        <w:topLinePunct/>
        <w:snapToGrid w:val="0"/>
        <w:spacing w:before="312" w:beforeLines="100" w:after="312" w:afterLines="100"/>
        <w:ind w:left="210" w:leftChars="100" w:right="210" w:rightChars="100" w:firstLine="420" w:firstLineChars="200"/>
        <w:rPr>
          <w:bCs/>
          <w:szCs w:val="21"/>
          <w:u w:val="single"/>
        </w:rPr>
      </w:pPr>
      <w:r>
        <w:rPr>
          <w:rFonts w:hint="eastAsia"/>
          <w:bCs/>
          <w:szCs w:val="21"/>
        </w:rPr>
        <w:t>供应商</w:t>
      </w:r>
      <w:r>
        <w:rPr>
          <w:bCs/>
          <w:szCs w:val="21"/>
        </w:rPr>
        <w:t>名称：</w:t>
      </w:r>
    </w:p>
    <w:p>
      <w:pPr>
        <w:topLinePunct/>
        <w:snapToGrid w:val="0"/>
        <w:spacing w:before="312" w:beforeLines="100" w:after="312" w:afterLines="100"/>
        <w:ind w:left="210" w:leftChars="100" w:right="210" w:rightChars="100" w:firstLine="420" w:firstLineChars="200"/>
        <w:rPr>
          <w:bCs/>
          <w:szCs w:val="21"/>
        </w:rPr>
      </w:pPr>
      <w:r>
        <w:rPr>
          <w:bCs/>
          <w:szCs w:val="21"/>
        </w:rPr>
        <w:t>单位性质：</w:t>
      </w:r>
    </w:p>
    <w:p>
      <w:pPr>
        <w:topLinePunct/>
        <w:snapToGrid w:val="0"/>
        <w:spacing w:before="312" w:beforeLines="100" w:after="312" w:afterLines="100"/>
        <w:ind w:left="210" w:leftChars="100" w:right="210" w:rightChars="100" w:firstLine="420" w:firstLineChars="200"/>
        <w:rPr>
          <w:bCs/>
          <w:szCs w:val="21"/>
        </w:rPr>
      </w:pPr>
      <w:r>
        <w:rPr>
          <w:bCs/>
          <w:szCs w:val="21"/>
        </w:rPr>
        <w:t>成立时间：年月日</w:t>
      </w:r>
    </w:p>
    <w:p>
      <w:pPr>
        <w:topLinePunct/>
        <w:snapToGrid w:val="0"/>
        <w:spacing w:before="312" w:beforeLines="100" w:after="312" w:afterLines="100"/>
        <w:ind w:left="210" w:leftChars="100" w:right="210" w:rightChars="100" w:firstLine="420" w:firstLineChars="200"/>
        <w:rPr>
          <w:bCs/>
          <w:szCs w:val="21"/>
        </w:rPr>
      </w:pPr>
      <w:r>
        <w:rPr>
          <w:bCs/>
          <w:szCs w:val="21"/>
        </w:rPr>
        <w:t>经营期限：</w:t>
      </w:r>
    </w:p>
    <w:p>
      <w:pPr>
        <w:topLinePunct/>
        <w:snapToGrid w:val="0"/>
        <w:spacing w:before="312" w:beforeLines="100" w:after="312" w:afterLines="100"/>
        <w:ind w:left="210" w:leftChars="100" w:right="210" w:rightChars="100" w:firstLine="420" w:firstLineChars="200"/>
        <w:rPr>
          <w:bCs/>
          <w:szCs w:val="21"/>
          <w:u w:val="single"/>
        </w:rPr>
      </w:pPr>
      <w:r>
        <w:rPr>
          <w:bCs/>
          <w:szCs w:val="21"/>
        </w:rPr>
        <w:t>姓名：性别：年龄：职务：</w:t>
      </w:r>
    </w:p>
    <w:p>
      <w:pPr>
        <w:topLinePunct/>
        <w:snapToGrid w:val="0"/>
        <w:spacing w:before="312" w:beforeLines="100" w:after="312" w:afterLines="100"/>
        <w:ind w:left="210" w:leftChars="100" w:right="210" w:rightChars="100" w:firstLine="420" w:firstLineChars="20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pPr>
        <w:topLinePunct/>
        <w:snapToGrid w:val="0"/>
        <w:spacing w:before="312" w:beforeLines="100" w:after="312" w:afterLines="100"/>
        <w:ind w:left="210" w:leftChars="100" w:right="210" w:rightChars="100" w:firstLine="420" w:firstLineChars="200"/>
        <w:rPr>
          <w:bCs/>
          <w:szCs w:val="21"/>
        </w:rPr>
      </w:pPr>
      <w:r>
        <w:rPr>
          <w:bCs/>
          <w:szCs w:val="21"/>
        </w:rPr>
        <w:t>特此证明。</w:t>
      </w:r>
    </w:p>
    <w:p>
      <w:pPr>
        <w:topLinePunct/>
        <w:snapToGrid w:val="0"/>
        <w:spacing w:before="312" w:beforeLines="100" w:after="312" w:afterLines="100"/>
        <w:ind w:left="210" w:leftChars="100" w:right="210" w:rightChars="100" w:firstLine="420" w:firstLineChars="200"/>
      </w:pPr>
      <w:r>
        <w:t>附：法定代表人身份证复印件</w:t>
      </w:r>
      <w:r>
        <w:rPr>
          <w:rFonts w:hint="eastAsia"/>
        </w:rPr>
        <w:t>（</w:t>
      </w:r>
      <w:r>
        <w:rPr>
          <w:rFonts w:hint="eastAsia" w:ascii="宋体" w:hAnsi="宋体"/>
          <w:szCs w:val="21"/>
        </w:rPr>
        <w:t>需同时提供正面及背面</w:t>
      </w:r>
      <w:r>
        <w:rPr>
          <w:rFonts w:hint="eastAsia"/>
        </w:rPr>
        <w:t>）</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0" t="0" r="0" b="635"/>
                <wp:wrapNone/>
                <wp:docPr id="5"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ssAP7PwIAAKIEAAAOAAAAZHJzL2Uyb0RvYy54bWytVMFu&#10;2zAMvQ/YPwi6L47TeG2MOkXRIsOAbgvQ7QNkWY6FSaJGKXGyrx8tp2na7dDDfDBEU3p875Hy9c3e&#10;GrZTGDS4iueTKWfKSWi021T8x/fVhyvOQhSuEQacqvhBBX6zfP/uuvelmkEHplHICMSFsvcV72L0&#10;ZZYF2SkrwgS8cpRsAa2IFOIma1D0hG5NNptOP2Y9YOMRpAqBvt6PSX5ExLcAQttqqe5Bbq1ycURF&#10;ZUQkSaHTPvBlYtu2SsZvbRtUZKbipDSmNxWhdT28s+W1KDcofKflkYJ4C4VXmqzQjoqeoO5FFGyL&#10;+i8oqyVCgDZOJNhsFJIcIRX59JU3j53wKmkhq4M/mR7+H6z8ulsj003FC86csNTw222EVJnNkz+9&#10;DyVte/RrHBQG/wDyZ2AO7jrhNuoWEfpOiYZY5YOf2YsDQxDoKKv7L9AQvCD4ZNW+RTsAkglsnzpy&#10;OHVE7SOT9PFitrgsCqImKTfL84tFXqQaonw67jHETwosGxYVbw30RAzjrYkKnYhqPc5aqil2DyEO&#10;HEX5dC5pAqOblTYmBbip7wyynaCZWaXnWDKcbzOO9RVfFLMiIb/IhXOIaXr+BWE1UWRG24pfnW8y&#10;buCh0vge+T7ZOAx2KOO+3pOKYVlDcyB3EcbRpotNiw7wN2c9jXXFw6+tQMWZ+eyoQ4t8Tl1lMQXz&#10;4nJGAZ5n6vOMcJKgKh45G5d3cbw7W49601GlPIl3MAxNq5O1z6yOs0Cjmxw/XrPhbpzHadfzr2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ssAP7PwIAAKIEAAAOAAAAAAAAAAEAIAAAACYB&#10;AABkcnMvZTJvRG9jLnhtbFBLBQYAAAAABgAGAFkBAADX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0" t="0" r="0" b="635"/>
                <wp:wrapNone/>
                <wp:docPr id="4"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HkgAgJAAgAAogQAAA4AAABkcnMvZTJvRG9jLnhtbK1U&#10;wW7bMAy9D9g/CLovjtN4bYw4RZCiw4BuC9DtAxRZjoVJokYpcbKvHy2nadrt0MN8MERTenzvkfL8&#10;9mAN2ysMGlzF89GYM+Uk1NptK/7j+/2HG85CFK4WBpyq+FEFfrt4/27e+VJNoAVTK2QE4kLZ+Yq3&#10;Mfoyy4JslRVhBF45SjaAVkQKcZvVKDpCtyabjMcfsw6w9ghShUBf74YkPyHiWwChabRUdyB3Vrk4&#10;oKIyIpKk0Gof+CKxbRol47emCSoyU3FSGtObitB607+zxVyUWxS+1fJEQbyFwitNVmhHRc9QdyIK&#10;tkP9F5TVEiFAE0cSbDYISY6Qinz8ypvHVniVtJDVwZ9ND/8PVn7dr5HpuuJTzpyw1PDlLkKqzKbJ&#10;n86HkrY9+jX2CoN/APkzMAerVritWiJC1ypRE6u89zN7caAPAh1lm+4L1AQvCD5ZdWjQ9oBkAjuk&#10;jhzPHVGHyCR9vJrMroui4ExSbpLnV7O8SDVE+XTcY4ifFFjWLyreGOiIGMaliQqdiGo9zFqqKfYP&#10;IfYcRfl0LmkCo+t7bUwKcLtZGWR7QTNzn55TyXC5zTjWVXxWTIqE/CIXLiHG6fkXhNVEkRltK35z&#10;ucm4nodK43vi+2RjP9ihjIfNgVT0yw3UR3IXYRhtuti0aAF/c9bRWFc8/NoJVJyZz446NMun1FUW&#10;UzAtricU4GVmc5kRThJUxSNnw3IVh7uz86i3LVXKk3gH/dA0Oln7zOo0CzS6yfHTNevvxmWcdj3/&#10;Wh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ZQ4IfZAAAACwEAAA8AAAAAAAAAAQAgAAAAIgAA&#10;AGRycy9kb3ducmV2LnhtbFBLAQIUABQAAAAIAIdO4kB5IAICQAIAAKIEAAAOAAAAAAAAAAEAIAAA&#10;ACgBAABkcnMvZTJvRG9jLnhtbFBLBQYAAAAABgAGAFkBAADaBQ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szCs w:val="21"/>
        </w:rPr>
      </w:pPr>
    </w:p>
    <w:p>
      <w:pPr>
        <w:snapToGrid w:val="0"/>
        <w:spacing w:before="312" w:beforeLines="100" w:after="312" w:afterLines="100"/>
        <w:ind w:left="210" w:leftChars="100" w:right="210" w:rightChars="100" w:firstLine="420" w:firstLineChars="200"/>
        <w:rPr>
          <w:szCs w:val="21"/>
        </w:rPr>
      </w:pPr>
      <w:r>
        <w:rPr>
          <w:rFonts w:hint="eastAsia" w:ascii="宋体" w:hAnsi="宋体"/>
          <w:szCs w:val="21"/>
        </w:rPr>
        <w:t>供应商名称</w:t>
      </w:r>
      <w:r>
        <w:rPr>
          <w:szCs w:val="21"/>
        </w:rPr>
        <w:t>：（盖单位公章）</w:t>
      </w:r>
    </w:p>
    <w:p>
      <w:pPr>
        <w:snapToGrid w:val="0"/>
        <w:spacing w:before="312" w:beforeLines="100" w:after="312" w:afterLines="100"/>
        <w:ind w:left="210" w:leftChars="100" w:right="210" w:rightChars="100" w:firstLine="840" w:firstLineChars="400"/>
        <w:rPr>
          <w:szCs w:val="21"/>
        </w:rPr>
      </w:pPr>
      <w:r>
        <w:rPr>
          <w:szCs w:val="21"/>
        </w:rPr>
        <w:t>年月日</w:t>
      </w:r>
    </w:p>
    <w:p>
      <w:pPr>
        <w:snapToGrid w:val="0"/>
        <w:spacing w:before="312" w:beforeLines="100" w:after="312" w:afterLines="100"/>
        <w:ind w:left="210" w:leftChars="100" w:right="210" w:rightChars="100" w:firstLine="420" w:firstLineChars="200"/>
        <w:rPr>
          <w:rFonts w:eastAsia="黑体"/>
          <w:szCs w:val="21"/>
        </w:rPr>
      </w:pPr>
    </w:p>
    <w:p>
      <w:pPr>
        <w:snapToGrid w:val="0"/>
        <w:spacing w:before="312" w:beforeLines="100" w:after="312" w:afterLines="100"/>
        <w:ind w:left="210" w:leftChars="100" w:right="210" w:rightChars="100" w:firstLine="420" w:firstLineChars="200"/>
        <w:rPr>
          <w:rFonts w:eastAsia="黑体"/>
          <w:szCs w:val="21"/>
        </w:rPr>
      </w:pPr>
    </w:p>
    <w:p>
      <w:pPr>
        <w:widowControl/>
        <w:jc w:val="left"/>
        <w:rPr>
          <w:rFonts w:ascii="宋体" w:hAnsi="宋体"/>
          <w:szCs w:val="21"/>
        </w:rPr>
      </w:pPr>
      <w:r>
        <w:rPr>
          <w:rFonts w:ascii="宋体" w:hAnsi="宋体"/>
          <w:szCs w:val="21"/>
        </w:rPr>
        <w:br w:type="page"/>
      </w:r>
    </w:p>
    <w:p>
      <w:pPr>
        <w:spacing w:line="360" w:lineRule="auto"/>
        <w:ind w:firstLine="420" w:firstLineChars="200"/>
        <w:rPr>
          <w:rFonts w:ascii="宋体"/>
          <w:szCs w:val="21"/>
        </w:rPr>
      </w:pP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的在下面签字（或签章）的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项目名称、采购编号</w:t>
      </w:r>
      <w:r>
        <w:rPr>
          <w:rFonts w:ascii="宋体" w:hAnsi="宋体"/>
          <w:szCs w:val="21"/>
        </w:rPr>
        <w:t>]</w:t>
      </w:r>
      <w:r>
        <w:rPr>
          <w:rFonts w:hint="eastAsia" w:ascii="宋体" w:hAnsi="宋体"/>
          <w:szCs w:val="21"/>
        </w:rPr>
        <w:t>参与</w:t>
      </w:r>
      <w:r>
        <w:rPr>
          <w:rFonts w:ascii="宋体" w:hAnsi="宋体"/>
          <w:szCs w:val="21"/>
        </w:rPr>
        <w:t>谈判</w:t>
      </w:r>
      <w:r>
        <w:rPr>
          <w:rFonts w:hint="eastAsia" w:ascii="宋体" w:hAnsi="宋体"/>
          <w:szCs w:val="21"/>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附：委托代理人身份证复印件(需同时提供正面及背面)</w:t>
      </w:r>
    </w:p>
    <w:p>
      <w:pPr>
        <w:snapToGrid w:val="0"/>
        <w:spacing w:before="312" w:beforeLines="100" w:after="312" w:afterLines="100"/>
        <w:ind w:left="210" w:leftChars="100" w:right="210" w:rightChars="100" w:firstLine="420" w:firstLineChars="200"/>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0" t="0" r="0" b="635"/>
                <wp:wrapNone/>
                <wp:docPr id="3"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UdmVgEACAACiBAAADgAAAGRycy9lMm9Eb2MueG1srVTB&#10;btswDL0P2D8Iuq+OnXptjDhFkKLDgG4r0O0DFFm2hUmiRilxuq8fLadt2u3Qw3wwRFN6fO+R8vLq&#10;YA3bKwwaXM3zsxlnyklotOtq/uP7zYdLzkIUrhEGnKr5gwr8avX+3XLwlSqgB9MoZATiQjX4mvcx&#10;+irLguyVFeEMvHKUbAGtiBRilzUoBkK3Jitms4/ZANh4BKlCoK/XU5IfEfEtgNC2WqprkDurXJxQ&#10;URkRSVLotQ98ldi2rZLxW9sGFZmpOSmN6U1FaL0d39lqKaoOhe+1PFIQb6HwSpMV2lHRJ6hrEQXb&#10;of4LymqJEKCNZxJsNglJjpCKfPbKm/teeJW0kNXBP5ke/h+s/Lq/Q6abms85c8JSw9e7CKkyO0/+&#10;DD5UtO3e3+GoMPhbkD8Dc7DphevUGhGGXomGWOWjn9mLA2MQ6CjbDl+gIXhB8MmqQ4t2BCQT2CF1&#10;5OGpI+oQmaSP82JxUZYlZ5JyRZ7PF3mZaojq8bjHED8psGxc1Lw1MBAxjGsTFToR1d00a6mm2N+G&#10;OHIU1eO5pAmMbm60MSnAbrsxyPaCZuYmPceS4XSbcWyo+aIsyoT8IhdOIWbp+ReE1USRGW1rfnm6&#10;ybiRh0rje+T7aOM42KGKh+2BVIzLLTQP5C7CNNp0sWnRA/7mbKCxrnn4tROoODOfHXVokZ9TV1lM&#10;wXl5UVCAp5ntaUY4SVA1j5xNy02c7s7Oo+56qpQn8Q7GoWl1svaZ1XEWaHST48drNt6N0zjtev61&#10;r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DDcs9gAAAAKAQAADwAAAAAAAAABACAAAAAiAAAA&#10;ZHJzL2Rvd25yZXYueG1sUEsBAhQAFAAAAAgAh07iQFHZlYBAAgAAogQAAA4AAAAAAAAAAQAgAAAA&#10;Jw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0" t="0" r="0" b="63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3S0t9kAAAAL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pacing w:line="360" w:lineRule="auto"/>
        <w:rPr>
          <w:rFonts w:ascii="宋体"/>
          <w:szCs w:val="21"/>
          <w:u w:val="single"/>
        </w:rPr>
      </w:pPr>
      <w:r>
        <w:rPr>
          <w:rFonts w:hint="eastAsia" w:ascii="宋体" w:hAnsi="宋体"/>
          <w:szCs w:val="21"/>
        </w:rPr>
        <w:t>供应商名称（盖章）：</w:t>
      </w:r>
    </w:p>
    <w:p>
      <w:pPr>
        <w:spacing w:line="360" w:lineRule="auto"/>
        <w:rPr>
          <w:rFonts w:ascii="宋体"/>
          <w:szCs w:val="21"/>
          <w:u w:val="single"/>
        </w:rPr>
      </w:pPr>
      <w:r>
        <w:rPr>
          <w:rFonts w:hint="eastAsia" w:ascii="宋体" w:hAnsi="宋体"/>
          <w:szCs w:val="21"/>
        </w:rPr>
        <w:t>法定代表人签字（或签章）：</w:t>
      </w:r>
    </w:p>
    <w:p>
      <w:pPr>
        <w:snapToGrid w:val="0"/>
        <w:spacing w:before="312" w:beforeLines="100" w:after="312" w:afterLines="100"/>
        <w:ind w:right="210" w:rightChars="100"/>
        <w:rPr>
          <w:szCs w:val="21"/>
        </w:rPr>
      </w:pPr>
      <w:r>
        <w:rPr>
          <w:rFonts w:hint="eastAsia" w:ascii="宋体" w:hAnsi="宋体"/>
          <w:szCs w:val="21"/>
        </w:rPr>
        <w:t>被授权人签字：</w:t>
      </w:r>
    </w:p>
    <w:p>
      <w:pPr>
        <w:snapToGrid w:val="0"/>
        <w:spacing w:before="312" w:beforeLines="100" w:after="312" w:afterLines="100"/>
        <w:ind w:left="210" w:leftChars="100" w:right="210" w:rightChars="100" w:firstLine="420" w:firstLineChars="200"/>
        <w:rPr>
          <w:rFonts w:ascii="宋体"/>
          <w:szCs w:val="21"/>
          <w:u w:val="single"/>
        </w:rPr>
      </w:pPr>
    </w:p>
    <w:p>
      <w:pPr>
        <w:pStyle w:val="5"/>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83" w:name="_Toc26259743"/>
      <w:bookmarkStart w:id="84" w:name="_Toc69378667"/>
      <w:bookmarkStart w:id="85" w:name="_Toc26260037"/>
    </w:p>
    <w:p>
      <w:pPr>
        <w:pStyle w:val="5"/>
        <w:numPr>
          <w:ilvl w:val="0"/>
          <w:numId w:val="0"/>
        </w:numPr>
        <w:snapToGrid w:val="0"/>
        <w:spacing w:before="312" w:beforeLines="100" w:after="312" w:afterLines="100"/>
        <w:ind w:right="210" w:rightChars="100"/>
        <w:rPr>
          <w:rStyle w:val="106"/>
          <w:bCs/>
          <w:sz w:val="24"/>
          <w:szCs w:val="24"/>
        </w:rPr>
      </w:pPr>
      <w:r>
        <w:rPr>
          <w:rStyle w:val="106"/>
          <w:rFonts w:hint="eastAsia" w:hAnsi="宋体"/>
          <w:b w:val="0"/>
          <w:bCs w:val="0"/>
          <w:sz w:val="24"/>
          <w:szCs w:val="24"/>
        </w:rPr>
        <w:t>附件</w:t>
      </w:r>
      <w:r>
        <w:rPr>
          <w:rStyle w:val="106"/>
          <w:rFonts w:hAnsi="宋体"/>
          <w:b w:val="0"/>
          <w:bCs w:val="0"/>
          <w:sz w:val="24"/>
          <w:szCs w:val="24"/>
        </w:rPr>
        <w:t>6</w:t>
      </w:r>
      <w:r>
        <w:rPr>
          <w:rStyle w:val="106"/>
          <w:rFonts w:hint="eastAsia" w:hAnsi="宋体"/>
          <w:b w:val="0"/>
          <w:bCs w:val="0"/>
          <w:sz w:val="24"/>
          <w:szCs w:val="24"/>
        </w:rPr>
        <w:t>：技术规范偏离表</w:t>
      </w:r>
      <w:bookmarkEnd w:id="83"/>
      <w:bookmarkEnd w:id="84"/>
      <w:bookmarkEnd w:id="85"/>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供应商名称：采购编号：</w:t>
      </w:r>
    </w:p>
    <w:tbl>
      <w:tblPr>
        <w:tblStyle w:val="5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851"/>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13" w:type="dxa"/>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2851" w:type="dxa"/>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竞争性磋商文件</w:t>
            </w:r>
            <w:r>
              <w:rPr>
                <w:rFonts w:hint="eastAsia" w:ascii="宋体"/>
                <w:bCs/>
                <w:szCs w:val="21"/>
              </w:rPr>
              <w:t>技术需求</w:t>
            </w:r>
            <w:r>
              <w:rPr>
                <w:rFonts w:hint="eastAsia" w:ascii="宋体" w:hAnsi="宋体"/>
                <w:szCs w:val="21"/>
              </w:rPr>
              <w:t>书要求</w:t>
            </w:r>
          </w:p>
        </w:tc>
        <w:tc>
          <w:tcPr>
            <w:tcW w:w="2646" w:type="dxa"/>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2110" w:type="dxa"/>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1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851"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646"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11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851"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646"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11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851"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646"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11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851"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646"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11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851"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646"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11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851"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646"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11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851"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646"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11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851"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646"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11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851"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646"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11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r>
        <w:rPr>
          <w:rFonts w:hint="eastAsia" w:ascii="宋体" w:hAnsi="宋体"/>
          <w:szCs w:val="21"/>
          <w:u w:val="single"/>
        </w:rPr>
        <w:t>：</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作为响应文件重要的组成部分，任何通过简单拷贝竞争性磋商文件技术要求或简单标注“符合”“满足”或使用“明白”、“理解”、“部分满足”等含混词语的响应文件将被视为实质性不符合。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偏离包括正、负偏离，正偏离指供应商的响应高于竞争性磋商文件要求，负偏离指供应商的响应低于竞争性磋商文件要求。</w:t>
      </w:r>
    </w:p>
    <w:p>
      <w:pPr>
        <w:pStyle w:val="5"/>
        <w:numPr>
          <w:ilvl w:val="0"/>
          <w:numId w:val="0"/>
        </w:numPr>
        <w:snapToGrid w:val="0"/>
        <w:spacing w:before="312" w:beforeLines="100" w:after="312" w:afterLines="100"/>
        <w:ind w:right="210" w:rightChars="100"/>
        <w:rPr>
          <w:rStyle w:val="106"/>
          <w:b w:val="0"/>
          <w:bCs w:val="0"/>
          <w:sz w:val="24"/>
          <w:szCs w:val="24"/>
        </w:rPr>
      </w:pPr>
      <w:r>
        <w:rPr>
          <w:szCs w:val="24"/>
        </w:rPr>
        <w:br w:type="page"/>
      </w:r>
      <w:bookmarkStart w:id="86" w:name="_Toc69378668"/>
      <w:bookmarkStart w:id="87" w:name="_Toc161767433"/>
      <w:bookmarkStart w:id="88" w:name="_Toc26260038"/>
      <w:bookmarkStart w:id="89" w:name="_Toc135999012"/>
      <w:bookmarkStart w:id="90" w:name="_Toc26259744"/>
      <w:r>
        <w:rPr>
          <w:rStyle w:val="106"/>
          <w:rFonts w:hint="eastAsia" w:hAnsi="宋体"/>
          <w:b w:val="0"/>
          <w:bCs w:val="0"/>
          <w:sz w:val="24"/>
          <w:szCs w:val="24"/>
        </w:rPr>
        <w:t>附件</w:t>
      </w:r>
      <w:r>
        <w:rPr>
          <w:rStyle w:val="106"/>
          <w:rFonts w:hAnsi="宋体"/>
          <w:b w:val="0"/>
          <w:bCs w:val="0"/>
          <w:sz w:val="24"/>
          <w:szCs w:val="24"/>
        </w:rPr>
        <w:t>7</w:t>
      </w:r>
      <w:r>
        <w:rPr>
          <w:rStyle w:val="106"/>
          <w:rFonts w:hint="eastAsia" w:hAnsi="宋体"/>
          <w:b w:val="0"/>
          <w:bCs w:val="0"/>
          <w:sz w:val="24"/>
          <w:szCs w:val="24"/>
        </w:rPr>
        <w:t>：资格证明文件</w:t>
      </w:r>
      <w:bookmarkEnd w:id="86"/>
      <w:bookmarkEnd w:id="87"/>
      <w:bookmarkEnd w:id="88"/>
      <w:bookmarkEnd w:id="89"/>
      <w:bookmarkEnd w:id="90"/>
    </w:p>
    <w:p>
      <w:pPr>
        <w:snapToGrid w:val="0"/>
        <w:spacing w:before="312" w:beforeLines="100" w:after="312" w:afterLines="100"/>
        <w:ind w:left="210" w:leftChars="100" w:right="210" w:rightChars="100" w:firstLine="420" w:firstLineChars="200"/>
        <w:rPr>
          <w:rFonts w:ascii="宋体"/>
        </w:rPr>
      </w:pPr>
    </w:p>
    <w:p>
      <w:r>
        <w:rPr>
          <w:rFonts w:hint="eastAsia"/>
        </w:rPr>
        <w:t>填写须知</w:t>
      </w:r>
    </w:p>
    <w:p>
      <w:pPr>
        <w:numPr>
          <w:ilvl w:val="0"/>
          <w:numId w:val="20"/>
        </w:numPr>
        <w:spacing w:line="360" w:lineRule="auto"/>
        <w:rPr>
          <w:rFonts w:ascii="宋体"/>
          <w:szCs w:val="21"/>
        </w:rPr>
      </w:pPr>
      <w:r>
        <w:rPr>
          <w:rFonts w:hint="eastAsia" w:ascii="宋体"/>
          <w:szCs w:val="21"/>
        </w:rPr>
        <w:t>供应商应填写和提交下述规定的全部格式以及其它有关资料。</w:t>
      </w:r>
    </w:p>
    <w:p>
      <w:pPr>
        <w:numPr>
          <w:ilvl w:val="0"/>
          <w:numId w:val="20"/>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20"/>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20"/>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20"/>
        </w:numPr>
        <w:spacing w:line="360" w:lineRule="auto"/>
        <w:rPr>
          <w:rFonts w:ascii="宋体"/>
          <w:szCs w:val="21"/>
        </w:rPr>
      </w:pPr>
      <w:r>
        <w:rPr>
          <w:rFonts w:hint="eastAsia" w:ascii="宋体"/>
          <w:szCs w:val="21"/>
        </w:rPr>
        <w:t>供应商提交的材料将被保密，但不退还。</w:t>
      </w:r>
    </w:p>
    <w:p>
      <w:pPr>
        <w:numPr>
          <w:ilvl w:val="0"/>
          <w:numId w:val="20"/>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left="210" w:leftChars="100" w:right="210" w:rightChars="100" w:firstLine="420" w:firstLineChars="200"/>
        <w:rPr>
          <w:rFonts w:ascii="黑体" w:eastAsia="黑体"/>
          <w:b/>
        </w:rPr>
      </w:pPr>
      <w:r>
        <w:rPr>
          <w:rFonts w:ascii="宋体"/>
        </w:rPr>
        <w:br w:type="page"/>
      </w:r>
      <w:r>
        <w:rPr>
          <w:rFonts w:ascii="黑体" w:eastAsia="黑体"/>
          <w:b/>
        </w:rPr>
        <w:t xml:space="preserve">7-1  </w:t>
      </w:r>
      <w:r>
        <w:rPr>
          <w:rFonts w:hint="eastAsia" w:ascii="黑体" w:eastAsia="黑体"/>
          <w:b/>
        </w:rPr>
        <w:t>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采购编号</w:t>
      </w:r>
      <w:r>
        <w:rPr>
          <w:rFonts w:ascii="宋体" w:hAnsi="宋体"/>
          <w:szCs w:val="21"/>
          <w:u w:val="single"/>
        </w:rPr>
        <w:t>]</w:t>
      </w:r>
      <w:r>
        <w:rPr>
          <w:rFonts w:ascii="宋体" w:hAnsi="宋体"/>
          <w:szCs w:val="21"/>
        </w:rPr>
        <w:t>采购公告</w:t>
      </w:r>
      <w:r>
        <w:rPr>
          <w:rFonts w:hint="eastAsia" w:ascii="宋体" w:hAnsi="宋体"/>
          <w:szCs w:val="21"/>
        </w:rPr>
        <w:t>，下述签字人自愿参与磋商，提供竞争性磋商文件技术需求书中规定的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21"/>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21"/>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21"/>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供应商</w:t>
      </w:r>
      <w:r>
        <w:rPr>
          <w:rFonts w:hint="eastAsia" w:ascii="宋体" w:hAnsi="宋体"/>
          <w:szCs w:val="21"/>
        </w:rPr>
        <w:t>授权签署本资格文件</w:t>
      </w:r>
    </w:p>
    <w:p>
      <w:pPr>
        <w:spacing w:line="360" w:lineRule="auto"/>
        <w:rPr>
          <w:rFonts w:ascii="宋体" w:hAnsi="宋体"/>
          <w:szCs w:val="21"/>
        </w:rPr>
      </w:pPr>
      <w:r>
        <w:rPr>
          <w:rFonts w:hint="eastAsia" w:ascii="宋体" w:hAnsi="宋体"/>
          <w:szCs w:val="21"/>
        </w:rPr>
        <w:t>名称（盖章）签字人姓名、职务（印刷字体）</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u w:val="single"/>
        </w:rPr>
      </w:pPr>
      <w:r>
        <w:rPr>
          <w:rFonts w:hint="eastAsia" w:ascii="宋体" w:hAnsi="宋体"/>
          <w:szCs w:val="21"/>
        </w:rPr>
        <w:t>传真签字：</w:t>
      </w:r>
    </w:p>
    <w:p>
      <w:pPr>
        <w:spacing w:line="360" w:lineRule="auto"/>
        <w:rPr>
          <w:rFonts w:ascii="宋体" w:hAnsi="宋体"/>
          <w:szCs w:val="21"/>
          <w:u w:val="single"/>
        </w:rPr>
      </w:pPr>
      <w:r>
        <w:rPr>
          <w:rFonts w:hint="eastAsia" w:ascii="宋体" w:hAnsi="宋体"/>
          <w:szCs w:val="21"/>
        </w:rPr>
        <w:t>邮编电话：</w:t>
      </w:r>
    </w:p>
    <w:p>
      <w:pPr>
        <w:snapToGrid w:val="0"/>
        <w:spacing w:before="312" w:beforeLines="100" w:after="312" w:afterLines="100"/>
        <w:ind w:left="210" w:leftChars="100" w:right="210" w:rightChars="100" w:firstLine="420" w:firstLineChars="200"/>
        <w:rPr>
          <w:rFonts w:ascii="宋体"/>
          <w:u w:val="single"/>
        </w:rPr>
      </w:pPr>
    </w:p>
    <w:p>
      <w:pPr>
        <w:snapToGrid w:val="0"/>
        <w:spacing w:before="312" w:beforeLines="100" w:after="312" w:afterLines="100"/>
        <w:ind w:left="210" w:leftChars="100" w:right="210" w:rightChars="100" w:firstLine="420" w:firstLineChars="200"/>
        <w:rPr>
          <w:rFonts w:ascii="黑体" w:eastAsia="黑体"/>
          <w:b/>
        </w:rPr>
      </w:pPr>
      <w:r>
        <w:rPr>
          <w:rFonts w:ascii="宋体"/>
          <w:u w:val="single"/>
        </w:rPr>
        <w:br w:type="page"/>
      </w:r>
      <w:r>
        <w:rPr>
          <w:rFonts w:ascii="黑体" w:eastAsia="黑体"/>
          <w:b/>
        </w:rPr>
        <w:t xml:space="preserve">7-2  </w:t>
      </w:r>
      <w:r>
        <w:rPr>
          <w:rFonts w:hint="eastAsia" w:ascii="黑体" w:eastAsia="黑体"/>
          <w:b/>
        </w:rPr>
        <w:t>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22"/>
        </w:numPr>
        <w:spacing w:line="360" w:lineRule="auto"/>
        <w:rPr>
          <w:rFonts w:ascii="宋体" w:hAnsi="宋体"/>
          <w:szCs w:val="21"/>
          <w:u w:val="single"/>
        </w:rPr>
      </w:pPr>
      <w:r>
        <w:rPr>
          <w:rFonts w:hint="eastAsia" w:ascii="宋体" w:hAnsi="宋体"/>
          <w:szCs w:val="21"/>
        </w:rPr>
        <w:t>供应商名称：</w:t>
      </w:r>
    </w:p>
    <w:p>
      <w:pPr>
        <w:numPr>
          <w:ilvl w:val="0"/>
          <w:numId w:val="22"/>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22"/>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22"/>
        </w:numPr>
        <w:spacing w:line="360" w:lineRule="auto"/>
        <w:rPr>
          <w:rFonts w:ascii="宋体" w:hAnsi="宋体"/>
          <w:szCs w:val="21"/>
        </w:rPr>
      </w:pPr>
      <w:r>
        <w:rPr>
          <w:rFonts w:hint="eastAsia" w:ascii="宋体" w:hAnsi="宋体"/>
          <w:szCs w:val="21"/>
        </w:rPr>
        <w:t>实收资本：</w:t>
      </w:r>
    </w:p>
    <w:p>
      <w:pPr>
        <w:numPr>
          <w:ilvl w:val="0"/>
          <w:numId w:val="22"/>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22"/>
        </w:numPr>
        <w:spacing w:line="360" w:lineRule="auto"/>
        <w:rPr>
          <w:rFonts w:ascii="宋体" w:hAnsi="宋体"/>
          <w:szCs w:val="21"/>
          <w:u w:val="single"/>
        </w:rPr>
      </w:pPr>
      <w:r>
        <w:rPr>
          <w:rFonts w:hint="eastAsia" w:ascii="宋体" w:hAnsi="宋体"/>
          <w:szCs w:val="21"/>
        </w:rPr>
        <w:t>主要负责人名称：（可选填）</w:t>
      </w:r>
    </w:p>
    <w:p>
      <w:pPr>
        <w:numPr>
          <w:ilvl w:val="0"/>
          <w:numId w:val="22"/>
        </w:numPr>
        <w:spacing w:line="360" w:lineRule="auto"/>
        <w:rPr>
          <w:rFonts w:ascii="宋体" w:hAnsi="宋体"/>
          <w:szCs w:val="21"/>
        </w:rPr>
      </w:pPr>
      <w:r>
        <w:rPr>
          <w:rFonts w:hint="eastAsia" w:ascii="宋体" w:hAnsi="宋体"/>
          <w:szCs w:val="21"/>
        </w:rPr>
        <w:t>供应商在中国的代表的姓名和地址：（可选填）</w:t>
      </w:r>
    </w:p>
    <w:p>
      <w:pPr>
        <w:numPr>
          <w:ilvl w:val="0"/>
          <w:numId w:val="22"/>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22"/>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22"/>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u w:val="single"/>
        </w:rPr>
      </w:pPr>
      <w:r>
        <w:rPr>
          <w:rFonts w:hint="eastAsia" w:ascii="宋体" w:hAnsi="宋体"/>
          <w:szCs w:val="21"/>
        </w:rPr>
        <w:t>电子函件：</w:t>
      </w:r>
    </w:p>
    <w:p>
      <w:pPr>
        <w:snapToGrid w:val="0"/>
        <w:spacing w:before="312" w:beforeLines="100" w:after="312" w:afterLines="100"/>
        <w:ind w:left="210" w:leftChars="100" w:right="210" w:rightChars="100" w:firstLine="420" w:firstLineChars="200"/>
        <w:rPr>
          <w:rFonts w:ascii="宋体" w:hAnsi="宋体"/>
          <w:szCs w:val="21"/>
          <w:u w:val="single"/>
        </w:rPr>
      </w:pPr>
    </w:p>
    <w:p>
      <w:pPr>
        <w:pStyle w:val="5"/>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91" w:name="_Toc26259745"/>
      <w:bookmarkStart w:id="92" w:name="_Toc69378669"/>
      <w:bookmarkStart w:id="93" w:name="_Toc26260039"/>
      <w:r>
        <w:rPr>
          <w:rStyle w:val="106"/>
          <w:rFonts w:hint="eastAsia" w:hAnsi="宋体"/>
          <w:b w:val="0"/>
          <w:bCs w:val="0"/>
          <w:sz w:val="24"/>
          <w:szCs w:val="24"/>
        </w:rPr>
        <w:t>附件</w:t>
      </w:r>
      <w:r>
        <w:rPr>
          <w:rStyle w:val="106"/>
          <w:rFonts w:hAnsi="宋体"/>
          <w:b w:val="0"/>
          <w:bCs w:val="0"/>
          <w:sz w:val="24"/>
          <w:szCs w:val="24"/>
        </w:rPr>
        <w:t>8</w:t>
      </w:r>
      <w:r>
        <w:rPr>
          <w:rStyle w:val="106"/>
          <w:rFonts w:hint="eastAsia" w:hAnsi="宋体"/>
          <w:b w:val="0"/>
          <w:bCs w:val="0"/>
          <w:sz w:val="24"/>
          <w:szCs w:val="24"/>
        </w:rPr>
        <w:t>：项目业绩及证明文件</w:t>
      </w:r>
      <w:bookmarkEnd w:id="91"/>
      <w:bookmarkEnd w:id="92"/>
      <w:bookmarkEnd w:id="93"/>
    </w:p>
    <w:tbl>
      <w:tblPr>
        <w:tblStyle w:val="53"/>
        <w:tblW w:w="7764" w:type="dxa"/>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w:t>
            </w:r>
          </w:p>
          <w:p>
            <w:pPr>
              <w:jc w:val="center"/>
              <w:rPr>
                <w:rFonts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项目规模</w:t>
            </w:r>
          </w:p>
          <w:p>
            <w:pPr>
              <w:jc w:val="center"/>
              <w:rPr>
                <w:rFonts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p>
        </w:tc>
      </w:tr>
    </w:tbl>
    <w:p>
      <w:pPr>
        <w:spacing w:line="480" w:lineRule="auto"/>
      </w:pPr>
    </w:p>
    <w:p>
      <w:pPr>
        <w:spacing w:line="480" w:lineRule="auto"/>
        <w:rPr>
          <w:i/>
        </w:rPr>
      </w:pPr>
      <w:r>
        <w:rPr>
          <w:rFonts w:hint="eastAsia"/>
        </w:rPr>
        <w:t>供应商</w:t>
      </w:r>
      <w:r>
        <w:t>名称（公章）：</w:t>
      </w:r>
      <w:r>
        <w:rPr>
          <w:rFonts w:hint="eastAsia"/>
        </w:rPr>
        <w:t>供应商</w:t>
      </w:r>
      <w:r>
        <w:t>代表签字</w:t>
      </w:r>
      <w:r>
        <w:rPr>
          <w:u w:val="single"/>
        </w:rPr>
        <w:t>：</w:t>
      </w:r>
    </w:p>
    <w:p>
      <w:pPr>
        <w:spacing w:line="480" w:lineRule="auto"/>
      </w:pPr>
      <w:r>
        <w:t>填表说明：1</w:t>
      </w:r>
      <w:r>
        <w:rPr>
          <w:rFonts w:hint="eastAsia"/>
        </w:rPr>
        <w:t>.供应商须根据合格供应商和评审办法关于业绩的要求，在响应文件中如实提供相应数量的合同复印件或其它证明文件。</w:t>
      </w:r>
    </w:p>
    <w:p>
      <w:pPr>
        <w:spacing w:line="480" w:lineRule="auto"/>
        <w:rPr>
          <w:rStyle w:val="106"/>
          <w:rFonts w:ascii="Times New Roman" w:hAnsi="Times New Roman" w:eastAsia="宋体"/>
          <w:b w:val="0"/>
          <w:bCs w:val="0"/>
          <w:sz w:val="21"/>
          <w:szCs w:val="24"/>
        </w:rPr>
      </w:pPr>
      <w:r>
        <w:t>2</w:t>
      </w:r>
      <w:r>
        <w:rPr>
          <w:rFonts w:hint="eastAsia"/>
        </w:rPr>
        <w:t>．供应商需按照表格的顺序装订合同复印件，合同装订顺序须与表中所列项目顺序一致。</w:t>
      </w:r>
      <w:bookmarkEnd w:id="42"/>
      <w:bookmarkEnd w:id="69"/>
      <w:bookmarkEnd w:id="70"/>
      <w:bookmarkEnd w:id="71"/>
    </w:p>
    <w:p>
      <w:pPr>
        <w:widowControl/>
        <w:jc w:val="left"/>
      </w:pPr>
      <w:r>
        <w:br w:type="page"/>
      </w:r>
    </w:p>
    <w:p>
      <w:pPr>
        <w:pStyle w:val="4"/>
        <w:numPr>
          <w:ilvl w:val="0"/>
          <w:numId w:val="0"/>
        </w:numPr>
        <w:spacing w:line="360" w:lineRule="auto"/>
        <w:rPr>
          <w:sz w:val="52"/>
          <w:szCs w:val="52"/>
        </w:rPr>
      </w:pPr>
      <w:bookmarkStart w:id="94" w:name="_Hlk104374920"/>
      <w:r>
        <w:rPr>
          <w:rFonts w:hint="eastAsia"/>
          <w:b/>
          <w:sz w:val="36"/>
          <w:szCs w:val="36"/>
        </w:rPr>
        <w:t>第七章  其他</w:t>
      </w:r>
    </w:p>
    <w:p>
      <w:pPr>
        <w:widowControl/>
        <w:jc w:val="left"/>
        <w:rPr>
          <w:b/>
          <w:sz w:val="24"/>
        </w:rPr>
      </w:pPr>
      <w:bookmarkStart w:id="95" w:name="_Toc15025"/>
      <w:r>
        <w:rPr>
          <w:rFonts w:hint="eastAsia"/>
          <w:b/>
          <w:sz w:val="24"/>
        </w:rPr>
        <w:t>响应</w:t>
      </w:r>
      <w:r>
        <w:rPr>
          <w:b/>
          <w:sz w:val="24"/>
        </w:rPr>
        <w:t>文件</w:t>
      </w:r>
      <w:r>
        <w:rPr>
          <w:b/>
          <w:kern w:val="11"/>
          <w:sz w:val="24"/>
        </w:rPr>
        <w:t>封套格式</w:t>
      </w:r>
      <w:r>
        <w:rPr>
          <w:b/>
          <w:sz w:val="24"/>
        </w:rPr>
        <w:t>如下：</w:t>
      </w:r>
      <w:bookmarkEnd w:id="95"/>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sz w:val="32"/>
                <w:szCs w:val="32"/>
                <w:u w:val="single"/>
              </w:rPr>
            </w:pPr>
          </w:p>
          <w:p>
            <w:pPr>
              <w:jc w:val="center"/>
              <w:rPr>
                <w:rFonts w:eastAsia="黑体"/>
                <w:sz w:val="32"/>
                <w:szCs w:val="32"/>
              </w:rPr>
            </w:pPr>
            <w:r>
              <w:rPr>
                <w:rFonts w:hint="eastAsia" w:eastAsia="黑体"/>
                <w:sz w:val="32"/>
                <w:szCs w:val="32"/>
              </w:rPr>
              <w:t>江苏省广电有线信息网络股份有限公司</w:t>
            </w:r>
          </w:p>
          <w:p>
            <w:pPr>
              <w:jc w:val="center"/>
              <w:rPr>
                <w:rFonts w:eastAsia="黑体"/>
                <w:sz w:val="32"/>
                <w:szCs w:val="32"/>
              </w:rPr>
            </w:pPr>
            <w:r>
              <w:rPr>
                <w:rFonts w:hint="eastAsia" w:eastAsia="黑体"/>
                <w:sz w:val="32"/>
                <w:szCs w:val="32"/>
              </w:rPr>
              <w:t>XXX项目</w:t>
            </w:r>
          </w:p>
          <w:p>
            <w:pPr>
              <w:spacing w:before="312" w:beforeLines="100" w:after="312" w:afterLines="100"/>
              <w:jc w:val="center"/>
              <w:rPr>
                <w:rFonts w:eastAsia="黑体"/>
                <w:sz w:val="28"/>
                <w:szCs w:val="28"/>
              </w:rPr>
            </w:pPr>
          </w:p>
          <w:p>
            <w:pPr>
              <w:pStyle w:val="2"/>
              <w:spacing w:before="312" w:beforeLines="100" w:after="312" w:afterLines="100"/>
              <w:jc w:val="center"/>
              <w:rPr>
                <w:rFonts w:eastAsia="黑体"/>
                <w:szCs w:val="28"/>
              </w:rPr>
            </w:pPr>
          </w:p>
          <w:p>
            <w:pPr>
              <w:pStyle w:val="2"/>
            </w:pPr>
          </w:p>
          <w:p/>
          <w:p>
            <w:pPr>
              <w:jc w:val="center"/>
              <w:rPr>
                <w:rFonts w:eastAsia="黑体"/>
                <w:sz w:val="52"/>
                <w:szCs w:val="36"/>
              </w:rPr>
            </w:pPr>
            <w:r>
              <w:rPr>
                <w:rFonts w:hint="eastAsia" w:eastAsia="黑体"/>
                <w:sz w:val="52"/>
                <w:szCs w:val="36"/>
              </w:rPr>
              <w:t>响应文件</w:t>
            </w:r>
          </w:p>
          <w:p>
            <w:pPr>
              <w:spacing w:after="120"/>
              <w:jc w:val="center"/>
              <w:rPr>
                <w:rFonts w:eastAsia="PMingLiU"/>
                <w:sz w:val="36"/>
                <w:szCs w:val="36"/>
                <w:lang w:val="zh-TW" w:eastAsia="zh-TW"/>
              </w:rPr>
            </w:pPr>
            <w:r>
              <w:rPr>
                <w:rFonts w:hint="eastAsia" w:eastAsia="黑体"/>
                <w:sz w:val="28"/>
                <w:szCs w:val="28"/>
              </w:rPr>
              <w:t>（开标时间以前不得开封）</w:t>
            </w:r>
          </w:p>
          <w:p>
            <w:pPr>
              <w:spacing w:before="312" w:beforeLines="100" w:after="312" w:afterLines="100"/>
              <w:jc w:val="center"/>
              <w:rPr>
                <w:rFonts w:eastAsia="黑体"/>
                <w:sz w:val="52"/>
                <w:szCs w:val="36"/>
              </w:rPr>
            </w:pPr>
          </w:p>
          <w:p>
            <w:pPr>
              <w:pStyle w:val="2"/>
              <w:spacing w:before="312" w:beforeLines="100" w:after="312" w:afterLines="100"/>
              <w:jc w:val="center"/>
              <w:rPr>
                <w:rFonts w:eastAsia="黑体"/>
                <w:sz w:val="52"/>
                <w:szCs w:val="36"/>
              </w:rPr>
            </w:pPr>
          </w:p>
          <w:p>
            <w:pPr>
              <w:spacing w:line="360" w:lineRule="auto"/>
              <w:jc w:val="center"/>
              <w:rPr>
                <w:rFonts w:eastAsia="黑体"/>
                <w:sz w:val="24"/>
              </w:rPr>
            </w:pPr>
            <w:r>
              <w:rPr>
                <w:rFonts w:hint="eastAsia" w:eastAsia="黑体"/>
                <w:sz w:val="24"/>
              </w:rPr>
              <w:t>供应商</w:t>
            </w:r>
            <w:r>
              <w:rPr>
                <w:rFonts w:eastAsia="黑体"/>
                <w:sz w:val="24"/>
              </w:rPr>
              <w:t>：</w:t>
            </w:r>
            <w:r>
              <w:rPr>
                <w:rFonts w:eastAsia="黑体"/>
                <w:sz w:val="24"/>
                <w:u w:val="single"/>
              </w:rPr>
              <w:t xml:space="preserve">                         </w:t>
            </w:r>
            <w:r>
              <w:rPr>
                <w:rFonts w:eastAsia="黑体"/>
                <w:sz w:val="24"/>
              </w:rPr>
              <w:t>（盖单位章）</w:t>
            </w:r>
          </w:p>
          <w:p>
            <w:pPr>
              <w:spacing w:line="360" w:lineRule="auto"/>
              <w:jc w:val="center"/>
              <w:rPr>
                <w:rFonts w:eastAsia="黑体"/>
                <w:sz w:val="24"/>
              </w:rPr>
            </w:pPr>
            <w:r>
              <w:rPr>
                <w:rFonts w:eastAsia="黑体"/>
                <w:sz w:val="24"/>
              </w:rPr>
              <w:t>法定代表人或其委托的代理人：</w:t>
            </w:r>
            <w:r>
              <w:rPr>
                <w:rFonts w:eastAsia="黑体"/>
                <w:sz w:val="24"/>
                <w:u w:val="single"/>
              </w:rPr>
              <w:t xml:space="preserve">             </w:t>
            </w:r>
            <w:r>
              <w:rPr>
                <w:rFonts w:eastAsia="黑体"/>
                <w:sz w:val="24"/>
              </w:rPr>
              <w:t>（签字）</w:t>
            </w:r>
          </w:p>
          <w:p>
            <w:pPr>
              <w:spacing w:line="360" w:lineRule="auto"/>
              <w:ind w:firstLine="1440" w:firstLineChars="600"/>
              <w:rPr>
                <w:rFonts w:eastAsia="黑体"/>
                <w:sz w:val="24"/>
                <w:u w:val="single"/>
              </w:rPr>
            </w:pPr>
            <w:r>
              <w:rPr>
                <w:rFonts w:hint="eastAsia" w:eastAsia="黑体"/>
                <w:sz w:val="24"/>
              </w:rPr>
              <w:t>供应商</w:t>
            </w:r>
            <w:r>
              <w:rPr>
                <w:rFonts w:eastAsia="黑体"/>
                <w:sz w:val="24"/>
              </w:rPr>
              <w:t>地址：</w:t>
            </w:r>
            <w:r>
              <w:rPr>
                <w:rFonts w:eastAsia="黑体"/>
                <w:sz w:val="24"/>
                <w:u w:val="single"/>
              </w:rPr>
              <w:t xml:space="preserve">                            </w:t>
            </w:r>
          </w:p>
          <w:p>
            <w:pPr>
              <w:spacing w:after="624" w:afterLines="200"/>
              <w:ind w:firstLine="3000" w:firstLineChars="1250"/>
              <w:rPr>
                <w:kern w:val="11"/>
              </w:rPr>
            </w:pPr>
            <w:r>
              <w:rPr>
                <w:rFonts w:hint="eastAsia" w:eastAsia="黑体"/>
                <w:sz w:val="24"/>
              </w:rPr>
              <w:t xml:space="preserve"> </w:t>
            </w:r>
            <w:r>
              <w:rPr>
                <w:rFonts w:hint="eastAsia" w:eastAsia="黑体"/>
                <w:sz w:val="24"/>
                <w:u w:val="single"/>
              </w:rPr>
              <w:t xml:space="preserve">       </w:t>
            </w:r>
            <w:r>
              <w:rPr>
                <w:rFonts w:eastAsia="黑体"/>
                <w:sz w:val="24"/>
              </w:rPr>
              <w:t>年</w:t>
            </w:r>
            <w:r>
              <w:rPr>
                <w:rFonts w:eastAsia="黑体"/>
                <w:sz w:val="24"/>
                <w:u w:val="single"/>
              </w:rPr>
              <w:t xml:space="preserve">    </w:t>
            </w:r>
            <w:r>
              <w:rPr>
                <w:rFonts w:eastAsia="黑体"/>
                <w:sz w:val="24"/>
              </w:rPr>
              <w:t>月</w:t>
            </w:r>
            <w:r>
              <w:rPr>
                <w:rFonts w:eastAsia="黑体"/>
                <w:sz w:val="24"/>
                <w:u w:val="single"/>
              </w:rPr>
              <w:t xml:space="preserve">    </w:t>
            </w:r>
            <w:r>
              <w:rPr>
                <w:rFonts w:eastAsia="黑体"/>
                <w:sz w:val="24"/>
              </w:rPr>
              <w:t>日</w:t>
            </w:r>
          </w:p>
        </w:tc>
      </w:tr>
    </w:tbl>
    <w:p>
      <w:pPr>
        <w:rPr>
          <w:kern w:val="11"/>
          <w:sz w:val="24"/>
        </w:rPr>
      </w:pPr>
    </w:p>
    <w:p>
      <w:pPr>
        <w:widowControl/>
        <w:jc w:val="left"/>
      </w:pPr>
    </w:p>
    <w:p>
      <w:pPr>
        <w:widowControl/>
        <w:spacing w:line="360" w:lineRule="auto"/>
        <w:jc w:val="left"/>
        <w:rPr>
          <w:kern w:val="11"/>
          <w:sz w:val="24"/>
        </w:rPr>
      </w:pPr>
    </w:p>
    <w:p>
      <w:pPr>
        <w:widowControl/>
        <w:spacing w:line="360" w:lineRule="auto"/>
        <w:jc w:val="left"/>
        <w:rPr>
          <w:sz w:val="24"/>
        </w:rPr>
      </w:pPr>
      <w:r>
        <w:rPr>
          <w:rFonts w:hint="eastAsia"/>
          <w:kern w:val="11"/>
          <w:sz w:val="24"/>
        </w:rPr>
        <w:t>响应文件电子版</w:t>
      </w:r>
      <w:r>
        <w:rPr>
          <w:kern w:val="11"/>
          <w:sz w:val="24"/>
        </w:rPr>
        <w:t>封套格式</w:t>
      </w:r>
      <w:r>
        <w:rPr>
          <w:sz w:val="24"/>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sz w:val="32"/>
                <w:szCs w:val="32"/>
                <w:u w:val="single"/>
              </w:rPr>
            </w:pPr>
          </w:p>
          <w:p>
            <w:pPr>
              <w:jc w:val="center"/>
              <w:rPr>
                <w:rFonts w:eastAsia="黑体"/>
                <w:sz w:val="32"/>
                <w:szCs w:val="32"/>
              </w:rPr>
            </w:pPr>
            <w:r>
              <w:rPr>
                <w:rFonts w:hint="eastAsia" w:eastAsia="黑体"/>
                <w:sz w:val="32"/>
                <w:szCs w:val="32"/>
              </w:rPr>
              <w:t>江苏省广电有线信息网络股份有限公司</w:t>
            </w:r>
          </w:p>
          <w:p>
            <w:pPr>
              <w:jc w:val="center"/>
              <w:rPr>
                <w:rFonts w:eastAsia="黑体"/>
                <w:sz w:val="32"/>
                <w:szCs w:val="32"/>
              </w:rPr>
            </w:pPr>
            <w:r>
              <w:rPr>
                <w:rFonts w:hint="eastAsia" w:eastAsia="黑体"/>
                <w:sz w:val="32"/>
                <w:szCs w:val="32"/>
              </w:rPr>
              <w:t>XXX项目</w:t>
            </w:r>
          </w:p>
          <w:p>
            <w:pPr>
              <w:jc w:val="center"/>
              <w:rPr>
                <w:rFonts w:eastAsia="黑体"/>
                <w:sz w:val="28"/>
                <w:szCs w:val="28"/>
              </w:rPr>
            </w:pPr>
          </w:p>
          <w:p>
            <w:pPr>
              <w:pStyle w:val="2"/>
              <w:jc w:val="center"/>
              <w:rPr>
                <w:rFonts w:eastAsia="黑体"/>
                <w:szCs w:val="28"/>
                <w:u w:val="single"/>
              </w:rPr>
            </w:pPr>
          </w:p>
          <w:p>
            <w:pPr>
              <w:spacing w:before="312" w:beforeLines="100" w:after="312" w:afterLines="100"/>
              <w:jc w:val="center"/>
              <w:rPr>
                <w:rFonts w:eastAsia="黑体"/>
                <w:sz w:val="52"/>
                <w:szCs w:val="36"/>
              </w:rPr>
            </w:pPr>
          </w:p>
          <w:p>
            <w:pPr>
              <w:jc w:val="center"/>
              <w:rPr>
                <w:rFonts w:eastAsia="黑体"/>
                <w:sz w:val="52"/>
                <w:szCs w:val="36"/>
              </w:rPr>
            </w:pPr>
            <w:r>
              <w:rPr>
                <w:rFonts w:hint="eastAsia" w:eastAsia="黑体"/>
                <w:sz w:val="52"/>
                <w:szCs w:val="36"/>
              </w:rPr>
              <w:t>响应文件电子版</w:t>
            </w:r>
          </w:p>
          <w:p>
            <w:pPr>
              <w:spacing w:after="120"/>
              <w:jc w:val="center"/>
              <w:rPr>
                <w:rFonts w:eastAsia="PMingLiU"/>
                <w:sz w:val="36"/>
                <w:szCs w:val="36"/>
                <w:lang w:val="zh-TW" w:eastAsia="zh-TW"/>
              </w:rPr>
            </w:pPr>
            <w:r>
              <w:rPr>
                <w:rFonts w:hint="eastAsia" w:eastAsia="黑体"/>
                <w:sz w:val="28"/>
                <w:szCs w:val="28"/>
              </w:rPr>
              <w:t>（开标时间以前不得开封）</w:t>
            </w:r>
          </w:p>
          <w:p>
            <w:pPr>
              <w:jc w:val="center"/>
              <w:rPr>
                <w:rFonts w:eastAsia="黑体"/>
                <w:b/>
                <w:bCs/>
                <w:sz w:val="44"/>
                <w:szCs w:val="44"/>
                <w:lang w:eastAsia="zh-TW"/>
              </w:rPr>
            </w:pPr>
          </w:p>
          <w:p>
            <w:pPr>
              <w:spacing w:before="312" w:beforeLines="100" w:after="312" w:afterLines="100"/>
              <w:jc w:val="center"/>
              <w:rPr>
                <w:rFonts w:eastAsia="黑体"/>
                <w:sz w:val="52"/>
                <w:szCs w:val="36"/>
              </w:rPr>
            </w:pPr>
          </w:p>
          <w:p>
            <w:pPr>
              <w:spacing w:line="360" w:lineRule="auto"/>
              <w:jc w:val="center"/>
              <w:rPr>
                <w:rFonts w:eastAsia="黑体"/>
                <w:sz w:val="24"/>
              </w:rPr>
            </w:pPr>
            <w:r>
              <w:rPr>
                <w:rFonts w:hint="eastAsia" w:eastAsia="黑体"/>
                <w:sz w:val="24"/>
              </w:rPr>
              <w:t>供应商</w:t>
            </w:r>
            <w:r>
              <w:rPr>
                <w:rFonts w:eastAsia="黑体"/>
                <w:sz w:val="24"/>
              </w:rPr>
              <w:t>：</w:t>
            </w:r>
            <w:r>
              <w:rPr>
                <w:rFonts w:eastAsia="黑体"/>
                <w:sz w:val="24"/>
                <w:u w:val="single"/>
              </w:rPr>
              <w:t xml:space="preserve">                         </w:t>
            </w:r>
            <w:r>
              <w:rPr>
                <w:rFonts w:eastAsia="黑体"/>
                <w:sz w:val="24"/>
              </w:rPr>
              <w:t>（盖单位章）</w:t>
            </w:r>
          </w:p>
          <w:p>
            <w:pPr>
              <w:spacing w:line="360" w:lineRule="auto"/>
              <w:jc w:val="center"/>
              <w:rPr>
                <w:rFonts w:eastAsia="黑体"/>
                <w:sz w:val="24"/>
              </w:rPr>
            </w:pPr>
            <w:r>
              <w:rPr>
                <w:rFonts w:eastAsia="黑体"/>
                <w:sz w:val="24"/>
              </w:rPr>
              <w:t>法定代表人或其委托的代理人：</w:t>
            </w:r>
            <w:r>
              <w:rPr>
                <w:rFonts w:eastAsia="黑体"/>
                <w:sz w:val="24"/>
                <w:u w:val="single"/>
              </w:rPr>
              <w:t xml:space="preserve">             </w:t>
            </w:r>
            <w:r>
              <w:rPr>
                <w:rFonts w:eastAsia="黑体"/>
                <w:sz w:val="24"/>
              </w:rPr>
              <w:t>（签字）</w:t>
            </w:r>
          </w:p>
          <w:p>
            <w:pPr>
              <w:spacing w:line="360" w:lineRule="auto"/>
              <w:ind w:firstLine="1440" w:firstLineChars="600"/>
              <w:rPr>
                <w:rFonts w:eastAsia="黑体"/>
                <w:sz w:val="24"/>
                <w:u w:val="single"/>
              </w:rPr>
            </w:pPr>
            <w:r>
              <w:rPr>
                <w:rFonts w:hint="eastAsia" w:eastAsia="黑体"/>
                <w:sz w:val="24"/>
              </w:rPr>
              <w:t>供应商</w:t>
            </w:r>
            <w:r>
              <w:rPr>
                <w:rFonts w:eastAsia="黑体"/>
                <w:sz w:val="24"/>
              </w:rPr>
              <w:t>地址：</w:t>
            </w:r>
            <w:r>
              <w:rPr>
                <w:rFonts w:eastAsia="黑体"/>
                <w:sz w:val="24"/>
                <w:u w:val="single"/>
              </w:rPr>
              <w:t xml:space="preserve">                            </w:t>
            </w:r>
          </w:p>
          <w:p>
            <w:pPr>
              <w:spacing w:after="624" w:afterLines="200"/>
              <w:ind w:firstLine="3000" w:firstLineChars="1250"/>
              <w:rPr>
                <w:kern w:val="11"/>
              </w:rPr>
            </w:pPr>
            <w:r>
              <w:rPr>
                <w:rFonts w:hint="eastAsia" w:eastAsia="黑体"/>
                <w:sz w:val="24"/>
              </w:rPr>
              <w:t xml:space="preserve"> </w:t>
            </w:r>
            <w:r>
              <w:rPr>
                <w:rFonts w:hint="eastAsia" w:eastAsia="黑体"/>
                <w:sz w:val="24"/>
                <w:u w:val="single"/>
              </w:rPr>
              <w:t xml:space="preserve">       </w:t>
            </w:r>
            <w:r>
              <w:rPr>
                <w:rFonts w:eastAsia="黑体"/>
                <w:sz w:val="24"/>
              </w:rPr>
              <w:t>年</w:t>
            </w:r>
            <w:r>
              <w:rPr>
                <w:rFonts w:eastAsia="黑体"/>
                <w:sz w:val="24"/>
                <w:u w:val="single"/>
              </w:rPr>
              <w:t xml:space="preserve">    </w:t>
            </w:r>
            <w:r>
              <w:rPr>
                <w:rFonts w:eastAsia="黑体"/>
                <w:sz w:val="24"/>
              </w:rPr>
              <w:t>月</w:t>
            </w:r>
            <w:r>
              <w:rPr>
                <w:rFonts w:eastAsia="黑体"/>
                <w:sz w:val="24"/>
                <w:u w:val="single"/>
              </w:rPr>
              <w:t xml:space="preserve">    </w:t>
            </w:r>
            <w:r>
              <w:rPr>
                <w:rFonts w:eastAsia="黑体"/>
                <w:sz w:val="24"/>
              </w:rPr>
              <w:t>日</w:t>
            </w:r>
          </w:p>
        </w:tc>
      </w:tr>
    </w:tbl>
    <w:p>
      <w:pPr>
        <w:rPr>
          <w:kern w:val="11"/>
          <w:sz w:val="24"/>
        </w:rPr>
      </w:pPr>
    </w:p>
    <w:p>
      <w:pPr>
        <w:widowControl/>
        <w:jc w:val="left"/>
        <w:rPr>
          <w:kern w:val="11"/>
          <w:sz w:val="24"/>
        </w:rPr>
      </w:pPr>
      <w:r>
        <w:rPr>
          <w:kern w:val="11"/>
          <w:sz w:val="24"/>
        </w:rPr>
        <w:br w:type="page"/>
      </w:r>
    </w:p>
    <w:p>
      <w:pPr>
        <w:widowControl/>
        <w:jc w:val="left"/>
        <w:rPr>
          <w:rFonts w:eastAsia="黑体"/>
          <w:bCs/>
          <w:kern w:val="44"/>
          <w:sz w:val="30"/>
          <w:szCs w:val="44"/>
        </w:rPr>
      </w:pPr>
      <w:r>
        <w:rPr>
          <w:rFonts w:hint="eastAsia"/>
          <w:kern w:val="11"/>
          <w:sz w:val="24"/>
        </w:rPr>
        <w:t>响应</w:t>
      </w:r>
      <w:r>
        <w:rPr>
          <w:kern w:val="11"/>
          <w:sz w:val="24"/>
        </w:rPr>
        <w:t>文件</w:t>
      </w:r>
      <w:r>
        <w:rPr>
          <w:rFonts w:hint="eastAsia"/>
          <w:kern w:val="11"/>
          <w:sz w:val="24"/>
        </w:rPr>
        <w:t>封口格式</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shd w:val="clear" w:color="auto" w:fill="auto"/>
            <w:vAlign w:val="center"/>
          </w:tcPr>
          <w:p>
            <w:pPr>
              <w:spacing w:line="360" w:lineRule="auto"/>
              <w:jc w:val="center"/>
            </w:pPr>
            <w:r>
              <w:rPr>
                <w:b/>
                <w:bCs/>
                <w:kern w:val="11"/>
                <w:sz w:val="24"/>
              </w:rPr>
              <w:t>--------------</w:t>
            </w:r>
            <w:r>
              <w:rPr>
                <w:rFonts w:ascii="黑体" w:hAnsi="黑体" w:eastAsia="黑体"/>
                <w:bCs/>
                <w:kern w:val="11"/>
                <w:sz w:val="24"/>
              </w:rPr>
              <w:t xml:space="preserve">于    年  月  日  </w:t>
            </w:r>
            <w:r>
              <w:rPr>
                <w:rFonts w:hint="eastAsia" w:ascii="黑体" w:hAnsi="黑体" w:eastAsia="黑体"/>
                <w:bCs/>
                <w:kern w:val="11"/>
                <w:sz w:val="24"/>
              </w:rPr>
              <w:t>时  分</w:t>
            </w:r>
            <w:r>
              <w:rPr>
                <w:rFonts w:ascii="黑体" w:hAnsi="黑体" w:eastAsia="黑体"/>
                <w:bCs/>
                <w:kern w:val="11"/>
                <w:sz w:val="24"/>
              </w:rPr>
              <w:t>之前不准启封（公章）</w:t>
            </w:r>
            <w:r>
              <w:rPr>
                <w:b/>
                <w:bCs/>
                <w:kern w:val="11"/>
                <w:sz w:val="24"/>
              </w:rPr>
              <w:t>----------------</w:t>
            </w:r>
          </w:p>
        </w:tc>
      </w:tr>
    </w:tbl>
    <w:p/>
    <w:p>
      <w:pPr>
        <w:pStyle w:val="2"/>
        <w:jc w:val="center"/>
      </w:pPr>
      <w:r>
        <w:br w:type="page"/>
      </w:r>
    </w:p>
    <w:p>
      <w:pPr>
        <w:pStyle w:val="2"/>
        <w:jc w:val="center"/>
        <w:rPr>
          <w:b/>
          <w:sz w:val="44"/>
          <w:szCs w:val="44"/>
        </w:rPr>
      </w:pPr>
      <w:r>
        <w:rPr>
          <w:rFonts w:hint="eastAsia"/>
          <w:b/>
          <w:sz w:val="44"/>
          <w:szCs w:val="44"/>
        </w:rPr>
        <w:t>响应确认信息表</w:t>
      </w:r>
    </w:p>
    <w:p>
      <w:pPr>
        <w:widowControl/>
        <w:jc w:val="left"/>
        <w:rPr>
          <w:rFonts w:ascii="Arial" w:hAnsi="Arial" w:eastAsia="黑体"/>
          <w:bCs/>
          <w:sz w:val="28"/>
          <w:szCs w:val="32"/>
        </w:rPr>
      </w:pPr>
    </w:p>
    <w:p>
      <w:pPr>
        <w:pStyle w:val="2"/>
      </w:pPr>
      <w:r>
        <w:rPr>
          <w:rFonts w:hint="eastAsia"/>
        </w:rPr>
        <w:t>江苏省广电有线信息网络股份有限公司：</w:t>
      </w:r>
    </w:p>
    <w:p>
      <w:pPr>
        <w:pStyle w:val="2"/>
      </w:pPr>
      <w:r>
        <w:rPr>
          <w:rFonts w:hint="eastAsia"/>
        </w:rPr>
        <w:t xml:space="preserve">    我单位申请参与贵单位</w:t>
      </w:r>
      <w:r>
        <w:rPr>
          <w:rFonts w:hint="eastAsia"/>
          <w:u w:val="single"/>
        </w:rPr>
        <w:t xml:space="preserve">              </w:t>
      </w:r>
      <w:r>
        <w:rPr>
          <w:rFonts w:hint="eastAsia"/>
        </w:rPr>
        <w:t>项目。</w:t>
      </w:r>
    </w:p>
    <w:p>
      <w:pPr>
        <w:pStyle w:val="2"/>
        <w:ind w:firstLine="560" w:firstLineChars="200"/>
      </w:pPr>
      <w:r>
        <w:rPr>
          <w:rFonts w:hint="eastAsia"/>
        </w:rPr>
        <w:t>现委派我单位</w:t>
      </w:r>
      <w:r>
        <w:rPr>
          <w:rFonts w:hint="eastAsia"/>
          <w:u w:val="single"/>
        </w:rPr>
        <w:t xml:space="preserve">      (</w:t>
      </w:r>
      <w:r>
        <w:rPr>
          <w:rFonts w:hint="eastAsia"/>
        </w:rPr>
        <w:t>姓名</w:t>
      </w:r>
      <w:r>
        <w:rPr>
          <w:rFonts w:hint="eastAsia"/>
          <w:u w:val="single"/>
        </w:rPr>
        <w:t>)</w:t>
      </w:r>
      <w:r>
        <w:rPr>
          <w:rFonts w:hint="eastAsia"/>
        </w:rPr>
        <w:t>负责本项目报名和正式采购前的联系工作，详细信息如下（以下信息均为必填项）：</w:t>
      </w:r>
    </w:p>
    <w:p>
      <w:pPr>
        <w:pStyle w:val="2"/>
        <w:ind w:firstLine="420" w:firstLineChars="150"/>
      </w:pPr>
      <w:r>
        <w:rPr>
          <w:rFonts w:hint="eastAsia"/>
        </w:rPr>
        <w:t xml:space="preserve"> 1.姓名：</w:t>
      </w:r>
    </w:p>
    <w:p>
      <w:pPr>
        <w:pStyle w:val="2"/>
        <w:ind w:firstLine="420" w:firstLineChars="150"/>
      </w:pPr>
      <w:r>
        <w:rPr>
          <w:rFonts w:hint="eastAsia"/>
        </w:rPr>
        <w:t xml:space="preserve"> 2.身份证号：</w:t>
      </w:r>
    </w:p>
    <w:p>
      <w:pPr>
        <w:pStyle w:val="2"/>
        <w:ind w:firstLine="420" w:firstLineChars="150"/>
      </w:pPr>
      <w:r>
        <w:rPr>
          <w:rFonts w:hint="eastAsia"/>
        </w:rPr>
        <w:t xml:space="preserve"> 3.职位：</w:t>
      </w:r>
    </w:p>
    <w:p>
      <w:pPr>
        <w:pStyle w:val="2"/>
        <w:ind w:firstLine="420" w:firstLineChars="150"/>
      </w:pPr>
      <w:r>
        <w:rPr>
          <w:rFonts w:hint="eastAsia"/>
        </w:rPr>
        <w:t xml:space="preserve"> 4.联系电话（手机）：</w:t>
      </w:r>
    </w:p>
    <w:p>
      <w:pPr>
        <w:pStyle w:val="2"/>
        <w:ind w:firstLine="420" w:firstLineChars="150"/>
      </w:pPr>
      <w:r>
        <w:rPr>
          <w:rFonts w:hint="eastAsia"/>
        </w:rPr>
        <w:t xml:space="preserve"> 5.联系电子邮箱：</w:t>
      </w:r>
    </w:p>
    <w:p>
      <w:pPr>
        <w:pStyle w:val="2"/>
        <w:ind w:firstLine="420" w:firstLineChars="150"/>
      </w:pPr>
      <w:r>
        <w:rPr>
          <w:rFonts w:hint="eastAsia"/>
        </w:rPr>
        <w:t xml:space="preserve"> 6.微信号:</w:t>
      </w:r>
    </w:p>
    <w:p>
      <w:pPr>
        <w:pStyle w:val="2"/>
        <w:ind w:firstLine="420" w:firstLineChars="150"/>
      </w:pPr>
      <w:r>
        <w:rPr>
          <w:rFonts w:hint="eastAsia"/>
        </w:rPr>
        <w:t xml:space="preserve"> 7.响应文件递送方式：</w:t>
      </w:r>
    </w:p>
    <w:p>
      <w:pPr>
        <w:pStyle w:val="3"/>
        <w:spacing w:after="62"/>
        <w:ind w:firstLine="200"/>
      </w:pPr>
    </w:p>
    <w:p>
      <w:pPr>
        <w:pStyle w:val="3"/>
        <w:spacing w:after="62"/>
        <w:ind w:firstLine="200"/>
      </w:pPr>
    </w:p>
    <w:p>
      <w:pPr>
        <w:pStyle w:val="3"/>
        <w:spacing w:after="62"/>
        <w:ind w:firstLine="200"/>
      </w:pPr>
    </w:p>
    <w:p>
      <w:pPr>
        <w:pStyle w:val="2"/>
        <w:ind w:firstLine="560" w:firstLineChars="200"/>
      </w:pPr>
      <w:r>
        <w:rPr>
          <w:rFonts w:hint="eastAsia"/>
        </w:rPr>
        <w:t>供应商：</w:t>
      </w:r>
      <w:r>
        <w:rPr>
          <w:rFonts w:hint="eastAsia"/>
          <w:u w:val="single"/>
        </w:rPr>
        <w:t xml:space="preserve">                     </w:t>
      </w:r>
      <w:r>
        <w:rPr>
          <w:rFonts w:hint="eastAsia"/>
        </w:rPr>
        <w:t>（盖章）</w:t>
      </w:r>
    </w:p>
    <w:p>
      <w:pPr>
        <w:pStyle w:val="2"/>
        <w:ind w:firstLine="560" w:firstLineChars="200"/>
      </w:pPr>
      <w:r>
        <w:rPr>
          <w:rFonts w:hint="eastAsia"/>
        </w:rPr>
        <w:t>日期：</w:t>
      </w:r>
    </w:p>
    <w:p>
      <w:pPr>
        <w:pStyle w:val="3"/>
        <w:spacing w:after="62"/>
        <w:ind w:firstLine="200"/>
      </w:pPr>
      <w:r>
        <w:rPr>
          <w:rFonts w:hint="eastAsia"/>
        </w:rPr>
        <w:t xml:space="preserve">  </w:t>
      </w:r>
    </w:p>
    <w:p>
      <w:pPr>
        <w:pStyle w:val="2"/>
        <w:adjustRightInd w:val="0"/>
        <w:snapToGrid w:val="0"/>
        <w:spacing w:line="440" w:lineRule="exact"/>
        <w:jc w:val="center"/>
        <w:rPr>
          <w:rFonts w:ascii="宋体" w:hAnsi="宋体"/>
          <w:sz w:val="44"/>
          <w:szCs w:val="44"/>
        </w:rPr>
      </w:pPr>
      <w:r>
        <w:br w:type="page"/>
      </w:r>
    </w:p>
    <w:p>
      <w:pPr>
        <w:adjustRightInd w:val="0"/>
        <w:snapToGrid w:val="0"/>
        <w:spacing w:line="400" w:lineRule="exact"/>
        <w:jc w:val="center"/>
        <w:rPr>
          <w:rFonts w:ascii="宋体" w:hAnsi="宋体"/>
          <w:kern w:val="0"/>
          <w:sz w:val="44"/>
          <w:szCs w:val="44"/>
        </w:rPr>
      </w:pPr>
      <w:r>
        <w:rPr>
          <w:rFonts w:hint="eastAsia" w:ascii="宋体" w:hAnsi="宋体"/>
          <w:kern w:val="0"/>
          <w:sz w:val="44"/>
          <w:szCs w:val="44"/>
        </w:rPr>
        <w:t>远程采购须知确认函</w:t>
      </w:r>
    </w:p>
    <w:p>
      <w:pPr>
        <w:adjustRightInd w:val="0"/>
        <w:snapToGrid w:val="0"/>
        <w:spacing w:line="400" w:lineRule="exact"/>
        <w:ind w:firstLine="640" w:firstLineChars="200"/>
        <w:jc w:val="center"/>
        <w:rPr>
          <w:rFonts w:ascii="宋体" w:hAnsi="宋体"/>
          <w:kern w:val="0"/>
          <w:sz w:val="32"/>
          <w:szCs w:val="32"/>
        </w:rPr>
      </w:pPr>
      <w:r>
        <w:rPr>
          <w:rFonts w:ascii="宋体" w:hAnsi="宋体"/>
          <w:kern w:val="0"/>
          <w:sz w:val="32"/>
          <w:szCs w:val="32"/>
        </w:rPr>
        <w:t>（远程会议视频采购时适用）</w:t>
      </w:r>
    </w:p>
    <w:p>
      <w:pPr>
        <w:adjustRightInd w:val="0"/>
        <w:snapToGrid w:val="0"/>
        <w:spacing w:line="400" w:lineRule="exact"/>
        <w:ind w:firstLine="562" w:firstLineChars="200"/>
        <w:rPr>
          <w:rFonts w:asciiTheme="minorEastAsia" w:hAnsiTheme="minorEastAsia" w:eastAsiaTheme="minorEastAsia"/>
          <w:b/>
          <w:color w:val="000000"/>
          <w:sz w:val="28"/>
          <w:szCs w:val="28"/>
        </w:rPr>
      </w:pPr>
    </w:p>
    <w:p>
      <w:pPr>
        <w:adjustRightInd w:val="0"/>
        <w:snapToGrid w:val="0"/>
        <w:spacing w:line="400" w:lineRule="exact"/>
        <w:ind w:firstLine="640" w:firstLineChars="200"/>
        <w:rPr>
          <w:rFonts w:ascii="宋体" w:hAnsi="宋体"/>
          <w:kern w:val="0"/>
          <w:sz w:val="32"/>
          <w:szCs w:val="32"/>
        </w:rPr>
      </w:pPr>
      <w:r>
        <w:rPr>
          <w:rFonts w:ascii="宋体" w:hAnsi="宋体"/>
          <w:kern w:val="0"/>
          <w:sz w:val="32"/>
          <w:szCs w:val="32"/>
        </w:rPr>
        <w:t>1.提前下载并安装好远程会议客户端（腾讯视频会议软件，推荐电脑终端，以防手机电话接入造成中断），调试好视频及音效设备，有必要的可使用耳机，确保远程会议</w:t>
      </w:r>
      <w:r>
        <w:rPr>
          <w:rFonts w:hint="eastAsia" w:ascii="宋体" w:hAnsi="宋体"/>
          <w:kern w:val="0"/>
          <w:sz w:val="32"/>
          <w:szCs w:val="32"/>
        </w:rPr>
        <w:t>的质量。如因供应商设备、网络等原因而造成的视音频中断或延误给谈判带来的负面影响，由供应商自行承担。</w:t>
      </w:r>
    </w:p>
    <w:p>
      <w:pPr>
        <w:adjustRightInd w:val="0"/>
        <w:snapToGrid w:val="0"/>
        <w:spacing w:line="400" w:lineRule="exact"/>
        <w:ind w:firstLine="640" w:firstLineChars="200"/>
        <w:rPr>
          <w:rFonts w:ascii="宋体" w:hAnsi="宋体"/>
          <w:kern w:val="0"/>
          <w:sz w:val="32"/>
          <w:szCs w:val="32"/>
        </w:rPr>
      </w:pPr>
      <w:r>
        <w:rPr>
          <w:rFonts w:ascii="宋体" w:hAnsi="宋体"/>
          <w:kern w:val="0"/>
          <w:sz w:val="32"/>
          <w:szCs w:val="32"/>
        </w:rPr>
        <w:t>2．供应商应在会议现场或周边准备好打印机扫描设备，以备采购时及时提供澄清、承诺等材料。</w:t>
      </w:r>
    </w:p>
    <w:p>
      <w:pPr>
        <w:adjustRightInd w:val="0"/>
        <w:snapToGrid w:val="0"/>
        <w:spacing w:line="400" w:lineRule="exact"/>
        <w:ind w:firstLine="640" w:firstLineChars="200"/>
        <w:rPr>
          <w:rFonts w:ascii="宋体" w:hAnsi="宋体"/>
          <w:kern w:val="0"/>
          <w:sz w:val="32"/>
          <w:szCs w:val="32"/>
        </w:rPr>
      </w:pPr>
      <w:r>
        <w:rPr>
          <w:rFonts w:ascii="宋体" w:hAnsi="宋体"/>
          <w:kern w:val="0"/>
          <w:sz w:val="32"/>
          <w:szCs w:val="32"/>
        </w:rPr>
        <w:t xml:space="preserve">3. </w:t>
      </w:r>
      <w:r>
        <w:rPr>
          <w:rFonts w:hint="eastAsia" w:ascii="宋体" w:hAnsi="宋体"/>
          <w:kern w:val="0"/>
          <w:sz w:val="32"/>
          <w:szCs w:val="32"/>
        </w:rPr>
        <w:t>请供应商授权代表和采购文件中要求的有关答辩代表（如有）到达视频会议现场，并携带身份证件和采购文件要求的有关资格证明（如有），与响应文件中《法定代表人</w:t>
      </w:r>
      <w:r>
        <w:rPr>
          <w:rFonts w:ascii="宋体" w:hAnsi="宋体"/>
          <w:kern w:val="0"/>
          <w:sz w:val="32"/>
          <w:szCs w:val="32"/>
        </w:rPr>
        <w:t>授权委托书</w:t>
      </w:r>
      <w:r>
        <w:rPr>
          <w:rFonts w:hint="eastAsia" w:ascii="宋体" w:hAnsi="宋体"/>
          <w:kern w:val="0"/>
          <w:sz w:val="32"/>
          <w:szCs w:val="32"/>
        </w:rPr>
        <w:t>》不符的授权代表，将视为身份无效。</w:t>
      </w:r>
    </w:p>
    <w:p>
      <w:pPr>
        <w:adjustRightInd w:val="0"/>
        <w:snapToGrid w:val="0"/>
        <w:spacing w:line="400" w:lineRule="exact"/>
        <w:ind w:firstLine="640" w:firstLineChars="200"/>
        <w:rPr>
          <w:rFonts w:ascii="宋体" w:hAnsi="宋体"/>
          <w:kern w:val="0"/>
          <w:sz w:val="32"/>
          <w:szCs w:val="32"/>
        </w:rPr>
      </w:pPr>
      <w:r>
        <w:rPr>
          <w:rFonts w:ascii="宋体" w:hAnsi="宋体"/>
          <w:kern w:val="0"/>
          <w:sz w:val="32"/>
          <w:szCs w:val="32"/>
        </w:rPr>
        <w:t>4.一家供应商须多个账号登陆会议室应做好会议保密工作，采购人联系人仅将会议号发给供应商本项目的</w:t>
      </w:r>
      <w:r>
        <w:rPr>
          <w:rFonts w:hint="eastAsia" w:ascii="宋体" w:hAnsi="宋体"/>
          <w:kern w:val="0"/>
          <w:sz w:val="32"/>
          <w:szCs w:val="32"/>
        </w:rPr>
        <w:t>授权代表，供应商其他人员的参与由供应商自行组织和沟通。</w:t>
      </w:r>
    </w:p>
    <w:p>
      <w:pPr>
        <w:adjustRightInd w:val="0"/>
        <w:snapToGrid w:val="0"/>
        <w:spacing w:line="400" w:lineRule="exact"/>
        <w:ind w:firstLine="640" w:firstLineChars="200"/>
        <w:rPr>
          <w:rFonts w:ascii="宋体" w:hAnsi="宋体"/>
          <w:kern w:val="0"/>
          <w:sz w:val="32"/>
          <w:szCs w:val="32"/>
        </w:rPr>
      </w:pPr>
      <w:r>
        <w:rPr>
          <w:rFonts w:ascii="宋体" w:hAnsi="宋体"/>
          <w:kern w:val="0"/>
          <w:sz w:val="32"/>
          <w:szCs w:val="32"/>
        </w:rPr>
        <w:t>5.</w:t>
      </w:r>
      <w:r>
        <w:rPr>
          <w:rFonts w:hint="eastAsia" w:ascii="宋体" w:hAnsi="宋体"/>
          <w:kern w:val="0"/>
          <w:sz w:val="32"/>
          <w:szCs w:val="32"/>
        </w:rPr>
        <w:t>供应商须根据本项目采购人提供的会议邀请在规定时间内进入视频会议室（登陆昵称为：单位名称</w:t>
      </w:r>
      <w:r>
        <w:rPr>
          <w:rFonts w:ascii="宋体" w:hAnsi="宋体"/>
          <w:kern w:val="0"/>
          <w:sz w:val="32"/>
          <w:szCs w:val="32"/>
        </w:rPr>
        <w:t>+授权</w:t>
      </w:r>
      <w:r>
        <w:rPr>
          <w:rFonts w:hint="eastAsia" w:ascii="宋体" w:hAnsi="宋体"/>
          <w:kern w:val="0"/>
          <w:sz w:val="32"/>
          <w:szCs w:val="32"/>
        </w:rPr>
        <w:t>代表姓名），现场抽取谈判顺序。供应商按抽取的顺序参与谈判，完成谈判的供应商自行离开会议室，其他供应商在视频软件的等候室等待。供应商须按采购文件要求委派须参与的人员进入视频会议室。</w:t>
      </w:r>
    </w:p>
    <w:p>
      <w:pPr>
        <w:adjustRightInd w:val="0"/>
        <w:snapToGrid w:val="0"/>
        <w:spacing w:line="400" w:lineRule="exact"/>
        <w:ind w:firstLine="640" w:firstLineChars="200"/>
        <w:rPr>
          <w:rFonts w:ascii="宋体" w:hAnsi="宋体"/>
          <w:kern w:val="0"/>
          <w:sz w:val="32"/>
          <w:szCs w:val="32"/>
        </w:rPr>
      </w:pPr>
      <w:r>
        <w:rPr>
          <w:rFonts w:ascii="宋体" w:hAnsi="宋体"/>
          <w:kern w:val="0"/>
          <w:sz w:val="32"/>
          <w:szCs w:val="32"/>
        </w:rPr>
        <w:t>6.谈判</w:t>
      </w:r>
      <w:r>
        <w:rPr>
          <w:rFonts w:hint="eastAsia" w:ascii="宋体" w:hAnsi="宋体"/>
          <w:kern w:val="0"/>
          <w:sz w:val="32"/>
          <w:szCs w:val="32"/>
        </w:rPr>
        <w:t>结束后，供应商按谈判时本项目评审委员会的要求提交最终报价和承诺（见附件），并在规定时间内将最终由授权代表签字的扫描件提交至采购人联系信箱，授权代表不在最终报价和承诺书上签字视为无效承诺。</w:t>
      </w:r>
    </w:p>
    <w:p>
      <w:pPr>
        <w:adjustRightInd w:val="0"/>
        <w:snapToGrid w:val="0"/>
        <w:spacing w:line="400" w:lineRule="exact"/>
        <w:ind w:firstLine="640" w:firstLineChars="200"/>
        <w:rPr>
          <w:rFonts w:ascii="宋体" w:hAnsi="宋体"/>
          <w:kern w:val="0"/>
          <w:sz w:val="32"/>
          <w:szCs w:val="32"/>
        </w:rPr>
      </w:pPr>
      <w:r>
        <w:rPr>
          <w:rFonts w:hint="eastAsia" w:ascii="宋体" w:hAnsi="宋体"/>
          <w:kern w:val="0"/>
          <w:sz w:val="32"/>
          <w:szCs w:val="32"/>
        </w:rPr>
        <w:t>回执：我单位阅读后完全理解，且无异议。</w:t>
      </w:r>
    </w:p>
    <w:p>
      <w:pPr>
        <w:adjustRightInd w:val="0"/>
        <w:snapToGrid w:val="0"/>
        <w:spacing w:line="400" w:lineRule="exact"/>
        <w:ind w:firstLine="640" w:firstLineChars="200"/>
        <w:rPr>
          <w:rFonts w:ascii="宋体" w:hAnsi="宋体"/>
          <w:kern w:val="0"/>
          <w:sz w:val="32"/>
          <w:szCs w:val="32"/>
        </w:rPr>
      </w:pPr>
    </w:p>
    <w:p>
      <w:pPr>
        <w:adjustRightInd w:val="0"/>
        <w:snapToGrid w:val="0"/>
        <w:spacing w:line="400" w:lineRule="exact"/>
        <w:ind w:firstLine="640" w:firstLineChars="200"/>
        <w:rPr>
          <w:rFonts w:ascii="宋体" w:hAnsi="宋体"/>
          <w:kern w:val="0"/>
          <w:sz w:val="32"/>
          <w:szCs w:val="32"/>
        </w:rPr>
      </w:pPr>
      <w:r>
        <w:rPr>
          <w:rFonts w:hint="eastAsia" w:ascii="宋体" w:hAnsi="宋体"/>
          <w:kern w:val="0"/>
          <w:sz w:val="32"/>
          <w:szCs w:val="32"/>
        </w:rPr>
        <w:t>供应商名称（盖章）：</w:t>
      </w:r>
    </w:p>
    <w:p>
      <w:pPr>
        <w:adjustRightInd w:val="0"/>
        <w:snapToGrid w:val="0"/>
        <w:spacing w:line="400" w:lineRule="exact"/>
        <w:ind w:firstLine="640" w:firstLineChars="200"/>
        <w:rPr>
          <w:rFonts w:ascii="宋体" w:hAnsi="宋体"/>
          <w:kern w:val="0"/>
          <w:sz w:val="32"/>
          <w:szCs w:val="32"/>
        </w:rPr>
      </w:pPr>
    </w:p>
    <w:p>
      <w:pPr>
        <w:adjustRightInd w:val="0"/>
        <w:snapToGrid w:val="0"/>
        <w:spacing w:line="400" w:lineRule="exact"/>
        <w:ind w:firstLine="640" w:firstLineChars="200"/>
        <w:rPr>
          <w:rFonts w:ascii="宋体" w:hAnsi="宋体"/>
          <w:kern w:val="0"/>
          <w:sz w:val="32"/>
          <w:szCs w:val="32"/>
        </w:rPr>
      </w:pPr>
      <w:r>
        <w:rPr>
          <w:rFonts w:hint="eastAsia" w:ascii="宋体" w:hAnsi="宋体"/>
          <w:kern w:val="0"/>
          <w:sz w:val="32"/>
          <w:szCs w:val="32"/>
        </w:rPr>
        <w:t>授权代表签字：</w:t>
      </w:r>
    </w:p>
    <w:p>
      <w:pPr>
        <w:spacing w:line="360" w:lineRule="auto"/>
        <w:rPr>
          <w:szCs w:val="20"/>
          <w:u w:val="single"/>
        </w:rPr>
      </w:pPr>
    </w:p>
    <w:p>
      <w:pPr>
        <w:widowControl/>
        <w:jc w:val="left"/>
        <w:rPr>
          <w:rFonts w:ascii="宋体" w:hAnsi="宋体"/>
          <w:kern w:val="0"/>
          <w:sz w:val="44"/>
          <w:szCs w:val="44"/>
        </w:rPr>
      </w:pPr>
      <w:r>
        <w:rPr>
          <w:rFonts w:ascii="宋体" w:hAnsi="宋体"/>
          <w:sz w:val="44"/>
          <w:szCs w:val="44"/>
        </w:rPr>
        <w:br w:type="page"/>
      </w:r>
    </w:p>
    <w:p>
      <w:pPr>
        <w:pStyle w:val="3"/>
        <w:snapToGrid w:val="0"/>
        <w:spacing w:after="62" w:line="520" w:lineRule="exact"/>
        <w:ind w:firstLine="206" w:firstLineChars="47"/>
        <w:jc w:val="center"/>
        <w:rPr>
          <w:rFonts w:ascii="宋体" w:hAnsi="宋体"/>
          <w:sz w:val="44"/>
          <w:szCs w:val="44"/>
        </w:rPr>
      </w:pPr>
      <w:r>
        <w:rPr>
          <w:rFonts w:hint="eastAsia" w:ascii="宋体" w:hAnsi="宋体"/>
          <w:sz w:val="44"/>
          <w:szCs w:val="44"/>
        </w:rPr>
        <w:t>承诺函（含最终报价）</w:t>
      </w:r>
    </w:p>
    <w:p>
      <w:pPr>
        <w:pStyle w:val="3"/>
        <w:snapToGrid w:val="0"/>
        <w:spacing w:after="62" w:line="520" w:lineRule="exact"/>
        <w:ind w:firstLine="1100" w:firstLineChars="250"/>
        <w:jc w:val="center"/>
        <w:rPr>
          <w:rFonts w:ascii="宋体" w:hAnsi="宋体"/>
          <w:sz w:val="44"/>
          <w:szCs w:val="44"/>
        </w:rPr>
      </w:pPr>
    </w:p>
    <w:p>
      <w:pPr>
        <w:pStyle w:val="3"/>
        <w:snapToGrid w:val="0"/>
        <w:spacing w:after="62" w:line="520" w:lineRule="exact"/>
        <w:ind w:firstLine="150" w:firstLineChars="47"/>
        <w:rPr>
          <w:rFonts w:ascii="宋体" w:hAnsi="宋体"/>
          <w:sz w:val="32"/>
          <w:szCs w:val="32"/>
        </w:rPr>
      </w:pPr>
      <w:r>
        <w:rPr>
          <w:rFonts w:hint="eastAsia" w:ascii="宋体" w:hAnsi="宋体"/>
          <w:sz w:val="32"/>
          <w:szCs w:val="32"/>
        </w:rPr>
        <w:t>江苏省广电有线信息网络股份有限公司：</w:t>
      </w:r>
    </w:p>
    <w:p>
      <w:pPr>
        <w:pStyle w:val="3"/>
        <w:snapToGrid w:val="0"/>
        <w:spacing w:after="62" w:line="520" w:lineRule="exact"/>
        <w:ind w:left="6" w:leftChars="3" w:firstLine="800" w:firstLineChars="250"/>
        <w:rPr>
          <w:rFonts w:ascii="宋体" w:hAnsi="宋体"/>
          <w:sz w:val="32"/>
          <w:szCs w:val="32"/>
        </w:rPr>
      </w:pPr>
      <w:r>
        <w:rPr>
          <w:rFonts w:hint="eastAsia" w:ascii="宋体" w:hAnsi="宋体"/>
          <w:sz w:val="32"/>
          <w:szCs w:val="32"/>
        </w:rPr>
        <w:t>我单位于</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日参与贵司</w:t>
      </w:r>
      <w:r>
        <w:rPr>
          <w:rFonts w:hint="eastAsia" w:ascii="宋体" w:hAnsi="宋体"/>
          <w:sz w:val="32"/>
          <w:szCs w:val="32"/>
          <w:u w:val="single"/>
        </w:rPr>
        <w:t xml:space="preserve">         </w:t>
      </w:r>
      <w:r>
        <w:rPr>
          <w:rFonts w:hint="eastAsia" w:ascii="宋体" w:hAnsi="宋体"/>
          <w:sz w:val="32"/>
          <w:szCs w:val="32"/>
        </w:rPr>
        <w:t>（项目名称）的采购工作，根据双方谈判，我司愿作如下承诺：</w:t>
      </w:r>
    </w:p>
    <w:p>
      <w:pPr>
        <w:pStyle w:val="3"/>
        <w:snapToGrid w:val="0"/>
        <w:spacing w:after="62" w:line="520" w:lineRule="exact"/>
        <w:ind w:left="6" w:leftChars="3" w:firstLine="800" w:firstLineChars="250"/>
        <w:rPr>
          <w:rFonts w:ascii="宋体" w:hAnsi="宋体"/>
          <w:sz w:val="32"/>
          <w:szCs w:val="32"/>
          <w:u w:val="single"/>
        </w:rPr>
      </w:pPr>
      <w:r>
        <w:rPr>
          <w:rFonts w:hint="eastAsia" w:ascii="宋体" w:hAnsi="宋体"/>
          <w:sz w:val="32"/>
          <w:szCs w:val="32"/>
        </w:rPr>
        <w:t>1.本项目最终报价为人民币</w:t>
      </w:r>
      <w:r>
        <w:rPr>
          <w:rFonts w:hint="eastAsia" w:ascii="宋体" w:hAnsi="宋体"/>
          <w:sz w:val="32"/>
          <w:szCs w:val="32"/>
          <w:u w:val="single"/>
        </w:rPr>
        <w:t xml:space="preserve">         </w:t>
      </w:r>
      <w:r>
        <w:rPr>
          <w:rFonts w:hint="eastAsia" w:ascii="宋体" w:hAnsi="宋体"/>
          <w:sz w:val="32"/>
          <w:szCs w:val="32"/>
        </w:rPr>
        <w:t>元（大写：</w:t>
      </w:r>
      <w:r>
        <w:rPr>
          <w:rFonts w:hint="eastAsia" w:ascii="宋体" w:hAnsi="宋体"/>
          <w:sz w:val="32"/>
          <w:szCs w:val="32"/>
          <w:u w:val="single"/>
        </w:rPr>
        <w:t xml:space="preserve">   </w:t>
      </w:r>
      <w:r>
        <w:rPr>
          <w:rFonts w:hint="eastAsia" w:ascii="宋体" w:hAnsi="宋体"/>
          <w:sz w:val="32"/>
          <w:szCs w:val="32"/>
        </w:rPr>
        <w:t>）</w:t>
      </w:r>
    </w:p>
    <w:p>
      <w:pPr>
        <w:pStyle w:val="3"/>
        <w:snapToGrid w:val="0"/>
        <w:spacing w:after="62" w:line="520" w:lineRule="exact"/>
        <w:ind w:firstLine="320"/>
        <w:rPr>
          <w:rFonts w:ascii="宋体" w:hAnsi="宋体"/>
          <w:sz w:val="32"/>
          <w:szCs w:val="32"/>
        </w:rPr>
      </w:pPr>
      <w:r>
        <w:rPr>
          <w:rFonts w:hint="eastAsia" w:ascii="宋体" w:hAnsi="宋体"/>
          <w:sz w:val="32"/>
          <w:szCs w:val="32"/>
        </w:rPr>
        <w:t xml:space="preserve">     2．</w:t>
      </w:r>
    </w:p>
    <w:p>
      <w:pPr>
        <w:pStyle w:val="3"/>
        <w:snapToGrid w:val="0"/>
        <w:spacing w:after="62" w:line="520" w:lineRule="exact"/>
        <w:ind w:firstLine="320"/>
        <w:rPr>
          <w:rFonts w:ascii="宋体" w:hAnsi="宋体"/>
          <w:sz w:val="32"/>
          <w:szCs w:val="32"/>
        </w:rPr>
      </w:pPr>
      <w:r>
        <w:rPr>
          <w:rFonts w:hint="eastAsia" w:ascii="宋体" w:hAnsi="宋体"/>
          <w:sz w:val="32"/>
          <w:szCs w:val="32"/>
        </w:rPr>
        <w:t xml:space="preserve">     </w:t>
      </w:r>
      <w:r>
        <w:rPr>
          <w:rFonts w:ascii="宋体" w:hAnsi="宋体"/>
          <w:sz w:val="32"/>
          <w:szCs w:val="32"/>
        </w:rPr>
        <w:t>……</w:t>
      </w:r>
    </w:p>
    <w:p>
      <w:pPr>
        <w:pStyle w:val="3"/>
        <w:snapToGrid w:val="0"/>
        <w:spacing w:after="62" w:line="520" w:lineRule="exact"/>
        <w:ind w:firstLine="320"/>
        <w:rPr>
          <w:rFonts w:ascii="宋体" w:hAnsi="宋体"/>
          <w:sz w:val="32"/>
          <w:szCs w:val="32"/>
        </w:rPr>
      </w:pPr>
    </w:p>
    <w:p>
      <w:pPr>
        <w:pStyle w:val="3"/>
        <w:snapToGrid w:val="0"/>
        <w:spacing w:after="62" w:line="520" w:lineRule="exact"/>
        <w:ind w:firstLine="320"/>
        <w:rPr>
          <w:rFonts w:ascii="宋体" w:hAnsi="宋体"/>
          <w:sz w:val="32"/>
          <w:szCs w:val="32"/>
        </w:rPr>
      </w:pPr>
    </w:p>
    <w:p>
      <w:pPr>
        <w:pStyle w:val="3"/>
        <w:snapToGrid w:val="0"/>
        <w:spacing w:after="62" w:line="520" w:lineRule="exact"/>
        <w:ind w:firstLine="320"/>
        <w:rPr>
          <w:rFonts w:ascii="宋体" w:hAnsi="宋体"/>
          <w:sz w:val="32"/>
          <w:szCs w:val="32"/>
        </w:rPr>
      </w:pPr>
    </w:p>
    <w:p>
      <w:pPr>
        <w:pStyle w:val="3"/>
        <w:snapToGrid w:val="0"/>
        <w:spacing w:after="62" w:line="520" w:lineRule="exact"/>
        <w:ind w:firstLine="320"/>
        <w:rPr>
          <w:rFonts w:ascii="宋体" w:hAnsi="宋体"/>
          <w:sz w:val="32"/>
          <w:szCs w:val="32"/>
        </w:rPr>
      </w:pPr>
    </w:p>
    <w:p>
      <w:pPr>
        <w:pStyle w:val="3"/>
        <w:snapToGrid w:val="0"/>
        <w:spacing w:after="62" w:line="520" w:lineRule="exact"/>
        <w:ind w:firstLine="320"/>
        <w:rPr>
          <w:rFonts w:ascii="宋体" w:hAnsi="宋体"/>
          <w:sz w:val="32"/>
          <w:szCs w:val="32"/>
        </w:rPr>
      </w:pPr>
    </w:p>
    <w:p>
      <w:pPr>
        <w:pStyle w:val="3"/>
        <w:snapToGrid w:val="0"/>
        <w:spacing w:after="62" w:line="520" w:lineRule="exact"/>
        <w:ind w:firstLine="320"/>
        <w:rPr>
          <w:rFonts w:ascii="宋体" w:hAnsi="宋体"/>
          <w:sz w:val="32"/>
          <w:szCs w:val="32"/>
        </w:rPr>
      </w:pPr>
    </w:p>
    <w:p>
      <w:pPr>
        <w:pStyle w:val="3"/>
        <w:snapToGrid w:val="0"/>
        <w:spacing w:after="62" w:line="520" w:lineRule="exact"/>
        <w:ind w:firstLine="320"/>
        <w:rPr>
          <w:rFonts w:ascii="宋体" w:hAnsi="宋体"/>
          <w:sz w:val="32"/>
          <w:szCs w:val="32"/>
          <w:u w:val="single"/>
        </w:rPr>
      </w:pPr>
      <w:r>
        <w:rPr>
          <w:rFonts w:hint="eastAsia" w:ascii="宋体" w:hAnsi="宋体"/>
          <w:sz w:val="32"/>
          <w:szCs w:val="32"/>
        </w:rPr>
        <w:t>供应商名称：</w:t>
      </w:r>
      <w:r>
        <w:rPr>
          <w:rFonts w:hint="eastAsia" w:ascii="宋体" w:hAnsi="宋体"/>
          <w:sz w:val="32"/>
          <w:szCs w:val="32"/>
          <w:u w:val="single"/>
        </w:rPr>
        <w:t xml:space="preserve">             </w:t>
      </w:r>
    </w:p>
    <w:p>
      <w:pPr>
        <w:pStyle w:val="3"/>
        <w:snapToGrid w:val="0"/>
        <w:spacing w:after="62" w:line="520" w:lineRule="exact"/>
        <w:ind w:firstLine="320"/>
        <w:rPr>
          <w:rFonts w:ascii="宋体" w:hAnsi="宋体"/>
          <w:sz w:val="32"/>
          <w:szCs w:val="32"/>
          <w:u w:val="single"/>
        </w:rPr>
      </w:pPr>
      <w:r>
        <w:rPr>
          <w:rFonts w:hint="eastAsia" w:ascii="宋体" w:hAnsi="宋体"/>
          <w:sz w:val="32"/>
          <w:szCs w:val="32"/>
        </w:rPr>
        <w:t>授权代表签字：</w:t>
      </w:r>
      <w:r>
        <w:rPr>
          <w:rFonts w:hint="eastAsia" w:ascii="宋体" w:hAnsi="宋体"/>
          <w:sz w:val="32"/>
          <w:szCs w:val="32"/>
          <w:u w:val="single"/>
        </w:rPr>
        <w:t xml:space="preserve">           </w:t>
      </w:r>
    </w:p>
    <w:p>
      <w:r>
        <w:rPr>
          <w:rFonts w:hint="eastAsia" w:ascii="宋体" w:hAnsi="宋体"/>
          <w:sz w:val="32"/>
          <w:szCs w:val="32"/>
        </w:rPr>
        <w:t>日期：</w:t>
      </w:r>
      <w:r>
        <w:rPr>
          <w:rFonts w:hint="eastAsia" w:ascii="宋体" w:hAnsi="宋体"/>
          <w:sz w:val="32"/>
          <w:szCs w:val="32"/>
          <w:u w:val="single"/>
        </w:rPr>
        <w:t xml:space="preserve">                   </w:t>
      </w:r>
    </w:p>
    <w:p/>
    <w:bookmarkEnd w:id="94"/>
    <w:p/>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A-OTF Shin Go Pr6N DB"/>
    <w:panose1 w:val="02020609040205080304"/>
    <w:charset w:val="80"/>
    <w:family w:val="modern"/>
    <w:pitch w:val="default"/>
    <w:sig w:usb0="00000000" w:usb1="00000000" w:usb2="08000012" w:usb3="00000000" w:csb0="0002009F" w:csb1="00000000"/>
  </w:font>
  <w:font w:name="A-OTF Shin Go Pr6N DB">
    <w:panose1 w:val="020B0600000000000000"/>
    <w:charset w:val="80"/>
    <w:family w:val="auto"/>
    <w:pitch w:val="default"/>
    <w:sig w:usb0="000002D7" w:usb1="2AC71C11" w:usb2="00000012" w:usb3="00000000" w:csb0="2002009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11</w:t>
    </w:r>
    <w:r>
      <w:fldChar w:fldCharType="end"/>
    </w:r>
  </w:p>
  <w:p>
    <w:pPr>
      <w:pStyle w:val="3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52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341CB"/>
    <w:multiLevelType w:val="multilevel"/>
    <w:tmpl w:val="AEC341CB"/>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B9A6CDEF"/>
    <w:multiLevelType w:val="multilevel"/>
    <w:tmpl w:val="B9A6CDEF"/>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F91A59FC"/>
    <w:multiLevelType w:val="singleLevel"/>
    <w:tmpl w:val="F91A59FC"/>
    <w:lvl w:ilvl="0" w:tentative="0">
      <w:start w:val="1"/>
      <w:numFmt w:val="decimal"/>
      <w:lvlText w:val="%1."/>
      <w:lvlJc w:val="left"/>
      <w:pPr>
        <w:ind w:left="425" w:hanging="425"/>
      </w:pPr>
      <w:rPr>
        <w:rFonts w:hint="default"/>
      </w:rPr>
    </w:lvl>
  </w:abstractNum>
  <w:abstractNum w:abstractNumId="3">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8"/>
    <w:multiLevelType w:val="multilevel"/>
    <w:tmpl w:val="0000001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1F"/>
    <w:multiLevelType w:val="multilevel"/>
    <w:tmpl w:val="0000001F"/>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8">
    <w:nsid w:val="00000045"/>
    <w:multiLevelType w:val="multilevel"/>
    <w:tmpl w:val="0000004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10">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11">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2">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6">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7">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9">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4DAC762D"/>
    <w:multiLevelType w:val="multilevel"/>
    <w:tmpl w:val="4DAC762D"/>
    <w:lvl w:ilvl="0" w:tentative="0">
      <w:start w:val="1"/>
      <w:numFmt w:val="chineseCountingThousand"/>
      <w:pStyle w:val="4"/>
      <w:suff w:val="space"/>
      <w:lvlText w:val="第%1章"/>
      <w:lvlJc w:val="center"/>
      <w:pPr>
        <w:ind w:left="4815" w:firstLine="288"/>
      </w:pPr>
      <w:rPr>
        <w:rFonts w:hint="eastAsia"/>
        <w:b/>
        <w:sz w:val="36"/>
        <w:szCs w:val="36"/>
      </w:rPr>
    </w:lvl>
    <w:lvl w:ilvl="1" w:tentative="0">
      <w:start w:val="1"/>
      <w:numFmt w:val="decimal"/>
      <w:pStyle w:val="5"/>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21">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0"/>
  </w:num>
  <w:num w:numId="2">
    <w:abstractNumId w:val="18"/>
  </w:num>
  <w:num w:numId="3">
    <w:abstractNumId w:val="7"/>
  </w:num>
  <w:num w:numId="4">
    <w:abstractNumId w:val="4"/>
  </w:num>
  <w:num w:numId="5">
    <w:abstractNumId w:val="17"/>
  </w:num>
  <w:num w:numId="6">
    <w:abstractNumId w:val="3"/>
  </w:num>
  <w:num w:numId="7">
    <w:abstractNumId w:val="1"/>
  </w:num>
  <w:num w:numId="8">
    <w:abstractNumId w:val="0"/>
  </w:num>
  <w:num w:numId="9">
    <w:abstractNumId w:val="6"/>
  </w:num>
  <w:num w:numId="10">
    <w:abstractNumId w:val="2"/>
  </w:num>
  <w:num w:numId="11">
    <w:abstractNumId w:val="5"/>
  </w:num>
  <w:num w:numId="12">
    <w:abstractNumId w:val="19"/>
  </w:num>
  <w:num w:numId="13">
    <w:abstractNumId w:val="8"/>
  </w:num>
  <w:num w:numId="14">
    <w:abstractNumId w:val="12"/>
  </w:num>
  <w:num w:numId="15">
    <w:abstractNumId w:val="10"/>
  </w:num>
  <w:num w:numId="16">
    <w:abstractNumId w:val="11"/>
  </w:num>
  <w:num w:numId="17">
    <w:abstractNumId w:val="9"/>
  </w:num>
  <w:num w:numId="18">
    <w:abstractNumId w:val="13"/>
  </w:num>
  <w:num w:numId="19">
    <w:abstractNumId w:val="14"/>
  </w:num>
  <w:num w:numId="20">
    <w:abstractNumId w:val="15"/>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55"/>
    <w:rsid w:val="000014EE"/>
    <w:rsid w:val="0000165B"/>
    <w:rsid w:val="00002668"/>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C77"/>
    <w:rsid w:val="000302AC"/>
    <w:rsid w:val="00030A9D"/>
    <w:rsid w:val="00031B2F"/>
    <w:rsid w:val="00031DEF"/>
    <w:rsid w:val="00033EFE"/>
    <w:rsid w:val="00034705"/>
    <w:rsid w:val="0003496A"/>
    <w:rsid w:val="00035296"/>
    <w:rsid w:val="000352DD"/>
    <w:rsid w:val="000365EA"/>
    <w:rsid w:val="00037097"/>
    <w:rsid w:val="00037954"/>
    <w:rsid w:val="00040F17"/>
    <w:rsid w:val="00042584"/>
    <w:rsid w:val="00045A14"/>
    <w:rsid w:val="0005189A"/>
    <w:rsid w:val="00053058"/>
    <w:rsid w:val="00053A52"/>
    <w:rsid w:val="00053E94"/>
    <w:rsid w:val="0005497F"/>
    <w:rsid w:val="00056D8B"/>
    <w:rsid w:val="00056FD5"/>
    <w:rsid w:val="000577B3"/>
    <w:rsid w:val="000578CD"/>
    <w:rsid w:val="0005799E"/>
    <w:rsid w:val="000618EA"/>
    <w:rsid w:val="00061F51"/>
    <w:rsid w:val="00062477"/>
    <w:rsid w:val="00064583"/>
    <w:rsid w:val="00064913"/>
    <w:rsid w:val="00066324"/>
    <w:rsid w:val="00070964"/>
    <w:rsid w:val="00071DBA"/>
    <w:rsid w:val="00072029"/>
    <w:rsid w:val="000728EA"/>
    <w:rsid w:val="0007445B"/>
    <w:rsid w:val="000760C6"/>
    <w:rsid w:val="0007666E"/>
    <w:rsid w:val="00076700"/>
    <w:rsid w:val="00080C1A"/>
    <w:rsid w:val="000815DF"/>
    <w:rsid w:val="00082069"/>
    <w:rsid w:val="00082160"/>
    <w:rsid w:val="00082D5D"/>
    <w:rsid w:val="00083045"/>
    <w:rsid w:val="00084999"/>
    <w:rsid w:val="00084E3F"/>
    <w:rsid w:val="00085413"/>
    <w:rsid w:val="00087E73"/>
    <w:rsid w:val="00090871"/>
    <w:rsid w:val="00091477"/>
    <w:rsid w:val="00092C2E"/>
    <w:rsid w:val="0009447A"/>
    <w:rsid w:val="00096080"/>
    <w:rsid w:val="00096339"/>
    <w:rsid w:val="000A28DA"/>
    <w:rsid w:val="000A3669"/>
    <w:rsid w:val="000A5155"/>
    <w:rsid w:val="000A688C"/>
    <w:rsid w:val="000A7250"/>
    <w:rsid w:val="000A7D58"/>
    <w:rsid w:val="000B02BC"/>
    <w:rsid w:val="000B11A0"/>
    <w:rsid w:val="000B4FAD"/>
    <w:rsid w:val="000B55EC"/>
    <w:rsid w:val="000B5724"/>
    <w:rsid w:val="000B6D7B"/>
    <w:rsid w:val="000C17AA"/>
    <w:rsid w:val="000C22C4"/>
    <w:rsid w:val="000C29FA"/>
    <w:rsid w:val="000C3B31"/>
    <w:rsid w:val="000C3D44"/>
    <w:rsid w:val="000C489F"/>
    <w:rsid w:val="000C5934"/>
    <w:rsid w:val="000C6EF4"/>
    <w:rsid w:val="000C70D2"/>
    <w:rsid w:val="000D02BB"/>
    <w:rsid w:val="000D3662"/>
    <w:rsid w:val="000D54F8"/>
    <w:rsid w:val="000D66A3"/>
    <w:rsid w:val="000D6E29"/>
    <w:rsid w:val="000D6FBE"/>
    <w:rsid w:val="000E41E7"/>
    <w:rsid w:val="000E5C95"/>
    <w:rsid w:val="000E6277"/>
    <w:rsid w:val="000E7497"/>
    <w:rsid w:val="000F1443"/>
    <w:rsid w:val="000F2D35"/>
    <w:rsid w:val="000F38BD"/>
    <w:rsid w:val="000F5FE5"/>
    <w:rsid w:val="000F6FE1"/>
    <w:rsid w:val="00100B22"/>
    <w:rsid w:val="001014D5"/>
    <w:rsid w:val="00105AA5"/>
    <w:rsid w:val="00105B57"/>
    <w:rsid w:val="001060EC"/>
    <w:rsid w:val="00106A2A"/>
    <w:rsid w:val="001077D6"/>
    <w:rsid w:val="0011219E"/>
    <w:rsid w:val="00112D23"/>
    <w:rsid w:val="00113255"/>
    <w:rsid w:val="00113435"/>
    <w:rsid w:val="001135CE"/>
    <w:rsid w:val="0011471E"/>
    <w:rsid w:val="00117CA9"/>
    <w:rsid w:val="001208F3"/>
    <w:rsid w:val="00123B7D"/>
    <w:rsid w:val="00124678"/>
    <w:rsid w:val="0012786A"/>
    <w:rsid w:val="0013034C"/>
    <w:rsid w:val="0013062F"/>
    <w:rsid w:val="00130F8C"/>
    <w:rsid w:val="00131658"/>
    <w:rsid w:val="00133D00"/>
    <w:rsid w:val="00133D94"/>
    <w:rsid w:val="0013411C"/>
    <w:rsid w:val="001345BD"/>
    <w:rsid w:val="00136303"/>
    <w:rsid w:val="00136B87"/>
    <w:rsid w:val="0013763D"/>
    <w:rsid w:val="001404C4"/>
    <w:rsid w:val="001424F4"/>
    <w:rsid w:val="001437EE"/>
    <w:rsid w:val="001453C5"/>
    <w:rsid w:val="00147621"/>
    <w:rsid w:val="00147FB5"/>
    <w:rsid w:val="00150FE4"/>
    <w:rsid w:val="00151447"/>
    <w:rsid w:val="00151FAB"/>
    <w:rsid w:val="0015329D"/>
    <w:rsid w:val="00154B29"/>
    <w:rsid w:val="00154BF3"/>
    <w:rsid w:val="00154CBB"/>
    <w:rsid w:val="0015708F"/>
    <w:rsid w:val="00157313"/>
    <w:rsid w:val="001609CF"/>
    <w:rsid w:val="00161FB9"/>
    <w:rsid w:val="00162672"/>
    <w:rsid w:val="00162D92"/>
    <w:rsid w:val="00163258"/>
    <w:rsid w:val="001636DE"/>
    <w:rsid w:val="0016388E"/>
    <w:rsid w:val="00163E91"/>
    <w:rsid w:val="00167A90"/>
    <w:rsid w:val="001708C4"/>
    <w:rsid w:val="00171FDA"/>
    <w:rsid w:val="00172446"/>
    <w:rsid w:val="00172CCB"/>
    <w:rsid w:val="001730DF"/>
    <w:rsid w:val="001738F1"/>
    <w:rsid w:val="001759B2"/>
    <w:rsid w:val="00175A52"/>
    <w:rsid w:val="00176D2C"/>
    <w:rsid w:val="00177676"/>
    <w:rsid w:val="00177E3C"/>
    <w:rsid w:val="00181462"/>
    <w:rsid w:val="0018189F"/>
    <w:rsid w:val="0018438A"/>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5B3"/>
    <w:rsid w:val="001A59E4"/>
    <w:rsid w:val="001A5F66"/>
    <w:rsid w:val="001A60DB"/>
    <w:rsid w:val="001A74D8"/>
    <w:rsid w:val="001A780A"/>
    <w:rsid w:val="001B1B6F"/>
    <w:rsid w:val="001B25C5"/>
    <w:rsid w:val="001B31A4"/>
    <w:rsid w:val="001B33FB"/>
    <w:rsid w:val="001B3C75"/>
    <w:rsid w:val="001B5F1D"/>
    <w:rsid w:val="001B761F"/>
    <w:rsid w:val="001C00DC"/>
    <w:rsid w:val="001C100F"/>
    <w:rsid w:val="001C32A3"/>
    <w:rsid w:val="001C3919"/>
    <w:rsid w:val="001C5180"/>
    <w:rsid w:val="001C6E87"/>
    <w:rsid w:val="001C71DD"/>
    <w:rsid w:val="001C7286"/>
    <w:rsid w:val="001D1377"/>
    <w:rsid w:val="001D23D9"/>
    <w:rsid w:val="001D2705"/>
    <w:rsid w:val="001D34DC"/>
    <w:rsid w:val="001D375F"/>
    <w:rsid w:val="001D384F"/>
    <w:rsid w:val="001D6C53"/>
    <w:rsid w:val="001D73F4"/>
    <w:rsid w:val="001E16C1"/>
    <w:rsid w:val="001E371B"/>
    <w:rsid w:val="001E56B6"/>
    <w:rsid w:val="001E653F"/>
    <w:rsid w:val="001F19AA"/>
    <w:rsid w:val="001F1C2F"/>
    <w:rsid w:val="001F2993"/>
    <w:rsid w:val="001F36D2"/>
    <w:rsid w:val="001F3B74"/>
    <w:rsid w:val="001F3D3C"/>
    <w:rsid w:val="001F48E2"/>
    <w:rsid w:val="001F4E78"/>
    <w:rsid w:val="001F504F"/>
    <w:rsid w:val="001F7409"/>
    <w:rsid w:val="001F7C0B"/>
    <w:rsid w:val="00200232"/>
    <w:rsid w:val="00200BEA"/>
    <w:rsid w:val="00200E77"/>
    <w:rsid w:val="00204763"/>
    <w:rsid w:val="00205B12"/>
    <w:rsid w:val="00206250"/>
    <w:rsid w:val="002065EB"/>
    <w:rsid w:val="00207266"/>
    <w:rsid w:val="00207358"/>
    <w:rsid w:val="00210532"/>
    <w:rsid w:val="00211523"/>
    <w:rsid w:val="00212106"/>
    <w:rsid w:val="002133FD"/>
    <w:rsid w:val="00213B1C"/>
    <w:rsid w:val="0021459D"/>
    <w:rsid w:val="00214AD6"/>
    <w:rsid w:val="00215E61"/>
    <w:rsid w:val="002166B5"/>
    <w:rsid w:val="00217FE0"/>
    <w:rsid w:val="00220C69"/>
    <w:rsid w:val="0022136D"/>
    <w:rsid w:val="002225AD"/>
    <w:rsid w:val="00223BB5"/>
    <w:rsid w:val="00224456"/>
    <w:rsid w:val="0022501D"/>
    <w:rsid w:val="00226F02"/>
    <w:rsid w:val="00227DB7"/>
    <w:rsid w:val="002322AB"/>
    <w:rsid w:val="002338C7"/>
    <w:rsid w:val="00233F18"/>
    <w:rsid w:val="0023456B"/>
    <w:rsid w:val="002347CA"/>
    <w:rsid w:val="00235732"/>
    <w:rsid w:val="00235961"/>
    <w:rsid w:val="00236180"/>
    <w:rsid w:val="00237DAF"/>
    <w:rsid w:val="00240411"/>
    <w:rsid w:val="00240D7C"/>
    <w:rsid w:val="00240F58"/>
    <w:rsid w:val="00242D72"/>
    <w:rsid w:val="0024300F"/>
    <w:rsid w:val="002430DE"/>
    <w:rsid w:val="002438C1"/>
    <w:rsid w:val="00243C9E"/>
    <w:rsid w:val="0024425A"/>
    <w:rsid w:val="00244412"/>
    <w:rsid w:val="00244D52"/>
    <w:rsid w:val="0024521A"/>
    <w:rsid w:val="002459F4"/>
    <w:rsid w:val="00247321"/>
    <w:rsid w:val="00247884"/>
    <w:rsid w:val="00247E4F"/>
    <w:rsid w:val="002500E7"/>
    <w:rsid w:val="002506EA"/>
    <w:rsid w:val="00251229"/>
    <w:rsid w:val="002517FA"/>
    <w:rsid w:val="002556C1"/>
    <w:rsid w:val="00255DC9"/>
    <w:rsid w:val="00256494"/>
    <w:rsid w:val="00262084"/>
    <w:rsid w:val="00263946"/>
    <w:rsid w:val="00263ECA"/>
    <w:rsid w:val="00265008"/>
    <w:rsid w:val="00266973"/>
    <w:rsid w:val="00267B75"/>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2C9"/>
    <w:rsid w:val="00282C00"/>
    <w:rsid w:val="002848E8"/>
    <w:rsid w:val="00285002"/>
    <w:rsid w:val="0028791B"/>
    <w:rsid w:val="002912E5"/>
    <w:rsid w:val="00293EF5"/>
    <w:rsid w:val="00296FB0"/>
    <w:rsid w:val="002977C3"/>
    <w:rsid w:val="002A09B2"/>
    <w:rsid w:val="002A18B6"/>
    <w:rsid w:val="002A20BE"/>
    <w:rsid w:val="002A31A6"/>
    <w:rsid w:val="002A57B4"/>
    <w:rsid w:val="002A63D6"/>
    <w:rsid w:val="002A6A4C"/>
    <w:rsid w:val="002A77CF"/>
    <w:rsid w:val="002B07CB"/>
    <w:rsid w:val="002B271D"/>
    <w:rsid w:val="002B274E"/>
    <w:rsid w:val="002C0317"/>
    <w:rsid w:val="002C1A9F"/>
    <w:rsid w:val="002C1F7C"/>
    <w:rsid w:val="002C4DE8"/>
    <w:rsid w:val="002C607F"/>
    <w:rsid w:val="002C6C80"/>
    <w:rsid w:val="002C6F2C"/>
    <w:rsid w:val="002C7F8D"/>
    <w:rsid w:val="002D0673"/>
    <w:rsid w:val="002D0A8D"/>
    <w:rsid w:val="002D24AE"/>
    <w:rsid w:val="002D3C6B"/>
    <w:rsid w:val="002D3F7C"/>
    <w:rsid w:val="002D5AC3"/>
    <w:rsid w:val="002D706B"/>
    <w:rsid w:val="002E0999"/>
    <w:rsid w:val="002E4AAE"/>
    <w:rsid w:val="002E5A36"/>
    <w:rsid w:val="002E7F6B"/>
    <w:rsid w:val="002F140F"/>
    <w:rsid w:val="002F3ECC"/>
    <w:rsid w:val="002F4C62"/>
    <w:rsid w:val="002F54D3"/>
    <w:rsid w:val="002F5548"/>
    <w:rsid w:val="002F5C10"/>
    <w:rsid w:val="002F65C2"/>
    <w:rsid w:val="00300124"/>
    <w:rsid w:val="00300CA0"/>
    <w:rsid w:val="003018A3"/>
    <w:rsid w:val="003020BC"/>
    <w:rsid w:val="00302EBB"/>
    <w:rsid w:val="003035C2"/>
    <w:rsid w:val="003044CF"/>
    <w:rsid w:val="00304BAC"/>
    <w:rsid w:val="00304D7F"/>
    <w:rsid w:val="0030539C"/>
    <w:rsid w:val="003066EF"/>
    <w:rsid w:val="003109D7"/>
    <w:rsid w:val="00311B3A"/>
    <w:rsid w:val="00311FBD"/>
    <w:rsid w:val="0031392C"/>
    <w:rsid w:val="003179F8"/>
    <w:rsid w:val="00317C08"/>
    <w:rsid w:val="0032052D"/>
    <w:rsid w:val="003225E3"/>
    <w:rsid w:val="00323914"/>
    <w:rsid w:val="00324A2F"/>
    <w:rsid w:val="00325CE2"/>
    <w:rsid w:val="003305F0"/>
    <w:rsid w:val="00331D34"/>
    <w:rsid w:val="00332EBF"/>
    <w:rsid w:val="003336F4"/>
    <w:rsid w:val="0033591B"/>
    <w:rsid w:val="00340248"/>
    <w:rsid w:val="003411C2"/>
    <w:rsid w:val="00342CA6"/>
    <w:rsid w:val="00343793"/>
    <w:rsid w:val="0034452F"/>
    <w:rsid w:val="00345331"/>
    <w:rsid w:val="0034674C"/>
    <w:rsid w:val="0034677A"/>
    <w:rsid w:val="00350958"/>
    <w:rsid w:val="00352C45"/>
    <w:rsid w:val="00352D6D"/>
    <w:rsid w:val="00352DC2"/>
    <w:rsid w:val="00353315"/>
    <w:rsid w:val="00354782"/>
    <w:rsid w:val="00355E15"/>
    <w:rsid w:val="0035600E"/>
    <w:rsid w:val="00356B6A"/>
    <w:rsid w:val="003574EF"/>
    <w:rsid w:val="00361CD2"/>
    <w:rsid w:val="00363BAE"/>
    <w:rsid w:val="0036480C"/>
    <w:rsid w:val="003653EE"/>
    <w:rsid w:val="0036572F"/>
    <w:rsid w:val="00367C42"/>
    <w:rsid w:val="00370088"/>
    <w:rsid w:val="00372E2F"/>
    <w:rsid w:val="00374FD7"/>
    <w:rsid w:val="00375173"/>
    <w:rsid w:val="00375782"/>
    <w:rsid w:val="00380A80"/>
    <w:rsid w:val="0038135C"/>
    <w:rsid w:val="00381F8E"/>
    <w:rsid w:val="003825FC"/>
    <w:rsid w:val="003827BD"/>
    <w:rsid w:val="0038337F"/>
    <w:rsid w:val="00384CFA"/>
    <w:rsid w:val="00385258"/>
    <w:rsid w:val="00385698"/>
    <w:rsid w:val="0038617D"/>
    <w:rsid w:val="00387449"/>
    <w:rsid w:val="00387BE1"/>
    <w:rsid w:val="003949FF"/>
    <w:rsid w:val="00395628"/>
    <w:rsid w:val="003966A4"/>
    <w:rsid w:val="003A0269"/>
    <w:rsid w:val="003A22F2"/>
    <w:rsid w:val="003A4129"/>
    <w:rsid w:val="003A5B77"/>
    <w:rsid w:val="003A61A5"/>
    <w:rsid w:val="003A635B"/>
    <w:rsid w:val="003A7B17"/>
    <w:rsid w:val="003B0E45"/>
    <w:rsid w:val="003B2C64"/>
    <w:rsid w:val="003B3BED"/>
    <w:rsid w:val="003B3D55"/>
    <w:rsid w:val="003B4431"/>
    <w:rsid w:val="003B5210"/>
    <w:rsid w:val="003B5605"/>
    <w:rsid w:val="003B5EB6"/>
    <w:rsid w:val="003B6D44"/>
    <w:rsid w:val="003B7A81"/>
    <w:rsid w:val="003C04AD"/>
    <w:rsid w:val="003C16C9"/>
    <w:rsid w:val="003C1CA7"/>
    <w:rsid w:val="003C61E9"/>
    <w:rsid w:val="003C7561"/>
    <w:rsid w:val="003C7928"/>
    <w:rsid w:val="003C7C54"/>
    <w:rsid w:val="003D063B"/>
    <w:rsid w:val="003D0945"/>
    <w:rsid w:val="003D1E0B"/>
    <w:rsid w:val="003D1EFA"/>
    <w:rsid w:val="003D2EF6"/>
    <w:rsid w:val="003D3DA9"/>
    <w:rsid w:val="003D41C8"/>
    <w:rsid w:val="003D59E0"/>
    <w:rsid w:val="003D7647"/>
    <w:rsid w:val="003E10C1"/>
    <w:rsid w:val="003E183C"/>
    <w:rsid w:val="003E3225"/>
    <w:rsid w:val="003E5F22"/>
    <w:rsid w:val="003E794B"/>
    <w:rsid w:val="003E7A69"/>
    <w:rsid w:val="003F0D93"/>
    <w:rsid w:val="003F216D"/>
    <w:rsid w:val="003F360C"/>
    <w:rsid w:val="003F60F1"/>
    <w:rsid w:val="00400138"/>
    <w:rsid w:val="00400873"/>
    <w:rsid w:val="004011D2"/>
    <w:rsid w:val="004055F1"/>
    <w:rsid w:val="00405B38"/>
    <w:rsid w:val="00407BD1"/>
    <w:rsid w:val="00407EEE"/>
    <w:rsid w:val="0041267C"/>
    <w:rsid w:val="00412855"/>
    <w:rsid w:val="0041299D"/>
    <w:rsid w:val="00414098"/>
    <w:rsid w:val="00414C51"/>
    <w:rsid w:val="004151B4"/>
    <w:rsid w:val="004166D8"/>
    <w:rsid w:val="00421886"/>
    <w:rsid w:val="004223E1"/>
    <w:rsid w:val="004226C7"/>
    <w:rsid w:val="00423970"/>
    <w:rsid w:val="00424449"/>
    <w:rsid w:val="00426010"/>
    <w:rsid w:val="00426B96"/>
    <w:rsid w:val="00427AF2"/>
    <w:rsid w:val="0043002B"/>
    <w:rsid w:val="00436153"/>
    <w:rsid w:val="004369D4"/>
    <w:rsid w:val="00436D27"/>
    <w:rsid w:val="00440AA3"/>
    <w:rsid w:val="004416B7"/>
    <w:rsid w:val="00441BA6"/>
    <w:rsid w:val="004447F8"/>
    <w:rsid w:val="004454EF"/>
    <w:rsid w:val="00445BE7"/>
    <w:rsid w:val="004463F2"/>
    <w:rsid w:val="00446B22"/>
    <w:rsid w:val="004472C3"/>
    <w:rsid w:val="00453075"/>
    <w:rsid w:val="00457347"/>
    <w:rsid w:val="00457459"/>
    <w:rsid w:val="00460414"/>
    <w:rsid w:val="00460838"/>
    <w:rsid w:val="004611AD"/>
    <w:rsid w:val="00463598"/>
    <w:rsid w:val="0046498B"/>
    <w:rsid w:val="004663B1"/>
    <w:rsid w:val="00466DB6"/>
    <w:rsid w:val="00467E2B"/>
    <w:rsid w:val="00467FDA"/>
    <w:rsid w:val="00470024"/>
    <w:rsid w:val="00470730"/>
    <w:rsid w:val="00473658"/>
    <w:rsid w:val="00475A1D"/>
    <w:rsid w:val="00477EF6"/>
    <w:rsid w:val="004809A0"/>
    <w:rsid w:val="004821CC"/>
    <w:rsid w:val="00482693"/>
    <w:rsid w:val="00483653"/>
    <w:rsid w:val="00484086"/>
    <w:rsid w:val="004854F3"/>
    <w:rsid w:val="0048667A"/>
    <w:rsid w:val="004917CD"/>
    <w:rsid w:val="0049216E"/>
    <w:rsid w:val="00492A51"/>
    <w:rsid w:val="00493168"/>
    <w:rsid w:val="0049373E"/>
    <w:rsid w:val="00494435"/>
    <w:rsid w:val="00494AEA"/>
    <w:rsid w:val="00495459"/>
    <w:rsid w:val="0049606A"/>
    <w:rsid w:val="0049659C"/>
    <w:rsid w:val="004A0AAD"/>
    <w:rsid w:val="004A2717"/>
    <w:rsid w:val="004A2DF6"/>
    <w:rsid w:val="004A4E12"/>
    <w:rsid w:val="004A51B2"/>
    <w:rsid w:val="004A5E4E"/>
    <w:rsid w:val="004A6A4D"/>
    <w:rsid w:val="004B00FD"/>
    <w:rsid w:val="004B19C9"/>
    <w:rsid w:val="004B1AF0"/>
    <w:rsid w:val="004B3224"/>
    <w:rsid w:val="004B3E69"/>
    <w:rsid w:val="004B4B2C"/>
    <w:rsid w:val="004B598A"/>
    <w:rsid w:val="004B5BF2"/>
    <w:rsid w:val="004C04FC"/>
    <w:rsid w:val="004C0A14"/>
    <w:rsid w:val="004C180A"/>
    <w:rsid w:val="004C3243"/>
    <w:rsid w:val="004C48F0"/>
    <w:rsid w:val="004C5137"/>
    <w:rsid w:val="004C6542"/>
    <w:rsid w:val="004D0B16"/>
    <w:rsid w:val="004D0C03"/>
    <w:rsid w:val="004D0FD1"/>
    <w:rsid w:val="004D1F26"/>
    <w:rsid w:val="004D2528"/>
    <w:rsid w:val="004D28EA"/>
    <w:rsid w:val="004D39FE"/>
    <w:rsid w:val="004D3A64"/>
    <w:rsid w:val="004D46CB"/>
    <w:rsid w:val="004D4E05"/>
    <w:rsid w:val="004D5644"/>
    <w:rsid w:val="004D5830"/>
    <w:rsid w:val="004D7389"/>
    <w:rsid w:val="004D7421"/>
    <w:rsid w:val="004E486F"/>
    <w:rsid w:val="004E645E"/>
    <w:rsid w:val="004E75CF"/>
    <w:rsid w:val="004F14FA"/>
    <w:rsid w:val="004F1E70"/>
    <w:rsid w:val="004F3C3B"/>
    <w:rsid w:val="004F3DD9"/>
    <w:rsid w:val="005018B4"/>
    <w:rsid w:val="00501BCD"/>
    <w:rsid w:val="00502E90"/>
    <w:rsid w:val="005043A5"/>
    <w:rsid w:val="005058EC"/>
    <w:rsid w:val="0050609C"/>
    <w:rsid w:val="00506423"/>
    <w:rsid w:val="00510D2F"/>
    <w:rsid w:val="00511842"/>
    <w:rsid w:val="00511F5D"/>
    <w:rsid w:val="00512BEF"/>
    <w:rsid w:val="00513F36"/>
    <w:rsid w:val="00515427"/>
    <w:rsid w:val="00516300"/>
    <w:rsid w:val="00516A5B"/>
    <w:rsid w:val="00516F8D"/>
    <w:rsid w:val="00517D26"/>
    <w:rsid w:val="00520B2D"/>
    <w:rsid w:val="00522632"/>
    <w:rsid w:val="00523030"/>
    <w:rsid w:val="00524463"/>
    <w:rsid w:val="005253A2"/>
    <w:rsid w:val="00525620"/>
    <w:rsid w:val="00525AB8"/>
    <w:rsid w:val="005311D5"/>
    <w:rsid w:val="00531FB3"/>
    <w:rsid w:val="00532A82"/>
    <w:rsid w:val="00532CA9"/>
    <w:rsid w:val="00532F29"/>
    <w:rsid w:val="00533254"/>
    <w:rsid w:val="0053395D"/>
    <w:rsid w:val="0053413A"/>
    <w:rsid w:val="0053541D"/>
    <w:rsid w:val="00535BF7"/>
    <w:rsid w:val="005374CA"/>
    <w:rsid w:val="005410CB"/>
    <w:rsid w:val="00541901"/>
    <w:rsid w:val="00541945"/>
    <w:rsid w:val="00541CBF"/>
    <w:rsid w:val="00544133"/>
    <w:rsid w:val="005444AC"/>
    <w:rsid w:val="0054467D"/>
    <w:rsid w:val="00546886"/>
    <w:rsid w:val="00550136"/>
    <w:rsid w:val="005505A9"/>
    <w:rsid w:val="00550949"/>
    <w:rsid w:val="00553F1D"/>
    <w:rsid w:val="00554678"/>
    <w:rsid w:val="0055501B"/>
    <w:rsid w:val="00555AB6"/>
    <w:rsid w:val="0056014B"/>
    <w:rsid w:val="00560349"/>
    <w:rsid w:val="00561407"/>
    <w:rsid w:val="00562135"/>
    <w:rsid w:val="005628ED"/>
    <w:rsid w:val="005630C9"/>
    <w:rsid w:val="00563240"/>
    <w:rsid w:val="005637E0"/>
    <w:rsid w:val="00566416"/>
    <w:rsid w:val="0057081A"/>
    <w:rsid w:val="0057148D"/>
    <w:rsid w:val="00571A6D"/>
    <w:rsid w:val="00573B44"/>
    <w:rsid w:val="00573DFD"/>
    <w:rsid w:val="00575725"/>
    <w:rsid w:val="00575A46"/>
    <w:rsid w:val="005774B5"/>
    <w:rsid w:val="00581791"/>
    <w:rsid w:val="00581B38"/>
    <w:rsid w:val="00585F0B"/>
    <w:rsid w:val="00586787"/>
    <w:rsid w:val="00587B7E"/>
    <w:rsid w:val="00590759"/>
    <w:rsid w:val="00591493"/>
    <w:rsid w:val="00592E90"/>
    <w:rsid w:val="0059326F"/>
    <w:rsid w:val="005943C3"/>
    <w:rsid w:val="00596569"/>
    <w:rsid w:val="0059660B"/>
    <w:rsid w:val="00596A81"/>
    <w:rsid w:val="005A0EB9"/>
    <w:rsid w:val="005A3404"/>
    <w:rsid w:val="005A53F6"/>
    <w:rsid w:val="005A648E"/>
    <w:rsid w:val="005A732E"/>
    <w:rsid w:val="005B1A74"/>
    <w:rsid w:val="005B2074"/>
    <w:rsid w:val="005B2427"/>
    <w:rsid w:val="005B2D76"/>
    <w:rsid w:val="005B33DF"/>
    <w:rsid w:val="005B5E53"/>
    <w:rsid w:val="005B7080"/>
    <w:rsid w:val="005B729A"/>
    <w:rsid w:val="005B7341"/>
    <w:rsid w:val="005B7B3C"/>
    <w:rsid w:val="005C0188"/>
    <w:rsid w:val="005C1A0E"/>
    <w:rsid w:val="005C2992"/>
    <w:rsid w:val="005C33AD"/>
    <w:rsid w:val="005C3F69"/>
    <w:rsid w:val="005D0D2A"/>
    <w:rsid w:val="005D25EE"/>
    <w:rsid w:val="005D7701"/>
    <w:rsid w:val="005D7D9C"/>
    <w:rsid w:val="005E0D66"/>
    <w:rsid w:val="005E1371"/>
    <w:rsid w:val="005E1417"/>
    <w:rsid w:val="005E1FD8"/>
    <w:rsid w:val="005E30A9"/>
    <w:rsid w:val="005E42DC"/>
    <w:rsid w:val="005E447F"/>
    <w:rsid w:val="005E4B3B"/>
    <w:rsid w:val="005E66F2"/>
    <w:rsid w:val="005E69F1"/>
    <w:rsid w:val="005E739F"/>
    <w:rsid w:val="005F0CAB"/>
    <w:rsid w:val="005F0D66"/>
    <w:rsid w:val="005F0E61"/>
    <w:rsid w:val="005F2B9A"/>
    <w:rsid w:val="005F2BD7"/>
    <w:rsid w:val="005F7CC2"/>
    <w:rsid w:val="006000DA"/>
    <w:rsid w:val="00600577"/>
    <w:rsid w:val="00601605"/>
    <w:rsid w:val="00603B48"/>
    <w:rsid w:val="00604197"/>
    <w:rsid w:val="00604A83"/>
    <w:rsid w:val="00604E93"/>
    <w:rsid w:val="00605734"/>
    <w:rsid w:val="00606721"/>
    <w:rsid w:val="00606B8F"/>
    <w:rsid w:val="00610CDC"/>
    <w:rsid w:val="00611644"/>
    <w:rsid w:val="00611704"/>
    <w:rsid w:val="00612445"/>
    <w:rsid w:val="006124B3"/>
    <w:rsid w:val="0061368D"/>
    <w:rsid w:val="00613AF8"/>
    <w:rsid w:val="00613BB9"/>
    <w:rsid w:val="006143F8"/>
    <w:rsid w:val="00614B61"/>
    <w:rsid w:val="0061556D"/>
    <w:rsid w:val="00616317"/>
    <w:rsid w:val="00616D44"/>
    <w:rsid w:val="00616F6D"/>
    <w:rsid w:val="00620370"/>
    <w:rsid w:val="00620ABA"/>
    <w:rsid w:val="0062180D"/>
    <w:rsid w:val="00621A2C"/>
    <w:rsid w:val="0062236E"/>
    <w:rsid w:val="00622D0E"/>
    <w:rsid w:val="00624CD7"/>
    <w:rsid w:val="0062665F"/>
    <w:rsid w:val="006272D3"/>
    <w:rsid w:val="006277CE"/>
    <w:rsid w:val="00627A32"/>
    <w:rsid w:val="00627C51"/>
    <w:rsid w:val="00630099"/>
    <w:rsid w:val="00630BBC"/>
    <w:rsid w:val="00631D27"/>
    <w:rsid w:val="00632E9C"/>
    <w:rsid w:val="006334C8"/>
    <w:rsid w:val="006336BB"/>
    <w:rsid w:val="00633F49"/>
    <w:rsid w:val="00634607"/>
    <w:rsid w:val="00634CE0"/>
    <w:rsid w:val="00635FEF"/>
    <w:rsid w:val="00636808"/>
    <w:rsid w:val="00636CFC"/>
    <w:rsid w:val="006416E7"/>
    <w:rsid w:val="006432A5"/>
    <w:rsid w:val="00644070"/>
    <w:rsid w:val="00646026"/>
    <w:rsid w:val="00646477"/>
    <w:rsid w:val="006469B1"/>
    <w:rsid w:val="00650384"/>
    <w:rsid w:val="00652DE7"/>
    <w:rsid w:val="0065606C"/>
    <w:rsid w:val="00656628"/>
    <w:rsid w:val="006609AE"/>
    <w:rsid w:val="006617C2"/>
    <w:rsid w:val="006620D5"/>
    <w:rsid w:val="00662A9F"/>
    <w:rsid w:val="00663485"/>
    <w:rsid w:val="00664E16"/>
    <w:rsid w:val="00665858"/>
    <w:rsid w:val="00665C66"/>
    <w:rsid w:val="006663B5"/>
    <w:rsid w:val="00671145"/>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4D0"/>
    <w:rsid w:val="00685F82"/>
    <w:rsid w:val="00687D68"/>
    <w:rsid w:val="006906EF"/>
    <w:rsid w:val="00690B82"/>
    <w:rsid w:val="00695D8D"/>
    <w:rsid w:val="00696195"/>
    <w:rsid w:val="0069737B"/>
    <w:rsid w:val="0069750C"/>
    <w:rsid w:val="006A00AF"/>
    <w:rsid w:val="006A0495"/>
    <w:rsid w:val="006A0780"/>
    <w:rsid w:val="006A0950"/>
    <w:rsid w:val="006A0B45"/>
    <w:rsid w:val="006A30FA"/>
    <w:rsid w:val="006A3295"/>
    <w:rsid w:val="006A3DFE"/>
    <w:rsid w:val="006A5AE4"/>
    <w:rsid w:val="006A70F0"/>
    <w:rsid w:val="006A7278"/>
    <w:rsid w:val="006A76DE"/>
    <w:rsid w:val="006A799F"/>
    <w:rsid w:val="006B0BCF"/>
    <w:rsid w:val="006B17CB"/>
    <w:rsid w:val="006B1F4B"/>
    <w:rsid w:val="006B201B"/>
    <w:rsid w:val="006B2EB5"/>
    <w:rsid w:val="006B43BB"/>
    <w:rsid w:val="006B4F22"/>
    <w:rsid w:val="006B7742"/>
    <w:rsid w:val="006C236D"/>
    <w:rsid w:val="006C3531"/>
    <w:rsid w:val="006C5828"/>
    <w:rsid w:val="006C6482"/>
    <w:rsid w:val="006C65C2"/>
    <w:rsid w:val="006C75C7"/>
    <w:rsid w:val="006C7D48"/>
    <w:rsid w:val="006D0F80"/>
    <w:rsid w:val="006D11FE"/>
    <w:rsid w:val="006D13F8"/>
    <w:rsid w:val="006D15BA"/>
    <w:rsid w:val="006D16E4"/>
    <w:rsid w:val="006D19BC"/>
    <w:rsid w:val="006D22B8"/>
    <w:rsid w:val="006D66F4"/>
    <w:rsid w:val="006D7210"/>
    <w:rsid w:val="006E06C0"/>
    <w:rsid w:val="006E230F"/>
    <w:rsid w:val="006E43A2"/>
    <w:rsid w:val="006E7D5D"/>
    <w:rsid w:val="006F0B9C"/>
    <w:rsid w:val="006F0D0A"/>
    <w:rsid w:val="006F34DE"/>
    <w:rsid w:val="006F7226"/>
    <w:rsid w:val="006F7AB0"/>
    <w:rsid w:val="00700BFB"/>
    <w:rsid w:val="00701C14"/>
    <w:rsid w:val="007021A9"/>
    <w:rsid w:val="00703FD6"/>
    <w:rsid w:val="0070439D"/>
    <w:rsid w:val="00704623"/>
    <w:rsid w:val="007051C7"/>
    <w:rsid w:val="00706B3A"/>
    <w:rsid w:val="00707598"/>
    <w:rsid w:val="007100DB"/>
    <w:rsid w:val="00710285"/>
    <w:rsid w:val="007107C6"/>
    <w:rsid w:val="007116E6"/>
    <w:rsid w:val="00711CFB"/>
    <w:rsid w:val="00712EF0"/>
    <w:rsid w:val="007132E7"/>
    <w:rsid w:val="00714276"/>
    <w:rsid w:val="007150CD"/>
    <w:rsid w:val="0071650C"/>
    <w:rsid w:val="00716D73"/>
    <w:rsid w:val="00721AFA"/>
    <w:rsid w:val="007238D5"/>
    <w:rsid w:val="00726076"/>
    <w:rsid w:val="007275F8"/>
    <w:rsid w:val="00727962"/>
    <w:rsid w:val="00727BC4"/>
    <w:rsid w:val="00727BFE"/>
    <w:rsid w:val="0073257C"/>
    <w:rsid w:val="007333EB"/>
    <w:rsid w:val="007349E8"/>
    <w:rsid w:val="007365B8"/>
    <w:rsid w:val="00736D87"/>
    <w:rsid w:val="00737C7F"/>
    <w:rsid w:val="00737CB1"/>
    <w:rsid w:val="00740DA3"/>
    <w:rsid w:val="0074209F"/>
    <w:rsid w:val="0074255B"/>
    <w:rsid w:val="007431B7"/>
    <w:rsid w:val="00747804"/>
    <w:rsid w:val="007522AE"/>
    <w:rsid w:val="007537A3"/>
    <w:rsid w:val="00753B98"/>
    <w:rsid w:val="007554FA"/>
    <w:rsid w:val="00755A5D"/>
    <w:rsid w:val="007571D2"/>
    <w:rsid w:val="00762DA6"/>
    <w:rsid w:val="007632BA"/>
    <w:rsid w:val="00765241"/>
    <w:rsid w:val="00765DD7"/>
    <w:rsid w:val="0077014F"/>
    <w:rsid w:val="00770312"/>
    <w:rsid w:val="007707C0"/>
    <w:rsid w:val="00770E3A"/>
    <w:rsid w:val="00774A4B"/>
    <w:rsid w:val="007766B9"/>
    <w:rsid w:val="007801B9"/>
    <w:rsid w:val="0078061D"/>
    <w:rsid w:val="007819BB"/>
    <w:rsid w:val="00782301"/>
    <w:rsid w:val="00783925"/>
    <w:rsid w:val="007842B2"/>
    <w:rsid w:val="007853CA"/>
    <w:rsid w:val="00786E0B"/>
    <w:rsid w:val="00787E47"/>
    <w:rsid w:val="00787F31"/>
    <w:rsid w:val="00790301"/>
    <w:rsid w:val="00791C53"/>
    <w:rsid w:val="007924EF"/>
    <w:rsid w:val="00793ADF"/>
    <w:rsid w:val="00793EA0"/>
    <w:rsid w:val="00793ECA"/>
    <w:rsid w:val="00794E01"/>
    <w:rsid w:val="00796145"/>
    <w:rsid w:val="007977A5"/>
    <w:rsid w:val="00797849"/>
    <w:rsid w:val="007A0B2F"/>
    <w:rsid w:val="007A1357"/>
    <w:rsid w:val="007A1F68"/>
    <w:rsid w:val="007A23B5"/>
    <w:rsid w:val="007A29EC"/>
    <w:rsid w:val="007A415D"/>
    <w:rsid w:val="007A4915"/>
    <w:rsid w:val="007B0CB5"/>
    <w:rsid w:val="007B3937"/>
    <w:rsid w:val="007B3C00"/>
    <w:rsid w:val="007C12AF"/>
    <w:rsid w:val="007C2A0A"/>
    <w:rsid w:val="007C33BF"/>
    <w:rsid w:val="007C489B"/>
    <w:rsid w:val="007C4B99"/>
    <w:rsid w:val="007C5342"/>
    <w:rsid w:val="007C5B87"/>
    <w:rsid w:val="007C73A6"/>
    <w:rsid w:val="007C7554"/>
    <w:rsid w:val="007C7834"/>
    <w:rsid w:val="007D5BCD"/>
    <w:rsid w:val="007D67FF"/>
    <w:rsid w:val="007D6890"/>
    <w:rsid w:val="007E0E71"/>
    <w:rsid w:val="007E1C82"/>
    <w:rsid w:val="007E1CAC"/>
    <w:rsid w:val="007E1D38"/>
    <w:rsid w:val="007E2972"/>
    <w:rsid w:val="007E7526"/>
    <w:rsid w:val="007E7DC1"/>
    <w:rsid w:val="007F1E33"/>
    <w:rsid w:val="007F219C"/>
    <w:rsid w:val="007F3FB7"/>
    <w:rsid w:val="007F46C4"/>
    <w:rsid w:val="007F4BE5"/>
    <w:rsid w:val="007F4CA1"/>
    <w:rsid w:val="007F64F5"/>
    <w:rsid w:val="007F68CE"/>
    <w:rsid w:val="007F6A3D"/>
    <w:rsid w:val="007F75F7"/>
    <w:rsid w:val="007F7BFC"/>
    <w:rsid w:val="007F7D95"/>
    <w:rsid w:val="00800EE5"/>
    <w:rsid w:val="00801CFD"/>
    <w:rsid w:val="00802070"/>
    <w:rsid w:val="00804E62"/>
    <w:rsid w:val="008054E6"/>
    <w:rsid w:val="008070FF"/>
    <w:rsid w:val="008128A7"/>
    <w:rsid w:val="00812920"/>
    <w:rsid w:val="008144DF"/>
    <w:rsid w:val="00815478"/>
    <w:rsid w:val="0082056C"/>
    <w:rsid w:val="00820819"/>
    <w:rsid w:val="008208E5"/>
    <w:rsid w:val="00820E95"/>
    <w:rsid w:val="0082104F"/>
    <w:rsid w:val="00821191"/>
    <w:rsid w:val="00821445"/>
    <w:rsid w:val="00821D94"/>
    <w:rsid w:val="00826F7D"/>
    <w:rsid w:val="0083009A"/>
    <w:rsid w:val="00830949"/>
    <w:rsid w:val="00831D23"/>
    <w:rsid w:val="008324F1"/>
    <w:rsid w:val="00832831"/>
    <w:rsid w:val="008333E3"/>
    <w:rsid w:val="00833841"/>
    <w:rsid w:val="00834E70"/>
    <w:rsid w:val="00835214"/>
    <w:rsid w:val="00836263"/>
    <w:rsid w:val="008366A6"/>
    <w:rsid w:val="008403F7"/>
    <w:rsid w:val="008436EC"/>
    <w:rsid w:val="00843D33"/>
    <w:rsid w:val="00845EAA"/>
    <w:rsid w:val="00846CEF"/>
    <w:rsid w:val="00850E67"/>
    <w:rsid w:val="008512C3"/>
    <w:rsid w:val="00852D1F"/>
    <w:rsid w:val="00855112"/>
    <w:rsid w:val="00860306"/>
    <w:rsid w:val="00860871"/>
    <w:rsid w:val="008612F0"/>
    <w:rsid w:val="00862F88"/>
    <w:rsid w:val="008638A2"/>
    <w:rsid w:val="00866B6D"/>
    <w:rsid w:val="00870253"/>
    <w:rsid w:val="008703F6"/>
    <w:rsid w:val="00871AB9"/>
    <w:rsid w:val="00874CD3"/>
    <w:rsid w:val="008759DE"/>
    <w:rsid w:val="00877089"/>
    <w:rsid w:val="008845F6"/>
    <w:rsid w:val="0088504D"/>
    <w:rsid w:val="0088577C"/>
    <w:rsid w:val="008862AB"/>
    <w:rsid w:val="00892B6D"/>
    <w:rsid w:val="0089322E"/>
    <w:rsid w:val="00893D17"/>
    <w:rsid w:val="008947A2"/>
    <w:rsid w:val="008968CC"/>
    <w:rsid w:val="00896CDF"/>
    <w:rsid w:val="008974DB"/>
    <w:rsid w:val="008A0677"/>
    <w:rsid w:val="008A3020"/>
    <w:rsid w:val="008A315D"/>
    <w:rsid w:val="008A4346"/>
    <w:rsid w:val="008A4A45"/>
    <w:rsid w:val="008A5CCB"/>
    <w:rsid w:val="008A63DF"/>
    <w:rsid w:val="008A6678"/>
    <w:rsid w:val="008A687B"/>
    <w:rsid w:val="008A78FF"/>
    <w:rsid w:val="008B016E"/>
    <w:rsid w:val="008B081C"/>
    <w:rsid w:val="008B16A1"/>
    <w:rsid w:val="008B1FE0"/>
    <w:rsid w:val="008B240E"/>
    <w:rsid w:val="008B3C50"/>
    <w:rsid w:val="008B3E16"/>
    <w:rsid w:val="008B791B"/>
    <w:rsid w:val="008C02A0"/>
    <w:rsid w:val="008C0F60"/>
    <w:rsid w:val="008C3EEA"/>
    <w:rsid w:val="008C41AE"/>
    <w:rsid w:val="008C7458"/>
    <w:rsid w:val="008D1089"/>
    <w:rsid w:val="008D123E"/>
    <w:rsid w:val="008D1D1D"/>
    <w:rsid w:val="008D32F6"/>
    <w:rsid w:val="008D5892"/>
    <w:rsid w:val="008D68B3"/>
    <w:rsid w:val="008D6BF3"/>
    <w:rsid w:val="008D7264"/>
    <w:rsid w:val="008E18CA"/>
    <w:rsid w:val="008E22E5"/>
    <w:rsid w:val="008E40DA"/>
    <w:rsid w:val="008E4215"/>
    <w:rsid w:val="008E5067"/>
    <w:rsid w:val="008E65A4"/>
    <w:rsid w:val="008F1C28"/>
    <w:rsid w:val="008F49E2"/>
    <w:rsid w:val="008F6F63"/>
    <w:rsid w:val="0090066A"/>
    <w:rsid w:val="00900FD8"/>
    <w:rsid w:val="0090118F"/>
    <w:rsid w:val="00901489"/>
    <w:rsid w:val="00903353"/>
    <w:rsid w:val="00903A91"/>
    <w:rsid w:val="009046D8"/>
    <w:rsid w:val="00904E8A"/>
    <w:rsid w:val="0090784E"/>
    <w:rsid w:val="00907876"/>
    <w:rsid w:val="009140F3"/>
    <w:rsid w:val="0091504C"/>
    <w:rsid w:val="00915FF9"/>
    <w:rsid w:val="00916C72"/>
    <w:rsid w:val="009176A5"/>
    <w:rsid w:val="00917C14"/>
    <w:rsid w:val="00917F72"/>
    <w:rsid w:val="009205A1"/>
    <w:rsid w:val="00920676"/>
    <w:rsid w:val="00920899"/>
    <w:rsid w:val="009212B4"/>
    <w:rsid w:val="00922004"/>
    <w:rsid w:val="0092483B"/>
    <w:rsid w:val="00925670"/>
    <w:rsid w:val="009262AA"/>
    <w:rsid w:val="0092654B"/>
    <w:rsid w:val="009273D6"/>
    <w:rsid w:val="00927495"/>
    <w:rsid w:val="0092762C"/>
    <w:rsid w:val="0093012C"/>
    <w:rsid w:val="009312CF"/>
    <w:rsid w:val="00931D8A"/>
    <w:rsid w:val="009323C2"/>
    <w:rsid w:val="009325B2"/>
    <w:rsid w:val="0093280B"/>
    <w:rsid w:val="00933946"/>
    <w:rsid w:val="00935613"/>
    <w:rsid w:val="009357AA"/>
    <w:rsid w:val="00936E90"/>
    <w:rsid w:val="00937316"/>
    <w:rsid w:val="00941771"/>
    <w:rsid w:val="00941966"/>
    <w:rsid w:val="00941E41"/>
    <w:rsid w:val="00942A0B"/>
    <w:rsid w:val="009430D5"/>
    <w:rsid w:val="00943675"/>
    <w:rsid w:val="009440A6"/>
    <w:rsid w:val="009442CC"/>
    <w:rsid w:val="00944AF3"/>
    <w:rsid w:val="00944B37"/>
    <w:rsid w:val="00945997"/>
    <w:rsid w:val="00947D8F"/>
    <w:rsid w:val="009505BC"/>
    <w:rsid w:val="009540B2"/>
    <w:rsid w:val="0095523A"/>
    <w:rsid w:val="009565F7"/>
    <w:rsid w:val="009577FB"/>
    <w:rsid w:val="00960216"/>
    <w:rsid w:val="00960257"/>
    <w:rsid w:val="009603FE"/>
    <w:rsid w:val="00961795"/>
    <w:rsid w:val="00962378"/>
    <w:rsid w:val="00963201"/>
    <w:rsid w:val="00963DEF"/>
    <w:rsid w:val="00964591"/>
    <w:rsid w:val="0096591F"/>
    <w:rsid w:val="0096693D"/>
    <w:rsid w:val="0097126D"/>
    <w:rsid w:val="00971644"/>
    <w:rsid w:val="009732CC"/>
    <w:rsid w:val="0097335B"/>
    <w:rsid w:val="00973A50"/>
    <w:rsid w:val="00974A07"/>
    <w:rsid w:val="00975F28"/>
    <w:rsid w:val="009770E2"/>
    <w:rsid w:val="0097735E"/>
    <w:rsid w:val="0098194E"/>
    <w:rsid w:val="0098288F"/>
    <w:rsid w:val="009832FC"/>
    <w:rsid w:val="00984AFC"/>
    <w:rsid w:val="00986761"/>
    <w:rsid w:val="00987456"/>
    <w:rsid w:val="009907B1"/>
    <w:rsid w:val="00991B5D"/>
    <w:rsid w:val="00993093"/>
    <w:rsid w:val="009933A4"/>
    <w:rsid w:val="00994BC6"/>
    <w:rsid w:val="009952A4"/>
    <w:rsid w:val="009957E8"/>
    <w:rsid w:val="00995CC5"/>
    <w:rsid w:val="00996E52"/>
    <w:rsid w:val="00997D2F"/>
    <w:rsid w:val="00997EB4"/>
    <w:rsid w:val="009A1670"/>
    <w:rsid w:val="009A2077"/>
    <w:rsid w:val="009A256B"/>
    <w:rsid w:val="009A3C5C"/>
    <w:rsid w:val="009A4828"/>
    <w:rsid w:val="009A486D"/>
    <w:rsid w:val="009A4E50"/>
    <w:rsid w:val="009B0BC3"/>
    <w:rsid w:val="009B1AA2"/>
    <w:rsid w:val="009B2E27"/>
    <w:rsid w:val="009C01D5"/>
    <w:rsid w:val="009C02FA"/>
    <w:rsid w:val="009C0F6A"/>
    <w:rsid w:val="009C1119"/>
    <w:rsid w:val="009C1A8B"/>
    <w:rsid w:val="009C1EAD"/>
    <w:rsid w:val="009C262D"/>
    <w:rsid w:val="009C3607"/>
    <w:rsid w:val="009C3D7A"/>
    <w:rsid w:val="009C4F5A"/>
    <w:rsid w:val="009C60B7"/>
    <w:rsid w:val="009C6B36"/>
    <w:rsid w:val="009D1B95"/>
    <w:rsid w:val="009D2126"/>
    <w:rsid w:val="009D23A2"/>
    <w:rsid w:val="009D28C8"/>
    <w:rsid w:val="009D30D8"/>
    <w:rsid w:val="009D39E8"/>
    <w:rsid w:val="009D6A68"/>
    <w:rsid w:val="009D7CF9"/>
    <w:rsid w:val="009D7D0A"/>
    <w:rsid w:val="009E013E"/>
    <w:rsid w:val="009E19FE"/>
    <w:rsid w:val="009E29A7"/>
    <w:rsid w:val="009E2F42"/>
    <w:rsid w:val="009E5409"/>
    <w:rsid w:val="009E731F"/>
    <w:rsid w:val="009E7AC5"/>
    <w:rsid w:val="009F076F"/>
    <w:rsid w:val="009F0A77"/>
    <w:rsid w:val="009F116E"/>
    <w:rsid w:val="009F3A67"/>
    <w:rsid w:val="009F509A"/>
    <w:rsid w:val="009F658C"/>
    <w:rsid w:val="009F6C22"/>
    <w:rsid w:val="009F6D84"/>
    <w:rsid w:val="009F6F02"/>
    <w:rsid w:val="009F7966"/>
    <w:rsid w:val="00A01341"/>
    <w:rsid w:val="00A02C8E"/>
    <w:rsid w:val="00A03185"/>
    <w:rsid w:val="00A0349B"/>
    <w:rsid w:val="00A0351D"/>
    <w:rsid w:val="00A03B76"/>
    <w:rsid w:val="00A03EDC"/>
    <w:rsid w:val="00A04FC0"/>
    <w:rsid w:val="00A05147"/>
    <w:rsid w:val="00A06AF7"/>
    <w:rsid w:val="00A104A6"/>
    <w:rsid w:val="00A12A9D"/>
    <w:rsid w:val="00A153BB"/>
    <w:rsid w:val="00A1588D"/>
    <w:rsid w:val="00A17446"/>
    <w:rsid w:val="00A2162A"/>
    <w:rsid w:val="00A221CB"/>
    <w:rsid w:val="00A222DA"/>
    <w:rsid w:val="00A223D3"/>
    <w:rsid w:val="00A2305E"/>
    <w:rsid w:val="00A24522"/>
    <w:rsid w:val="00A24F8D"/>
    <w:rsid w:val="00A305E5"/>
    <w:rsid w:val="00A32ABB"/>
    <w:rsid w:val="00A33D1D"/>
    <w:rsid w:val="00A379FF"/>
    <w:rsid w:val="00A40251"/>
    <w:rsid w:val="00A4235A"/>
    <w:rsid w:val="00A42EC4"/>
    <w:rsid w:val="00A43A60"/>
    <w:rsid w:val="00A448CA"/>
    <w:rsid w:val="00A44DA7"/>
    <w:rsid w:val="00A50397"/>
    <w:rsid w:val="00A50D1D"/>
    <w:rsid w:val="00A51111"/>
    <w:rsid w:val="00A518D5"/>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F8A"/>
    <w:rsid w:val="00A7000B"/>
    <w:rsid w:val="00A720E0"/>
    <w:rsid w:val="00A729CB"/>
    <w:rsid w:val="00A75BB6"/>
    <w:rsid w:val="00A75C4E"/>
    <w:rsid w:val="00A75E3C"/>
    <w:rsid w:val="00A76790"/>
    <w:rsid w:val="00A7766D"/>
    <w:rsid w:val="00A77688"/>
    <w:rsid w:val="00A80D48"/>
    <w:rsid w:val="00A80E24"/>
    <w:rsid w:val="00A8109B"/>
    <w:rsid w:val="00A81F65"/>
    <w:rsid w:val="00A8386D"/>
    <w:rsid w:val="00A84AAE"/>
    <w:rsid w:val="00A8537F"/>
    <w:rsid w:val="00A90116"/>
    <w:rsid w:val="00A91266"/>
    <w:rsid w:val="00A9230E"/>
    <w:rsid w:val="00A93DD0"/>
    <w:rsid w:val="00A95655"/>
    <w:rsid w:val="00A95D80"/>
    <w:rsid w:val="00A96736"/>
    <w:rsid w:val="00A96C60"/>
    <w:rsid w:val="00A97216"/>
    <w:rsid w:val="00AA1BD7"/>
    <w:rsid w:val="00AA2E42"/>
    <w:rsid w:val="00AA4DD6"/>
    <w:rsid w:val="00AA5311"/>
    <w:rsid w:val="00AA64DA"/>
    <w:rsid w:val="00AA7BA6"/>
    <w:rsid w:val="00AA7FF7"/>
    <w:rsid w:val="00AB3874"/>
    <w:rsid w:val="00AB3E9A"/>
    <w:rsid w:val="00AB4EBB"/>
    <w:rsid w:val="00AB6417"/>
    <w:rsid w:val="00AB7849"/>
    <w:rsid w:val="00AC294F"/>
    <w:rsid w:val="00AC2985"/>
    <w:rsid w:val="00AC52E0"/>
    <w:rsid w:val="00AC596F"/>
    <w:rsid w:val="00AC6513"/>
    <w:rsid w:val="00AC6A2F"/>
    <w:rsid w:val="00AC6A3E"/>
    <w:rsid w:val="00AD12F9"/>
    <w:rsid w:val="00AD1D21"/>
    <w:rsid w:val="00AD2E07"/>
    <w:rsid w:val="00AD347F"/>
    <w:rsid w:val="00AD362D"/>
    <w:rsid w:val="00AD4838"/>
    <w:rsid w:val="00AD648C"/>
    <w:rsid w:val="00AD6C2E"/>
    <w:rsid w:val="00AD6CA1"/>
    <w:rsid w:val="00AD73AD"/>
    <w:rsid w:val="00AD7C3E"/>
    <w:rsid w:val="00AE15DA"/>
    <w:rsid w:val="00AE5086"/>
    <w:rsid w:val="00AE5BE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7369"/>
    <w:rsid w:val="00B07CF5"/>
    <w:rsid w:val="00B11143"/>
    <w:rsid w:val="00B11D22"/>
    <w:rsid w:val="00B11EF8"/>
    <w:rsid w:val="00B17968"/>
    <w:rsid w:val="00B203C6"/>
    <w:rsid w:val="00B20AFF"/>
    <w:rsid w:val="00B232C2"/>
    <w:rsid w:val="00B2443F"/>
    <w:rsid w:val="00B24772"/>
    <w:rsid w:val="00B3059B"/>
    <w:rsid w:val="00B32C50"/>
    <w:rsid w:val="00B3314B"/>
    <w:rsid w:val="00B36610"/>
    <w:rsid w:val="00B36A21"/>
    <w:rsid w:val="00B37CF6"/>
    <w:rsid w:val="00B412A6"/>
    <w:rsid w:val="00B4510D"/>
    <w:rsid w:val="00B47E12"/>
    <w:rsid w:val="00B51D10"/>
    <w:rsid w:val="00B51D89"/>
    <w:rsid w:val="00B51F3B"/>
    <w:rsid w:val="00B52EB5"/>
    <w:rsid w:val="00B53E0C"/>
    <w:rsid w:val="00B540D6"/>
    <w:rsid w:val="00B54B12"/>
    <w:rsid w:val="00B55B59"/>
    <w:rsid w:val="00B55DFC"/>
    <w:rsid w:val="00B6456C"/>
    <w:rsid w:val="00B6699F"/>
    <w:rsid w:val="00B6701C"/>
    <w:rsid w:val="00B6744E"/>
    <w:rsid w:val="00B67BC4"/>
    <w:rsid w:val="00B71A2D"/>
    <w:rsid w:val="00B73931"/>
    <w:rsid w:val="00B764D5"/>
    <w:rsid w:val="00B76C86"/>
    <w:rsid w:val="00B77704"/>
    <w:rsid w:val="00B80ED8"/>
    <w:rsid w:val="00B82CCF"/>
    <w:rsid w:val="00B836A4"/>
    <w:rsid w:val="00B8428C"/>
    <w:rsid w:val="00B85EB6"/>
    <w:rsid w:val="00B863BC"/>
    <w:rsid w:val="00B8656B"/>
    <w:rsid w:val="00B879F1"/>
    <w:rsid w:val="00B900BE"/>
    <w:rsid w:val="00B91B0D"/>
    <w:rsid w:val="00B9281A"/>
    <w:rsid w:val="00B9283A"/>
    <w:rsid w:val="00B92C50"/>
    <w:rsid w:val="00B94251"/>
    <w:rsid w:val="00B942FF"/>
    <w:rsid w:val="00B9479E"/>
    <w:rsid w:val="00B956F6"/>
    <w:rsid w:val="00B95DA9"/>
    <w:rsid w:val="00B972CC"/>
    <w:rsid w:val="00BA0A62"/>
    <w:rsid w:val="00BA0DBC"/>
    <w:rsid w:val="00BA1F61"/>
    <w:rsid w:val="00BA264B"/>
    <w:rsid w:val="00BA35E5"/>
    <w:rsid w:val="00BA387B"/>
    <w:rsid w:val="00BA3B18"/>
    <w:rsid w:val="00BA41D2"/>
    <w:rsid w:val="00BA588C"/>
    <w:rsid w:val="00BA6504"/>
    <w:rsid w:val="00BA6704"/>
    <w:rsid w:val="00BA7E01"/>
    <w:rsid w:val="00BB0E67"/>
    <w:rsid w:val="00BB0F2C"/>
    <w:rsid w:val="00BB31FD"/>
    <w:rsid w:val="00BB4751"/>
    <w:rsid w:val="00BB47D2"/>
    <w:rsid w:val="00BB7F10"/>
    <w:rsid w:val="00BC09E9"/>
    <w:rsid w:val="00BC1A5C"/>
    <w:rsid w:val="00BC4446"/>
    <w:rsid w:val="00BC466B"/>
    <w:rsid w:val="00BC49E8"/>
    <w:rsid w:val="00BC4AE2"/>
    <w:rsid w:val="00BC5C6F"/>
    <w:rsid w:val="00BC6A5E"/>
    <w:rsid w:val="00BC7C5E"/>
    <w:rsid w:val="00BD1FFC"/>
    <w:rsid w:val="00BD2A29"/>
    <w:rsid w:val="00BD417A"/>
    <w:rsid w:val="00BD5182"/>
    <w:rsid w:val="00BD6268"/>
    <w:rsid w:val="00BE04FA"/>
    <w:rsid w:val="00BE0576"/>
    <w:rsid w:val="00BE2111"/>
    <w:rsid w:val="00BE3108"/>
    <w:rsid w:val="00BE320A"/>
    <w:rsid w:val="00BE3C86"/>
    <w:rsid w:val="00BE5398"/>
    <w:rsid w:val="00BE6786"/>
    <w:rsid w:val="00BE7242"/>
    <w:rsid w:val="00BF2ABC"/>
    <w:rsid w:val="00BF55D9"/>
    <w:rsid w:val="00BF6253"/>
    <w:rsid w:val="00BF6277"/>
    <w:rsid w:val="00BF72E6"/>
    <w:rsid w:val="00BF77DD"/>
    <w:rsid w:val="00C022FB"/>
    <w:rsid w:val="00C04EE3"/>
    <w:rsid w:val="00C05160"/>
    <w:rsid w:val="00C06549"/>
    <w:rsid w:val="00C065C5"/>
    <w:rsid w:val="00C06CB7"/>
    <w:rsid w:val="00C1241A"/>
    <w:rsid w:val="00C12D5A"/>
    <w:rsid w:val="00C138E9"/>
    <w:rsid w:val="00C14BF7"/>
    <w:rsid w:val="00C16A75"/>
    <w:rsid w:val="00C17624"/>
    <w:rsid w:val="00C17849"/>
    <w:rsid w:val="00C22026"/>
    <w:rsid w:val="00C24064"/>
    <w:rsid w:val="00C24A21"/>
    <w:rsid w:val="00C24D92"/>
    <w:rsid w:val="00C24E3C"/>
    <w:rsid w:val="00C2521A"/>
    <w:rsid w:val="00C27EE7"/>
    <w:rsid w:val="00C30495"/>
    <w:rsid w:val="00C312EE"/>
    <w:rsid w:val="00C31D55"/>
    <w:rsid w:val="00C31FBD"/>
    <w:rsid w:val="00C33369"/>
    <w:rsid w:val="00C349D3"/>
    <w:rsid w:val="00C35435"/>
    <w:rsid w:val="00C35578"/>
    <w:rsid w:val="00C37080"/>
    <w:rsid w:val="00C37364"/>
    <w:rsid w:val="00C3740E"/>
    <w:rsid w:val="00C377A2"/>
    <w:rsid w:val="00C3799C"/>
    <w:rsid w:val="00C403E4"/>
    <w:rsid w:val="00C4048F"/>
    <w:rsid w:val="00C40669"/>
    <w:rsid w:val="00C41496"/>
    <w:rsid w:val="00C441A4"/>
    <w:rsid w:val="00C46EB3"/>
    <w:rsid w:val="00C50B98"/>
    <w:rsid w:val="00C52197"/>
    <w:rsid w:val="00C5222B"/>
    <w:rsid w:val="00C527C1"/>
    <w:rsid w:val="00C53915"/>
    <w:rsid w:val="00C55F2D"/>
    <w:rsid w:val="00C577AE"/>
    <w:rsid w:val="00C61B66"/>
    <w:rsid w:val="00C61CF0"/>
    <w:rsid w:val="00C625CB"/>
    <w:rsid w:val="00C654BF"/>
    <w:rsid w:val="00C65620"/>
    <w:rsid w:val="00C67FD0"/>
    <w:rsid w:val="00C703FE"/>
    <w:rsid w:val="00C70483"/>
    <w:rsid w:val="00C7065B"/>
    <w:rsid w:val="00C70DBB"/>
    <w:rsid w:val="00C745A7"/>
    <w:rsid w:val="00C74BF9"/>
    <w:rsid w:val="00C77881"/>
    <w:rsid w:val="00C77E1E"/>
    <w:rsid w:val="00C80BD4"/>
    <w:rsid w:val="00C833BA"/>
    <w:rsid w:val="00C83A12"/>
    <w:rsid w:val="00C84C1D"/>
    <w:rsid w:val="00C85E2D"/>
    <w:rsid w:val="00C86304"/>
    <w:rsid w:val="00C90494"/>
    <w:rsid w:val="00C9053F"/>
    <w:rsid w:val="00C919D4"/>
    <w:rsid w:val="00C927E2"/>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8E6"/>
    <w:rsid w:val="00CA4A09"/>
    <w:rsid w:val="00CA5910"/>
    <w:rsid w:val="00CA5EAD"/>
    <w:rsid w:val="00CA6026"/>
    <w:rsid w:val="00CA63EE"/>
    <w:rsid w:val="00CB1BA9"/>
    <w:rsid w:val="00CB286E"/>
    <w:rsid w:val="00CB2D3E"/>
    <w:rsid w:val="00CB4F3D"/>
    <w:rsid w:val="00CB5A1D"/>
    <w:rsid w:val="00CB677D"/>
    <w:rsid w:val="00CB7FF6"/>
    <w:rsid w:val="00CC2048"/>
    <w:rsid w:val="00CC2C14"/>
    <w:rsid w:val="00CC2E48"/>
    <w:rsid w:val="00CC42C8"/>
    <w:rsid w:val="00CC463F"/>
    <w:rsid w:val="00CC4B7B"/>
    <w:rsid w:val="00CC51A6"/>
    <w:rsid w:val="00CC5F44"/>
    <w:rsid w:val="00CC6B9A"/>
    <w:rsid w:val="00CC6EE0"/>
    <w:rsid w:val="00CD00E5"/>
    <w:rsid w:val="00CD06F8"/>
    <w:rsid w:val="00CD1496"/>
    <w:rsid w:val="00CD250D"/>
    <w:rsid w:val="00CD25DC"/>
    <w:rsid w:val="00CD40F3"/>
    <w:rsid w:val="00CD41B4"/>
    <w:rsid w:val="00CD46EC"/>
    <w:rsid w:val="00CD4C3F"/>
    <w:rsid w:val="00CD53E3"/>
    <w:rsid w:val="00CD568B"/>
    <w:rsid w:val="00CE1DC1"/>
    <w:rsid w:val="00CE2706"/>
    <w:rsid w:val="00CE4BF6"/>
    <w:rsid w:val="00CE6037"/>
    <w:rsid w:val="00CE7AFD"/>
    <w:rsid w:val="00CE7CF5"/>
    <w:rsid w:val="00CF0C6F"/>
    <w:rsid w:val="00CF1EC5"/>
    <w:rsid w:val="00CF20CE"/>
    <w:rsid w:val="00CF3811"/>
    <w:rsid w:val="00CF4298"/>
    <w:rsid w:val="00CF7939"/>
    <w:rsid w:val="00D025BD"/>
    <w:rsid w:val="00D02603"/>
    <w:rsid w:val="00D02C3D"/>
    <w:rsid w:val="00D0309F"/>
    <w:rsid w:val="00D03278"/>
    <w:rsid w:val="00D03FDD"/>
    <w:rsid w:val="00D04C3C"/>
    <w:rsid w:val="00D052EF"/>
    <w:rsid w:val="00D053D1"/>
    <w:rsid w:val="00D074A9"/>
    <w:rsid w:val="00D07829"/>
    <w:rsid w:val="00D102BB"/>
    <w:rsid w:val="00D105A9"/>
    <w:rsid w:val="00D117CD"/>
    <w:rsid w:val="00D11A91"/>
    <w:rsid w:val="00D1299D"/>
    <w:rsid w:val="00D138B5"/>
    <w:rsid w:val="00D16CE6"/>
    <w:rsid w:val="00D173B5"/>
    <w:rsid w:val="00D17DDB"/>
    <w:rsid w:val="00D21C45"/>
    <w:rsid w:val="00D222D5"/>
    <w:rsid w:val="00D224F1"/>
    <w:rsid w:val="00D22BC7"/>
    <w:rsid w:val="00D25888"/>
    <w:rsid w:val="00D25C84"/>
    <w:rsid w:val="00D27163"/>
    <w:rsid w:val="00D27234"/>
    <w:rsid w:val="00D30FD0"/>
    <w:rsid w:val="00D31255"/>
    <w:rsid w:val="00D312F9"/>
    <w:rsid w:val="00D31621"/>
    <w:rsid w:val="00D32800"/>
    <w:rsid w:val="00D32FCF"/>
    <w:rsid w:val="00D330BF"/>
    <w:rsid w:val="00D33F5A"/>
    <w:rsid w:val="00D3580C"/>
    <w:rsid w:val="00D365FA"/>
    <w:rsid w:val="00D36935"/>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6B38"/>
    <w:rsid w:val="00D56E99"/>
    <w:rsid w:val="00D57369"/>
    <w:rsid w:val="00D6018C"/>
    <w:rsid w:val="00D6117B"/>
    <w:rsid w:val="00D615DB"/>
    <w:rsid w:val="00D63548"/>
    <w:rsid w:val="00D6391A"/>
    <w:rsid w:val="00D63C2F"/>
    <w:rsid w:val="00D644A2"/>
    <w:rsid w:val="00D64F9C"/>
    <w:rsid w:val="00D65A9D"/>
    <w:rsid w:val="00D66A6A"/>
    <w:rsid w:val="00D6740E"/>
    <w:rsid w:val="00D70334"/>
    <w:rsid w:val="00D71243"/>
    <w:rsid w:val="00D717AD"/>
    <w:rsid w:val="00D71EA3"/>
    <w:rsid w:val="00D72C36"/>
    <w:rsid w:val="00D73CA4"/>
    <w:rsid w:val="00D753B9"/>
    <w:rsid w:val="00D75500"/>
    <w:rsid w:val="00D75587"/>
    <w:rsid w:val="00D755AE"/>
    <w:rsid w:val="00D77668"/>
    <w:rsid w:val="00D80026"/>
    <w:rsid w:val="00D8044A"/>
    <w:rsid w:val="00D827EF"/>
    <w:rsid w:val="00D83E47"/>
    <w:rsid w:val="00D85ECE"/>
    <w:rsid w:val="00D86A7E"/>
    <w:rsid w:val="00D86E8F"/>
    <w:rsid w:val="00D86EB9"/>
    <w:rsid w:val="00D87450"/>
    <w:rsid w:val="00D87A3B"/>
    <w:rsid w:val="00D91AD5"/>
    <w:rsid w:val="00D92BB1"/>
    <w:rsid w:val="00D92CDF"/>
    <w:rsid w:val="00D93431"/>
    <w:rsid w:val="00D93F9F"/>
    <w:rsid w:val="00D94AC3"/>
    <w:rsid w:val="00D95F7A"/>
    <w:rsid w:val="00D968E9"/>
    <w:rsid w:val="00DA06C2"/>
    <w:rsid w:val="00DA0999"/>
    <w:rsid w:val="00DA2E3B"/>
    <w:rsid w:val="00DA3CAD"/>
    <w:rsid w:val="00DA6A64"/>
    <w:rsid w:val="00DA78A1"/>
    <w:rsid w:val="00DA7920"/>
    <w:rsid w:val="00DB02F5"/>
    <w:rsid w:val="00DB090B"/>
    <w:rsid w:val="00DB0BC6"/>
    <w:rsid w:val="00DB16AC"/>
    <w:rsid w:val="00DB27CE"/>
    <w:rsid w:val="00DB35C9"/>
    <w:rsid w:val="00DB3B8A"/>
    <w:rsid w:val="00DB4858"/>
    <w:rsid w:val="00DB486F"/>
    <w:rsid w:val="00DB58EE"/>
    <w:rsid w:val="00DB7734"/>
    <w:rsid w:val="00DB7F30"/>
    <w:rsid w:val="00DB7FEE"/>
    <w:rsid w:val="00DC0377"/>
    <w:rsid w:val="00DC0991"/>
    <w:rsid w:val="00DC2336"/>
    <w:rsid w:val="00DC4387"/>
    <w:rsid w:val="00DC46C7"/>
    <w:rsid w:val="00DC6922"/>
    <w:rsid w:val="00DC79DC"/>
    <w:rsid w:val="00DD245F"/>
    <w:rsid w:val="00DD2CAA"/>
    <w:rsid w:val="00DD46B7"/>
    <w:rsid w:val="00DD4C53"/>
    <w:rsid w:val="00DD6D50"/>
    <w:rsid w:val="00DE031C"/>
    <w:rsid w:val="00DE089E"/>
    <w:rsid w:val="00DE29DE"/>
    <w:rsid w:val="00DE33CC"/>
    <w:rsid w:val="00DE362D"/>
    <w:rsid w:val="00DE48E7"/>
    <w:rsid w:val="00DE7E55"/>
    <w:rsid w:val="00DF0382"/>
    <w:rsid w:val="00DF058D"/>
    <w:rsid w:val="00DF1E16"/>
    <w:rsid w:val="00DF225D"/>
    <w:rsid w:val="00DF2D6F"/>
    <w:rsid w:val="00DF44A0"/>
    <w:rsid w:val="00DF4831"/>
    <w:rsid w:val="00DF492D"/>
    <w:rsid w:val="00DF5778"/>
    <w:rsid w:val="00DF641A"/>
    <w:rsid w:val="00E0027D"/>
    <w:rsid w:val="00E00DC3"/>
    <w:rsid w:val="00E01973"/>
    <w:rsid w:val="00E03B30"/>
    <w:rsid w:val="00E04413"/>
    <w:rsid w:val="00E05BD4"/>
    <w:rsid w:val="00E067E5"/>
    <w:rsid w:val="00E0771B"/>
    <w:rsid w:val="00E07C23"/>
    <w:rsid w:val="00E07D76"/>
    <w:rsid w:val="00E10D0A"/>
    <w:rsid w:val="00E1125B"/>
    <w:rsid w:val="00E1166D"/>
    <w:rsid w:val="00E14AD1"/>
    <w:rsid w:val="00E15550"/>
    <w:rsid w:val="00E170FE"/>
    <w:rsid w:val="00E17B85"/>
    <w:rsid w:val="00E17DA9"/>
    <w:rsid w:val="00E215DC"/>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C21"/>
    <w:rsid w:val="00E35BD2"/>
    <w:rsid w:val="00E35FCC"/>
    <w:rsid w:val="00E3624B"/>
    <w:rsid w:val="00E36CC1"/>
    <w:rsid w:val="00E36E69"/>
    <w:rsid w:val="00E375F6"/>
    <w:rsid w:val="00E37704"/>
    <w:rsid w:val="00E42C6A"/>
    <w:rsid w:val="00E4367B"/>
    <w:rsid w:val="00E43DCF"/>
    <w:rsid w:val="00E45573"/>
    <w:rsid w:val="00E45E63"/>
    <w:rsid w:val="00E46A32"/>
    <w:rsid w:val="00E46F8F"/>
    <w:rsid w:val="00E50E8E"/>
    <w:rsid w:val="00E525D7"/>
    <w:rsid w:val="00E52B33"/>
    <w:rsid w:val="00E52B56"/>
    <w:rsid w:val="00E535AF"/>
    <w:rsid w:val="00E55E07"/>
    <w:rsid w:val="00E56AE2"/>
    <w:rsid w:val="00E5738A"/>
    <w:rsid w:val="00E57ADB"/>
    <w:rsid w:val="00E6188E"/>
    <w:rsid w:val="00E61CF3"/>
    <w:rsid w:val="00E6204E"/>
    <w:rsid w:val="00E63619"/>
    <w:rsid w:val="00E64D91"/>
    <w:rsid w:val="00E66AF8"/>
    <w:rsid w:val="00E66B82"/>
    <w:rsid w:val="00E722D9"/>
    <w:rsid w:val="00E733CB"/>
    <w:rsid w:val="00E73A1F"/>
    <w:rsid w:val="00E74A3D"/>
    <w:rsid w:val="00E74BA8"/>
    <w:rsid w:val="00E7560C"/>
    <w:rsid w:val="00E80DBD"/>
    <w:rsid w:val="00E80F8D"/>
    <w:rsid w:val="00E812AD"/>
    <w:rsid w:val="00E8141E"/>
    <w:rsid w:val="00E82926"/>
    <w:rsid w:val="00E83F34"/>
    <w:rsid w:val="00E844B3"/>
    <w:rsid w:val="00E84E99"/>
    <w:rsid w:val="00E85390"/>
    <w:rsid w:val="00E87323"/>
    <w:rsid w:val="00E93F11"/>
    <w:rsid w:val="00E94D41"/>
    <w:rsid w:val="00E96B92"/>
    <w:rsid w:val="00E97B2C"/>
    <w:rsid w:val="00E97D4B"/>
    <w:rsid w:val="00EA0A39"/>
    <w:rsid w:val="00EA2D80"/>
    <w:rsid w:val="00EA3D8F"/>
    <w:rsid w:val="00EA43C9"/>
    <w:rsid w:val="00EA4D4A"/>
    <w:rsid w:val="00EA5073"/>
    <w:rsid w:val="00EA6825"/>
    <w:rsid w:val="00EA710C"/>
    <w:rsid w:val="00EA7789"/>
    <w:rsid w:val="00EB078B"/>
    <w:rsid w:val="00EB1DE7"/>
    <w:rsid w:val="00EB2CF2"/>
    <w:rsid w:val="00EB3206"/>
    <w:rsid w:val="00EB3F26"/>
    <w:rsid w:val="00EB41CF"/>
    <w:rsid w:val="00EB4252"/>
    <w:rsid w:val="00EB461F"/>
    <w:rsid w:val="00EB4F66"/>
    <w:rsid w:val="00EB5BA1"/>
    <w:rsid w:val="00EB6B05"/>
    <w:rsid w:val="00EC0CE4"/>
    <w:rsid w:val="00EC0FDB"/>
    <w:rsid w:val="00EC3AF0"/>
    <w:rsid w:val="00EC6646"/>
    <w:rsid w:val="00EC7634"/>
    <w:rsid w:val="00EC77D4"/>
    <w:rsid w:val="00ED0F26"/>
    <w:rsid w:val="00ED1D17"/>
    <w:rsid w:val="00ED1D3A"/>
    <w:rsid w:val="00EE0996"/>
    <w:rsid w:val="00EE0EFD"/>
    <w:rsid w:val="00EE13DE"/>
    <w:rsid w:val="00EE1743"/>
    <w:rsid w:val="00EE1D0B"/>
    <w:rsid w:val="00EE21B0"/>
    <w:rsid w:val="00EE2C34"/>
    <w:rsid w:val="00EE30DF"/>
    <w:rsid w:val="00EE39D5"/>
    <w:rsid w:val="00EE3D6E"/>
    <w:rsid w:val="00EE42A7"/>
    <w:rsid w:val="00EE6E7D"/>
    <w:rsid w:val="00EE7A62"/>
    <w:rsid w:val="00EF240A"/>
    <w:rsid w:val="00EF55FF"/>
    <w:rsid w:val="00EF730B"/>
    <w:rsid w:val="00EF7CCB"/>
    <w:rsid w:val="00F01F59"/>
    <w:rsid w:val="00F061EE"/>
    <w:rsid w:val="00F06EC0"/>
    <w:rsid w:val="00F071B5"/>
    <w:rsid w:val="00F07870"/>
    <w:rsid w:val="00F07A56"/>
    <w:rsid w:val="00F109DD"/>
    <w:rsid w:val="00F11ABF"/>
    <w:rsid w:val="00F1214A"/>
    <w:rsid w:val="00F12320"/>
    <w:rsid w:val="00F139BE"/>
    <w:rsid w:val="00F145CA"/>
    <w:rsid w:val="00F15F34"/>
    <w:rsid w:val="00F1711B"/>
    <w:rsid w:val="00F17645"/>
    <w:rsid w:val="00F17D57"/>
    <w:rsid w:val="00F21662"/>
    <w:rsid w:val="00F22E26"/>
    <w:rsid w:val="00F240C7"/>
    <w:rsid w:val="00F249BF"/>
    <w:rsid w:val="00F25613"/>
    <w:rsid w:val="00F25AE6"/>
    <w:rsid w:val="00F30966"/>
    <w:rsid w:val="00F30BAE"/>
    <w:rsid w:val="00F31777"/>
    <w:rsid w:val="00F31C86"/>
    <w:rsid w:val="00F3224A"/>
    <w:rsid w:val="00F3377A"/>
    <w:rsid w:val="00F348CA"/>
    <w:rsid w:val="00F3567F"/>
    <w:rsid w:val="00F3594E"/>
    <w:rsid w:val="00F403BA"/>
    <w:rsid w:val="00F410A7"/>
    <w:rsid w:val="00F4185A"/>
    <w:rsid w:val="00F42AE8"/>
    <w:rsid w:val="00F42E25"/>
    <w:rsid w:val="00F45016"/>
    <w:rsid w:val="00F47EA3"/>
    <w:rsid w:val="00F50015"/>
    <w:rsid w:val="00F50753"/>
    <w:rsid w:val="00F536FA"/>
    <w:rsid w:val="00F53A17"/>
    <w:rsid w:val="00F53DCD"/>
    <w:rsid w:val="00F54937"/>
    <w:rsid w:val="00F55965"/>
    <w:rsid w:val="00F55ECB"/>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5CC2"/>
    <w:rsid w:val="00F671B0"/>
    <w:rsid w:val="00F71905"/>
    <w:rsid w:val="00F71F8F"/>
    <w:rsid w:val="00F72335"/>
    <w:rsid w:val="00F733A7"/>
    <w:rsid w:val="00F73E63"/>
    <w:rsid w:val="00F74852"/>
    <w:rsid w:val="00F7512B"/>
    <w:rsid w:val="00F76A45"/>
    <w:rsid w:val="00F76CAA"/>
    <w:rsid w:val="00F76E95"/>
    <w:rsid w:val="00F77FC8"/>
    <w:rsid w:val="00F80261"/>
    <w:rsid w:val="00F8107C"/>
    <w:rsid w:val="00F813E2"/>
    <w:rsid w:val="00F82E42"/>
    <w:rsid w:val="00F84B59"/>
    <w:rsid w:val="00F84F8C"/>
    <w:rsid w:val="00F85DBB"/>
    <w:rsid w:val="00F909A0"/>
    <w:rsid w:val="00F90DAF"/>
    <w:rsid w:val="00F91A09"/>
    <w:rsid w:val="00F932D5"/>
    <w:rsid w:val="00F94372"/>
    <w:rsid w:val="00F9473C"/>
    <w:rsid w:val="00F9509E"/>
    <w:rsid w:val="00F958DF"/>
    <w:rsid w:val="00F972C1"/>
    <w:rsid w:val="00FA0074"/>
    <w:rsid w:val="00FA1553"/>
    <w:rsid w:val="00FA55E5"/>
    <w:rsid w:val="00FA7232"/>
    <w:rsid w:val="00FB0122"/>
    <w:rsid w:val="00FB29A7"/>
    <w:rsid w:val="00FB2E48"/>
    <w:rsid w:val="00FB61C8"/>
    <w:rsid w:val="00FB635A"/>
    <w:rsid w:val="00FB64F3"/>
    <w:rsid w:val="00FB7CF8"/>
    <w:rsid w:val="00FC08EC"/>
    <w:rsid w:val="00FC10C9"/>
    <w:rsid w:val="00FC19CE"/>
    <w:rsid w:val="00FC2236"/>
    <w:rsid w:val="00FC26CF"/>
    <w:rsid w:val="00FC4999"/>
    <w:rsid w:val="00FC572B"/>
    <w:rsid w:val="00FC6743"/>
    <w:rsid w:val="00FC6786"/>
    <w:rsid w:val="00FC6E2A"/>
    <w:rsid w:val="00FC7AEF"/>
    <w:rsid w:val="00FC7E62"/>
    <w:rsid w:val="00FD1D90"/>
    <w:rsid w:val="00FD3D5C"/>
    <w:rsid w:val="00FD50A0"/>
    <w:rsid w:val="00FD68C2"/>
    <w:rsid w:val="00FD7AE2"/>
    <w:rsid w:val="00FE1761"/>
    <w:rsid w:val="00FE2E59"/>
    <w:rsid w:val="00FE3332"/>
    <w:rsid w:val="00FE455A"/>
    <w:rsid w:val="00FE4EB5"/>
    <w:rsid w:val="00FE5304"/>
    <w:rsid w:val="00FF6C26"/>
    <w:rsid w:val="00FF6E9B"/>
    <w:rsid w:val="00FF7AC6"/>
    <w:rsid w:val="0100422A"/>
    <w:rsid w:val="01942967"/>
    <w:rsid w:val="01957C30"/>
    <w:rsid w:val="02655F1A"/>
    <w:rsid w:val="02820627"/>
    <w:rsid w:val="033F683B"/>
    <w:rsid w:val="043013E0"/>
    <w:rsid w:val="05216993"/>
    <w:rsid w:val="056B413A"/>
    <w:rsid w:val="05720484"/>
    <w:rsid w:val="05765502"/>
    <w:rsid w:val="05BC129D"/>
    <w:rsid w:val="061C0CA8"/>
    <w:rsid w:val="062C280A"/>
    <w:rsid w:val="066305B4"/>
    <w:rsid w:val="06951A7B"/>
    <w:rsid w:val="06D74435"/>
    <w:rsid w:val="07285B25"/>
    <w:rsid w:val="075A764D"/>
    <w:rsid w:val="0774308E"/>
    <w:rsid w:val="07C0798B"/>
    <w:rsid w:val="07C945E3"/>
    <w:rsid w:val="080422A1"/>
    <w:rsid w:val="08417FA7"/>
    <w:rsid w:val="08702446"/>
    <w:rsid w:val="08947120"/>
    <w:rsid w:val="091343F8"/>
    <w:rsid w:val="092C47E4"/>
    <w:rsid w:val="0942292F"/>
    <w:rsid w:val="09624208"/>
    <w:rsid w:val="09745CB2"/>
    <w:rsid w:val="0A174A09"/>
    <w:rsid w:val="0AAE62EE"/>
    <w:rsid w:val="0B306A87"/>
    <w:rsid w:val="0C2627C8"/>
    <w:rsid w:val="0C2D45B7"/>
    <w:rsid w:val="0C9A3F2D"/>
    <w:rsid w:val="0CD25C58"/>
    <w:rsid w:val="0D2701B4"/>
    <w:rsid w:val="0D2D12E8"/>
    <w:rsid w:val="0DDC3A66"/>
    <w:rsid w:val="0DFE385A"/>
    <w:rsid w:val="0F202505"/>
    <w:rsid w:val="0F491A4E"/>
    <w:rsid w:val="0F4933A8"/>
    <w:rsid w:val="0FF617A7"/>
    <w:rsid w:val="101F3294"/>
    <w:rsid w:val="103D1098"/>
    <w:rsid w:val="10554E67"/>
    <w:rsid w:val="10756CB1"/>
    <w:rsid w:val="115B18B6"/>
    <w:rsid w:val="11F62ADD"/>
    <w:rsid w:val="12076024"/>
    <w:rsid w:val="123C4D76"/>
    <w:rsid w:val="12B94CBB"/>
    <w:rsid w:val="136F5E09"/>
    <w:rsid w:val="140516B9"/>
    <w:rsid w:val="14135CE9"/>
    <w:rsid w:val="143F7994"/>
    <w:rsid w:val="14556E24"/>
    <w:rsid w:val="145C09B6"/>
    <w:rsid w:val="14A83FAB"/>
    <w:rsid w:val="156401A2"/>
    <w:rsid w:val="159F6B5B"/>
    <w:rsid w:val="15AC68D1"/>
    <w:rsid w:val="15E564DA"/>
    <w:rsid w:val="161C2B3E"/>
    <w:rsid w:val="164D5654"/>
    <w:rsid w:val="17011A25"/>
    <w:rsid w:val="17D5268A"/>
    <w:rsid w:val="182157A6"/>
    <w:rsid w:val="18654AAA"/>
    <w:rsid w:val="19107E5B"/>
    <w:rsid w:val="1992072C"/>
    <w:rsid w:val="19F42239"/>
    <w:rsid w:val="1A09059C"/>
    <w:rsid w:val="1A156D8C"/>
    <w:rsid w:val="1A340327"/>
    <w:rsid w:val="1AB82589"/>
    <w:rsid w:val="1B574A59"/>
    <w:rsid w:val="1C5B0CE9"/>
    <w:rsid w:val="1C8C3FCD"/>
    <w:rsid w:val="1D70428A"/>
    <w:rsid w:val="1D7826AD"/>
    <w:rsid w:val="1DB66E1B"/>
    <w:rsid w:val="1E0C50FA"/>
    <w:rsid w:val="1E372060"/>
    <w:rsid w:val="1E4578B6"/>
    <w:rsid w:val="1ECE7691"/>
    <w:rsid w:val="1F981530"/>
    <w:rsid w:val="204B6E53"/>
    <w:rsid w:val="20643852"/>
    <w:rsid w:val="210C38EE"/>
    <w:rsid w:val="21B86928"/>
    <w:rsid w:val="22BD3DDC"/>
    <w:rsid w:val="2368442E"/>
    <w:rsid w:val="237C4C18"/>
    <w:rsid w:val="24180599"/>
    <w:rsid w:val="2433231E"/>
    <w:rsid w:val="24E020A0"/>
    <w:rsid w:val="25141A57"/>
    <w:rsid w:val="255A1B35"/>
    <w:rsid w:val="256F3765"/>
    <w:rsid w:val="25F25922"/>
    <w:rsid w:val="26087A1B"/>
    <w:rsid w:val="268474C5"/>
    <w:rsid w:val="269B466D"/>
    <w:rsid w:val="26D959CA"/>
    <w:rsid w:val="277245D4"/>
    <w:rsid w:val="27CF28A1"/>
    <w:rsid w:val="280B6E3D"/>
    <w:rsid w:val="28114720"/>
    <w:rsid w:val="28CF63F4"/>
    <w:rsid w:val="28D9266A"/>
    <w:rsid w:val="29044C28"/>
    <w:rsid w:val="29326DC7"/>
    <w:rsid w:val="296A57B2"/>
    <w:rsid w:val="29F26F2A"/>
    <w:rsid w:val="2A9026C6"/>
    <w:rsid w:val="2B4179B6"/>
    <w:rsid w:val="2BC16C32"/>
    <w:rsid w:val="2C4D3EDE"/>
    <w:rsid w:val="2C85746B"/>
    <w:rsid w:val="2C8F487E"/>
    <w:rsid w:val="2CC855D1"/>
    <w:rsid w:val="2D4A1DEB"/>
    <w:rsid w:val="2DDD422B"/>
    <w:rsid w:val="2E0E182D"/>
    <w:rsid w:val="2E615452"/>
    <w:rsid w:val="2E84548B"/>
    <w:rsid w:val="2EB75F4A"/>
    <w:rsid w:val="2F0A75E7"/>
    <w:rsid w:val="2F1155AA"/>
    <w:rsid w:val="2F1A11FA"/>
    <w:rsid w:val="2F2B1A5B"/>
    <w:rsid w:val="2FC9681B"/>
    <w:rsid w:val="2FDA69E7"/>
    <w:rsid w:val="30546697"/>
    <w:rsid w:val="31014D28"/>
    <w:rsid w:val="315158D7"/>
    <w:rsid w:val="31810715"/>
    <w:rsid w:val="318B43CB"/>
    <w:rsid w:val="31BE0A57"/>
    <w:rsid w:val="32377285"/>
    <w:rsid w:val="335E0A73"/>
    <w:rsid w:val="339710AC"/>
    <w:rsid w:val="33F94E4F"/>
    <w:rsid w:val="34243E9F"/>
    <w:rsid w:val="3441401D"/>
    <w:rsid w:val="347D21F5"/>
    <w:rsid w:val="34E62D8C"/>
    <w:rsid w:val="34FD6A74"/>
    <w:rsid w:val="35303AA9"/>
    <w:rsid w:val="35FB623F"/>
    <w:rsid w:val="366E3B3C"/>
    <w:rsid w:val="36BE7DF1"/>
    <w:rsid w:val="370F0BCD"/>
    <w:rsid w:val="3715098A"/>
    <w:rsid w:val="377C6EFA"/>
    <w:rsid w:val="37B12221"/>
    <w:rsid w:val="38161CF6"/>
    <w:rsid w:val="383D010E"/>
    <w:rsid w:val="38CC0689"/>
    <w:rsid w:val="38D116A5"/>
    <w:rsid w:val="39157688"/>
    <w:rsid w:val="395F2C7E"/>
    <w:rsid w:val="39D22461"/>
    <w:rsid w:val="3A1844F4"/>
    <w:rsid w:val="3B1209F3"/>
    <w:rsid w:val="3B226A22"/>
    <w:rsid w:val="3BA011E5"/>
    <w:rsid w:val="3BDD5ED6"/>
    <w:rsid w:val="3BE22C01"/>
    <w:rsid w:val="3C202573"/>
    <w:rsid w:val="3C5C5F5C"/>
    <w:rsid w:val="3C63663D"/>
    <w:rsid w:val="3CD06881"/>
    <w:rsid w:val="3DC876C8"/>
    <w:rsid w:val="3DD516A1"/>
    <w:rsid w:val="3E492D7B"/>
    <w:rsid w:val="3E596370"/>
    <w:rsid w:val="3EAB7B59"/>
    <w:rsid w:val="3EB33D61"/>
    <w:rsid w:val="3ECF1881"/>
    <w:rsid w:val="3EF92CE8"/>
    <w:rsid w:val="3FB87B12"/>
    <w:rsid w:val="3FBC6BAA"/>
    <w:rsid w:val="403E7E24"/>
    <w:rsid w:val="40546AF7"/>
    <w:rsid w:val="40865941"/>
    <w:rsid w:val="416318D4"/>
    <w:rsid w:val="417F239B"/>
    <w:rsid w:val="41A53138"/>
    <w:rsid w:val="41F25792"/>
    <w:rsid w:val="42207F95"/>
    <w:rsid w:val="423579FC"/>
    <w:rsid w:val="424118B0"/>
    <w:rsid w:val="42974085"/>
    <w:rsid w:val="42C22648"/>
    <w:rsid w:val="43194CE2"/>
    <w:rsid w:val="4333143E"/>
    <w:rsid w:val="43A715DC"/>
    <w:rsid w:val="44450017"/>
    <w:rsid w:val="44901212"/>
    <w:rsid w:val="450B2CE4"/>
    <w:rsid w:val="452B5932"/>
    <w:rsid w:val="45497D2B"/>
    <w:rsid w:val="45C11FF3"/>
    <w:rsid w:val="45F9249E"/>
    <w:rsid w:val="46EE5462"/>
    <w:rsid w:val="47775AD7"/>
    <w:rsid w:val="47B17E39"/>
    <w:rsid w:val="48D72E43"/>
    <w:rsid w:val="490631D5"/>
    <w:rsid w:val="493E6AB7"/>
    <w:rsid w:val="4A15323A"/>
    <w:rsid w:val="4A1F4764"/>
    <w:rsid w:val="4A22300A"/>
    <w:rsid w:val="4A4429A8"/>
    <w:rsid w:val="4B0D67DA"/>
    <w:rsid w:val="4B104729"/>
    <w:rsid w:val="4B561588"/>
    <w:rsid w:val="4BA03AA3"/>
    <w:rsid w:val="4C015BD2"/>
    <w:rsid w:val="4C2B626D"/>
    <w:rsid w:val="4C556343"/>
    <w:rsid w:val="4CA13079"/>
    <w:rsid w:val="4CBA6D83"/>
    <w:rsid w:val="4D726935"/>
    <w:rsid w:val="4D861E93"/>
    <w:rsid w:val="4E1C251F"/>
    <w:rsid w:val="4E807534"/>
    <w:rsid w:val="4EBF1908"/>
    <w:rsid w:val="4F3C5317"/>
    <w:rsid w:val="4FE84095"/>
    <w:rsid w:val="50271D86"/>
    <w:rsid w:val="50667AA8"/>
    <w:rsid w:val="50776E54"/>
    <w:rsid w:val="50967C42"/>
    <w:rsid w:val="50BE485B"/>
    <w:rsid w:val="50BE5B21"/>
    <w:rsid w:val="51A96FF1"/>
    <w:rsid w:val="51CE7479"/>
    <w:rsid w:val="51D47C5E"/>
    <w:rsid w:val="52207860"/>
    <w:rsid w:val="5240079C"/>
    <w:rsid w:val="52E418BF"/>
    <w:rsid w:val="52FE5AB1"/>
    <w:rsid w:val="53122572"/>
    <w:rsid w:val="533E05C1"/>
    <w:rsid w:val="538F0FA1"/>
    <w:rsid w:val="53DA317B"/>
    <w:rsid w:val="5401342F"/>
    <w:rsid w:val="54103AAC"/>
    <w:rsid w:val="54455AEF"/>
    <w:rsid w:val="5482205B"/>
    <w:rsid w:val="549A5B63"/>
    <w:rsid w:val="55190490"/>
    <w:rsid w:val="554C03ED"/>
    <w:rsid w:val="558816A0"/>
    <w:rsid w:val="55903325"/>
    <w:rsid w:val="56774CBC"/>
    <w:rsid w:val="56A01764"/>
    <w:rsid w:val="57096E9F"/>
    <w:rsid w:val="57CD7FAB"/>
    <w:rsid w:val="57D5394B"/>
    <w:rsid w:val="587F106F"/>
    <w:rsid w:val="59092EAE"/>
    <w:rsid w:val="59125B5B"/>
    <w:rsid w:val="59F61F07"/>
    <w:rsid w:val="5A5B099B"/>
    <w:rsid w:val="5AD0099D"/>
    <w:rsid w:val="5B5D3146"/>
    <w:rsid w:val="5B6D2610"/>
    <w:rsid w:val="5E653E57"/>
    <w:rsid w:val="5EDC31F2"/>
    <w:rsid w:val="5F1C0367"/>
    <w:rsid w:val="5F235AAE"/>
    <w:rsid w:val="5F79167B"/>
    <w:rsid w:val="5FD6799D"/>
    <w:rsid w:val="5FE175D9"/>
    <w:rsid w:val="60915A2A"/>
    <w:rsid w:val="60B01BD3"/>
    <w:rsid w:val="60C3272D"/>
    <w:rsid w:val="613D2D57"/>
    <w:rsid w:val="61635C98"/>
    <w:rsid w:val="61A6135C"/>
    <w:rsid w:val="61C44B5A"/>
    <w:rsid w:val="621E6BB3"/>
    <w:rsid w:val="629F59D2"/>
    <w:rsid w:val="63A72C3B"/>
    <w:rsid w:val="63B914EA"/>
    <w:rsid w:val="63C64EB3"/>
    <w:rsid w:val="63D8710A"/>
    <w:rsid w:val="648D0D03"/>
    <w:rsid w:val="652D5881"/>
    <w:rsid w:val="654222D3"/>
    <w:rsid w:val="65731582"/>
    <w:rsid w:val="65B857DE"/>
    <w:rsid w:val="65D43A15"/>
    <w:rsid w:val="66C24EF1"/>
    <w:rsid w:val="66CC0AAD"/>
    <w:rsid w:val="66D978B7"/>
    <w:rsid w:val="6719720A"/>
    <w:rsid w:val="67314F98"/>
    <w:rsid w:val="67A7274C"/>
    <w:rsid w:val="67D4718F"/>
    <w:rsid w:val="67ED7E87"/>
    <w:rsid w:val="689A3E47"/>
    <w:rsid w:val="68AE5B14"/>
    <w:rsid w:val="68CD667D"/>
    <w:rsid w:val="690F7C22"/>
    <w:rsid w:val="6955374D"/>
    <w:rsid w:val="697A70E8"/>
    <w:rsid w:val="69DD02FF"/>
    <w:rsid w:val="69EE5073"/>
    <w:rsid w:val="69F63A7C"/>
    <w:rsid w:val="6A156392"/>
    <w:rsid w:val="6AB11BE6"/>
    <w:rsid w:val="6AB96073"/>
    <w:rsid w:val="6B0031E2"/>
    <w:rsid w:val="6B912F3A"/>
    <w:rsid w:val="6BCC359A"/>
    <w:rsid w:val="6BCE5B98"/>
    <w:rsid w:val="6BE44339"/>
    <w:rsid w:val="6D5B18E0"/>
    <w:rsid w:val="6D870C0C"/>
    <w:rsid w:val="6E64659E"/>
    <w:rsid w:val="6EA339BF"/>
    <w:rsid w:val="6ED07241"/>
    <w:rsid w:val="6F137B0A"/>
    <w:rsid w:val="6F207AEE"/>
    <w:rsid w:val="6F4D3385"/>
    <w:rsid w:val="6FAE23C7"/>
    <w:rsid w:val="6FDB6AFA"/>
    <w:rsid w:val="6FFE506B"/>
    <w:rsid w:val="70391E76"/>
    <w:rsid w:val="70550787"/>
    <w:rsid w:val="7086429A"/>
    <w:rsid w:val="710A6D7C"/>
    <w:rsid w:val="71EC0D78"/>
    <w:rsid w:val="720517D9"/>
    <w:rsid w:val="72067299"/>
    <w:rsid w:val="72147D8C"/>
    <w:rsid w:val="722D1974"/>
    <w:rsid w:val="729159A0"/>
    <w:rsid w:val="72C54B23"/>
    <w:rsid w:val="72C735DA"/>
    <w:rsid w:val="72CC1686"/>
    <w:rsid w:val="733C5296"/>
    <w:rsid w:val="73B10430"/>
    <w:rsid w:val="73E07A95"/>
    <w:rsid w:val="74171020"/>
    <w:rsid w:val="7461635C"/>
    <w:rsid w:val="74FF083E"/>
    <w:rsid w:val="75033A86"/>
    <w:rsid w:val="75277880"/>
    <w:rsid w:val="75973FDD"/>
    <w:rsid w:val="75AD133B"/>
    <w:rsid w:val="760333B2"/>
    <w:rsid w:val="76150E9A"/>
    <w:rsid w:val="76246A2F"/>
    <w:rsid w:val="7625358D"/>
    <w:rsid w:val="76A31688"/>
    <w:rsid w:val="77106AAF"/>
    <w:rsid w:val="7722680D"/>
    <w:rsid w:val="772A47A5"/>
    <w:rsid w:val="777D0D1B"/>
    <w:rsid w:val="78204054"/>
    <w:rsid w:val="78254F2C"/>
    <w:rsid w:val="78343AFE"/>
    <w:rsid w:val="783D62A6"/>
    <w:rsid w:val="78947487"/>
    <w:rsid w:val="789E1E5D"/>
    <w:rsid w:val="791A5709"/>
    <w:rsid w:val="791F384F"/>
    <w:rsid w:val="7A02393C"/>
    <w:rsid w:val="7A2A136B"/>
    <w:rsid w:val="7A2C562F"/>
    <w:rsid w:val="7AF655F3"/>
    <w:rsid w:val="7B572AED"/>
    <w:rsid w:val="7BC62B6D"/>
    <w:rsid w:val="7C3D4009"/>
    <w:rsid w:val="7CA825AF"/>
    <w:rsid w:val="7CF56221"/>
    <w:rsid w:val="7D123594"/>
    <w:rsid w:val="7D164276"/>
    <w:rsid w:val="7D353CCF"/>
    <w:rsid w:val="7DC61FA6"/>
    <w:rsid w:val="7E6778E4"/>
    <w:rsid w:val="7EB65FCC"/>
    <w:rsid w:val="7EE6247A"/>
    <w:rsid w:val="7F0D1C66"/>
    <w:rsid w:val="7F6E6198"/>
    <w:rsid w:val="7F9032AD"/>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5">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6">
    <w:name w:val="heading 3"/>
    <w:basedOn w:val="1"/>
    <w:next w:val="7"/>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3"/>
    <w:qFormat/>
    <w:uiPriority w:val="0"/>
    <w:pPr>
      <w:keepNext/>
      <w:outlineLvl w:val="3"/>
    </w:pPr>
    <w:rPr>
      <w:sz w:val="28"/>
      <w:szCs w:val="20"/>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qFormat/>
    <w:uiPriority w:val="99"/>
    <w:pPr>
      <w:keepNext/>
      <w:keepLines/>
      <w:spacing w:before="240" w:after="64" w:line="320" w:lineRule="auto"/>
      <w:outlineLvl w:val="6"/>
    </w:pPr>
    <w:rPr>
      <w:b/>
      <w:bCs/>
      <w:sz w:val="24"/>
    </w:rPr>
  </w:style>
  <w:style w:type="paragraph" w:styleId="11">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2">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uiPriority w:val="1"/>
  </w:style>
  <w:style w:type="table" w:default="1" w:styleId="53">
    <w:name w:val="Normal Table"/>
    <w:semiHidden/>
    <w:unhideWhenUsed/>
    <w:uiPriority w:val="99"/>
    <w:tblPr>
      <w:tblCellMar>
        <w:top w:w="0" w:type="dxa"/>
        <w:left w:w="108" w:type="dxa"/>
        <w:bottom w:w="0" w:type="dxa"/>
        <w:right w:w="108" w:type="dxa"/>
      </w:tblCellMar>
    </w:tblPr>
  </w:style>
  <w:style w:type="paragraph" w:styleId="3">
    <w:name w:val="Body Text First Indent"/>
    <w:basedOn w:val="1"/>
    <w:link w:val="72"/>
    <w:qFormat/>
    <w:uiPriority w:val="99"/>
    <w:pPr>
      <w:spacing w:after="120"/>
      <w:ind w:firstLine="210" w:firstLineChars="100"/>
    </w:pPr>
    <w:rPr>
      <w:kern w:val="0"/>
      <w:sz w:val="20"/>
    </w:rPr>
  </w:style>
  <w:style w:type="paragraph" w:styleId="7">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toc 7"/>
    <w:basedOn w:val="1"/>
    <w:next w:val="1"/>
    <w:unhideWhenUsed/>
    <w:qFormat/>
    <w:uiPriority w:val="99"/>
    <w:pPr>
      <w:ind w:left="2520" w:leftChars="1200"/>
    </w:pPr>
    <w:rPr>
      <w:rFonts w:ascii="Calibri" w:hAnsi="Calibri"/>
      <w:szCs w:val="22"/>
    </w:rPr>
  </w:style>
  <w:style w:type="paragraph" w:styleId="14">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5">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6">
    <w:name w:val="List Number"/>
    <w:basedOn w:val="1"/>
    <w:qFormat/>
    <w:uiPriority w:val="99"/>
    <w:pPr>
      <w:tabs>
        <w:tab w:val="left" w:pos="360"/>
      </w:tabs>
      <w:ind w:left="360" w:hanging="200" w:hangingChars="200"/>
    </w:pPr>
  </w:style>
  <w:style w:type="paragraph" w:styleId="17">
    <w:name w:val="List Bullet"/>
    <w:basedOn w:val="1"/>
    <w:qFormat/>
    <w:uiPriority w:val="99"/>
    <w:pPr>
      <w:tabs>
        <w:tab w:val="left" w:pos="360"/>
      </w:tabs>
      <w:ind w:left="360" w:hanging="360"/>
    </w:pPr>
    <w:rPr>
      <w:sz w:val="24"/>
    </w:rPr>
  </w:style>
  <w:style w:type="paragraph" w:styleId="18">
    <w:name w:val="Document Map"/>
    <w:basedOn w:val="1"/>
    <w:link w:val="68"/>
    <w:semiHidden/>
    <w:qFormat/>
    <w:uiPriority w:val="99"/>
    <w:rPr>
      <w:rFonts w:ascii="宋体"/>
      <w:sz w:val="18"/>
      <w:szCs w:val="18"/>
    </w:rPr>
  </w:style>
  <w:style w:type="paragraph" w:styleId="19">
    <w:name w:val="annotation text"/>
    <w:basedOn w:val="1"/>
    <w:link w:val="69"/>
    <w:qFormat/>
    <w:uiPriority w:val="99"/>
    <w:pPr>
      <w:jc w:val="left"/>
    </w:pPr>
    <w:rPr>
      <w:szCs w:val="20"/>
    </w:rPr>
  </w:style>
  <w:style w:type="paragraph" w:styleId="20">
    <w:name w:val="Body Text 3"/>
    <w:basedOn w:val="1"/>
    <w:link w:val="70"/>
    <w:qFormat/>
    <w:uiPriority w:val="99"/>
    <w:pPr>
      <w:spacing w:after="120"/>
    </w:pPr>
    <w:rPr>
      <w:sz w:val="16"/>
      <w:szCs w:val="16"/>
    </w:rPr>
  </w:style>
  <w:style w:type="paragraph" w:styleId="21">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2">
    <w:name w:val="Body Text"/>
    <w:basedOn w:val="1"/>
    <w:link w:val="71"/>
    <w:qFormat/>
    <w:uiPriority w:val="99"/>
    <w:rPr>
      <w:sz w:val="28"/>
      <w:szCs w:val="20"/>
    </w:rPr>
  </w:style>
  <w:style w:type="paragraph" w:styleId="23">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4">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5">
    <w:name w:val="List 2"/>
    <w:basedOn w:val="1"/>
    <w:qFormat/>
    <w:uiPriority w:val="0"/>
    <w:pPr>
      <w:ind w:left="100" w:leftChars="200" w:hanging="200" w:hangingChars="200"/>
    </w:pPr>
  </w:style>
  <w:style w:type="paragraph" w:styleId="26">
    <w:name w:val="List Bullet 2"/>
    <w:basedOn w:val="1"/>
    <w:next w:val="3"/>
    <w:qFormat/>
    <w:uiPriority w:val="99"/>
    <w:pPr>
      <w:keepLines/>
      <w:tabs>
        <w:tab w:val="left" w:pos="780"/>
      </w:tabs>
      <w:spacing w:afterLines="20" w:line="264" w:lineRule="auto"/>
      <w:ind w:left="780" w:hanging="360"/>
    </w:pPr>
    <w:rPr>
      <w:rFonts w:ascii="宋体"/>
      <w:sz w:val="24"/>
      <w:szCs w:val="21"/>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qFormat/>
    <w:uiPriority w:val="0"/>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3"/>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qFormat/>
    <w:uiPriority w:val="99"/>
    <w:rPr>
      <w:sz w:val="18"/>
      <w:szCs w:val="18"/>
    </w:rPr>
  </w:style>
  <w:style w:type="paragraph" w:styleId="36">
    <w:name w:val="footer"/>
    <w:basedOn w:val="1"/>
    <w:link w:val="75"/>
    <w:qFormat/>
    <w:uiPriority w:val="99"/>
    <w:pPr>
      <w:tabs>
        <w:tab w:val="center" w:pos="4153"/>
        <w:tab w:val="right" w:pos="8306"/>
      </w:tabs>
      <w:snapToGrid w:val="0"/>
      <w:jc w:val="left"/>
    </w:pPr>
    <w:rPr>
      <w:sz w:val="18"/>
      <w:szCs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8"/>
    <w:qFormat/>
    <w:uiPriority w:val="99"/>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9"/>
    <w:next w:val="19"/>
    <w:link w:val="79"/>
    <w:semiHidden/>
    <w:qFormat/>
    <w:uiPriority w:val="99"/>
    <w:rPr>
      <w:b/>
      <w:bCs/>
    </w:rPr>
  </w:style>
  <w:style w:type="paragraph" w:styleId="52">
    <w:name w:val="Body Text First Indent 2"/>
    <w:basedOn w:val="23"/>
    <w:link w:val="63"/>
    <w:unhideWhenUsed/>
    <w:qFormat/>
    <w:uiPriority w:val="99"/>
    <w:pPr>
      <w:ind w:firstLine="420" w:firstLineChars="200"/>
    </w:p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99"/>
    <w:rPr>
      <w:sz w:val="21"/>
      <w:szCs w:val="21"/>
    </w:rPr>
  </w:style>
  <w:style w:type="character" w:customStyle="1" w:styleId="62">
    <w:name w:val="正文文本缩进 字符"/>
    <w:link w:val="23"/>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4"/>
    <w:qFormat/>
    <w:uiPriority w:val="0"/>
    <w:rPr>
      <w:rFonts w:eastAsia="黑体"/>
      <w:bCs/>
      <w:kern w:val="44"/>
      <w:sz w:val="30"/>
      <w:szCs w:val="44"/>
    </w:rPr>
  </w:style>
  <w:style w:type="character" w:customStyle="1" w:styleId="65">
    <w:name w:val="标题 2 字符"/>
    <w:link w:val="5"/>
    <w:qFormat/>
    <w:uiPriority w:val="99"/>
    <w:rPr>
      <w:rFonts w:ascii="Arial" w:hAnsi="Arial" w:eastAsia="黑体"/>
      <w:bCs/>
      <w:kern w:val="2"/>
      <w:sz w:val="28"/>
      <w:szCs w:val="32"/>
    </w:rPr>
  </w:style>
  <w:style w:type="character" w:customStyle="1" w:styleId="66">
    <w:name w:val="标题 3 字符"/>
    <w:link w:val="6"/>
    <w:qFormat/>
    <w:uiPriority w:val="99"/>
    <w:rPr>
      <w:rFonts w:ascii="黑体" w:eastAsia="黑体"/>
      <w:sz w:val="28"/>
    </w:rPr>
  </w:style>
  <w:style w:type="character" w:customStyle="1" w:styleId="67">
    <w:name w:val="正文缩进 字符"/>
    <w:link w:val="7"/>
    <w:qFormat/>
    <w:uiPriority w:val="0"/>
    <w:rPr>
      <w:rFonts w:ascii="楷体_GB2312" w:eastAsia="楷体_GB2312"/>
      <w:sz w:val="28"/>
    </w:rPr>
  </w:style>
  <w:style w:type="character" w:customStyle="1" w:styleId="68">
    <w:name w:val="文档结构图 字符"/>
    <w:link w:val="18"/>
    <w:semiHidden/>
    <w:qFormat/>
    <w:uiPriority w:val="99"/>
    <w:rPr>
      <w:rFonts w:ascii="宋体"/>
      <w:kern w:val="2"/>
      <w:sz w:val="18"/>
      <w:szCs w:val="18"/>
    </w:rPr>
  </w:style>
  <w:style w:type="character" w:customStyle="1" w:styleId="69">
    <w:name w:val="批注文字 字符"/>
    <w:link w:val="19"/>
    <w:qFormat/>
    <w:uiPriority w:val="99"/>
    <w:rPr>
      <w:rFonts w:eastAsia="宋体"/>
      <w:kern w:val="2"/>
      <w:sz w:val="21"/>
      <w:lang w:val="en-US" w:eastAsia="zh-CN" w:bidi="ar-SA"/>
    </w:rPr>
  </w:style>
  <w:style w:type="character" w:customStyle="1" w:styleId="70">
    <w:name w:val="正文文本 3 字符"/>
    <w:link w:val="20"/>
    <w:qFormat/>
    <w:uiPriority w:val="99"/>
    <w:rPr>
      <w:kern w:val="2"/>
      <w:sz w:val="16"/>
      <w:szCs w:val="16"/>
    </w:rPr>
  </w:style>
  <w:style w:type="character" w:customStyle="1" w:styleId="71">
    <w:name w:val="正文文本 字符"/>
    <w:link w:val="22"/>
    <w:qFormat/>
    <w:uiPriority w:val="0"/>
    <w:rPr>
      <w:kern w:val="2"/>
      <w:sz w:val="28"/>
    </w:rPr>
  </w:style>
  <w:style w:type="character" w:customStyle="1" w:styleId="72">
    <w:name w:val="正文文本首行缩进 字符"/>
    <w:link w:val="3"/>
    <w:qFormat/>
    <w:locked/>
    <w:uiPriority w:val="99"/>
  </w:style>
  <w:style w:type="character" w:customStyle="1" w:styleId="73">
    <w:name w:val="日期 字符"/>
    <w:link w:val="33"/>
    <w:qFormat/>
    <w:uiPriority w:val="99"/>
    <w:rPr>
      <w:kern w:val="2"/>
      <w:sz w:val="21"/>
    </w:rPr>
  </w:style>
  <w:style w:type="character" w:customStyle="1" w:styleId="74">
    <w:name w:val="批注框文本 字符"/>
    <w:link w:val="35"/>
    <w:semiHidden/>
    <w:qFormat/>
    <w:uiPriority w:val="99"/>
    <w:rPr>
      <w:kern w:val="2"/>
      <w:sz w:val="18"/>
      <w:szCs w:val="18"/>
    </w:rPr>
  </w:style>
  <w:style w:type="character" w:customStyle="1" w:styleId="75">
    <w:name w:val="页脚 字符"/>
    <w:link w:val="36"/>
    <w:qFormat/>
    <w:uiPriority w:val="99"/>
    <w:rPr>
      <w:kern w:val="2"/>
      <w:sz w:val="18"/>
      <w:szCs w:val="18"/>
    </w:rPr>
  </w:style>
  <w:style w:type="character" w:customStyle="1" w:styleId="76">
    <w:name w:val="页眉 字符"/>
    <w:link w:val="37"/>
    <w:qFormat/>
    <w:uiPriority w:val="99"/>
    <w:rPr>
      <w:kern w:val="2"/>
      <w:sz w:val="18"/>
      <w:szCs w:val="18"/>
    </w:rPr>
  </w:style>
  <w:style w:type="character" w:customStyle="1" w:styleId="77">
    <w:name w:val="副标题 字符"/>
    <w:link w:val="42"/>
    <w:qFormat/>
    <w:uiPriority w:val="0"/>
    <w:rPr>
      <w:rFonts w:ascii="Cambria" w:hAnsi="Cambria" w:cs="黑体"/>
      <w:b/>
      <w:bCs/>
      <w:kern w:val="28"/>
      <w:sz w:val="32"/>
      <w:szCs w:val="32"/>
    </w:rPr>
  </w:style>
  <w:style w:type="character" w:customStyle="1" w:styleId="78">
    <w:name w:val="正文文本 2 字符"/>
    <w:link w:val="48"/>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99"/>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7"/>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8"/>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6"/>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4"/>
    <w:qFormat/>
    <w:uiPriority w:val="0"/>
    <w:pPr>
      <w:spacing w:line="240" w:lineRule="auto"/>
    </w:pPr>
    <w:rPr>
      <w:rFonts w:ascii="黑体"/>
      <w:sz w:val="36"/>
      <w:szCs w:val="36"/>
    </w:rPr>
  </w:style>
  <w:style w:type="paragraph" w:customStyle="1" w:styleId="130">
    <w:name w:val="TOC 标题111"/>
    <w:basedOn w:val="4"/>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9"/>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4"/>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4"/>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5"/>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8"/>
    <w:qFormat/>
    <w:uiPriority w:val="0"/>
    <w:pPr>
      <w:shd w:val="clear" w:color="auto" w:fill="000080"/>
    </w:pPr>
    <w:rPr>
      <w:rFonts w:ascii="Tahoma" w:hAnsi="Tahoma"/>
      <w:sz w:val="24"/>
      <w:szCs w:val="24"/>
    </w:rPr>
  </w:style>
  <w:style w:type="paragraph" w:customStyle="1" w:styleId="146">
    <w:name w:val="标题 10"/>
    <w:basedOn w:val="5"/>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6"/>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5"/>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5"/>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5"/>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7"/>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3"/>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2"/>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8"/>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2"/>
    <w:qFormat/>
    <w:uiPriority w:val="99"/>
    <w:pPr>
      <w:widowControl/>
      <w:spacing w:after="240" w:line="240" w:lineRule="exact"/>
      <w:jc w:val="center"/>
    </w:pPr>
    <w:rPr>
      <w:kern w:val="0"/>
      <w:sz w:val="24"/>
      <w:lang w:val="en-GB"/>
    </w:rPr>
  </w:style>
  <w:style w:type="paragraph" w:customStyle="1" w:styleId="201">
    <w:name w:val="样式3"/>
    <w:basedOn w:val="5"/>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6"/>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5"/>
    <w:next w:val="22"/>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4"/>
    <w:next w:val="22"/>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7"/>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8"/>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7"/>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3"/>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99"/>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4"/>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2"/>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6"/>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5"/>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5"/>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4"/>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4"/>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372">
    <w:name w:val="font31"/>
    <w:basedOn w:val="55"/>
    <w:qFormat/>
    <w:uiPriority w:val="0"/>
    <w:rPr>
      <w:rFonts w:hint="eastAsia" w:ascii="宋体" w:hAnsi="宋体" w:eastAsia="宋体" w:cs="宋体"/>
      <w:color w:val="FF0000"/>
      <w:kern w:val="2"/>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CA17F3-FC78-43A4-B7BD-11E353E57B46}">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1</Pages>
  <Words>5663</Words>
  <Characters>32284</Characters>
  <Lines>269</Lines>
  <Paragraphs>75</Paragraphs>
  <TotalTime>4</TotalTime>
  <ScaleCrop>false</ScaleCrop>
  <LinksUpToDate>false</LinksUpToDate>
  <CharactersWithSpaces>37872</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2022-07-11T01:36:00Z</dcterms:created>
  <dc:creator>Administrator</dc:creator>
  <cp:lastModifiedBy>张晓阳</cp:lastModifiedBy>
  <cp:lastPrinted>2017-04-10T13:36:00Z</cp:lastPrinted>
  <dcterms:modified xsi:type="dcterms:W3CDTF">2022-08-09T11:44:08Z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88597317D9014C5BB825F5AD071CD569</vt:lpwstr>
  </property>
</Properties>
</file>