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color w:val="000000" w:themeColor="text1"/>
          <w:sz w:val="28"/>
          <w:szCs w:val="28"/>
          <w14:textFill>
            <w14:solidFill>
              <w14:schemeClr w14:val="tx1"/>
            </w14:solidFill>
          </w14:textFill>
        </w:rPr>
      </w:pPr>
    </w:p>
    <w:p>
      <w:pPr>
        <w:spacing w:line="360" w:lineRule="auto"/>
        <w:ind w:firstLine="560"/>
        <w:rPr>
          <w:rFonts w:eastAsia="仿宋_GB2312"/>
          <w:color w:val="000000" w:themeColor="text1"/>
          <w:sz w:val="28"/>
          <w:szCs w:val="28"/>
          <w14:textFill>
            <w14:solidFill>
              <w14:schemeClr w14:val="tx1"/>
            </w14:solidFill>
          </w14:textFill>
        </w:rPr>
      </w:pPr>
    </w:p>
    <w:p>
      <w:pPr>
        <w:spacing w:line="360" w:lineRule="auto"/>
        <w:ind w:firstLine="560"/>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江苏省广电有线信息网络股份有限公司</w:t>
      </w:r>
    </w:p>
    <w:p>
      <w:pPr>
        <w:spacing w:after="120" w:line="360" w:lineRule="auto"/>
        <w:jc w:val="center"/>
        <w:rPr>
          <w:rFonts w:ascii="黑体" w:hAnsi="宋体" w:eastAsia="黑体"/>
          <w:color w:val="000000" w:themeColor="text1"/>
          <w:sz w:val="44"/>
          <w:szCs w:val="44"/>
          <w14:textFill>
            <w14:solidFill>
              <w14:schemeClr w14:val="tx1"/>
            </w14:solidFill>
          </w14:textFill>
        </w:rPr>
      </w:pPr>
      <w:bookmarkStart w:id="0" w:name="_Toc227057880"/>
      <w:r>
        <w:rPr>
          <w:rFonts w:hint="eastAsia" w:ascii="黑体" w:hAnsi="宋体" w:eastAsia="黑体"/>
          <w:color w:val="000000" w:themeColor="text1"/>
          <w:sz w:val="44"/>
          <w:szCs w:val="44"/>
          <w14:textFill>
            <w14:solidFill>
              <w14:schemeClr w14:val="tx1"/>
            </w14:solidFill>
          </w14:textFill>
        </w:rPr>
        <w:t>IP平台融合业务管理系统建设-IP直播中台建设竞争性磋商文件</w:t>
      </w:r>
    </w:p>
    <w:p>
      <w:pPr>
        <w:spacing w:after="120" w:line="360" w:lineRule="auto"/>
        <w:jc w:val="center"/>
        <w:rPr>
          <w:b/>
          <w:bCs/>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ind w:firstLine="1405" w:firstLineChars="5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二〇二二年九月</w:t>
      </w:r>
    </w:p>
    <w:p>
      <w:pPr>
        <w:spacing w:after="120" w:line="360" w:lineRule="auto"/>
        <w:ind w:firstLine="1405" w:firstLineChars="500"/>
        <w:rPr>
          <w:b/>
          <w:color w:val="000000" w:themeColor="text1"/>
          <w:sz w:val="28"/>
          <w:szCs w:val="28"/>
          <w14:textFill>
            <w14:solidFill>
              <w14:schemeClr w14:val="tx1"/>
            </w14:solidFill>
          </w14:textFill>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rPr>
          <w:color w:val="000000" w:themeColor="text1"/>
          <w14:textFill>
            <w14:solidFill>
              <w14:schemeClr w14:val="tx1"/>
            </w14:solidFill>
          </w14:textFill>
        </w:rPr>
      </w:pPr>
    </w:p>
    <w:p>
      <w:pPr>
        <w:pStyle w:val="118"/>
        <w:numPr>
          <w:ilvl w:val="0"/>
          <w:numId w:val="0"/>
        </w:numPr>
        <w:ind w:left="288"/>
        <w:jc w:val="center"/>
        <w:rPr>
          <w:color w:val="000000" w:themeColor="text1"/>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begin"/>
      </w:r>
      <w:r>
        <w:rPr>
          <w:rFonts w:ascii="宋体" w:hAnsi="宋体" w:eastAsia="宋体"/>
          <w:color w:val="000000" w:themeColor="text1"/>
          <w:sz w:val="20"/>
          <w:szCs w:val="20"/>
          <w14:textFill>
            <w14:solidFill>
              <w14:schemeClr w14:val="tx1"/>
            </w14:solidFill>
          </w14:textFill>
        </w:rPr>
        <w:instrText xml:space="preserve"> TOC \o "1-3" \h \z \u </w:instrText>
      </w:r>
      <w:r>
        <w:rPr>
          <w:rFonts w:ascii="宋体" w:hAnsi="宋体" w:eastAsia="宋体"/>
          <w:color w:val="000000" w:themeColor="text1"/>
          <w:sz w:val="20"/>
          <w:szCs w:val="20"/>
          <w14:textFill>
            <w14:solidFill>
              <w14:schemeClr w14:val="tx1"/>
            </w14:solidFill>
          </w14:textFill>
        </w:rPr>
        <w:fldChar w:fldCharType="separate"/>
      </w:r>
      <w:r>
        <w:fldChar w:fldCharType="begin"/>
      </w:r>
      <w:r>
        <w:instrText xml:space="preserve"> HYPERLINK \l "_Toc69378615" </w:instrText>
      </w:r>
      <w:r>
        <w:fldChar w:fldCharType="separate"/>
      </w:r>
      <w:r>
        <w:rPr>
          <w:rStyle w:val="60"/>
          <w:rFonts w:hint="eastAsia"/>
          <w:b/>
          <w:color w:val="000000" w:themeColor="text1"/>
          <w14:textFill>
            <w14:solidFill>
              <w14:schemeClr w14:val="tx1"/>
            </w14:solidFill>
          </w14:textFill>
        </w:rPr>
        <w:t>第一章竞争性磋商公告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_Toc69378615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"_Toc69378616" </w:instrText>
      </w:r>
      <w:r>
        <w:fldChar w:fldCharType="separate"/>
      </w:r>
      <w:r>
        <w:rPr>
          <w:rStyle w:val="60"/>
          <w:rFonts w:hint="eastAsia"/>
          <w:b/>
          <w:color w:val="000000" w:themeColor="text1"/>
          <w14:textFill>
            <w14:solidFill>
              <w14:schemeClr w14:val="tx1"/>
            </w14:solidFill>
          </w14:textFill>
        </w:rPr>
        <w:t>第二章竞争性磋商须知</w:t>
      </w:r>
      <w:r>
        <w:rPr>
          <w:rStyle w:val="60"/>
          <w:b/>
          <w:color w:val="000000" w:themeColor="text1"/>
          <w14:textFill>
            <w14:solidFill>
              <w14:schemeClr w14:val="tx1"/>
            </w14:solidFill>
          </w14:textFill>
        </w:rPr>
        <w:tab/>
      </w:r>
      <w:r>
        <w:rPr>
          <w:rStyle w:val="60"/>
          <w:b/>
          <w:color w:val="000000" w:themeColor="text1"/>
          <w14:textFill>
            <w14:solidFill>
              <w14:schemeClr w14:val="tx1"/>
            </w14:solidFill>
          </w14:textFill>
        </w:rPr>
        <w:fldChar w:fldCharType="end"/>
      </w:r>
      <w:r>
        <w:rPr>
          <w:color w:val="000000" w:themeColor="text1"/>
          <w14:textFill>
            <w14:solidFill>
              <w14:schemeClr w14:val="tx1"/>
            </w14:solidFill>
          </w14:textFill>
        </w:rPr>
        <w:t>7</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"_Toc69378617" </w:instrText>
      </w:r>
      <w:r>
        <w:fldChar w:fldCharType="separate"/>
      </w:r>
      <w:r>
        <w:rPr>
          <w:rStyle w:val="60"/>
          <w:rFonts w:hint="eastAsia"/>
          <w:b/>
          <w:color w:val="000000" w:themeColor="text1"/>
          <w14:textFill>
            <w14:solidFill>
              <w14:schemeClr w14:val="tx1"/>
            </w14:solidFill>
          </w14:textFill>
        </w:rPr>
        <w:t>第三章评审办法</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1</w:t>
      </w:r>
      <w:r>
        <w:rPr>
          <w:rFonts w:hint="eastAsia"/>
          <w:color w:val="000000" w:themeColor="text1"/>
          <w14:textFill>
            <w14:solidFill>
              <w14:schemeClr w14:val="tx1"/>
            </w14:solidFill>
          </w14:textFill>
        </w:rPr>
        <w:fldChar w:fldCharType="end"/>
      </w:r>
      <w:r>
        <w:rPr>
          <w:color w:val="000000" w:themeColor="text1"/>
          <w14:textFill>
            <w14:solidFill>
              <w14:schemeClr w14:val="tx1"/>
            </w14:solidFill>
          </w14:textFill>
        </w:rPr>
        <w:t>9</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"_Toc69378618" </w:instrText>
      </w:r>
      <w:r>
        <w:fldChar w:fldCharType="separate"/>
      </w:r>
      <w:r>
        <w:rPr>
          <w:rStyle w:val="60"/>
          <w:rFonts w:hint="eastAsia"/>
          <w:b/>
          <w:color w:val="000000" w:themeColor="text1"/>
          <w14:textFill>
            <w14:solidFill>
              <w14:schemeClr w14:val="tx1"/>
            </w14:solidFill>
          </w14:textFill>
        </w:rPr>
        <w:t>第四章合同格式</w:t>
      </w:r>
      <w:r>
        <w:rPr>
          <w:rStyle w:val="60"/>
          <w:b/>
          <w:color w:val="000000" w:themeColor="text1"/>
          <w14:textFill>
            <w14:solidFill>
              <w14:schemeClr w14:val="tx1"/>
            </w14:solidFill>
          </w14:textFill>
        </w:rPr>
        <w:tab/>
      </w:r>
      <w:r>
        <w:rPr>
          <w:rStyle w:val="60"/>
          <w:b/>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2</w:t>
      </w:r>
      <w:r>
        <w:rPr>
          <w:color w:val="000000" w:themeColor="text1"/>
          <w14:textFill>
            <w14:solidFill>
              <w14:schemeClr w14:val="tx1"/>
            </w14:solidFill>
          </w14:textFill>
        </w:rPr>
        <w:t>3</w:t>
      </w:r>
    </w:p>
    <w:p>
      <w:pPr>
        <w:pStyle w:val="38"/>
        <w:rPr>
          <w:rFonts w:ascii="Calibri" w:hAnsi="Calibri"/>
          <w:caps w:val="0"/>
          <w:color w:val="000000" w:themeColor="text1"/>
          <w:kern w:val="2"/>
          <w:szCs w:val="22"/>
          <w14:textFill>
            <w14:solidFill>
              <w14:schemeClr w14:val="tx1"/>
            </w14:solidFill>
          </w14:textFill>
        </w:rPr>
      </w:pPr>
      <w:r>
        <w:fldChar w:fldCharType="begin"/>
      </w:r>
      <w:r>
        <w:instrText xml:space="preserve"> HYPERLINK \l "_Toc69378637" </w:instrText>
      </w:r>
      <w:r>
        <w:fldChar w:fldCharType="separate"/>
      </w:r>
      <w:r>
        <w:rPr>
          <w:rStyle w:val="60"/>
          <w:rFonts w:hint="eastAsia"/>
          <w:b/>
          <w:color w:val="000000" w:themeColor="text1"/>
          <w14:textFill>
            <w14:solidFill>
              <w14:schemeClr w14:val="tx1"/>
            </w14:solidFill>
          </w14:textFill>
        </w:rPr>
        <w:t>第五章技术需求书</w:t>
      </w:r>
      <w:r>
        <w:rPr>
          <w:rStyle w:val="60"/>
          <w:b/>
          <w:color w:val="000000" w:themeColor="text1"/>
          <w14:textFill>
            <w14:solidFill>
              <w14:schemeClr w14:val="tx1"/>
            </w14:solidFill>
          </w14:textFill>
        </w:rPr>
        <w:tab/>
      </w:r>
      <w:r>
        <w:rPr>
          <w:rStyle w:val="60"/>
          <w:b/>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3</w:t>
      </w:r>
      <w:r>
        <w:rPr>
          <w:color w:val="000000" w:themeColor="text1"/>
          <w14:textFill>
            <w14:solidFill>
              <w14:schemeClr w14:val="tx1"/>
            </w14:solidFill>
          </w14:textFill>
        </w:rPr>
        <w:t>2</w:t>
      </w:r>
    </w:p>
    <w:p>
      <w:pPr>
        <w:pStyle w:val="38"/>
        <w:rPr>
          <w:color w:val="000000" w:themeColor="text1"/>
          <w14:textFill>
            <w14:solidFill>
              <w14:schemeClr w14:val="tx1"/>
            </w14:solidFill>
          </w14:textFill>
        </w:rPr>
      </w:pPr>
      <w:r>
        <w:fldChar w:fldCharType="begin"/>
      </w:r>
      <w:r>
        <w:instrText xml:space="preserve"> HYPERLINK \l "_Toc69378657" </w:instrText>
      </w:r>
      <w:r>
        <w:fldChar w:fldCharType="separate"/>
      </w:r>
      <w:r>
        <w:rPr>
          <w:rStyle w:val="60"/>
          <w:rFonts w:hint="eastAsia"/>
          <w:b/>
          <w:bCs/>
          <w:color w:val="000000" w:themeColor="text1"/>
          <w:kern w:val="44"/>
          <w14:textFill>
            <w14:solidFill>
              <w14:schemeClr w14:val="tx1"/>
            </w14:solidFill>
          </w14:textFill>
        </w:rPr>
        <w:t>第六章竞争性磋商响应文件格式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42</w:t>
      </w:r>
    </w:p>
    <w:p>
      <w:pPr>
        <w:pStyle w:val="38"/>
        <w:rPr>
          <w:color w:val="000000" w:themeColor="text1"/>
          <w14:textFill>
            <w14:solidFill>
              <w14:schemeClr w14:val="tx1"/>
            </w14:solidFill>
          </w14:textFill>
        </w:rPr>
      </w:pPr>
      <w:r>
        <w:fldChar w:fldCharType="begin"/>
      </w:r>
      <w:r>
        <w:instrText xml:space="preserve"> HYPERLINK \l "_Toc69378657" </w:instrText>
      </w:r>
      <w:r>
        <w:fldChar w:fldCharType="separate"/>
      </w:r>
      <w:r>
        <w:fldChar w:fldCharType="end"/>
      </w:r>
      <w:r>
        <w:fldChar w:fldCharType="begin"/>
      </w:r>
      <w:r>
        <w:instrText xml:space="preserve"> HYPERLINK \l "_Toc69378657" </w:instrText>
      </w:r>
      <w:r>
        <w:fldChar w:fldCharType="separate"/>
      </w:r>
      <w:r>
        <w:rPr>
          <w:rStyle w:val="60"/>
          <w:rFonts w:hint="eastAsia"/>
          <w:b/>
          <w:bCs/>
          <w:color w:val="000000" w:themeColor="text1"/>
          <w:kern w:val="44"/>
          <w14:textFill>
            <w14:solidFill>
              <w14:schemeClr w14:val="tx1"/>
            </w14:solidFill>
          </w14:textFill>
        </w:rPr>
        <w:t>第七章其他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end"/>
      </w:r>
      <w:r>
        <w:rPr>
          <w:color w:val="000000" w:themeColor="text1"/>
          <w14:textFill>
            <w14:solidFill>
              <w14:schemeClr w14:val="tx1"/>
            </w14:solidFill>
          </w14:textFill>
        </w:rPr>
        <w:t>61</w:t>
      </w:r>
    </w:p>
    <w:p>
      <w:pPr>
        <w:rPr>
          <w:color w:val="000000" w:themeColor="text1"/>
          <w14:textFill>
            <w14:solidFill>
              <w14:schemeClr w14:val="tx1"/>
            </w14:solidFill>
          </w14:textFill>
        </w:rPr>
      </w:pPr>
    </w:p>
    <w:p>
      <w:pPr>
        <w:pStyle w:val="38"/>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 w:val="20"/>
          <w:szCs w:val="20"/>
          <w14:textFill>
            <w14:solidFill>
              <w14:schemeClr w14:val="tx1"/>
            </w14:solidFill>
          </w14:textFill>
        </w:rPr>
        <w:fldChar w:fldCharType="end"/>
      </w:r>
    </w:p>
    <w:p>
      <w:pPr>
        <w:widowControl/>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1" w:name="_Toc69378615"/>
      <w:r>
        <w:rPr>
          <w:rFonts w:hint="eastAsia"/>
          <w:b/>
          <w:color w:val="000000" w:themeColor="text1"/>
          <w:sz w:val="36"/>
          <w:szCs w:val="36"/>
          <w14:textFill>
            <w14:solidFill>
              <w14:schemeClr w14:val="tx1"/>
            </w14:solidFill>
          </w14:textFill>
        </w:rPr>
        <w:t>第一章竞争性磋商公告</w:t>
      </w:r>
      <w:bookmarkEnd w:id="1"/>
    </w:p>
    <w:bookmarkEnd w:id="0"/>
    <w:p>
      <w:pPr>
        <w:spacing w:line="360" w:lineRule="auto"/>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一、项目概况</w:t>
      </w:r>
    </w:p>
    <w:p>
      <w:pPr>
        <w:pStyle w:val="89"/>
        <w:numPr>
          <w:ilvl w:val="0"/>
          <w:numId w:val="5"/>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江苏省广电有线信息网络股份有限公司</w:t>
      </w:r>
      <w:r>
        <w:rPr>
          <w:rFonts w:ascii="宋体" w:hAnsi="宋体"/>
          <w:color w:val="000000" w:themeColor="text1"/>
          <w:szCs w:val="21"/>
          <w14:textFill>
            <w14:solidFill>
              <w14:schemeClr w14:val="tx1"/>
            </w14:solidFill>
          </w14:textFill>
        </w:rPr>
        <w:t>IP平台融合业务管理系统建设-IP直播中台建设</w:t>
      </w:r>
      <w:r>
        <w:rPr>
          <w:rFonts w:hint="eastAsia" w:ascii="宋体" w:hAnsi="宋体"/>
          <w:color w:val="000000" w:themeColor="text1"/>
          <w:szCs w:val="21"/>
          <w14:textFill>
            <w14:solidFill>
              <w14:schemeClr w14:val="tx1"/>
            </w14:solidFill>
          </w14:textFill>
        </w:rPr>
        <w:t>。</w:t>
      </w:r>
    </w:p>
    <w:p>
      <w:pPr>
        <w:pStyle w:val="89"/>
        <w:numPr>
          <w:ilvl w:val="0"/>
          <w:numId w:val="5"/>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项目内容</w:t>
      </w:r>
    </w:p>
    <w:p>
      <w:pPr>
        <w:spacing w:line="360" w:lineRule="auto"/>
        <w:ind w:firstLine="420"/>
        <w:rPr>
          <w:rFonts w:hAnsi="宋体"/>
          <w:color w:val="000000" w:themeColor="text1"/>
          <w:szCs w:val="21"/>
          <w14:textFill>
            <w14:solidFill>
              <w14:schemeClr w14:val="tx1"/>
            </w14:solidFill>
          </w14:textFill>
        </w:rPr>
      </w:pPr>
      <w:r>
        <w:rPr>
          <w:rFonts w:hAnsi="宋体"/>
          <w:color w:val="000000" w:themeColor="text1"/>
          <w14:textFill>
            <w14:solidFill>
              <w14:schemeClr w14:val="tx1"/>
            </w14:solidFill>
          </w14:textFill>
        </w:rPr>
        <w:t>此次</w:t>
      </w:r>
      <w:r>
        <w:rPr>
          <w:rFonts w:hint="eastAsia"/>
          <w:color w:val="000000" w:themeColor="text1"/>
          <w:szCs w:val="21"/>
          <w14:textFill>
            <w14:solidFill>
              <w14:schemeClr w14:val="tx1"/>
            </w14:solidFill>
          </w14:textFill>
        </w:rPr>
        <w:t>项目</w:t>
      </w:r>
      <w:r>
        <w:rPr>
          <w:rFonts w:hint="eastAsia" w:ascii="宋体" w:hAnsi="宋体"/>
          <w:color w:val="000000" w:themeColor="text1"/>
          <w:szCs w:val="21"/>
          <w14:textFill>
            <w14:solidFill>
              <w14:schemeClr w14:val="tx1"/>
            </w14:solidFill>
          </w14:textFill>
        </w:rPr>
        <w:t>采购建设IP直播中台系统，实际采购清单</w:t>
      </w:r>
      <w:r>
        <w:rPr>
          <w:rFonts w:hAnsi="宋体"/>
          <w:color w:val="000000" w:themeColor="text1"/>
          <w:szCs w:val="21"/>
          <w14:textFill>
            <w14:solidFill>
              <w14:schemeClr w14:val="tx1"/>
            </w14:solidFill>
          </w14:textFill>
        </w:rPr>
        <w:t>如下：</w:t>
      </w:r>
    </w:p>
    <w:tbl>
      <w:tblPr>
        <w:tblStyle w:val="53"/>
        <w:tblW w:w="8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7"/>
        <w:gridCol w:w="715"/>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1"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2177"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采购设备名称</w:t>
            </w:r>
          </w:p>
        </w:tc>
        <w:tc>
          <w:tcPr>
            <w:tcW w:w="715"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5138"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1" w:type="dxa"/>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w:t>
            </w:r>
          </w:p>
        </w:tc>
        <w:tc>
          <w:tcPr>
            <w:tcW w:w="2177" w:type="dxa"/>
            <w:vAlign w:val="center"/>
          </w:tcPr>
          <w:p>
            <w:pPr>
              <w:spacing w:line="360" w:lineRule="auto"/>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IP直播中台软件</w:t>
            </w:r>
          </w:p>
        </w:tc>
        <w:tc>
          <w:tcPr>
            <w:tcW w:w="715" w:type="dxa"/>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套</w:t>
            </w:r>
          </w:p>
        </w:tc>
        <w:tc>
          <w:tcPr>
            <w:tcW w:w="5138" w:type="dxa"/>
            <w:vAlign w:val="center"/>
          </w:tcPr>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目前全IP机顶盒采用DVB直播的集成方案开发设计全IP直播应用，全IP直播应用负责UI展示，并分别与AAA、AAA-SDK、播放器、EPG、广告SDK等模块进行集成对接。</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目前DVB方式集成IP直播机顶盒可能存在业务UI无法快速更新、业务逻辑无法灵活调整、业务无法精细化运营、业务无法快速移植以及无法与后续运营平台对接等等问题。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解决上述问题，需建设IP直播业务中台，并按照互联网思路开发IP直播APP，IP直播APP与IP直播业务中台对接，IP直播业务中台与相关能力系统集成。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1" w:type="dxa"/>
            <w:vAlign w:val="center"/>
          </w:tcPr>
          <w:p>
            <w:pPr>
              <w:tabs>
                <w:tab w:val="left" w:pos="7740"/>
              </w:tabs>
              <w:spacing w:line="360" w:lineRule="auto"/>
              <w:jc w:val="center"/>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备注</w:t>
            </w:r>
          </w:p>
        </w:tc>
        <w:tc>
          <w:tcPr>
            <w:tcW w:w="8030" w:type="dxa"/>
            <w:gridSpan w:val="3"/>
            <w:vAlign w:val="center"/>
          </w:tcPr>
          <w:p>
            <w:pPr>
              <w:tabs>
                <w:tab w:val="left" w:pos="7740"/>
              </w:tabs>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1、根据本项目技术需求配置相应功能的设备。</w:t>
            </w:r>
          </w:p>
          <w:p>
            <w:pPr>
              <w:spacing w:line="360" w:lineRule="auto"/>
              <w:rPr>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2、包修期结束后每年维保费用不超过中标价的3%。</w:t>
            </w:r>
          </w:p>
        </w:tc>
      </w:tr>
    </w:tbl>
    <w:p>
      <w:pPr>
        <w:spacing w:line="360" w:lineRule="auto"/>
        <w:rPr>
          <w:rFonts w:ascii="宋体" w:hAnsi="宋体" w:cs="宋体"/>
          <w:color w:val="000000" w:themeColor="text1"/>
          <w:kern w:val="0"/>
          <w:sz w:val="24"/>
          <w14:textFill>
            <w14:solidFill>
              <w14:schemeClr w14:val="tx1"/>
            </w14:solidFill>
          </w14:textFill>
        </w:rPr>
      </w:pPr>
    </w:p>
    <w:p>
      <w:pPr>
        <w:spacing w:line="360" w:lineRule="auto"/>
        <w:ind w:firstLine="236" w:firstLineChars="98"/>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二、资格审查方式</w:t>
      </w:r>
    </w:p>
    <w:p>
      <w:pPr>
        <w:spacing w:line="360" w:lineRule="auto"/>
        <w:ind w:firstLine="475" w:firstLineChars="197"/>
        <w:rPr>
          <w:rFonts w:ascii="宋体" w:hAnsi="宋体" w:cs="宋体"/>
          <w:b/>
          <w:bCs/>
          <w:color w:val="000000" w:themeColor="text1"/>
          <w:kern w:val="0"/>
          <w:sz w:val="24"/>
          <w:u w:val="singl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rPr>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三、合格供应商的基本资格要求</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bookmarkStart w:id="2" w:name="_Hlk74838219"/>
      <w:r>
        <w:rPr>
          <w:rFonts w:hint="eastAsia" w:ascii="宋体" w:hAnsi="宋体" w:cs="宋体"/>
          <w:color w:val="000000" w:themeColor="text1"/>
          <w:kern w:val="0"/>
          <w:sz w:val="24"/>
          <w:szCs w:val="22"/>
          <w14:textFill>
            <w14:solidFill>
              <w14:schemeClr w14:val="tx1"/>
            </w14:solidFill>
          </w14:textFill>
        </w:rPr>
        <w:t>1.供应商须为在中华人民共和国境内合法注册的独立法人或其他组织，遵守中国有关法律、法规，</w:t>
      </w:r>
      <w:r>
        <w:rPr>
          <w:rFonts w:ascii="宋体" w:hAnsi="宋体" w:cs="宋体"/>
          <w:color w:val="000000" w:themeColor="text1"/>
          <w:kern w:val="0"/>
          <w:sz w:val="24"/>
          <w:szCs w:val="22"/>
          <w14:textFill>
            <w14:solidFill>
              <w14:schemeClr w14:val="tx1"/>
            </w14:solidFill>
          </w14:textFill>
        </w:rPr>
        <w:t>具有良好的商业信誉</w:t>
      </w:r>
      <w:r>
        <w:rPr>
          <w:rFonts w:hint="eastAsia" w:ascii="宋体" w:hAnsi="宋体" w:cs="宋体"/>
          <w:color w:val="000000" w:themeColor="text1"/>
          <w:kern w:val="0"/>
          <w:sz w:val="24"/>
          <w:szCs w:val="22"/>
          <w14:textFill>
            <w14:solidFill>
              <w14:schemeClr w14:val="tx1"/>
            </w14:solidFill>
          </w14:textFill>
        </w:rPr>
        <w:t>。（提供法人营业执照复印件）</w:t>
      </w:r>
    </w:p>
    <w:p>
      <w:pPr>
        <w:spacing w:line="360" w:lineRule="auto"/>
        <w:ind w:firstLine="480" w:firstLineChars="200"/>
        <w:rPr>
          <w:color w:val="000000" w:themeColor="text1"/>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.供应商须为项目软件开发商，本项目不接受代理商。</w:t>
      </w:r>
    </w:p>
    <w:bookmarkEnd w:id="2"/>
    <w:p>
      <w:pPr>
        <w:spacing w:line="360" w:lineRule="auto"/>
        <w:ind w:firstLine="480" w:firstLineChars="200"/>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14:textFill>
            <w14:solidFill>
              <w14:schemeClr w14:val="tx1"/>
            </w14:solidFill>
          </w14:textFill>
        </w:rPr>
        <w:t>.供应商注册资金须不少于1000万元人民币或等值外币（若注册资金为外币的，须提供在法律上有效的文件证明在注册当日，注册资金核算成的人民币金额）。</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4.</w:t>
      </w:r>
      <w:r>
        <w:rPr>
          <w:rFonts w:hint="eastAsia" w:ascii="宋体" w:hAnsi="宋体" w:cs="宋体"/>
          <w:color w:val="000000" w:themeColor="text1"/>
          <w:kern w:val="0"/>
          <w:sz w:val="24"/>
          <w:szCs w:val="22"/>
          <w14:textFill>
            <w14:solidFill>
              <w14:schemeClr w14:val="tx1"/>
            </w14:solidFill>
          </w14:textFill>
        </w:rPr>
        <w:t>供应商须具有良好的业绩和经验，自20</w:t>
      </w:r>
      <w:r>
        <w:rPr>
          <w:rFonts w:ascii="宋体" w:hAnsi="宋体" w:cs="宋体"/>
          <w:color w:val="000000" w:themeColor="text1"/>
          <w:kern w:val="0"/>
          <w:sz w:val="24"/>
          <w:szCs w:val="22"/>
          <w14:textFill>
            <w14:solidFill>
              <w14:schemeClr w14:val="tx1"/>
            </w14:solidFill>
          </w14:textFill>
        </w:rPr>
        <w:t>20</w:t>
      </w:r>
      <w:r>
        <w:rPr>
          <w:rFonts w:hint="eastAsia" w:ascii="宋体" w:hAnsi="宋体" w:cs="宋体"/>
          <w:color w:val="000000" w:themeColor="text1"/>
          <w:kern w:val="0"/>
          <w:sz w:val="24"/>
          <w:szCs w:val="22"/>
          <w14:textFill>
            <w14:solidFill>
              <w14:schemeClr w14:val="tx1"/>
            </w14:solidFill>
          </w14:textFill>
        </w:rPr>
        <w:t>年1月1日至响应截止日前在国内相关行业实施过类似项目，且具备广电、电信等类似行业运营商软件开发项目案例不少于</w:t>
      </w:r>
      <w:r>
        <w:rPr>
          <w:rFonts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14:textFill>
            <w14:solidFill>
              <w14:schemeClr w14:val="tx1"/>
            </w14:solidFill>
          </w14:textFill>
        </w:rPr>
        <w:t>个。（提供相关业绩证明材料，包括：合同&lt;或框架合同及订单&gt;关键页和相应发票等证明材料，需提供合同复印件，原件备查）。</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hd w:val="clear" w:color="auto" w:fill="FFFFFF"/>
          <w14:textFill>
            <w14:solidFill>
              <w14:schemeClr w14:val="tx1"/>
            </w14:solidFill>
          </w14:textFill>
        </w:rPr>
        <w:t>5.</w:t>
      </w:r>
      <w:r>
        <w:rPr>
          <w:rFonts w:hint="eastAsia" w:ascii="宋体" w:hAnsi="宋体" w:cs="宋体"/>
          <w:color w:val="000000" w:themeColor="text1"/>
          <w:kern w:val="0"/>
          <w:sz w:val="24"/>
          <w:shd w:val="clear" w:color="auto" w:fill="FFFFFF"/>
          <w14:textFill>
            <w14:solidFill>
              <w14:schemeClr w14:val="tx1"/>
            </w14:solidFill>
          </w14:textFill>
        </w:rPr>
        <w:t>供应商须提供对本项目直接保修和服务的承诺。</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6</w:t>
      </w:r>
      <w:r>
        <w:rPr>
          <w:rFonts w:hint="eastAsia" w:ascii="宋体" w:hAnsi="宋体" w:cs="宋体"/>
          <w:color w:val="000000" w:themeColor="text1"/>
          <w:kern w:val="0"/>
          <w:sz w:val="24"/>
          <w:szCs w:val="22"/>
          <w14:textFill>
            <w14:solidFill>
              <w14:schemeClr w14:val="tx1"/>
            </w14:solidFill>
          </w14:textFill>
        </w:rPr>
        <w:t>.供应商须具备完整的售后服务体系、具有快速响应维护能力，在江苏须具有销售和售后服务的组织机构及完善快捷的技术支持能力。如供应商在江苏尚未设立技术支持机构，供应商承诺在中选后30天内在江苏设立技术支持机构并配备不少于2名技术支持人员（提供承诺函加盖公章）。</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7</w:t>
      </w:r>
      <w:r>
        <w:rPr>
          <w:rFonts w:hint="eastAsia" w:ascii="宋体" w:hAnsi="宋体" w:cs="宋体"/>
          <w:color w:val="000000" w:themeColor="text1"/>
          <w:kern w:val="0"/>
          <w:sz w:val="24"/>
          <w:szCs w:val="22"/>
          <w14:textFill>
            <w14:solidFill>
              <w14:schemeClr w14:val="tx1"/>
            </w14:solidFill>
          </w14:textFill>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8</w:t>
      </w:r>
      <w:r>
        <w:rPr>
          <w:rFonts w:hint="eastAsia" w:ascii="宋体" w:hAnsi="宋体" w:cs="宋体"/>
          <w:color w:val="000000" w:themeColor="text1"/>
          <w:kern w:val="0"/>
          <w:sz w:val="24"/>
          <w:szCs w:val="22"/>
          <w14:textFill>
            <w14:solidFill>
              <w14:schemeClr w14:val="tx1"/>
            </w14:solidFill>
          </w14:textFill>
        </w:rPr>
        <w:t>.供应商单位负责人为同一人或者存在直接控股、管理关系的不同供应商，不得参加同一标段磋商或者未划分标段的同一采购项目磋商。</w:t>
      </w:r>
    </w:p>
    <w:p>
      <w:pPr>
        <w:spacing w:line="360" w:lineRule="auto"/>
        <w:ind w:firstLine="480" w:firstLineChars="200"/>
        <w:jc w:val="left"/>
        <w:rPr>
          <w:color w:val="000000" w:themeColor="text1"/>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9</w:t>
      </w:r>
      <w:r>
        <w:rPr>
          <w:rFonts w:hint="eastAsia" w:ascii="宋体" w:hAnsi="宋体" w:cs="宋体"/>
          <w:color w:val="000000" w:themeColor="text1"/>
          <w:kern w:val="0"/>
          <w:sz w:val="24"/>
          <w:szCs w:val="22"/>
          <w14:textFill>
            <w14:solidFill>
              <w14:schemeClr w14:val="tx1"/>
            </w14:solidFill>
          </w14:textFill>
        </w:rPr>
        <w:t>.法定代表人为同一个人的两个及两个以上法人，母公司与全资子公司/由其控股的子公司，不得同时参与本项目</w:t>
      </w:r>
      <w:r>
        <w:rPr>
          <w:rFonts w:ascii="宋体" w:hAnsi="宋体" w:cs="宋体"/>
          <w:color w:val="000000" w:themeColor="text1"/>
          <w:kern w:val="0"/>
          <w:sz w:val="24"/>
          <w:szCs w:val="22"/>
          <w14:textFill>
            <w14:solidFill>
              <w14:schemeClr w14:val="tx1"/>
            </w14:solidFill>
          </w14:textFill>
        </w:rPr>
        <w:t>。</w:t>
      </w:r>
    </w:p>
    <w:p>
      <w:pPr>
        <w:spacing w:line="36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10</w:t>
      </w:r>
      <w:r>
        <w:rPr>
          <w:rFonts w:hint="eastAsia" w:ascii="宋体" w:hAnsi="宋体" w:cs="宋体"/>
          <w:color w:val="000000" w:themeColor="text1"/>
          <w:kern w:val="0"/>
          <w:sz w:val="24"/>
          <w:szCs w:val="22"/>
          <w14:textFill>
            <w14:solidFill>
              <w14:schemeClr w14:val="tx1"/>
            </w14:solidFill>
          </w14:textFill>
        </w:rPr>
        <w:t>.本项目不接受联合体响应。</w:t>
      </w:r>
    </w:p>
    <w:p>
      <w:pPr>
        <w:widowControl/>
        <w:spacing w:line="360" w:lineRule="auto"/>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四、竞争性磋商文件的获取</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发布及登记时间：</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2</w:t>
      </w:r>
      <w:r>
        <w:rPr>
          <w:rFonts w:ascii="宋体" w:hAnsi="宋体" w:cs="宋体"/>
          <w:color w:val="000000" w:themeColor="text1"/>
          <w:kern w:val="0"/>
          <w:sz w:val="24"/>
          <w:shd w:val="clear" w:color="auto" w:fill="FFFFFF"/>
          <w14:textFill>
            <w14:solidFill>
              <w14:schemeClr w14:val="tx1"/>
            </w14:solidFill>
          </w14:textFill>
        </w:rPr>
        <w:t>年9</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1日至202</w:t>
      </w:r>
      <w:r>
        <w:rPr>
          <w:rFonts w:hint="eastAsia" w:ascii="宋体" w:hAnsi="宋体" w:cs="宋体"/>
          <w:color w:val="000000" w:themeColor="text1"/>
          <w:kern w:val="0"/>
          <w:sz w:val="24"/>
          <w:shd w:val="clear" w:color="auto" w:fill="FFFFFF"/>
          <w14:textFill>
            <w14:solidFill>
              <w14:schemeClr w14:val="tx1"/>
            </w14:solidFill>
          </w14:textFill>
        </w:rPr>
        <w:t>2</w:t>
      </w:r>
      <w:r>
        <w:rPr>
          <w:rFonts w:ascii="宋体" w:hAnsi="宋体" w:cs="宋体"/>
          <w:color w:val="000000" w:themeColor="text1"/>
          <w:kern w:val="0"/>
          <w:sz w:val="24"/>
          <w:shd w:val="clear" w:color="auto" w:fill="FFFFFF"/>
          <w14:textFill>
            <w14:solidFill>
              <w14:schemeClr w14:val="tx1"/>
            </w14:solidFill>
          </w14:textFill>
        </w:rPr>
        <w:t>年9</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7日止，每日上午9：00-12：00，下午14：00-17：00（北京时间，节假日除外）。</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发放方式：竞争性磋商文件在报名后自行下载，请响应人联系采购人项目联系人进行报名登记，具体报名方式为将确认磋商函加盖公司公章同时发至</w:t>
      </w:r>
      <w:r>
        <w:rPr>
          <w:rFonts w:hint="eastAsia" w:ascii="宋体" w:hAnsi="宋体" w:cs="宋体"/>
          <w:color w:val="000000" w:themeColor="text1"/>
          <w:kern w:val="0"/>
          <w:sz w:val="24"/>
          <w14:textFill>
            <w14:solidFill>
              <w14:schemeClr w14:val="tx1"/>
            </w14:solidFill>
          </w14:textFill>
        </w:rPr>
        <w:t>邮箱</w:t>
      </w:r>
      <w:r>
        <w:rPr>
          <w:rFonts w:ascii="宋体" w:hAnsi="宋体" w:cs="宋体"/>
          <w:color w:val="000000" w:themeColor="text1"/>
          <w:kern w:val="0"/>
          <w:sz w:val="24"/>
          <w14:textFill>
            <w14:solidFill>
              <w14:schemeClr w14:val="tx1"/>
            </w14:solidFill>
          </w14:textFill>
        </w:rPr>
        <w:t>jscn_zbzy@163.com</w:t>
      </w:r>
      <w:r>
        <w:rPr>
          <w:rFonts w:hint="eastAsia" w:ascii="宋体" w:hAnsi="宋体" w:cs="宋体"/>
          <w:color w:val="000000" w:themeColor="text1"/>
          <w:kern w:val="0"/>
          <w:sz w:val="24"/>
          <w:shd w:val="clear" w:color="auto" w:fill="FFFFFF"/>
          <w14:textFill>
            <w14:solidFill>
              <w14:schemeClr w14:val="tx1"/>
            </w14:solidFill>
          </w14:textFill>
        </w:rPr>
        <w:t>，未在文件发放日内完成登记的不得参与本项目。</w:t>
      </w:r>
    </w:p>
    <w:p>
      <w:pPr>
        <w:widowControl/>
        <w:spacing w:line="360" w:lineRule="auto"/>
        <w:ind w:firstLine="42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登记方式：请响应人将该项目负责人姓名、联系电话（手机）、联系信箱发至采购人该项目联系人（参考竞争性磋商文件第七章响应确认信息表），同时附营业执照扫面件和法定代表人授权委托函，超过</w:t>
      </w:r>
      <w:r>
        <w:rPr>
          <w:rFonts w:ascii="宋体" w:hAnsi="宋体" w:cs="宋体"/>
          <w:color w:val="000000" w:themeColor="text1"/>
          <w:kern w:val="0"/>
          <w:sz w:val="24"/>
          <w:shd w:val="clear" w:color="auto" w:fill="FFFFFF"/>
          <w14:textFill>
            <w14:solidFill>
              <w14:schemeClr w14:val="tx1"/>
            </w14:solidFill>
          </w14:textFill>
        </w:rPr>
        <w:t>202</w:t>
      </w:r>
      <w:r>
        <w:rPr>
          <w:rFonts w:hint="eastAsia" w:ascii="宋体" w:hAnsi="宋体" w:cs="宋体"/>
          <w:color w:val="000000" w:themeColor="text1"/>
          <w:kern w:val="0"/>
          <w:sz w:val="24"/>
          <w:shd w:val="clear" w:color="auto" w:fill="FFFFFF"/>
          <w14:textFill>
            <w14:solidFill>
              <w14:schemeClr w14:val="tx1"/>
            </w14:solidFill>
          </w14:textFill>
        </w:rPr>
        <w:t>2</w:t>
      </w:r>
      <w:r>
        <w:rPr>
          <w:rFonts w:ascii="宋体" w:hAnsi="宋体" w:cs="宋体"/>
          <w:color w:val="000000" w:themeColor="text1"/>
          <w:kern w:val="0"/>
          <w:sz w:val="24"/>
          <w:shd w:val="clear" w:color="auto" w:fill="FFFFFF"/>
          <w14:textFill>
            <w14:solidFill>
              <w14:schemeClr w14:val="tx1"/>
            </w14:solidFill>
          </w14:textFill>
        </w:rPr>
        <w:t>年</w:t>
      </w:r>
      <w:r>
        <w:rPr>
          <w:rFonts w:hint="eastAsia" w:ascii="宋体" w:hAnsi="宋体" w:cs="宋体"/>
          <w:color w:val="000000" w:themeColor="text1"/>
          <w:kern w:val="0"/>
          <w:sz w:val="24"/>
          <w:shd w:val="clear" w:color="auto" w:fill="FFFFFF"/>
          <w:lang w:val="en-US" w:eastAsia="zh-CN"/>
          <w14:textFill>
            <w14:solidFill>
              <w14:schemeClr w14:val="tx1"/>
            </w14:solidFill>
          </w14:textFill>
        </w:rPr>
        <w:t>9</w:t>
      </w:r>
      <w:r>
        <w:rPr>
          <w:rFonts w:hint="eastAsia" w:ascii="宋体" w:hAnsi="宋体" w:cs="宋体"/>
          <w:color w:val="000000" w:themeColor="text1"/>
          <w:kern w:val="0"/>
          <w:sz w:val="24"/>
          <w:shd w:val="clear" w:color="auto" w:fill="FFFFFF"/>
          <w14:textFill>
            <w14:solidFill>
              <w14:schemeClr w14:val="tx1"/>
            </w14:solidFill>
          </w14:textFill>
        </w:rPr>
        <w:t>月</w:t>
      </w:r>
      <w:r>
        <w:rPr>
          <w:rFonts w:hint="eastAsia" w:ascii="宋体" w:hAnsi="宋体" w:cs="宋体"/>
          <w:color w:val="000000" w:themeColor="text1"/>
          <w:kern w:val="0"/>
          <w:sz w:val="24"/>
          <w:shd w:val="clear" w:color="auto" w:fill="FFFFFF"/>
          <w:lang w:val="en-US" w:eastAsia="zh-CN"/>
          <w14:textFill>
            <w14:solidFill>
              <w14:schemeClr w14:val="tx1"/>
            </w14:solidFill>
          </w14:textFill>
        </w:rPr>
        <w:t>7</w:t>
      </w:r>
      <w:r>
        <w:rPr>
          <w:rFonts w:ascii="宋体" w:hAnsi="宋体" w:cs="宋体"/>
          <w:color w:val="000000" w:themeColor="text1"/>
          <w:kern w:val="0"/>
          <w:sz w:val="24"/>
          <w:shd w:val="clear" w:color="auto" w:fill="FFFFFF"/>
          <w14:textFill>
            <w14:solidFill>
              <w14:schemeClr w14:val="tx1"/>
            </w14:solidFill>
          </w14:textFill>
        </w:rPr>
        <w:t>日下午17:00再登记的视为无效。</w:t>
      </w:r>
    </w:p>
    <w:p>
      <w:pPr>
        <w:widowControl/>
        <w:spacing w:line="360" w:lineRule="auto"/>
        <w:ind w:firstLine="42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项目联系人：</w:t>
      </w:r>
      <w:r>
        <w:rPr>
          <w:rFonts w:hint="eastAsia" w:ascii="宋体" w:hAnsi="宋体" w:cs="宋体"/>
          <w:color w:val="000000" w:themeColor="text1"/>
          <w:kern w:val="0"/>
          <w:sz w:val="24"/>
          <w14:textFill>
            <w14:solidFill>
              <w14:schemeClr w14:val="tx1"/>
            </w14:solidFill>
          </w14:textFill>
        </w:rPr>
        <w:t>胡晓晨（</w:t>
      </w:r>
      <w:r>
        <w:rPr>
          <w:rFonts w:ascii="宋体" w:hAnsi="宋体" w:cs="宋体"/>
          <w:color w:val="000000" w:themeColor="text1"/>
          <w:kern w:val="0"/>
          <w:sz w:val="24"/>
          <w14:textFill>
            <w14:solidFill>
              <w14:schemeClr w14:val="tx1"/>
            </w14:solidFill>
          </w14:textFill>
        </w:rPr>
        <w:t>025-86731738</w:t>
      </w:r>
      <w:r>
        <w:rPr>
          <w:rFonts w:hint="eastAsia" w:ascii="宋体" w:hAnsi="宋体" w:cs="宋体"/>
          <w:color w:val="000000" w:themeColor="text1"/>
          <w:kern w:val="0"/>
          <w:sz w:val="24"/>
          <w14:textFill>
            <w14:solidFill>
              <w14:schemeClr w14:val="tx1"/>
            </w14:solidFill>
          </w14:textFill>
        </w:rPr>
        <w:t>），秦晋（</w:t>
      </w:r>
      <w:r>
        <w:rPr>
          <w:rFonts w:ascii="宋体" w:hAnsi="宋体" w:cs="宋体"/>
          <w:color w:val="000000" w:themeColor="text1"/>
          <w:kern w:val="0"/>
          <w:sz w:val="24"/>
          <w14:textFill>
            <w14:solidFill>
              <w14:schemeClr w14:val="tx1"/>
            </w14:solidFill>
          </w14:textFill>
        </w:rPr>
        <w:t>025-867</w:t>
      </w:r>
      <w:bookmarkStart w:id="117" w:name="_GoBack"/>
      <w:bookmarkEnd w:id="117"/>
      <w:r>
        <w:rPr>
          <w:rFonts w:ascii="宋体" w:hAnsi="宋体" w:cs="宋体"/>
          <w:color w:val="000000" w:themeColor="text1"/>
          <w:kern w:val="0"/>
          <w:sz w:val="24"/>
          <w14:textFill>
            <w14:solidFill>
              <w14:schemeClr w14:val="tx1"/>
            </w14:solidFill>
          </w14:textFill>
        </w:rPr>
        <w:t>31524）</w:t>
      </w:r>
    </w:p>
    <w:p>
      <w:pPr>
        <w:widowControl/>
        <w:spacing w:line="360" w:lineRule="auto"/>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五、响应文件的递交和磋商</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递交竞争性磋商响应文件截止时间：</w:t>
      </w:r>
      <w:r>
        <w:rPr>
          <w:rFonts w:eastAsia="微软雅黑"/>
          <w:color w:val="000000" w:themeColor="text1"/>
          <w:kern w:val="0"/>
          <w:sz w:val="24"/>
          <w:shd w:val="clear" w:color="auto" w:fill="FFFFFF"/>
          <w14:textFill>
            <w14:solidFill>
              <w14:schemeClr w14:val="tx1"/>
            </w14:solidFill>
          </w14:textFill>
        </w:rPr>
        <w:t>202</w:t>
      </w:r>
      <w:r>
        <w:rPr>
          <w:rFonts w:hint="eastAsia" w:eastAsia="微软雅黑"/>
          <w:color w:val="000000" w:themeColor="text1"/>
          <w:kern w:val="0"/>
          <w:sz w:val="24"/>
          <w:shd w:val="clear" w:color="auto" w:fill="FFFFFF"/>
          <w14:textFill>
            <w14:solidFill>
              <w14:schemeClr w14:val="tx1"/>
            </w14:solidFill>
          </w14:textFill>
        </w:rPr>
        <w:t>2</w:t>
      </w:r>
      <w:r>
        <w:rPr>
          <w:rFonts w:hint="eastAsia" w:ascii="宋体" w:hAnsi="宋体" w:cs="宋体"/>
          <w:color w:val="000000" w:themeColor="text1"/>
          <w:kern w:val="0"/>
          <w:sz w:val="24"/>
          <w:shd w:val="clear" w:color="auto" w:fill="FFFFFF"/>
          <w14:textFill>
            <w14:solidFill>
              <w14:schemeClr w14:val="tx1"/>
            </w14:solidFill>
          </w14:textFill>
        </w:rPr>
        <w:t>年</w:t>
      </w:r>
      <w:r>
        <w:rPr>
          <w:rFonts w:ascii="宋体" w:hAnsi="宋体" w:cs="宋体"/>
          <w:color w:val="000000" w:themeColor="text1"/>
          <w:kern w:val="0"/>
          <w:sz w:val="24"/>
          <w:shd w:val="clear" w:color="auto" w:fill="FFFFFF"/>
          <w14:textFill>
            <w14:solidFill>
              <w14:schemeClr w14:val="tx1"/>
            </w14:solidFill>
          </w14:textFill>
        </w:rPr>
        <w:t>9</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13</w:t>
      </w:r>
      <w:r>
        <w:rPr>
          <w:rFonts w:hint="eastAsia" w:ascii="宋体" w:hAnsi="宋体" w:cs="宋体"/>
          <w:color w:val="000000" w:themeColor="text1"/>
          <w:kern w:val="0"/>
          <w:sz w:val="24"/>
          <w:shd w:val="clear" w:color="auto" w:fill="FFFFFF"/>
          <w14:textFill>
            <w14:solidFill>
              <w14:schemeClr w14:val="tx1"/>
            </w14:solidFill>
          </w14:textFill>
        </w:rPr>
        <w:t>日</w:t>
      </w:r>
      <w:r>
        <w:rPr>
          <w:rFonts w:ascii="宋体" w:hAnsi="宋体" w:cs="宋体"/>
          <w:color w:val="000000" w:themeColor="text1"/>
          <w:kern w:val="0"/>
          <w:sz w:val="24"/>
          <w:shd w:val="clear" w:color="auto" w:fill="FFFFFF"/>
          <w14:textFill>
            <w14:solidFill>
              <w14:schemeClr w14:val="tx1"/>
            </w14:solidFill>
          </w14:textFill>
        </w:rPr>
        <w:t>14</w:t>
      </w:r>
      <w:r>
        <w:rPr>
          <w:rFonts w:eastAsia="微软雅黑"/>
          <w:color w:val="000000" w:themeColor="text1"/>
          <w:kern w:val="0"/>
          <w:sz w:val="24"/>
          <w:shd w:val="clear" w:color="auto" w:fill="FFFFFF"/>
          <w14:textFill>
            <w14:solidFill>
              <w14:schemeClr w14:val="tx1"/>
            </w14:solidFill>
          </w14:textFill>
        </w:rPr>
        <w:t>:</w:t>
      </w:r>
      <w:r>
        <w:rPr>
          <w:rFonts w:ascii="宋体" w:hAnsi="宋体" w:cs="宋体"/>
          <w:color w:val="000000" w:themeColor="text1"/>
          <w:kern w:val="0"/>
          <w:sz w:val="24"/>
          <w:shd w:val="clear" w:color="auto" w:fill="FFFFFF"/>
          <w14:textFill>
            <w14:solidFill>
              <w14:schemeClr w14:val="tx1"/>
            </w14:solidFill>
          </w14:textFill>
        </w:rPr>
        <w:t>00</w:t>
      </w:r>
      <w:r>
        <w:rPr>
          <w:rFonts w:hint="eastAsia" w:ascii="宋体" w:hAnsi="宋体" w:cs="宋体"/>
          <w:color w:val="000000" w:themeColor="text1"/>
          <w:kern w:val="0"/>
          <w:sz w:val="24"/>
          <w:shd w:val="clear" w:color="auto" w:fill="FFFFFF"/>
          <w14:textFill>
            <w14:solidFill>
              <w14:schemeClr w14:val="tx1"/>
            </w14:solidFill>
          </w14:textFill>
        </w:rPr>
        <w:t>，逾期收到或不按照竞争性磋商文件要求密封的响应文件恕不接受。</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递交竞争性磋商响应文件地点：南京市玄武区运粮河西路</w:t>
      </w:r>
      <w:r>
        <w:rPr>
          <w:rFonts w:eastAsia="微软雅黑"/>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eastAsia="微软雅黑"/>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eastAsia="微软雅黑"/>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响应文件接收人：</w:t>
      </w:r>
      <w:r>
        <w:rPr>
          <w:rFonts w:hint="eastAsia" w:ascii="宋体" w:hAnsi="宋体" w:cs="宋体"/>
          <w:color w:val="000000" w:themeColor="text1"/>
          <w:kern w:val="0"/>
          <w:sz w:val="24"/>
          <w14:textFill>
            <w14:solidFill>
              <w14:schemeClr w14:val="tx1"/>
            </w14:solidFill>
          </w14:textFill>
        </w:rPr>
        <w:t>秦晋，电话：</w:t>
      </w:r>
      <w:r>
        <w:rPr>
          <w:rFonts w:ascii="宋体" w:hAnsi="宋体" w:cs="宋体"/>
          <w:color w:val="000000" w:themeColor="text1"/>
          <w:kern w:val="0"/>
          <w:sz w:val="24"/>
          <w14:textFill>
            <w14:solidFill>
              <w14:schemeClr w14:val="tx1"/>
            </w14:solidFill>
          </w14:textFill>
        </w:rPr>
        <w:t>025-86731524。</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竞争性磋商时间：</w:t>
      </w:r>
      <w:r>
        <w:rPr>
          <w:rFonts w:eastAsia="微软雅黑"/>
          <w:color w:val="000000" w:themeColor="text1"/>
          <w:kern w:val="0"/>
          <w:sz w:val="24"/>
          <w:shd w:val="clear" w:color="auto" w:fill="FFFFFF"/>
          <w14:textFill>
            <w14:solidFill>
              <w14:schemeClr w14:val="tx1"/>
            </w14:solidFill>
          </w14:textFill>
        </w:rPr>
        <w:t>202</w:t>
      </w:r>
      <w:r>
        <w:rPr>
          <w:rFonts w:hint="eastAsia" w:eastAsia="微软雅黑"/>
          <w:color w:val="000000" w:themeColor="text1"/>
          <w:kern w:val="0"/>
          <w:sz w:val="24"/>
          <w:shd w:val="clear" w:color="auto" w:fill="FFFFFF"/>
          <w14:textFill>
            <w14:solidFill>
              <w14:schemeClr w14:val="tx1"/>
            </w14:solidFill>
          </w14:textFill>
        </w:rPr>
        <w:t>2</w:t>
      </w:r>
      <w:r>
        <w:rPr>
          <w:rFonts w:hint="eastAsia" w:ascii="宋体" w:hAnsi="宋体" w:cs="宋体"/>
          <w:color w:val="000000" w:themeColor="text1"/>
          <w:kern w:val="0"/>
          <w:sz w:val="24"/>
          <w:shd w:val="clear" w:color="auto" w:fill="FFFFFF"/>
          <w14:textFill>
            <w14:solidFill>
              <w14:schemeClr w14:val="tx1"/>
            </w14:solidFill>
          </w14:textFill>
        </w:rPr>
        <w:t>年</w:t>
      </w:r>
      <w:r>
        <w:rPr>
          <w:rFonts w:ascii="宋体" w:hAnsi="宋体" w:cs="宋体"/>
          <w:color w:val="000000" w:themeColor="text1"/>
          <w:kern w:val="0"/>
          <w:sz w:val="24"/>
          <w:shd w:val="clear" w:color="auto" w:fill="FFFFFF"/>
          <w14:textFill>
            <w14:solidFill>
              <w14:schemeClr w14:val="tx1"/>
            </w14:solidFill>
          </w14:textFill>
        </w:rPr>
        <w:t>9</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13</w:t>
      </w:r>
      <w:r>
        <w:rPr>
          <w:rFonts w:hint="eastAsia" w:ascii="宋体" w:hAnsi="宋体" w:cs="宋体"/>
          <w:color w:val="000000" w:themeColor="text1"/>
          <w:kern w:val="0"/>
          <w:sz w:val="24"/>
          <w:shd w:val="clear" w:color="auto" w:fill="FFFFFF"/>
          <w14:textFill>
            <w14:solidFill>
              <w14:schemeClr w14:val="tx1"/>
            </w14:solidFill>
          </w14:textFill>
        </w:rPr>
        <w:t>日</w:t>
      </w:r>
      <w:r>
        <w:rPr>
          <w:rFonts w:ascii="宋体" w:hAnsi="宋体" w:cs="宋体"/>
          <w:color w:val="000000" w:themeColor="text1"/>
          <w:kern w:val="0"/>
          <w:sz w:val="24"/>
          <w:shd w:val="clear" w:color="auto" w:fill="FFFFFF"/>
          <w14:textFill>
            <w14:solidFill>
              <w14:schemeClr w14:val="tx1"/>
            </w14:solidFill>
          </w14:textFill>
        </w:rPr>
        <w:t>14</w:t>
      </w:r>
      <w:r>
        <w:rPr>
          <w:rFonts w:eastAsia="微软雅黑"/>
          <w:color w:val="000000" w:themeColor="text1"/>
          <w:kern w:val="0"/>
          <w:sz w:val="24"/>
          <w:shd w:val="clear" w:color="auto" w:fill="FFFFFF"/>
          <w14:textFill>
            <w14:solidFill>
              <w14:schemeClr w14:val="tx1"/>
            </w14:solidFill>
          </w14:textFill>
        </w:rPr>
        <w:t>:</w:t>
      </w:r>
      <w:r>
        <w:rPr>
          <w:rFonts w:ascii="宋体" w:hAnsi="宋体" w:cs="宋体"/>
          <w:color w:val="000000" w:themeColor="text1"/>
          <w:kern w:val="0"/>
          <w:sz w:val="24"/>
          <w:shd w:val="clear" w:color="auto" w:fill="FFFFFF"/>
          <w14:textFill>
            <w14:solidFill>
              <w14:schemeClr w14:val="tx1"/>
            </w14:solidFill>
          </w14:textFill>
        </w:rPr>
        <w:t>30</w:t>
      </w:r>
      <w:r>
        <w:rPr>
          <w:rFonts w:hint="eastAsia" w:ascii="宋体" w:hAnsi="宋体" w:cs="宋体"/>
          <w:color w:val="000000" w:themeColor="text1"/>
          <w:kern w:val="0"/>
          <w:sz w:val="24"/>
          <w:shd w:val="clear" w:color="auto" w:fill="FFFFFF"/>
          <w14:textFill>
            <w14:solidFill>
              <w14:schemeClr w14:val="tx1"/>
            </w14:solidFill>
          </w14:textFill>
        </w:rPr>
        <w:t>。</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竞争性磋商地点：南京市玄武区运粮河西路</w:t>
      </w:r>
      <w:r>
        <w:rPr>
          <w:rFonts w:eastAsia="微软雅黑"/>
          <w:color w:val="000000" w:themeColor="text1"/>
          <w:kern w:val="0"/>
          <w:sz w:val="24"/>
          <w:shd w:val="clear" w:color="auto" w:fill="FFFFFF"/>
          <w14:textFill>
            <w14:solidFill>
              <w14:schemeClr w14:val="tx1"/>
            </w14:solidFill>
          </w14:textFill>
        </w:rPr>
        <w:t>101</w:t>
      </w:r>
      <w:r>
        <w:rPr>
          <w:rFonts w:hint="eastAsia" w:ascii="宋体" w:hAnsi="宋体" w:cs="宋体"/>
          <w:color w:val="000000" w:themeColor="text1"/>
          <w:kern w:val="0"/>
          <w:sz w:val="24"/>
          <w:shd w:val="clear" w:color="auto" w:fill="FFFFFF"/>
          <w14:textFill>
            <w14:solidFill>
              <w14:schemeClr w14:val="tx1"/>
            </w14:solidFill>
          </w14:textFill>
        </w:rPr>
        <w:t>号</w:t>
      </w:r>
      <w:r>
        <w:rPr>
          <w:rFonts w:eastAsia="微软雅黑"/>
          <w:color w:val="000000" w:themeColor="text1"/>
          <w:kern w:val="0"/>
          <w:sz w:val="24"/>
          <w:shd w:val="clear" w:color="auto" w:fill="FFFFFF"/>
          <w14:textFill>
            <w14:solidFill>
              <w14:schemeClr w14:val="tx1"/>
            </w14:solidFill>
          </w14:textFill>
        </w:rPr>
        <w:t>1</w:t>
      </w:r>
      <w:r>
        <w:rPr>
          <w:rFonts w:hint="eastAsia" w:ascii="宋体" w:hAnsi="宋体" w:cs="宋体"/>
          <w:color w:val="000000" w:themeColor="text1"/>
          <w:kern w:val="0"/>
          <w:sz w:val="24"/>
          <w:shd w:val="clear" w:color="auto" w:fill="FFFFFF"/>
          <w14:textFill>
            <w14:solidFill>
              <w14:schemeClr w14:val="tx1"/>
            </w14:solidFill>
          </w14:textFill>
        </w:rPr>
        <w:t>号楼</w:t>
      </w:r>
      <w:r>
        <w:rPr>
          <w:rFonts w:eastAsia="微软雅黑"/>
          <w:color w:val="000000" w:themeColor="text1"/>
          <w:kern w:val="0"/>
          <w:sz w:val="24"/>
          <w:shd w:val="clear" w:color="auto" w:fill="FFFFFF"/>
          <w14:textFill>
            <w14:solidFill>
              <w14:schemeClr w14:val="tx1"/>
            </w14:solidFill>
          </w14:textFill>
        </w:rPr>
        <w:t>4</w:t>
      </w:r>
      <w:r>
        <w:rPr>
          <w:rFonts w:hint="eastAsia" w:ascii="宋体" w:hAnsi="宋体" w:cs="宋体"/>
          <w:color w:val="000000" w:themeColor="text1"/>
          <w:kern w:val="0"/>
          <w:sz w:val="24"/>
          <w:shd w:val="clear" w:color="auto" w:fill="FFFFFF"/>
          <w14:textFill>
            <w14:solidFill>
              <w14:schemeClr w14:val="tx1"/>
            </w14:solidFill>
          </w14:textFill>
        </w:rPr>
        <w:t>楼会议室。</w:t>
      </w:r>
    </w:p>
    <w:p>
      <w:pPr>
        <w:widowControl/>
        <w:spacing w:line="360" w:lineRule="auto"/>
        <w:jc w:val="left"/>
        <w:rPr>
          <w:color w:val="000000" w:themeColor="text1"/>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六、发布公告的媒介</w:t>
      </w:r>
    </w:p>
    <w:p>
      <w:pPr>
        <w:widowControl/>
        <w:spacing w:line="360" w:lineRule="auto"/>
        <w:ind w:firstLine="420"/>
        <w:jc w:val="left"/>
        <w:rPr>
          <w:color w:val="000000" w:themeColor="text1"/>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本次采购事宜相关公告将在江苏省广电有线信息网络股份有限公司网站（网址：</w:t>
      </w:r>
      <w:r>
        <w:rPr>
          <w:rFonts w:eastAsia="微软雅黑"/>
          <w:color w:val="000000" w:themeColor="text1"/>
          <w:kern w:val="0"/>
          <w:sz w:val="24"/>
          <w:shd w:val="clear" w:color="auto" w:fill="FFFFFF"/>
          <w14:textFill>
            <w14:solidFill>
              <w14:schemeClr w14:val="tx1"/>
            </w14:solidFill>
          </w14:textFill>
        </w:rPr>
        <w:t>http://www.jscnnet.com/zbcg/</w:t>
      </w:r>
      <w:r>
        <w:rPr>
          <w:rFonts w:hint="eastAsia" w:ascii="宋体" w:hAnsi="宋体" w:cs="宋体"/>
          <w:color w:val="000000" w:themeColor="text1"/>
          <w:kern w:val="0"/>
          <w:sz w:val="24"/>
          <w:shd w:val="clear" w:color="auto" w:fill="FFFFFF"/>
          <w14:textFill>
            <w14:solidFill>
              <w14:schemeClr w14:val="tx1"/>
            </w14:solidFill>
          </w14:textFill>
        </w:rPr>
        <w:t>）“招标采购”栏目发布，其他媒介转载需注明出处。</w:t>
      </w:r>
    </w:p>
    <w:p>
      <w:pPr>
        <w:spacing w:line="360" w:lineRule="auto"/>
        <w:ind w:firstLine="840" w:firstLineChars="400"/>
        <w:rPr>
          <w:rFonts w:ascii="宋体" w:hAnsi="宋体"/>
          <w:color w:val="000000" w:themeColor="text1"/>
          <w:szCs w:val="21"/>
          <w14:textFill>
            <w14:solidFill>
              <w14:schemeClr w14:val="tx1"/>
            </w14:solidFill>
          </w14:textFill>
        </w:rPr>
      </w:pPr>
    </w:p>
    <w:p>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七、其他说明事项</w:t>
      </w:r>
    </w:p>
    <w:p>
      <w:pPr>
        <w:widowControl/>
        <w:spacing w:line="360" w:lineRule="auto"/>
        <w:ind w:firstLine="480" w:firstLineChars="200"/>
        <w:jc w:val="left"/>
        <w:rPr>
          <w:rFonts w:ascii="宋体" w:cs="宋体"/>
          <w:bCs/>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由于疫情防控要求，本项目在供应商无法到达现场时可采取远程谈判形式（详见</w:t>
      </w:r>
      <w:r>
        <w:rPr>
          <w:rFonts w:hint="eastAsia" w:ascii="宋体" w:hAnsi="宋体" w:cs="宋体"/>
          <w:color w:val="000000" w:themeColor="text1"/>
          <w:kern w:val="0"/>
          <w:sz w:val="24"/>
          <w:shd w:val="clear" w:color="auto" w:fill="FFFFFF"/>
          <w14:textFill>
            <w14:solidFill>
              <w14:schemeClr w14:val="tx1"/>
            </w14:solidFill>
          </w14:textFill>
        </w:rPr>
        <w:t>竞争性磋商文件第七章</w:t>
      </w:r>
      <w:r>
        <w:rPr>
          <w:rFonts w:hint="eastAsia" w:ascii="宋体" w:cs="宋体"/>
          <w:bCs/>
          <w:color w:val="000000" w:themeColor="text1"/>
          <w:sz w:val="24"/>
          <w14:textFill>
            <w14:solidFill>
              <w14:schemeClr w14:val="tx1"/>
            </w14:solidFill>
          </w14:textFill>
        </w:rPr>
        <w:t>）。供应商按规定时间先将响应文件盖章扫描件（PDF文档）加密后发至采购人信箱，并在谈判现场告知采购人密码，由采购人现场解密。完成谈判后，供应商须将响应文件及最终承诺的纸质版在谈判完成一周内寄至采购人所在地。如邮寄发出地为中高风险区须事先通过电子邮件告知采购人。联系人：秦晋；联系电话：025-86731524；电子邮箱:jscn_zbzy@163.com，地址：江苏省南京市运粮河西路101号麒麟科技创新园江苏有线三网融合枢纽中心一号楼425采购供应部；响应文件盖章扫描件（PDF文档）发送截止时间为</w:t>
      </w:r>
      <w:r>
        <w:rPr>
          <w:rFonts w:eastAsia="微软雅黑"/>
          <w:color w:val="000000" w:themeColor="text1"/>
          <w:kern w:val="0"/>
          <w:sz w:val="24"/>
          <w:shd w:val="clear" w:color="auto" w:fill="FFFFFF"/>
          <w14:textFill>
            <w14:solidFill>
              <w14:schemeClr w14:val="tx1"/>
            </w14:solidFill>
          </w14:textFill>
        </w:rPr>
        <w:t>202</w:t>
      </w:r>
      <w:r>
        <w:rPr>
          <w:rFonts w:hint="eastAsia" w:eastAsia="微软雅黑"/>
          <w:color w:val="000000" w:themeColor="text1"/>
          <w:kern w:val="0"/>
          <w:sz w:val="24"/>
          <w:shd w:val="clear" w:color="auto" w:fill="FFFFFF"/>
          <w14:textFill>
            <w14:solidFill>
              <w14:schemeClr w14:val="tx1"/>
            </w14:solidFill>
          </w14:textFill>
        </w:rPr>
        <w:t>2</w:t>
      </w:r>
      <w:r>
        <w:rPr>
          <w:rFonts w:hint="eastAsia" w:ascii="宋体" w:hAnsi="宋体" w:cs="宋体"/>
          <w:color w:val="000000" w:themeColor="text1"/>
          <w:kern w:val="0"/>
          <w:sz w:val="24"/>
          <w:shd w:val="clear" w:color="auto" w:fill="FFFFFF"/>
          <w14:textFill>
            <w14:solidFill>
              <w14:schemeClr w14:val="tx1"/>
            </w14:solidFill>
          </w14:textFill>
        </w:rPr>
        <w:t>年</w:t>
      </w:r>
      <w:r>
        <w:rPr>
          <w:rFonts w:ascii="宋体" w:hAnsi="宋体" w:cs="宋体"/>
          <w:color w:val="000000" w:themeColor="text1"/>
          <w:kern w:val="0"/>
          <w:sz w:val="24"/>
          <w:shd w:val="clear" w:color="auto" w:fill="FFFFFF"/>
          <w14:textFill>
            <w14:solidFill>
              <w14:schemeClr w14:val="tx1"/>
            </w14:solidFill>
          </w14:textFill>
        </w:rPr>
        <w:t>9</w:t>
      </w:r>
      <w:r>
        <w:rPr>
          <w:rFonts w:hint="eastAsia" w:ascii="宋体" w:hAnsi="宋体" w:cs="宋体"/>
          <w:color w:val="000000" w:themeColor="text1"/>
          <w:kern w:val="0"/>
          <w:sz w:val="24"/>
          <w:shd w:val="clear" w:color="auto" w:fill="FFFFFF"/>
          <w14:textFill>
            <w14:solidFill>
              <w14:schemeClr w14:val="tx1"/>
            </w14:solidFill>
          </w14:textFill>
        </w:rPr>
        <w:t>月</w:t>
      </w:r>
      <w:r>
        <w:rPr>
          <w:rFonts w:ascii="宋体" w:hAnsi="宋体" w:cs="宋体"/>
          <w:color w:val="000000" w:themeColor="text1"/>
          <w:kern w:val="0"/>
          <w:sz w:val="24"/>
          <w:shd w:val="clear" w:color="auto" w:fill="FFFFFF"/>
          <w14:textFill>
            <w14:solidFill>
              <w14:schemeClr w14:val="tx1"/>
            </w14:solidFill>
          </w14:textFill>
        </w:rPr>
        <w:t>13</w:t>
      </w:r>
      <w:r>
        <w:rPr>
          <w:rFonts w:hint="eastAsia" w:ascii="宋体" w:hAnsi="宋体" w:cs="宋体"/>
          <w:color w:val="000000" w:themeColor="text1"/>
          <w:kern w:val="0"/>
          <w:sz w:val="24"/>
          <w:shd w:val="clear" w:color="auto" w:fill="FFFFFF"/>
          <w14:textFill>
            <w14:solidFill>
              <w14:schemeClr w14:val="tx1"/>
            </w14:solidFill>
          </w14:textFill>
        </w:rPr>
        <w:t>日</w:t>
      </w:r>
      <w:r>
        <w:rPr>
          <w:rFonts w:ascii="宋体" w:hAnsi="宋体" w:cs="宋体"/>
          <w:color w:val="000000" w:themeColor="text1"/>
          <w:kern w:val="0"/>
          <w:sz w:val="24"/>
          <w:shd w:val="clear" w:color="auto" w:fill="FFFFFF"/>
          <w14:textFill>
            <w14:solidFill>
              <w14:schemeClr w14:val="tx1"/>
            </w14:solidFill>
          </w14:textFill>
        </w:rPr>
        <w:t>14</w:t>
      </w:r>
      <w:r>
        <w:rPr>
          <w:rFonts w:eastAsia="微软雅黑"/>
          <w:color w:val="000000" w:themeColor="text1"/>
          <w:kern w:val="0"/>
          <w:sz w:val="24"/>
          <w:shd w:val="clear" w:color="auto" w:fill="FFFFFF"/>
          <w14:textFill>
            <w14:solidFill>
              <w14:schemeClr w14:val="tx1"/>
            </w14:solidFill>
          </w14:textFill>
        </w:rPr>
        <w:t>:</w:t>
      </w:r>
      <w:r>
        <w:rPr>
          <w:rFonts w:ascii="宋体" w:hAnsi="宋体" w:cs="宋体"/>
          <w:color w:val="000000" w:themeColor="text1"/>
          <w:kern w:val="0"/>
          <w:sz w:val="24"/>
          <w:shd w:val="clear" w:color="auto" w:fill="FFFFFF"/>
          <w14:textFill>
            <w14:solidFill>
              <w14:schemeClr w14:val="tx1"/>
            </w14:solidFill>
          </w14:textFill>
        </w:rPr>
        <w:t>00</w:t>
      </w:r>
      <w:r>
        <w:rPr>
          <w:rFonts w:hint="eastAsia" w:ascii="宋体" w:cs="宋体"/>
          <w:bCs/>
          <w:color w:val="000000" w:themeColor="text1"/>
          <w:sz w:val="24"/>
          <w14:textFill>
            <w14:solidFill>
              <w14:schemeClr w14:val="tx1"/>
            </w14:solidFill>
          </w14:textFill>
        </w:rPr>
        <w:t>，随后组磋商。</w:t>
      </w:r>
    </w:p>
    <w:p>
      <w:pPr>
        <w:widowControl/>
        <w:spacing w:line="360" w:lineRule="auto"/>
        <w:jc w:val="left"/>
        <w:rPr>
          <w:rFonts w:ascii="宋体" w:cs="宋体"/>
          <w:bCs/>
          <w:color w:val="000000" w:themeColor="text1"/>
          <w:sz w:val="24"/>
          <w14:textFill>
            <w14:solidFill>
              <w14:schemeClr w14:val="tx1"/>
            </w14:solidFill>
          </w14:textFill>
        </w:rPr>
      </w:pP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有关本次磋商的事项若存在变动或修改，敬请及时关注网上发布的信息更正公告</w:t>
      </w:r>
      <w:bookmarkStart w:id="3" w:name="bookmark1"/>
      <w:bookmarkEnd w:id="3"/>
      <w:r>
        <w:rPr>
          <w:rFonts w:hint="eastAsia" w:ascii="宋体" w:cs="宋体"/>
          <w:bCs/>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4" w:name="_Toc69378616"/>
      <w:bookmarkStart w:id="5" w:name="_Toc227057883"/>
      <w:bookmarkStart w:id="6" w:name="_Toc107822483"/>
      <w:bookmarkStart w:id="7" w:name="_Toc226969276"/>
      <w:r>
        <w:rPr>
          <w:rFonts w:hint="eastAsia"/>
          <w:b/>
          <w:color w:val="000000" w:themeColor="text1"/>
          <w:sz w:val="36"/>
          <w:szCs w:val="36"/>
          <w14:textFill>
            <w14:solidFill>
              <w14:schemeClr w14:val="tx1"/>
            </w14:solidFill>
          </w14:textFill>
        </w:rPr>
        <w:t>第二章竞争性磋商</w:t>
      </w:r>
      <w:r>
        <w:rPr>
          <w:b/>
          <w:color w:val="000000" w:themeColor="text1"/>
          <w:sz w:val="36"/>
          <w:szCs w:val="36"/>
          <w14:textFill>
            <w14:solidFill>
              <w14:schemeClr w14:val="tx1"/>
            </w14:solidFill>
          </w14:textFill>
        </w:rPr>
        <w:t>须知</w:t>
      </w:r>
    </w:p>
    <w:p>
      <w:pPr>
        <w:jc w:val="center"/>
        <w:rPr>
          <w:color w:val="000000" w:themeColor="text1"/>
          <w:sz w:val="28"/>
          <w:szCs w:val="28"/>
          <w14:textFill>
            <w14:solidFill>
              <w14:schemeClr w14:val="tx1"/>
            </w14:solidFill>
          </w14:textFill>
        </w:rPr>
      </w:pPr>
      <w:bookmarkStart w:id="8" w:name="_Hlk109228212"/>
      <w:r>
        <w:rPr>
          <w:rFonts w:hint="eastAsia"/>
          <w:color w:val="000000" w:themeColor="text1"/>
          <w:sz w:val="28"/>
          <w:szCs w:val="28"/>
          <w14:textFill>
            <w14:solidFill>
              <w14:schemeClr w14:val="tx1"/>
            </w14:solidFill>
          </w14:textFill>
        </w:rPr>
        <w:t>供应商须知前附表</w:t>
      </w:r>
    </w:p>
    <w:bookmarkEnd w:id="8"/>
    <w:p>
      <w:pPr>
        <w:jc w:val="left"/>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41"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72"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10"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经第三方审计的财务报表</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10" w:type="pct"/>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对第五章《技术需求书》的逐项应答，逐项应答必须按照服务偏离表格式，对照竞争性磋商文件需求，依据供应商本身服务，如实逐条说明所提供产品及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响应文件一式</w:t>
            </w: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color w:val="000000" w:themeColor="text1"/>
                <w:u w:val="single"/>
                <w14:textFill>
                  <w14:solidFill>
                    <w14:schemeClr w14:val="tx1"/>
                  </w14:solidFill>
                </w14:textFill>
              </w:rPr>
            </w:pPr>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241" w:type="pct"/>
            <w:vAlign w:val="center"/>
          </w:tcPr>
          <w:p>
            <w:pPr>
              <w:jc w:val="center"/>
              <w:rPr>
                <w:color w:val="000000" w:themeColor="text1"/>
                <w:sz w:val="24"/>
                <w14:textFill>
                  <w14:solidFill>
                    <w14:schemeClr w14:val="tx1"/>
                  </w14:solidFill>
                </w14:textFill>
              </w:rPr>
            </w:pP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（1）竞争性磋商文件第六章“响应文件格式”中有单位名称和法定代表人或其委托代理人签字落款的响应文件必须加盖单位公章。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17.5</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10" w:type="pct"/>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）不满足竞争性磋商文件对合格供应商的基本资质要求的；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2）供应商在响应文件中提供的服务内容及质量不能实质性满足竞争性磋商文件要求或不能提供实质性满足证明的；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3）供应商在响应文件中对于第四章《合同格式》有任何负偏离的；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4）响应函、法人代表授权书不按照第六章《附件》的格式提供的；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5）资格证明文件不全、失效或不符合竞争性磋商文件要求的；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6）响应文件无法定代表人签字，或签字人无法定代表人有效授权的；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8）响应文件或响应有效期不足的；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8）响应文件中提供虚假或失实资料的；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9）未按照竞争性磋商文件规定的方式领取竞争性磋商文件并按要求递交响应文件的；</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10" w:type="pct"/>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）供应商的法定代表人或其授权代理应按采购人规定的时间到指定的地点，与评审委员会进行磋商并对评审委员会提出的问题作出澄清和答复；</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）评审委员会就服务、合同内容和供应商报价进行磋商，磋商后将根据综合评估结果，对供应商按综合得分从高到低排序。</w:t>
            </w:r>
          </w:p>
          <w:p>
            <w:pPr>
              <w:pStyle w:val="2"/>
              <w:rPr>
                <w:color w:val="000000" w:themeColor="text1"/>
                <w14:textFill>
                  <w14:solidFill>
                    <w14:schemeClr w14:val="tx1"/>
                  </w14:solidFill>
                </w14:textFill>
              </w:rPr>
            </w:pPr>
            <w:bookmarkStart w:id="9" w:name="_Hlk109228270"/>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）如评分相同，价格低的供应商排名优于价格高的供应商。</w:t>
            </w:r>
            <w:bookmarkEnd w:id="9"/>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1名成交供应商。推荐3名中标候选人。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24</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采购人与本次成交供应商按本竞争性磋商文件第四章合同格式签订合同。</w:t>
            </w:r>
          </w:p>
        </w:tc>
      </w:tr>
    </w:tbl>
    <w:p>
      <w:pPr>
        <w:widowControl/>
        <w:jc w:val="left"/>
        <w:rPr>
          <w:color w:val="000000" w:themeColor="text1"/>
          <w:sz w:val="24"/>
          <w14:textFill>
            <w14:solidFill>
              <w14:schemeClr w14:val="tx1"/>
            </w14:solidFill>
          </w14:textFill>
        </w:rPr>
      </w:pPr>
    </w:p>
    <w:p>
      <w:pPr>
        <w:widowControl/>
        <w:jc w:val="left"/>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二、竞争性磋商文件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竞争性磋商文件构成</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竞争性磋商文件共六章，内容如下：</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第一章竞争性磋商</w:t>
      </w:r>
      <w:r>
        <w:rPr>
          <w:rFonts w:ascii="宋体" w:hAnsi="宋体"/>
          <w:color w:val="000000" w:themeColor="text1"/>
          <w:sz w:val="24"/>
          <w14:textFill>
            <w14:solidFill>
              <w14:schemeClr w14:val="tx1"/>
            </w14:solidFill>
          </w14:textFill>
        </w:rPr>
        <w:t>公告</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第二章竞争性磋商须知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第六章竞争性磋商响应文件格式</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竞争性磋商文件的澄清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任何要求对竞争性磋商文件进行澄清的供应商，均应按规定的递交响应文件截止期五（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竞争性磋商文件的修改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为使供应商准备响应文件时有充分时间对竞争性磋商文件的修改部分进行研究，采购人可自行决定是否延长递交响应文件截止时间。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）天以前的任何时候，无论出于何种原因，采购人可主动地或在解答供应商提出的澄清问题时对竞争性磋商文件进行修改。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竞争性磋商文件的修改将以书面形式在递交响应文件截止时间（包含延长了的递交响应文件截止时间）五（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或服务的合格性和符合竞争性磋商文件规定的文件；竞争性磋商文件要求的其它文件；供应商认为其它需提供的文件。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）供应商提交的证明其合格且中选后有能力履行合同的资格证明文件（详见《竞争性磋商公告》）以及供应商认为需提供的其它文件和证书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）竞争性磋商文件要求的其它内容和文件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供应商提供的以上材料必须真实有效，任何一项的虚假将导致其响应文件被拒绝。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响应文件一式</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如供应商对竞争性磋商文件个别内容不能接受，应在响应文件中另做声明，否则将视为供应商接受竞争性磋商文件全部内容。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报价：人民币报价。供应商应按照竞争性磋商文件要求，在响应文件中报出本项目包含的所有产品和服务的报价（格式见附件）。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采购人设有最高磋商限价的，供应商的磋商报价不得超过最高磋商限价，否则其磋商将被否决。最高磋商限价或者其计算方法见供应商须知前附表。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9.5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12.2</w:t>
      </w:r>
      <w:r>
        <w:rPr>
          <w:rFonts w:hint="eastAsia" w:ascii="宋体" w:hAnsi="宋体"/>
          <w:color w:val="000000" w:themeColor="text1"/>
          <w:sz w:val="24"/>
          <w14:textFill>
            <w14:solidFill>
              <w14:schemeClr w14:val="tx1"/>
            </w14:solidFill>
          </w14:textFill>
        </w:rPr>
        <w:t>条要求加写标记和密封，采购人对误投或过早启封概不负责。</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采购人收到响应文件的时间不迟于（详见《竞争性磋商公告》）</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条规定编制、密封、标记和发送。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16.4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采购人保留对通过初审的供应商进行进一步磋商或议价的权利。</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六、磋商和成交供应商评审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18.磋商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18.2磋商开始时间预计为：递交竞争性磋商响应文件截止时间后当天（包括法定节假日，具体时间以采购人的通知为准），供应商应提前做好磋商准备。</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14:textFill>
            <w14:solidFill>
              <w14:schemeClr w14:val="tx1"/>
            </w14:solidFill>
          </w14:textFill>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磋商后，评审委员会将对参加磋商的供应商进行综合评审，采用综合评审法并考虑以下因素：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注：具体评审办法详见第三章评审办法。</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竞争性磋商响应文件</w:t>
      </w:r>
      <w:r>
        <w:rPr>
          <w:rFonts w:ascii="宋体" w:hAnsi="宋体"/>
          <w:color w:val="000000" w:themeColor="text1"/>
          <w:sz w:val="24"/>
          <w14:textFill>
            <w14:solidFill>
              <w14:schemeClr w14:val="tx1"/>
            </w14:solidFill>
          </w14:textFill>
        </w:rPr>
        <w:t>应作为无效处理。</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17条和第19条规定外，从递交竞争性磋商响应文件之日起至授予合同期间，供应商不得就与其竞争性磋商响应文件有关的事项与采购人接触。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pPr>
        <w:widowControl/>
        <w:jc w:val="left"/>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rFonts w:hint="eastAsia" w:ascii="宋体" w:hAnsi="宋体" w:eastAsia="黑体"/>
          <w:bCs/>
          <w:color w:val="000000" w:themeColor="text1"/>
          <w:kern w:val="44"/>
          <w:sz w:val="24"/>
          <w14:textFill>
            <w14:solidFill>
              <w14:schemeClr w14:val="tx1"/>
            </w14:solidFill>
          </w14:textFill>
        </w:rPr>
        <w:t>。</w:t>
      </w:r>
      <w:bookmarkEnd w:id="4"/>
      <w:bookmarkEnd w:id="5"/>
      <w:bookmarkEnd w:id="6"/>
      <w:bookmarkEnd w:id="7"/>
      <w:bookmarkStart w:id="10" w:name="_Toc107822520"/>
      <w:bookmarkStart w:id="11" w:name="_Toc226969316"/>
      <w:bookmarkStart w:id="12" w:name="_Toc227057922"/>
      <w:r>
        <w:rPr>
          <w:color w:val="000000" w:themeColor="text1"/>
          <w14:textFill>
            <w14:solidFill>
              <w14:schemeClr w14:val="tx1"/>
            </w14:solidFill>
          </w14:textFill>
        </w:rPr>
        <w:br w:type="page"/>
      </w:r>
    </w:p>
    <w:bookmarkEnd w:id="10"/>
    <w:bookmarkEnd w:id="11"/>
    <w:bookmarkEnd w:id="12"/>
    <w:p>
      <w:pPr>
        <w:pStyle w:val="3"/>
        <w:numPr>
          <w:ilvl w:val="0"/>
          <w:numId w:val="0"/>
        </w:numPr>
        <w:spacing w:before="0" w:after="0" w:line="360" w:lineRule="auto"/>
        <w:rPr>
          <w:b/>
          <w:color w:val="000000" w:themeColor="text1"/>
          <w:sz w:val="36"/>
          <w:szCs w:val="36"/>
          <w14:textFill>
            <w14:solidFill>
              <w14:schemeClr w14:val="tx1"/>
            </w14:solidFill>
          </w14:textFill>
        </w:rPr>
      </w:pPr>
      <w:bookmarkStart w:id="13" w:name="_Toc69378617"/>
      <w:bookmarkStart w:id="14" w:name="_Toc226969352"/>
      <w:bookmarkStart w:id="15" w:name="_Toc227057958"/>
      <w:bookmarkStart w:id="16" w:name="_Toc107822556"/>
      <w:r>
        <w:rPr>
          <w:rFonts w:hint="eastAsia"/>
          <w:b/>
          <w:color w:val="000000" w:themeColor="text1"/>
          <w:sz w:val="36"/>
          <w:szCs w:val="36"/>
          <w14:textFill>
            <w14:solidFill>
              <w14:schemeClr w14:val="tx1"/>
            </w14:solidFill>
          </w14:textFill>
        </w:rPr>
        <w:t>第三章</w:t>
      </w:r>
      <w:bookmarkStart w:id="17" w:name="_Hlk109228310"/>
      <w:r>
        <w:rPr>
          <w:rFonts w:hint="eastAsia"/>
          <w:b/>
          <w:color w:val="000000" w:themeColor="text1"/>
          <w:sz w:val="36"/>
          <w:szCs w:val="36"/>
          <w14:textFill>
            <w14:solidFill>
              <w14:schemeClr w14:val="tx1"/>
            </w14:solidFill>
          </w14:textFill>
        </w:rPr>
        <w:t>评审办法</w:t>
      </w:r>
      <w:bookmarkEnd w:id="13"/>
      <w:bookmarkEnd w:id="17"/>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供应商须对第三章《评标办法》中的评分要求逐项说明在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pPr>
        <w:spacing w:line="360" w:lineRule="auto"/>
        <w:jc w:val="left"/>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jc w:val="center"/>
        <w:rPr>
          <w:rFonts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pPr>
        <w:spacing w:line="360" w:lineRule="auto"/>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41"/>
        <w:gridCol w:w="789"/>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类别</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themeColor="text1"/>
                <w:kern w:val="0"/>
                <w:szCs w:val="21"/>
                <w14:textFill>
                  <w14:solidFill>
                    <w14:schemeClr w14:val="tx1"/>
                  </w14:solidFill>
                </w14:textFill>
              </w:rPr>
            </w:pPr>
            <w:r>
              <w:rPr>
                <w:rFonts w:hint="eastAsia"/>
                <w:b/>
                <w:color w:val="000000" w:themeColor="text1"/>
                <w:kern w:val="0"/>
                <w:szCs w:val="21"/>
                <w14:textFill>
                  <w14:solidFill>
                    <w14:schemeClr w14:val="tx1"/>
                  </w14:solidFill>
                </w14:textFill>
              </w:rPr>
              <w:t>评标项目</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分值</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14:textFill>
                  <w14:solidFill>
                    <w14:schemeClr w14:val="tx1"/>
                  </w14:solidFill>
                </w14:textFill>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w:t>
            </w:r>
          </w:p>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分）</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价格</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bookmarkStart w:id="18" w:name="_Hlk109228374"/>
            <w:r>
              <w:rPr>
                <w:rFonts w:hint="eastAsia" w:ascii="宋体" w:hAnsi="宋体"/>
                <w:color w:val="000000" w:themeColor="text1"/>
                <w:szCs w:val="21"/>
                <w14:textFill>
                  <w14:solidFill>
                    <w14:schemeClr w14:val="tx1"/>
                  </w14:solidFill>
                </w14:textFill>
              </w:rPr>
              <w:t>A、评审价的计算：</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3、响应文件中如果申报了非竞争性磋商文件所要求的服务和产品，评审时不予以折价降低评标价；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4、供应商的报价经勘误后的值作为该供应商的评标价。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B、价格分的计算（保留小数点后2位）</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1、供应商评标价=经评审的该供应商含税总价。</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bookmarkStart w:id="19" w:name="_Hlk109228420"/>
            <w:r>
              <w:rPr>
                <w:rFonts w:hint="eastAsia" w:ascii="宋体" w:hAnsi="宋体"/>
                <w:color w:val="000000" w:themeColor="text1"/>
                <w:szCs w:val="21"/>
                <w14:textFill>
                  <w14:solidFill>
                    <w14:schemeClr w14:val="tx1"/>
                  </w14:solidFill>
                </w14:textFill>
              </w:rPr>
              <w:t>评审基准价：若有效供应商大于等于5家，则去掉一个最低价和一个最高价，以剩余有效供应商评审价的算术平均值为有效平均值，以有效平均值的9</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%作为评标基准价；若有效供应商小于5家，则以所有有效供应商评审价的算术平均值为有效平均值，以有效平均值的9</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%作为评标基准价。</w:t>
            </w:r>
            <w:bookmarkEnd w:id="19"/>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3、报价得分=（评审基准价/供应商评标价）×</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0（如供应商的评标价低于评审基准价的得</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0分）</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响应文件符合有效性（</w:t>
            </w:r>
            <w:r>
              <w:rPr>
                <w:rFonts w:ascii="宋体" w:hAnsi="宋体"/>
                <w:color w:val="000000" w:themeColor="text1"/>
                <w:szCs w:val="21"/>
                <w14:textFill>
                  <w14:solidFill>
                    <w14:schemeClr w14:val="tx1"/>
                  </w14:solidFill>
                </w14:textFill>
              </w:rPr>
              <w:t>2分）</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响应文件符合有效性得分</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供应商响应文件完全符合磋商文件的形式要件，无缺、漏项，文字清晰、描述清楚得</w:t>
            </w:r>
            <w:r>
              <w:rPr>
                <w:rFonts w:ascii="宋体" w:hAnsi="宋体" w:cs="宋体"/>
                <w:color w:val="000000" w:themeColor="text1"/>
                <w:kern w:val="0"/>
                <w:szCs w:val="21"/>
                <w14:textFill>
                  <w14:solidFill>
                    <w14:schemeClr w14:val="tx1"/>
                  </w14:solidFill>
                </w14:textFill>
              </w:rPr>
              <w:t>2分；</w:t>
            </w:r>
            <w:r>
              <w:rPr>
                <w:rFonts w:hint="eastAsia"/>
                <w:color w:val="000000" w:themeColor="text1"/>
                <w:kern w:val="0"/>
                <w:szCs w:val="21"/>
                <w14:textFill>
                  <w14:solidFill>
                    <w14:schemeClr w14:val="tx1"/>
                  </w14:solidFill>
                </w14:textFill>
              </w:rPr>
              <w:t>如发现不符，酌情扣分；</w:t>
            </w:r>
            <w:r>
              <w:rPr>
                <w:rFonts w:hint="eastAsia" w:ascii="宋体" w:hAnsi="宋体" w:cs="宋体"/>
                <w:color w:val="000000" w:themeColor="text1"/>
                <w:kern w:val="0"/>
                <w:szCs w:val="21"/>
                <w14:textFill>
                  <w14:solidFill>
                    <w14:schemeClr w14:val="tx1"/>
                  </w14:solidFill>
                </w14:textFill>
              </w:rPr>
              <w:t>如果发现严重缺漏或任何弄虚作假的行为，则否决磋商。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141" w:type="dxa"/>
            <w:vMerge w:val="restart"/>
            <w:tcBorders>
              <w:left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bookmarkStart w:id="20" w:name="_Hlk109228481"/>
            <w:r>
              <w:rPr>
                <w:rFonts w:hint="eastAsia" w:ascii="宋体" w:hAnsi="宋体"/>
                <w:color w:val="000000" w:themeColor="text1"/>
                <w:szCs w:val="21"/>
                <w14:textFill>
                  <w14:solidFill>
                    <w14:schemeClr w14:val="tx1"/>
                  </w14:solidFill>
                </w14:textFill>
              </w:rPr>
              <w:t>企业实力</w:t>
            </w:r>
            <w:bookmarkEnd w:id="20"/>
            <w:r>
              <w:rPr>
                <w:rFonts w:hint="eastAsia" w:ascii="宋体" w:hAnsi="宋体"/>
                <w:color w:val="000000" w:themeColor="text1"/>
                <w:szCs w:val="21"/>
                <w14:textFill>
                  <w14:solidFill>
                    <w14:schemeClr w14:val="tx1"/>
                  </w14:solidFill>
                </w14:textFill>
              </w:rPr>
              <w:t>（10分）</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综合实力</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bookmarkStart w:id="21" w:name="_Hlk109228532"/>
            <w:r>
              <w:rPr>
                <w:rFonts w:hint="eastAsia" w:ascii="宋体" w:hAnsi="宋体" w:cs="宋体"/>
                <w:color w:val="000000" w:themeColor="text1"/>
                <w:kern w:val="0"/>
                <w:szCs w:val="21"/>
                <w14:textFill>
                  <w14:solidFill>
                    <w14:schemeClr w14:val="tx1"/>
                  </w14:solidFill>
                </w14:textFill>
              </w:rPr>
              <w:t>根据供应商的企业规模、业务范围、研发机构、软件设施、发展情况和财务状况（总资产、负债率、利润等）打分。</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优良</w:t>
            </w:r>
            <w:r>
              <w:rPr>
                <w:rFonts w:hint="eastAsia" w:ascii="宋体" w:hAnsi="宋体"/>
                <w:color w:val="000000" w:themeColor="text1"/>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一般</w:t>
            </w:r>
            <w:r>
              <w:rPr>
                <w:rFonts w:hint="eastAsia" w:ascii="宋体" w:hAnsi="宋体"/>
                <w:color w:val="000000" w:themeColor="text1"/>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0-1</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分</w:t>
            </w:r>
            <w:r>
              <w:rPr>
                <w:rFonts w:hint="eastAsia" w:ascii="宋体" w:hAnsi="宋体" w:cs="宋体"/>
                <w:color w:val="000000" w:themeColor="text1"/>
                <w:kern w:val="0"/>
                <w:szCs w:val="21"/>
                <w14:textFill>
                  <w14:solidFill>
                    <w14:schemeClr w14:val="tx1"/>
                  </w14:solidFill>
                </w14:textFill>
              </w:rPr>
              <w:t>。</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141" w:type="dxa"/>
            <w:vMerge w:val="continue"/>
            <w:tcBorders>
              <w:left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软著能力</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根据供应商提供的软件著作权进行评分。软件著作权名称需包含：</w:t>
            </w:r>
            <w:r>
              <w:rPr>
                <w:rFonts w:ascii="宋体" w:hAnsi="宋体" w:cs="宋体"/>
                <w:color w:val="000000" w:themeColor="text1"/>
                <w:kern w:val="0"/>
                <w:szCs w:val="21"/>
                <w14:textFill>
                  <w14:solidFill>
                    <w14:schemeClr w14:val="tx1"/>
                  </w14:solidFill>
                </w14:textFill>
              </w:rPr>
              <w:t>IP</w:t>
            </w:r>
            <w:r>
              <w:rPr>
                <w:rFonts w:hint="eastAsia" w:ascii="宋体" w:hAnsi="宋体" w:cs="宋体"/>
                <w:color w:val="000000" w:themeColor="text1"/>
                <w:kern w:val="0"/>
                <w:szCs w:val="21"/>
                <w14:textFill>
                  <w14:solidFill>
                    <w14:schemeClr w14:val="tx1"/>
                  </w14:solidFill>
                </w14:textFill>
              </w:rPr>
              <w:t>直播中台、直播业务中台的关键词。有符合要求的软件著作权得2分。</w:t>
            </w:r>
          </w:p>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投标文件中须提供软件著作权名称、登记号汇总一览表，并提供证书复印件。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141" w:type="dxa"/>
            <w:vMerge w:val="continue"/>
            <w:tcBorders>
              <w:left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、根据供应商是否有知识产权管理体系认证证书、双软认证进行评审，具有任意一项得2分，满分4分，未提供证书复印件的不得分。</w:t>
            </w:r>
          </w:p>
          <w:p>
            <w:pPr>
              <w:pStyle w:val="2"/>
              <w:keepLines/>
              <w:tabs>
                <w:tab w:val="left" w:pos="794"/>
                <w:tab w:val="left" w:pos="1191"/>
                <w:tab w:val="left" w:pos="1588"/>
                <w:tab w:val="left" w:pos="1985"/>
              </w:tabs>
              <w:autoSpaceDE w:val="0"/>
              <w:autoSpaceDN w:val="0"/>
              <w:adjustRightInd w:val="0"/>
              <w:spacing w:line="360" w:lineRule="auto"/>
              <w:rPr>
                <w:color w:val="000000" w:themeColor="text1"/>
                <w:sz w:val="21"/>
                <w:szCs w:val="24"/>
                <w14:textFill>
                  <w14:solidFill>
                    <w14:schemeClr w14:val="tx1"/>
                  </w14:solidFill>
                </w14:textFill>
              </w:rPr>
            </w:pPr>
            <w:r>
              <w:rPr>
                <w:rFonts w:hint="eastAsia"/>
                <w:color w:val="000000" w:themeColor="text1"/>
                <w:sz w:val="21"/>
                <w:szCs w:val="24"/>
                <w14:textFill>
                  <w14:solidFill>
                    <w14:schemeClr w14:val="tx1"/>
                  </w14:solidFill>
                </w14:textFill>
              </w:rPr>
              <w:t>2、供应商具备有效的ISO9000系列质量管理体系认证证书得2分，未提供证书复印件的不得分。</w:t>
            </w:r>
          </w:p>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注：供应商需提供相关证明材料复印件，否则不得分。</w:t>
            </w:r>
          </w:p>
          <w:p>
            <w:pPr>
              <w:pStyle w:val="2"/>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41" w:type="dxa"/>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业绩经验（10分）</w:t>
            </w:r>
          </w:p>
        </w:tc>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业绩经验</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根据供应商自</w:t>
            </w:r>
            <w:r>
              <w:rPr>
                <w:rFonts w:ascii="宋体" w:hAnsi="宋体" w:cs="宋体"/>
                <w:color w:val="000000" w:themeColor="text1"/>
                <w:kern w:val="0"/>
                <w:szCs w:val="21"/>
                <w14:textFill>
                  <w14:solidFill>
                    <w14:schemeClr w14:val="tx1"/>
                  </w14:solidFill>
                </w14:textFill>
              </w:rPr>
              <w:t>2020</w:t>
            </w:r>
            <w:r>
              <w:rPr>
                <w:rFonts w:hint="eastAsia" w:ascii="宋体" w:hAnsi="宋体" w:cs="宋体"/>
                <w:color w:val="000000" w:themeColor="text1"/>
                <w:kern w:val="0"/>
                <w:szCs w:val="21"/>
                <w14:textFill>
                  <w14:solidFill>
                    <w14:schemeClr w14:val="tx1"/>
                  </w14:solidFill>
                </w14:textFill>
              </w:rPr>
              <w:t>年1月1日到磋商截止日前在中国大陆地区广电、电信等类似行业运营商（需提供案例合同或其他证明资料复印件，原件备查）类似项目的数量及规模打分。</w:t>
            </w:r>
            <w:r>
              <w:rPr>
                <w:rFonts w:hint="eastAsia"/>
                <w:color w:val="000000" w:themeColor="text1"/>
                <w14:textFill>
                  <w14:solidFill>
                    <w14:schemeClr w14:val="tx1"/>
                  </w14:solidFill>
                </w14:textFill>
              </w:rPr>
              <w:t>案例以合同为准。只有3个案例不得分，每多一个案例得2分，本项满分为</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分。注：提供的合同（必须涵盖合同封面、合同服务内容、合同金额及合同大签页）或业务合作协议（业务合作协议需明确具体合作内容、分成比例等关键信息）复印件，时间以合同签署时间为准，如合同中无以上表述须提供用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restart"/>
            <w:tcBorders>
              <w:left w:val="single" w:color="auto" w:sz="4" w:space="0"/>
              <w:right w:val="single" w:color="auto" w:sz="4" w:space="0"/>
            </w:tcBorders>
            <w:vAlign w:val="center"/>
          </w:tcPr>
          <w:p>
            <w:pPr>
              <w:widowControl/>
              <w:spacing w:line="360" w:lineRule="auto"/>
              <w:jc w:val="center"/>
              <w:rPr>
                <w:rFonts w:ascii="宋体" w:hAnsi="宋体"/>
                <w:color w:val="000000" w:themeColor="text1"/>
                <w:szCs w:val="21"/>
                <w14:textFill>
                  <w14:solidFill>
                    <w14:schemeClr w14:val="tx1"/>
                  </w14:solidFill>
                </w14:textFill>
              </w:rPr>
            </w:pPr>
            <w:bookmarkStart w:id="22" w:name="_Hlk109228579"/>
            <w:r>
              <w:rPr>
                <w:rFonts w:hint="eastAsia" w:ascii="宋体" w:hAnsi="宋体"/>
                <w:color w:val="000000" w:themeColor="text1"/>
                <w:szCs w:val="21"/>
                <w14:textFill>
                  <w14:solidFill>
                    <w14:schemeClr w14:val="tx1"/>
                  </w14:solidFill>
                </w14:textFill>
              </w:rPr>
              <w:t>技术需求（</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7分）</w:t>
            </w:r>
          </w:p>
          <w:bookmarkEnd w:id="22"/>
          <w:p>
            <w:pPr>
              <w:keepLines/>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p>
        </w:tc>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技术需求点对点应答</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bookmarkStart w:id="23" w:name="_Hlk109228638"/>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w:t>
            </w:r>
            <w:bookmarkEnd w:id="23"/>
          </w:p>
        </w:tc>
        <w:tc>
          <w:tcPr>
            <w:tcW w:w="65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根据磋商产品对磋商文件第五章《技术需求书》的偏离情况打分，基本分1</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分。</w:t>
            </w:r>
          </w:p>
          <w:p>
            <w:pPr>
              <w:widowControl/>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关键条款（</w:t>
            </w:r>
            <w:r>
              <w:rPr>
                <w:color w:val="000000" w:themeColor="text1"/>
                <w:szCs w:val="21"/>
                <w14:textFill>
                  <w14:solidFill>
                    <w14:schemeClr w14:val="tx1"/>
                  </w14:solidFill>
                </w14:textFill>
              </w:rPr>
              <w:t>“</w:t>
            </w:r>
            <w:r>
              <w:rPr>
                <w:rFonts w:hint="eastAsia" w:ascii="Segoe UI Symbol" w:hAnsi="Segoe UI Symbol" w:cs="Segoe UI Symbol"/>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号条款）不满足的直接取消参评资格。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continue"/>
            <w:tcBorders>
              <w:left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p>
        </w:tc>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项目实施方案要求</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bookmarkStart w:id="24" w:name="_Hlk111793596"/>
            <w:r>
              <w:rPr>
                <w:rFonts w:hint="eastAsia" w:ascii="宋体" w:hAnsi="宋体" w:cs="宋体"/>
                <w:color w:val="000000" w:themeColor="text1"/>
                <w:szCs w:val="21"/>
                <w14:textFill>
                  <w14:solidFill>
                    <w14:schemeClr w14:val="tx1"/>
                  </w14:solidFill>
                </w14:textFill>
              </w:rPr>
              <w:t>针对本项目提供</w:t>
            </w:r>
            <w:r>
              <w:rPr>
                <w:rFonts w:hint="eastAsia"/>
                <w:color w:val="000000" w:themeColor="text1"/>
                <w:kern w:val="0"/>
                <w:szCs w:val="21"/>
                <w14:textFill>
                  <w14:solidFill>
                    <w14:schemeClr w14:val="tx1"/>
                  </w14:solidFill>
                </w14:textFill>
              </w:rPr>
              <w:t>技术方案情况（包括：方案的完整性、合理性、可行性、先进性、开放性、可靠性等）以及与现有周边系统对接方案情况进行打分</w:t>
            </w:r>
            <w:r>
              <w:rPr>
                <w:rFonts w:hint="eastAsia" w:ascii="宋体" w:hAnsi="宋体" w:cs="宋体"/>
                <w:color w:val="000000" w:themeColor="text1"/>
                <w:szCs w:val="21"/>
                <w14:textFill>
                  <w14:solidFill>
                    <w14:schemeClr w14:val="tx1"/>
                  </w14:solidFill>
                </w14:textFill>
              </w:rPr>
              <w:t>。</w:t>
            </w:r>
          </w:p>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优良(4-5]分；较好[2-4]分；一般[0-2）分</w:t>
            </w:r>
            <w:r>
              <w:rPr>
                <w:rStyle w:val="61"/>
                <w:rFonts w:hint="eastAsia"/>
                <w:color w:val="000000" w:themeColor="text1"/>
                <w14:textFill>
                  <w14:solidFill>
                    <w14:schemeClr w14:val="tx1"/>
                  </w14:solidFill>
                </w14:textFill>
              </w:rPr>
              <w:t>。</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continue"/>
            <w:tcBorders>
              <w:left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p>
        </w:tc>
        <w:tc>
          <w:tcPr>
            <w:tcW w:w="1141" w:type="dxa"/>
            <w:vMerge w:val="continue"/>
            <w:tcBorders>
              <w:left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针对本项目提供实施方案进行打分，方案内容应清晰、合理，对现网管理维护有指导性作用，内容包括但不限于：实施方案、供货安排、开发进度计划和进度把控方案等。</w:t>
            </w:r>
          </w:p>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优良(4-5]分；较好[2-4]分；一般[0-2）分</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continue"/>
            <w:tcBorders>
              <w:left w:val="single" w:color="auto" w:sz="4" w:space="0"/>
              <w:right w:val="single" w:color="auto" w:sz="4" w:space="0"/>
            </w:tcBorders>
            <w:vAlign w:val="center"/>
          </w:tcPr>
          <w:p>
            <w:pPr>
              <w:keepLines/>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p>
        </w:tc>
        <w:tc>
          <w:tcPr>
            <w:tcW w:w="1141" w:type="dxa"/>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针对本项目提供应急预案进行打分，</w:t>
            </w:r>
            <w:r>
              <w:rPr>
                <w:rFonts w:hint="eastAsia" w:ascii="宋体" w:hAnsi="宋体" w:cs="宋体"/>
                <w:color w:val="000000" w:themeColor="text1"/>
                <w:szCs w:val="21"/>
                <w14:textFill>
                  <w14:solidFill>
                    <w14:schemeClr w14:val="tx1"/>
                  </w14:solidFill>
                </w14:textFill>
              </w:rPr>
              <w:t>预案包括对项目开发时和上线后的可预见风险进行分析，并提出对项目开发时和上线后的风险控制及应对方案等。</w:t>
            </w:r>
          </w:p>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优良(4-5]分；较好[2-4]分；一般[0-2）分</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restart"/>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服务能力（</w:t>
            </w:r>
            <w:r>
              <w:rPr>
                <w:rFonts w:ascii="宋体" w:hAnsi="宋体" w:cs="宋体"/>
                <w:color w:val="000000" w:themeColor="text1"/>
                <w:kern w:val="0"/>
                <w:szCs w:val="21"/>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分）</w:t>
            </w:r>
          </w:p>
        </w:tc>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售后服务能力及承诺</w:t>
            </w: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652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根据供应商为本项目配备的项目团队打分，包括对软件开发功能节点或分类模块进行人力资源（开发人员配备人数、对应姓名、学历、从业经验如从事相关开发语言的时间、从事核心软件的时间）。</w:t>
            </w:r>
          </w:p>
          <w:p>
            <w:pPr>
              <w:keepLines/>
              <w:widowControl/>
              <w:tabs>
                <w:tab w:val="left" w:pos="794"/>
                <w:tab w:val="left" w:pos="1191"/>
                <w:tab w:val="left" w:pos="1588"/>
                <w:tab w:val="left" w:pos="1985"/>
              </w:tabs>
              <w:autoSpaceDE w:val="0"/>
              <w:autoSpaceDN w:val="0"/>
              <w:adjustRightInd w:val="0"/>
              <w:spacing w:line="360" w:lineRule="auto"/>
              <w:jc w:val="left"/>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优良(4-5]分；较好[2-4]分；一般[0-2）分。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p>
        </w:tc>
        <w:tc>
          <w:tcPr>
            <w:tcW w:w="1141" w:type="dxa"/>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供应商承诺</w:t>
            </w:r>
            <w:r>
              <w:rPr>
                <w:rFonts w:ascii="宋体" w:hAnsi="宋体" w:cs="宋体"/>
                <w:color w:val="000000" w:themeColor="text1"/>
                <w:kern w:val="0"/>
                <w:szCs w:val="21"/>
                <w:lang w:bidi="ar"/>
                <w14:textFill>
                  <w14:solidFill>
                    <w14:schemeClr w14:val="tx1"/>
                  </w14:solidFill>
                </w14:textFill>
              </w:rPr>
              <w:t>7*24</w:t>
            </w:r>
            <w:r>
              <w:rPr>
                <w:rFonts w:hint="eastAsia" w:ascii="宋体" w:hAnsi="宋体" w:cs="宋体"/>
                <w:color w:val="000000" w:themeColor="text1"/>
                <w:kern w:val="0"/>
                <w:szCs w:val="21"/>
                <w:lang w:bidi="ar"/>
                <w14:textFill>
                  <w14:solidFill>
                    <w14:schemeClr w14:val="tx1"/>
                  </w14:solidFill>
                </w14:textFill>
              </w:rPr>
              <w:t>小时服务，出现故障时，半小时内响应，</w:t>
            </w:r>
            <w:r>
              <w:rPr>
                <w:rFonts w:ascii="宋体" w:hAnsi="宋体" w:cs="宋体"/>
                <w:color w:val="000000" w:themeColor="text1"/>
                <w:kern w:val="0"/>
                <w:szCs w:val="21"/>
                <w:lang w:bidi="ar"/>
                <w14:textFill>
                  <w14:solidFill>
                    <w14:schemeClr w14:val="tx1"/>
                  </w14:solidFill>
                </w14:textFill>
              </w:rPr>
              <w:t>2小时内安排人员到达现场，8</w:t>
            </w:r>
            <w:r>
              <w:rPr>
                <w:rFonts w:hint="eastAsia" w:ascii="宋体" w:hAnsi="宋体" w:cs="宋体"/>
                <w:color w:val="000000" w:themeColor="text1"/>
                <w:kern w:val="0"/>
                <w:szCs w:val="21"/>
                <w:lang w:bidi="ar"/>
                <w14:textFill>
                  <w14:solidFill>
                    <w14:schemeClr w14:val="tx1"/>
                  </w14:solidFill>
                </w14:textFill>
              </w:rPr>
              <w:t>小时内完成故障修复得2</w:t>
            </w:r>
            <w:r>
              <w:rPr>
                <w:rFonts w:ascii="宋体" w:hAnsi="宋体" w:cs="宋体"/>
                <w:color w:val="000000" w:themeColor="text1"/>
                <w:kern w:val="0"/>
                <w:szCs w:val="21"/>
                <w:lang w:bidi="ar"/>
                <w14:textFill>
                  <w14:solidFill>
                    <w14:schemeClr w14:val="tx1"/>
                  </w14:solidFill>
                </w14:textFill>
              </w:rPr>
              <w:t>分，</w:t>
            </w:r>
            <w:r>
              <w:rPr>
                <w:rFonts w:hint="eastAsia" w:ascii="宋体" w:hAnsi="宋体" w:cs="宋体"/>
                <w:color w:val="000000" w:themeColor="text1"/>
                <w:kern w:val="0"/>
                <w:szCs w:val="21"/>
                <w:lang w:bidi="ar"/>
                <w14:textFill>
                  <w14:solidFill>
                    <w14:schemeClr w14:val="tx1"/>
                  </w14:solidFill>
                </w14:textFill>
              </w:rPr>
              <w:t>否则</w:t>
            </w:r>
            <w:r>
              <w:rPr>
                <w:rFonts w:ascii="宋体" w:hAnsi="宋体" w:cs="宋体"/>
                <w:color w:val="000000" w:themeColor="text1"/>
                <w:kern w:val="0"/>
                <w:szCs w:val="21"/>
                <w:lang w:bidi="ar"/>
                <w14:textFill>
                  <w14:solidFill>
                    <w14:schemeClr w14:val="tx1"/>
                  </w14:solidFill>
                </w14:textFill>
              </w:rPr>
              <w:t>不得分</w:t>
            </w:r>
            <w:r>
              <w:rPr>
                <w:rFonts w:hint="eastAsia" w:ascii="宋体" w:hAnsi="宋体" w:cs="宋体"/>
                <w:color w:val="000000" w:themeColor="text1"/>
                <w:kern w:val="0"/>
                <w:szCs w:val="21"/>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141" w:type="dxa"/>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s="宋体"/>
                <w:color w:val="000000" w:themeColor="text1"/>
                <w:kern w:val="0"/>
                <w:szCs w:val="21"/>
                <w14:textFill>
                  <w14:solidFill>
                    <w14:schemeClr w14:val="tx1"/>
                  </w14:solidFill>
                </w14:textFill>
              </w:rPr>
            </w:pPr>
          </w:p>
        </w:tc>
        <w:tc>
          <w:tcPr>
            <w:tcW w:w="1141" w:type="dxa"/>
            <w:vMerge w:val="continue"/>
            <w:tcBorders>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p>
        </w:tc>
        <w:tc>
          <w:tcPr>
            <w:tcW w:w="789"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6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w:t>
            </w:r>
          </w:p>
        </w:tc>
        <w:tc>
          <w:tcPr>
            <w:tcW w:w="652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免费包修期3年不得分。</w:t>
            </w:r>
            <w:r>
              <w:rPr>
                <w:rFonts w:hint="eastAsia"/>
                <w:color w:val="000000" w:themeColor="text1"/>
                <w:kern w:val="0"/>
                <w:szCs w:val="21"/>
                <w14:textFill>
                  <w14:solidFill>
                    <w14:schemeClr w14:val="tx1"/>
                  </w14:solidFill>
                </w14:textFill>
              </w:rPr>
              <w:t>每增加</w:t>
            </w: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年得</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分，满分</w:t>
            </w:r>
            <w:r>
              <w:rPr>
                <w:color w:val="000000" w:themeColor="text1"/>
                <w:kern w:val="0"/>
                <w:szCs w:val="21"/>
                <w14:textFill>
                  <w14:solidFill>
                    <w14:schemeClr w14:val="tx1"/>
                  </w14:solidFill>
                </w14:textFill>
              </w:rPr>
              <w:t>4</w:t>
            </w:r>
            <w:r>
              <w:rPr>
                <w:rFonts w:hint="eastAsia"/>
                <w:color w:val="000000" w:themeColor="text1"/>
                <w:kern w:val="0"/>
                <w:szCs w:val="21"/>
                <w14:textFill>
                  <w14:solidFill>
                    <w14:schemeClr w14:val="tx1"/>
                  </w14:solidFill>
                </w14:textFill>
              </w:rPr>
              <w:t>分。</w:t>
            </w:r>
          </w:p>
        </w:tc>
      </w:tr>
    </w:tbl>
    <w:p>
      <w:pPr>
        <w:spacing w:line="360" w:lineRule="auto"/>
        <w:rPr>
          <w:b/>
          <w:bCs/>
          <w:color w:val="000000" w:themeColor="text1"/>
          <w:sz w:val="24"/>
          <w14:textFill>
            <w14:solidFill>
              <w14:schemeClr w14:val="tx1"/>
            </w14:solidFill>
          </w14:textFill>
        </w:rPr>
      </w:pPr>
    </w:p>
    <w:p>
      <w:pPr>
        <w:pStyle w:val="3"/>
        <w:numPr>
          <w:ilvl w:val="0"/>
          <w:numId w:val="0"/>
        </w:numPr>
        <w:spacing w:before="0" w:after="0" w:line="360" w:lineRule="auto"/>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25" w:name="_Toc69378618"/>
      <w:r>
        <w:rPr>
          <w:rFonts w:hint="eastAsia"/>
          <w:b/>
          <w:color w:val="000000" w:themeColor="text1"/>
          <w:sz w:val="36"/>
          <w:szCs w:val="36"/>
          <w14:textFill>
            <w14:solidFill>
              <w14:schemeClr w14:val="tx1"/>
            </w14:solidFill>
          </w14:textFill>
        </w:rPr>
        <w:t>第四章</w:t>
      </w:r>
      <w:bookmarkStart w:id="26" w:name="_Hlk111793745"/>
      <w:r>
        <w:rPr>
          <w:b/>
          <w:color w:val="000000" w:themeColor="text1"/>
          <w:sz w:val="36"/>
          <w:szCs w:val="36"/>
          <w14:textFill>
            <w14:solidFill>
              <w14:schemeClr w14:val="tx1"/>
            </w14:solidFill>
          </w14:textFill>
        </w:rPr>
        <w:t>合同格式</w:t>
      </w:r>
      <w:bookmarkEnd w:id="25"/>
      <w:bookmarkEnd w:id="26"/>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14:textFill>
            <w14:solidFill>
              <w14:schemeClr w14:val="tx1"/>
            </w14:solidFill>
          </w14:textFill>
        </w:rPr>
        <w:t>磋商</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磋商</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章《合同格式》内容的任何负偏离均将导致废标。</w:t>
      </w:r>
    </w:p>
    <w:p>
      <w:pPr>
        <w:widowControl/>
        <w:spacing w:line="300" w:lineRule="auto"/>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pPr>
        <w:spacing w:line="300" w:lineRule="auto"/>
        <w:jc w:val="center"/>
        <w:rPr>
          <w:rFonts w:ascii="黑体" w:hAnsi="宋体" w:eastAsia="黑体"/>
          <w:color w:val="000000" w:themeColor="text1"/>
          <w:kern w:val="0"/>
          <w14:textFill>
            <w14:solidFill>
              <w14:schemeClr w14:val="tx1"/>
            </w14:solidFill>
          </w14:textFill>
        </w:rPr>
      </w:pPr>
      <w:r>
        <w:rPr>
          <w:rFonts w:hint="eastAsia" w:eastAsia="黑体"/>
          <w:color w:val="000000" w:themeColor="text1"/>
          <w:sz w:val="37"/>
          <w14:textFill>
            <w14:solidFill>
              <w14:schemeClr w14:val="tx1"/>
            </w14:solidFill>
          </w14:textFill>
        </w:rPr>
        <w:t>合同格式</w:t>
      </w:r>
    </w:p>
    <w:p>
      <w:pPr>
        <w:spacing w:line="360" w:lineRule="auto"/>
        <w:ind w:firstLine="422" w:firstLineChars="200"/>
        <w:rPr>
          <w:rFonts w:ascii="宋体" w:hAnsi="宋体"/>
          <w:color w:val="000000" w:themeColor="text1"/>
          <w:szCs w:val="21"/>
          <w14:textFill>
            <w14:solidFill>
              <w14:schemeClr w14:val="tx1"/>
            </w14:solidFill>
          </w14:textFill>
        </w:rPr>
      </w:pPr>
      <w:r>
        <w:rPr>
          <w:rFonts w:ascii="宋体" w:hAnsi="宋体"/>
          <w:b/>
          <w:color w:val="000000" w:themeColor="text1"/>
          <w:szCs w:val="21"/>
          <w:u w:val="single"/>
          <w14:textFill>
            <w14:solidFill>
              <w14:schemeClr w14:val="tx1"/>
            </w14:solidFill>
          </w14:textFill>
        </w:rPr>
        <w:t>江苏省广电有线信息网络股份有限公司（以下简称“甲方”）</w:t>
      </w:r>
      <w:r>
        <w:rPr>
          <w:rFonts w:ascii="宋体" w:hAnsi="宋体"/>
          <w:color w:val="000000" w:themeColor="text1"/>
          <w:szCs w:val="21"/>
          <w14:textFill>
            <w14:solidFill>
              <w14:schemeClr w14:val="tx1"/>
            </w14:solidFill>
          </w14:textFill>
        </w:rPr>
        <w:t>就</w:t>
      </w:r>
      <w:r>
        <w:rPr>
          <w:rFonts w:hint="eastAsia" w:ascii="宋体" w:hAnsi="宋体"/>
          <w:b/>
          <w:color w:val="000000" w:themeColor="text1"/>
          <w:szCs w:val="21"/>
          <w:u w:val="single"/>
          <w14:textFill>
            <w14:solidFill>
              <w14:schemeClr w14:val="tx1"/>
            </w14:solidFill>
          </w14:textFill>
        </w:rPr>
        <w:t>IP平台融合业务管理系统建设-IP直播中台建设</w:t>
      </w:r>
      <w:r>
        <w:rPr>
          <w:rFonts w:ascii="宋体" w:hAnsi="宋体"/>
          <w:color w:val="000000" w:themeColor="text1"/>
          <w:szCs w:val="21"/>
          <w14:textFill>
            <w14:solidFill>
              <w14:schemeClr w14:val="tx1"/>
            </w14:solidFill>
          </w14:textFill>
        </w:rPr>
        <w:t>的采购及相关服务组织了</w:t>
      </w:r>
      <w:r>
        <w:rPr>
          <w:rFonts w:hint="eastAsia" w:ascii="宋体" w:hAnsi="宋体"/>
          <w:color w:val="000000" w:themeColor="text1"/>
          <w:szCs w:val="21"/>
          <w14:textFill>
            <w14:solidFill>
              <w14:schemeClr w14:val="tx1"/>
            </w14:solidFill>
          </w14:textFill>
        </w:rPr>
        <w:t>竞争性磋商</w:t>
      </w:r>
      <w:r>
        <w:rPr>
          <w:rFonts w:ascii="宋体" w:hAnsi="宋体"/>
          <w:color w:val="000000" w:themeColor="text1"/>
          <w:szCs w:val="21"/>
          <w14:textFill>
            <w14:solidFill>
              <w14:schemeClr w14:val="tx1"/>
            </w14:solidFill>
          </w14:textFill>
        </w:rPr>
        <w:t>，经评委会严格评审，本项目由</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公司</w:t>
      </w:r>
      <w:r>
        <w:rPr>
          <w:rFonts w:ascii="宋体" w:hAnsi="宋体"/>
          <w:b/>
          <w:color w:val="000000" w:themeColor="text1"/>
          <w:szCs w:val="21"/>
          <w14:textFill>
            <w14:solidFill>
              <w14:schemeClr w14:val="tx1"/>
            </w14:solidFill>
          </w14:textFill>
        </w:rPr>
        <w:t>（以下简称“乙方”）</w:t>
      </w:r>
      <w:r>
        <w:rPr>
          <w:rFonts w:ascii="宋体" w:hAnsi="宋体"/>
          <w:color w:val="000000" w:themeColor="text1"/>
          <w:szCs w:val="21"/>
          <w14:textFill>
            <w14:solidFill>
              <w14:schemeClr w14:val="tx1"/>
            </w14:solidFill>
          </w14:textFill>
        </w:rPr>
        <w:t>中</w:t>
      </w:r>
      <w:r>
        <w:rPr>
          <w:rFonts w:hint="eastAsia" w:ascii="宋体" w:hAnsi="宋体"/>
          <w:color w:val="000000" w:themeColor="text1"/>
          <w:szCs w:val="21"/>
          <w14:textFill>
            <w14:solidFill>
              <w14:schemeClr w14:val="tx1"/>
            </w14:solidFill>
          </w14:textFill>
        </w:rPr>
        <w:t>选</w:t>
      </w:r>
      <w:r>
        <w:rPr>
          <w:rFonts w:ascii="宋体" w:hAnsi="宋体"/>
          <w:color w:val="000000" w:themeColor="text1"/>
          <w:szCs w:val="21"/>
          <w14:textFill>
            <w14:solidFill>
              <w14:schemeClr w14:val="tx1"/>
            </w14:solidFill>
          </w14:textFill>
        </w:rPr>
        <w:t>。</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甲</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乙</w:t>
      </w:r>
      <w:r>
        <w:rPr>
          <w:rFonts w:ascii="宋体" w:hAnsi="宋体"/>
          <w:bCs/>
          <w:color w:val="000000" w:themeColor="text1"/>
          <w:szCs w:val="21"/>
          <w14:textFill>
            <w14:solidFill>
              <w14:schemeClr w14:val="tx1"/>
            </w14:solidFill>
          </w14:textFill>
        </w:rPr>
        <w:t>双方根据</w:t>
      </w:r>
      <w:r>
        <w:rPr>
          <w:rFonts w:hint="eastAsia" w:ascii="宋体" w:hAnsi="宋体"/>
          <w:color w:val="000000" w:themeColor="text1"/>
          <w:szCs w:val="21"/>
          <w14:textFill>
            <w14:solidFill>
              <w14:schemeClr w14:val="tx1"/>
            </w14:solidFill>
          </w14:textFill>
        </w:rPr>
        <w:t>竞争性磋商</w:t>
      </w:r>
      <w:r>
        <w:rPr>
          <w:rFonts w:ascii="宋体" w:hAnsi="宋体"/>
          <w:color w:val="000000" w:themeColor="text1"/>
          <w:szCs w:val="21"/>
          <w14:textFill>
            <w14:solidFill>
              <w14:schemeClr w14:val="tx1"/>
            </w14:solidFill>
          </w14:textFill>
        </w:rPr>
        <w:t>文件的规定、乙方</w:t>
      </w:r>
      <w:r>
        <w:rPr>
          <w:rFonts w:hint="eastAsia" w:ascii="宋体" w:hAnsi="宋体"/>
          <w:color w:val="000000" w:themeColor="text1"/>
          <w:szCs w:val="21"/>
          <w14:textFill>
            <w14:solidFill>
              <w14:schemeClr w14:val="tx1"/>
            </w14:solidFill>
          </w14:textFill>
        </w:rPr>
        <w:t>响应</w:t>
      </w:r>
      <w:r>
        <w:rPr>
          <w:rFonts w:ascii="宋体" w:hAnsi="宋体"/>
          <w:color w:val="000000" w:themeColor="text1"/>
          <w:szCs w:val="21"/>
          <w14:textFill>
            <w14:solidFill>
              <w14:schemeClr w14:val="tx1"/>
            </w14:solidFill>
          </w14:textFill>
        </w:rPr>
        <w:t>文件及</w:t>
      </w:r>
      <w:r>
        <w:rPr>
          <w:rFonts w:hint="eastAsia" w:ascii="宋体" w:hAnsi="宋体"/>
          <w:color w:val="000000" w:themeColor="text1"/>
          <w:szCs w:val="21"/>
          <w14:textFill>
            <w14:solidFill>
              <w14:schemeClr w14:val="tx1"/>
            </w14:solidFill>
          </w14:textFill>
        </w:rPr>
        <w:t>磋商</w:t>
      </w:r>
      <w:r>
        <w:rPr>
          <w:rFonts w:ascii="宋体" w:hAnsi="宋体"/>
          <w:color w:val="000000" w:themeColor="text1"/>
          <w:szCs w:val="21"/>
          <w14:textFill>
            <w14:solidFill>
              <w14:schemeClr w14:val="tx1"/>
            </w14:solidFill>
          </w14:textFill>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bookmarkStart w:id="27" w:name="_Toc69378619"/>
      <w:r>
        <w:rPr>
          <w:rFonts w:ascii="宋体" w:hAnsi="宋体" w:eastAsia="宋体" w:cs="宋体"/>
          <w:b/>
          <w:bCs w:val="0"/>
          <w:color w:val="000000" w:themeColor="text1"/>
          <w:sz w:val="21"/>
          <w:szCs w:val="21"/>
          <w14:textFill>
            <w14:solidFill>
              <w14:schemeClr w14:val="tx1"/>
            </w14:solidFill>
          </w14:textFill>
        </w:rPr>
        <w:t>一、项目标的和内容</w:t>
      </w:r>
      <w:bookmarkEnd w:id="27"/>
    </w:p>
    <w:p>
      <w:pPr>
        <w:spacing w:line="360" w:lineRule="auto"/>
        <w:ind w:firstLine="420" w:firstLineChars="200"/>
        <w:rPr>
          <w:color w:val="000000" w:themeColor="text1"/>
          <w:szCs w:val="21"/>
          <w14:textFill>
            <w14:solidFill>
              <w14:schemeClr w14:val="tx1"/>
            </w14:solidFill>
          </w14:textFill>
        </w:rPr>
      </w:pPr>
      <w:bookmarkStart w:id="28" w:name="_Toc69378620"/>
      <w:r>
        <w:rPr>
          <w:color w:val="000000" w:themeColor="text1"/>
          <w:szCs w:val="21"/>
          <w14:textFill>
            <w14:solidFill>
              <w14:schemeClr w14:val="tx1"/>
            </w14:solidFill>
          </w14:textFill>
        </w:rPr>
        <w:t>项目标的内容包括乙方按照甲方具体要求供应</w:t>
      </w:r>
      <w:r>
        <w:rPr>
          <w:rFonts w:hint="eastAsia" w:ascii="Tahoma" w:hAnsi="Tahoma"/>
          <w:color w:val="000000" w:themeColor="text1"/>
          <w:sz w:val="24"/>
          <w:u w:val="single"/>
          <w14:textFill>
            <w14:solidFill>
              <w14:schemeClr w14:val="tx1"/>
            </w14:solidFill>
          </w14:textFill>
        </w:rPr>
        <w:t>“</w:t>
      </w:r>
      <w:r>
        <w:rPr>
          <w:rFonts w:hint="eastAsia"/>
          <w:b/>
          <w:bCs/>
          <w:color w:val="000000" w:themeColor="text1"/>
          <w:szCs w:val="21"/>
          <w:u w:val="single"/>
          <w14:textFill>
            <w14:solidFill>
              <w14:schemeClr w14:val="tx1"/>
            </w14:solidFill>
          </w14:textFill>
        </w:rPr>
        <w:t>IP平台融合业务管理系统建设-IP直播中台建设</w:t>
      </w:r>
      <w:r>
        <w:rPr>
          <w:rFonts w:hint="eastAsia" w:ascii="Tahoma" w:hAnsi="Tahoma"/>
          <w:color w:val="000000" w:themeColor="text1"/>
          <w:sz w:val="24"/>
          <w:u w:val="single"/>
          <w14:textFill>
            <w14:solidFill>
              <w14:schemeClr w14:val="tx1"/>
            </w14:solidFill>
          </w14:textFill>
        </w:rPr>
        <w:t>”</w:t>
      </w:r>
      <w:r>
        <w:rPr>
          <w:color w:val="000000" w:themeColor="text1"/>
          <w:szCs w:val="21"/>
          <w14:textFill>
            <w14:solidFill>
              <w14:schemeClr w14:val="tx1"/>
            </w14:solidFill>
          </w14:textFill>
        </w:rPr>
        <w:t>相</w:t>
      </w:r>
      <w:r>
        <w:rPr>
          <w:rFonts w:hint="eastAsia" w:ascii="宋体" w:hAnsi="宋体"/>
          <w:color w:val="000000" w:themeColor="text1"/>
          <w:szCs w:val="21"/>
          <w14:textFill>
            <w14:solidFill>
              <w14:schemeClr w14:val="tx1"/>
            </w14:solidFill>
          </w14:textFill>
        </w:rPr>
        <w:t>关软、硬件设备、辅材</w:t>
      </w:r>
      <w:r>
        <w:rPr>
          <w:color w:val="000000" w:themeColor="text1"/>
          <w:szCs w:val="21"/>
          <w14:textFill>
            <w14:solidFill>
              <w14:schemeClr w14:val="tx1"/>
            </w14:solidFill>
          </w14:textFill>
        </w:rPr>
        <w:t>，并完成所有软件、调试及操作培训工作，同时</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方承诺配合</w:t>
      </w:r>
      <w:r>
        <w:rPr>
          <w:rFonts w:hint="eastAsia"/>
          <w:color w:val="000000" w:themeColor="text1"/>
          <w:szCs w:val="21"/>
          <w14:textFill>
            <w14:solidFill>
              <w14:schemeClr w14:val="tx1"/>
            </w14:solidFill>
          </w14:textFill>
        </w:rPr>
        <w:t>甲</w:t>
      </w:r>
      <w:r>
        <w:rPr>
          <w:color w:val="000000" w:themeColor="text1"/>
          <w:szCs w:val="21"/>
          <w14:textFill>
            <w14:solidFill>
              <w14:schemeClr w14:val="tx1"/>
            </w14:solidFill>
          </w14:textFill>
        </w:rPr>
        <w:t>方及</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方指定的厂商完成相关的系统集成。具体设备名称、价格明细及总价等详见附件一：</w:t>
      </w:r>
      <w:r>
        <w:rPr>
          <w:rFonts w:hint="eastAsia"/>
          <w:color w:val="000000" w:themeColor="text1"/>
          <w:szCs w:val="21"/>
          <w14:textFill>
            <w14:solidFill>
              <w14:schemeClr w14:val="tx1"/>
            </w14:solidFill>
          </w14:textFill>
        </w:rPr>
        <w:t>价格表</w:t>
      </w:r>
      <w:r>
        <w:rPr>
          <w:color w:val="000000" w:themeColor="text1"/>
          <w:szCs w:val="21"/>
          <w14:textFill>
            <w14:solidFill>
              <w14:schemeClr w14:val="tx1"/>
            </w14:solidFill>
          </w14:textFill>
        </w:rPr>
        <w:t>。</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ascii="宋体" w:hAnsi="宋体" w:eastAsia="宋体" w:cs="宋体"/>
          <w:b/>
          <w:bCs w:val="0"/>
          <w:color w:val="000000" w:themeColor="text1"/>
          <w:sz w:val="21"/>
          <w:szCs w:val="21"/>
          <w14:textFill>
            <w14:solidFill>
              <w14:schemeClr w14:val="tx1"/>
            </w14:solidFill>
          </w14:textFill>
        </w:rPr>
        <w:t>二、合同总价</w:t>
      </w:r>
      <w:bookmarkEnd w:id="28"/>
    </w:p>
    <w:p>
      <w:pPr>
        <w:numPr>
          <w:ilvl w:val="1"/>
          <w:numId w:val="6"/>
        </w:numPr>
        <w:tabs>
          <w:tab w:val="left" w:pos="0"/>
          <w:tab w:val="clear" w:pos="1155"/>
        </w:tabs>
        <w:spacing w:line="360" w:lineRule="auto"/>
        <w:ind w:left="0" w:firstLine="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合同总价</w:t>
      </w:r>
      <w:r>
        <w:rPr>
          <w:rFonts w:ascii="宋体" w:hAnsi="宋体"/>
          <w:b/>
          <w:color w:val="000000" w:themeColor="text1"/>
          <w:szCs w:val="21"/>
          <w14:textFill>
            <w14:solidFill>
              <w14:schemeClr w14:val="tx1"/>
            </w14:solidFill>
          </w14:textFill>
        </w:rPr>
        <w:t>（人民币大写）：</w:t>
      </w:r>
      <w:r>
        <w:rPr>
          <w:rFonts w:ascii="宋体" w:hAnsi="宋体"/>
          <w:b/>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spacing w:line="360" w:lineRule="auto"/>
        <w:ind w:firstLine="1265" w:firstLineChars="600"/>
        <w:rPr>
          <w:rFonts w:ascii="宋体" w:hAnsi="宋体"/>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（人民币小写）：</w:t>
      </w:r>
      <w:r>
        <w:rPr>
          <w:rFonts w:ascii="宋体" w:hAnsi="宋体"/>
          <w:b/>
          <w:color w:val="000000" w:themeColor="text1"/>
          <w:szCs w:val="21"/>
          <w:u w:val="single"/>
          <w14:textFill>
            <w14:solidFill>
              <w14:schemeClr w14:val="tx1"/>
            </w14:solidFill>
          </w14:textFill>
        </w:rPr>
        <w:t>￥</w:t>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p>
    <w:p>
      <w:pPr>
        <w:numPr>
          <w:ilvl w:val="1"/>
          <w:numId w:val="6"/>
        </w:numPr>
        <w:tabs>
          <w:tab w:val="left" w:pos="0"/>
          <w:tab w:val="clear" w:pos="1155"/>
        </w:tabs>
        <w:spacing w:line="360" w:lineRule="auto"/>
        <w:ind w:left="0" w:firstLine="0"/>
        <w:rPr>
          <w:color w:val="000000" w:themeColor="text1"/>
          <w:szCs w:val="21"/>
          <w14:textFill>
            <w14:solidFill>
              <w14:schemeClr w14:val="tx1"/>
            </w14:solidFill>
          </w14:textFill>
        </w:rPr>
      </w:pPr>
      <w:bookmarkStart w:id="29" w:name="_Hlk70610090"/>
      <w:r>
        <w:rPr>
          <w:color w:val="000000" w:themeColor="text1"/>
          <w:szCs w:val="21"/>
          <w14:textFill>
            <w14:solidFill>
              <w14:schemeClr w14:val="tx1"/>
            </w14:solidFill>
          </w14:textFill>
        </w:rPr>
        <w:t>合同总价系指按本合同的规定，</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方在完全履行了合同的义务后，</w:t>
      </w:r>
      <w:r>
        <w:rPr>
          <w:rFonts w:hint="eastAsia"/>
          <w:color w:val="000000" w:themeColor="text1"/>
          <w:szCs w:val="21"/>
          <w14:textFill>
            <w14:solidFill>
              <w14:schemeClr w14:val="tx1"/>
            </w14:solidFill>
          </w14:textFill>
        </w:rPr>
        <w:t>甲</w:t>
      </w:r>
      <w:r>
        <w:rPr>
          <w:color w:val="000000" w:themeColor="text1"/>
          <w:szCs w:val="21"/>
          <w14:textFill>
            <w14:solidFill>
              <w14:schemeClr w14:val="tx1"/>
            </w14:solidFill>
          </w14:textFill>
        </w:rPr>
        <w:t>方支付给</w:t>
      </w:r>
      <w:r>
        <w:rPr>
          <w:rFonts w:hint="eastAsia"/>
          <w:color w:val="000000" w:themeColor="text1"/>
          <w:szCs w:val="21"/>
          <w14:textFill>
            <w14:solidFill>
              <w14:schemeClr w14:val="tx1"/>
            </w14:solidFill>
          </w14:textFill>
        </w:rPr>
        <w:t>乙</w:t>
      </w:r>
      <w:r>
        <w:rPr>
          <w:color w:val="000000" w:themeColor="text1"/>
          <w:szCs w:val="21"/>
          <w14:textFill>
            <w14:solidFill>
              <w14:schemeClr w14:val="tx1"/>
            </w14:solidFill>
          </w14:textFill>
        </w:rPr>
        <w:t>方的总价款，包括但不限于软件的采购费、培训费、售后服务费，以及与所供产品和服务有关的一切税费</w:t>
      </w:r>
      <w:r>
        <w:rPr>
          <w:rFonts w:hint="eastAsia"/>
          <w:color w:val="000000" w:themeColor="text1"/>
          <w:szCs w:val="21"/>
          <w14:textFill>
            <w14:solidFill>
              <w14:schemeClr w14:val="tx1"/>
            </w14:solidFill>
          </w14:textFill>
        </w:rPr>
        <w:t>，除此之外，</w:t>
      </w:r>
      <w:r>
        <w:rPr>
          <w:color w:val="000000" w:themeColor="text1"/>
          <w:szCs w:val="21"/>
          <w14:textFill>
            <w14:solidFill>
              <w14:schemeClr w14:val="tx1"/>
            </w14:solidFill>
          </w14:textFill>
        </w:rPr>
        <w:t>甲</w:t>
      </w:r>
      <w:r>
        <w:rPr>
          <w:rFonts w:hint="eastAsia"/>
          <w:color w:val="000000" w:themeColor="text1"/>
          <w:szCs w:val="21"/>
          <w14:textFill>
            <w14:solidFill>
              <w14:schemeClr w14:val="tx1"/>
            </w14:solidFill>
          </w14:textFill>
        </w:rPr>
        <w:t>方不再以任何名义、任何方式向</w:t>
      </w:r>
      <w:r>
        <w:rPr>
          <w:color w:val="000000" w:themeColor="text1"/>
          <w:szCs w:val="21"/>
          <w14:textFill>
            <w14:solidFill>
              <w14:schemeClr w14:val="tx1"/>
            </w14:solidFill>
          </w14:textFill>
        </w:rPr>
        <w:t>乙</w:t>
      </w:r>
      <w:r>
        <w:rPr>
          <w:rFonts w:hint="eastAsia"/>
          <w:color w:val="000000" w:themeColor="text1"/>
          <w:szCs w:val="21"/>
          <w14:textFill>
            <w14:solidFill>
              <w14:schemeClr w14:val="tx1"/>
            </w14:solidFill>
          </w14:textFill>
        </w:rPr>
        <w:t>方支付费用</w:t>
      </w:r>
      <w:r>
        <w:rPr>
          <w:color w:val="000000" w:themeColor="text1"/>
          <w:szCs w:val="21"/>
          <w14:textFill>
            <w14:solidFill>
              <w14:schemeClr w14:val="tx1"/>
            </w14:solidFill>
          </w14:textFill>
        </w:rPr>
        <w:t>。</w:t>
      </w:r>
    </w:p>
    <w:p>
      <w:pPr>
        <w:numPr>
          <w:ilvl w:val="1"/>
          <w:numId w:val="6"/>
        </w:numPr>
        <w:tabs>
          <w:tab w:val="left" w:pos="0"/>
          <w:tab w:val="clear" w:pos="1155"/>
        </w:tabs>
        <w:spacing w:line="360" w:lineRule="auto"/>
        <w:ind w:left="0" w:firstLine="0"/>
        <w:rPr>
          <w:color w:val="000000" w:themeColor="text1"/>
          <w:szCs w:val="21"/>
          <w14:textFill>
            <w14:solidFill>
              <w14:schemeClr w14:val="tx1"/>
            </w14:solidFill>
          </w14:textFill>
        </w:rPr>
      </w:pPr>
      <w:r>
        <w:rPr>
          <w:color w:val="000000" w:themeColor="text1"/>
          <w14:textFill>
            <w14:solidFill>
              <w14:schemeClr w14:val="tx1"/>
            </w14:solidFill>
          </w14:textFill>
        </w:rPr>
        <w:t>当国家法定增值税税率发生变更，甲乙双方约定以含税价格不变作为基准，调整增值税税额</w:t>
      </w:r>
      <w:bookmarkEnd w:id="29"/>
      <w:r>
        <w:rPr>
          <w:rFonts w:hint="eastAsia"/>
          <w:color w:val="000000" w:themeColor="text1"/>
          <w14:textFill>
            <w14:solidFill>
              <w14:schemeClr w14:val="tx1"/>
            </w14:solidFill>
          </w14:textFill>
        </w:rPr>
        <w:t>。</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三</w:t>
      </w:r>
      <w:r>
        <w:rPr>
          <w:rFonts w:ascii="宋体" w:hAnsi="宋体" w:eastAsia="宋体" w:cs="宋体"/>
          <w:b/>
          <w:bCs w:val="0"/>
          <w:color w:val="000000" w:themeColor="text1"/>
          <w:sz w:val="21"/>
          <w:szCs w:val="21"/>
          <w14:textFill>
            <w14:solidFill>
              <w14:schemeClr w14:val="tx1"/>
            </w14:solidFill>
          </w14:textFill>
        </w:rPr>
        <w:t>、付款方式及期限</w:t>
      </w:r>
    </w:p>
    <w:p>
      <w:pPr>
        <w:tabs>
          <w:tab w:val="left" w:pos="0"/>
        </w:tabs>
        <w:spacing w:line="360" w:lineRule="auto"/>
        <w:rPr>
          <w:color w:val="000000" w:themeColor="text1"/>
          <w:szCs w:val="21"/>
          <w14:textFill>
            <w14:solidFill>
              <w14:schemeClr w14:val="tx1"/>
            </w14:solidFill>
          </w14:textFill>
        </w:rPr>
      </w:pPr>
      <w:bookmarkStart w:id="30" w:name="_Toc69378621"/>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付款方式：</w:t>
      </w:r>
      <w:r>
        <w:rPr>
          <w:rFonts w:hint="eastAsia" w:ascii="宋体" w:hAnsi="宋体"/>
          <w:color w:val="000000" w:themeColor="text1"/>
          <w:szCs w:val="21"/>
          <w14:textFill>
            <w14:solidFill>
              <w14:schemeClr w14:val="tx1"/>
            </w14:solidFill>
          </w14:textFill>
        </w:rPr>
        <w:t>合同总价的</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0%，以半年期银行承兑汇票支付；剩余部分以转账的方式支付卖.</w:t>
      </w:r>
      <w:r>
        <w:rPr>
          <w:color w:val="000000" w:themeColor="text1"/>
          <w:szCs w:val="21"/>
          <w14:textFill>
            <w14:solidFill>
              <w14:schemeClr w14:val="tx1"/>
            </w14:solidFill>
          </w14:textFill>
        </w:rPr>
        <w:t>禁止将货款划入其他账号或支付现金。如收款方的账号和开户行变更，须及时以书面形式通知付款方，通知上必须同时盖有收款方的</w:t>
      </w:r>
      <w:r>
        <w:rPr>
          <w:rFonts w:hint="eastAsia"/>
          <w:color w:val="000000" w:themeColor="text1"/>
          <w:szCs w:val="21"/>
          <w14:textFill>
            <w14:solidFill>
              <w14:schemeClr w14:val="tx1"/>
            </w14:solidFill>
          </w14:textFill>
        </w:rPr>
        <w:t>公</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财务</w:t>
      </w:r>
      <w:r>
        <w:rPr>
          <w:rFonts w:hint="eastAsia"/>
          <w:color w:val="000000" w:themeColor="text1"/>
          <w:szCs w:val="21"/>
          <w14:textFill>
            <w14:solidFill>
              <w14:schemeClr w14:val="tx1"/>
            </w14:solidFill>
          </w14:textFill>
        </w:rPr>
        <w:t>专用</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bookmarkStart w:id="31" w:name="_Hlk111793772"/>
      <w:r>
        <w:rPr>
          <w:color w:val="000000" w:themeColor="text1"/>
          <w:szCs w:val="21"/>
          <w14:textFill>
            <w14:solidFill>
              <w14:schemeClr w14:val="tx1"/>
            </w14:solidFill>
          </w14:textFill>
        </w:rPr>
        <w:t>付款期限：</w:t>
      </w:r>
      <w:r>
        <w:rPr>
          <w:rFonts w:hint="eastAsia"/>
          <w:color w:val="000000" w:themeColor="text1"/>
          <w:szCs w:val="21"/>
          <w14:textFill>
            <w14:solidFill>
              <w14:schemeClr w14:val="tx1"/>
            </w14:solidFill>
          </w14:textFill>
        </w:rPr>
        <w:t>系统通过初验后转账支付合同额的</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0%，即人民币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；系统通过终验后</w:t>
      </w:r>
      <w:r>
        <w:rPr>
          <w:rFonts w:hint="eastAsia" w:ascii="宋体" w:hAnsi="宋体"/>
          <w:color w:val="000000" w:themeColor="text1"/>
          <w:szCs w:val="21"/>
          <w14:textFill>
            <w14:solidFill>
              <w14:schemeClr w14:val="tx1"/>
            </w14:solidFill>
          </w14:textFill>
        </w:rPr>
        <w:t>半年期银行承兑汇票</w:t>
      </w:r>
      <w:r>
        <w:rPr>
          <w:rFonts w:hint="eastAsia"/>
          <w:color w:val="000000" w:themeColor="text1"/>
          <w:szCs w:val="21"/>
          <w14:textFill>
            <w14:solidFill>
              <w14:schemeClr w14:val="tx1"/>
            </w14:solidFill>
          </w14:textFill>
        </w:rPr>
        <w:t>支付合同额的</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0%，即人民币</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；10%余款（转账支付）即人民币，作为质量保证金，在终验合格一年后的10个工作日之内支付7%，如乙方此时向甲方开据合同总额3%的银行保函（此保函须在免费包修期结束后到期），甲方在收到银行保函3</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bookmarkEnd w:id="31"/>
    </w:p>
    <w:p>
      <w:pPr>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质量保证金：质量保证金包含对履约的保证、对质量的保证和廉政的保证。在合同履行过程中，如</w:t>
      </w:r>
      <w:r>
        <w:rPr>
          <w:rFonts w:hint="eastAsia"/>
          <w:color w:val="000000" w:themeColor="text1"/>
          <w14:textFill>
            <w14:solidFill>
              <w14:schemeClr w14:val="tx1"/>
            </w14:solidFill>
          </w14:textFill>
        </w:rPr>
        <w:t>乙</w:t>
      </w:r>
      <w:r>
        <w:rPr>
          <w:color w:val="000000" w:themeColor="text1"/>
          <w14:textFill>
            <w14:solidFill>
              <w14:schemeClr w14:val="tx1"/>
            </w14:solidFill>
          </w14:textFill>
        </w:rPr>
        <w:t>方应承担履约保证、质量保证或廉政保证中约定的保证责任，</w:t>
      </w:r>
      <w:r>
        <w:rPr>
          <w:rFonts w:hint="eastAsia"/>
          <w:color w:val="000000" w:themeColor="text1"/>
          <w14:textFill>
            <w14:solidFill>
              <w14:schemeClr w14:val="tx1"/>
            </w14:solidFill>
          </w14:textFill>
        </w:rPr>
        <w:t>甲</w:t>
      </w:r>
      <w:r>
        <w:rPr>
          <w:color w:val="000000" w:themeColor="text1"/>
          <w14:textFill>
            <w14:solidFill>
              <w14:schemeClr w14:val="tx1"/>
            </w14:solidFill>
          </w14:textFill>
        </w:rPr>
        <w:t>方有权直接在质量保证金中扣除；扣除后保证金不足的，</w:t>
      </w:r>
      <w:r>
        <w:rPr>
          <w:rFonts w:hint="eastAsia"/>
          <w:color w:val="000000" w:themeColor="text1"/>
          <w14:textFill>
            <w14:solidFill>
              <w14:schemeClr w14:val="tx1"/>
            </w14:solidFill>
          </w14:textFill>
        </w:rPr>
        <w:t>乙</w:t>
      </w:r>
      <w:r>
        <w:rPr>
          <w:color w:val="000000" w:themeColor="text1"/>
          <w14:textFill>
            <w14:solidFill>
              <w14:schemeClr w14:val="tx1"/>
            </w14:solidFill>
          </w14:textFill>
        </w:rPr>
        <w:t>方应在五个工作日内补足，或由</w:t>
      </w:r>
      <w:r>
        <w:rPr>
          <w:rFonts w:hint="eastAsia"/>
          <w:color w:val="000000" w:themeColor="text1"/>
          <w14:textFill>
            <w14:solidFill>
              <w14:schemeClr w14:val="tx1"/>
            </w14:solidFill>
          </w14:textFill>
        </w:rPr>
        <w:t>甲</w:t>
      </w:r>
      <w:r>
        <w:rPr>
          <w:color w:val="000000" w:themeColor="text1"/>
          <w14:textFill>
            <w14:solidFill>
              <w14:schemeClr w14:val="tx1"/>
            </w14:solidFill>
          </w14:textFill>
        </w:rPr>
        <w:t>方直接在应付账款中扣除。</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4、付款前，乙方必须按照国家有关发票管理规定，向甲方一次性提供</w:t>
      </w:r>
      <w:r>
        <w:rPr>
          <w:rFonts w:hint="eastAsia"/>
          <w:color w:val="000000" w:themeColor="text1"/>
          <w14:textFill>
            <w14:solidFill>
              <w14:schemeClr w14:val="tx1"/>
            </w14:solidFill>
          </w14:textFill>
        </w:rPr>
        <w:t>合同总额的增值税专用发票</w:t>
      </w:r>
      <w:r>
        <w:rPr>
          <w:rFonts w:hint="eastAsia"/>
          <w:color w:val="000000" w:themeColor="text1"/>
          <w:szCs w:val="21"/>
          <w14:textFill>
            <w14:solidFill>
              <w14:schemeClr w14:val="tx1"/>
            </w14:solidFill>
          </w14:textFill>
        </w:rPr>
        <w:t>，由甲方审核无误后再支付货款，否则甲方有权拒绝或迟延支付货款，且不影响乙方履行本合同项下的义务，给甲方造成的损失由乙方承担。</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5、扣款细则</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135"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费用类别</w:t>
            </w:r>
          </w:p>
        </w:tc>
        <w:tc>
          <w:tcPr>
            <w:tcW w:w="2552"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适用状况</w:t>
            </w:r>
          </w:p>
        </w:tc>
        <w:tc>
          <w:tcPr>
            <w:tcW w:w="1938"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执行方法</w:t>
            </w:r>
          </w:p>
        </w:tc>
        <w:tc>
          <w:tcPr>
            <w:tcW w:w="1476"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罚款金额</w:t>
            </w:r>
          </w:p>
        </w:tc>
        <w:tc>
          <w:tcPr>
            <w:tcW w:w="1810" w:type="dxa"/>
            <w:vAlign w:val="center"/>
          </w:tcPr>
          <w:p>
            <w:pPr>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项目人员缺勤费用</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乙方未按照甲方的考勤要求开展工作或未经甲方同意擅自更换项目人员。</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由甲方项目经理提交项目考勤表</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提交财务部扣款</w:t>
            </w:r>
          </w:p>
        </w:tc>
        <w:tc>
          <w:tcPr>
            <w:tcW w:w="147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人天</w:t>
            </w:r>
          </w:p>
        </w:tc>
        <w:tc>
          <w:tcPr>
            <w:tcW w:w="1810" w:type="dxa"/>
            <w:vAlign w:val="center"/>
          </w:tcPr>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项目进度滞后费用</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乙方未按照提交的项目进度按时完成阶段性工作。</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由甲方项目经理完成项目进度确认表，提交财务部扣款</w:t>
            </w:r>
          </w:p>
        </w:tc>
        <w:tc>
          <w:tcPr>
            <w:tcW w:w="1476" w:type="dxa"/>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5000</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天</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服务质量不合格</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乙方提供的服务不满足事先约定的质量要求。</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由甲方项目经理完成产品质量缺陷说明，提交财务部扣款</w:t>
            </w:r>
          </w:p>
        </w:tc>
        <w:tc>
          <w:tcPr>
            <w:tcW w:w="1476" w:type="dxa"/>
            <w:vAlign w:val="center"/>
          </w:tcPr>
          <w:p>
            <w:pP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合同款</w:t>
            </w:r>
            <w:r>
              <w:rPr>
                <w:color w:val="000000" w:themeColor="text1"/>
                <w:szCs w:val="21"/>
                <w14:textFill>
                  <w14:solidFill>
                    <w14:schemeClr w14:val="tx1"/>
                  </w14:solidFill>
                </w14:textFill>
              </w:rPr>
              <w:t>*5%~10%</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技术支持延迟或售后不合格</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乙方未在要求的时间内解决甲方提出的符合包修或技术支持范围的问题</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由甲方项目经理完成售后反馈表，提交财务部扣款</w:t>
            </w:r>
          </w:p>
        </w:tc>
        <w:tc>
          <w:tcPr>
            <w:tcW w:w="1476" w:type="dxa"/>
            <w:vAlign w:val="center"/>
          </w:tcPr>
          <w:p>
            <w:pP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合同款</w:t>
            </w:r>
            <w:r>
              <w:rPr>
                <w:color w:val="000000" w:themeColor="text1"/>
                <w:szCs w:val="21"/>
                <w14:textFill>
                  <w14:solidFill>
                    <w14:schemeClr w14:val="tx1"/>
                  </w14:solidFill>
                </w14:textFill>
              </w:rPr>
              <w:t>*5%~10%</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13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文档缺失或质量不合格</w:t>
            </w:r>
          </w:p>
        </w:tc>
        <w:tc>
          <w:tcPr>
            <w:tcW w:w="255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乙方未提供或提供的技术规范、培训材料等文档</w:t>
            </w:r>
          </w:p>
        </w:tc>
        <w:tc>
          <w:tcPr>
            <w:tcW w:w="1938"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由甲方项目经理确认文档条目，提交财务部扣款</w:t>
            </w:r>
          </w:p>
        </w:tc>
        <w:tc>
          <w:tcPr>
            <w:tcW w:w="1476" w:type="dxa"/>
            <w:vAlign w:val="center"/>
          </w:tcPr>
          <w:p>
            <w:pP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合同款</w:t>
            </w:r>
            <w:r>
              <w:rPr>
                <w:color w:val="000000" w:themeColor="text1"/>
                <w:szCs w:val="21"/>
                <w14:textFill>
                  <w14:solidFill>
                    <w14:schemeClr w14:val="tx1"/>
                  </w14:solidFill>
                </w14:textFill>
              </w:rPr>
              <w:t>*5%~10%</w:t>
            </w:r>
          </w:p>
        </w:tc>
        <w:tc>
          <w:tcPr>
            <w:tcW w:w="1810"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视文档重要性</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四</w:t>
      </w:r>
      <w:r>
        <w:rPr>
          <w:rFonts w:ascii="宋体" w:hAnsi="宋体" w:eastAsia="宋体" w:cs="宋体"/>
          <w:b/>
          <w:bCs w:val="0"/>
          <w:color w:val="000000" w:themeColor="text1"/>
          <w:sz w:val="21"/>
          <w:szCs w:val="21"/>
          <w14:textFill>
            <w14:solidFill>
              <w14:schemeClr w14:val="tx1"/>
            </w14:solidFill>
          </w14:textFill>
        </w:rPr>
        <w:t>、</w:t>
      </w:r>
      <w:r>
        <w:rPr>
          <w:rFonts w:hint="eastAsia" w:ascii="宋体" w:hAnsi="宋体" w:eastAsia="宋体" w:cs="宋体"/>
          <w:b/>
          <w:bCs w:val="0"/>
          <w:color w:val="000000" w:themeColor="text1"/>
          <w:sz w:val="21"/>
          <w:szCs w:val="21"/>
          <w14:textFill>
            <w14:solidFill>
              <w14:schemeClr w14:val="tx1"/>
            </w14:solidFill>
          </w14:textFill>
        </w:rPr>
        <w:t>产品的质量要求</w:t>
      </w:r>
    </w:p>
    <w:p>
      <w:pPr>
        <w:snapToGrid w:val="0"/>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乙方所提供的软件的技术指标和技术性能必须完全满足甲方在“IP平台融合业务管理系统-IP直播中台建设”采购文件中提出的技术要求，乙方所提供的软件的功能与服务实现必须完全遵守响应文件和谈判时做出的书面承诺；乙方保证所开发软件没有任何版权或其他权属争议，且符合相应技术规定的品质和技术要求。若项目涉及的技术性能无相应说明，则按国家或国际有关部门最新颁布的标准及规范为准。同时，乙方保证提供的所有技术是现阶段主流技术。</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软件的技术文档乙方必须以光盘、电子文档和纸质等的包装方式提供所开发软件安装及日常运行维护所需的全部技术文件（含软件），提供软件的全部技术文档包括但不限于源代码、接口文档、设计方案、模块开发卷宗、测试方案、用户手册、系统业务规则等，提供软件及安装调试、系统集成及日常运行维护所需的全部技术文件</w:t>
      </w:r>
      <w:r>
        <w:rPr>
          <w:color w:val="000000" w:themeColor="text1"/>
          <w:szCs w:val="21"/>
          <w14:textFill>
            <w14:solidFill>
              <w14:schemeClr w14:val="tx1"/>
            </w14:solidFill>
          </w14:textFill>
        </w:rPr>
        <w:t>。</w:t>
      </w:r>
    </w:p>
    <w:bookmarkEnd w:id="30"/>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bookmarkStart w:id="32" w:name="_Toc69378629"/>
      <w:r>
        <w:rPr>
          <w:rFonts w:hint="eastAsia" w:ascii="宋体" w:hAnsi="宋体" w:eastAsia="宋体" w:cs="宋体"/>
          <w:b/>
          <w:bCs w:val="0"/>
          <w:color w:val="000000" w:themeColor="text1"/>
          <w:sz w:val="21"/>
          <w:szCs w:val="21"/>
          <w14:textFill>
            <w14:solidFill>
              <w14:schemeClr w14:val="tx1"/>
            </w14:solidFill>
          </w14:textFill>
        </w:rPr>
        <w:t>五、</w:t>
      </w:r>
      <w:bookmarkEnd w:id="32"/>
      <w:bookmarkStart w:id="33" w:name="_Toc69378632"/>
      <w:r>
        <w:rPr>
          <w:rFonts w:hint="eastAsia" w:ascii="宋体" w:hAnsi="宋体" w:eastAsia="宋体" w:cs="宋体"/>
          <w:b/>
          <w:bCs w:val="0"/>
          <w:color w:val="000000" w:themeColor="text1"/>
          <w:sz w:val="21"/>
          <w:szCs w:val="21"/>
          <w14:textFill>
            <w14:solidFill>
              <w14:schemeClr w14:val="tx1"/>
            </w14:solidFill>
          </w14:textFill>
        </w:rPr>
        <w:t>其他费用</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乙方承担所有产品的保险等费用。</w:t>
      </w:r>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八、开发周期</w:t>
      </w:r>
    </w:p>
    <w:p>
      <w:pPr>
        <w:numPr>
          <w:ilvl w:val="255"/>
          <w:numId w:val="0"/>
        </w:num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要求于签订合同后的</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天（不超过6</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天）内完成系统所有功能模块与接口的开发、改造、现场安装和调试以及相应的集成对接工作。</w:t>
      </w:r>
      <w:r>
        <w:rPr>
          <w:rFonts w:hint="eastAsia" w:ascii="宋体" w:hAnsi="宋体" w:cs="宋体"/>
          <w:color w:val="000000" w:themeColor="text1"/>
          <w:szCs w:val="21"/>
          <w14:textFill>
            <w14:solidFill>
              <w14:schemeClr w14:val="tx1"/>
            </w14:solidFill>
          </w14:textFill>
        </w:rPr>
        <w:t>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乙方逾期交货，甲方接受的，不影响甲方追究乙方逾期交货的违约责任。</w:t>
      </w:r>
      <w:bookmarkEnd w:id="33"/>
    </w:p>
    <w:p>
      <w:pPr>
        <w:pStyle w:val="3"/>
        <w:widowControl/>
        <w:numPr>
          <w:ilvl w:val="0"/>
          <w:numId w:val="0"/>
        </w:numPr>
        <w:tabs>
          <w:tab w:val="left" w:pos="25"/>
        </w:tabs>
        <w:spacing w:before="0" w:after="0" w:line="360" w:lineRule="auto"/>
        <w:jc w:val="left"/>
        <w:rPr>
          <w:rFonts w:ascii="宋体" w:hAnsi="宋体" w:eastAsia="宋体" w:cs="宋体"/>
          <w:b/>
          <w:bCs w:val="0"/>
          <w:color w:val="000000" w:themeColor="text1"/>
          <w:sz w:val="21"/>
          <w:szCs w:val="21"/>
          <w14:textFill>
            <w14:solidFill>
              <w14:schemeClr w14:val="tx1"/>
            </w14:solidFill>
          </w14:textFill>
        </w:rPr>
      </w:pPr>
      <w:bookmarkStart w:id="34" w:name="_Toc69378633"/>
      <w:r>
        <w:rPr>
          <w:rFonts w:hint="eastAsia" w:ascii="宋体" w:hAnsi="宋体" w:eastAsia="宋体" w:cs="宋体"/>
          <w:b/>
          <w:bCs w:val="0"/>
          <w:color w:val="000000" w:themeColor="text1"/>
          <w:sz w:val="21"/>
          <w:szCs w:val="21"/>
          <w14:textFill>
            <w14:solidFill>
              <w14:schemeClr w14:val="tx1"/>
            </w14:solidFill>
          </w14:textFill>
        </w:rPr>
        <w:t>九、验收标准</w:t>
      </w:r>
    </w:p>
    <w:p>
      <w:pPr>
        <w:numPr>
          <w:ilvl w:val="0"/>
          <w:numId w:val="7"/>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w:t>
      </w:r>
      <w:r>
        <w:rPr>
          <w:rFonts w:hint="eastAsia"/>
          <w:b/>
          <w:bCs/>
          <w:color w:val="000000" w:themeColor="text1"/>
          <w:szCs w:val="21"/>
          <w:u w:val="single"/>
          <w14:textFill>
            <w14:solidFill>
              <w14:schemeClr w14:val="tx1"/>
            </w14:solidFill>
          </w14:textFill>
        </w:rPr>
        <w:t>IP平台融合业务管理系统建设-IP直播中台建设</w:t>
      </w:r>
      <w:r>
        <w:rPr>
          <w:rFonts w:hint="eastAsia" w:ascii="宋体" w:hAnsi="宋体"/>
          <w:color w:val="000000" w:themeColor="text1"/>
          <w:szCs w:val="21"/>
          <w14:textFill>
            <w14:solidFill>
              <w14:schemeClr w14:val="tx1"/>
            </w14:solidFill>
          </w14:textFill>
        </w:rPr>
        <w:t>”系统初验申请报告，甲方应在接到乙方提供的系统初验申请报告后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个工作日内组织有关部门验收，并在验收后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个工作日内给予验收结果或提出修改意见。</w:t>
      </w:r>
    </w:p>
    <w:p>
      <w:pPr>
        <w:numPr>
          <w:ilvl w:val="0"/>
          <w:numId w:val="7"/>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如第一次初验或终验未通过，甲方应将有关不符合要求的情况书面通知乙方，乙方应在收到甲方书面通知后</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天内完成对系统的调整，使系统达到验收标准，并再次向甲方提出验收申请。甲方应在接到调整后的系统验收申请报告</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个工作日内组织第二次验收。如系统仍未通过验收，则视为系统不合格，甲方有权按照本合同的相关条款追究乙方的责任。</w:t>
      </w:r>
    </w:p>
    <w:p>
      <w:pPr>
        <w:numPr>
          <w:ilvl w:val="0"/>
          <w:numId w:val="7"/>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因甲方原因未能及时组织初验或终验，甲方应在乙方的协助下尽快解决问题。</w:t>
      </w:r>
    </w:p>
    <w:p>
      <w:pPr>
        <w:numPr>
          <w:ilvl w:val="0"/>
          <w:numId w:val="7"/>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甲乙双方应按合同规定的时间进行初验和终验，验收时间因各种原因需要更改的，甲乙双方应共同商定修改验收日期。</w:t>
      </w:r>
    </w:p>
    <w:p>
      <w:pPr>
        <w:numPr>
          <w:ilvl w:val="0"/>
          <w:numId w:val="7"/>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在初验和终验过程中，若一方对验收过程或结果提出质疑，且经协商不成的，可由甲方选择法定检验机构进行检验，检验费用由乙方承担。</w:t>
      </w:r>
    </w:p>
    <w:p>
      <w:pPr>
        <w:numPr>
          <w:ilvl w:val="0"/>
          <w:numId w:val="7"/>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甲乙双方约定合同产品检验期自交货日起至终验通过之日止。</w:t>
      </w:r>
    </w:p>
    <w:p>
      <w:pPr>
        <w:pStyle w:val="3"/>
        <w:numPr>
          <w:ilvl w:val="255"/>
          <w:numId w:val="0"/>
        </w:numPr>
        <w:adjustRightInd w:val="0"/>
        <w:snapToGrid w:val="0"/>
        <w:spacing w:before="0" w:after="0" w:line="360" w:lineRule="auto"/>
        <w:ind w:left="4"/>
        <w:jc w:val="left"/>
        <w:rPr>
          <w:rFonts w:ascii="宋体" w:hAnsi="宋体" w:eastAsia="宋体"/>
          <w:b/>
          <w:color w:val="000000" w:themeColor="text1"/>
          <w:kern w:val="2"/>
          <w:sz w:val="21"/>
          <w:szCs w:val="21"/>
          <w14:textFill>
            <w14:solidFill>
              <w14:schemeClr w14:val="tx1"/>
            </w14:solidFill>
          </w14:textFill>
        </w:rPr>
      </w:pPr>
      <w:bookmarkStart w:id="35" w:name="_Toc72326302"/>
      <w:r>
        <w:rPr>
          <w:rFonts w:hint="eastAsia" w:ascii="宋体" w:hAnsi="宋体" w:eastAsia="宋体"/>
          <w:b/>
          <w:color w:val="000000" w:themeColor="text1"/>
          <w:kern w:val="2"/>
          <w:sz w:val="21"/>
          <w:szCs w:val="21"/>
          <w14:textFill>
            <w14:solidFill>
              <w14:schemeClr w14:val="tx1"/>
            </w14:solidFill>
          </w14:textFill>
        </w:rPr>
        <w:t>十、售后服务</w:t>
      </w:r>
      <w:bookmarkEnd w:id="35"/>
    </w:p>
    <w:p>
      <w:pPr>
        <w:numPr>
          <w:ilvl w:val="0"/>
          <w:numId w:val="8"/>
        </w:numPr>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服务响应时间：乙方提供每周</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天×</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小时的技术支持和服务。如果出现技术问题或故障，乙方应按响应文件和磋商时做出的书面承诺提供相应的服务和技术支持。</w:t>
      </w:r>
      <w:r>
        <w:rPr>
          <w:rFonts w:ascii="宋体" w:hAnsi="宋体"/>
          <w:color w:val="000000" w:themeColor="text1"/>
          <w:szCs w:val="21"/>
          <w14:textFill>
            <w14:solidFill>
              <w14:schemeClr w14:val="tx1"/>
            </w14:solidFill>
          </w14:textFill>
        </w:rPr>
        <w:t>在接到通知后1小时内应答，6小时内派出代表到达现场进行处理。在得到</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同意后，或在规定期限内，</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代表仍未到达现场，</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可以自己进行故障处理，并要求</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承担相应费用。重大技术故障</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需要明确处理的时间。</w:t>
      </w:r>
    </w:p>
    <w:p>
      <w:pPr>
        <w:numPr>
          <w:ilvl w:val="0"/>
          <w:numId w:val="8"/>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包修期：免费包修期</w:t>
      </w:r>
      <w:r>
        <w:rPr>
          <w:rFonts w:hint="eastAsia" w:ascii="宋体" w:hAnsi="宋体" w:cs="宋体"/>
          <w:color w:val="000000" w:themeColor="text1"/>
          <w:szCs w:val="21"/>
          <w14:textFill>
            <w14:solidFill>
              <w14:schemeClr w14:val="tx1"/>
            </w14:solidFill>
          </w14:textFill>
        </w:rPr>
        <w:t>为</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年（不少于3年）</w:t>
      </w:r>
      <w:r>
        <w:rPr>
          <w:rFonts w:hint="eastAsia" w:ascii="宋体" w:hAnsi="宋体"/>
          <w:color w:val="000000" w:themeColor="text1"/>
          <w:szCs w:val="21"/>
          <w14:textFill>
            <w14:solidFill>
              <w14:schemeClr w14:val="tx1"/>
            </w14:solidFill>
          </w14:textFill>
        </w:rPr>
        <w:t>，自终验通过之日起计算。免费包修期</w:t>
      </w:r>
      <w:r>
        <w:rPr>
          <w:rFonts w:ascii="宋体" w:hAnsi="宋体"/>
          <w:color w:val="000000" w:themeColor="text1"/>
          <w:szCs w:val="21"/>
          <w14:textFill>
            <w14:solidFill>
              <w14:schemeClr w14:val="tx1"/>
            </w14:solidFill>
          </w14:textFill>
        </w:rPr>
        <w:t>，故障设备</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应在6小时内予以更换，更换故障部件的</w:t>
      </w:r>
      <w:r>
        <w:rPr>
          <w:rFonts w:hint="eastAsia" w:ascii="宋体" w:hAnsi="宋体"/>
          <w:color w:val="000000" w:themeColor="text1"/>
          <w:szCs w:val="21"/>
          <w14:textFill>
            <w14:solidFill>
              <w14:schemeClr w14:val="tx1"/>
            </w14:solidFill>
          </w14:textFill>
        </w:rPr>
        <w:t>免费包修期</w:t>
      </w:r>
      <w:r>
        <w:rPr>
          <w:rFonts w:ascii="宋体" w:hAnsi="宋体"/>
          <w:color w:val="000000" w:themeColor="text1"/>
          <w:szCs w:val="21"/>
          <w14:textFill>
            <w14:solidFill>
              <w14:schemeClr w14:val="tx1"/>
            </w14:solidFill>
          </w14:textFill>
        </w:rPr>
        <w:t>从更换日期起重新计算。</w:t>
      </w:r>
      <w:r>
        <w:rPr>
          <w:rFonts w:hint="eastAsia" w:ascii="宋体" w:hAnsi="宋体"/>
          <w:color w:val="000000" w:themeColor="text1"/>
          <w:szCs w:val="21"/>
          <w14:textFill>
            <w14:solidFill>
              <w14:schemeClr w14:val="tx1"/>
            </w14:solidFill>
          </w14:textFill>
        </w:rPr>
        <w:t>超过免费质保期后，乙方对其提供的产品在设备寿命期内提供有偿保修服务。每年</w:t>
      </w:r>
      <w:r>
        <w:rPr>
          <w:rFonts w:hint="eastAsia"/>
          <w:color w:val="000000" w:themeColor="text1"/>
          <w:szCs w:val="21"/>
          <w14:textFill>
            <w14:solidFill>
              <w14:schemeClr w14:val="tx1"/>
            </w14:solidFill>
          </w14:textFill>
        </w:rPr>
        <w:t>价格不得高于需要保修设备成交价的</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（不高于</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p>
    <w:p>
      <w:pPr>
        <w:pStyle w:val="370"/>
        <w:numPr>
          <w:ilvl w:val="0"/>
          <w:numId w:val="8"/>
        </w:numPr>
        <w:tabs>
          <w:tab w:val="clear" w:pos="360"/>
        </w:tabs>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培训：</w:t>
      </w:r>
      <w:r>
        <w:rPr>
          <w:rFonts w:hint="eastAsia" w:ascii="宋体" w:hAnsi="宋体"/>
          <w:color w:val="000000" w:themeColor="text1"/>
          <w:sz w:val="21"/>
          <w:szCs w:val="21"/>
          <w14:textFill>
            <w14:solidFill>
              <w14:schemeClr w14:val="tx1"/>
            </w14:solidFill>
          </w14:textFill>
        </w:rPr>
        <w:t>包括响应文件和磋商时做出的书面承诺的培训。乙方另行提供的其它培训，往返路程费用、住宿及餐饮等费用由乙方承担。</w:t>
      </w:r>
    </w:p>
    <w:p>
      <w:pPr>
        <w:pStyle w:val="370"/>
        <w:numPr>
          <w:ilvl w:val="0"/>
          <w:numId w:val="8"/>
        </w:numPr>
        <w:tabs>
          <w:tab w:val="clear" w:pos="360"/>
        </w:tabs>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原厂服务：</w:t>
      </w:r>
      <w:r>
        <w:rPr>
          <w:rFonts w:hint="eastAsia" w:ascii="宋体" w:hAnsi="宋体"/>
          <w:color w:val="000000" w:themeColor="text1"/>
          <w:sz w:val="21"/>
          <w:szCs w:val="21"/>
          <w14:textFill>
            <w14:solidFill>
              <w14:schemeClr w14:val="tx1"/>
            </w14:solidFill>
          </w14:textFill>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8"/>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如果在系统发生故障后，乙方未能按照要求时间排除系统故障，甲方有权请第三方解决问题，由此产生的费用由乙方承担。造成甲方业务损失的，由乙方承担相应责任。</w:t>
      </w:r>
    </w:p>
    <w:p>
      <w:pPr>
        <w:numPr>
          <w:ilvl w:val="0"/>
          <w:numId w:val="8"/>
        </w:numPr>
        <w:adjustRightInd w:val="0"/>
        <w:snapToGrid w:val="0"/>
        <w:spacing w:line="360" w:lineRule="auto"/>
        <w:ind w:left="360" w:hanging="3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乙方保证立即响应并至少通过电话做远程诊断，尝试排除故障或进行紧急处理。</w:t>
      </w:r>
    </w:p>
    <w:p>
      <w:pPr>
        <w:numPr>
          <w:ilvl w:val="0"/>
          <w:numId w:val="8"/>
        </w:numPr>
        <w:tabs>
          <w:tab w:val="left" w:pos="21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乙方保证提供完善的备件支持服务，用以保障甲方应急替换。若某部件发生故障，乙方承诺在6小时内为甲方替换部件。</w:t>
      </w:r>
    </w:p>
    <w:p>
      <w:pPr>
        <w:numPr>
          <w:ilvl w:val="0"/>
          <w:numId w:val="8"/>
        </w:numPr>
        <w:adjustRightInd w:val="0"/>
        <w:snapToGrid w:val="0"/>
        <w:spacing w:line="360" w:lineRule="auto"/>
        <w:ind w:left="360" w:hanging="3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乙方在采购人工地安装、调试期间，一切费用由乙方自理。</w:t>
      </w:r>
    </w:p>
    <w:p>
      <w:pPr>
        <w:numPr>
          <w:ilvl w:val="0"/>
          <w:numId w:val="8"/>
        </w:numPr>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36" w:name="_Toc72326303"/>
      <w:r>
        <w:rPr>
          <w:rFonts w:hint="eastAsia" w:ascii="宋体" w:hAnsi="宋体" w:eastAsia="宋体"/>
          <w:b/>
          <w:color w:val="000000" w:themeColor="text1"/>
          <w:kern w:val="2"/>
          <w:sz w:val="21"/>
          <w:szCs w:val="21"/>
          <w14:textFill>
            <w14:solidFill>
              <w14:schemeClr w14:val="tx1"/>
            </w14:solidFill>
          </w14:textFill>
        </w:rPr>
        <w:t>十一、技术升级和优惠条件</w:t>
      </w:r>
      <w:bookmarkEnd w:id="36"/>
    </w:p>
    <w:p>
      <w:pPr>
        <w:numPr>
          <w:ilvl w:val="0"/>
          <w:numId w:val="9"/>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乙方对所开发软件在包修期内提供免费的不增加新功能的软件升级服务，并在该等升级后为甲方提供免费的培训。</w:t>
      </w:r>
    </w:p>
    <w:p>
      <w:pPr>
        <w:numPr>
          <w:ilvl w:val="0"/>
          <w:numId w:val="9"/>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对所供硬件及第三方软件在设备寿命期内提供免费的软件升级服务（包括设备模板），并在升级后为</w:t>
      </w: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提供免费的培训。</w:t>
      </w:r>
    </w:p>
    <w:p>
      <w:pPr>
        <w:numPr>
          <w:ilvl w:val="0"/>
          <w:numId w:val="9"/>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承诺升级后的软件没有版权及权属争议等其它问题，并且保证到下次升级时可正常使用。</w:t>
      </w:r>
    </w:p>
    <w:p>
      <w:pPr>
        <w:numPr>
          <w:ilvl w:val="0"/>
          <w:numId w:val="9"/>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本次合同范围，即</w:t>
      </w:r>
      <w:r>
        <w:rPr>
          <w:rFonts w:hint="eastAsia" w:ascii="宋体" w:hAnsi="宋体"/>
          <w:color w:val="000000" w:themeColor="text1"/>
          <w:szCs w:val="21"/>
          <w14:textFill>
            <w14:solidFill>
              <w14:schemeClr w14:val="tx1"/>
            </w14:solidFill>
          </w14:textFill>
        </w:rPr>
        <w:t>“</w:t>
      </w:r>
      <w:r>
        <w:rPr>
          <w:rFonts w:hint="eastAsia"/>
          <w:b/>
          <w:bCs/>
          <w:color w:val="000000" w:themeColor="text1"/>
          <w:szCs w:val="21"/>
          <w:u w:val="single"/>
          <w14:textFill>
            <w14:solidFill>
              <w14:schemeClr w14:val="tx1"/>
            </w14:solidFill>
          </w14:textFill>
        </w:rPr>
        <w:t>IP直播中台</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项目范围，对于系统今后新增设备和软件的所有集成，</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全部免收集成费。</w:t>
      </w:r>
    </w:p>
    <w:p>
      <w:pPr>
        <w:numPr>
          <w:ilvl w:val="0"/>
          <w:numId w:val="9"/>
        </w:numPr>
        <w:tabs>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w:t>
      </w:r>
      <w:r>
        <w:rPr>
          <w:rFonts w:ascii="宋体" w:hAnsi="宋体"/>
          <w:color w:val="000000" w:themeColor="text1"/>
          <w:szCs w:val="21"/>
          <w14:textFill>
            <w14:solidFill>
              <w14:schemeClr w14:val="tx1"/>
            </w14:solidFill>
          </w14:textFill>
        </w:rPr>
        <w:t>在本系统扩容时，</w:t>
      </w:r>
      <w:r>
        <w:rPr>
          <w:rFonts w:hint="eastAsia" w:ascii="宋体" w:hAnsi="宋体"/>
          <w:color w:val="000000" w:themeColor="text1"/>
          <w:szCs w:val="21"/>
          <w14:textFill>
            <w14:solidFill>
              <w14:schemeClr w14:val="tx1"/>
            </w14:solidFill>
          </w14:textFill>
        </w:rPr>
        <w:t>乙方</w:t>
      </w:r>
      <w:r>
        <w:rPr>
          <w:rFonts w:ascii="宋体" w:hAnsi="宋体"/>
          <w:color w:val="000000" w:themeColor="text1"/>
          <w:szCs w:val="21"/>
          <w14:textFill>
            <w14:solidFill>
              <w14:schemeClr w14:val="tx1"/>
            </w14:solidFill>
          </w14:textFill>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color w:val="000000" w:themeColor="text1"/>
          <w:szCs w:val="21"/>
          <w14:textFill>
            <w14:solidFill>
              <w14:schemeClr w14:val="tx1"/>
            </w14:solidFill>
          </w14:textFill>
        </w:rPr>
      </w:pPr>
      <w:bookmarkStart w:id="37" w:name="_Toc72326304"/>
      <w:r>
        <w:rPr>
          <w:rFonts w:hint="eastAsia" w:ascii="宋体" w:hAnsi="宋体"/>
          <w:b/>
          <w:bCs/>
          <w:color w:val="000000" w:themeColor="text1"/>
          <w:szCs w:val="21"/>
          <w14:textFill>
            <w14:solidFill>
              <w14:schemeClr w14:val="tx1"/>
            </w14:solidFill>
          </w14:textFill>
        </w:rPr>
        <w:t>十二</w:t>
      </w:r>
      <w:r>
        <w:rPr>
          <w:rFonts w:hint="eastAsia" w:ascii="宋体" w:hAnsi="宋体"/>
          <w:color w:val="000000" w:themeColor="text1"/>
          <w:szCs w:val="21"/>
          <w14:textFill>
            <w14:solidFill>
              <w14:schemeClr w14:val="tx1"/>
            </w14:solidFill>
          </w14:textFill>
        </w:rPr>
        <w:t>、</w:t>
      </w:r>
      <w:bookmarkEnd w:id="37"/>
      <w:bookmarkStart w:id="38" w:name="_Toc72326305"/>
      <w:r>
        <w:rPr>
          <w:rFonts w:hint="eastAsia" w:ascii="宋体" w:hAnsi="宋体"/>
          <w:b/>
          <w:bCs/>
          <w:color w:val="000000" w:themeColor="text1"/>
          <w:szCs w:val="21"/>
          <w14:textFill>
            <w14:solidFill>
              <w14:schemeClr w14:val="tx1"/>
            </w14:solidFill>
          </w14:textFill>
        </w:rPr>
        <w:t>双方责任</w:t>
      </w:r>
      <w:bookmarkEnd w:id="38"/>
    </w:p>
    <w:p>
      <w:pPr>
        <w:numPr>
          <w:ilvl w:val="255"/>
          <w:numId w:val="0"/>
        </w:num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甲方责任</w:t>
      </w:r>
    </w:p>
    <w:p>
      <w:pPr>
        <w:numPr>
          <w:ilvl w:val="0"/>
          <w:numId w:val="10"/>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甲方需为乙方提供项目实施便利，积极配合乙方进行项目实施安装及调试。</w:t>
      </w:r>
    </w:p>
    <w:p>
      <w:pPr>
        <w:numPr>
          <w:ilvl w:val="0"/>
          <w:numId w:val="10"/>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甲方需为乙方协调各方关系提供便利。</w:t>
      </w:r>
    </w:p>
    <w:p>
      <w:pPr>
        <w:numPr>
          <w:ilvl w:val="0"/>
          <w:numId w:val="10"/>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甲方应指派管理人员、技术人员参加项目系统安装、系统测试和其它工作。</w:t>
      </w:r>
    </w:p>
    <w:p>
      <w:pPr>
        <w:numPr>
          <w:ilvl w:val="0"/>
          <w:numId w:val="10"/>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乙方责任</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乙方承诺：除响应文件及后续书面承诺标明的偏离外，乙方提供的产品和服务均满足竞争性磋商文件要求。</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乙方应按照竞争性磋商文件、响应文件、乙方后续书面承诺的技术要求以及甲乙双方协定补充文件，提供合格的产品，并保证通过甲方的验收。</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在系统安装、调试、开发过程中，乙方须保证不影响甲方现有系统的正常运行和现有业务的正常发展。</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乙方保证在系统安装、调试、开发过程中不非法使用第三方软件，否则由此产生的纠纷由乙方自行负责。</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1"/>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乙方按照要求提供产品合格证书、产品检测记录、调试记录等技术资料。</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乙方负责与硬件设备相配套的软件厂家、其它设备的制造商、第三方软件厂家和售后服务部门等联系沟通，完成安装、调试，配置相关的产品。</w:t>
      </w:r>
    </w:p>
    <w:p>
      <w:pPr>
        <w:numPr>
          <w:ilvl w:val="0"/>
          <w:numId w:val="11"/>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乙方负责配合相关厂家，定期检查产品、及时排查硬件故障。</w:t>
      </w:r>
    </w:p>
    <w:p>
      <w:pPr>
        <w:numPr>
          <w:ilvl w:val="0"/>
          <w:numId w:val="11"/>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乙方未按合同规定的质量要求交货产品，甲方拒收时，乙方应承担合同的违约责任。</w:t>
      </w:r>
    </w:p>
    <w:p>
      <w:pPr>
        <w:numPr>
          <w:ilvl w:val="0"/>
          <w:numId w:val="11"/>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迟延履行，甲方书面确定一个合理的期限，如乙方仍不能履行，按乙方不履行合同处理。</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本合同所有产品的制造，都必须由响应文件和磋商时做出的书面承诺中明确的制造商承担，否则将按乙方不履行合同处理。</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乙方保证不在软件中对功能、性能、容量进行人为限制，不得含有陷阱、逻辑炸弹、后门等非法程序代码。</w:t>
      </w:r>
    </w:p>
    <w:p>
      <w:pPr>
        <w:numPr>
          <w:ilvl w:val="0"/>
          <w:numId w:val="11"/>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1"/>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39" w:name="_Toc72326306"/>
      <w:r>
        <w:rPr>
          <w:rFonts w:hint="eastAsia" w:ascii="宋体" w:hAnsi="宋体" w:eastAsia="宋体"/>
          <w:b/>
          <w:color w:val="000000" w:themeColor="text1"/>
          <w:kern w:val="2"/>
          <w:sz w:val="21"/>
          <w:szCs w:val="21"/>
          <w14:textFill>
            <w14:solidFill>
              <w14:schemeClr w14:val="tx1"/>
            </w14:solidFill>
          </w14:textFill>
        </w:rPr>
        <w:t>十三、违约责任</w:t>
      </w:r>
      <w:bookmarkEnd w:id="39"/>
    </w:p>
    <w:p>
      <w:pPr>
        <w:numPr>
          <w:ilvl w:val="0"/>
          <w:numId w:val="12"/>
        </w:num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乙方承担本合同约定事项的违约责任，且不因设备或软是由第三方制造或开发设计等因素而受到影响。</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若甲方已有系统是由乙方提供开发服务的，则乙方应按甲方要求进行技术服务，保证业务的正常运营和系统的正常运行，否则甲方有权终止本合同。</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在合同规定的包修期内，如果乙方维修售后服务不及时，产品质量不稳定，则甲方有权酌情扣除质量保证金，并追究乙方赔偿损失的责任。</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在合同规定的包修期内，如因乙方原因造成甲方其他经济损失的，乙方须承担赔偿损失的责任。</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甲方有权根据当地质检部门出具的检验报告，就乙方提供的开发服务及系统质量问题向乙方提出索赔，检测费用由乙方承担。</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如果在甲方发出索赔通知后20日内，乙方未作书面答复，视为乙方接受索赔要求，乙方应当立即支付赔偿金。</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2"/>
        </w:numPr>
        <w:tabs>
          <w:tab w:val="left" w:pos="0"/>
          <w:tab w:val="clear" w:pos="420"/>
        </w:tabs>
        <w:adjustRightInd w:val="0"/>
        <w:snapToGrid w:val="0"/>
        <w:spacing w:line="360" w:lineRule="auto"/>
        <w:ind w:left="0" w:firstLine="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40" w:name="_Toc72326307"/>
      <w:r>
        <w:rPr>
          <w:rFonts w:hint="eastAsia" w:ascii="宋体" w:hAnsi="宋体" w:eastAsia="宋体"/>
          <w:b/>
          <w:color w:val="000000" w:themeColor="text1"/>
          <w:kern w:val="2"/>
          <w:sz w:val="21"/>
          <w:szCs w:val="21"/>
          <w14:textFill>
            <w14:solidFill>
              <w14:schemeClr w14:val="tx1"/>
            </w14:solidFill>
          </w14:textFill>
        </w:rPr>
        <w:t>十四、廉洁条款</w:t>
      </w:r>
      <w:bookmarkEnd w:id="40"/>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3"/>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41" w:name="_Toc72326308"/>
      <w:r>
        <w:rPr>
          <w:rFonts w:hint="eastAsia" w:ascii="宋体" w:hAnsi="宋体" w:eastAsia="宋体"/>
          <w:b/>
          <w:color w:val="000000" w:themeColor="text1"/>
          <w:kern w:val="2"/>
          <w:sz w:val="21"/>
          <w:szCs w:val="21"/>
          <w14:textFill>
            <w14:solidFill>
              <w14:schemeClr w14:val="tx1"/>
            </w14:solidFill>
          </w14:textFill>
        </w:rPr>
        <w:t>十五、不可抗力</w:t>
      </w:r>
      <w:bookmarkEnd w:id="41"/>
    </w:p>
    <w:p>
      <w:pPr>
        <w:numPr>
          <w:ilvl w:val="0"/>
          <w:numId w:val="14"/>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当发生不可抗拒事故时，受影响一方应于</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日内以书面形式通知对方，以减轻可能给对方造成的损失，并应当在合理期限内提供公证机构出具的有效证明文件证明。</w:t>
      </w:r>
    </w:p>
    <w:p>
      <w:pPr>
        <w:numPr>
          <w:ilvl w:val="0"/>
          <w:numId w:val="14"/>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当不可抗力事故终止后，受影响一方应以书面的形式通知对方，双方商定合同是否继续履行。</w:t>
      </w:r>
    </w:p>
    <w:p>
      <w:pPr>
        <w:numPr>
          <w:ilvl w:val="0"/>
          <w:numId w:val="14"/>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42" w:name="_Toc72326309"/>
      <w:r>
        <w:rPr>
          <w:rFonts w:hint="eastAsia" w:ascii="宋体" w:hAnsi="宋体" w:eastAsia="宋体"/>
          <w:b/>
          <w:color w:val="000000" w:themeColor="text1"/>
          <w:kern w:val="2"/>
          <w:sz w:val="21"/>
          <w:szCs w:val="21"/>
          <w14:textFill>
            <w14:solidFill>
              <w14:schemeClr w14:val="tx1"/>
            </w14:solidFill>
          </w14:textFill>
        </w:rPr>
        <w:t>十六、解决纠纷的方式</w:t>
      </w:r>
      <w:bookmarkEnd w:id="42"/>
    </w:p>
    <w:p>
      <w:pPr>
        <w:numPr>
          <w:ilvl w:val="0"/>
          <w:numId w:val="15"/>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凡由执行本合同引起或与合同有关的争议，均应通过友好协商解决；协商不成的，由甲方所在地有管辖权的人民法院裁决。</w:t>
      </w:r>
    </w:p>
    <w:p>
      <w:pPr>
        <w:numPr>
          <w:ilvl w:val="0"/>
          <w:numId w:val="15"/>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除争议事项待处理外，双方应继续执行合同无争议部分，除非无争议部分不可单独履行。</w:t>
      </w:r>
    </w:p>
    <w:p>
      <w:pPr>
        <w:numPr>
          <w:ilvl w:val="0"/>
          <w:numId w:val="15"/>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color w:val="000000" w:themeColor="text1"/>
          <w:kern w:val="2"/>
          <w:sz w:val="21"/>
          <w:szCs w:val="21"/>
          <w14:textFill>
            <w14:solidFill>
              <w14:schemeClr w14:val="tx1"/>
            </w14:solidFill>
          </w14:textFill>
        </w:rPr>
      </w:pPr>
      <w:bookmarkStart w:id="43" w:name="_Toc72326310"/>
      <w:r>
        <w:rPr>
          <w:rFonts w:hint="eastAsia" w:ascii="宋体" w:hAnsi="宋体" w:eastAsia="宋体"/>
          <w:b/>
          <w:color w:val="000000" w:themeColor="text1"/>
          <w:kern w:val="2"/>
          <w:sz w:val="21"/>
          <w:szCs w:val="21"/>
          <w14:textFill>
            <w14:solidFill>
              <w14:schemeClr w14:val="tx1"/>
            </w14:solidFill>
          </w14:textFill>
        </w:rPr>
        <w:t>十七、合同生效及其他</w:t>
      </w:r>
      <w:bookmarkEnd w:id="43"/>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合同的生效期：本合同一式四份（甲乙双方各二份），每份均具有同等法律效力，自甲乙双方盖章之日起生效。</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本合同所有附件为本合同不可分割的组成部分，与合同正文有同等的法律效力：</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（1）甲方的竞争性磋商文件、乙方的响应文件、乙方的</w:t>
      </w:r>
      <w:r>
        <w:rPr>
          <w:rFonts w:ascii="宋体" w:hAnsi="宋体"/>
          <w:color w:val="000000" w:themeColor="text1"/>
          <w:szCs w:val="21"/>
          <w14:textFill>
            <w14:solidFill>
              <w14:schemeClr w14:val="tx1"/>
            </w14:solidFill>
          </w14:textFill>
        </w:rPr>
        <w:t>报价</w:t>
      </w:r>
      <w:r>
        <w:rPr>
          <w:rFonts w:hint="eastAsia" w:ascii="宋体" w:hAnsi="宋体"/>
          <w:color w:val="000000" w:themeColor="text1"/>
          <w:szCs w:val="21"/>
          <w14:textFill>
            <w14:solidFill>
              <w14:schemeClr w14:val="tx1"/>
            </w14:solidFill>
          </w14:textFill>
        </w:rPr>
        <w:t>表、磋商时乙方做出的书面承诺及其它补充修改的部分；</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（2）在执行本合同期间，甲乙双方的所有通知均应采用书面的方式。</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本合同与上述文件如对相同内容有不同约定，且约定内容有冲突的，除另有特别约定外，依下列原则处理：</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（1）合同条款优先于竞争性磋商文件和响应文件条款；</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（2）在后文件的效力优先于在先文件的效力。</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甲乙双方对合同条款的理解有争议时，应当按照合同的有关条款、合同的目的、交易习惯以及诚实信用原则，确定该条款的真实含义。</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对本合同的任何修改和增补，以双方盖章的书面文件为准。</w:t>
      </w:r>
    </w:p>
    <w:p>
      <w:pPr>
        <w:numPr>
          <w:ilvl w:val="0"/>
          <w:numId w:val="16"/>
        </w:numPr>
        <w:tabs>
          <w:tab w:val="left" w:pos="0"/>
          <w:tab w:val="clear" w:pos="420"/>
        </w:tabs>
        <w:adjustRightInd w:val="0"/>
        <w:snapToGrid w:val="0"/>
        <w:spacing w:line="360" w:lineRule="auto"/>
        <w:ind w:left="0" w:firstLine="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甲乙双方对本合同中产品的具体价格和交易方式有保密的责任，未经对方的书面许可，任何一方不得向第三方透露。</w:t>
      </w:r>
    </w:p>
    <w:p>
      <w:pPr>
        <w:numPr>
          <w:ilvl w:val="0"/>
          <w:numId w:val="16"/>
        </w:num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color w:val="000000" w:themeColor="text1"/>
          <w:kern w:val="2"/>
          <w:sz w:val="21"/>
          <w:szCs w:val="21"/>
          <w14:textFill>
            <w14:solidFill>
              <w14:schemeClr w14:val="tx1"/>
            </w14:solidFill>
          </w14:textFill>
        </w:rPr>
      </w:pPr>
      <w:bookmarkStart w:id="44" w:name="_Toc72326311"/>
      <w:r>
        <w:rPr>
          <w:rFonts w:hint="eastAsia" w:ascii="宋体" w:hAnsi="宋体" w:eastAsia="宋体"/>
          <w:b/>
          <w:color w:val="000000" w:themeColor="text1"/>
          <w:kern w:val="2"/>
          <w:sz w:val="21"/>
          <w:szCs w:val="21"/>
          <w14:textFill>
            <w14:solidFill>
              <w14:schemeClr w14:val="tx1"/>
            </w14:solidFill>
          </w14:textFill>
        </w:rPr>
        <w:t>十九、附件列表</w:t>
      </w:r>
      <w:bookmarkEnd w:id="44"/>
    </w:p>
    <w:p>
      <w:pPr>
        <w:adjustRightInd w:val="0"/>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相关文件的优先支配地位的次序如下：</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附件一供货清单（包含产品名称、规格型号和配置、数量和总价）</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附件二中标通知书</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附件三响应文件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包括澄清文件</w:t>
      </w:r>
      <w:r>
        <w:rPr>
          <w:rFonts w:ascii="宋体" w:hAnsi="宋体"/>
          <w:color w:val="000000" w:themeColor="text1"/>
          <w:szCs w:val="21"/>
          <w14:textFill>
            <w14:solidFill>
              <w14:schemeClr w14:val="tx1"/>
            </w14:solidFill>
          </w14:textFill>
        </w:rPr>
        <w:t>)</w:t>
      </w:r>
    </w:p>
    <w:p>
      <w:pPr>
        <w:adjustRightInd w:val="0"/>
        <w:snapToGrid w:val="0"/>
        <w:spacing w:line="360" w:lineRule="auto"/>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附件四竞争性磋商文件</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含竞争性磋商文件补充通知</w:t>
      </w:r>
      <w:r>
        <w:rPr>
          <w:rFonts w:ascii="宋体" w:hAnsi="宋体"/>
          <w:color w:val="000000" w:themeColor="text1"/>
          <w:szCs w:val="21"/>
          <w14:textFill>
            <w14:solidFill>
              <w14:schemeClr w14:val="tx1"/>
            </w14:solidFill>
          </w14:textFill>
        </w:rPr>
        <w:t>)</w:t>
      </w:r>
    </w:p>
    <w:p>
      <w:pPr>
        <w:adjustRightInd w:val="0"/>
        <w:snapToGrid w:val="0"/>
        <w:spacing w:line="360" w:lineRule="auto"/>
        <w:ind w:left="210" w:hanging="210" w:hangingChars="100"/>
        <w:jc w:val="left"/>
        <w:rPr>
          <w:color w:val="000000" w:themeColor="text1"/>
          <w:szCs w:val="21"/>
          <w14:textFill>
            <w14:solidFill>
              <w14:schemeClr w14:val="tx1"/>
            </w14:solidFill>
          </w14:textFill>
        </w:rPr>
      </w:pPr>
    </w:p>
    <w:p>
      <w:pPr>
        <w:adjustRightInd w:val="0"/>
        <w:snapToGrid w:val="0"/>
        <w:spacing w:line="360" w:lineRule="auto"/>
        <w:ind w:left="210" w:hanging="210" w:hangingChars="100"/>
        <w:jc w:val="left"/>
        <w:rPr>
          <w:color w:val="000000" w:themeColor="text1"/>
          <w:szCs w:val="21"/>
          <w14:textFill>
            <w14:solidFill>
              <w14:schemeClr w14:val="tx1"/>
            </w14:solidFill>
          </w14:textFill>
        </w:rPr>
      </w:pPr>
    </w:p>
    <w:p>
      <w:pPr>
        <w:adjustRightInd w:val="0"/>
        <w:snapToGrid w:val="0"/>
        <w:spacing w:line="360" w:lineRule="auto"/>
        <w:ind w:left="210" w:hanging="210" w:hangingChars="1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甲方</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江苏省广电有线信息网络股份有限公司</w:t>
      </w:r>
      <w:r>
        <w:rPr>
          <w:rFonts w:hint="eastAsia"/>
          <w:color w:val="000000" w:themeColor="text1"/>
          <w:szCs w:val="21"/>
          <w14:textFill>
            <w14:solidFill>
              <w14:schemeClr w14:val="tx1"/>
            </w14:solidFill>
          </w14:textFill>
        </w:rPr>
        <w:t>乙方</w:t>
      </w: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公司</w:t>
      </w:r>
    </w:p>
    <w:p>
      <w:pPr>
        <w:adjustRightInd w:val="0"/>
        <w:snapToGrid w:val="0"/>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（盖章）_________________________          （盖章）_______________________</w:t>
      </w:r>
    </w:p>
    <w:p>
      <w:pPr>
        <w:adjustRightInd w:val="0"/>
        <w:snapToGrid w:val="0"/>
        <w:spacing w:line="360" w:lineRule="auto"/>
        <w:ind w:firstLine="35" w:firstLineChars="17"/>
        <w:rPr>
          <w:color w:val="000000" w:themeColor="text1"/>
          <w:szCs w:val="21"/>
          <w14:textFill>
            <w14:solidFill>
              <w14:schemeClr w14:val="tx1"/>
            </w14:solidFill>
          </w14:textFill>
        </w:rPr>
      </w:pPr>
      <w:r>
        <w:rPr>
          <w:color w:val="000000" w:themeColor="text1"/>
          <w:szCs w:val="21"/>
          <w14:textFill>
            <w14:solidFill>
              <w14:schemeClr w14:val="tx1"/>
            </w14:solidFill>
          </w14:textFill>
        </w:rPr>
        <w:t>法人代表或授权代表：____________           法人代表或授权代表：_________________</w:t>
      </w:r>
    </w:p>
    <w:p>
      <w:pPr>
        <w:adjustRightInd w:val="0"/>
        <w:snapToGrid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地址：___________________                  地址：____________________</w:t>
      </w:r>
    </w:p>
    <w:p>
      <w:pPr>
        <w:adjustRightInd w:val="0"/>
        <w:snapToGrid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电话：</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电话：___________________</w:t>
      </w:r>
    </w:p>
    <w:p>
      <w:pPr>
        <w:adjustRightInd w:val="0"/>
        <w:snapToGrid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传真：</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传真：___________________</w:t>
      </w:r>
    </w:p>
    <w:p>
      <w:pPr>
        <w:adjustRightInd w:val="0"/>
        <w:snapToGrid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邮编：</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邮编：___________________</w:t>
      </w:r>
    </w:p>
    <w:p>
      <w:pPr>
        <w:adjustRightInd w:val="0"/>
        <w:snapToGrid w:val="0"/>
        <w:spacing w:line="360" w:lineRule="auto"/>
        <w:ind w:firstLine="105" w:firstLineChars="50"/>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开户银行：</w:t>
      </w:r>
      <w:r>
        <w:rPr>
          <w:rFonts w:hint="eastAsia"/>
          <w:color w:val="000000" w:themeColor="text1"/>
          <w:szCs w:val="21"/>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开户银行：___________________</w:t>
      </w:r>
    </w:p>
    <w:p>
      <w:pPr>
        <w:adjustRightInd w:val="0"/>
        <w:snapToGrid w:val="0"/>
        <w:spacing w:line="360" w:lineRule="auto"/>
        <w:ind w:firstLine="105" w:firstLineChars="50"/>
        <w:rPr>
          <w:color w:val="000000" w:themeColor="text1"/>
          <w:szCs w:val="21"/>
          <w14:textFill>
            <w14:solidFill>
              <w14:schemeClr w14:val="tx1"/>
            </w14:solidFill>
          </w14:textFill>
        </w:rPr>
      </w:pPr>
      <w:r>
        <w:rPr>
          <w:color w:val="000000" w:themeColor="text1"/>
          <w:szCs w:val="21"/>
          <w14:textFill>
            <w14:solidFill>
              <w14:schemeClr w14:val="tx1"/>
            </w14:solidFill>
          </w14:textFill>
        </w:rPr>
        <w:t>银行账号：</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 xml:space="preserve">           银行账号：___________________</w:t>
      </w:r>
    </w:p>
    <w:p>
      <w:pPr>
        <w:spacing w:line="300" w:lineRule="auto"/>
        <w:ind w:firstLine="5040" w:firstLineChars="2400"/>
        <w:rPr>
          <w:color w:val="000000" w:themeColor="text1"/>
          <w:szCs w:val="21"/>
          <w14:textFill>
            <w14:solidFill>
              <w14:schemeClr w14:val="tx1"/>
            </w14:solidFill>
          </w14:textFill>
        </w:rPr>
      </w:pPr>
    </w:p>
    <w:p>
      <w:pPr>
        <w:spacing w:line="300" w:lineRule="auto"/>
        <w:ind w:firstLine="5040" w:firstLineChars="2400"/>
        <w:rPr>
          <w:rFonts w:ascii="宋体" w:hAnsi="宋体" w:cs="宋体"/>
          <w:color w:val="000000" w:themeColor="text1"/>
          <w14:textFill>
            <w14:solidFill>
              <w14:schemeClr w14:val="tx1"/>
            </w14:solidFill>
          </w14:textFill>
        </w:rPr>
      </w:pPr>
      <w:r>
        <w:rPr>
          <w:rFonts w:hint="eastAsia"/>
          <w:color w:val="000000" w:themeColor="text1"/>
          <w:szCs w:val="21"/>
          <w14:textFill>
            <w14:solidFill>
              <w14:schemeClr w14:val="tx1"/>
            </w14:solidFill>
          </w14:textFill>
        </w:rPr>
        <w:t>签订日期：</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bookmarkEnd w:id="34"/>
      <w:r>
        <w:rPr>
          <w:rFonts w:ascii="宋体" w:hAnsi="宋体" w:cs="宋体"/>
          <w:color w:val="000000" w:themeColor="text1"/>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45" w:name="_Toc69378637"/>
      <w:bookmarkStart w:id="46" w:name="_Hlk106355891"/>
      <w:r>
        <w:rPr>
          <w:rFonts w:hint="eastAsia"/>
          <w:b/>
          <w:color w:val="000000" w:themeColor="text1"/>
          <w:sz w:val="36"/>
          <w:szCs w:val="36"/>
          <w14:textFill>
            <w14:solidFill>
              <w14:schemeClr w14:val="tx1"/>
            </w14:solidFill>
          </w14:textFill>
        </w:rPr>
        <w:t>第五章技术需求书</w:t>
      </w:r>
      <w:bookmarkEnd w:id="45"/>
    </w:p>
    <w:p>
      <w:pPr>
        <w:pStyle w:val="89"/>
        <w:numPr>
          <w:ilvl w:val="0"/>
          <w:numId w:val="17"/>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7"/>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竞争性磋商文件技术要求中所</w:t>
      </w:r>
      <w:r>
        <w:rPr>
          <w:rFonts w:ascii="宋体" w:hAnsi="宋体"/>
          <w:color w:val="000000" w:themeColor="text1"/>
          <w:sz w:val="21"/>
          <w:szCs w:val="21"/>
          <w14:textFill>
            <w14:solidFill>
              <w14:schemeClr w14:val="tx1"/>
            </w14:solidFill>
          </w14:textFill>
        </w:rPr>
        <w:t>描述的内容为本项目的基本技术要求，不应作为完整的详细要求。对于为满足正常运行所需的设备材料的供应、安装、调试、验收及质量保证的内容请供应商自行考虑。</w:t>
      </w:r>
      <w:r>
        <w:rPr>
          <w:rFonts w:hint="eastAsia" w:ascii="宋体" w:hAnsi="宋体"/>
          <w:color w:val="000000" w:themeColor="text1"/>
          <w:sz w:val="21"/>
          <w:szCs w:val="21"/>
          <w14:textFill>
            <w14:solidFill>
              <w14:schemeClr w14:val="tx1"/>
            </w14:solidFill>
          </w14:textFill>
        </w:rPr>
        <w:t>成交供应商</w:t>
      </w:r>
      <w:r>
        <w:rPr>
          <w:rFonts w:ascii="宋体" w:hAnsi="宋体"/>
          <w:color w:val="000000" w:themeColor="text1"/>
          <w:sz w:val="21"/>
          <w:szCs w:val="21"/>
          <w14:textFill>
            <w14:solidFill>
              <w14:schemeClr w14:val="tx1"/>
            </w14:solidFill>
          </w14:textFill>
        </w:rPr>
        <w:t>应满足本技术需求书中未描述的，但为保证设备能正常有效运行所需要的其它要求和所需的设备与附件。</w:t>
      </w:r>
    </w:p>
    <w:p>
      <w:pPr>
        <w:pStyle w:val="89"/>
        <w:numPr>
          <w:ilvl w:val="0"/>
          <w:numId w:val="17"/>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技术需求书中</w:t>
      </w:r>
      <w:r>
        <w:rPr>
          <w:rFonts w:ascii="宋体" w:hAnsi="宋体"/>
          <w:color w:val="000000" w:themeColor="text1"/>
          <w:sz w:val="21"/>
          <w:szCs w:val="21"/>
          <w14:textFill>
            <w14:solidFill>
              <w14:schemeClr w14:val="tx1"/>
            </w14:solidFill>
          </w14:textFill>
        </w:rPr>
        <w:t>带“</w:t>
      </w:r>
      <w:r>
        <w:rPr>
          <w:rFonts w:ascii="宋体" w:hAnsi="宋体" w:cs="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部分为必须保证满足要求的条款。</w:t>
      </w:r>
    </w:p>
    <w:p>
      <w:pPr>
        <w:pStyle w:val="89"/>
        <w:numPr>
          <w:ilvl w:val="0"/>
          <w:numId w:val="17"/>
        </w:numPr>
        <w:spacing w:line="360" w:lineRule="auto"/>
        <w:ind w:left="0" w:firstLine="426"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color w:val="000000" w:themeColor="text1"/>
          <w:szCs w:val="21"/>
          <w14:textFill>
            <w14:solidFill>
              <w14:schemeClr w14:val="tx1"/>
            </w14:solidFill>
          </w14:textFill>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47" w:name="_Toc31826"/>
      <w:bookmarkStart w:id="48" w:name="_Toc51053569"/>
      <w:bookmarkStart w:id="49" w:name="_Toc76856250"/>
      <w:bookmarkStart w:id="50" w:name="_Toc76996580"/>
      <w:bookmarkStart w:id="51" w:name="_Toc30212"/>
    </w:p>
    <w:bookmarkEnd w:id="47"/>
    <w:bookmarkEnd w:id="48"/>
    <w:bookmarkEnd w:id="49"/>
    <w:bookmarkEnd w:id="50"/>
    <w:bookmarkEnd w:id="51"/>
    <w:p>
      <w:pPr>
        <w:pStyle w:val="4"/>
        <w:numPr>
          <w:ilvl w:val="0"/>
          <w:numId w:val="0"/>
        </w:numPr>
        <w:spacing w:line="360" w:lineRule="auto"/>
        <w:ind w:left="840" w:hanging="420"/>
        <w:rPr>
          <w:rFonts w:ascii="宋体" w:hAnsi="宋体"/>
          <w:b/>
          <w:color w:val="000000" w:themeColor="text1"/>
          <w:szCs w:val="28"/>
          <w14:textFill>
            <w14:solidFill>
              <w14:schemeClr w14:val="tx1"/>
            </w14:solidFill>
          </w14:textFill>
        </w:rPr>
      </w:pPr>
      <w:bookmarkStart w:id="52" w:name="_Toc51053570"/>
      <w:bookmarkStart w:id="53" w:name="_Toc19779"/>
      <w:bookmarkStart w:id="54" w:name="_Toc76996581"/>
      <w:bookmarkStart w:id="55" w:name="_Toc76856251"/>
      <w:r>
        <w:rPr>
          <w:rFonts w:hint="eastAsia"/>
          <w:color w:val="000000" w:themeColor="text1"/>
          <w14:textFill>
            <w14:solidFill>
              <w14:schemeClr w14:val="tx1"/>
            </w14:solidFill>
          </w14:textFill>
        </w:rPr>
        <w:t>1</w:t>
      </w:r>
      <w:r>
        <w:rPr>
          <w:color w:val="000000" w:themeColor="text1"/>
          <w14:textFill>
            <w14:solidFill>
              <w14:schemeClr w14:val="tx1"/>
            </w14:solidFill>
          </w14:textFill>
        </w:rPr>
        <w:t>项目总体设计简要介绍</w:t>
      </w:r>
      <w:bookmarkEnd w:id="52"/>
      <w:bookmarkEnd w:id="53"/>
      <w:bookmarkEnd w:id="54"/>
      <w:bookmarkEnd w:id="55"/>
    </w:p>
    <w:p>
      <w:pPr>
        <w:pStyle w:val="5"/>
        <w:ind w:firstLine="36"/>
        <w:rPr>
          <w:rFonts w:ascii="宋体" w:hAnsi="黑体"/>
          <w:b/>
          <w:bCs/>
          <w:color w:val="000000" w:themeColor="text1"/>
          <w:sz w:val="21"/>
          <w14:textFill>
            <w14:solidFill>
              <w14:schemeClr w14:val="tx1"/>
            </w14:solidFill>
          </w14:textFill>
        </w:rPr>
      </w:pPr>
      <w:bookmarkStart w:id="56" w:name="_Toc76856252"/>
      <w:bookmarkStart w:id="57" w:name="_Toc51053571"/>
      <w:bookmarkStart w:id="58" w:name="_Toc76996582"/>
      <w:bookmarkStart w:id="59" w:name="_Toc472"/>
      <w:r>
        <w:rPr>
          <w:rFonts w:hint="eastAsia" w:hAnsi="黑体"/>
          <w:color w:val="000000" w:themeColor="text1"/>
          <w:sz w:val="21"/>
          <w14:textFill>
            <w14:solidFill>
              <w14:schemeClr w14:val="tx1"/>
            </w14:solidFill>
          </w14:textFill>
        </w:rPr>
        <w:t>1</w:t>
      </w:r>
      <w:r>
        <w:rPr>
          <w:rFonts w:hAnsi="黑体"/>
          <w:color w:val="000000" w:themeColor="text1"/>
          <w:sz w:val="21"/>
          <w14:textFill>
            <w14:solidFill>
              <w14:schemeClr w14:val="tx1"/>
            </w14:solidFill>
          </w14:textFill>
        </w:rPr>
        <w:t>.1</w:t>
      </w:r>
      <w:r>
        <w:rPr>
          <w:rFonts w:hint="eastAsia" w:ascii="宋体" w:hAnsi="黑体"/>
          <w:b/>
          <w:bCs/>
          <w:color w:val="000000" w:themeColor="text1"/>
          <w:sz w:val="21"/>
          <w14:textFill>
            <w14:solidFill>
              <w14:schemeClr w14:val="tx1"/>
            </w14:solidFill>
          </w14:textFill>
        </w:rPr>
        <w:t>项目概述</w:t>
      </w:r>
      <w:bookmarkEnd w:id="56"/>
      <w:bookmarkEnd w:id="57"/>
      <w:bookmarkEnd w:id="58"/>
      <w:bookmarkEnd w:id="59"/>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前全IP机顶盒采用DVB直播的集成方案开发设计全IP直播应用，全IP直播应用负责UI展示，并分别与AAA、AAA-SDK、播放器、EPG、广告SDK等模块进行集成对接。由于DVB直播业务逻辑简单，对接的前端系统基本为单向系统，系统相对简单和稳定，可通过主备切换或重启快速解决问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而IP直播APP可根据市场需求灵活调整业务逻辑，且前端对接系统多为双向系统，仍按照DVB方式集成IP直播APP，可能存在业务UI无法快速更新、业务逻辑无法灵活调整、业务无法精细化运营、业务无法快速移植以及无法与后续运营平台对接等等问题。</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解决上述问题，需建设IP直播业务中台，并按照互联网思路开发IP直播APP，IP直播APP与IP直播业务中台对接，IP直播业务中台与相关能力系统集成。</w:t>
      </w:r>
    </w:p>
    <w:p>
      <w:pPr>
        <w:pStyle w:val="4"/>
        <w:numPr>
          <w:ilvl w:val="0"/>
          <w:numId w:val="0"/>
        </w:numPr>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技术需求指标</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供应商必须认真阅读本部分内容，以加深对本项目技术要求的理解。</w:t>
      </w:r>
    </w:p>
    <w:p>
      <w:pPr>
        <w:pStyle w:val="5"/>
        <w:rPr>
          <w:rFonts w:hAnsi="黑体"/>
          <w:color w:val="000000" w:themeColor="text1"/>
          <w:sz w:val="21"/>
          <w14:textFill>
            <w14:solidFill>
              <w14:schemeClr w14:val="tx1"/>
            </w14:solidFill>
          </w14:textFill>
        </w:rPr>
      </w:pPr>
      <w:bookmarkStart w:id="60" w:name="_Hlk111794411"/>
      <w:r>
        <w:rPr>
          <w:rFonts w:hAnsi="黑体"/>
          <w:color w:val="000000" w:themeColor="text1"/>
          <w:sz w:val="21"/>
          <w14:textFill>
            <w14:solidFill>
              <w14:schemeClr w14:val="tx1"/>
            </w14:solidFill>
          </w14:textFill>
        </w:rPr>
        <w:t>2.1</w:t>
      </w:r>
      <w:r>
        <w:rPr>
          <w:rFonts w:ascii="Segoe UI Symbol" w:hAnsi="Segoe UI Symbol" w:cs="Segoe UI Symbol"/>
          <w:color w:val="000000" w:themeColor="text1"/>
          <w14:textFill>
            <w14:solidFill>
              <w14:schemeClr w14:val="tx1"/>
            </w14:solidFill>
          </w14:textFill>
        </w:rPr>
        <w:t>★</w:t>
      </w:r>
      <w:r>
        <w:rPr>
          <w:rFonts w:hint="eastAsia" w:hAnsi="黑体"/>
          <w:color w:val="000000" w:themeColor="text1"/>
          <w:sz w:val="21"/>
          <w14:textFill>
            <w14:solidFill>
              <w14:schemeClr w14:val="tx1"/>
            </w14:solidFill>
          </w14:textFill>
        </w:rPr>
        <w:t>系统总体要求</w:t>
      </w:r>
    </w:p>
    <w:bookmarkEnd w:id="60"/>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根据公司IP化建设思路，以及全</w:t>
      </w:r>
      <w:r>
        <w:rPr>
          <w:rFonts w:hint="eastAsia"/>
          <w:color w:val="000000" w:themeColor="text1"/>
          <w:szCs w:val="21"/>
          <w14:textFill>
            <w14:solidFill>
              <w14:schemeClr w14:val="tx1"/>
            </w14:solidFill>
          </w14:textFill>
        </w:rPr>
        <w:t>IP</w:t>
      </w:r>
      <w:r>
        <w:rPr>
          <w:color w:val="000000" w:themeColor="text1"/>
          <w:szCs w:val="21"/>
          <w14:textFill>
            <w14:solidFill>
              <w14:schemeClr w14:val="tx1"/>
            </w14:solidFill>
          </w14:textFill>
        </w:rPr>
        <w:t>网络试点建设实施方案的要求，</w:t>
      </w:r>
      <w:r>
        <w:rPr>
          <w:rFonts w:hint="eastAsia"/>
          <w:color w:val="000000" w:themeColor="text1"/>
          <w:szCs w:val="21"/>
          <w14:textFill>
            <w14:solidFill>
              <w14:schemeClr w14:val="tx1"/>
            </w14:solidFill>
          </w14:textFill>
        </w:rPr>
        <w:t>满足未来直播APP灵活调整业务逻辑、快速更新UI、快速移植业务等需求，IP直播中台主要技术功能点包括以下几点：</w:t>
      </w:r>
    </w:p>
    <w:p>
      <w:pPr>
        <w:pStyle w:val="89"/>
        <w:numPr>
          <w:ilvl w:val="0"/>
          <w:numId w:val="18"/>
        </w:numPr>
        <w:spacing w:line="360" w:lineRule="auto"/>
        <w:ind w:firstLineChars="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建设</w:t>
      </w:r>
      <w:r>
        <w:rPr>
          <w:rFonts w:hint="eastAsia"/>
          <w:color w:val="000000" w:themeColor="text1"/>
          <w14:textFill>
            <w14:solidFill>
              <w14:schemeClr w14:val="tx1"/>
            </w14:solidFill>
          </w14:textFill>
        </w:rPr>
        <w:t>IP</w:t>
      </w:r>
      <w:r>
        <w:rPr>
          <w:rFonts w:hint="eastAsia" w:ascii="宋体" w:hAnsi="宋体" w:eastAsia="宋体" w:cs="宋体"/>
          <w:color w:val="000000" w:themeColor="text1"/>
          <w14:textFill>
            <w14:solidFill>
              <w14:schemeClr w14:val="tx1"/>
            </w14:solidFill>
          </w14:textFill>
        </w:rPr>
        <w:t>直播中台系统，支持管理终端</w:t>
      </w:r>
      <w:r>
        <w:rPr>
          <w:rFonts w:hint="eastAsia"/>
          <w:color w:val="000000" w:themeColor="text1"/>
          <w14:textFill>
            <w14:solidFill>
              <w14:schemeClr w14:val="tx1"/>
            </w14:solidFill>
          </w14:textFill>
        </w:rPr>
        <w:t>UI</w:t>
      </w:r>
      <w:r>
        <w:rPr>
          <w:rFonts w:hint="eastAsia" w:ascii="宋体" w:hAnsi="宋体" w:eastAsia="宋体" w:cs="宋体"/>
          <w:color w:val="000000" w:themeColor="text1"/>
          <w14:textFill>
            <w14:solidFill>
              <w14:schemeClr w14:val="tx1"/>
            </w14:solidFill>
          </w14:textFill>
        </w:rPr>
        <w:t>显示、直播单播组播控制、用户及群组管理、运营策略下发以及终端和播放器</w:t>
      </w:r>
      <w:r>
        <w:rPr>
          <w:rFonts w:hint="eastAsia"/>
          <w:color w:val="000000" w:themeColor="text1"/>
          <w14:textFill>
            <w14:solidFill>
              <w14:schemeClr w14:val="tx1"/>
            </w14:solidFill>
          </w14:textFill>
        </w:rPr>
        <w:t>APK</w:t>
      </w:r>
      <w:r>
        <w:rPr>
          <w:rFonts w:hint="eastAsia" w:ascii="宋体" w:hAnsi="宋体" w:eastAsia="宋体" w:cs="宋体"/>
          <w:color w:val="000000" w:themeColor="text1"/>
          <w14:textFill>
            <w14:solidFill>
              <w14:schemeClr w14:val="tx1"/>
            </w14:solidFill>
          </w14:textFill>
        </w:rPr>
        <w:t>对接。</w:t>
      </w:r>
    </w:p>
    <w:p>
      <w:pPr>
        <w:pStyle w:val="89"/>
        <w:numPr>
          <w:ilvl w:val="0"/>
          <w:numId w:val="18"/>
        </w:numPr>
        <w:spacing w:line="360" w:lineRule="auto"/>
        <w:ind w:firstLineChars="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输出与终端及</w:t>
      </w:r>
      <w:r>
        <w:rPr>
          <w:rFonts w:hint="eastAsia"/>
          <w:color w:val="000000" w:themeColor="text1"/>
          <w14:textFill>
            <w14:solidFill>
              <w14:schemeClr w14:val="tx1"/>
            </w14:solidFill>
          </w14:textFill>
        </w:rPr>
        <w:t>IP</w:t>
      </w:r>
      <w:r>
        <w:rPr>
          <w:rFonts w:hint="eastAsia" w:ascii="宋体" w:hAnsi="宋体" w:eastAsia="宋体" w:cs="宋体"/>
          <w:color w:val="000000" w:themeColor="text1"/>
          <w14:textFill>
            <w14:solidFill>
              <w14:schemeClr w14:val="tx1"/>
            </w14:solidFill>
          </w14:textFill>
        </w:rPr>
        <w:t>直播</w:t>
      </w:r>
      <w:r>
        <w:rPr>
          <w:rFonts w:hint="eastAsia"/>
          <w:color w:val="000000" w:themeColor="text1"/>
          <w14:textFill>
            <w14:solidFill>
              <w14:schemeClr w14:val="tx1"/>
            </w14:solidFill>
          </w14:textFill>
        </w:rPr>
        <w:t>APK</w:t>
      </w:r>
      <w:r>
        <w:rPr>
          <w:rFonts w:hint="eastAsia" w:ascii="宋体" w:hAnsi="宋体" w:eastAsia="宋体" w:cs="宋体"/>
          <w:color w:val="000000" w:themeColor="text1"/>
          <w14:textFill>
            <w14:solidFill>
              <w14:schemeClr w14:val="tx1"/>
            </w14:solidFill>
          </w14:textFill>
        </w:rPr>
        <w:t>集成对接接口规范文档，方便后续终端与</w:t>
      </w:r>
      <w:r>
        <w:rPr>
          <w:rFonts w:hint="eastAsia"/>
          <w:color w:val="000000" w:themeColor="text1"/>
          <w14:textFill>
            <w14:solidFill>
              <w14:schemeClr w14:val="tx1"/>
            </w14:solidFill>
          </w14:textFill>
        </w:rPr>
        <w:t>IP</w:t>
      </w:r>
      <w:r>
        <w:rPr>
          <w:rFonts w:hint="eastAsia" w:ascii="宋体" w:hAnsi="宋体" w:eastAsia="宋体" w:cs="宋体"/>
          <w:color w:val="000000" w:themeColor="text1"/>
          <w14:textFill>
            <w14:solidFill>
              <w14:schemeClr w14:val="tx1"/>
            </w14:solidFill>
          </w14:textFill>
        </w:rPr>
        <w:t>直播中台对接。</w:t>
      </w:r>
    </w:p>
    <w:p>
      <w:pPr>
        <w:pStyle w:val="89"/>
        <w:numPr>
          <w:ilvl w:val="0"/>
          <w:numId w:val="18"/>
        </w:numPr>
        <w:spacing w:line="360" w:lineRule="auto"/>
        <w:ind w:firstLineChars="0"/>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开发</w:t>
      </w:r>
      <w:r>
        <w:rPr>
          <w:rFonts w:hint="eastAsia"/>
          <w:color w:val="000000" w:themeColor="text1"/>
          <w14:textFill>
            <w14:solidFill>
              <w14:schemeClr w14:val="tx1"/>
            </w14:solidFill>
          </w14:textFill>
        </w:rPr>
        <w:t>IP</w:t>
      </w:r>
      <w:r>
        <w:rPr>
          <w:rFonts w:hint="eastAsia" w:ascii="宋体" w:hAnsi="宋体" w:eastAsia="宋体" w:cs="宋体"/>
          <w:color w:val="000000" w:themeColor="text1"/>
          <w14:textFill>
            <w14:solidFill>
              <w14:schemeClr w14:val="tx1"/>
            </w14:solidFill>
          </w14:textFill>
        </w:rPr>
        <w:t>频道直播原型</w:t>
      </w:r>
      <w:r>
        <w:rPr>
          <w:rFonts w:hint="eastAsia"/>
          <w:color w:val="000000" w:themeColor="text1"/>
          <w14:textFill>
            <w14:solidFill>
              <w14:schemeClr w14:val="tx1"/>
            </w14:solidFill>
          </w14:textFill>
        </w:rPr>
        <w:t>APK</w:t>
      </w:r>
      <w:r>
        <w:rPr>
          <w:rFonts w:hint="eastAsia" w:ascii="宋体" w:hAnsi="宋体" w:eastAsia="宋体" w:cs="宋体"/>
          <w:color w:val="000000" w:themeColor="text1"/>
          <w14:textFill>
            <w14:solidFill>
              <w14:schemeClr w14:val="tx1"/>
            </w14:solidFill>
          </w14:textFill>
        </w:rPr>
        <w:t>，方便功能上线前测试、接口规范验证、后续应用场景试验以及问题复现。</w:t>
      </w:r>
    </w:p>
    <w:p>
      <w:pPr>
        <w:pStyle w:val="89"/>
        <w:numPr>
          <w:ilvl w:val="0"/>
          <w:numId w:val="18"/>
        </w:numPr>
        <w:spacing w:line="360" w:lineRule="auto"/>
        <w:ind w:firstLineChars="0"/>
        <w:rPr>
          <w:color w:val="000000" w:themeColor="text1"/>
          <w14:textFill>
            <w14:solidFill>
              <w14:schemeClr w14:val="tx1"/>
            </w14:solidFill>
          </w14:textFill>
        </w:rPr>
      </w:pPr>
      <w:bookmarkStart w:id="61" w:name="_Hlk111794432"/>
      <w:r>
        <w:rPr>
          <w:rFonts w:hint="eastAsia" w:ascii="宋体" w:hAnsi="宋体" w:eastAsia="宋体" w:cs="宋体"/>
          <w:color w:val="000000" w:themeColor="text1"/>
          <w14:textFill>
            <w14:solidFill>
              <w14:schemeClr w14:val="tx1"/>
            </w14:solidFill>
          </w14:textFill>
        </w:rPr>
        <w:t>系统性能需要支撑</w:t>
      </w:r>
      <w:r>
        <w:rPr>
          <w:color w:val="000000" w:themeColor="text1"/>
          <w14:textFill>
            <w14:solidFill>
              <w14:schemeClr w14:val="tx1"/>
            </w14:solidFill>
          </w14:textFill>
        </w:rPr>
        <w:t>50</w:t>
      </w:r>
      <w:r>
        <w:rPr>
          <w:rFonts w:hint="eastAsia" w:ascii="宋体" w:hAnsi="宋体" w:eastAsia="宋体" w:cs="宋体"/>
          <w:color w:val="000000" w:themeColor="text1"/>
          <w14:textFill>
            <w14:solidFill>
              <w14:schemeClr w14:val="tx1"/>
            </w14:solidFill>
          </w14:textFill>
        </w:rPr>
        <w:t>万在线用户接入，而且需考虑全部系统的开销及对接周边系统信息交互性能余量。系统设计时须考虑</w:t>
      </w:r>
      <w:r>
        <w:rPr>
          <w:rFonts w:hint="eastAsia"/>
          <w:color w:val="000000" w:themeColor="text1"/>
          <w14:textFill>
            <w14:solidFill>
              <w14:schemeClr w14:val="tx1"/>
            </w14:solidFill>
          </w14:textFill>
        </w:rPr>
        <w:t>20%~30%</w:t>
      </w:r>
      <w:r>
        <w:rPr>
          <w:rFonts w:hint="eastAsia" w:ascii="宋体" w:hAnsi="宋体" w:eastAsia="宋体" w:cs="宋体"/>
          <w:color w:val="000000" w:themeColor="text1"/>
          <w14:textFill>
            <w14:solidFill>
              <w14:schemeClr w14:val="tx1"/>
            </w14:solidFill>
          </w14:textFill>
        </w:rPr>
        <w:t>的性能冗余；系统核心资源（</w:t>
      </w:r>
      <w:r>
        <w:rPr>
          <w:rFonts w:hint="eastAsia"/>
          <w:color w:val="000000" w:themeColor="text1"/>
          <w14:textFill>
            <w14:solidFill>
              <w14:schemeClr w14:val="tx1"/>
            </w14:solidFill>
          </w14:textFill>
        </w:rPr>
        <w:t>CPU</w:t>
      </w:r>
      <w:r>
        <w:rPr>
          <w:rFonts w:hint="eastAsia" w:ascii="宋体" w:hAnsi="宋体" w:eastAsia="宋体" w:cs="宋体"/>
          <w:color w:val="000000" w:themeColor="text1"/>
          <w14:textFill>
            <w14:solidFill>
              <w14:schemeClr w14:val="tx1"/>
            </w14:solidFill>
          </w14:textFill>
        </w:rPr>
        <w:t>、内存、</w:t>
      </w:r>
      <w:r>
        <w:rPr>
          <w:rFonts w:hint="eastAsia"/>
          <w:color w:val="000000" w:themeColor="text1"/>
          <w14:textFill>
            <w14:solidFill>
              <w14:schemeClr w14:val="tx1"/>
            </w14:solidFill>
          </w14:textFill>
        </w:rPr>
        <w:t>I/O</w:t>
      </w:r>
      <w:r>
        <w:rPr>
          <w:rFonts w:hint="eastAsia" w:ascii="宋体" w:hAnsi="宋体" w:eastAsia="宋体" w:cs="宋体"/>
          <w:color w:val="000000" w:themeColor="text1"/>
          <w14:textFill>
            <w14:solidFill>
              <w14:schemeClr w14:val="tx1"/>
            </w14:solidFill>
          </w14:textFill>
        </w:rPr>
        <w:t>、带宽）的配置须考虑到设备正常运行状态下的内存利用率不大于</w:t>
      </w:r>
      <w:r>
        <w:rPr>
          <w:rFonts w:hint="eastAsia"/>
          <w:color w:val="000000" w:themeColor="text1"/>
          <w14:textFill>
            <w14:solidFill>
              <w14:schemeClr w14:val="tx1"/>
            </w14:solidFill>
          </w14:textFill>
        </w:rPr>
        <w:t>80%</w:t>
      </w:r>
      <w:r>
        <w:rPr>
          <w:rFonts w:hint="eastAsia" w:ascii="宋体" w:hAnsi="宋体" w:eastAsia="宋体" w:cs="宋体"/>
          <w:color w:val="000000" w:themeColor="text1"/>
          <w14:textFill>
            <w14:solidFill>
              <w14:schemeClr w14:val="tx1"/>
            </w14:solidFill>
          </w14:textFill>
        </w:rPr>
        <w:t>，保证系统在业务高峰时仍具有较强的抗冲击能力。</w:t>
      </w:r>
      <w:bookmarkEnd w:id="61"/>
    </w:p>
    <w:p>
      <w:pPr>
        <w:pStyle w:val="5"/>
        <w:rPr>
          <w:rFonts w:hAnsi="黑体"/>
          <w:color w:val="000000" w:themeColor="text1"/>
          <w:sz w:val="21"/>
          <w14:textFill>
            <w14:solidFill>
              <w14:schemeClr w14:val="tx1"/>
            </w14:solidFill>
          </w14:textFill>
        </w:rPr>
      </w:pPr>
      <w:r>
        <w:rPr>
          <w:rFonts w:hAnsi="黑体"/>
          <w:color w:val="000000" w:themeColor="text1"/>
          <w:sz w:val="21"/>
          <w14:textFill>
            <w14:solidFill>
              <w14:schemeClr w14:val="tx1"/>
            </w14:solidFill>
          </w14:textFill>
        </w:rPr>
        <w:t>2.2</w:t>
      </w:r>
      <w:r>
        <w:rPr>
          <w:rFonts w:hint="eastAsia" w:hAnsi="黑体"/>
          <w:color w:val="000000" w:themeColor="text1"/>
          <w:sz w:val="21"/>
          <w14:textFill>
            <w14:solidFill>
              <w14:schemeClr w14:val="tx1"/>
            </w14:solidFill>
          </w14:textFill>
        </w:rPr>
        <w:t>系统架构及流程</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2.2.1</w:t>
      </w:r>
      <w:r>
        <w:rPr>
          <w:rFonts w:hint="eastAsia" w:ascii="黑体" w:hAnsi="黑体" w:eastAsia="黑体"/>
          <w:b/>
          <w:bCs/>
          <w:color w:val="000000" w:themeColor="text1"/>
          <w14:textFill>
            <w14:solidFill>
              <w14:schemeClr w14:val="tx1"/>
            </w14:solidFill>
          </w14:textFill>
        </w:rPr>
        <w:t>整体架构</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为解决上述问题，需建设IP直播业务中台，并按照互联网思路开发IP直播APP，IP直播APP与IP直播业务中台对接，IP直播业务中台与相关能力系统集成，具体架构如下图所示：</w:t>
      </w:r>
    </w:p>
    <w:p>
      <w:pPr>
        <w:pStyle w:val="48"/>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293.25pt;width:351.7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P直播中台主要分为三层架构，分别是终端层、应用层和接口层。其中终端层原型APK主要验证所有中台接口和规范是否正确，为新业务场景提供测试环境；应用层则主要实现频道直播相关业务的集中管理，包括UI配置管理、EPG单播/组播控制、EPG缩略图下载、直播产品管理以及相关策略管理、用户管理、消息管理等；接口层则主要对接上游各个系统，包括运营平台、融合AAA、融合EPG以及消息系统，用来获取产品策略信息、用户信息和群组信息、直播频道相关信息以及配置和发送消息。</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2.2.2</w:t>
      </w:r>
      <w:r>
        <w:rPr>
          <w:rFonts w:hint="eastAsia" w:ascii="黑体" w:hAnsi="黑体" w:eastAsia="黑体"/>
          <w:b/>
          <w:bCs/>
          <w:color w:val="000000" w:themeColor="text1"/>
          <w14:textFill>
            <w14:solidFill>
              <w14:schemeClr w14:val="tx1"/>
            </w14:solidFill>
          </w14:textFill>
        </w:rPr>
        <w:t>业务流程</w:t>
      </w:r>
    </w:p>
    <w:p>
      <w:pPr>
        <w:pStyle w:val="48"/>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278.25pt;width:422.25pt;" o:ole="t" filled="f" o:preferrelative="t" stroked="f" coordsize="21600,21600">
            <v:path/>
            <v:fill on="f" focussize="0,0"/>
            <v:stroke on="f" joinstyle="miter"/>
            <v:imagedata r:id="rId13" o:title=""/>
            <o:lock v:ext="edit" aspectratio="f"/>
            <w10:wrap type="none"/>
            <w10:anchorlock/>
          </v:shape>
          <o:OLEObject Type="Embed" ProgID="Visio.Drawing.15" ShapeID="_x0000_i1026" DrawAspect="Content" ObjectID="_1468075726" r:id="rId12">
            <o:LockedField>false</o:LockedField>
          </o:OLEObject>
        </w:objec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P直播中台通过接口控制终端及直播应用，从融合AAA获取的用户和群组信息、从融合EPG获取频道信息，并根据配置下发终端UI界面。此外IP直播中台还可以通过消息系统将消息传递给终端消息SDK，通过运营平台获取运营策略数据，做到自动化运营。</w:t>
      </w:r>
    </w:p>
    <w:p>
      <w:pPr>
        <w:pStyle w:val="5"/>
        <w:rPr>
          <w:rFonts w:hAnsi="黑体"/>
          <w:color w:val="000000" w:themeColor="text1"/>
          <w:sz w:val="21"/>
          <w14:textFill>
            <w14:solidFill>
              <w14:schemeClr w14:val="tx1"/>
            </w14:solidFill>
          </w14:textFill>
        </w:rPr>
      </w:pPr>
      <w:r>
        <w:rPr>
          <w:rFonts w:hAnsi="黑体"/>
          <w:color w:val="000000" w:themeColor="text1"/>
          <w:sz w:val="21"/>
          <w14:textFill>
            <w14:solidFill>
              <w14:schemeClr w14:val="tx1"/>
            </w14:solidFill>
          </w14:textFill>
        </w:rPr>
        <w:t>2.3</w:t>
      </w:r>
      <w:r>
        <w:rPr>
          <w:rFonts w:hint="eastAsia" w:hAnsi="黑体"/>
          <w:color w:val="000000" w:themeColor="text1"/>
          <w:sz w:val="21"/>
          <w14:textFill>
            <w14:solidFill>
              <w14:schemeClr w14:val="tx1"/>
            </w14:solidFill>
          </w14:textFill>
        </w:rPr>
        <w:t>技术要求</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2.3.1</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UI模板管理</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业务中台支持在前端管理终端UI显示，可以针对用户分组设置不同的UI模板，用以控制终端IP直播APP的界面展示，通过中台的配置和下发实现了在不升级终端APP的前提下，随时更新终端UI界面内容，降低了运维成本。同时平台也支持对用户进行定制化的UI配置，实现精细化运营，针对不同用户展现个性化UI界面。</w:t>
      </w:r>
    </w:p>
    <w:p>
      <w:pPr>
        <w:pStyle w:val="377"/>
        <w:ind w:firstLine="420"/>
        <w:jc w:val="center"/>
        <w:rPr>
          <w:color w:val="000000" w:themeColor="text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终端UI模板管理是对模板的统一管理能力。实现直播的栏目编排、内容与栏目的关联。模板统一管理，包括模板的编辑、删除、修改，模板的上下架，统一管理和配置模板，模板由多个控件组成，模板可以重复被使用并创建的一种与终端约定好的展示模型（包含布局信息），可生成固定模板可供用户自由选择。</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2.3.2</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直播EPG管理</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通过对融合EPG系统的数据进行重新编排、打包，支持灵活的频道直播管理策略</w:t>
      </w:r>
      <w:r>
        <w:rPr>
          <w:rFonts w:ascii="Times New Roman" w:hAnsi="Times New Roman"/>
          <w:color w:val="000000" w:themeColor="text1"/>
          <w:kern w:val="2"/>
          <w:sz w:val="21"/>
          <w:szCs w:val="21"/>
          <w:lang w:eastAsia="zh-CN"/>
          <w14:textFill>
            <w14:solidFill>
              <w14:schemeClr w14:val="tx1"/>
            </w14:solidFill>
          </w14:textFill>
        </w:rPr>
        <w:t>。</w:t>
      </w:r>
    </w:p>
    <w:p>
      <w:pPr>
        <w:pStyle w:val="48"/>
        <w:outlineLvl w:val="4"/>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2.3.2.1</w:t>
      </w:r>
      <w:r>
        <w:rPr>
          <w:rFonts w:hint="eastAsia" w:ascii="黑体" w:hAnsi="黑体" w:eastAsia="黑体"/>
          <w:b/>
          <w:bCs/>
          <w:color w:val="000000" w:themeColor="text1"/>
          <w14:textFill>
            <w14:solidFill>
              <w14:schemeClr w14:val="tx1"/>
            </w14:solidFill>
          </w14:textFill>
        </w:rPr>
        <w:t>直播频道</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IP直播中台实时同步融合EPG系统的EPG数据，并进行本地缓存，对融合EPG系统的数据读取采用动态更新策略，在EPG数据有更新时才去融合EPG系统请求数据，减轻融合EPG系统的并发压力。</w:t>
      </w:r>
    </w:p>
    <w:p>
      <w:pPr>
        <w:pStyle w:val="377"/>
        <w:ind w:firstLine="420"/>
        <w:rPr>
          <w:rFonts w:ascii="Times New Roman" w:hAnsi="Times New Roman"/>
          <w:color w:val="000000" w:themeColor="text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IP直播中台提供EPG查询接口供IP终端访问，在接口中增加IP直播运营数据。为终端的EPG数据提供冗余机制，在融合EPG系统不能访问时不影响终端的EPG数据获取。</w:t>
      </w:r>
    </w:p>
    <w:p>
      <w:pPr>
        <w:pStyle w:val="48"/>
        <w:outlineLvl w:val="4"/>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2.3.2.2</w:t>
      </w:r>
      <w:r>
        <w:rPr>
          <w:rFonts w:hint="eastAsia" w:ascii="黑体" w:hAnsi="黑体" w:eastAsia="黑体"/>
          <w:b/>
          <w:bCs/>
          <w:color w:val="000000" w:themeColor="text1"/>
          <w14:textFill>
            <w14:solidFill>
              <w14:schemeClr w14:val="tx1"/>
            </w14:solidFill>
          </w14:textFill>
        </w:rPr>
        <w:t>单播组播控制</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中台通过对频道直播EPG数据进行重新封装后实现直播单播和组播控制，对特定收视并发较大的频道进行组播播放，其他频道进行单播播放，并可以在前端中台进行控制和调整，支持按照用户分组进行单播组播控制。并且中台可以随时调整配置，频道配置可以与频道内容一样，相同频道可以根据不同地区从而选择不同的播放形式。</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终端获取直播时如图所示，IP直播APK通过尝试接收测试组播网络中的数据，判断当前是组播或者单播优先，然后根据得到的配置获取对应组播/单播播放串。获取到的配置同样也会在用户进入直播APK后播放频道时使用，同时支持定时检测刷新配置结果。</w:t>
      </w:r>
    </w:p>
    <w:p>
      <w:pPr>
        <w:pStyle w:val="377"/>
        <w:ind w:firstLine="0" w:firstLineChars="0"/>
        <w:jc w:val="center"/>
        <w:rPr>
          <w:rFonts w:ascii="黑体" w:hAnsi="黑体" w:eastAsia="黑体"/>
          <w:b/>
          <w:bCs/>
          <w:color w:val="000000" w:themeColor="text1"/>
          <w:lang w:eastAsia="zh-CN"/>
          <w14:textFill>
            <w14:solidFill>
              <w14:schemeClr w14:val="tx1"/>
            </w14:solidFill>
          </w14:textFill>
        </w:rPr>
      </w:pPr>
    </w:p>
    <w:p>
      <w:pPr>
        <w:pStyle w:val="48"/>
        <w:outlineLvl w:val="4"/>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2.3.2.3</w:t>
      </w:r>
      <w:r>
        <w:rPr>
          <w:rFonts w:hint="eastAsia" w:ascii="黑体" w:hAnsi="黑体" w:eastAsia="黑体"/>
          <w:b/>
          <w:bCs/>
          <w:color w:val="000000" w:themeColor="text1"/>
          <w14:textFill>
            <w14:solidFill>
              <w14:schemeClr w14:val="tx1"/>
            </w14:solidFill>
          </w14:textFill>
        </w:rPr>
        <w:t>直播缩略图管理</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系统支持直播缩略图功能，在新封装的EPG接口中提供对应的频道直播缩略图下载信息，终端直播APK在用户拖拽进度条时可以同步显示缩略图，方便用户进行定位。</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根据频道配置直播频道缩略图下载信息，可以按照地市设置不同的下载信息，在终端读取的EPG信息中标注对应节目是否有缩略图服务，如果有缩略图服务则按照终端分组信息提供对应的下载信息。终端根据提供的缩略图下载信息去下载对应的缩略图进行展示。</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2.3.3</w:t>
      </w:r>
      <w:r>
        <w:rPr>
          <w:rFonts w:hint="eastAsia" w:ascii="黑体" w:hAnsi="黑体" w:eastAsia="黑体"/>
          <w:b/>
          <w:bCs/>
          <w:color w:val="000000" w:themeColor="text1"/>
          <w14:textFill>
            <w14:solidFill>
              <w14:schemeClr w14:val="tx1"/>
            </w14:solidFill>
          </w14:textFill>
        </w:rPr>
        <w:t>直播产品包管理</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负责频道直播产品的管理和配置。</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产品包同步：从融合AAA系统同步直播频道产品包信息，建立直播频道与产品包的基础对应关系。</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产品包创建和发布：平台操作员选定业务或特定产品中的业务，定义计费策略和优惠策略，创建产品，套餐或套餐。所发布的产品，套餐，或套餐中包含的业务应该处于正常状态。</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产品包修改：修改基本信息。对于已存在订购关系的产品或套餐，修改不能影响订购或计费（相关订购和计费信息禁止修改）。</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产品包下线：下线产品包，已存在订购关系的产品或套餐不能删除只能下线，下线后的产品不影响已订购用户的使用，已下线的产品包不需要新订购。</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产品包删除：对没有订购的产品包可以删除。</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产品包查询接口：提供产品包查询接口供IP终端访问，IP终端根据查询到的产品包进行用户实时订购开通。</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2.3.4</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与周边系统对接</w:t>
      </w:r>
    </w:p>
    <w:p>
      <w:pPr>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7" o:spt="75" type="#_x0000_t75" style="height:189pt;width:321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P直播中台对接运营平台下发直播策略，对接融合AAA进行用户管理、分组管理和产品管理，对接融合EPG进行直播单播/组播管理，对接消息系统实现消息下发和管控，另外还需要实现终端UI模板管理、频道直播缩略图下载、直播频道收藏提醒。</w:t>
      </w:r>
    </w:p>
    <w:p>
      <w:pPr>
        <w:pStyle w:val="48"/>
        <w:outlineLvl w:val="4"/>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2.3.4.1</w:t>
      </w:r>
      <w:r>
        <w:rPr>
          <w:rFonts w:hint="eastAsia" w:ascii="黑体" w:hAnsi="黑体" w:eastAsia="黑体"/>
          <w:b/>
          <w:bCs/>
          <w:color w:val="000000" w:themeColor="text1"/>
          <w14:textFill>
            <w14:solidFill>
              <w14:schemeClr w14:val="tx1"/>
            </w14:solidFill>
          </w14:textFill>
        </w:rPr>
        <w:t>与运营平台接口</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IP直播业务平台通过与运营平台的预留接口，可以实现后续运营平台对IP直播业务的运营策略的下发。通过IP直播业务平台开放的接口，定期定时对终端UI界面和相关推送的设置，实现自动化策略运营。</w:t>
      </w:r>
    </w:p>
    <w:p>
      <w:pPr>
        <w:pStyle w:val="48"/>
        <w:ind w:firstLine="420"/>
        <w:outlineLvl w:val="4"/>
        <w:rPr>
          <w:rFonts w:ascii="黑体" w:hAnsi="黑体" w:eastAsia="黑体"/>
          <w:b/>
          <w:bCs/>
          <w:color w:val="000000" w:themeColor="text1"/>
          <w:kern w:val="2"/>
          <w:sz w:val="21"/>
          <w:szCs w:val="2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.3.4.2</w:t>
      </w:r>
      <w:r>
        <w:rPr>
          <w:rFonts w:hint="eastAsia" w:ascii="黑体" w:hAnsi="黑体" w:eastAsia="黑体"/>
          <w:b/>
          <w:bCs/>
          <w:color w:val="000000" w:themeColor="text1"/>
          <w:kern w:val="2"/>
          <w:sz w:val="21"/>
          <w:szCs w:val="21"/>
          <w14:textFill>
            <w14:solidFill>
              <w14:schemeClr w14:val="tx1"/>
            </w14:solidFill>
          </w14:textFill>
        </w:rPr>
        <w:t>与消息系统接口</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根据IP直播中台已有的用户信息和群组信息，对相关用户或群组配置发送消息，消息通过消息平台下发至各个终端。消息类型包括弹窗、气泡、以及各种控制类消息，并且支持对发送消息进行策略配置。</w:t>
      </w:r>
    </w:p>
    <w:p>
      <w:pPr>
        <w:pStyle w:val="48"/>
        <w:ind w:firstLine="420"/>
        <w:outlineLvl w:val="4"/>
        <w:rPr>
          <w:rFonts w:ascii="黑体" w:hAnsi="黑体" w:eastAsia="黑体"/>
          <w:b/>
          <w:bCs/>
          <w:color w:val="000000" w:themeColor="text1"/>
          <w:kern w:val="2"/>
          <w:sz w:val="21"/>
          <w:szCs w:val="2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.3.4.3</w:t>
      </w:r>
      <w:r>
        <w:rPr>
          <w:rFonts w:hint="eastAsia" w:ascii="黑体" w:hAnsi="黑体" w:eastAsia="黑体"/>
          <w:b/>
          <w:bCs/>
          <w:color w:val="000000" w:themeColor="text1"/>
          <w:kern w:val="2"/>
          <w:sz w:val="21"/>
          <w:szCs w:val="21"/>
          <w14:textFill>
            <w14:solidFill>
              <w14:schemeClr w14:val="tx1"/>
            </w14:solidFill>
          </w14:textFill>
        </w:rPr>
        <w:t>与</w:t>
      </w:r>
      <w:r>
        <w:rPr>
          <w:rFonts w:ascii="黑体" w:hAnsi="黑体" w:eastAsia="黑体"/>
          <w:b/>
          <w:bCs/>
          <w:color w:val="000000" w:themeColor="text1"/>
          <w:kern w:val="2"/>
          <w:sz w:val="21"/>
          <w:szCs w:val="21"/>
          <w14:textFill>
            <w14:solidFill>
              <w14:schemeClr w14:val="tx1"/>
            </w14:solidFill>
          </w14:textFill>
        </w:rPr>
        <w:t>EPG</w:t>
      </w:r>
      <w:r>
        <w:rPr>
          <w:rFonts w:hint="eastAsia" w:ascii="黑体" w:hAnsi="黑体" w:eastAsia="黑体"/>
          <w:b/>
          <w:bCs/>
          <w:color w:val="000000" w:themeColor="text1"/>
          <w:kern w:val="2"/>
          <w:sz w:val="21"/>
          <w:szCs w:val="21"/>
          <w14:textFill>
            <w14:solidFill>
              <w14:schemeClr w14:val="tx1"/>
            </w14:solidFill>
          </w14:textFill>
        </w:rPr>
        <w:t>系统接口</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IP直播中台实时同步融合EPG系统的EPG数据，并进行本地缓存，对融合EPG系统的数据读取采用动态更新策略，在EPG数据有更新时才去融合EPG系统请求数据，减轻融合EPG系统的并发压力。</w:t>
      </w:r>
    </w:p>
    <w:p>
      <w:pPr>
        <w:pStyle w:val="48"/>
        <w:outlineLvl w:val="4"/>
        <w:rPr>
          <w:rFonts w:ascii="黑体" w:hAnsi="黑体" w:eastAsia="黑体"/>
          <w:b/>
          <w:bCs/>
          <w:color w:val="000000" w:themeColor="text1"/>
          <w:kern w:val="2"/>
          <w:sz w:val="21"/>
          <w:szCs w:val="2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.3.4.4</w:t>
      </w:r>
      <w:r>
        <w:rPr>
          <w:rFonts w:hint="eastAsia" w:ascii="黑体" w:hAnsi="黑体" w:eastAsia="黑体"/>
          <w:b/>
          <w:bCs/>
          <w:color w:val="000000" w:themeColor="text1"/>
          <w:kern w:val="2"/>
          <w:sz w:val="21"/>
          <w:szCs w:val="21"/>
          <w14:textFill>
            <w14:solidFill>
              <w14:schemeClr w14:val="tx1"/>
            </w14:solidFill>
          </w14:textFill>
        </w:rPr>
        <w:t>与</w:t>
      </w:r>
      <w:r>
        <w:rPr>
          <w:rFonts w:ascii="黑体" w:hAnsi="黑体" w:eastAsia="黑体"/>
          <w:b/>
          <w:bCs/>
          <w:color w:val="000000" w:themeColor="text1"/>
          <w:kern w:val="2"/>
          <w:sz w:val="21"/>
          <w:szCs w:val="21"/>
          <w14:textFill>
            <w14:solidFill>
              <w14:schemeClr w14:val="tx1"/>
            </w14:solidFill>
          </w14:textFill>
        </w:rPr>
        <w:t>AAA</w:t>
      </w:r>
      <w:r>
        <w:rPr>
          <w:rFonts w:hint="eastAsia" w:ascii="黑体" w:hAnsi="黑体" w:eastAsia="黑体"/>
          <w:b/>
          <w:bCs/>
          <w:color w:val="000000" w:themeColor="text1"/>
          <w:kern w:val="2"/>
          <w:sz w:val="21"/>
          <w:szCs w:val="21"/>
          <w14:textFill>
            <w14:solidFill>
              <w14:schemeClr w14:val="tx1"/>
            </w14:solidFill>
          </w14:textFill>
        </w:rPr>
        <w:t>系统接口</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支持实时从AAA同步终端用户及群组信息，支持对用户和群组的管理。</w:t>
      </w:r>
    </w:p>
    <w:p>
      <w:pPr>
        <w:pStyle w:val="48"/>
        <w:ind w:firstLine="420"/>
        <w:outlineLvl w:val="4"/>
        <w:rPr>
          <w:rFonts w:ascii="黑体" w:hAnsi="黑体" w:eastAsia="黑体"/>
          <w:b/>
          <w:bCs/>
          <w:color w:val="000000" w:themeColor="text1"/>
          <w:kern w:val="2"/>
          <w:sz w:val="21"/>
          <w:szCs w:val="2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.3.4.5</w:t>
      </w:r>
      <w:r>
        <w:rPr>
          <w:rFonts w:hint="eastAsia" w:ascii="黑体" w:hAnsi="黑体" w:eastAsia="黑体"/>
          <w:b/>
          <w:bCs/>
          <w:color w:val="000000" w:themeColor="text1"/>
          <w:kern w:val="2"/>
          <w:sz w:val="21"/>
          <w:szCs w:val="21"/>
          <w14:textFill>
            <w14:solidFill>
              <w14:schemeClr w14:val="tx1"/>
            </w14:solidFill>
          </w14:textFill>
        </w:rPr>
        <w:t>与终端接口</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与终端应用以及相关SDK接口，用于发布终端UI模板、直播EPG、直播单组播配置等等参数并接收来自终端应用及SDK的数据上报。</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2.3.5</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用户群组管理</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系统支持终端用户及群组管理，支持从AAA同步终端用户及群组信息，并且对支持对用户新增个性化标签，根据标签对用户进行其他维度的群组划分。</w:t>
      </w:r>
    </w:p>
    <w:p>
      <w:pPr>
        <w:pStyle w:val="48"/>
        <w:outlineLvl w:val="4"/>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2.3.5.1</w:t>
      </w:r>
      <w:r>
        <w:rPr>
          <w:rFonts w:hint="eastAsia" w:ascii="黑体" w:hAnsi="黑体" w:eastAsia="黑体"/>
          <w:b/>
          <w:bCs/>
          <w:color w:val="000000" w:themeColor="text1"/>
          <w14:textFill>
            <w14:solidFill>
              <w14:schemeClr w14:val="tx1"/>
            </w14:solidFill>
          </w14:textFill>
        </w:rPr>
        <w:t>用户列表</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用户列表可以对终端用户信息进行查询，支持从融合AAA导入用户数据，实现所有用户数据信息的统一查询。</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ascii="Times New Roman" w:hAnsi="Times New Roman"/>
          <w:color w:val="000000" w:themeColor="text1"/>
          <w:kern w:val="2"/>
          <w:sz w:val="21"/>
          <w:szCs w:val="21"/>
          <w:lang w:eastAsia="zh-CN"/>
          <w14:textFill>
            <w14:solidFill>
              <w14:schemeClr w14:val="tx1"/>
            </w14:solidFill>
          </w14:textFill>
        </w:rPr>
        <w:t>用户信息包括</w:t>
      </w:r>
      <w:r>
        <w:rPr>
          <w:rFonts w:hint="eastAsia" w:ascii="Times New Roman" w:hAnsi="Times New Roman"/>
          <w:color w:val="000000" w:themeColor="text1"/>
          <w:kern w:val="2"/>
          <w:sz w:val="21"/>
          <w:szCs w:val="21"/>
          <w:lang w:eastAsia="zh-CN"/>
          <w14:textFill>
            <w14:solidFill>
              <w14:schemeClr w14:val="tx1"/>
            </w14:solidFill>
          </w14:textFill>
        </w:rPr>
        <w:t>：</w:t>
      </w:r>
      <w:r>
        <w:rPr>
          <w:rFonts w:ascii="Times New Roman" w:hAnsi="Times New Roman"/>
          <w:color w:val="000000" w:themeColor="text1"/>
          <w:kern w:val="2"/>
          <w:sz w:val="21"/>
          <w:szCs w:val="21"/>
          <w:lang w:eastAsia="zh-CN"/>
          <w14:textFill>
            <w14:solidFill>
              <w14:schemeClr w14:val="tx1"/>
            </w14:solidFill>
          </w14:textFill>
        </w:rPr>
        <w:t>用户</w:t>
      </w:r>
      <w:r>
        <w:rPr>
          <w:rFonts w:hint="eastAsia" w:ascii="Times New Roman" w:hAnsi="Times New Roman"/>
          <w:color w:val="000000" w:themeColor="text1"/>
          <w:kern w:val="2"/>
          <w:sz w:val="21"/>
          <w:szCs w:val="21"/>
          <w:lang w:eastAsia="zh-CN"/>
          <w14:textFill>
            <w14:solidFill>
              <w14:schemeClr w14:val="tx1"/>
            </w14:solidFill>
          </w14:textFill>
        </w:rPr>
        <w:t>ID、用户名、实时状态、失效日期、生效日期、联系电话、用户来源、首次使用时间，及相应用户的资源授权信息等。</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用户列表还支持对用户信息进行新增个性化标签来进行其他维度的管理。</w:t>
      </w:r>
    </w:p>
    <w:p>
      <w:pPr>
        <w:pStyle w:val="48"/>
        <w:outlineLvl w:val="4"/>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2.3.5.2</w:t>
      </w:r>
      <w:r>
        <w:rPr>
          <w:rFonts w:hint="eastAsia" w:ascii="黑体" w:hAnsi="黑体" w:eastAsia="黑体"/>
          <w:b/>
          <w:bCs/>
          <w:color w:val="000000" w:themeColor="text1"/>
          <w14:textFill>
            <w14:solidFill>
              <w14:schemeClr w14:val="tx1"/>
            </w14:solidFill>
          </w14:textFill>
        </w:rPr>
        <w:t>群组管理</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群组管理可以对用户群组进行新增、删除、修改，群组信息包括：名称、群组编码、群组标签、权重、创建时间、修改时间等等，并且支持从融合AAA导入用户群组数据，群组管理还支持根据用户标签进行新增群组。</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用户在终端使用时，会根据群组编码自动对应所属群组。用户进入终端后，显示的首页和频道为对应群组下设置的内容。</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2.3.6</w:t>
      </w:r>
      <w:r>
        <w:rPr>
          <w:rFonts w:hint="eastAsia" w:ascii="黑体" w:hAnsi="黑体" w:eastAsia="黑体"/>
          <w:b/>
          <w:bCs/>
          <w:color w:val="000000" w:themeColor="text1"/>
          <w14:textFill>
            <w14:solidFill>
              <w14:schemeClr w14:val="tx1"/>
            </w14:solidFill>
          </w14:textFill>
        </w:rPr>
        <w:t>直播频道收藏提醒</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IP直播中台提供直播频道收藏提醒功能，用户根据频道直播EPG信息进行收藏，在收藏的直播节目播出前主动在终端上进行提醒，点击后可以直接进入对应的频道直播。</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终端收藏接口：提供新增收藏接口给IP终端记录用户的直播频道收藏信息，提供查询接口给终端显示当前已经收藏的直播频道信息，提供删除接口给终端取消直播频道收藏信息。</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到期提前提醒功能：实时检测用户的收藏记录，在收藏的EPG节目播放开始前</w:t>
      </w:r>
      <w:r>
        <w:rPr>
          <w:rFonts w:ascii="Times New Roman" w:hAnsi="Times New Roman"/>
          <w:color w:val="000000" w:themeColor="text1"/>
          <w:kern w:val="2"/>
          <w:sz w:val="21"/>
          <w:szCs w:val="21"/>
          <w:lang w:eastAsia="zh-CN"/>
          <w14:textFill>
            <w14:solidFill>
              <w14:schemeClr w14:val="tx1"/>
            </w14:solidFill>
          </w14:textFill>
        </w:rPr>
        <w:t>5</w:t>
      </w:r>
      <w:r>
        <w:rPr>
          <w:rFonts w:hint="eastAsia" w:ascii="Times New Roman" w:hAnsi="Times New Roman"/>
          <w:color w:val="000000" w:themeColor="text1"/>
          <w:kern w:val="2"/>
          <w:sz w:val="21"/>
          <w:szCs w:val="21"/>
          <w:lang w:eastAsia="zh-CN"/>
          <w14:textFill>
            <w14:solidFill>
              <w14:schemeClr w14:val="tx1"/>
            </w14:solidFill>
          </w14:textFill>
        </w:rPr>
        <w:t>分钟通过消息系统发送汽泡提醒，在界面播放前1</w:t>
      </w:r>
      <w:r>
        <w:rPr>
          <w:rFonts w:ascii="Times New Roman" w:hAnsi="Times New Roman"/>
          <w:color w:val="000000" w:themeColor="text1"/>
          <w:kern w:val="2"/>
          <w:sz w:val="21"/>
          <w:szCs w:val="21"/>
          <w:lang w:eastAsia="zh-CN"/>
          <w14:textFill>
            <w14:solidFill>
              <w14:schemeClr w14:val="tx1"/>
            </w14:solidFill>
          </w14:textFill>
        </w:rPr>
        <w:t>0</w:t>
      </w:r>
      <w:r>
        <w:rPr>
          <w:rFonts w:hint="eastAsia" w:ascii="Times New Roman" w:hAnsi="Times New Roman"/>
          <w:color w:val="000000" w:themeColor="text1"/>
          <w:kern w:val="2"/>
          <w:sz w:val="21"/>
          <w:szCs w:val="21"/>
          <w:lang w:eastAsia="zh-CN"/>
          <w14:textFill>
            <w14:solidFill>
              <w14:schemeClr w14:val="tx1"/>
            </w14:solidFill>
          </w14:textFill>
        </w:rPr>
        <w:t>秒钟提醒用户是否跳转到对应的频道直播界面，用户点击确认则跳转，如果取消则不跳转，终端上报用户最终是否跳转。</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收藏提醒统计功能：按照周期统计用户提醒的转化率，为后续IP直播运营提供数据支撑。</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2.3.7</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频道直播原型APK开发</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按照当前业务设想开发IP频道直播原型APK，支持在当前江苏有线IP终端上使用，方便功能上线前测试、接口规范验证、后续应用场景试验以及问题复现。</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原型APK按照当前江苏有线的终端规范进行开发，集成AAA-SDK、广告SDK、播放器SDK，按照IP直播中台的接口规范进行交互。原型APK需要记录与IP直播中台的交互日志，方便定位问题。</w:t>
      </w:r>
    </w:p>
    <w:p>
      <w:pPr>
        <w:pStyle w:val="5"/>
        <w:rPr>
          <w:rFonts w:hAnsi="黑体"/>
          <w:color w:val="000000" w:themeColor="text1"/>
          <w:sz w:val="21"/>
          <w14:textFill>
            <w14:solidFill>
              <w14:schemeClr w14:val="tx1"/>
            </w14:solidFill>
          </w14:textFill>
        </w:rPr>
      </w:pPr>
      <w:r>
        <w:rPr>
          <w:rFonts w:hAnsi="黑体"/>
          <w:color w:val="000000" w:themeColor="text1"/>
          <w:sz w:val="21"/>
          <w14:textFill>
            <w14:solidFill>
              <w14:schemeClr w14:val="tx1"/>
            </w14:solidFill>
          </w14:textFill>
        </w:rPr>
        <w:t>2.4</w:t>
      </w:r>
      <w:r>
        <w:rPr>
          <w:rFonts w:hint="eastAsia" w:hAnsi="黑体"/>
          <w:color w:val="000000" w:themeColor="text1"/>
          <w:sz w:val="21"/>
          <w14:textFill>
            <w14:solidFill>
              <w14:schemeClr w14:val="tx1"/>
            </w14:solidFill>
          </w14:textFill>
        </w:rPr>
        <w:t>其他要求</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2.4.1</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冗余要求</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系统采用无状态设计，支持从1:</w:t>
      </w:r>
      <w:r>
        <w:rPr>
          <w:rFonts w:ascii="Times New Roman" w:hAnsi="Times New Roman"/>
          <w:color w:val="000000" w:themeColor="text1"/>
          <w:kern w:val="2"/>
          <w:sz w:val="21"/>
          <w:szCs w:val="21"/>
          <w:lang w:eastAsia="zh-CN"/>
          <w14:textFill>
            <w14:solidFill>
              <w14:schemeClr w14:val="tx1"/>
            </w14:solidFill>
          </w14:textFill>
        </w:rPr>
        <w:t>1</w:t>
      </w:r>
      <w:r>
        <w:rPr>
          <w:rFonts w:hint="eastAsia" w:ascii="Times New Roman" w:hAnsi="Times New Roman"/>
          <w:color w:val="000000" w:themeColor="text1"/>
          <w:kern w:val="2"/>
          <w:sz w:val="21"/>
          <w:szCs w:val="21"/>
          <w:lang w:eastAsia="zh-CN"/>
          <w14:textFill>
            <w14:solidFill>
              <w14:schemeClr w14:val="tx1"/>
            </w14:solidFill>
          </w14:textFill>
        </w:rPr>
        <w:t>冗余平滑升级至N:1冗余热备，当一台设备发生故障时，自动无缝切换，对包括直播业务以及消息通信在内的各个业务无影响。</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2.4.2</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安全要求</w:t>
      </w:r>
    </w:p>
    <w:p>
      <w:pPr>
        <w:pStyle w:val="377"/>
        <w:ind w:firstLine="42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系统应具备良好的安全策略、安全手段、安全环境及安全管理措施。</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w:t>
      </w:r>
      <w:r>
        <w:rPr>
          <w:rFonts w:ascii="Tahoma" w:hAnsi="宋体" w:eastAsia="宋体"/>
          <w:color w:val="000000" w:themeColor="text1"/>
          <w:kern w:val="2"/>
          <w:sz w:val="21"/>
          <w:szCs w:val="21"/>
          <w14:textFill>
            <w14:solidFill>
              <w14:schemeClr w14:val="tx1"/>
            </w14:solidFill>
          </w14:textFill>
        </w:rPr>
        <w:t>1</w:t>
      </w:r>
      <w:r>
        <w:rPr>
          <w:rFonts w:hint="eastAsia" w:ascii="Tahoma" w:hAnsi="宋体" w:eastAsia="宋体"/>
          <w:color w:val="000000" w:themeColor="text1"/>
          <w:kern w:val="2"/>
          <w:sz w:val="21"/>
          <w:szCs w:val="21"/>
          <w14:textFill>
            <w14:solidFill>
              <w14:schemeClr w14:val="tx1"/>
            </w14:solidFill>
          </w14:textFill>
        </w:rPr>
        <w:t>）终端应用安全</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由于终端应用始终处于公网可访问环境，因此终端应用</w:t>
      </w:r>
      <w:r>
        <w:rPr>
          <w:rFonts w:ascii="Tahoma" w:hAnsi="宋体" w:eastAsia="宋体"/>
          <w:color w:val="000000" w:themeColor="text1"/>
          <w:kern w:val="2"/>
          <w:sz w:val="21"/>
          <w:szCs w:val="21"/>
          <w14:textFill>
            <w14:solidFill>
              <w14:schemeClr w14:val="tx1"/>
            </w14:solidFill>
          </w14:textFill>
        </w:rPr>
        <w:t>应支持访问控制、安全检测等一系列安全功能，</w:t>
      </w:r>
      <w:r>
        <w:rPr>
          <w:rFonts w:hint="eastAsia" w:ascii="Tahoma" w:hAnsi="宋体" w:eastAsia="宋体"/>
          <w:color w:val="000000" w:themeColor="text1"/>
          <w:kern w:val="2"/>
          <w:sz w:val="21"/>
          <w:szCs w:val="21"/>
          <w14:textFill>
            <w14:solidFill>
              <w14:schemeClr w14:val="tx1"/>
            </w14:solidFill>
          </w14:textFill>
        </w:rPr>
        <w:t>严禁其他系统或者应用从本机终端或者公网对本应用进行非法访问，应用应</w:t>
      </w:r>
      <w:r>
        <w:rPr>
          <w:rFonts w:ascii="Tahoma" w:hAnsi="宋体" w:eastAsia="宋体"/>
          <w:color w:val="000000" w:themeColor="text1"/>
          <w:kern w:val="2"/>
          <w:sz w:val="21"/>
          <w:szCs w:val="21"/>
          <w14:textFill>
            <w14:solidFill>
              <w14:schemeClr w14:val="tx1"/>
            </w14:solidFill>
          </w14:textFill>
        </w:rPr>
        <w:t>提供完整</w:t>
      </w:r>
      <w:r>
        <w:rPr>
          <w:rFonts w:hint="eastAsia" w:ascii="Tahoma" w:hAnsi="宋体" w:eastAsia="宋体"/>
          <w:color w:val="000000" w:themeColor="text1"/>
          <w:kern w:val="2"/>
          <w:sz w:val="21"/>
          <w:szCs w:val="21"/>
          <w14:textFill>
            <w14:solidFill>
              <w14:schemeClr w14:val="tx1"/>
            </w14:solidFill>
          </w14:textFill>
        </w:rPr>
        <w:t>的应用防护</w:t>
      </w:r>
      <w:r>
        <w:rPr>
          <w:rFonts w:ascii="Tahoma" w:hAnsi="宋体" w:eastAsia="宋体"/>
          <w:color w:val="000000" w:themeColor="text1"/>
          <w:kern w:val="2"/>
          <w:sz w:val="21"/>
          <w:szCs w:val="21"/>
          <w14:textFill>
            <w14:solidFill>
              <w14:schemeClr w14:val="tx1"/>
            </w14:solidFill>
          </w14:textFill>
        </w:rPr>
        <w:t>功能。</w:t>
      </w:r>
      <w:r>
        <w:rPr>
          <w:rFonts w:hint="eastAsia" w:ascii="Tahoma" w:hAnsi="宋体" w:eastAsia="宋体"/>
          <w:color w:val="000000" w:themeColor="text1"/>
          <w:kern w:val="2"/>
          <w:sz w:val="21"/>
          <w:szCs w:val="21"/>
          <w14:textFill>
            <w14:solidFill>
              <w14:schemeClr w14:val="tx1"/>
            </w14:solidFill>
          </w14:textFill>
        </w:rPr>
        <w:t>此外终端应用与前端通过公网的连接应</w:t>
      </w:r>
      <w:r>
        <w:rPr>
          <w:rFonts w:ascii="Tahoma" w:hAnsi="宋体" w:eastAsia="宋体"/>
          <w:color w:val="000000" w:themeColor="text1"/>
          <w:kern w:val="2"/>
          <w:sz w:val="21"/>
          <w:szCs w:val="21"/>
          <w14:textFill>
            <w14:solidFill>
              <w14:schemeClr w14:val="tx1"/>
            </w14:solidFill>
          </w14:textFill>
        </w:rPr>
        <w:t>使用加密技术对传输的用户密码</w:t>
      </w:r>
      <w:r>
        <w:rPr>
          <w:rFonts w:hint="eastAsia" w:ascii="Tahoma" w:hAnsi="宋体" w:eastAsia="宋体"/>
          <w:color w:val="000000" w:themeColor="text1"/>
          <w:kern w:val="2"/>
          <w:sz w:val="21"/>
          <w:szCs w:val="21"/>
          <w14:textFill>
            <w14:solidFill>
              <w14:schemeClr w14:val="tx1"/>
            </w14:solidFill>
          </w14:textFill>
        </w:rPr>
        <w:t>、直播配置</w:t>
      </w:r>
      <w:r>
        <w:rPr>
          <w:rFonts w:ascii="Tahoma" w:hAnsi="宋体" w:eastAsia="宋体"/>
          <w:color w:val="000000" w:themeColor="text1"/>
          <w:kern w:val="2"/>
          <w:sz w:val="21"/>
          <w:szCs w:val="21"/>
          <w14:textFill>
            <w14:solidFill>
              <w14:schemeClr w14:val="tx1"/>
            </w14:solidFill>
          </w14:textFill>
        </w:rPr>
        <w:t>等关键数据加密</w:t>
      </w:r>
      <w:r>
        <w:rPr>
          <w:rFonts w:hint="eastAsia" w:ascii="Tahoma" w:hAnsi="宋体" w:eastAsia="宋体"/>
          <w:color w:val="000000" w:themeColor="text1"/>
          <w:kern w:val="2"/>
          <w:sz w:val="21"/>
          <w:szCs w:val="21"/>
          <w14:textFill>
            <w14:solidFill>
              <w14:schemeClr w14:val="tx1"/>
            </w14:solidFill>
          </w14:textFill>
        </w:rPr>
        <w:t>，严禁其他系统或者应用通过公网或者本机终端进行插入和篡改</w:t>
      </w:r>
      <w:r>
        <w:rPr>
          <w:rFonts w:ascii="Tahoma" w:hAnsi="宋体" w:eastAsia="宋体"/>
          <w:color w:val="000000" w:themeColor="text1"/>
          <w:kern w:val="2"/>
          <w:sz w:val="21"/>
          <w:szCs w:val="21"/>
          <w14:textFill>
            <w14:solidFill>
              <w14:schemeClr w14:val="tx1"/>
            </w14:solidFill>
          </w14:textFill>
        </w:rPr>
        <w:t>。</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w:t>
      </w:r>
      <w:r>
        <w:rPr>
          <w:rFonts w:ascii="Tahoma" w:hAnsi="宋体" w:eastAsia="宋体"/>
          <w:color w:val="000000" w:themeColor="text1"/>
          <w:kern w:val="2"/>
          <w:sz w:val="21"/>
          <w:szCs w:val="21"/>
          <w14:textFill>
            <w14:solidFill>
              <w14:schemeClr w14:val="tx1"/>
            </w14:solidFill>
          </w14:textFill>
        </w:rPr>
        <w:t>2</w:t>
      </w:r>
      <w:r>
        <w:rPr>
          <w:rFonts w:hint="eastAsia" w:ascii="Tahoma" w:hAnsi="宋体" w:eastAsia="宋体"/>
          <w:color w:val="000000" w:themeColor="text1"/>
          <w:kern w:val="2"/>
          <w:sz w:val="21"/>
          <w:szCs w:val="21"/>
          <w14:textFill>
            <w14:solidFill>
              <w14:schemeClr w14:val="tx1"/>
            </w14:solidFill>
          </w14:textFill>
        </w:rPr>
        <w:t>）系统安全</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系统应具备访问权限的识别和控制功能，提供多级密码口令保护措施。对各种管理员必须授予不同级别的管理权限。要保证只有授权的人员或系统可以访问某种功能，获取业务数据，有非法访问或系统安全性受到破坏时必须告警。任何远程登录用户的口令均必须具有有效期，有效期满则自行作废。</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系统应提供日志记录功能，以便及时掌握系统安全状态，具体日志包括业务使用日志、系统接口日志以及管理员操作维护日志；操作系统应符合C2级以上安全标准；提供完整的操作系统监控、报警和故障处理能力；操作系统的配置直接影响系统的安全，应定期对文件、</w:t>
      </w:r>
      <w:r>
        <w:rPr>
          <w:rFonts w:hint="eastAsia" w:ascii="Tahoma" w:hAnsi="宋体" w:eastAsia="宋体"/>
          <w:color w:val="000000" w:themeColor="text1"/>
          <w:kern w:val="2"/>
          <w:sz w:val="21"/>
          <w:szCs w:val="21"/>
          <w14:textFill>
            <w14:solidFill>
              <w14:schemeClr w14:val="tx1"/>
            </w14:solidFill>
          </w14:textFill>
        </w:rPr>
        <w:t>账户</w:t>
      </w:r>
      <w:r>
        <w:rPr>
          <w:rFonts w:ascii="Tahoma" w:hAnsi="宋体" w:eastAsia="宋体"/>
          <w:color w:val="000000" w:themeColor="text1"/>
          <w:kern w:val="2"/>
          <w:sz w:val="21"/>
          <w:szCs w:val="21"/>
          <w14:textFill>
            <w14:solidFill>
              <w14:schemeClr w14:val="tx1"/>
            </w14:solidFill>
          </w14:textFill>
        </w:rPr>
        <w:t>、组、口令的配置检测，以保证操作系统的坚固程度；应定期对可执行程序作完整性检查，以防止被恶意修改；能够检测操作系统内部是否有黑客程序驻留；能够监控应用程序的运行情况；日志中要求采用错误标识代码准确标识错误点。</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数据库应支持C2或以上级安全标准、多级安全控制。支持数据库存储加密、数据传输通道加密及相应冗余控制。</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w:t>
      </w:r>
      <w:r>
        <w:rPr>
          <w:rFonts w:ascii="Tahoma" w:hAnsi="宋体" w:eastAsia="宋体"/>
          <w:color w:val="000000" w:themeColor="text1"/>
          <w:kern w:val="2"/>
          <w:sz w:val="21"/>
          <w:szCs w:val="21"/>
          <w14:textFill>
            <w14:solidFill>
              <w14:schemeClr w14:val="tx1"/>
            </w14:solidFill>
          </w14:textFill>
        </w:rPr>
        <w:t>3</w:t>
      </w:r>
      <w:r>
        <w:rPr>
          <w:rFonts w:hint="eastAsia" w:ascii="Tahoma" w:hAnsi="宋体" w:eastAsia="宋体"/>
          <w:color w:val="000000" w:themeColor="text1"/>
          <w:kern w:val="2"/>
          <w:sz w:val="21"/>
          <w:szCs w:val="21"/>
          <w14:textFill>
            <w14:solidFill>
              <w14:schemeClr w14:val="tx1"/>
            </w14:solidFill>
          </w14:textFill>
        </w:rPr>
        <w:t>）应用软件安全</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应用系统的用户管理、权限管理应充分利用操作系统和数据库的安全性；应用软件运行时须有完整的日志记录，必须具有应用监控及调度功能。</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w:t>
      </w:r>
      <w:r>
        <w:rPr>
          <w:rFonts w:ascii="Tahoma" w:hAnsi="宋体" w:eastAsia="宋体"/>
          <w:color w:val="000000" w:themeColor="text1"/>
          <w:kern w:val="2"/>
          <w:sz w:val="21"/>
          <w:szCs w:val="21"/>
          <w14:textFill>
            <w14:solidFill>
              <w14:schemeClr w14:val="tx1"/>
            </w14:solidFill>
          </w14:textFill>
        </w:rPr>
        <w:t>4</w:t>
      </w:r>
      <w:r>
        <w:rPr>
          <w:rFonts w:hint="eastAsia" w:ascii="Tahoma" w:hAnsi="宋体" w:eastAsia="宋体"/>
          <w:color w:val="000000" w:themeColor="text1"/>
          <w:kern w:val="2"/>
          <w:sz w:val="21"/>
          <w:szCs w:val="21"/>
          <w14:textFill>
            <w14:solidFill>
              <w14:schemeClr w14:val="tx1"/>
            </w14:solidFill>
          </w14:textFill>
        </w:rPr>
        <w:t>）业务安全</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本</w:t>
      </w:r>
      <w:r>
        <w:rPr>
          <w:rFonts w:hint="eastAsia" w:ascii="Tahoma" w:hAnsi="宋体" w:eastAsia="宋体"/>
          <w:color w:val="000000" w:themeColor="text1"/>
          <w:kern w:val="2"/>
          <w:sz w:val="21"/>
          <w:szCs w:val="21"/>
          <w14:textFill>
            <w14:solidFill>
              <w14:schemeClr w14:val="tx1"/>
            </w14:solidFill>
          </w14:textFill>
        </w:rPr>
        <w:t>项目</w:t>
      </w:r>
      <w:r>
        <w:rPr>
          <w:rFonts w:ascii="Tahoma" w:hAnsi="宋体" w:eastAsia="宋体"/>
          <w:color w:val="000000" w:themeColor="text1"/>
          <w:kern w:val="2"/>
          <w:sz w:val="21"/>
          <w:szCs w:val="21"/>
          <w14:textFill>
            <w14:solidFill>
              <w14:schemeClr w14:val="tx1"/>
            </w14:solidFill>
          </w14:textFill>
        </w:rPr>
        <w:t>要求和外部系统之间的连接采用特定的认证和访问控制鉴权方案。供应商应给出完整、全面的业务安全方案。</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w:t>
      </w:r>
      <w:r>
        <w:rPr>
          <w:rFonts w:ascii="Tahoma" w:hAnsi="宋体" w:eastAsia="宋体"/>
          <w:color w:val="000000" w:themeColor="text1"/>
          <w:kern w:val="2"/>
          <w:sz w:val="21"/>
          <w:szCs w:val="21"/>
          <w14:textFill>
            <w14:solidFill>
              <w14:schemeClr w14:val="tx1"/>
            </w14:solidFill>
          </w14:textFill>
        </w:rPr>
        <w:t>5</w:t>
      </w:r>
      <w:r>
        <w:rPr>
          <w:rFonts w:hint="eastAsia" w:ascii="Tahoma" w:hAnsi="宋体" w:eastAsia="宋体"/>
          <w:color w:val="000000" w:themeColor="text1"/>
          <w:kern w:val="2"/>
          <w:sz w:val="21"/>
          <w:szCs w:val="21"/>
          <w14:textFill>
            <w14:solidFill>
              <w14:schemeClr w14:val="tx1"/>
            </w14:solidFill>
          </w14:textFill>
        </w:rPr>
        <w:t>）消息安全</w:t>
      </w:r>
    </w:p>
    <w:p>
      <w:pPr>
        <w:pStyle w:val="6"/>
        <w:autoSpaceDE/>
        <w:autoSpaceDN/>
        <w:adjustRightInd/>
        <w:spacing w:line="360" w:lineRule="auto"/>
        <w:ind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IP直播中台与消息系统接口安全，对于消息分发和控制应当全程加密，当有其他系统，非法插入消息时，系统能智能识别，并拒绝分发</w:t>
      </w:r>
      <w:r>
        <w:rPr>
          <w:rFonts w:hint="eastAsia" w:asciiTheme="minorEastAsia" w:hAnsiTheme="minorEastAsia" w:eastAsiaTheme="minorEastAsia"/>
          <w:color w:val="000000" w:themeColor="text1"/>
          <w:sz w:val="21"/>
          <w:szCs w:val="21"/>
          <w14:textFill>
            <w14:solidFill>
              <w14:schemeClr w14:val="tx1"/>
            </w14:solidFill>
          </w14:textFill>
        </w:rPr>
        <w:t>。</w:t>
      </w:r>
    </w:p>
    <w:p>
      <w:pPr>
        <w:pStyle w:val="48"/>
        <w:outlineLvl w:val="3"/>
        <w:rPr>
          <w:rFonts w:ascii="黑体" w:hAnsi="黑体" w:eastAsia="黑体"/>
          <w:b/>
          <w:bCs/>
          <w:color w:val="000000" w:themeColor="text1"/>
          <w14:textFill>
            <w14:solidFill>
              <w14:schemeClr w14:val="tx1"/>
            </w14:solidFill>
          </w14:textFill>
        </w:rPr>
      </w:pPr>
      <w:r>
        <w:rPr>
          <w:rFonts w:ascii="黑体" w:hAnsi="黑体" w:eastAsia="黑体"/>
          <w:b/>
          <w:bCs/>
          <w:color w:val="000000" w:themeColor="text1"/>
          <w14:textFill>
            <w14:solidFill>
              <w14:schemeClr w14:val="tx1"/>
            </w14:solidFill>
          </w14:textFill>
        </w:rPr>
        <w:t>2.4.3</w:t>
      </w:r>
      <w:r>
        <w:rPr>
          <w:rFonts w:hint="eastAsia" w:ascii="黑体" w:hAnsi="黑体" w:eastAsia="黑体"/>
          <w:b/>
          <w:bCs/>
          <w:color w:val="000000" w:themeColor="text1"/>
          <w14:textFill>
            <w14:solidFill>
              <w14:schemeClr w14:val="tx1"/>
            </w14:solidFill>
          </w14:textFill>
        </w:rPr>
        <w:t>系统状态监控</w:t>
      </w:r>
    </w:p>
    <w:p>
      <w:pPr>
        <w:pStyle w:val="377"/>
        <w:numPr>
          <w:ilvl w:val="0"/>
          <w:numId w:val="19"/>
        </w:numPr>
        <w:ind w:firstLineChars="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当前业务使用情况展示：</w:t>
      </w:r>
    </w:p>
    <w:p>
      <w:pPr>
        <w:pStyle w:val="6"/>
        <w:numPr>
          <w:ilvl w:val="0"/>
          <w:numId w:val="19"/>
        </w:numPr>
        <w:autoSpaceDE/>
        <w:autoSpaceDN/>
        <w:adjustRightInd/>
        <w:spacing w:line="360" w:lineRule="auto"/>
        <w:ind w:firstLine="420"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展示用户同时在线数，直播频道观看统计，消息点击率统计等等</w:t>
      </w:r>
      <w:r>
        <w:rPr>
          <w:rFonts w:hint="eastAsia" w:ascii="Tahoma" w:hAnsi="宋体" w:eastAsia="宋体"/>
          <w:color w:val="000000" w:themeColor="text1"/>
          <w:kern w:val="2"/>
          <w:sz w:val="21"/>
          <w:szCs w:val="21"/>
          <w14:textFill>
            <w14:solidFill>
              <w14:schemeClr w14:val="tx1"/>
            </w14:solidFill>
          </w14:textFill>
        </w:rPr>
        <w:t>统计数据，并提供可视化显示</w:t>
      </w:r>
      <w:r>
        <w:rPr>
          <w:rFonts w:ascii="Tahoma" w:hAnsi="宋体" w:eastAsia="宋体"/>
          <w:color w:val="000000" w:themeColor="text1"/>
          <w:kern w:val="2"/>
          <w:sz w:val="21"/>
          <w:szCs w:val="21"/>
          <w14:textFill>
            <w14:solidFill>
              <w14:schemeClr w14:val="tx1"/>
            </w14:solidFill>
          </w14:textFill>
        </w:rPr>
        <w:t>。</w:t>
      </w:r>
    </w:p>
    <w:p>
      <w:pPr>
        <w:pStyle w:val="377"/>
        <w:numPr>
          <w:ilvl w:val="0"/>
          <w:numId w:val="19"/>
        </w:numPr>
        <w:ind w:firstLineChars="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外部接口状态展示：</w:t>
      </w:r>
    </w:p>
    <w:p>
      <w:pPr>
        <w:pStyle w:val="6"/>
        <w:numPr>
          <w:ilvl w:val="0"/>
          <w:numId w:val="19"/>
        </w:numPr>
        <w:autoSpaceDE/>
        <w:autoSpaceDN/>
        <w:adjustRightInd/>
        <w:spacing w:line="360" w:lineRule="auto"/>
        <w:ind w:firstLine="420"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外部接口监控，包括对</w:t>
      </w:r>
      <w:r>
        <w:rPr>
          <w:rFonts w:hint="eastAsia" w:ascii="Tahoma" w:hAnsi="宋体" w:eastAsia="宋体"/>
          <w:color w:val="000000" w:themeColor="text1"/>
          <w:kern w:val="2"/>
          <w:sz w:val="21"/>
          <w:szCs w:val="21"/>
          <w14:textFill>
            <w14:solidFill>
              <w14:schemeClr w14:val="tx1"/>
            </w14:solidFill>
          </w14:textFill>
        </w:rPr>
        <w:t>周边</w:t>
      </w:r>
      <w:r>
        <w:rPr>
          <w:rFonts w:ascii="Tahoma" w:hAnsi="宋体" w:eastAsia="宋体"/>
          <w:color w:val="000000" w:themeColor="text1"/>
          <w:kern w:val="2"/>
          <w:sz w:val="21"/>
          <w:szCs w:val="21"/>
          <w14:textFill>
            <w14:solidFill>
              <w14:schemeClr w14:val="tx1"/>
            </w14:solidFill>
          </w14:textFill>
        </w:rPr>
        <w:t>各个系统接口连通性</w:t>
      </w:r>
      <w:r>
        <w:rPr>
          <w:rFonts w:hint="eastAsia" w:ascii="Tahoma" w:hAnsi="宋体" w:eastAsia="宋体"/>
          <w:color w:val="000000" w:themeColor="text1"/>
          <w:kern w:val="2"/>
          <w:sz w:val="21"/>
          <w:szCs w:val="21"/>
          <w14:textFill>
            <w14:solidFill>
              <w14:schemeClr w14:val="tx1"/>
            </w14:solidFill>
          </w14:textFill>
        </w:rPr>
        <w:t>以及接口响应延时进行</w:t>
      </w:r>
      <w:r>
        <w:rPr>
          <w:rFonts w:ascii="Tahoma" w:hAnsi="宋体" w:eastAsia="宋体"/>
          <w:color w:val="000000" w:themeColor="text1"/>
          <w:kern w:val="2"/>
          <w:sz w:val="21"/>
          <w:szCs w:val="21"/>
          <w14:textFill>
            <w14:solidFill>
              <w14:schemeClr w14:val="tx1"/>
            </w14:solidFill>
          </w14:textFill>
        </w:rPr>
        <w:t>检查检测</w:t>
      </w:r>
      <w:r>
        <w:rPr>
          <w:rFonts w:hint="eastAsia" w:ascii="Tahoma" w:hAnsi="宋体" w:eastAsia="宋体"/>
          <w:color w:val="000000" w:themeColor="text1"/>
          <w:kern w:val="2"/>
          <w:sz w:val="21"/>
          <w:szCs w:val="21"/>
          <w14:textFill>
            <w14:solidFill>
              <w14:schemeClr w14:val="tx1"/>
            </w14:solidFill>
          </w14:textFill>
        </w:rPr>
        <w:t>，并提供可视化图形显示</w:t>
      </w:r>
      <w:r>
        <w:rPr>
          <w:rFonts w:ascii="Tahoma" w:hAnsi="宋体" w:eastAsia="宋体"/>
          <w:color w:val="000000" w:themeColor="text1"/>
          <w:kern w:val="2"/>
          <w:sz w:val="21"/>
          <w:szCs w:val="21"/>
          <w14:textFill>
            <w14:solidFill>
              <w14:schemeClr w14:val="tx1"/>
            </w14:solidFill>
          </w14:textFill>
        </w:rPr>
        <w:t xml:space="preserve">。 </w:t>
      </w:r>
    </w:p>
    <w:p>
      <w:pPr>
        <w:pStyle w:val="377"/>
        <w:numPr>
          <w:ilvl w:val="0"/>
          <w:numId w:val="19"/>
        </w:numPr>
        <w:ind w:firstLineChars="0"/>
        <w:rPr>
          <w:rFonts w:ascii="Times New Roman" w:hAnsi="Times New Roman"/>
          <w:color w:val="000000" w:themeColor="text1"/>
          <w:kern w:val="2"/>
          <w:sz w:val="21"/>
          <w:szCs w:val="21"/>
          <w:lang w:eastAsia="zh-CN"/>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 xml:space="preserve">服务器性能监控： </w:t>
      </w:r>
    </w:p>
    <w:p>
      <w:pPr>
        <w:pStyle w:val="6"/>
        <w:numPr>
          <w:ilvl w:val="0"/>
          <w:numId w:val="19"/>
        </w:numPr>
        <w:autoSpaceDE/>
        <w:autoSpaceDN/>
        <w:adjustRightInd/>
        <w:spacing w:line="360" w:lineRule="auto"/>
        <w:ind w:firstLine="420" w:firstLineChars="200"/>
        <w:jc w:val="both"/>
        <w:rPr>
          <w:rFonts w:ascii="Tahoma" w:hAnsi="宋体" w:eastAsia="宋体"/>
          <w:color w:val="000000" w:themeColor="text1"/>
          <w:kern w:val="2"/>
          <w:sz w:val="21"/>
          <w:szCs w:val="21"/>
          <w14:textFill>
            <w14:solidFill>
              <w14:schemeClr w14:val="tx1"/>
            </w14:solidFill>
          </w14:textFill>
        </w:rPr>
      </w:pPr>
      <w:r>
        <w:rPr>
          <w:rFonts w:ascii="Tahoma" w:hAnsi="宋体" w:eastAsia="宋体"/>
          <w:color w:val="000000" w:themeColor="text1"/>
          <w:kern w:val="2"/>
          <w:sz w:val="21"/>
          <w:szCs w:val="21"/>
          <w14:textFill>
            <w14:solidFill>
              <w14:schemeClr w14:val="tx1"/>
            </w14:solidFill>
          </w14:textFill>
        </w:rPr>
        <w:t xml:space="preserve">可提供直观的系统监测，包括服务器的CPU使用情况、内存的使用情况、磁盘I/O情况、网络I/O情况等技术指标，都能以图表或图形方式直观地显示。 </w:t>
      </w:r>
    </w:p>
    <w:p>
      <w:pPr>
        <w:pStyle w:val="377"/>
        <w:numPr>
          <w:ilvl w:val="0"/>
          <w:numId w:val="19"/>
        </w:numPr>
        <w:snapToGrid w:val="0"/>
        <w:ind w:firstLine="420" w:firstLineChars="0"/>
        <w:rPr>
          <w:color w:val="000000" w:themeColor="text1"/>
          <w:szCs w:val="21"/>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服务进程监控：</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对服务器的软件进程情况进行检测，针对每个服务进程的健康状态和占用资源情况进行监控，并提供对服务器的软件故障管理，记录相应的故障，并发布故障警告。</w:t>
      </w:r>
    </w:p>
    <w:p>
      <w:pPr>
        <w:pStyle w:val="377"/>
        <w:numPr>
          <w:ilvl w:val="0"/>
          <w:numId w:val="19"/>
        </w:numPr>
        <w:ind w:firstLineChars="0"/>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lang w:eastAsia="zh-CN"/>
          <w14:textFill>
            <w14:solidFill>
              <w14:schemeClr w14:val="tx1"/>
            </w14:solidFill>
          </w14:textFill>
        </w:rPr>
        <w:t>整体流程监控：</w:t>
      </w:r>
    </w:p>
    <w:p>
      <w:pPr>
        <w:pStyle w:val="6"/>
        <w:autoSpaceDE/>
        <w:autoSpaceDN/>
        <w:adjustRightInd/>
        <w:spacing w:line="360" w:lineRule="auto"/>
        <w:ind w:firstLineChars="200"/>
        <w:jc w:val="both"/>
        <w:rPr>
          <w:rFonts w:ascii="Tahoma" w:hAnsi="宋体" w:eastAsia="宋体"/>
          <w:color w:val="000000" w:themeColor="text1"/>
          <w:kern w:val="2"/>
          <w:sz w:val="21"/>
          <w:szCs w:val="21"/>
          <w14:textFill>
            <w14:solidFill>
              <w14:schemeClr w14:val="tx1"/>
            </w14:solidFill>
          </w14:textFill>
        </w:rPr>
      </w:pPr>
      <w:r>
        <w:rPr>
          <w:rFonts w:hint="eastAsia" w:ascii="Tahoma" w:hAnsi="宋体" w:eastAsia="宋体"/>
          <w:color w:val="000000" w:themeColor="text1"/>
          <w:kern w:val="2"/>
          <w:sz w:val="21"/>
          <w:szCs w:val="21"/>
          <w14:textFill>
            <w14:solidFill>
              <w14:schemeClr w14:val="tx1"/>
            </w14:solidFill>
          </w14:textFill>
        </w:rPr>
        <w:t>针对IP直播中台业务应用的流程进行监控，从接收上游数据开始，到分发数据给下游结束，每种业务流程需健康状态监控，并提供可视化显示。</w:t>
      </w:r>
    </w:p>
    <w:p>
      <w:pPr>
        <w:pStyle w:val="48"/>
        <w:outlineLvl w:val="3"/>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.4.4</w:t>
      </w:r>
      <w:r>
        <w:rPr>
          <w:rFonts w:hint="eastAsia" w:ascii="黑体" w:hAnsi="黑体" w:eastAsia="黑体"/>
          <w:b/>
          <w:bCs/>
          <w:color w:val="000000" w:themeColor="text1"/>
          <w14:textFill>
            <w14:solidFill>
              <w14:schemeClr w14:val="tx1"/>
            </w14:solidFill>
          </w14:textFill>
        </w:rPr>
        <w:t>项目建设要求</w:t>
      </w:r>
    </w:p>
    <w:p>
      <w:pPr>
        <w:spacing w:line="360" w:lineRule="auto"/>
        <w:ind w:left="426"/>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本项目主要产品应与现有的周边系统对接，如集成过程中产生相关服务费，由中标单位承担。</w:t>
      </w:r>
    </w:p>
    <w:p>
      <w:pPr>
        <w:spacing w:line="360" w:lineRule="auto"/>
        <w:ind w:left="426"/>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本项目中主要产品提供至少三年（含）以上免费包修期。</w:t>
      </w:r>
    </w:p>
    <w:p>
      <w:pPr>
        <w:spacing w:line="360" w:lineRule="auto"/>
        <w:ind w:left="426"/>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软件开发供应商应在软件交付前对其中可能存在的恶意代码、后门及隐蔽信道进行检测，并提供检测报告。</w:t>
      </w:r>
    </w:p>
    <w:p>
      <w:pPr>
        <w:pStyle w:val="48"/>
        <w:outlineLvl w:val="3"/>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.4.5</w:t>
      </w:r>
      <w:r>
        <w:rPr>
          <w:rFonts w:hint="eastAsia" w:ascii="黑体" w:hAnsi="黑体" w:eastAsia="黑体"/>
          <w:b/>
          <w:bCs/>
          <w:color w:val="000000" w:themeColor="text1"/>
          <w14:textFill>
            <w14:solidFill>
              <w14:schemeClr w14:val="tx1"/>
            </w14:solidFill>
          </w14:textFill>
        </w:rPr>
        <w:t>技术服务要求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（1）技术资料</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供应商提供的书面技术资料应能满足确保系统正常运行所需的管理、运营及维护有关的全套文件。应提供全套技术文件1套，其技术文件至少应包括：</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-系统说明文件</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-技术手册（平台安装、能力集成规范、流程规范、操作、维护、故障排除等）</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-用户使用手册</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-平台升级开通后，如发生软件升级及功能扩展等有关情况，供应商应向采购人提供必要的技术资料。</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（2）技术开放要求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供应商自有技术和产品在本系统中应用的部分，应向采购人公开为本项目软件定制开发的全部源码及相关技术文档，具体包括以下要求：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主要内容要求：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-各功能模块要求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-系统规模和性能分析</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-系统的安全管理要求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-系统开发工具情况</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-系统接口和数据共享要求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-系统运行环境设计包括软件环境和硬件环境</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-实施计划</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-人员培训要求</w:t>
      </w:r>
    </w:p>
    <w:p>
      <w:pPr>
        <w:pStyle w:val="48"/>
        <w:outlineLvl w:val="3"/>
        <w:rPr>
          <w:rFonts w:ascii="黑体" w:hAnsi="黑体" w:eastAsia="黑体"/>
          <w:b/>
          <w:bCs/>
          <w:color w:val="000000" w:themeColor="text1"/>
          <w14:textFill>
            <w14:solidFill>
              <w14:schemeClr w14:val="tx1"/>
            </w14:solidFill>
          </w14:textFill>
        </w:rPr>
      </w:pPr>
      <w:r>
        <w:rPr>
          <w:rFonts w:hint="eastAsia" w:ascii="黑体" w:hAnsi="黑体" w:eastAsia="黑体"/>
          <w:b/>
          <w:bCs/>
          <w:color w:val="000000" w:themeColor="text1"/>
          <w14:textFill>
            <w14:solidFill>
              <w14:schemeClr w14:val="tx1"/>
            </w14:solidFill>
          </w14:textFill>
        </w:rPr>
        <w:t>2</w:t>
      </w:r>
      <w:r>
        <w:rPr>
          <w:rFonts w:ascii="黑体" w:hAnsi="黑体" w:eastAsia="黑体"/>
          <w:b/>
          <w:bCs/>
          <w:color w:val="000000" w:themeColor="text1"/>
          <w14:textFill>
            <w14:solidFill>
              <w14:schemeClr w14:val="tx1"/>
            </w14:solidFill>
          </w14:textFill>
        </w:rPr>
        <w:t>.4.6</w:t>
      </w:r>
      <w:r>
        <w:rPr>
          <w:rFonts w:ascii="Segoe UI Symbol" w:hAnsi="Segoe UI Symbol" w:cs="Segoe UI Symbol"/>
          <w:color w:val="000000" w:themeColor="text1"/>
          <w14:textFill>
            <w14:solidFill>
              <w14:schemeClr w14:val="tx1"/>
            </w14:solidFill>
          </w14:textFill>
        </w:rPr>
        <w:t>★</w:t>
      </w:r>
      <w:r>
        <w:rPr>
          <w:rFonts w:hint="eastAsia" w:ascii="黑体" w:hAnsi="黑体" w:eastAsia="黑体"/>
          <w:b/>
          <w:bCs/>
          <w:color w:val="000000" w:themeColor="text1"/>
          <w14:textFill>
            <w14:solidFill>
              <w14:schemeClr w14:val="tx1"/>
            </w14:solidFill>
          </w14:textFill>
        </w:rPr>
        <w:t>时间进度要求</w:t>
      </w:r>
    </w:p>
    <w:p>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（1）合同签订后</w:t>
      </w:r>
      <w:r>
        <w:rPr>
          <w:rFonts w:ascii="宋体" w:hAnsi="宋体"/>
          <w:color w:val="000000" w:themeColor="text1"/>
          <w14:textFill>
            <w14:solidFill>
              <w14:schemeClr w14:val="tx1"/>
            </w14:solidFill>
          </w14:textFill>
        </w:rPr>
        <w:t>60</w:t>
      </w:r>
      <w:r>
        <w:rPr>
          <w:rFonts w:hint="eastAsia" w:ascii="宋体" w:hAnsi="宋体"/>
          <w:color w:val="000000" w:themeColor="text1"/>
          <w14:textFill>
            <w14:solidFill>
              <w14:schemeClr w14:val="tx1"/>
            </w14:solidFill>
          </w14:textFill>
        </w:rPr>
        <w:t>天内完成上述全部功能的开发和正式上线运行，并确保周边已经对接的相关系统或业务不因本项目系统的上线而受到影响。</w:t>
      </w:r>
    </w:p>
    <w:p>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（2）授予合同方必须严格按时间进度实施，如果超出开发时间，影响本公司的业务进展，授予合同方应承担由此产生的一切后果，并予以经济赔偿。</w:t>
      </w:r>
    </w:p>
    <w:bookmarkEnd w:id="46"/>
    <w:p>
      <w:pPr>
        <w:autoSpaceDE w:val="0"/>
        <w:autoSpaceDN w:val="0"/>
        <w:spacing w:line="240" w:lineRule="atLeast"/>
        <w:jc w:val="center"/>
        <w:outlineLvl w:val="0"/>
        <w:rPr>
          <w:rFonts w:eastAsia="黑体"/>
          <w:b/>
          <w:bCs/>
          <w:color w:val="000000" w:themeColor="text1"/>
          <w:kern w:val="44"/>
          <w:sz w:val="36"/>
          <w:szCs w:val="36"/>
          <w14:textFill>
            <w14:solidFill>
              <w14:schemeClr w14:val="tx1"/>
            </w14:solidFill>
          </w14:textFill>
        </w:rPr>
      </w:pPr>
      <w:r>
        <w:rPr>
          <w:rFonts w:eastAsia="黑体"/>
          <w:bCs/>
          <w:color w:val="000000" w:themeColor="text1"/>
          <w:sz w:val="52"/>
          <w:szCs w:val="52"/>
          <w14:textFill>
            <w14:solidFill>
              <w14:schemeClr w14:val="tx1"/>
            </w14:solidFill>
          </w14:textFill>
        </w:rPr>
        <w:br w:type="page"/>
      </w:r>
      <w:bookmarkEnd w:id="14"/>
      <w:bookmarkEnd w:id="15"/>
      <w:bookmarkEnd w:id="16"/>
      <w:bookmarkStart w:id="62" w:name="_Toc69378657"/>
      <w:bookmarkStart w:id="63" w:name="_Toc502914229"/>
      <w:r>
        <w:rPr>
          <w:rFonts w:hint="eastAsia" w:eastAsia="黑体"/>
          <w:b/>
          <w:bCs/>
          <w:color w:val="000000" w:themeColor="text1"/>
          <w:kern w:val="44"/>
          <w:sz w:val="36"/>
          <w:szCs w:val="36"/>
          <w14:textFill>
            <w14:solidFill>
              <w14:schemeClr w14:val="tx1"/>
            </w14:solidFill>
          </w14:textFill>
        </w:rPr>
        <w:t>第六章竞争性磋商响应文件格式</w:t>
      </w:r>
      <w:bookmarkEnd w:id="62"/>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bookmarkStart w:id="64" w:name="_Toc26259736"/>
      <w:r>
        <w:rPr>
          <w:rFonts w:hint="eastAsia" w:ascii="宋体" w:hAnsi="宋体"/>
          <w:color w:val="000000" w:themeColor="text1"/>
          <w:sz w:val="44"/>
          <w:szCs w:val="44"/>
          <w14:textFill>
            <w14:solidFill>
              <w14:schemeClr w14:val="tx1"/>
            </w14:solidFill>
          </w14:textFill>
        </w:rPr>
        <w:t>江苏省广电有线信息网络股份有限公司</w:t>
      </w:r>
    </w:p>
    <w:bookmarkEnd w:id="64"/>
    <w:p>
      <w:pPr>
        <w:jc w:val="center"/>
        <w:rPr>
          <w:color w:val="000000" w:themeColor="text1"/>
          <w14:textFill>
            <w14:solidFill>
              <w14:schemeClr w14:val="tx1"/>
            </w14:solidFill>
          </w14:textFill>
        </w:rPr>
      </w:pPr>
      <w:r>
        <w:rPr>
          <w:rFonts w:hint="eastAsia"/>
          <w:color w:val="000000" w:themeColor="text1"/>
          <w:sz w:val="48"/>
          <w:szCs w:val="48"/>
          <w14:textFill>
            <w14:solidFill>
              <w14:schemeClr w14:val="tx1"/>
            </w14:solidFill>
          </w14:textFill>
        </w:rPr>
        <w:t>IP平台融合业务管理系统建设-IP直播中台建设</w:t>
      </w:r>
    </w:p>
    <w:p>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themeColor="text1"/>
          <w:sz w:val="20"/>
          <w14:textFill>
            <w14:solidFill>
              <w14:schemeClr w14:val="tx1"/>
            </w14:solidFill>
          </w14:textFill>
        </w:rPr>
      </w:pPr>
    </w:p>
    <w:p>
      <w:pPr>
        <w:pStyle w:val="21"/>
        <w:adjustRightInd w:val="0"/>
        <w:snapToGrid w:val="0"/>
        <w:spacing w:before="312" w:beforeLines="100" w:after="312" w:afterLines="100"/>
        <w:ind w:left="210" w:leftChars="100" w:right="210" w:rightChars="100" w:firstLine="1440" w:firstLineChars="30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供应商：（盖单位章）</w:t>
      </w:r>
    </w:p>
    <w:p>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color w:val="000000" w:themeColor="text1"/>
          <w14:textFill>
            <w14:solidFill>
              <w14:schemeClr w14:val="tx1"/>
            </w14:solidFill>
          </w14:textFill>
        </w:rPr>
      </w:pPr>
      <w:r>
        <w:rPr>
          <w:rFonts w:hint="eastAsia"/>
          <w:color w:val="000000" w:themeColor="text1"/>
          <w:szCs w:val="28"/>
          <w14:textFill>
            <w14:solidFill>
              <w14:schemeClr w14:val="tx1"/>
            </w14:solidFill>
          </w14:textFill>
        </w:rPr>
        <w:t>年</w:t>
      </w:r>
      <w:r>
        <w:rPr>
          <w:rFonts w:hint="eastAsia"/>
          <w:color w:val="000000" w:themeColor="text1"/>
          <w:spacing w:val="-3"/>
          <w:szCs w:val="28"/>
          <w14:textFill>
            <w14:solidFill>
              <w14:schemeClr w14:val="tx1"/>
            </w14:solidFill>
          </w14:textFill>
        </w:rPr>
        <w:t>月</w:t>
      </w:r>
      <w:r>
        <w:rPr>
          <w:rFonts w:hint="eastAsia"/>
          <w:color w:val="000000" w:themeColor="text1"/>
          <w:szCs w:val="28"/>
          <w14:textFill>
            <w14:solidFill>
              <w14:schemeClr w14:val="tx1"/>
            </w14:solidFill>
          </w14:textFill>
        </w:rPr>
        <w:t>日</w:t>
      </w:r>
    </w:p>
    <w:p>
      <w:pPr>
        <w:pStyle w:val="137"/>
        <w:ind w:firstLine="0" w:firstLineChars="0"/>
        <w:rPr>
          <w:color w:val="000000" w:themeColor="text1"/>
          <w14:textFill>
            <w14:solidFill>
              <w14:schemeClr w14:val="tx1"/>
            </w14:solidFill>
          </w14:textFill>
        </w:rPr>
      </w:pPr>
      <w:r>
        <w:rPr>
          <w:rFonts w:ascii="Arial" w:hAnsi="Arial" w:eastAsia="黑体" w:cs="Arial"/>
          <w:color w:val="000000" w:themeColor="text1"/>
          <w14:textFill>
            <w14:solidFill>
              <w14:schemeClr w14:val="tx1"/>
            </w14:solidFill>
          </w14:textFill>
        </w:rPr>
        <w:br w:type="page"/>
      </w:r>
      <w:bookmarkStart w:id="65" w:name="_Toc26260030"/>
      <w:bookmarkStart w:id="66" w:name="_Toc26259737"/>
      <w:bookmarkStart w:id="67" w:name="_Toc529538374"/>
      <w:bookmarkStart w:id="68" w:name="_Toc69378658"/>
      <w:bookmarkStart w:id="69" w:name="_Toc472689687"/>
      <w:bookmarkStart w:id="70" w:name="_Toc438052118"/>
      <w:bookmarkStart w:id="71" w:name="_Toc447265317"/>
      <w:bookmarkStart w:id="72" w:name="_Toc447265603"/>
      <w:r>
        <w:rPr>
          <w:rFonts w:hint="eastAsia"/>
          <w:color w:val="000000" w:themeColor="text1"/>
          <w14:textFill>
            <w14:solidFill>
              <w14:schemeClr w14:val="tx1"/>
            </w14:solidFill>
          </w14:textFill>
        </w:rPr>
        <w:t>评审索引表</w:t>
      </w:r>
      <w:bookmarkEnd w:id="65"/>
      <w:bookmarkEnd w:id="66"/>
      <w:bookmarkEnd w:id="67"/>
      <w:bookmarkEnd w:id="68"/>
      <w:bookmarkEnd w:id="69"/>
    </w:p>
    <w:p>
      <w:pPr>
        <w:spacing w:line="276"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color w:val="000000" w:themeColor="text1"/>
          <w:sz w:val="24"/>
          <w14:textFill>
            <w14:solidFill>
              <w14:schemeClr w14:val="tx1"/>
            </w14:solidFill>
          </w14:textFill>
        </w:rPr>
      </w:pPr>
      <w:bookmarkStart w:id="73" w:name="_Toc401151285"/>
      <w:bookmarkStart w:id="74" w:name="_Toc427071030"/>
      <w:bookmarkStart w:id="75" w:name="_Toc26259738"/>
      <w:bookmarkStart w:id="76" w:name="_Toc26260031"/>
      <w:bookmarkStart w:id="77" w:name="_Toc401216443"/>
      <w:bookmarkStart w:id="78" w:name="_Toc529538375"/>
      <w:bookmarkStart w:id="79" w:name="_Toc485737092"/>
      <w:bookmarkStart w:id="80" w:name="_Toc401133270"/>
      <w:bookmarkStart w:id="81" w:name="_Toc429954241"/>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82" w:name="_Toc6937865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73"/>
      <w:bookmarkEnd w:id="74"/>
      <w:bookmarkEnd w:id="75"/>
      <w:bookmarkEnd w:id="76"/>
      <w:bookmarkEnd w:id="77"/>
      <w:bookmarkEnd w:id="78"/>
      <w:bookmarkEnd w:id="79"/>
      <w:bookmarkEnd w:id="80"/>
      <w:bookmarkEnd w:id="81"/>
      <w:bookmarkEnd w:id="82"/>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771"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eastAsia="zh-TW"/>
                <w14:textFill>
                  <w14:solidFill>
                    <w14:schemeClr w14:val="tx1"/>
                  </w14:solidFill>
                </w14:textFill>
              </w:rPr>
              <w:t>评审因素</w:t>
            </w:r>
          </w:p>
        </w:tc>
        <w:tc>
          <w:tcPr>
            <w:tcW w:w="650"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jc w:val="center"/>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83" w:name="_Toc26260032"/>
      <w:bookmarkStart w:id="84" w:name="_Toc26259739"/>
      <w:bookmarkStart w:id="85" w:name="_Toc69378660"/>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83"/>
      <w:bookmarkEnd w:id="84"/>
      <w:bookmarkEnd w:id="85"/>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gridSpan w:val="2"/>
            <w:vAlign w:val="center"/>
          </w:tcPr>
          <w:p>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pPr>
              <w:widowControl/>
              <w:spacing w:line="300" w:lineRule="auto"/>
              <w:jc w:val="center"/>
              <w:rPr>
                <w:color w:val="000000" w:themeColor="text1"/>
                <w:kern w:val="0"/>
                <w:szCs w:val="21"/>
                <w14:textFill>
                  <w14:solidFill>
                    <w14:schemeClr w14:val="tx1"/>
                  </w14:solidFill>
                </w14:textFill>
              </w:rPr>
            </w:pPr>
          </w:p>
        </w:tc>
        <w:tc>
          <w:tcPr>
            <w:tcW w:w="6778" w:type="dxa"/>
            <w:gridSpan w:val="2"/>
          </w:tcPr>
          <w:p>
            <w:pPr>
              <w:widowControl/>
              <w:tabs>
                <w:tab w:val="left" w:pos="402"/>
              </w:tabs>
              <w:ind w:left="420"/>
              <w:rPr>
                <w:color w:val="000000" w:themeColor="text1"/>
                <w:kern w:val="0"/>
                <w:szCs w:val="21"/>
                <w14:textFill>
                  <w14:solidFill>
                    <w14:schemeClr w14:val="tx1"/>
                  </w14:solidFill>
                </w14:textFill>
              </w:rPr>
            </w:pPr>
          </w:p>
        </w:tc>
        <w:tc>
          <w:tcPr>
            <w:tcW w:w="1141" w:type="dxa"/>
          </w:tcPr>
          <w:p>
            <w:pPr>
              <w:widowControl/>
              <w:tabs>
                <w:tab w:val="left" w:pos="0"/>
                <w:tab w:val="left" w:pos="402"/>
              </w:tabs>
              <w:spacing w:line="300" w:lineRule="auto"/>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pPr>
              <w:jc w:val="center"/>
              <w:rPr>
                <w:color w:val="000000" w:themeColor="text1"/>
                <w:kern w:val="0"/>
                <w:szCs w:val="21"/>
                <w14:textFill>
                  <w14:solidFill>
                    <w14:schemeClr w14:val="tx1"/>
                  </w14:solidFill>
                </w14:textFill>
              </w:rPr>
            </w:pPr>
          </w:p>
        </w:tc>
        <w:tc>
          <w:tcPr>
            <w:tcW w:w="6778" w:type="dxa"/>
            <w:gridSpan w:val="2"/>
            <w:vAlign w:val="center"/>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pPr>
              <w:jc w:val="center"/>
              <w:rPr>
                <w:rFonts w:ascii="宋体" w:hAnsi="宋体"/>
                <w:b/>
                <w:color w:val="000000" w:themeColor="text1"/>
                <w14:textFill>
                  <w14:solidFill>
                    <w14:schemeClr w14:val="tx1"/>
                  </w14:solidFill>
                </w14:textFill>
              </w:rPr>
            </w:pPr>
          </w:p>
        </w:tc>
        <w:tc>
          <w:tcPr>
            <w:tcW w:w="6778" w:type="dxa"/>
            <w:gridSpan w:val="2"/>
            <w:vAlign w:val="center"/>
          </w:tcPr>
          <w:p>
            <w:pPr>
              <w:widowControl/>
              <w:jc w:val="left"/>
              <w:rPr>
                <w:rFonts w:ascii="宋体" w:hAnsi="宋体"/>
                <w:color w:val="000000" w:themeColor="text1"/>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pPr>
              <w:jc w:val="center"/>
              <w:rPr>
                <w:color w:val="000000" w:themeColor="text1"/>
                <w:kern w:val="0"/>
                <w:szCs w:val="21"/>
                <w14:textFill>
                  <w14:solidFill>
                    <w14:schemeClr w14:val="tx1"/>
                  </w14:solidFill>
                </w14:textFill>
              </w:rPr>
            </w:pPr>
          </w:p>
        </w:tc>
        <w:tc>
          <w:tcPr>
            <w:tcW w:w="6778" w:type="dxa"/>
            <w:gridSpan w:val="2"/>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Merge w:val="restart"/>
            <w:vAlign w:val="center"/>
          </w:tcPr>
          <w:p>
            <w:pPr>
              <w:jc w:val="center"/>
              <w:rPr>
                <w:color w:val="000000" w:themeColor="text1"/>
                <w:kern w:val="0"/>
                <w:szCs w:val="21"/>
                <w14:textFill>
                  <w14:solidFill>
                    <w14:schemeClr w14:val="tx1"/>
                  </w14:solidFill>
                </w14:textFill>
              </w:rPr>
            </w:pPr>
          </w:p>
        </w:tc>
        <w:tc>
          <w:tcPr>
            <w:tcW w:w="1840" w:type="dxa"/>
            <w:vAlign w:val="center"/>
          </w:tcPr>
          <w:p>
            <w:pPr>
              <w:jc w:val="center"/>
              <w:rPr>
                <w:color w:val="000000" w:themeColor="text1"/>
                <w:kern w:val="0"/>
                <w:szCs w:val="21"/>
                <w14:textFill>
                  <w14:solidFill>
                    <w14:schemeClr w14:val="tx1"/>
                  </w14:solidFill>
                </w14:textFill>
              </w:rPr>
            </w:pPr>
          </w:p>
        </w:tc>
        <w:tc>
          <w:tcPr>
            <w:tcW w:w="4938" w:type="dxa"/>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color w:val="000000" w:themeColor="text1"/>
                <w:kern w:val="0"/>
                <w:szCs w:val="21"/>
                <w14:textFill>
                  <w14:solidFill>
                    <w14:schemeClr w14:val="tx1"/>
                  </w14:solidFill>
                </w14:textFill>
              </w:rPr>
            </w:pPr>
          </w:p>
        </w:tc>
        <w:tc>
          <w:tcPr>
            <w:tcW w:w="1211" w:type="dxa"/>
            <w:vMerge w:val="continue"/>
            <w:vAlign w:val="center"/>
          </w:tcPr>
          <w:p>
            <w:pPr>
              <w:jc w:val="center"/>
              <w:rPr>
                <w:color w:val="000000" w:themeColor="text1"/>
                <w:kern w:val="0"/>
                <w:szCs w:val="21"/>
                <w14:textFill>
                  <w14:solidFill>
                    <w14:schemeClr w14:val="tx1"/>
                  </w14:solidFill>
                </w14:textFill>
              </w:rPr>
            </w:pPr>
          </w:p>
        </w:tc>
        <w:tc>
          <w:tcPr>
            <w:tcW w:w="1840" w:type="dxa"/>
            <w:vAlign w:val="center"/>
          </w:tcPr>
          <w:p>
            <w:pPr>
              <w:widowControl/>
              <w:jc w:val="center"/>
              <w:rPr>
                <w:color w:val="000000" w:themeColor="text1"/>
                <w:kern w:val="0"/>
                <w:szCs w:val="21"/>
                <w14:textFill>
                  <w14:solidFill>
                    <w14:schemeClr w14:val="tx1"/>
                  </w14:solidFill>
                </w14:textFill>
              </w:rPr>
            </w:pPr>
          </w:p>
        </w:tc>
        <w:tc>
          <w:tcPr>
            <w:tcW w:w="4938" w:type="dxa"/>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Merge w:val="restart"/>
            <w:vAlign w:val="center"/>
          </w:tcPr>
          <w:p>
            <w:pPr>
              <w:jc w:val="center"/>
              <w:rPr>
                <w:color w:val="000000" w:themeColor="text1"/>
                <w:kern w:val="0"/>
                <w:szCs w:val="21"/>
                <w14:textFill>
                  <w14:solidFill>
                    <w14:schemeClr w14:val="tx1"/>
                  </w14:solidFill>
                </w14:textFill>
              </w:rPr>
            </w:pPr>
          </w:p>
        </w:tc>
        <w:tc>
          <w:tcPr>
            <w:tcW w:w="6778" w:type="dxa"/>
            <w:gridSpan w:val="2"/>
            <w:vAlign w:val="center"/>
          </w:tcPr>
          <w:p>
            <w:pPr>
              <w:widowControl/>
              <w:rPr>
                <w:rFonts w:eastAsia="仿宋_GB2312"/>
                <w:b/>
                <w:bCs/>
                <w:color w:val="000000" w:themeColor="text1"/>
                <w:kern w:val="0"/>
                <w:sz w:val="24"/>
                <w14:textFill>
                  <w14:solidFill>
                    <w14:schemeClr w14:val="tx1"/>
                  </w14:solidFill>
                </w14:textFill>
              </w:rPr>
            </w:pPr>
          </w:p>
        </w:tc>
        <w:tc>
          <w:tcPr>
            <w:tcW w:w="1141" w:type="dxa"/>
            <w:vAlign w:val="center"/>
          </w:tcPr>
          <w:p>
            <w:pPr>
              <w:widowControl/>
              <w:jc w:val="left"/>
              <w:rPr>
                <w:rFonts w:eastAsia="仿宋_GB2312"/>
                <w:b/>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color w:val="000000" w:themeColor="text1"/>
                <w:kern w:val="0"/>
                <w:szCs w:val="21"/>
                <w14:textFill>
                  <w14:solidFill>
                    <w14:schemeClr w14:val="tx1"/>
                  </w14:solidFill>
                </w14:textFill>
              </w:rPr>
            </w:pPr>
          </w:p>
        </w:tc>
        <w:tc>
          <w:tcPr>
            <w:tcW w:w="1211" w:type="dxa"/>
            <w:vMerge w:val="continue"/>
            <w:vAlign w:val="center"/>
          </w:tcPr>
          <w:p>
            <w:pPr>
              <w:jc w:val="center"/>
              <w:rPr>
                <w:color w:val="000000" w:themeColor="text1"/>
                <w:kern w:val="0"/>
                <w:szCs w:val="21"/>
                <w14:textFill>
                  <w14:solidFill>
                    <w14:schemeClr w14:val="tx1"/>
                  </w14:solidFill>
                </w14:textFill>
              </w:rPr>
            </w:pPr>
          </w:p>
        </w:tc>
        <w:tc>
          <w:tcPr>
            <w:tcW w:w="6778" w:type="dxa"/>
            <w:gridSpan w:val="2"/>
            <w:vAlign w:val="center"/>
          </w:tcPr>
          <w:p>
            <w:pPr>
              <w:rPr>
                <w:color w:val="000000" w:themeColor="text1"/>
                <w14:textFill>
                  <w14:solidFill>
                    <w14:schemeClr w14:val="tx1"/>
                  </w14:solidFill>
                </w14:textFill>
              </w:rPr>
            </w:pPr>
          </w:p>
        </w:tc>
        <w:tc>
          <w:tcPr>
            <w:tcW w:w="1141" w:type="dxa"/>
          </w:tcPr>
          <w:p>
            <w:pPr>
              <w:rPr>
                <w:color w:val="000000" w:themeColor="text1"/>
                <w14:textFill>
                  <w14:solidFill>
                    <w14:schemeClr w14:val="tx1"/>
                  </w14:solidFill>
                </w14:textFill>
              </w:rPr>
            </w:pPr>
          </w:p>
        </w:tc>
      </w:tr>
    </w:tbl>
    <w:p>
      <w:pPr>
        <w:pStyle w:val="6"/>
        <w:rPr>
          <w:color w:val="000000" w:themeColor="text1"/>
          <w14:textFill>
            <w14:solidFill>
              <w14:schemeClr w14:val="tx1"/>
            </w14:solidFill>
          </w14:textFill>
        </w:rPr>
      </w:pPr>
    </w:p>
    <w:bookmarkEnd w:id="70"/>
    <w:bookmarkEnd w:id="71"/>
    <w:bookmarkEnd w:id="72"/>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bookmarkStart w:id="86" w:name="_Toc135999006"/>
      <w:bookmarkStart w:id="87" w:name="_Toc161767428"/>
      <w:bookmarkStart w:id="88" w:name="_Toc69378663"/>
      <w:bookmarkStart w:id="89" w:name="_Toc26260033"/>
      <w:bookmarkStart w:id="90" w:name="_Toc472689688"/>
      <w:bookmarkStart w:id="91" w:name="_Toc438052120"/>
      <w:bookmarkStart w:id="92" w:name="_Toc529538377"/>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1</w:t>
      </w:r>
      <w:r>
        <w:rPr>
          <w:rStyle w:val="106"/>
          <w:rFonts w:hint="eastAsia" w:hAnsi="宋体"/>
          <w:b w:val="0"/>
          <w:bCs w:val="0"/>
          <w:color w:val="000000" w:themeColor="text1"/>
          <w:sz w:val="24"/>
          <w:szCs w:val="24"/>
          <w14:textFill>
            <w14:solidFill>
              <w14:schemeClr w14:val="tx1"/>
            </w14:solidFill>
          </w14:textFill>
        </w:rPr>
        <w:t>：</w:t>
      </w:r>
      <w:bookmarkEnd w:id="86"/>
      <w:bookmarkEnd w:id="87"/>
      <w:r>
        <w:rPr>
          <w:rStyle w:val="106"/>
          <w:rFonts w:hint="eastAsia" w:hAnsi="宋体"/>
          <w:b w:val="0"/>
          <w:bCs w:val="0"/>
          <w:color w:val="000000" w:themeColor="text1"/>
          <w:sz w:val="24"/>
          <w:szCs w:val="24"/>
          <w14:textFill>
            <w14:solidFill>
              <w14:schemeClr w14:val="tx1"/>
            </w14:solidFill>
          </w14:textFill>
        </w:rPr>
        <w:t>响应函</w:t>
      </w:r>
      <w:bookmarkEnd w:id="88"/>
      <w:bookmarkEnd w:id="89"/>
    </w:p>
    <w:p>
      <w:pPr>
        <w:snapToGrid w:val="0"/>
        <w:spacing w:before="312" w:beforeLines="100" w:after="312" w:afterLines="100"/>
        <w:ind w:left="210" w:leftChars="100" w:right="210" w:rightChars="100" w:firstLine="643" w:firstLineChars="200"/>
        <w:jc w:val="center"/>
        <w:rPr>
          <w:rStyle w:val="106"/>
          <w:rFonts w:ascii="宋体" w:hAnsi="宋体"/>
          <w:color w:val="000000" w:themeColor="text1"/>
          <w14:textFill>
            <w14:solidFill>
              <w14:schemeClr w14:val="tx1"/>
            </w14:solidFill>
          </w14:textFill>
        </w:rPr>
      </w:pPr>
      <w:r>
        <w:rPr>
          <w:rStyle w:val="106"/>
          <w:rFonts w:hint="eastAsia" w:ascii="宋体" w:hAnsi="宋体"/>
          <w:color w:val="000000" w:themeColor="text1"/>
          <w14:textFill>
            <w14:solidFill>
              <w14:schemeClr w14:val="tx1"/>
            </w14:solidFill>
          </w14:textFill>
        </w:rPr>
        <w:t>响应函</w:t>
      </w:r>
    </w:p>
    <w:p>
      <w:pPr>
        <w:snapToGrid w:val="0"/>
        <w:spacing w:before="312" w:beforeLines="100" w:after="312" w:afterLines="100"/>
        <w:ind w:left="210" w:leftChars="100" w:right="210" w:rightChars="100" w:firstLine="420" w:firstLineChars="200"/>
        <w:rPr>
          <w:rFonts w:ascii="宋体"/>
          <w:color w:val="000000" w:themeColor="text1"/>
          <w:szCs w:val="2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（2）提供按竞争性磋商文件要求的产品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详见附件：报价表</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（3）供应商将按竞争性磋商文件的规定履行全部责任和义务。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（4）供应商已详细审查全部竞争性磋商文件，我们完全理解并同意放弃对竞争性磋商文件提出质疑及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（9）我方在法律和财务上独立、合法运作并独立于采购人。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）我方具有较大规模的销售和售后服务的组织机构及完善快捷的技术支持能力，承诺在南京地区拥有固定可靠的有效服务网点。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）与本响应文件有关的一切往来通讯请寄：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snapToGrid w:val="0"/>
        <w:spacing w:before="312" w:beforeLines="100" w:after="312" w:afterLines="100"/>
        <w:ind w:left="210" w:leftChars="100" w:right="210" w:rightChars="100" w:firstLine="420" w:firstLineChars="200"/>
        <w:rPr>
          <w:color w:val="000000" w:themeColor="text1"/>
          <w:u w:val="single"/>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before="312" w:beforeLines="100" w:after="312" w:afterLines="100" w:line="360" w:lineRule="auto"/>
        <w:ind w:right="210" w:rightChars="1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93" w:name="_Toc69378664"/>
      <w:bookmarkStart w:id="94" w:name="_Toc26260034"/>
      <w:bookmarkStart w:id="95" w:name="_Toc26259740"/>
    </w:p>
    <w:p>
      <w:pPr>
        <w:pStyle w:val="4"/>
        <w:numPr>
          <w:ilvl w:val="0"/>
          <w:numId w:val="0"/>
        </w:numPr>
        <w:snapToGrid w:val="0"/>
        <w:spacing w:before="312" w:beforeLines="100" w:after="312" w:afterLines="100"/>
        <w:ind w:right="210" w:rightChars="100"/>
        <w:rPr>
          <w:rStyle w:val="106"/>
          <w:rFonts w:hAnsi="宋体"/>
          <w:b w:val="0"/>
          <w:bCs/>
          <w:color w:val="000000" w:themeColor="text1"/>
          <w:sz w:val="24"/>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2</w:t>
      </w:r>
      <w:r>
        <w:rPr>
          <w:rStyle w:val="106"/>
          <w:rFonts w:hint="eastAsia" w:hAnsi="宋体"/>
          <w:b w:val="0"/>
          <w:bCs w:val="0"/>
          <w:color w:val="000000" w:themeColor="text1"/>
          <w:sz w:val="24"/>
          <w:szCs w:val="24"/>
          <w14:textFill>
            <w14:solidFill>
              <w14:schemeClr w14:val="tx1"/>
            </w14:solidFill>
          </w14:textFill>
        </w:rPr>
        <w:t>：制造商的授权函和承诺函</w:t>
      </w:r>
      <w:r>
        <w:rPr>
          <w:rStyle w:val="106"/>
          <w:rFonts w:hAnsi="宋体"/>
          <w:b w:val="0"/>
          <w:bCs w:val="0"/>
          <w:color w:val="000000" w:themeColor="text1"/>
          <w:sz w:val="24"/>
          <w:szCs w:val="24"/>
          <w14:textFill>
            <w14:solidFill>
              <w14:schemeClr w14:val="tx1"/>
            </w14:solidFill>
          </w14:textFill>
        </w:rPr>
        <w:br w:type="page"/>
      </w:r>
    </w:p>
    <w:p>
      <w:pPr>
        <w:pStyle w:val="4"/>
        <w:numPr>
          <w:ilvl w:val="0"/>
          <w:numId w:val="0"/>
        </w:numPr>
        <w:snapToGrid w:val="0"/>
        <w:spacing w:before="312" w:beforeLines="100" w:after="312" w:afterLines="100"/>
        <w:ind w:right="210" w:rightChars="100"/>
        <w:rPr>
          <w:rStyle w:val="80"/>
          <w:rFonts w:hAnsi="Times New Roman" w:eastAsia="宋体"/>
          <w:bCs w:val="0"/>
          <w:color w:val="000000" w:themeColor="text1"/>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3-1</w:t>
      </w:r>
      <w:r>
        <w:rPr>
          <w:rStyle w:val="106"/>
          <w:rFonts w:hint="eastAsia" w:hAnsi="宋体"/>
          <w:b w:val="0"/>
          <w:bCs w:val="0"/>
          <w:color w:val="000000" w:themeColor="text1"/>
          <w:sz w:val="24"/>
          <w:szCs w:val="24"/>
          <w14:textFill>
            <w14:solidFill>
              <w14:schemeClr w14:val="tx1"/>
            </w14:solidFill>
          </w14:textFill>
        </w:rPr>
        <w:t>：报价表</w:t>
      </w:r>
      <w:r>
        <w:rPr>
          <w:rStyle w:val="106"/>
          <w:rFonts w:hAnsi="宋体"/>
          <w:b w:val="0"/>
          <w:bCs w:val="0"/>
          <w:color w:val="000000" w:themeColor="text1"/>
          <w:sz w:val="24"/>
          <w:szCs w:val="24"/>
          <w14:textFill>
            <w14:solidFill>
              <w14:schemeClr w14:val="tx1"/>
            </w14:solidFill>
          </w14:textFill>
        </w:rPr>
        <w:t>(</w:t>
      </w:r>
      <w:r>
        <w:rPr>
          <w:rStyle w:val="106"/>
          <w:rFonts w:hint="eastAsia" w:hAnsi="宋体"/>
          <w:b w:val="0"/>
          <w:bCs w:val="0"/>
          <w:color w:val="000000" w:themeColor="text1"/>
          <w:sz w:val="24"/>
          <w:szCs w:val="24"/>
          <w14:textFill>
            <w14:solidFill>
              <w14:schemeClr w14:val="tx1"/>
            </w14:solidFill>
          </w14:textFill>
        </w:rPr>
        <w:t>格式</w:t>
      </w:r>
      <w:r>
        <w:rPr>
          <w:rStyle w:val="106"/>
          <w:rFonts w:hAnsi="宋体"/>
          <w:b w:val="0"/>
          <w:bCs w:val="0"/>
          <w:color w:val="000000" w:themeColor="text1"/>
          <w:sz w:val="24"/>
          <w:szCs w:val="24"/>
          <w14:textFill>
            <w14:solidFill>
              <w14:schemeClr w14:val="tx1"/>
            </w14:solidFill>
          </w14:textFill>
        </w:rPr>
        <w:t>)</w:t>
      </w:r>
      <w:bookmarkEnd w:id="93"/>
      <w:bookmarkEnd w:id="94"/>
      <w:bookmarkEnd w:id="95"/>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14:textFill>
            <w14:solidFill>
              <w14:schemeClr w14:val="tx1"/>
            </w14:solidFill>
          </w14:textFill>
        </w:rPr>
        <w:t>IP直播中台</w:t>
      </w:r>
    </w:p>
    <w:tbl>
      <w:tblPr>
        <w:tblStyle w:val="53"/>
        <w:tblpPr w:leftFromText="180" w:rightFromText="180" w:vertAnchor="text" w:horzAnchor="page" w:tblpX="1067" w:tblpY="455"/>
        <w:tblOverlap w:val="never"/>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2157"/>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241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85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215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含税单价（元）</w:t>
            </w:r>
          </w:p>
        </w:tc>
        <w:tc>
          <w:tcPr>
            <w:tcW w:w="1770"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color w:val="000000" w:themeColor="text1"/>
                <w:kern w:val="0"/>
                <w:szCs w:val="21"/>
                <w14:textFill>
                  <w14:solidFill>
                    <w14:schemeClr w14:val="tx1"/>
                  </w14:solidFill>
                </w14:textFill>
              </w:rPr>
            </w:pPr>
          </w:p>
        </w:tc>
        <w:tc>
          <w:tcPr>
            <w:tcW w:w="2410" w:type="dxa"/>
            <w:vAlign w:val="center"/>
          </w:tcPr>
          <w:p>
            <w:pPr>
              <w:jc w:val="center"/>
              <w:rPr>
                <w:color w:val="000000" w:themeColor="text1"/>
                <w:sz w:val="18"/>
                <w:szCs w:val="18"/>
                <w14:textFill>
                  <w14:solidFill>
                    <w14:schemeClr w14:val="tx1"/>
                  </w14:solidFill>
                </w14:textFill>
              </w:rPr>
            </w:pPr>
          </w:p>
        </w:tc>
        <w:tc>
          <w:tcPr>
            <w:tcW w:w="850" w:type="dxa"/>
            <w:vAlign w:val="center"/>
          </w:tcPr>
          <w:p>
            <w:pPr>
              <w:jc w:val="center"/>
              <w:rPr>
                <w:color w:val="000000" w:themeColor="text1"/>
                <w:szCs w:val="21"/>
                <w14:textFill>
                  <w14:solidFill>
                    <w14:schemeClr w14:val="tx1"/>
                  </w14:solidFill>
                </w14:textFill>
              </w:rPr>
            </w:pPr>
          </w:p>
        </w:tc>
        <w:tc>
          <w:tcPr>
            <w:tcW w:w="2157" w:type="dxa"/>
            <w:vAlign w:val="center"/>
          </w:tcPr>
          <w:p>
            <w:pPr>
              <w:jc w:val="center"/>
              <w:rPr>
                <w:rFonts w:ascii="宋体" w:hAnsi="宋体" w:cs="宋体"/>
                <w:color w:val="000000" w:themeColor="text1"/>
                <w:szCs w:val="21"/>
                <w14:textFill>
                  <w14:solidFill>
                    <w14:schemeClr w14:val="tx1"/>
                  </w14:solidFill>
                </w14:textFill>
              </w:rPr>
            </w:pPr>
          </w:p>
        </w:tc>
        <w:tc>
          <w:tcPr>
            <w:tcW w:w="177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color w:val="000000" w:themeColor="text1"/>
                <w:kern w:val="0"/>
                <w:szCs w:val="21"/>
                <w14:textFill>
                  <w14:solidFill>
                    <w14:schemeClr w14:val="tx1"/>
                  </w14:solidFill>
                </w14:textFill>
              </w:rPr>
            </w:pPr>
          </w:p>
        </w:tc>
        <w:tc>
          <w:tcPr>
            <w:tcW w:w="2410" w:type="dxa"/>
            <w:vAlign w:val="center"/>
          </w:tcPr>
          <w:p>
            <w:pPr>
              <w:jc w:val="center"/>
              <w:rPr>
                <w:color w:val="000000" w:themeColor="text1"/>
                <w:sz w:val="18"/>
                <w:szCs w:val="18"/>
                <w14:textFill>
                  <w14:solidFill>
                    <w14:schemeClr w14:val="tx1"/>
                  </w14:solidFill>
                </w14:textFill>
              </w:rPr>
            </w:pPr>
          </w:p>
        </w:tc>
        <w:tc>
          <w:tcPr>
            <w:tcW w:w="850" w:type="dxa"/>
            <w:vAlign w:val="center"/>
          </w:tcPr>
          <w:p>
            <w:pPr>
              <w:jc w:val="center"/>
              <w:rPr>
                <w:color w:val="000000" w:themeColor="text1"/>
                <w:szCs w:val="21"/>
                <w14:textFill>
                  <w14:solidFill>
                    <w14:schemeClr w14:val="tx1"/>
                  </w14:solidFill>
                </w14:textFill>
              </w:rPr>
            </w:pPr>
          </w:p>
        </w:tc>
        <w:tc>
          <w:tcPr>
            <w:tcW w:w="2157" w:type="dxa"/>
            <w:vAlign w:val="center"/>
          </w:tcPr>
          <w:p>
            <w:pPr>
              <w:jc w:val="center"/>
              <w:rPr>
                <w:rFonts w:ascii="宋体" w:hAnsi="宋体" w:cs="宋体"/>
                <w:color w:val="000000" w:themeColor="text1"/>
                <w:szCs w:val="21"/>
                <w14:textFill>
                  <w14:solidFill>
                    <w14:schemeClr w14:val="tx1"/>
                  </w14:solidFill>
                </w14:textFill>
              </w:rPr>
            </w:pPr>
          </w:p>
        </w:tc>
        <w:tc>
          <w:tcPr>
            <w:tcW w:w="177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color w:val="000000" w:themeColor="text1"/>
                <w:kern w:val="0"/>
                <w:szCs w:val="21"/>
                <w14:textFill>
                  <w14:solidFill>
                    <w14:schemeClr w14:val="tx1"/>
                  </w14:solidFill>
                </w14:textFill>
              </w:rPr>
            </w:pPr>
          </w:p>
        </w:tc>
        <w:tc>
          <w:tcPr>
            <w:tcW w:w="2410" w:type="dxa"/>
            <w:vAlign w:val="center"/>
          </w:tcPr>
          <w:p>
            <w:pPr>
              <w:jc w:val="center"/>
              <w:rPr>
                <w:color w:val="000000" w:themeColor="text1"/>
                <w:sz w:val="18"/>
                <w:szCs w:val="18"/>
                <w14:textFill>
                  <w14:solidFill>
                    <w14:schemeClr w14:val="tx1"/>
                  </w14:solidFill>
                </w14:textFill>
              </w:rPr>
            </w:pPr>
          </w:p>
        </w:tc>
        <w:tc>
          <w:tcPr>
            <w:tcW w:w="850" w:type="dxa"/>
            <w:vAlign w:val="center"/>
          </w:tcPr>
          <w:p>
            <w:pPr>
              <w:jc w:val="center"/>
              <w:rPr>
                <w:color w:val="000000" w:themeColor="text1"/>
                <w:szCs w:val="21"/>
                <w14:textFill>
                  <w14:solidFill>
                    <w14:schemeClr w14:val="tx1"/>
                  </w14:solidFill>
                </w14:textFill>
              </w:rPr>
            </w:pPr>
          </w:p>
        </w:tc>
        <w:tc>
          <w:tcPr>
            <w:tcW w:w="2157" w:type="dxa"/>
            <w:vAlign w:val="center"/>
          </w:tcPr>
          <w:p>
            <w:pPr>
              <w:jc w:val="center"/>
              <w:rPr>
                <w:rFonts w:ascii="宋体" w:hAnsi="宋体" w:cs="宋体"/>
                <w:color w:val="000000" w:themeColor="text1"/>
                <w:szCs w:val="21"/>
                <w14:textFill>
                  <w14:solidFill>
                    <w14:schemeClr w14:val="tx1"/>
                  </w14:solidFill>
                </w14:textFill>
              </w:rPr>
            </w:pPr>
          </w:p>
        </w:tc>
        <w:tc>
          <w:tcPr>
            <w:tcW w:w="1770"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开发周期</w:t>
            </w:r>
          </w:p>
        </w:tc>
        <w:tc>
          <w:tcPr>
            <w:tcW w:w="7187"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天（不超过</w:t>
            </w:r>
            <w:r>
              <w:rPr>
                <w:rFonts w:ascii="宋体" w:hAnsi="宋体"/>
                <w:color w:val="000000" w:themeColor="text1"/>
                <w:szCs w:val="21"/>
                <w14:textFill>
                  <w14:solidFill>
                    <w14:schemeClr w14:val="tx1"/>
                  </w14:solidFill>
                </w14:textFill>
              </w:rPr>
              <w:t>60</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免费包修期</w:t>
            </w:r>
          </w:p>
        </w:tc>
        <w:tc>
          <w:tcPr>
            <w:tcW w:w="7187"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终</w:t>
            </w:r>
            <w:r>
              <w:rPr>
                <w:rFonts w:hint="eastAsia" w:ascii="宋体" w:hAnsi="宋体" w:cs="宋体"/>
                <w:color w:val="000000" w:themeColor="text1"/>
                <w14:textFill>
                  <w14:solidFill>
                    <w14:schemeClr w14:val="tx1"/>
                  </w14:solidFill>
                </w14:textFill>
              </w:rPr>
              <w:t>验通过后</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包修期内的服务内容</w:t>
            </w:r>
          </w:p>
        </w:tc>
        <w:tc>
          <w:tcPr>
            <w:tcW w:w="7187" w:type="dxa"/>
            <w:gridSpan w:val="4"/>
            <w:vAlign w:val="center"/>
          </w:tcPr>
          <w:p>
            <w:pPr>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竞争性磋商文件</w:t>
            </w:r>
            <w:r>
              <w:rPr>
                <w:color w:val="000000" w:themeColor="text1"/>
                <w14:textFill>
                  <w14:solidFill>
                    <w14:schemeClr w14:val="tx1"/>
                  </w14:solidFill>
                </w14:textFill>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包修期满后的服务价格</w:t>
            </w:r>
          </w:p>
        </w:tc>
        <w:tc>
          <w:tcPr>
            <w:tcW w:w="7187" w:type="dxa"/>
            <w:gridSpan w:val="4"/>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维保价格：元/年（</w:t>
            </w:r>
            <w:r>
              <w:rPr>
                <w:color w:val="000000" w:themeColor="text1"/>
                <w:szCs w:val="21"/>
                <w14:textFill>
                  <w14:solidFill>
                    <w14:schemeClr w14:val="tx1"/>
                  </w14:solidFill>
                </w14:textFill>
              </w:rPr>
              <w:t>年维保费用不得高于合同价格的</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w:t>
            </w:r>
            <w:r>
              <w:rPr>
                <w:color w:val="000000" w:themeColor="text1"/>
                <w14:textFill>
                  <w14:solidFill>
                    <w14:schemeClr w14:val="tx1"/>
                  </w14:solidFill>
                </w14:textFill>
              </w:rPr>
              <w:t>）</w:t>
            </w:r>
          </w:p>
          <w:p>
            <w:pPr>
              <w:spacing w:line="40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包含内容：</w:t>
            </w:r>
            <w:r>
              <w:rPr>
                <w:color w:val="000000" w:themeColor="text1"/>
                <w:u w:val="single"/>
                <w14:textFill>
                  <w14:solidFill>
                    <w14:schemeClr w14:val="tx1"/>
                  </w14:solidFill>
                </w14:textFill>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187" w:type="dxa"/>
            <w:gridSpan w:val="4"/>
          </w:tcPr>
          <w:p>
            <w:pPr>
              <w:rPr>
                <w:rFonts w:ascii="宋体" w:hAnsi="宋体" w:cs="宋体"/>
                <w:color w:val="000000" w:themeColor="text1"/>
                <w14:textFill>
                  <w14:solidFill>
                    <w14:schemeClr w14:val="tx1"/>
                  </w14:solidFill>
                </w14:textFill>
              </w:rPr>
            </w:pPr>
          </w:p>
        </w:tc>
      </w:tr>
    </w:tbl>
    <w:p>
      <w:pPr>
        <w:rPr>
          <w:color w:val="000000" w:themeColor="text1"/>
          <w14:textFill>
            <w14:solidFill>
              <w14:schemeClr w14:val="tx1"/>
            </w14:solidFill>
          </w14:textFill>
        </w:rPr>
      </w:pPr>
    </w:p>
    <w:p>
      <w:pPr>
        <w:snapToGrid w:val="0"/>
        <w:spacing w:line="360" w:lineRule="auto"/>
        <w:rPr>
          <w:color w:val="000000" w:themeColor="text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竞争性磋商文件</w:t>
      </w:r>
      <w:r>
        <w:rPr>
          <w:color w:val="000000" w:themeColor="text1"/>
          <w:szCs w:val="21"/>
          <w14:textFill>
            <w14:solidFill>
              <w14:schemeClr w14:val="tx1"/>
            </w14:solidFill>
          </w14:textFill>
        </w:rPr>
        <w:t>要求，提供货到用户指定现场（到楼层）并提供全部服务的含税</w:t>
      </w:r>
      <w:r>
        <w:rPr>
          <w:rFonts w:hint="eastAsia"/>
          <w:color w:val="000000" w:themeColor="text1"/>
          <w:szCs w:val="21"/>
          <w14:textFill>
            <w14:solidFill>
              <w14:schemeClr w14:val="tx1"/>
            </w14:solidFill>
          </w14:textFill>
        </w:rPr>
        <w:t>价。</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2.报价时请仔细阅读竞争性磋商文件《竞争性磋商须知》中关于报价的要求。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4"/>
        <w:numPr>
          <w:ilvl w:val="0"/>
          <w:numId w:val="0"/>
        </w:numPr>
        <w:snapToGrid w:val="0"/>
        <w:spacing w:before="312" w:beforeLines="100" w:after="312" w:afterLines="100"/>
        <w:ind w:right="210" w:rightChars="100"/>
        <w:rPr>
          <w:rStyle w:val="80"/>
          <w:rFonts w:hAnsi="Times New Roman" w:eastAsia="宋体"/>
          <w:bCs w:val="0"/>
          <w:color w:val="000000" w:themeColor="text1"/>
          <w:szCs w:val="24"/>
          <w14:textFill>
            <w14:solidFill>
              <w14:schemeClr w14:val="tx1"/>
            </w14:solidFill>
          </w14:textFill>
        </w:rPr>
      </w:pPr>
      <w:r>
        <w:rPr>
          <w:rFonts w:hint="eastAsia"/>
          <w:color w:val="000000" w:themeColor="text1"/>
          <w14:textFill>
            <w14:solidFill>
              <w14:schemeClr w14:val="tx1"/>
            </w14:solidFill>
          </w14:textFill>
        </w:rPr>
        <w:br w:type="page"/>
      </w:r>
      <w:bookmarkStart w:id="96" w:name="_Toc161767431"/>
      <w:bookmarkStart w:id="97" w:name="_Toc26260036"/>
      <w:bookmarkStart w:id="98" w:name="_Toc26259742"/>
      <w:bookmarkStart w:id="99" w:name="_Toc135999010"/>
      <w:bookmarkStart w:id="100" w:name="_Toc69378666"/>
      <w:bookmarkStart w:id="101" w:name="_Toc26260035"/>
      <w:bookmarkStart w:id="102" w:name="_Toc69378665"/>
      <w:bookmarkStart w:id="103" w:name="_Toc26259741"/>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3-2</w:t>
      </w:r>
      <w:r>
        <w:rPr>
          <w:rStyle w:val="106"/>
          <w:rFonts w:hint="eastAsia" w:hAnsi="宋体"/>
          <w:b w:val="0"/>
          <w:bCs w:val="0"/>
          <w:color w:val="000000" w:themeColor="text1"/>
          <w:sz w:val="24"/>
          <w:szCs w:val="24"/>
          <w14:textFill>
            <w14:solidFill>
              <w14:schemeClr w14:val="tx1"/>
            </w14:solidFill>
          </w14:textFill>
        </w:rPr>
        <w:t>：分项报价表</w:t>
      </w:r>
      <w:r>
        <w:rPr>
          <w:rStyle w:val="106"/>
          <w:rFonts w:hAnsi="宋体"/>
          <w:b w:val="0"/>
          <w:bCs w:val="0"/>
          <w:color w:val="000000" w:themeColor="text1"/>
          <w:sz w:val="24"/>
          <w:szCs w:val="24"/>
          <w14:textFill>
            <w14:solidFill>
              <w14:schemeClr w14:val="tx1"/>
            </w14:solidFill>
          </w14:textFill>
        </w:rPr>
        <w:t>(</w:t>
      </w:r>
      <w:r>
        <w:rPr>
          <w:rStyle w:val="106"/>
          <w:rFonts w:hint="eastAsia" w:hAnsi="宋体"/>
          <w:b w:val="0"/>
          <w:bCs w:val="0"/>
          <w:color w:val="000000" w:themeColor="text1"/>
          <w:sz w:val="24"/>
          <w:szCs w:val="24"/>
          <w14:textFill>
            <w14:solidFill>
              <w14:schemeClr w14:val="tx1"/>
            </w14:solidFill>
          </w14:textFill>
        </w:rPr>
        <w:t>格式</w:t>
      </w:r>
      <w:r>
        <w:rPr>
          <w:rStyle w:val="106"/>
          <w:rFonts w:hAnsi="宋体"/>
          <w:b w:val="0"/>
          <w:bCs w:val="0"/>
          <w:color w:val="000000" w:themeColor="text1"/>
          <w:sz w:val="24"/>
          <w:szCs w:val="24"/>
          <w14:textFill>
            <w14:solidFill>
              <w14:schemeClr w14:val="tx1"/>
            </w14:solidFill>
          </w14:textFill>
        </w:rPr>
        <w:t>)</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color w:val="000000" w:themeColor="text1"/>
          <w14:textFill>
            <w14:solidFill>
              <w14:schemeClr w14:val="tx1"/>
            </w14:solidFill>
          </w14:textFill>
        </w:rPr>
        <w:t>IP直播中台</w:t>
      </w:r>
    </w:p>
    <w:tbl>
      <w:tblPr>
        <w:tblStyle w:val="5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350"/>
        <w:gridCol w:w="1594"/>
        <w:gridCol w:w="889"/>
        <w:gridCol w:w="1419"/>
        <w:gridCol w:w="1071"/>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350"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软件模块</w:t>
            </w:r>
          </w:p>
        </w:tc>
        <w:tc>
          <w:tcPr>
            <w:tcW w:w="1594"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w:t>
            </w:r>
          </w:p>
        </w:tc>
        <w:tc>
          <w:tcPr>
            <w:tcW w:w="889"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数量（月）</w:t>
            </w:r>
          </w:p>
        </w:tc>
        <w:tc>
          <w:tcPr>
            <w:tcW w:w="1419"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含税单价</w:t>
            </w:r>
          </w:p>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（元/人月）</w:t>
            </w:r>
          </w:p>
        </w:tc>
        <w:tc>
          <w:tcPr>
            <w:tcW w:w="1071"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小计</w:t>
            </w:r>
          </w:p>
        </w:tc>
        <w:tc>
          <w:tcPr>
            <w:tcW w:w="1125" w:type="dxa"/>
            <w:vAlign w:val="center"/>
          </w:tcPr>
          <w:p>
            <w:pPr>
              <w:spacing w:after="120" w:line="0" w:lineRule="atLeas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350" w:type="dxa"/>
          </w:tcPr>
          <w:p>
            <w:pPr>
              <w:spacing w:after="120" w:line="0" w:lineRule="atLeast"/>
              <w:ind w:firstLine="420"/>
              <w:rPr>
                <w:rFonts w:ascii="宋体" w:hAnsi="宋体" w:cs="宋体"/>
                <w:color w:val="000000" w:themeColor="text1"/>
                <w:kern w:val="0"/>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c>
          <w:tcPr>
            <w:tcW w:w="1350"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594" w:type="dxa"/>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88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419"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071"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p>
        </w:tc>
        <w:tc>
          <w:tcPr>
            <w:tcW w:w="1125" w:type="dxa"/>
            <w:vAlign w:val="center"/>
          </w:tcPr>
          <w:p>
            <w:pPr>
              <w:spacing w:after="120" w:line="0" w:lineRule="atLeast"/>
              <w:ind w:firstLine="42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96" w:type="dxa"/>
            <w:vAlign w:val="center"/>
          </w:tcPr>
          <w:p>
            <w:pPr>
              <w:spacing w:after="120" w:line="0" w:lineRule="atLeast"/>
              <w:ind w:firstLine="420"/>
              <w:jc w:val="center"/>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合计</w:t>
            </w:r>
          </w:p>
        </w:tc>
        <w:tc>
          <w:tcPr>
            <w:tcW w:w="1350" w:type="dxa"/>
          </w:tcPr>
          <w:p>
            <w:pPr>
              <w:spacing w:after="120" w:line="0" w:lineRule="atLeast"/>
              <w:ind w:firstLine="420"/>
              <w:rPr>
                <w:rFonts w:ascii="宋体" w:hAnsi="宋体"/>
                <w:color w:val="000000" w:themeColor="text1"/>
                <w:szCs w:val="21"/>
                <w14:textFill>
                  <w14:solidFill>
                    <w14:schemeClr w14:val="tx1"/>
                  </w14:solidFill>
                </w14:textFill>
              </w:rPr>
            </w:pPr>
          </w:p>
        </w:tc>
        <w:tc>
          <w:tcPr>
            <w:tcW w:w="1594" w:type="dxa"/>
          </w:tcPr>
          <w:p>
            <w:pPr>
              <w:ind w:firstLine="420"/>
              <w:rPr>
                <w:rFonts w:ascii="宋体" w:hAnsi="宋体"/>
                <w:color w:val="000000" w:themeColor="text1"/>
                <w:szCs w:val="21"/>
                <w14:textFill>
                  <w14:solidFill>
                    <w14:schemeClr w14:val="tx1"/>
                  </w14:solidFill>
                </w14:textFill>
              </w:rPr>
            </w:pPr>
          </w:p>
        </w:tc>
        <w:tc>
          <w:tcPr>
            <w:tcW w:w="889" w:type="dxa"/>
            <w:vAlign w:val="center"/>
          </w:tcPr>
          <w:p>
            <w:pPr>
              <w:ind w:firstLine="420"/>
              <w:rPr>
                <w:rFonts w:ascii="宋体" w:hAnsi="宋体"/>
                <w:color w:val="000000" w:themeColor="text1"/>
                <w:szCs w:val="21"/>
                <w14:textFill>
                  <w14:solidFill>
                    <w14:schemeClr w14:val="tx1"/>
                  </w14:solidFill>
                </w14:textFill>
              </w:rPr>
            </w:pPr>
          </w:p>
        </w:tc>
        <w:tc>
          <w:tcPr>
            <w:tcW w:w="1419" w:type="dxa"/>
          </w:tcPr>
          <w:p>
            <w:pPr>
              <w:ind w:firstLine="420"/>
              <w:jc w:val="right"/>
              <w:rPr>
                <w:rFonts w:ascii="宋体" w:hAnsi="宋体"/>
                <w:color w:val="000000" w:themeColor="text1"/>
                <w:szCs w:val="21"/>
                <w14:textFill>
                  <w14:solidFill>
                    <w14:schemeClr w14:val="tx1"/>
                  </w14:solidFill>
                </w14:textFill>
              </w:rPr>
            </w:pPr>
          </w:p>
        </w:tc>
        <w:tc>
          <w:tcPr>
            <w:tcW w:w="1071" w:type="dxa"/>
            <w:vAlign w:val="center"/>
          </w:tcPr>
          <w:p>
            <w:pPr>
              <w:ind w:firstLine="420"/>
              <w:jc w:val="right"/>
              <w:rPr>
                <w:rFonts w:ascii="宋体" w:hAnsi="宋体"/>
                <w:color w:val="000000" w:themeColor="text1"/>
                <w:szCs w:val="21"/>
                <w14:textFill>
                  <w14:solidFill>
                    <w14:schemeClr w14:val="tx1"/>
                  </w14:solidFill>
                </w14:textFill>
              </w:rPr>
            </w:pPr>
          </w:p>
        </w:tc>
        <w:tc>
          <w:tcPr>
            <w:tcW w:w="1125" w:type="dxa"/>
          </w:tcPr>
          <w:p>
            <w:pPr>
              <w:ind w:firstLine="420"/>
              <w:jc w:val="right"/>
              <w:rPr>
                <w:rFonts w:ascii="宋体" w:hAnsi="宋体"/>
                <w:color w:val="000000" w:themeColor="text1"/>
                <w:szCs w:val="21"/>
                <w14:textFill>
                  <w14:solidFill>
                    <w14:schemeClr w14:val="tx1"/>
                  </w14:solidFill>
                </w14:textFill>
              </w:rPr>
            </w:pPr>
          </w:p>
        </w:tc>
      </w:tr>
    </w:tbl>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 《分项报价表》中的每种货物及/或服务均单独列表，货物须按照模块进行报价（必须细化到可单独替换的模块，如有License许可费用须单独列出）；服务须按照人力资源配置计划进行报价。未报分项价格或分项报价不符合要求的，将视为不合格响应。</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 供应商须按照竞争性磋商文件要求，提供货到用户指定现场（到楼层）并提供全部服务的含税价。</w:t>
      </w:r>
    </w:p>
    <w:p>
      <w:pPr>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3.同一部件在不同配置中的单价必须相同。</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分项报价表中包含但不限于以上货物，同类型货物规格不同分别列出。具备订货号的设备在分项报价表中均须列出（如模块），如未列出视为免费提供。</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.除有特殊说明外，以上“税”均指增值税，“元”均指元人民币。</w:t>
      </w:r>
    </w:p>
    <w:p>
      <w:pPr>
        <w:snapToGrid w:val="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6</w:t>
      </w:r>
      <w:r>
        <w:rPr>
          <w:rFonts w:hint="eastAsia"/>
          <w:color w:val="000000" w:themeColor="text1"/>
          <w14:textFill>
            <w14:solidFill>
              <w14:schemeClr w14:val="tx1"/>
            </w14:solidFill>
          </w14:textFill>
        </w:rPr>
        <w:t>.供应商应保证货物配置的完整性（包括必需的配件、线缆等），满足采购人正常使用的需要。实际使用发现缺漏项将由供应商免费补齐。</w:t>
      </w:r>
    </w:p>
    <w:p>
      <w:pPr>
        <w:snapToGrid w:val="0"/>
        <w:spacing w:line="36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7</w:t>
      </w:r>
      <w:r>
        <w:rPr>
          <w:rFonts w:hint="eastAsia"/>
          <w:color w:val="000000" w:themeColor="text1"/>
          <w14:textFill>
            <w14:solidFill>
              <w14:schemeClr w14:val="tx1"/>
            </w14:solidFill>
          </w14:textFill>
        </w:rPr>
        <w:t>.行数不够请自行添加。</w:t>
      </w: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4"/>
        <w:numPr>
          <w:ilvl w:val="0"/>
          <w:numId w:val="0"/>
        </w:numPr>
        <w:snapToGrid w:val="0"/>
        <w:spacing w:before="312" w:beforeLines="100" w:after="312" w:afterLines="100"/>
        <w:ind w:right="210" w:rightChars="100"/>
        <w:rPr>
          <w:color w:val="000000" w:themeColor="text1"/>
          <w:szCs w:val="24"/>
          <w:u w:val="single"/>
          <w14:textFill>
            <w14:solidFill>
              <w14:schemeClr w14:val="tx1"/>
            </w14:solidFill>
          </w14:textFill>
        </w:rPr>
      </w:pPr>
      <w:r>
        <w:rPr>
          <w:rFonts w:hint="eastAsia"/>
          <w:color w:val="000000" w:themeColor="text1"/>
          <w14:textFill>
            <w14:solidFill>
              <w14:schemeClr w14:val="tx1"/>
            </w14:solidFill>
          </w14:textFill>
        </w:rPr>
        <w:br w:type="page"/>
      </w: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4</w:t>
      </w:r>
      <w:r>
        <w:rPr>
          <w:rStyle w:val="106"/>
          <w:rFonts w:hint="eastAsia" w:hAnsi="宋体"/>
          <w:b w:val="0"/>
          <w:bCs w:val="0"/>
          <w:color w:val="000000" w:themeColor="text1"/>
          <w:sz w:val="24"/>
          <w:szCs w:val="24"/>
          <w14:textFill>
            <w14:solidFill>
              <w14:schemeClr w14:val="tx1"/>
            </w14:solidFill>
          </w14:textFill>
        </w:rPr>
        <w:t>：商务条款偏离表</w:t>
      </w:r>
      <w:bookmarkEnd w:id="96"/>
      <w:bookmarkEnd w:id="97"/>
      <w:bookmarkEnd w:id="98"/>
      <w:bookmarkEnd w:id="99"/>
      <w:bookmarkEnd w:id="100"/>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供应商名称： </w:t>
      </w:r>
      <w:r>
        <w:rPr>
          <w:rFonts w:ascii="宋体" w:hAnsi="宋体"/>
          <w:color w:val="000000" w:themeColor="text1"/>
          <w:szCs w:val="21"/>
          <w14:textFill>
            <w14:solidFill>
              <w14:schemeClr w14:val="tx1"/>
            </w14:solidFill>
          </w14:textFill>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偏离包括正、负偏离，正偏离指供应商的响应高于竞争性磋商文件要求，负偏离指供应商的响应低于竞争性磋商文件要求。</w:t>
      </w:r>
    </w:p>
    <w:p>
      <w:pPr>
        <w:widowControl/>
        <w:jc w:val="left"/>
        <w:rPr>
          <w:rStyle w:val="106"/>
          <w:rFonts w:hAnsi="宋体"/>
          <w:b w:val="0"/>
          <w:bCs w:val="0"/>
          <w:color w:val="000000" w:themeColor="text1"/>
          <w:sz w:val="24"/>
          <w:szCs w:val="24"/>
          <w14:textFill>
            <w14:solidFill>
              <w14:schemeClr w14:val="tx1"/>
            </w14:solidFill>
          </w14:textFill>
        </w:rPr>
      </w:pPr>
      <w:r>
        <w:rPr>
          <w:rStyle w:val="106"/>
          <w:rFonts w:hAnsi="宋体"/>
          <w:b w:val="0"/>
          <w:color w:val="000000" w:themeColor="text1"/>
          <w:sz w:val="24"/>
          <w:szCs w:val="24"/>
          <w14:textFill>
            <w14:solidFill>
              <w14:schemeClr w14:val="tx1"/>
            </w14:solidFill>
          </w14:textFill>
        </w:rPr>
        <w:br w:type="page"/>
      </w:r>
    </w:p>
    <w:p>
      <w:pPr>
        <w:pStyle w:val="4"/>
        <w:numPr>
          <w:ilvl w:val="0"/>
          <w:numId w:val="0"/>
        </w:numPr>
        <w:snapToGrid w:val="0"/>
        <w:spacing w:before="312" w:beforeLines="100" w:after="312" w:afterLines="100"/>
        <w:ind w:right="210" w:rightChars="100"/>
        <w:rPr>
          <w:rFonts w:ascii="黑体"/>
          <w:b/>
          <w:color w:val="000000" w:themeColor="text1"/>
          <w:kern w:val="44"/>
          <w:sz w:val="32"/>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5</w:t>
      </w:r>
      <w:r>
        <w:rPr>
          <w:rStyle w:val="106"/>
          <w:rFonts w:hint="eastAsia" w:hAnsi="宋体"/>
          <w:b w:val="0"/>
          <w:bCs w:val="0"/>
          <w:color w:val="000000" w:themeColor="text1"/>
          <w:sz w:val="24"/>
          <w:szCs w:val="24"/>
          <w14:textFill>
            <w14:solidFill>
              <w14:schemeClr w14:val="tx1"/>
            </w14:solidFill>
          </w14:textFill>
        </w:rPr>
        <w:t>：法定代表人身份证明及授权委托书</w:t>
      </w:r>
      <w:bookmarkEnd w:id="101"/>
      <w:bookmarkEnd w:id="102"/>
      <w:bookmarkEnd w:id="103"/>
    </w:p>
    <w:p>
      <w:pPr>
        <w:topLinePunct/>
        <w:snapToGrid w:val="0"/>
        <w:spacing w:before="312" w:beforeLines="100" w:after="312" w:afterLines="100"/>
        <w:ind w:left="210" w:leftChars="100" w:right="210" w:rightChars="100" w:firstLine="420" w:firstLineChars="200"/>
        <w:rPr>
          <w:bCs/>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供应商</w:t>
      </w:r>
      <w:r>
        <w:rPr>
          <w:bCs/>
          <w:color w:val="000000" w:themeColor="text1"/>
          <w:szCs w:val="21"/>
          <w14:textFill>
            <w14:solidFill>
              <w14:schemeClr w14:val="tx1"/>
            </w14:solidFill>
          </w14:textFill>
        </w:rPr>
        <w:t>名称：</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单位性质：</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成立时间：年月日</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经营期限：</w:t>
      </w:r>
    </w:p>
    <w:p>
      <w:pPr>
        <w:topLinePunct/>
        <w:snapToGrid w:val="0"/>
        <w:spacing w:before="312" w:beforeLines="100" w:after="312" w:afterLines="100"/>
        <w:ind w:left="210" w:leftChars="100" w:right="210" w:rightChars="100" w:firstLine="420" w:firstLineChars="200"/>
        <w:rPr>
          <w:bCs/>
          <w:color w:val="000000" w:themeColor="text1"/>
          <w:szCs w:val="21"/>
          <w:u w:val="single"/>
          <w14:textFill>
            <w14:solidFill>
              <w14:schemeClr w14:val="tx1"/>
            </w14:solidFill>
          </w14:textFill>
        </w:rPr>
      </w:pPr>
      <w:r>
        <w:rPr>
          <w:bCs/>
          <w:color w:val="000000" w:themeColor="text1"/>
          <w:szCs w:val="21"/>
          <w14:textFill>
            <w14:solidFill>
              <w14:schemeClr w14:val="tx1"/>
            </w14:solidFill>
          </w14:textFill>
        </w:rPr>
        <w:t>姓名：性别：年龄：职务：</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系</w:t>
      </w:r>
      <w:r>
        <w:rPr>
          <w:rFonts w:hint="eastAsia"/>
          <w:bCs/>
          <w:color w:val="000000" w:themeColor="text1"/>
          <w:szCs w:val="21"/>
          <w14:textFill>
            <w14:solidFill>
              <w14:schemeClr w14:val="tx1"/>
            </w14:solidFill>
          </w14:textFill>
        </w:rPr>
        <w:t>（供应商</w:t>
      </w:r>
      <w:r>
        <w:rPr>
          <w:bCs/>
          <w:color w:val="000000" w:themeColor="text1"/>
          <w:szCs w:val="21"/>
          <w14:textFill>
            <w14:solidFill>
              <w14:schemeClr w14:val="tx1"/>
            </w14:solidFill>
          </w14:textFill>
        </w:rPr>
        <w:t>名称</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的法定代表人。</w:t>
      </w:r>
    </w:p>
    <w:p>
      <w:pPr>
        <w:topLinePunct/>
        <w:snapToGrid w:val="0"/>
        <w:spacing w:before="312" w:beforeLines="100" w:after="312" w:afterLines="100"/>
        <w:ind w:left="210" w:leftChars="100" w:right="210" w:rightChars="100"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特此证明。</w:t>
      </w:r>
    </w:p>
    <w:p>
      <w:pPr>
        <w:topLinePunct/>
        <w:snapToGrid w:val="0"/>
        <w:spacing w:before="312" w:beforeLines="100" w:after="312" w:afterLines="100"/>
        <w:ind w:left="210" w:leftChars="100" w:right="210" w:rightChars="100"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w:t>
      </w:r>
      <w:r>
        <w:rPr>
          <w:rFonts w:hint="eastAsia"/>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需同时提供正面及背面</w:t>
      </w:r>
      <w:r>
        <w:rPr>
          <w:rFonts w:hint="eastAsia"/>
          <w:color w:val="000000" w:themeColor="text1"/>
          <w14:textFill>
            <w14:solidFill>
              <w14:schemeClr w14:val="tx1"/>
            </w14:solidFill>
          </w14:textFill>
        </w:rPr>
        <w:t>）</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right="210" w:rightChars="1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r>
        <w:rPr>
          <w:color w:val="000000" w:themeColor="text1"/>
          <w:szCs w:val="21"/>
          <w14:textFill>
            <w14:solidFill>
              <w14:schemeClr w14:val="tx1"/>
            </w14:solidFill>
          </w14:textFill>
        </w:rPr>
        <w:t>：（盖单位公章）</w:t>
      </w:r>
    </w:p>
    <w:p>
      <w:pPr>
        <w:snapToGrid w:val="0"/>
        <w:spacing w:before="312" w:beforeLines="100" w:after="312" w:afterLines="100"/>
        <w:ind w:left="210" w:leftChars="100" w:right="210" w:rightChars="100" w:firstLine="840" w:firstLineChars="400"/>
        <w:rPr>
          <w:color w:val="000000" w:themeColor="text1"/>
          <w:szCs w:val="21"/>
          <w14:textFill>
            <w14:solidFill>
              <w14:schemeClr w14:val="tx1"/>
            </w14:solidFill>
          </w14:textFill>
        </w:rPr>
      </w:pPr>
      <w:r>
        <w:rPr>
          <w:color w:val="000000" w:themeColor="text1"/>
          <w:szCs w:val="21"/>
          <w14:textFill>
            <w14:solidFill>
              <w14:schemeClr w14:val="tx1"/>
            </w14:solidFill>
          </w14:textFill>
        </w:rPr>
        <w:t>年月日</w:t>
      </w:r>
    </w:p>
    <w:p>
      <w:pPr>
        <w:snapToGrid w:val="0"/>
        <w:spacing w:before="312" w:beforeLines="100" w:after="312" w:afterLines="100"/>
        <w:ind w:left="210" w:leftChars="100" w:right="210" w:rightChars="100" w:firstLine="420" w:firstLineChars="200"/>
        <w:rPr>
          <w:rFonts w:eastAsia="黑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eastAsia="黑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本授权书声明：注册于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国家或地区的名称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公司名称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的在下面签字（或签章）的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法定代表人姓名、职务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代表本公司授权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单位名称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的在下面签字的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被授权人的姓名、职务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为本公司的合法代理人，就</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项目名称、采购编号</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参与</w:t>
      </w:r>
      <w:r>
        <w:rPr>
          <w:rFonts w:ascii="宋体" w:hAnsi="宋体"/>
          <w:color w:val="000000" w:themeColor="text1"/>
          <w:szCs w:val="21"/>
          <w14:textFill>
            <w14:solidFill>
              <w14:schemeClr w14:val="tx1"/>
            </w14:solidFill>
          </w14:textFill>
        </w:rPr>
        <w:t>谈判</w:t>
      </w:r>
      <w:r>
        <w:rPr>
          <w:rFonts w:hint="eastAsia" w:ascii="宋体" w:hAnsi="宋体"/>
          <w:color w:val="000000" w:themeColor="text1"/>
          <w:szCs w:val="21"/>
          <w14:textFill>
            <w14:solidFill>
              <w14:schemeClr w14:val="tx1"/>
            </w14:solidFill>
          </w14:textFill>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本授权书于</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日签字生效，特此声明。</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p>
    <w:p>
      <w:pPr>
        <w:spacing w:line="360" w:lineRule="auto"/>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法定代表人签字（或签章）：</w:t>
      </w:r>
    </w:p>
    <w:p>
      <w:pPr>
        <w:snapToGrid w:val="0"/>
        <w:spacing w:before="312" w:beforeLines="100" w:after="312" w:afterLines="100"/>
        <w:ind w:right="210" w:rightChars="10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被授权人签字：</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br w:type="page"/>
      </w:r>
      <w:bookmarkStart w:id="104" w:name="_Toc26259743"/>
      <w:bookmarkStart w:id="105" w:name="_Toc26260037"/>
      <w:bookmarkStart w:id="106" w:name="_Toc69378667"/>
    </w:p>
    <w:p>
      <w:pPr>
        <w:pStyle w:val="4"/>
        <w:numPr>
          <w:ilvl w:val="0"/>
          <w:numId w:val="0"/>
        </w:numPr>
        <w:snapToGrid w:val="0"/>
        <w:spacing w:before="312" w:beforeLines="100" w:after="312" w:afterLines="100"/>
        <w:ind w:right="210" w:rightChars="100"/>
        <w:rPr>
          <w:rStyle w:val="106"/>
          <w:bCs/>
          <w:color w:val="000000" w:themeColor="text1"/>
          <w:sz w:val="24"/>
          <w:szCs w:val="24"/>
          <w14:textFill>
            <w14:solidFill>
              <w14:schemeClr w14:val="tx1"/>
            </w14:solidFill>
          </w14:textFill>
        </w:rPr>
      </w:pPr>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6</w:t>
      </w:r>
      <w:r>
        <w:rPr>
          <w:rStyle w:val="106"/>
          <w:rFonts w:hint="eastAsia" w:hAnsi="宋体"/>
          <w:b w:val="0"/>
          <w:bCs w:val="0"/>
          <w:color w:val="000000" w:themeColor="text1"/>
          <w:sz w:val="24"/>
          <w:szCs w:val="24"/>
          <w14:textFill>
            <w14:solidFill>
              <w14:schemeClr w14:val="tx1"/>
            </w14:solidFill>
          </w14:textFill>
        </w:rPr>
        <w:t>：技术规范偏离表</w:t>
      </w:r>
      <w:bookmarkEnd w:id="104"/>
      <w:bookmarkEnd w:id="105"/>
      <w:bookmarkEnd w:id="106"/>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72"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竞争性磋商文件</w:t>
            </w:r>
            <w:r>
              <w:rPr>
                <w:rFonts w:hint="eastAsia" w:ascii="宋体"/>
                <w:bCs/>
                <w:color w:val="000000" w:themeColor="text1"/>
                <w:szCs w:val="21"/>
                <w14:textFill>
                  <w14:solidFill>
                    <w14:schemeClr w14:val="tx1"/>
                  </w14:solidFill>
                </w14:textFill>
              </w:rPr>
              <w:t>技术需求</w:t>
            </w:r>
            <w:r>
              <w:rPr>
                <w:rFonts w:hint="eastAsia" w:ascii="宋体" w:hAnsi="宋体"/>
                <w:color w:val="000000" w:themeColor="text1"/>
                <w:szCs w:val="21"/>
                <w14:textFill>
                  <w14:solidFill>
                    <w14:schemeClr w14:val="tx1"/>
                  </w14:solidFill>
                </w14:textFill>
              </w:rPr>
              <w:t>书要求</w:t>
            </w:r>
          </w:p>
        </w:tc>
        <w:tc>
          <w:tcPr>
            <w:tcW w:w="1552"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r>
        <w:rPr>
          <w:rFonts w:hint="eastAsia" w:ascii="宋体" w:hAnsi="宋体"/>
          <w:color w:val="000000" w:themeColor="text1"/>
          <w:szCs w:val="21"/>
          <w:u w:val="single"/>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color w:val="000000" w:themeColor="text1"/>
          <w:sz w:val="24"/>
          <w:szCs w:val="24"/>
          <w14:textFill>
            <w14:solidFill>
              <w14:schemeClr w14:val="tx1"/>
            </w14:solidFill>
          </w14:textFill>
        </w:rPr>
      </w:pPr>
      <w:r>
        <w:rPr>
          <w:color w:val="000000" w:themeColor="text1"/>
          <w:szCs w:val="24"/>
          <w14:textFill>
            <w14:solidFill>
              <w14:schemeClr w14:val="tx1"/>
            </w14:solidFill>
          </w14:textFill>
        </w:rPr>
        <w:br w:type="page"/>
      </w:r>
      <w:bookmarkStart w:id="107" w:name="_Toc135999012"/>
      <w:bookmarkStart w:id="108" w:name="_Toc161767433"/>
      <w:bookmarkStart w:id="109" w:name="_Toc26259744"/>
      <w:bookmarkStart w:id="110" w:name="_Toc69378668"/>
      <w:bookmarkStart w:id="111" w:name="_Toc26260038"/>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7</w:t>
      </w:r>
      <w:r>
        <w:rPr>
          <w:rStyle w:val="106"/>
          <w:rFonts w:hint="eastAsia" w:hAnsi="宋体"/>
          <w:b w:val="0"/>
          <w:bCs w:val="0"/>
          <w:color w:val="000000" w:themeColor="text1"/>
          <w:sz w:val="24"/>
          <w:szCs w:val="24"/>
          <w14:textFill>
            <w14:solidFill>
              <w14:schemeClr w14:val="tx1"/>
            </w14:solidFill>
          </w14:textFill>
        </w:rPr>
        <w:t>：资格证明文件</w:t>
      </w:r>
      <w:bookmarkEnd w:id="107"/>
      <w:bookmarkEnd w:id="108"/>
      <w:bookmarkEnd w:id="109"/>
      <w:bookmarkEnd w:id="110"/>
      <w:bookmarkEnd w:id="111"/>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pPr>
        <w:numPr>
          <w:ilvl w:val="0"/>
          <w:numId w:val="20"/>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ascii="黑体" w:eastAsia="黑体"/>
          <w:b/>
          <w:color w:val="000000" w:themeColor="text1"/>
          <w14:textFill>
            <w14:solidFill>
              <w14:schemeClr w14:val="tx1"/>
            </w14:solidFill>
          </w14:textFill>
        </w:rPr>
        <w:t xml:space="preserve">7-1  </w:t>
      </w:r>
      <w:r>
        <w:rPr>
          <w:rFonts w:hint="eastAsia" w:ascii="黑体" w:eastAsia="黑体"/>
          <w:b/>
          <w:color w:val="000000" w:themeColor="text1"/>
          <w14:textFill>
            <w14:solidFill>
              <w14:schemeClr w14:val="tx1"/>
            </w14:solidFill>
          </w14:textFill>
        </w:rPr>
        <w:t>资格声明</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pPr>
        <w:snapToGrid w:val="0"/>
        <w:spacing w:before="312" w:beforeLines="100" w:after="312" w:afterLines="100"/>
        <w:ind w:right="210" w:rightChars="1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pPr>
        <w:spacing w:line="360" w:lineRule="auto"/>
        <w:ind w:firstLine="63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采购编号</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，下述签字人自愿参与磋商，提供竞争性磋商文件技术需求书中规定的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pPr>
        <w:numPr>
          <w:ilvl w:val="0"/>
          <w:numId w:val="21"/>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pPr>
        <w:numPr>
          <w:ilvl w:val="0"/>
          <w:numId w:val="21"/>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pPr>
        <w:numPr>
          <w:ilvl w:val="0"/>
          <w:numId w:val="21"/>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授权签署本资格文件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名称（盖章）签字人姓名、职务（印刷字体）</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传真签字：</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邮编电话：</w:t>
      </w:r>
    </w:p>
    <w:p>
      <w:pPr>
        <w:snapToGrid w:val="0"/>
        <w:spacing w:before="312" w:beforeLines="100" w:after="312" w:afterLines="100"/>
        <w:ind w:left="210" w:leftChars="100" w:right="210" w:rightChars="100" w:firstLine="420" w:firstLineChars="200"/>
        <w:rPr>
          <w:rFonts w:ascii="宋体"/>
          <w:color w:val="000000" w:themeColor="text1"/>
          <w:u w:val="single"/>
          <w14:textFill>
            <w14:solidFill>
              <w14:schemeClr w14:val="tx1"/>
            </w14:solidFill>
          </w14:textFill>
        </w:rPr>
      </w:pPr>
    </w:p>
    <w:p>
      <w:pPr>
        <w:snapToGrid w:val="0"/>
        <w:spacing w:before="312" w:beforeLines="100" w:after="312"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ascii="黑体" w:eastAsia="黑体"/>
          <w:b/>
          <w:color w:val="000000" w:themeColor="text1"/>
          <w14:textFill>
            <w14:solidFill>
              <w14:schemeClr w14:val="tx1"/>
            </w14:solidFill>
          </w14:textFill>
        </w:rPr>
        <w:t xml:space="preserve">7-2  </w:t>
      </w:r>
      <w:r>
        <w:rPr>
          <w:rFonts w:hint="eastAsia" w:ascii="黑体" w:eastAsia="黑体"/>
          <w:b/>
          <w:color w:val="000000" w:themeColor="text1"/>
          <w14:textFill>
            <w14:solidFill>
              <w14:schemeClr w14:val="tx1"/>
            </w14:solidFill>
          </w14:textFill>
        </w:rPr>
        <w:t>供应商的资格声明</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pPr>
        <w:numPr>
          <w:ilvl w:val="0"/>
          <w:numId w:val="22"/>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pPr>
        <w:spacing w:line="360" w:lineRule="auto"/>
        <w:ind w:left="4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pPr>
        <w:numPr>
          <w:ilvl w:val="0"/>
          <w:numId w:val="22"/>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实收资本：</w:t>
      </w:r>
    </w:p>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近期资产负债表（到年月日止）</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）固定资产：</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）流动资产：</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）长期负债：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）流动负债：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）净值：</w:t>
      </w:r>
    </w:p>
    <w:p>
      <w:pPr>
        <w:numPr>
          <w:ilvl w:val="0"/>
          <w:numId w:val="22"/>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bl>
    <w:p>
      <w:pPr>
        <w:numPr>
          <w:ilvl w:val="0"/>
          <w:numId w:val="22"/>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pPr>
        <w:spacing w:line="360" w:lineRule="auto"/>
        <w:ind w:left="425"/>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电子函件：</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color w:val="000000" w:themeColor="text1"/>
          <w:sz w:val="24"/>
          <w:szCs w:val="24"/>
          <w14:textFill>
            <w14:solidFill>
              <w14:schemeClr w14:val="tx1"/>
            </w14:solidFill>
          </w14:textFill>
        </w:rPr>
      </w:pPr>
      <w:r>
        <w:rPr>
          <w:color w:val="000000" w:themeColor="text1"/>
          <w:szCs w:val="24"/>
          <w:u w:val="single"/>
          <w14:textFill>
            <w14:solidFill>
              <w14:schemeClr w14:val="tx1"/>
            </w14:solidFill>
          </w14:textFill>
        </w:rPr>
        <w:br w:type="page"/>
      </w:r>
      <w:bookmarkStart w:id="112" w:name="_Toc26260039"/>
      <w:bookmarkStart w:id="113" w:name="_Toc69378669"/>
      <w:bookmarkStart w:id="114" w:name="_Toc26259745"/>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8</w:t>
      </w:r>
      <w:r>
        <w:rPr>
          <w:rStyle w:val="106"/>
          <w:rFonts w:hint="eastAsia" w:hAnsi="宋体"/>
          <w:b w:val="0"/>
          <w:bCs w:val="0"/>
          <w:color w:val="000000" w:themeColor="text1"/>
          <w:sz w:val="24"/>
          <w:szCs w:val="24"/>
          <w14:textFill>
            <w14:solidFill>
              <w14:schemeClr w14:val="tx1"/>
            </w14:solidFill>
          </w14:textFill>
        </w:rPr>
        <w:t>：项目业绩及证明文件</w:t>
      </w:r>
      <w:bookmarkEnd w:id="112"/>
      <w:bookmarkEnd w:id="113"/>
      <w:bookmarkEnd w:id="114"/>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项目规模</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r>
    </w:tbl>
    <w:p>
      <w:pPr>
        <w:spacing w:line="480" w:lineRule="auto"/>
        <w:rPr>
          <w:color w:val="000000" w:themeColor="text1"/>
          <w14:textFill>
            <w14:solidFill>
              <w14:schemeClr w14:val="tx1"/>
            </w14:solidFill>
          </w14:textFill>
        </w:rPr>
      </w:pPr>
    </w:p>
    <w:p>
      <w:pPr>
        <w:spacing w:line="480" w:lineRule="auto"/>
        <w:rPr>
          <w:i/>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名称（公章）：</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代表签字</w:t>
      </w:r>
      <w:r>
        <w:rPr>
          <w:color w:val="000000" w:themeColor="text1"/>
          <w:u w:val="single"/>
          <w14:textFill>
            <w14:solidFill>
              <w14:schemeClr w14:val="tx1"/>
            </w14:solidFill>
          </w14:textFill>
        </w:rPr>
        <w:t>：</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填表说明：1</w:t>
      </w:r>
      <w:r>
        <w:rPr>
          <w:rFonts w:hint="eastAsia"/>
          <w:color w:val="000000" w:themeColor="text1"/>
          <w14:textFill>
            <w14:solidFill>
              <w14:schemeClr w14:val="tx1"/>
            </w14:solidFill>
          </w14:textFill>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color w:val="000000" w:themeColor="text1"/>
          <w:sz w:val="21"/>
          <w:szCs w:val="24"/>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．供应商需按照表格的顺序装订合同复印件，合同装订顺序须与表中所列项目顺序一致。</w:t>
      </w:r>
      <w:bookmarkEnd w:id="63"/>
      <w:bookmarkEnd w:id="90"/>
      <w:bookmarkEnd w:id="91"/>
      <w:bookmarkEnd w:id="92"/>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spacing w:line="360" w:lineRule="auto"/>
        <w:rPr>
          <w:color w:val="000000" w:themeColor="text1"/>
          <w:sz w:val="52"/>
          <w:szCs w:val="52"/>
          <w14:textFill>
            <w14:solidFill>
              <w14:schemeClr w14:val="tx1"/>
            </w14:solidFill>
          </w14:textFill>
        </w:rPr>
      </w:pPr>
      <w:bookmarkStart w:id="115" w:name="_Hlk104374920"/>
      <w:r>
        <w:rPr>
          <w:rFonts w:hint="eastAsia"/>
          <w:b/>
          <w:color w:val="000000" w:themeColor="text1"/>
          <w:sz w:val="36"/>
          <w:szCs w:val="36"/>
          <w14:textFill>
            <w14:solidFill>
              <w14:schemeClr w14:val="tx1"/>
            </w14:solidFill>
          </w14:textFill>
        </w:rPr>
        <w:t>第七章  其他</w:t>
      </w:r>
    </w:p>
    <w:p>
      <w:pPr>
        <w:widowControl/>
        <w:jc w:val="left"/>
        <w:rPr>
          <w:b/>
          <w:color w:val="000000" w:themeColor="text1"/>
          <w:sz w:val="24"/>
          <w14:textFill>
            <w14:solidFill>
              <w14:schemeClr w14:val="tx1"/>
            </w14:solidFill>
          </w14:textFill>
        </w:rPr>
      </w:pPr>
      <w:bookmarkStart w:id="116" w:name="_Toc15025"/>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文件</w:t>
      </w:r>
      <w:r>
        <w:rPr>
          <w:b/>
          <w:color w:val="000000" w:themeColor="text1"/>
          <w:kern w:val="11"/>
          <w:sz w:val="24"/>
          <w14:textFill>
            <w14:solidFill>
              <w14:schemeClr w14:val="tx1"/>
            </w14:solidFill>
          </w14:textFill>
        </w:rPr>
        <w:t>封套格式</w:t>
      </w:r>
      <w:r>
        <w:rPr>
          <w:b/>
          <w:color w:val="000000" w:themeColor="text1"/>
          <w:sz w:val="24"/>
          <w14:textFill>
            <w14:solidFill>
              <w14:schemeClr w14:val="tx1"/>
            </w14:solidFill>
          </w14:textFill>
        </w:rPr>
        <w:t>如下：</w:t>
      </w:r>
      <w:bookmarkEnd w:id="116"/>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themeColor="text1"/>
                <w:sz w:val="32"/>
                <w:szCs w:val="32"/>
                <w:u w:val="single"/>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XXX项目</w:t>
            </w:r>
          </w:p>
          <w:p>
            <w:pPr>
              <w:spacing w:before="312" w:beforeLines="100" w:after="312" w:afterLines="100"/>
              <w:jc w:val="center"/>
              <w:rPr>
                <w:rFonts w:eastAsia="黑体"/>
                <w:color w:val="000000" w:themeColor="text1"/>
                <w:sz w:val="28"/>
                <w:szCs w:val="28"/>
                <w14:textFill>
                  <w14:solidFill>
                    <w14:schemeClr w14:val="tx1"/>
                  </w14:solidFill>
                </w14:textFill>
              </w:rPr>
            </w:pPr>
          </w:p>
          <w:p>
            <w:pPr>
              <w:pStyle w:val="2"/>
              <w:spacing w:before="312" w:beforeLines="100" w:after="312" w:afterLines="100"/>
              <w:jc w:val="center"/>
              <w:rPr>
                <w:rFonts w:eastAsia="黑体"/>
                <w:color w:val="000000" w:themeColor="text1"/>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w:t>
            </w:r>
          </w:p>
          <w:p>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pPr>
              <w:spacing w:before="312" w:beforeLines="100" w:after="312" w:afterLines="100"/>
              <w:jc w:val="center"/>
              <w:rPr>
                <w:rFonts w:eastAsia="黑体"/>
                <w:color w:val="000000" w:themeColor="text1"/>
                <w:sz w:val="52"/>
                <w:szCs w:val="36"/>
                <w14:textFill>
                  <w14:solidFill>
                    <w14:schemeClr w14:val="tx1"/>
                  </w14:solidFill>
                </w14:textFill>
              </w:rPr>
            </w:pPr>
          </w:p>
          <w:p>
            <w:pPr>
              <w:pStyle w:val="2"/>
              <w:spacing w:before="312" w:beforeLines="100" w:after="312" w:afterLines="100"/>
              <w:jc w:val="center"/>
              <w:rPr>
                <w:rFonts w:eastAsia="黑体"/>
                <w:color w:val="000000" w:themeColor="text1"/>
                <w:sz w:val="52"/>
                <w:szCs w:val="36"/>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（盖单位章）</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（签字）</w:t>
            </w:r>
          </w:p>
          <w:p>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r>
              <w:rPr>
                <w:rFonts w:eastAsia="黑体"/>
                <w:color w:val="000000" w:themeColor="text1"/>
                <w:sz w:val="24"/>
                <w:u w:val="single"/>
                <w14:textFill>
                  <w14:solidFill>
                    <w14:schemeClr w14:val="tx1"/>
                  </w14:solidFill>
                </w14:textFill>
              </w:rPr>
              <w:t xml:space="preserve">                            </w:t>
            </w:r>
          </w:p>
          <w:p>
            <w:pPr>
              <w:spacing w:after="624" w:afterLines="200"/>
              <w:ind w:firstLine="3000" w:firstLineChars="1250"/>
              <w:rPr>
                <w:color w:val="000000" w:themeColor="text1"/>
                <w:kern w:val="11"/>
                <w14:textFill>
                  <w14:solidFill>
                    <w14:schemeClr w14:val="tx1"/>
                  </w14:solidFill>
                </w14:textFill>
              </w:rPr>
            </w:pPr>
            <w:r>
              <w:rPr>
                <w:rFonts w:hint="eastAsia" w:eastAsia="黑体"/>
                <w:color w:val="000000" w:themeColor="text1"/>
                <w:sz w:val="24"/>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年</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月</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日</w:t>
            </w:r>
          </w:p>
        </w:tc>
      </w:tr>
    </w:tbl>
    <w:p>
      <w:pPr>
        <w:rPr>
          <w:color w:val="000000" w:themeColor="text1"/>
          <w:kern w:val="11"/>
          <w:sz w:val="24"/>
          <w14:textFill>
            <w14:solidFill>
              <w14:schemeClr w14:val="tx1"/>
            </w14:solidFill>
          </w14:textFill>
        </w:rPr>
      </w:pPr>
    </w:p>
    <w:p>
      <w:pPr>
        <w:widowControl/>
        <w:jc w:val="left"/>
        <w:rPr>
          <w:color w:val="000000" w:themeColor="text1"/>
          <w14:textFill>
            <w14:solidFill>
              <w14:schemeClr w14:val="tx1"/>
            </w14:solidFill>
          </w14:textFill>
        </w:rPr>
      </w:pPr>
    </w:p>
    <w:p>
      <w:pPr>
        <w:widowControl/>
        <w:spacing w:line="360" w:lineRule="auto"/>
        <w:jc w:val="left"/>
        <w:rPr>
          <w:color w:val="000000" w:themeColor="text1"/>
          <w:kern w:val="11"/>
          <w:sz w:val="24"/>
          <w14:textFill>
            <w14:solidFill>
              <w14:schemeClr w14:val="tx1"/>
            </w14:solidFill>
          </w14:textFill>
        </w:rPr>
      </w:pPr>
    </w:p>
    <w:p>
      <w:pPr>
        <w:widowControl/>
        <w:spacing w:line="360" w:lineRule="auto"/>
        <w:jc w:val="left"/>
        <w:rPr>
          <w:color w:val="000000" w:themeColor="text1"/>
          <w14:textFill>
            <w14:solidFill>
              <w14:schemeClr w14:val="tx1"/>
            </w14:solidFill>
          </w14:textFill>
        </w:rPr>
      </w:pPr>
    </w:p>
    <w:p>
      <w:pPr>
        <w:widowControl/>
        <w:spacing w:line="360" w:lineRule="auto"/>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spacing w:line="360" w:lineRule="auto"/>
        <w:jc w:val="left"/>
        <w:rPr>
          <w:color w:val="000000" w:themeColor="text1"/>
          <w14:textFill>
            <w14:solidFill>
              <w14:schemeClr w14:val="tx1"/>
            </w14:solidFill>
          </w14:textFill>
        </w:rPr>
      </w:pPr>
    </w:p>
    <w:p>
      <w:pPr>
        <w:widowControl/>
        <w:spacing w:line="360" w:lineRule="auto"/>
        <w:jc w:val="left"/>
        <w:rPr>
          <w:color w:val="000000" w:themeColor="text1"/>
          <w:sz w:val="24"/>
          <w14:textFill>
            <w14:solidFill>
              <w14:schemeClr w14:val="tx1"/>
            </w14:solidFill>
          </w14:textFill>
        </w:rPr>
      </w:pPr>
      <w:r>
        <w:rPr>
          <w:rFonts w:hint="eastAsia"/>
          <w:color w:val="000000" w:themeColor="text1"/>
          <w:kern w:val="11"/>
          <w:sz w:val="24"/>
          <w14:textFill>
            <w14:solidFill>
              <w14:schemeClr w14:val="tx1"/>
            </w14:solidFill>
          </w14:textFill>
        </w:rPr>
        <w:t>响应文件电子版</w:t>
      </w:r>
      <w:r>
        <w:rPr>
          <w:color w:val="000000" w:themeColor="text1"/>
          <w:kern w:val="11"/>
          <w:sz w:val="24"/>
          <w14:textFill>
            <w14:solidFill>
              <w14:schemeClr w14:val="tx1"/>
            </w14:solidFill>
          </w14:textFill>
        </w:rPr>
        <w:t>封套格式</w:t>
      </w:r>
      <w:r>
        <w:rPr>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themeColor="text1"/>
                <w:sz w:val="32"/>
                <w:szCs w:val="32"/>
                <w:u w:val="single"/>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XXX项目</w:t>
            </w:r>
          </w:p>
          <w:p>
            <w:pPr>
              <w:jc w:val="center"/>
              <w:rPr>
                <w:rFonts w:eastAsia="黑体"/>
                <w:color w:val="000000" w:themeColor="text1"/>
                <w:sz w:val="28"/>
                <w:szCs w:val="28"/>
                <w14:textFill>
                  <w14:solidFill>
                    <w14:schemeClr w14:val="tx1"/>
                  </w14:solidFill>
                </w14:textFill>
              </w:rPr>
            </w:pPr>
          </w:p>
          <w:p>
            <w:pPr>
              <w:pStyle w:val="2"/>
              <w:jc w:val="center"/>
              <w:rPr>
                <w:rFonts w:eastAsia="黑体"/>
                <w:color w:val="000000" w:themeColor="text1"/>
                <w:szCs w:val="28"/>
                <w:u w:val="single"/>
                <w14:textFill>
                  <w14:solidFill>
                    <w14:schemeClr w14:val="tx1"/>
                  </w14:solidFill>
                </w14:textFill>
              </w:rPr>
            </w:pPr>
          </w:p>
          <w:p>
            <w:pPr>
              <w:spacing w:before="312" w:beforeLines="100" w:after="312" w:afterLines="100"/>
              <w:jc w:val="center"/>
              <w:rPr>
                <w:rFonts w:eastAsia="黑体"/>
                <w:color w:val="000000" w:themeColor="text1"/>
                <w:sz w:val="52"/>
                <w:szCs w:val="36"/>
                <w14:textFill>
                  <w14:solidFill>
                    <w14:schemeClr w14:val="tx1"/>
                  </w14:solidFill>
                </w14:textFill>
              </w:rPr>
            </w:pPr>
          </w:p>
          <w:p>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响应文件电子版</w:t>
            </w:r>
          </w:p>
          <w:p>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pPr>
              <w:jc w:val="center"/>
              <w:rPr>
                <w:rFonts w:eastAsia="黑体"/>
                <w:b/>
                <w:bCs/>
                <w:color w:val="000000" w:themeColor="text1"/>
                <w:sz w:val="44"/>
                <w:szCs w:val="44"/>
                <w:lang w:eastAsia="zh-TW"/>
                <w14:textFill>
                  <w14:solidFill>
                    <w14:schemeClr w14:val="tx1"/>
                  </w14:solidFill>
                </w14:textFill>
              </w:rPr>
            </w:pPr>
          </w:p>
          <w:p>
            <w:pPr>
              <w:spacing w:before="312" w:beforeLines="100" w:after="312" w:afterLines="100"/>
              <w:jc w:val="center"/>
              <w:rPr>
                <w:rFonts w:eastAsia="黑体"/>
                <w:color w:val="000000" w:themeColor="text1"/>
                <w:sz w:val="52"/>
                <w:szCs w:val="36"/>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（盖单位章）</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（签字）</w:t>
            </w:r>
          </w:p>
          <w:p>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r>
              <w:rPr>
                <w:rFonts w:eastAsia="黑体"/>
                <w:color w:val="000000" w:themeColor="text1"/>
                <w:sz w:val="24"/>
                <w:u w:val="single"/>
                <w14:textFill>
                  <w14:solidFill>
                    <w14:schemeClr w14:val="tx1"/>
                  </w14:solidFill>
                </w14:textFill>
              </w:rPr>
              <w:t xml:space="preserve">                            </w:t>
            </w:r>
          </w:p>
          <w:p>
            <w:pPr>
              <w:spacing w:after="624" w:afterLines="200"/>
              <w:ind w:firstLine="3000" w:firstLineChars="1250"/>
              <w:rPr>
                <w:color w:val="000000" w:themeColor="text1"/>
                <w:kern w:val="11"/>
                <w14:textFill>
                  <w14:solidFill>
                    <w14:schemeClr w14:val="tx1"/>
                  </w14:solidFill>
                </w14:textFill>
              </w:rPr>
            </w:pPr>
            <w:r>
              <w:rPr>
                <w:rFonts w:hint="eastAsia" w:eastAsia="黑体"/>
                <w:color w:val="000000" w:themeColor="text1"/>
                <w:sz w:val="24"/>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年</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月</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日</w:t>
            </w:r>
          </w:p>
        </w:tc>
      </w:tr>
    </w:tbl>
    <w:p>
      <w:pPr>
        <w:rPr>
          <w:color w:val="000000" w:themeColor="text1"/>
          <w:kern w:val="11"/>
          <w:sz w:val="24"/>
          <w14:textFill>
            <w14:solidFill>
              <w14:schemeClr w14:val="tx1"/>
            </w14:solidFill>
          </w14:textFill>
        </w:rPr>
      </w:pPr>
    </w:p>
    <w:p>
      <w:pPr>
        <w:widowControl/>
        <w:jc w:val="left"/>
        <w:rPr>
          <w:color w:val="000000" w:themeColor="text1"/>
          <w:kern w:val="11"/>
          <w:sz w:val="24"/>
          <w14:textFill>
            <w14:solidFill>
              <w14:schemeClr w14:val="tx1"/>
            </w14:solidFill>
          </w14:textFill>
        </w:rPr>
      </w:pPr>
      <w:r>
        <w:rPr>
          <w:color w:val="000000" w:themeColor="text1"/>
          <w:kern w:val="11"/>
          <w:sz w:val="24"/>
          <w14:textFill>
            <w14:solidFill>
              <w14:schemeClr w14:val="tx1"/>
            </w14:solidFill>
          </w14:textFill>
        </w:rPr>
        <w:br w:type="page"/>
      </w:r>
    </w:p>
    <w:p>
      <w:pPr>
        <w:widowControl/>
        <w:jc w:val="left"/>
        <w:rPr>
          <w:rFonts w:eastAsia="黑体"/>
          <w:bCs/>
          <w:color w:val="000000" w:themeColor="text1"/>
          <w:kern w:val="44"/>
          <w:sz w:val="30"/>
          <w:szCs w:val="44"/>
          <w14:textFill>
            <w14:solidFill>
              <w14:schemeClr w14:val="tx1"/>
            </w14:solidFill>
          </w14:textFill>
        </w:rPr>
      </w:pPr>
      <w:r>
        <w:rPr>
          <w:rFonts w:hint="eastAsia"/>
          <w:color w:val="000000" w:themeColor="text1"/>
          <w:kern w:val="11"/>
          <w:sz w:val="24"/>
          <w14:textFill>
            <w14:solidFill>
              <w14:schemeClr w14:val="tx1"/>
            </w14:solidFill>
          </w14:textFill>
        </w:rPr>
        <w:t>响应</w:t>
      </w:r>
      <w:r>
        <w:rPr>
          <w:color w:val="000000" w:themeColor="text1"/>
          <w:kern w:val="11"/>
          <w:sz w:val="24"/>
          <w14:textFill>
            <w14:solidFill>
              <w14:schemeClr w14:val="tx1"/>
            </w14:solidFill>
          </w14:textFill>
        </w:rPr>
        <w:t>文件</w:t>
      </w:r>
      <w:r>
        <w:rPr>
          <w:rFonts w:hint="eastAsia"/>
          <w:color w:val="000000" w:themeColor="text1"/>
          <w:kern w:val="11"/>
          <w:sz w:val="24"/>
          <w14:textFill>
            <w14:solidFill>
              <w14:schemeClr w14:val="tx1"/>
            </w14:solidFill>
          </w14:textFill>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rPr>
                <w:color w:val="000000" w:themeColor="text1"/>
                <w14:textFill>
                  <w14:solidFill>
                    <w14:schemeClr w14:val="tx1"/>
                  </w14:solidFill>
                </w14:textFill>
              </w:rPr>
            </w:pPr>
            <w:r>
              <w:rPr>
                <w:b/>
                <w:bCs/>
                <w:color w:val="000000" w:themeColor="text1"/>
                <w:kern w:val="11"/>
                <w:sz w:val="24"/>
                <w14:textFill>
                  <w14:solidFill>
                    <w14:schemeClr w14:val="tx1"/>
                  </w14:solidFill>
                </w14:textFill>
              </w:rPr>
              <w:t>--------------</w:t>
            </w:r>
            <w:r>
              <w:rPr>
                <w:rFonts w:ascii="黑体" w:hAnsi="黑体" w:eastAsia="黑体"/>
                <w:bCs/>
                <w:color w:val="000000" w:themeColor="text1"/>
                <w:kern w:val="11"/>
                <w:sz w:val="24"/>
                <w14:textFill>
                  <w14:solidFill>
                    <w14:schemeClr w14:val="tx1"/>
                  </w14:solidFill>
                </w14:textFill>
              </w:rPr>
              <w:t xml:space="preserve">于    年  月  日  </w:t>
            </w:r>
            <w:r>
              <w:rPr>
                <w:rFonts w:hint="eastAsia" w:ascii="黑体" w:hAnsi="黑体" w:eastAsia="黑体"/>
                <w:bCs/>
                <w:color w:val="000000" w:themeColor="text1"/>
                <w:kern w:val="11"/>
                <w:sz w:val="24"/>
                <w14:textFill>
                  <w14:solidFill>
                    <w14:schemeClr w14:val="tx1"/>
                  </w14:solidFill>
                </w14:textFill>
              </w:rPr>
              <w:t>时  分</w:t>
            </w:r>
            <w:r>
              <w:rPr>
                <w:rFonts w:ascii="黑体" w:hAnsi="黑体" w:eastAsia="黑体"/>
                <w:bCs/>
                <w:color w:val="000000" w:themeColor="text1"/>
                <w:kern w:val="11"/>
                <w:sz w:val="24"/>
                <w14:textFill>
                  <w14:solidFill>
                    <w14:schemeClr w14:val="tx1"/>
                  </w14:solidFill>
                </w14:textFill>
              </w:rPr>
              <w:t>之前不准启封（公章）</w:t>
            </w:r>
            <w:r>
              <w:rPr>
                <w:b/>
                <w:bCs/>
                <w:color w:val="000000" w:themeColor="text1"/>
                <w:kern w:val="11"/>
                <w:sz w:val="24"/>
                <w14:textFill>
                  <w14:solidFill>
                    <w14:schemeClr w14:val="tx1"/>
                  </w14:solidFill>
                </w14:textFill>
              </w:rPr>
              <w:t>----------------</w:t>
            </w:r>
          </w:p>
        </w:tc>
      </w:tr>
    </w:tbl>
    <w:p>
      <w:pPr>
        <w:rPr>
          <w:color w:val="000000" w:themeColor="text1"/>
          <w14:textFill>
            <w14:solidFill>
              <w14:schemeClr w14:val="tx1"/>
            </w14:solidFill>
          </w14:textFill>
        </w:rPr>
      </w:pPr>
    </w:p>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响应确认信息表</w:t>
      </w:r>
    </w:p>
    <w:p>
      <w:pPr>
        <w:widowControl/>
        <w:jc w:val="left"/>
        <w:rPr>
          <w:rFonts w:ascii="Arial" w:hAnsi="Arial" w:eastAsia="黑体"/>
          <w:bCs/>
          <w:color w:val="000000" w:themeColor="text1"/>
          <w:sz w:val="28"/>
          <w:szCs w:val="32"/>
          <w14:textFill>
            <w14:solidFill>
              <w14:schemeClr w14:val="tx1"/>
            </w14:solidFill>
          </w14:textFill>
        </w:rPr>
      </w:pP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江苏省广电有线信息网络股份有限公司：</w:t>
      </w:r>
    </w:p>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我单位申请参与贵单位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w:t>
      </w:r>
    </w:p>
    <w:p>
      <w:pPr>
        <w:pStyle w:val="2"/>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现委派我单位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w:t>
      </w:r>
      <w:r>
        <w:rPr>
          <w:rFonts w:hint="eastAsia"/>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负责本项目报名和正式采购前的联系工作，详细信息如下（以下信息均为必填项）：</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1.姓名：</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2.身份证号：</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3.职位：</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4.联系电话（手机）：</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5.联系电子邮箱：</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6.微信号:</w:t>
      </w:r>
    </w:p>
    <w:p>
      <w:pPr>
        <w:pStyle w:val="2"/>
        <w:ind w:firstLine="420"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7.响应文件递送方式：</w:t>
      </w:r>
    </w:p>
    <w:p>
      <w:pPr>
        <w:pStyle w:val="26"/>
        <w:spacing w:after="62"/>
        <w:ind w:firstLine="200"/>
        <w:rPr>
          <w:color w:val="000000" w:themeColor="text1"/>
          <w14:textFill>
            <w14:solidFill>
              <w14:schemeClr w14:val="tx1"/>
            </w14:solidFill>
          </w14:textFill>
        </w:rPr>
      </w:pPr>
    </w:p>
    <w:p>
      <w:pPr>
        <w:pStyle w:val="26"/>
        <w:spacing w:after="62"/>
        <w:ind w:firstLine="200"/>
        <w:rPr>
          <w:color w:val="000000" w:themeColor="text1"/>
          <w14:textFill>
            <w14:solidFill>
              <w14:schemeClr w14:val="tx1"/>
            </w14:solidFill>
          </w14:textFill>
        </w:rPr>
      </w:pPr>
    </w:p>
    <w:p>
      <w:pPr>
        <w:pStyle w:val="26"/>
        <w:spacing w:after="62"/>
        <w:ind w:firstLine="200"/>
        <w:rPr>
          <w:color w:val="000000" w:themeColor="text1"/>
          <w14:textFill>
            <w14:solidFill>
              <w14:schemeClr w14:val="tx1"/>
            </w14:solidFill>
          </w14:textFill>
        </w:rPr>
      </w:pPr>
    </w:p>
    <w:p>
      <w:pPr>
        <w:pStyle w:val="2"/>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（盖章）</w:t>
      </w:r>
    </w:p>
    <w:p>
      <w:pPr>
        <w:pStyle w:val="2"/>
        <w:ind w:firstLine="56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26"/>
        <w:spacing w:after="62"/>
        <w:ind w:firstLine="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2"/>
        <w:adjustRightInd w:val="0"/>
        <w:snapToGrid w:val="0"/>
        <w:spacing w:line="440" w:lineRule="exact"/>
        <w:jc w:val="center"/>
        <w:rPr>
          <w:rFonts w:ascii="宋体" w:hAnsi="宋体"/>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400" w:lineRule="exact"/>
        <w:jc w:val="center"/>
        <w:rPr>
          <w:rFonts w:ascii="宋体" w:hAnsi="宋体"/>
          <w:color w:val="000000" w:themeColor="text1"/>
          <w:kern w:val="0"/>
          <w:sz w:val="44"/>
          <w:szCs w:val="44"/>
          <w14:textFill>
            <w14:solidFill>
              <w14:schemeClr w14:val="tx1"/>
            </w14:solidFill>
          </w14:textFill>
        </w:rPr>
      </w:pPr>
      <w:r>
        <w:rPr>
          <w:rFonts w:hint="eastAsia" w:ascii="宋体" w:hAnsi="宋体"/>
          <w:color w:val="000000" w:themeColor="text1"/>
          <w:kern w:val="0"/>
          <w:sz w:val="44"/>
          <w:szCs w:val="44"/>
          <w14:textFill>
            <w14:solidFill>
              <w14:schemeClr w14:val="tx1"/>
            </w14:solidFill>
          </w14:textFill>
        </w:rPr>
        <w:t>远程采购须知确认函</w:t>
      </w:r>
    </w:p>
    <w:p>
      <w:pPr>
        <w:adjustRightInd w:val="0"/>
        <w:snapToGrid w:val="0"/>
        <w:spacing w:line="400" w:lineRule="exact"/>
        <w:ind w:firstLine="640" w:firstLineChars="200"/>
        <w:jc w:val="center"/>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（远程会议视频采购时适用）</w:t>
      </w:r>
    </w:p>
    <w:p>
      <w:pPr>
        <w:adjustRightInd w:val="0"/>
        <w:snapToGrid w:val="0"/>
        <w:spacing w:line="400" w:lineRule="exact"/>
        <w:ind w:firstLine="562" w:firstLineChars="200"/>
        <w:rPr>
          <w:rFonts w:asciiTheme="minorEastAsia" w:hAnsiTheme="minorEastAsia" w:eastAsiaTheme="minorEastAsia"/>
          <w:b/>
          <w:color w:val="000000" w:themeColor="text1"/>
          <w:sz w:val="28"/>
          <w:szCs w:val="28"/>
          <w14:textFill>
            <w14:solidFill>
              <w14:schemeClr w14:val="tx1"/>
            </w14:solidFill>
          </w14:textFill>
        </w:rPr>
      </w:pP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1.提前下载并安装好远程会议客户端（腾讯视频会议软件，推荐电脑终端，以防手机电话接入造成中断），调试好视频及音效设备，有必要的可使用耳机，确保远程会议</w:t>
      </w:r>
      <w:r>
        <w:rPr>
          <w:rFonts w:hint="eastAsia" w:ascii="宋体" w:hAnsi="宋体"/>
          <w:color w:val="000000" w:themeColor="text1"/>
          <w:kern w:val="0"/>
          <w:sz w:val="32"/>
          <w:szCs w:val="32"/>
          <w14:textFill>
            <w14:solidFill>
              <w14:schemeClr w14:val="tx1"/>
            </w14:solidFill>
          </w14:textFill>
        </w:rPr>
        <w:t>的质量。如因供应商设备、网络等原因而造成的视音频中断或延误给谈判带来的负面影响，由供应商自行承担。</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2．供应商应在会议现场或周边准备好打印机扫描设备，以备采购时及时提供澄清、承诺等材料。</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 xml:space="preserve">3. </w:t>
      </w:r>
      <w:r>
        <w:rPr>
          <w:rFonts w:hint="eastAsia" w:ascii="宋体" w:hAnsi="宋体"/>
          <w:color w:val="000000" w:themeColor="text1"/>
          <w:kern w:val="0"/>
          <w:sz w:val="32"/>
          <w:szCs w:val="32"/>
          <w14:textFill>
            <w14:solidFill>
              <w14:schemeClr w14:val="tx1"/>
            </w14:solidFill>
          </w14:textFill>
        </w:rPr>
        <w:t>请供应商授权代表和采购文件中要求的有关答辩代表（如有）到达视频会议现场，并携带身份证件和采购文件要求的有关资格证明（如有），与响应文件中《法定代表人</w:t>
      </w:r>
      <w:r>
        <w:rPr>
          <w:rFonts w:ascii="宋体" w:hAnsi="宋体"/>
          <w:color w:val="000000" w:themeColor="text1"/>
          <w:kern w:val="0"/>
          <w:sz w:val="32"/>
          <w:szCs w:val="32"/>
          <w14:textFill>
            <w14:solidFill>
              <w14:schemeClr w14:val="tx1"/>
            </w14:solidFill>
          </w14:textFill>
        </w:rPr>
        <w:t>授权委托书</w:t>
      </w:r>
      <w:r>
        <w:rPr>
          <w:rFonts w:hint="eastAsia" w:ascii="宋体" w:hAnsi="宋体"/>
          <w:color w:val="000000" w:themeColor="text1"/>
          <w:kern w:val="0"/>
          <w:sz w:val="32"/>
          <w:szCs w:val="32"/>
          <w14:textFill>
            <w14:solidFill>
              <w14:schemeClr w14:val="tx1"/>
            </w14:solidFill>
          </w14:textFill>
        </w:rPr>
        <w:t>》不符的授权代表，将视为身份无效。</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4.一家供应商须多个账号登陆会议室应做好会议保密工作，采购人联系人仅将会议号发给供应商本项目的</w:t>
      </w:r>
      <w:r>
        <w:rPr>
          <w:rFonts w:hint="eastAsia" w:ascii="宋体" w:hAnsi="宋体"/>
          <w:color w:val="000000" w:themeColor="text1"/>
          <w:kern w:val="0"/>
          <w:sz w:val="32"/>
          <w:szCs w:val="32"/>
          <w14:textFill>
            <w14:solidFill>
              <w14:schemeClr w14:val="tx1"/>
            </w14:solidFill>
          </w14:textFill>
        </w:rPr>
        <w:t>授权代表，供应商其他人员的参与由供应商自行组织和沟通。</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5.</w:t>
      </w:r>
      <w:r>
        <w:rPr>
          <w:rFonts w:hint="eastAsia" w:ascii="宋体" w:hAnsi="宋体"/>
          <w:color w:val="000000" w:themeColor="text1"/>
          <w:kern w:val="0"/>
          <w:sz w:val="32"/>
          <w:szCs w:val="32"/>
          <w14:textFill>
            <w14:solidFill>
              <w14:schemeClr w14:val="tx1"/>
            </w14:solidFill>
          </w14:textFill>
        </w:rPr>
        <w:t>供应商须根据本项目采购人提供的会议邀请在规定时间内进入视频会议室（登陆昵称为：单位名称</w:t>
      </w:r>
      <w:r>
        <w:rPr>
          <w:rFonts w:ascii="宋体" w:hAnsi="宋体"/>
          <w:color w:val="000000" w:themeColor="text1"/>
          <w:kern w:val="0"/>
          <w:sz w:val="32"/>
          <w:szCs w:val="32"/>
          <w14:textFill>
            <w14:solidFill>
              <w14:schemeClr w14:val="tx1"/>
            </w14:solidFill>
          </w14:textFill>
        </w:rPr>
        <w:t>+授权</w:t>
      </w:r>
      <w:r>
        <w:rPr>
          <w:rFonts w:hint="eastAsia" w:ascii="宋体" w:hAnsi="宋体"/>
          <w:color w:val="000000" w:themeColor="text1"/>
          <w:kern w:val="0"/>
          <w:sz w:val="32"/>
          <w:szCs w:val="32"/>
          <w14:textFill>
            <w14:solidFill>
              <w14:schemeClr w14:val="tx1"/>
            </w14:solidFill>
          </w14:textFill>
        </w:rPr>
        <w:t>代表姓名），现场抽取谈判顺序。供应商按抽取的顺序参与谈判，完成谈判的供应商自行离开会议室，其他供应商在视频软件的等候室等待。供应商须按采购文件要求委派须参与的人员进入视频会议室。</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ascii="宋体" w:hAnsi="宋体"/>
          <w:color w:val="000000" w:themeColor="text1"/>
          <w:kern w:val="0"/>
          <w:sz w:val="32"/>
          <w:szCs w:val="32"/>
          <w14:textFill>
            <w14:solidFill>
              <w14:schemeClr w14:val="tx1"/>
            </w14:solidFill>
          </w14:textFill>
        </w:rPr>
        <w:t>6.谈判</w:t>
      </w:r>
      <w:r>
        <w:rPr>
          <w:rFonts w:hint="eastAsia" w:ascii="宋体" w:hAnsi="宋体"/>
          <w:color w:val="000000" w:themeColor="text1"/>
          <w:kern w:val="0"/>
          <w:sz w:val="32"/>
          <w:szCs w:val="32"/>
          <w14:textFill>
            <w14:solidFill>
              <w14:schemeClr w14:val="tx1"/>
            </w14:solidFill>
          </w14:textFill>
        </w:rPr>
        <w:t>结束后，供应商按谈判时本项目评审委员会的要求提交最终报价和承诺（见附件），并在规定时间内将最终由授权代表签字的扫描件提交至采购人联系信箱，授权代表不在最终报价和承诺书上签字视为无效承诺。</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回执：我单位阅读后完全理解，且无异议。</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供应商名称（盖章）：</w:t>
      </w: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p>
    <w:p>
      <w:pPr>
        <w:adjustRightInd w:val="0"/>
        <w:snapToGrid w:val="0"/>
        <w:spacing w:line="400" w:lineRule="exact"/>
        <w:ind w:firstLine="640" w:firstLineChars="200"/>
        <w:rPr>
          <w:rFonts w:ascii="宋体" w:hAnsi="宋体"/>
          <w:color w:val="000000" w:themeColor="text1"/>
          <w:kern w:val="0"/>
          <w:sz w:val="32"/>
          <w:szCs w:val="32"/>
          <w14:textFill>
            <w14:solidFill>
              <w14:schemeClr w14:val="tx1"/>
            </w14:solidFill>
          </w14:textFill>
        </w:rPr>
      </w:pPr>
      <w:r>
        <w:rPr>
          <w:rFonts w:hint="eastAsia" w:ascii="宋体" w:hAnsi="宋体"/>
          <w:color w:val="000000" w:themeColor="text1"/>
          <w:kern w:val="0"/>
          <w:sz w:val="32"/>
          <w:szCs w:val="32"/>
          <w14:textFill>
            <w14:solidFill>
              <w14:schemeClr w14:val="tx1"/>
            </w14:solidFill>
          </w14:textFill>
        </w:rPr>
        <w:t>授权代表签字：</w:t>
      </w:r>
    </w:p>
    <w:p>
      <w:pPr>
        <w:spacing w:line="360" w:lineRule="auto"/>
        <w:rPr>
          <w:color w:val="000000" w:themeColor="text1"/>
          <w:szCs w:val="20"/>
          <w:u w:val="single"/>
          <w14:textFill>
            <w14:solidFill>
              <w14:schemeClr w14:val="tx1"/>
            </w14:solidFill>
          </w14:textFill>
        </w:rPr>
      </w:pPr>
    </w:p>
    <w:p>
      <w:pPr>
        <w:widowControl/>
        <w:jc w:val="left"/>
        <w:rPr>
          <w:rFonts w:ascii="宋体" w:hAnsi="宋体"/>
          <w:color w:val="000000" w:themeColor="text1"/>
          <w:kern w:val="0"/>
          <w:sz w:val="44"/>
          <w:szCs w:val="44"/>
          <w14:textFill>
            <w14:solidFill>
              <w14:schemeClr w14:val="tx1"/>
            </w14:solidFill>
          </w14:textFill>
        </w:rPr>
      </w:pPr>
      <w:r>
        <w:rPr>
          <w:rFonts w:ascii="宋体" w:hAnsi="宋体"/>
          <w:color w:val="000000" w:themeColor="text1"/>
          <w:sz w:val="44"/>
          <w:szCs w:val="44"/>
          <w14:textFill>
            <w14:solidFill>
              <w14:schemeClr w14:val="tx1"/>
            </w14:solidFill>
          </w14:textFill>
        </w:rPr>
        <w:br w:type="page"/>
      </w:r>
    </w:p>
    <w:p>
      <w:pPr>
        <w:pStyle w:val="26"/>
        <w:snapToGrid w:val="0"/>
        <w:spacing w:after="62" w:line="520" w:lineRule="exact"/>
        <w:ind w:firstLine="206" w:firstLineChars="47"/>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承诺函（含最终报价）</w:t>
      </w:r>
    </w:p>
    <w:p>
      <w:pPr>
        <w:pStyle w:val="26"/>
        <w:snapToGrid w:val="0"/>
        <w:spacing w:after="62" w:line="520" w:lineRule="exact"/>
        <w:ind w:firstLine="1100" w:firstLineChars="250"/>
        <w:jc w:val="center"/>
        <w:rPr>
          <w:rFonts w:ascii="宋体" w:hAnsi="宋体"/>
          <w:color w:val="000000" w:themeColor="text1"/>
          <w:sz w:val="44"/>
          <w:szCs w:val="44"/>
          <w14:textFill>
            <w14:solidFill>
              <w14:schemeClr w14:val="tx1"/>
            </w14:solidFill>
          </w14:textFill>
        </w:rPr>
      </w:pPr>
    </w:p>
    <w:p>
      <w:pPr>
        <w:pStyle w:val="26"/>
        <w:snapToGrid w:val="0"/>
        <w:spacing w:after="62" w:line="520" w:lineRule="exact"/>
        <w:ind w:firstLine="150" w:firstLineChars="47"/>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江苏省广电有线信息网络股份有限公司：</w:t>
      </w:r>
    </w:p>
    <w:p>
      <w:pPr>
        <w:pStyle w:val="26"/>
        <w:snapToGrid w:val="0"/>
        <w:spacing w:after="62" w:line="520" w:lineRule="exact"/>
        <w:ind w:left="6" w:leftChars="3" w:firstLine="800" w:firstLineChars="25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我单位于</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年</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月</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日参与贵司</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（项目名称）的采购工作，根据双方谈判，我司愿作如下承诺：</w:t>
      </w:r>
    </w:p>
    <w:p>
      <w:pPr>
        <w:pStyle w:val="26"/>
        <w:snapToGrid w:val="0"/>
        <w:spacing w:after="62" w:line="520" w:lineRule="exact"/>
        <w:ind w:left="6" w:leftChars="3" w:firstLine="800" w:firstLineChars="250"/>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1.本项目最终报价为人民币</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元（大写：</w:t>
      </w:r>
      <w:r>
        <w:rPr>
          <w:rFonts w:hint="eastAsia" w:ascii="宋体" w:hAnsi="宋体"/>
          <w:color w:val="000000" w:themeColor="text1"/>
          <w:sz w:val="32"/>
          <w:szCs w:val="32"/>
          <w:u w:val="single"/>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w:t>
      </w: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2．</w:t>
      </w: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w:t>
      </w:r>
      <w:r>
        <w:rPr>
          <w:rFonts w:ascii="宋体" w:hAnsi="宋体"/>
          <w:color w:val="000000" w:themeColor="text1"/>
          <w:sz w:val="32"/>
          <w:szCs w:val="32"/>
          <w14:textFill>
            <w14:solidFill>
              <w14:schemeClr w14:val="tx1"/>
            </w14:solidFill>
          </w14:textFill>
        </w:rPr>
        <w:t>……</w:t>
      </w: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p>
    <w:p>
      <w:pPr>
        <w:pStyle w:val="26"/>
        <w:snapToGrid w:val="0"/>
        <w:spacing w:after="62" w:line="520" w:lineRule="exact"/>
        <w:ind w:firstLine="320"/>
        <w:rPr>
          <w:rFonts w:ascii="宋体" w:hAnsi="宋体"/>
          <w:color w:val="000000" w:themeColor="text1"/>
          <w:sz w:val="32"/>
          <w:szCs w:val="32"/>
          <w14:textFill>
            <w14:solidFill>
              <w14:schemeClr w14:val="tx1"/>
            </w14:solidFill>
          </w14:textFill>
        </w:rPr>
      </w:pPr>
    </w:p>
    <w:p>
      <w:pPr>
        <w:pStyle w:val="26"/>
        <w:snapToGrid w:val="0"/>
        <w:spacing w:after="62" w:line="520" w:lineRule="exact"/>
        <w:ind w:firstLine="320"/>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供应商名称：</w:t>
      </w:r>
      <w:r>
        <w:rPr>
          <w:rFonts w:hint="eastAsia" w:ascii="宋体" w:hAnsi="宋体"/>
          <w:color w:val="000000" w:themeColor="text1"/>
          <w:sz w:val="32"/>
          <w:szCs w:val="32"/>
          <w:u w:val="single"/>
          <w14:textFill>
            <w14:solidFill>
              <w14:schemeClr w14:val="tx1"/>
            </w14:solidFill>
          </w14:textFill>
        </w:rPr>
        <w:t xml:space="preserve">             </w:t>
      </w:r>
    </w:p>
    <w:p>
      <w:pPr>
        <w:pStyle w:val="26"/>
        <w:snapToGrid w:val="0"/>
        <w:spacing w:after="62" w:line="520" w:lineRule="exact"/>
        <w:ind w:firstLine="320"/>
        <w:rPr>
          <w:rFonts w:ascii="宋体" w:hAns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授权代表签字：</w:t>
      </w:r>
      <w:r>
        <w:rPr>
          <w:rFonts w:hint="eastAsia" w:ascii="宋体" w:hAnsi="宋体"/>
          <w:color w:val="000000" w:themeColor="text1"/>
          <w:sz w:val="32"/>
          <w:szCs w:val="32"/>
          <w:u w:val="single"/>
          <w14:textFill>
            <w14:solidFill>
              <w14:schemeClr w14:val="tx1"/>
            </w14:solidFill>
          </w14:textFill>
        </w:rPr>
        <w:t xml:space="preserve">           </w:t>
      </w:r>
    </w:p>
    <w:p>
      <w:pPr>
        <w:ind w:firstLine="281" w:firstLineChars="88"/>
        <w:rPr>
          <w:color w:val="000000" w:themeColor="text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日期：</w:t>
      </w:r>
      <w:r>
        <w:rPr>
          <w:rFonts w:hint="eastAsia" w:ascii="宋体" w:hAnsi="宋体"/>
          <w:color w:val="000000" w:themeColor="text1"/>
          <w:sz w:val="32"/>
          <w:szCs w:val="32"/>
          <w:u w:val="single"/>
          <w14:textFill>
            <w14:solidFill>
              <w14:schemeClr w14:val="tx1"/>
            </w14:solidFill>
          </w14:textFill>
        </w:rPr>
        <w:t xml:space="preserve">                   </w:t>
      </w:r>
    </w:p>
    <w:p>
      <w:pPr>
        <w:rPr>
          <w:color w:val="000000" w:themeColor="text1"/>
          <w14:textFill>
            <w14:solidFill>
              <w14:schemeClr w14:val="tx1"/>
            </w14:solidFill>
          </w14:textFill>
        </w:rPr>
      </w:pPr>
    </w:p>
    <w:bookmarkEnd w:id="115"/>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11</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A59FC"/>
    <w:multiLevelType w:val="singleLevel"/>
    <w:tmpl w:val="F91A59FC"/>
    <w:lvl w:ilvl="0" w:tentative="0">
      <w:start w:val="1"/>
      <w:numFmt w:val="decimal"/>
      <w:lvlText w:val="%1."/>
      <w:lvlJc w:val="left"/>
      <w:pPr>
        <w:ind w:left="425" w:hanging="425"/>
      </w:pPr>
      <w:rPr>
        <w:rFonts w:hint="default"/>
      </w:rPr>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6">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8">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9">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0">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4">
    <w:nsid w:val="1AA441C4"/>
    <w:multiLevelType w:val="multilevel"/>
    <w:tmpl w:val="1AA441C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6">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8">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478D2F90"/>
    <w:multiLevelType w:val="multilevel"/>
    <w:tmpl w:val="478D2F90"/>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0"/>
  </w:num>
  <w:num w:numId="2">
    <w:abstractNumId w:val="17"/>
  </w:num>
  <w:num w:numId="3">
    <w:abstractNumId w:val="5"/>
  </w:num>
  <w:num w:numId="4">
    <w:abstractNumId w:val="2"/>
  </w:num>
  <w:num w:numId="5">
    <w:abstractNumId w:val="16"/>
  </w:num>
  <w:num w:numId="6">
    <w:abstractNumId w:val="1"/>
  </w:num>
  <w:num w:numId="7">
    <w:abstractNumId w:val="4"/>
  </w:num>
  <w:num w:numId="8">
    <w:abstractNumId w:val="0"/>
  </w:num>
  <w:num w:numId="9">
    <w:abstractNumId w:val="3"/>
  </w:num>
  <w:num w:numId="10">
    <w:abstractNumId w:val="18"/>
  </w:num>
  <w:num w:numId="11">
    <w:abstractNumId w:val="6"/>
  </w:num>
  <w:num w:numId="12">
    <w:abstractNumId w:val="10"/>
  </w:num>
  <w:num w:numId="13">
    <w:abstractNumId w:val="8"/>
  </w:num>
  <w:num w:numId="14">
    <w:abstractNumId w:val="9"/>
  </w:num>
  <w:num w:numId="15">
    <w:abstractNumId w:val="7"/>
  </w:num>
  <w:num w:numId="16">
    <w:abstractNumId w:val="11"/>
  </w:num>
  <w:num w:numId="17">
    <w:abstractNumId w:val="12"/>
  </w:num>
  <w:num w:numId="18">
    <w:abstractNumId w:val="19"/>
  </w:num>
  <w:num w:numId="19">
    <w:abstractNumId w:val="14"/>
  </w:num>
  <w:num w:numId="20">
    <w:abstractNumId w:val="13"/>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4EE"/>
    <w:rsid w:val="0000165B"/>
    <w:rsid w:val="00002668"/>
    <w:rsid w:val="00002BF8"/>
    <w:rsid w:val="00003F25"/>
    <w:rsid w:val="000047B6"/>
    <w:rsid w:val="000055AC"/>
    <w:rsid w:val="00005647"/>
    <w:rsid w:val="00006DBC"/>
    <w:rsid w:val="00011CD2"/>
    <w:rsid w:val="00011D7E"/>
    <w:rsid w:val="00011F58"/>
    <w:rsid w:val="00013E96"/>
    <w:rsid w:val="00014171"/>
    <w:rsid w:val="000149D5"/>
    <w:rsid w:val="0001524B"/>
    <w:rsid w:val="0001551E"/>
    <w:rsid w:val="000164B0"/>
    <w:rsid w:val="00016CEA"/>
    <w:rsid w:val="00017171"/>
    <w:rsid w:val="0001725C"/>
    <w:rsid w:val="00017A4D"/>
    <w:rsid w:val="00020A4E"/>
    <w:rsid w:val="00020E6D"/>
    <w:rsid w:val="000224F7"/>
    <w:rsid w:val="000227C5"/>
    <w:rsid w:val="00022A8A"/>
    <w:rsid w:val="0002397D"/>
    <w:rsid w:val="00023E93"/>
    <w:rsid w:val="00023EF5"/>
    <w:rsid w:val="00024AA6"/>
    <w:rsid w:val="00024C77"/>
    <w:rsid w:val="00027F69"/>
    <w:rsid w:val="000302AC"/>
    <w:rsid w:val="00030A9D"/>
    <w:rsid w:val="00031B2F"/>
    <w:rsid w:val="00031DEF"/>
    <w:rsid w:val="00033023"/>
    <w:rsid w:val="00033EFE"/>
    <w:rsid w:val="00034705"/>
    <w:rsid w:val="0003496A"/>
    <w:rsid w:val="000349C3"/>
    <w:rsid w:val="00034A50"/>
    <w:rsid w:val="00035296"/>
    <w:rsid w:val="000352DD"/>
    <w:rsid w:val="000365EA"/>
    <w:rsid w:val="00037097"/>
    <w:rsid w:val="00037954"/>
    <w:rsid w:val="00040F17"/>
    <w:rsid w:val="00041130"/>
    <w:rsid w:val="00042584"/>
    <w:rsid w:val="00045A14"/>
    <w:rsid w:val="0005189A"/>
    <w:rsid w:val="0005254B"/>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47B6"/>
    <w:rsid w:val="00075A31"/>
    <w:rsid w:val="000760C6"/>
    <w:rsid w:val="0007666E"/>
    <w:rsid w:val="00076700"/>
    <w:rsid w:val="00080318"/>
    <w:rsid w:val="00080C1A"/>
    <w:rsid w:val="00082069"/>
    <w:rsid w:val="00082160"/>
    <w:rsid w:val="00082D5D"/>
    <w:rsid w:val="00083045"/>
    <w:rsid w:val="00084944"/>
    <w:rsid w:val="00084999"/>
    <w:rsid w:val="00084E3F"/>
    <w:rsid w:val="00085413"/>
    <w:rsid w:val="00087E73"/>
    <w:rsid w:val="00090871"/>
    <w:rsid w:val="00091477"/>
    <w:rsid w:val="00092B44"/>
    <w:rsid w:val="00092C2E"/>
    <w:rsid w:val="0009447A"/>
    <w:rsid w:val="00095F5F"/>
    <w:rsid w:val="00096080"/>
    <w:rsid w:val="00096339"/>
    <w:rsid w:val="000A28DA"/>
    <w:rsid w:val="000A34CB"/>
    <w:rsid w:val="000A3669"/>
    <w:rsid w:val="000A5155"/>
    <w:rsid w:val="000A688C"/>
    <w:rsid w:val="000A7250"/>
    <w:rsid w:val="000A7D58"/>
    <w:rsid w:val="000B02BC"/>
    <w:rsid w:val="000B11A0"/>
    <w:rsid w:val="000B24C0"/>
    <w:rsid w:val="000B369A"/>
    <w:rsid w:val="000B4FAD"/>
    <w:rsid w:val="000B55EC"/>
    <w:rsid w:val="000B5724"/>
    <w:rsid w:val="000B6D7B"/>
    <w:rsid w:val="000B7C9C"/>
    <w:rsid w:val="000C17AA"/>
    <w:rsid w:val="000C22C4"/>
    <w:rsid w:val="000C29FA"/>
    <w:rsid w:val="000C3B31"/>
    <w:rsid w:val="000C3D44"/>
    <w:rsid w:val="000C489F"/>
    <w:rsid w:val="000C5934"/>
    <w:rsid w:val="000C6EF4"/>
    <w:rsid w:val="000C70D2"/>
    <w:rsid w:val="000D02BB"/>
    <w:rsid w:val="000D32AB"/>
    <w:rsid w:val="000D3662"/>
    <w:rsid w:val="000D4FFC"/>
    <w:rsid w:val="000D54F8"/>
    <w:rsid w:val="000D66A3"/>
    <w:rsid w:val="000D6E29"/>
    <w:rsid w:val="000D6FBE"/>
    <w:rsid w:val="000E25FE"/>
    <w:rsid w:val="000E340C"/>
    <w:rsid w:val="000E41E7"/>
    <w:rsid w:val="000E5C95"/>
    <w:rsid w:val="000E6053"/>
    <w:rsid w:val="000E6277"/>
    <w:rsid w:val="000E7497"/>
    <w:rsid w:val="000F11ED"/>
    <w:rsid w:val="000F1443"/>
    <w:rsid w:val="000F2D35"/>
    <w:rsid w:val="000F38BD"/>
    <w:rsid w:val="000F5FE5"/>
    <w:rsid w:val="000F6FE1"/>
    <w:rsid w:val="00100B22"/>
    <w:rsid w:val="001014D5"/>
    <w:rsid w:val="001050C5"/>
    <w:rsid w:val="00105AA5"/>
    <w:rsid w:val="00105B57"/>
    <w:rsid w:val="001060EC"/>
    <w:rsid w:val="00106A2A"/>
    <w:rsid w:val="001077D6"/>
    <w:rsid w:val="001105C8"/>
    <w:rsid w:val="001110C4"/>
    <w:rsid w:val="00112156"/>
    <w:rsid w:val="0011219E"/>
    <w:rsid w:val="00112D23"/>
    <w:rsid w:val="00113255"/>
    <w:rsid w:val="00113435"/>
    <w:rsid w:val="00113584"/>
    <w:rsid w:val="001135CE"/>
    <w:rsid w:val="0011471E"/>
    <w:rsid w:val="00117CA9"/>
    <w:rsid w:val="001208F3"/>
    <w:rsid w:val="00121C1A"/>
    <w:rsid w:val="001226DC"/>
    <w:rsid w:val="00123B7D"/>
    <w:rsid w:val="00123F16"/>
    <w:rsid w:val="00124678"/>
    <w:rsid w:val="0012786A"/>
    <w:rsid w:val="0013034C"/>
    <w:rsid w:val="0013062F"/>
    <w:rsid w:val="00130F8C"/>
    <w:rsid w:val="00131658"/>
    <w:rsid w:val="00133D00"/>
    <w:rsid w:val="00133D94"/>
    <w:rsid w:val="0013411C"/>
    <w:rsid w:val="001345BD"/>
    <w:rsid w:val="00136B87"/>
    <w:rsid w:val="00136D1E"/>
    <w:rsid w:val="0013763D"/>
    <w:rsid w:val="001404C4"/>
    <w:rsid w:val="00141588"/>
    <w:rsid w:val="00141805"/>
    <w:rsid w:val="001424F4"/>
    <w:rsid w:val="00143574"/>
    <w:rsid w:val="001437EE"/>
    <w:rsid w:val="001453C5"/>
    <w:rsid w:val="00147621"/>
    <w:rsid w:val="00147FB5"/>
    <w:rsid w:val="00150257"/>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66F"/>
    <w:rsid w:val="001708C4"/>
    <w:rsid w:val="00171FDA"/>
    <w:rsid w:val="00172446"/>
    <w:rsid w:val="00172CCB"/>
    <w:rsid w:val="001730DF"/>
    <w:rsid w:val="001738F1"/>
    <w:rsid w:val="001759B2"/>
    <w:rsid w:val="00175A52"/>
    <w:rsid w:val="00176D2C"/>
    <w:rsid w:val="00177676"/>
    <w:rsid w:val="00177E3C"/>
    <w:rsid w:val="00181462"/>
    <w:rsid w:val="0018189F"/>
    <w:rsid w:val="00182E92"/>
    <w:rsid w:val="00183AD6"/>
    <w:rsid w:val="0018438A"/>
    <w:rsid w:val="001904CE"/>
    <w:rsid w:val="00190E9A"/>
    <w:rsid w:val="00191298"/>
    <w:rsid w:val="001920C1"/>
    <w:rsid w:val="00193181"/>
    <w:rsid w:val="00193956"/>
    <w:rsid w:val="00193B89"/>
    <w:rsid w:val="00193D2E"/>
    <w:rsid w:val="0019533E"/>
    <w:rsid w:val="001959D9"/>
    <w:rsid w:val="00195AC0"/>
    <w:rsid w:val="00195E9D"/>
    <w:rsid w:val="001962C0"/>
    <w:rsid w:val="00196E74"/>
    <w:rsid w:val="00197CFB"/>
    <w:rsid w:val="001A116E"/>
    <w:rsid w:val="001A1846"/>
    <w:rsid w:val="001A1988"/>
    <w:rsid w:val="001A30A8"/>
    <w:rsid w:val="001A3E12"/>
    <w:rsid w:val="001A5077"/>
    <w:rsid w:val="001A55B3"/>
    <w:rsid w:val="001A59E4"/>
    <w:rsid w:val="001A5F66"/>
    <w:rsid w:val="001A60DB"/>
    <w:rsid w:val="001A63EA"/>
    <w:rsid w:val="001A74D8"/>
    <w:rsid w:val="001A780A"/>
    <w:rsid w:val="001B02A0"/>
    <w:rsid w:val="001B1B38"/>
    <w:rsid w:val="001B1B6F"/>
    <w:rsid w:val="001B31A4"/>
    <w:rsid w:val="001B33FB"/>
    <w:rsid w:val="001B3738"/>
    <w:rsid w:val="001B3C75"/>
    <w:rsid w:val="001B5A08"/>
    <w:rsid w:val="001B5F1D"/>
    <w:rsid w:val="001B67F9"/>
    <w:rsid w:val="001B761F"/>
    <w:rsid w:val="001C00DC"/>
    <w:rsid w:val="001C100F"/>
    <w:rsid w:val="001C32A3"/>
    <w:rsid w:val="001C3919"/>
    <w:rsid w:val="001C5180"/>
    <w:rsid w:val="001C6E87"/>
    <w:rsid w:val="001C71DD"/>
    <w:rsid w:val="001C7286"/>
    <w:rsid w:val="001C7799"/>
    <w:rsid w:val="001D1377"/>
    <w:rsid w:val="001D23D9"/>
    <w:rsid w:val="001D2705"/>
    <w:rsid w:val="001D34DC"/>
    <w:rsid w:val="001D375F"/>
    <w:rsid w:val="001D384F"/>
    <w:rsid w:val="001D3A1B"/>
    <w:rsid w:val="001D6C53"/>
    <w:rsid w:val="001D73F4"/>
    <w:rsid w:val="001D7C08"/>
    <w:rsid w:val="001E16C1"/>
    <w:rsid w:val="001E1F3D"/>
    <w:rsid w:val="001E36B5"/>
    <w:rsid w:val="001E371B"/>
    <w:rsid w:val="001E50C3"/>
    <w:rsid w:val="001E56B6"/>
    <w:rsid w:val="001E653F"/>
    <w:rsid w:val="001F19AA"/>
    <w:rsid w:val="001F1C2F"/>
    <w:rsid w:val="001F27C2"/>
    <w:rsid w:val="001F2993"/>
    <w:rsid w:val="001F36D2"/>
    <w:rsid w:val="001F3B74"/>
    <w:rsid w:val="001F3D3C"/>
    <w:rsid w:val="001F48E2"/>
    <w:rsid w:val="001F4E78"/>
    <w:rsid w:val="001F504F"/>
    <w:rsid w:val="001F7409"/>
    <w:rsid w:val="001F7C0B"/>
    <w:rsid w:val="00200232"/>
    <w:rsid w:val="00200BEA"/>
    <w:rsid w:val="00200E77"/>
    <w:rsid w:val="00202062"/>
    <w:rsid w:val="00204763"/>
    <w:rsid w:val="0020501D"/>
    <w:rsid w:val="00205A77"/>
    <w:rsid w:val="00205B12"/>
    <w:rsid w:val="00206250"/>
    <w:rsid w:val="00206404"/>
    <w:rsid w:val="002065EB"/>
    <w:rsid w:val="00207266"/>
    <w:rsid w:val="00207358"/>
    <w:rsid w:val="00210532"/>
    <w:rsid w:val="00211523"/>
    <w:rsid w:val="00212106"/>
    <w:rsid w:val="002133FD"/>
    <w:rsid w:val="00213B1C"/>
    <w:rsid w:val="0021459D"/>
    <w:rsid w:val="00214AD6"/>
    <w:rsid w:val="00215E61"/>
    <w:rsid w:val="00216167"/>
    <w:rsid w:val="002166B5"/>
    <w:rsid w:val="00216EC6"/>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5A10"/>
    <w:rsid w:val="00236180"/>
    <w:rsid w:val="00237DAF"/>
    <w:rsid w:val="00240411"/>
    <w:rsid w:val="00240D7C"/>
    <w:rsid w:val="00240F58"/>
    <w:rsid w:val="00242D72"/>
    <w:rsid w:val="0024300F"/>
    <w:rsid w:val="002430DE"/>
    <w:rsid w:val="00243362"/>
    <w:rsid w:val="002438C1"/>
    <w:rsid w:val="00243C9E"/>
    <w:rsid w:val="0024425A"/>
    <w:rsid w:val="00244412"/>
    <w:rsid w:val="00244D52"/>
    <w:rsid w:val="0024521A"/>
    <w:rsid w:val="00246429"/>
    <w:rsid w:val="00247321"/>
    <w:rsid w:val="00247884"/>
    <w:rsid w:val="00247E4F"/>
    <w:rsid w:val="002500E7"/>
    <w:rsid w:val="002506EA"/>
    <w:rsid w:val="00251229"/>
    <w:rsid w:val="002517FA"/>
    <w:rsid w:val="002556C1"/>
    <w:rsid w:val="00255DC9"/>
    <w:rsid w:val="00256494"/>
    <w:rsid w:val="00261764"/>
    <w:rsid w:val="00261976"/>
    <w:rsid w:val="00262084"/>
    <w:rsid w:val="00263946"/>
    <w:rsid w:val="00263ECA"/>
    <w:rsid w:val="00265008"/>
    <w:rsid w:val="00266973"/>
    <w:rsid w:val="00267B75"/>
    <w:rsid w:val="00270E79"/>
    <w:rsid w:val="00273181"/>
    <w:rsid w:val="0027351F"/>
    <w:rsid w:val="002735D8"/>
    <w:rsid w:val="00273970"/>
    <w:rsid w:val="0027507D"/>
    <w:rsid w:val="00275488"/>
    <w:rsid w:val="00275636"/>
    <w:rsid w:val="00275B50"/>
    <w:rsid w:val="00276170"/>
    <w:rsid w:val="00276723"/>
    <w:rsid w:val="002769E4"/>
    <w:rsid w:val="00276C27"/>
    <w:rsid w:val="00277361"/>
    <w:rsid w:val="00277F18"/>
    <w:rsid w:val="00280046"/>
    <w:rsid w:val="002808C2"/>
    <w:rsid w:val="002816DE"/>
    <w:rsid w:val="00281895"/>
    <w:rsid w:val="002821B7"/>
    <w:rsid w:val="002822C9"/>
    <w:rsid w:val="00282C00"/>
    <w:rsid w:val="00282C35"/>
    <w:rsid w:val="002848E8"/>
    <w:rsid w:val="00285002"/>
    <w:rsid w:val="00285A3B"/>
    <w:rsid w:val="0028791B"/>
    <w:rsid w:val="002912E5"/>
    <w:rsid w:val="00293EF5"/>
    <w:rsid w:val="00296FB0"/>
    <w:rsid w:val="002977C3"/>
    <w:rsid w:val="002A09B2"/>
    <w:rsid w:val="002A18B6"/>
    <w:rsid w:val="002A20BE"/>
    <w:rsid w:val="002A31A6"/>
    <w:rsid w:val="002A57B4"/>
    <w:rsid w:val="002A639E"/>
    <w:rsid w:val="002A63D6"/>
    <w:rsid w:val="002A77CF"/>
    <w:rsid w:val="002B07CB"/>
    <w:rsid w:val="002B271D"/>
    <w:rsid w:val="002B274E"/>
    <w:rsid w:val="002C0317"/>
    <w:rsid w:val="002C0BF6"/>
    <w:rsid w:val="002C1A9F"/>
    <w:rsid w:val="002C1F7C"/>
    <w:rsid w:val="002C4666"/>
    <w:rsid w:val="002C4C86"/>
    <w:rsid w:val="002C4DE8"/>
    <w:rsid w:val="002C5934"/>
    <w:rsid w:val="002C607F"/>
    <w:rsid w:val="002C6F2C"/>
    <w:rsid w:val="002C7F8D"/>
    <w:rsid w:val="002D0673"/>
    <w:rsid w:val="002D0A8D"/>
    <w:rsid w:val="002D157B"/>
    <w:rsid w:val="002D24AE"/>
    <w:rsid w:val="002D3B91"/>
    <w:rsid w:val="002D3C6B"/>
    <w:rsid w:val="002D3F7C"/>
    <w:rsid w:val="002D5AC3"/>
    <w:rsid w:val="002D706B"/>
    <w:rsid w:val="002E0999"/>
    <w:rsid w:val="002E4AAE"/>
    <w:rsid w:val="002E5A36"/>
    <w:rsid w:val="002E7F6B"/>
    <w:rsid w:val="002F140F"/>
    <w:rsid w:val="002F3ECC"/>
    <w:rsid w:val="002F3F1B"/>
    <w:rsid w:val="002F4C62"/>
    <w:rsid w:val="002F54D3"/>
    <w:rsid w:val="002F5548"/>
    <w:rsid w:val="002F5C10"/>
    <w:rsid w:val="002F6350"/>
    <w:rsid w:val="002F65C2"/>
    <w:rsid w:val="00300124"/>
    <w:rsid w:val="00300CA0"/>
    <w:rsid w:val="003018A3"/>
    <w:rsid w:val="003020BC"/>
    <w:rsid w:val="00302EBB"/>
    <w:rsid w:val="0030308E"/>
    <w:rsid w:val="003035C2"/>
    <w:rsid w:val="003044CF"/>
    <w:rsid w:val="00304BAC"/>
    <w:rsid w:val="00304D7F"/>
    <w:rsid w:val="0030539C"/>
    <w:rsid w:val="003066EF"/>
    <w:rsid w:val="003109D7"/>
    <w:rsid w:val="00311B3A"/>
    <w:rsid w:val="00311FBD"/>
    <w:rsid w:val="0031392C"/>
    <w:rsid w:val="00315F23"/>
    <w:rsid w:val="003179F8"/>
    <w:rsid w:val="00317C08"/>
    <w:rsid w:val="00320481"/>
    <w:rsid w:val="0032052D"/>
    <w:rsid w:val="003225E3"/>
    <w:rsid w:val="00323914"/>
    <w:rsid w:val="00323DE4"/>
    <w:rsid w:val="00324A2F"/>
    <w:rsid w:val="00325CE2"/>
    <w:rsid w:val="003305F0"/>
    <w:rsid w:val="00331D34"/>
    <w:rsid w:val="003329A2"/>
    <w:rsid w:val="00332EBF"/>
    <w:rsid w:val="003336F4"/>
    <w:rsid w:val="003345D8"/>
    <w:rsid w:val="0033591B"/>
    <w:rsid w:val="00340248"/>
    <w:rsid w:val="003411C2"/>
    <w:rsid w:val="0034176C"/>
    <w:rsid w:val="00342CA6"/>
    <w:rsid w:val="00343793"/>
    <w:rsid w:val="0034452F"/>
    <w:rsid w:val="00345331"/>
    <w:rsid w:val="0034674C"/>
    <w:rsid w:val="0034677A"/>
    <w:rsid w:val="00350958"/>
    <w:rsid w:val="00352C45"/>
    <w:rsid w:val="00352D6D"/>
    <w:rsid w:val="00352DC2"/>
    <w:rsid w:val="00353315"/>
    <w:rsid w:val="00354782"/>
    <w:rsid w:val="00355E15"/>
    <w:rsid w:val="0035600E"/>
    <w:rsid w:val="00356B6A"/>
    <w:rsid w:val="003574EF"/>
    <w:rsid w:val="00361CD2"/>
    <w:rsid w:val="00362F1F"/>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6EA"/>
    <w:rsid w:val="00387B1E"/>
    <w:rsid w:val="00387BE1"/>
    <w:rsid w:val="003949FF"/>
    <w:rsid w:val="00395628"/>
    <w:rsid w:val="003966A4"/>
    <w:rsid w:val="003A0269"/>
    <w:rsid w:val="003A22F2"/>
    <w:rsid w:val="003A3399"/>
    <w:rsid w:val="003A4129"/>
    <w:rsid w:val="003A5B77"/>
    <w:rsid w:val="003A61A5"/>
    <w:rsid w:val="003A635B"/>
    <w:rsid w:val="003A7B17"/>
    <w:rsid w:val="003B0978"/>
    <w:rsid w:val="003B0E45"/>
    <w:rsid w:val="003B112C"/>
    <w:rsid w:val="003B2C64"/>
    <w:rsid w:val="003B3BED"/>
    <w:rsid w:val="003B3D55"/>
    <w:rsid w:val="003B4431"/>
    <w:rsid w:val="003B5210"/>
    <w:rsid w:val="003B5605"/>
    <w:rsid w:val="003B5EB6"/>
    <w:rsid w:val="003B6D44"/>
    <w:rsid w:val="003B7A81"/>
    <w:rsid w:val="003C04AD"/>
    <w:rsid w:val="003C16C9"/>
    <w:rsid w:val="003C1CA7"/>
    <w:rsid w:val="003C61E9"/>
    <w:rsid w:val="003C648D"/>
    <w:rsid w:val="003C7561"/>
    <w:rsid w:val="003C7928"/>
    <w:rsid w:val="003C7C54"/>
    <w:rsid w:val="003D063B"/>
    <w:rsid w:val="003D0945"/>
    <w:rsid w:val="003D1E0B"/>
    <w:rsid w:val="003D1EFA"/>
    <w:rsid w:val="003D276D"/>
    <w:rsid w:val="003D2EF6"/>
    <w:rsid w:val="003D3DA9"/>
    <w:rsid w:val="003D41C8"/>
    <w:rsid w:val="003D59E0"/>
    <w:rsid w:val="003D7647"/>
    <w:rsid w:val="003E10C1"/>
    <w:rsid w:val="003E183C"/>
    <w:rsid w:val="003E3225"/>
    <w:rsid w:val="003E5F22"/>
    <w:rsid w:val="003E794B"/>
    <w:rsid w:val="003E7A69"/>
    <w:rsid w:val="003F0CE0"/>
    <w:rsid w:val="003F0D93"/>
    <w:rsid w:val="003F216D"/>
    <w:rsid w:val="003F360C"/>
    <w:rsid w:val="003F60F1"/>
    <w:rsid w:val="00400138"/>
    <w:rsid w:val="00400873"/>
    <w:rsid w:val="004011D2"/>
    <w:rsid w:val="004036A1"/>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42C"/>
    <w:rsid w:val="00423970"/>
    <w:rsid w:val="00423DC5"/>
    <w:rsid w:val="00423DF9"/>
    <w:rsid w:val="00424449"/>
    <w:rsid w:val="00426010"/>
    <w:rsid w:val="00426B96"/>
    <w:rsid w:val="00427AF2"/>
    <w:rsid w:val="0043002B"/>
    <w:rsid w:val="00436153"/>
    <w:rsid w:val="004369D4"/>
    <w:rsid w:val="00436D27"/>
    <w:rsid w:val="004408DD"/>
    <w:rsid w:val="00440AA3"/>
    <w:rsid w:val="00441670"/>
    <w:rsid w:val="004416B7"/>
    <w:rsid w:val="00441BA6"/>
    <w:rsid w:val="00443564"/>
    <w:rsid w:val="004447F8"/>
    <w:rsid w:val="004454EF"/>
    <w:rsid w:val="00445BE7"/>
    <w:rsid w:val="004463F2"/>
    <w:rsid w:val="00446B22"/>
    <w:rsid w:val="004472C3"/>
    <w:rsid w:val="00447364"/>
    <w:rsid w:val="00453075"/>
    <w:rsid w:val="0045329F"/>
    <w:rsid w:val="004546EB"/>
    <w:rsid w:val="00455F78"/>
    <w:rsid w:val="004566C2"/>
    <w:rsid w:val="00457347"/>
    <w:rsid w:val="00457459"/>
    <w:rsid w:val="00460414"/>
    <w:rsid w:val="00460838"/>
    <w:rsid w:val="004611AD"/>
    <w:rsid w:val="00463598"/>
    <w:rsid w:val="0046498B"/>
    <w:rsid w:val="004663B1"/>
    <w:rsid w:val="00466DB6"/>
    <w:rsid w:val="00467E2B"/>
    <w:rsid w:val="00467FDA"/>
    <w:rsid w:val="00470024"/>
    <w:rsid w:val="00470730"/>
    <w:rsid w:val="00472B45"/>
    <w:rsid w:val="00473658"/>
    <w:rsid w:val="00477EF6"/>
    <w:rsid w:val="00477F2B"/>
    <w:rsid w:val="004809A0"/>
    <w:rsid w:val="00481250"/>
    <w:rsid w:val="004821CC"/>
    <w:rsid w:val="00482693"/>
    <w:rsid w:val="0048309E"/>
    <w:rsid w:val="00483653"/>
    <w:rsid w:val="00484086"/>
    <w:rsid w:val="00484153"/>
    <w:rsid w:val="004854F3"/>
    <w:rsid w:val="0048667A"/>
    <w:rsid w:val="004917CD"/>
    <w:rsid w:val="0049216E"/>
    <w:rsid w:val="00492A51"/>
    <w:rsid w:val="00493168"/>
    <w:rsid w:val="0049373E"/>
    <w:rsid w:val="00494435"/>
    <w:rsid w:val="00494AEA"/>
    <w:rsid w:val="00495459"/>
    <w:rsid w:val="0049606A"/>
    <w:rsid w:val="0049659C"/>
    <w:rsid w:val="004A0AAD"/>
    <w:rsid w:val="004A2717"/>
    <w:rsid w:val="004A2A88"/>
    <w:rsid w:val="004A2D74"/>
    <w:rsid w:val="004A2DF6"/>
    <w:rsid w:val="004A4E12"/>
    <w:rsid w:val="004A51B2"/>
    <w:rsid w:val="004A5E4E"/>
    <w:rsid w:val="004A6A4D"/>
    <w:rsid w:val="004B00FD"/>
    <w:rsid w:val="004B19C9"/>
    <w:rsid w:val="004B1AF0"/>
    <w:rsid w:val="004B3224"/>
    <w:rsid w:val="004B3B7A"/>
    <w:rsid w:val="004B3E69"/>
    <w:rsid w:val="004B4B2C"/>
    <w:rsid w:val="004B598A"/>
    <w:rsid w:val="004B5BF2"/>
    <w:rsid w:val="004C04FC"/>
    <w:rsid w:val="004C0A14"/>
    <w:rsid w:val="004C180A"/>
    <w:rsid w:val="004C2CA5"/>
    <w:rsid w:val="004C3243"/>
    <w:rsid w:val="004C48F0"/>
    <w:rsid w:val="004C5137"/>
    <w:rsid w:val="004C6542"/>
    <w:rsid w:val="004D0B16"/>
    <w:rsid w:val="004D0C03"/>
    <w:rsid w:val="004D0FD1"/>
    <w:rsid w:val="004D14FC"/>
    <w:rsid w:val="004D1F26"/>
    <w:rsid w:val="004D2528"/>
    <w:rsid w:val="004D28EA"/>
    <w:rsid w:val="004D39FE"/>
    <w:rsid w:val="004D3A64"/>
    <w:rsid w:val="004D46CB"/>
    <w:rsid w:val="004D4E05"/>
    <w:rsid w:val="004D5644"/>
    <w:rsid w:val="004D64D8"/>
    <w:rsid w:val="004D7389"/>
    <w:rsid w:val="004D7421"/>
    <w:rsid w:val="004E486F"/>
    <w:rsid w:val="004E645E"/>
    <w:rsid w:val="004E75CF"/>
    <w:rsid w:val="004F14FA"/>
    <w:rsid w:val="004F1E70"/>
    <w:rsid w:val="004F3C3B"/>
    <w:rsid w:val="004F3DD9"/>
    <w:rsid w:val="005013EC"/>
    <w:rsid w:val="005018B4"/>
    <w:rsid w:val="00501BCD"/>
    <w:rsid w:val="00502E90"/>
    <w:rsid w:val="005043A5"/>
    <w:rsid w:val="005058EC"/>
    <w:rsid w:val="00505FA4"/>
    <w:rsid w:val="0050609C"/>
    <w:rsid w:val="00506423"/>
    <w:rsid w:val="0050729C"/>
    <w:rsid w:val="00510D2F"/>
    <w:rsid w:val="00511842"/>
    <w:rsid w:val="00511F5D"/>
    <w:rsid w:val="00512BEF"/>
    <w:rsid w:val="00513F36"/>
    <w:rsid w:val="00515427"/>
    <w:rsid w:val="00516300"/>
    <w:rsid w:val="00516A5B"/>
    <w:rsid w:val="00516F8D"/>
    <w:rsid w:val="00517D26"/>
    <w:rsid w:val="0052044D"/>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37F81"/>
    <w:rsid w:val="005410CB"/>
    <w:rsid w:val="005416B2"/>
    <w:rsid w:val="00541901"/>
    <w:rsid w:val="00541945"/>
    <w:rsid w:val="00541CBF"/>
    <w:rsid w:val="00544133"/>
    <w:rsid w:val="005444AC"/>
    <w:rsid w:val="0054467D"/>
    <w:rsid w:val="00546886"/>
    <w:rsid w:val="00550136"/>
    <w:rsid w:val="005505A9"/>
    <w:rsid w:val="005506B1"/>
    <w:rsid w:val="0055076C"/>
    <w:rsid w:val="00550949"/>
    <w:rsid w:val="00553F1D"/>
    <w:rsid w:val="00554678"/>
    <w:rsid w:val="0055501B"/>
    <w:rsid w:val="00555AB6"/>
    <w:rsid w:val="0056014B"/>
    <w:rsid w:val="00560349"/>
    <w:rsid w:val="00561026"/>
    <w:rsid w:val="00561407"/>
    <w:rsid w:val="00562135"/>
    <w:rsid w:val="0056218F"/>
    <w:rsid w:val="005628ED"/>
    <w:rsid w:val="00562F79"/>
    <w:rsid w:val="005630C9"/>
    <w:rsid w:val="00563240"/>
    <w:rsid w:val="005637E0"/>
    <w:rsid w:val="00564661"/>
    <w:rsid w:val="00564A9D"/>
    <w:rsid w:val="00566416"/>
    <w:rsid w:val="0057081A"/>
    <w:rsid w:val="0057148D"/>
    <w:rsid w:val="00571A6D"/>
    <w:rsid w:val="00573824"/>
    <w:rsid w:val="00573B44"/>
    <w:rsid w:val="00573DFD"/>
    <w:rsid w:val="00574347"/>
    <w:rsid w:val="00575725"/>
    <w:rsid w:val="00575A46"/>
    <w:rsid w:val="005774B5"/>
    <w:rsid w:val="00581791"/>
    <w:rsid w:val="00581B38"/>
    <w:rsid w:val="00585F0B"/>
    <w:rsid w:val="00586787"/>
    <w:rsid w:val="00587B7E"/>
    <w:rsid w:val="00590759"/>
    <w:rsid w:val="00591493"/>
    <w:rsid w:val="00592E90"/>
    <w:rsid w:val="0059326F"/>
    <w:rsid w:val="005943C3"/>
    <w:rsid w:val="0059497A"/>
    <w:rsid w:val="00596569"/>
    <w:rsid w:val="0059660B"/>
    <w:rsid w:val="00596A81"/>
    <w:rsid w:val="005A0EB9"/>
    <w:rsid w:val="005A2706"/>
    <w:rsid w:val="005A3404"/>
    <w:rsid w:val="005A53F6"/>
    <w:rsid w:val="005A648E"/>
    <w:rsid w:val="005A732E"/>
    <w:rsid w:val="005B1A74"/>
    <w:rsid w:val="005B2074"/>
    <w:rsid w:val="005B2427"/>
    <w:rsid w:val="005B2D76"/>
    <w:rsid w:val="005B33DF"/>
    <w:rsid w:val="005B457B"/>
    <w:rsid w:val="005B5E53"/>
    <w:rsid w:val="005B7080"/>
    <w:rsid w:val="005B729A"/>
    <w:rsid w:val="005B7341"/>
    <w:rsid w:val="005B7B3C"/>
    <w:rsid w:val="005C0188"/>
    <w:rsid w:val="005C1A0E"/>
    <w:rsid w:val="005C2992"/>
    <w:rsid w:val="005C33AD"/>
    <w:rsid w:val="005C3F69"/>
    <w:rsid w:val="005C6BDA"/>
    <w:rsid w:val="005C7063"/>
    <w:rsid w:val="005D0D2A"/>
    <w:rsid w:val="005D25EE"/>
    <w:rsid w:val="005D56A1"/>
    <w:rsid w:val="005D6336"/>
    <w:rsid w:val="005D7701"/>
    <w:rsid w:val="005D7D9C"/>
    <w:rsid w:val="005E0A60"/>
    <w:rsid w:val="005E0D66"/>
    <w:rsid w:val="005E1371"/>
    <w:rsid w:val="005E1417"/>
    <w:rsid w:val="005E1D06"/>
    <w:rsid w:val="005E1FD8"/>
    <w:rsid w:val="005E30A9"/>
    <w:rsid w:val="005E42DC"/>
    <w:rsid w:val="005E447F"/>
    <w:rsid w:val="005E4B3B"/>
    <w:rsid w:val="005E66F2"/>
    <w:rsid w:val="005E69F1"/>
    <w:rsid w:val="005E739F"/>
    <w:rsid w:val="005F0CAB"/>
    <w:rsid w:val="005F0D66"/>
    <w:rsid w:val="005F0E61"/>
    <w:rsid w:val="005F2B9A"/>
    <w:rsid w:val="005F2BD7"/>
    <w:rsid w:val="005F2F13"/>
    <w:rsid w:val="005F6F20"/>
    <w:rsid w:val="005F7CC2"/>
    <w:rsid w:val="006000DA"/>
    <w:rsid w:val="00600577"/>
    <w:rsid w:val="00601605"/>
    <w:rsid w:val="006018D3"/>
    <w:rsid w:val="006036CA"/>
    <w:rsid w:val="00603B48"/>
    <w:rsid w:val="00604197"/>
    <w:rsid w:val="00604A83"/>
    <w:rsid w:val="00604E93"/>
    <w:rsid w:val="00605734"/>
    <w:rsid w:val="00606721"/>
    <w:rsid w:val="00606B8F"/>
    <w:rsid w:val="00610CDC"/>
    <w:rsid w:val="006113A9"/>
    <w:rsid w:val="00611644"/>
    <w:rsid w:val="00611704"/>
    <w:rsid w:val="00612445"/>
    <w:rsid w:val="006124B3"/>
    <w:rsid w:val="0061368D"/>
    <w:rsid w:val="00613AF8"/>
    <w:rsid w:val="00613BB9"/>
    <w:rsid w:val="006143F8"/>
    <w:rsid w:val="00614B61"/>
    <w:rsid w:val="0061556D"/>
    <w:rsid w:val="00616317"/>
    <w:rsid w:val="00616D44"/>
    <w:rsid w:val="00616F6D"/>
    <w:rsid w:val="0061753B"/>
    <w:rsid w:val="00620370"/>
    <w:rsid w:val="00620ABA"/>
    <w:rsid w:val="0062180D"/>
    <w:rsid w:val="00621A2C"/>
    <w:rsid w:val="0062236E"/>
    <w:rsid w:val="00622D0E"/>
    <w:rsid w:val="00622FAC"/>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2EC1"/>
    <w:rsid w:val="006432A5"/>
    <w:rsid w:val="00643A7E"/>
    <w:rsid w:val="00644070"/>
    <w:rsid w:val="00644E0E"/>
    <w:rsid w:val="00646026"/>
    <w:rsid w:val="00646477"/>
    <w:rsid w:val="006469B1"/>
    <w:rsid w:val="00650384"/>
    <w:rsid w:val="00652DE7"/>
    <w:rsid w:val="00653222"/>
    <w:rsid w:val="0065606C"/>
    <w:rsid w:val="00656628"/>
    <w:rsid w:val="00656BAB"/>
    <w:rsid w:val="006609AE"/>
    <w:rsid w:val="006617C2"/>
    <w:rsid w:val="006620D5"/>
    <w:rsid w:val="00662A9F"/>
    <w:rsid w:val="0066333C"/>
    <w:rsid w:val="00663485"/>
    <w:rsid w:val="00664E16"/>
    <w:rsid w:val="00665858"/>
    <w:rsid w:val="00665C66"/>
    <w:rsid w:val="006663B5"/>
    <w:rsid w:val="00671145"/>
    <w:rsid w:val="006739C7"/>
    <w:rsid w:val="00674D19"/>
    <w:rsid w:val="00674E15"/>
    <w:rsid w:val="006753BA"/>
    <w:rsid w:val="006755DF"/>
    <w:rsid w:val="00676907"/>
    <w:rsid w:val="00676D41"/>
    <w:rsid w:val="00676DE5"/>
    <w:rsid w:val="00676FA1"/>
    <w:rsid w:val="00677C88"/>
    <w:rsid w:val="006803D5"/>
    <w:rsid w:val="00680A2A"/>
    <w:rsid w:val="00681090"/>
    <w:rsid w:val="006818AA"/>
    <w:rsid w:val="006820E0"/>
    <w:rsid w:val="006826A4"/>
    <w:rsid w:val="00682901"/>
    <w:rsid w:val="006829BB"/>
    <w:rsid w:val="006834D0"/>
    <w:rsid w:val="00685F82"/>
    <w:rsid w:val="00687304"/>
    <w:rsid w:val="00687D68"/>
    <w:rsid w:val="006906EF"/>
    <w:rsid w:val="00690B82"/>
    <w:rsid w:val="00692183"/>
    <w:rsid w:val="00695D8D"/>
    <w:rsid w:val="00696195"/>
    <w:rsid w:val="00696D7B"/>
    <w:rsid w:val="0069737B"/>
    <w:rsid w:val="0069750C"/>
    <w:rsid w:val="0069798F"/>
    <w:rsid w:val="00697F37"/>
    <w:rsid w:val="006A00AF"/>
    <w:rsid w:val="006A0495"/>
    <w:rsid w:val="006A0780"/>
    <w:rsid w:val="006A0950"/>
    <w:rsid w:val="006A0B45"/>
    <w:rsid w:val="006A30FA"/>
    <w:rsid w:val="006A3295"/>
    <w:rsid w:val="006A3DFE"/>
    <w:rsid w:val="006A41C8"/>
    <w:rsid w:val="006A5AE4"/>
    <w:rsid w:val="006A70F0"/>
    <w:rsid w:val="006A7278"/>
    <w:rsid w:val="006A76DE"/>
    <w:rsid w:val="006A799F"/>
    <w:rsid w:val="006B0BCF"/>
    <w:rsid w:val="006B17CB"/>
    <w:rsid w:val="006B1F4B"/>
    <w:rsid w:val="006B201B"/>
    <w:rsid w:val="006B2A1B"/>
    <w:rsid w:val="006B2EB5"/>
    <w:rsid w:val="006B43BB"/>
    <w:rsid w:val="006B4F22"/>
    <w:rsid w:val="006B7742"/>
    <w:rsid w:val="006C236D"/>
    <w:rsid w:val="006C3531"/>
    <w:rsid w:val="006C5828"/>
    <w:rsid w:val="006C5FE6"/>
    <w:rsid w:val="006C6482"/>
    <w:rsid w:val="006C65C2"/>
    <w:rsid w:val="006C75C7"/>
    <w:rsid w:val="006C7D48"/>
    <w:rsid w:val="006D053C"/>
    <w:rsid w:val="006D0F80"/>
    <w:rsid w:val="006D11FE"/>
    <w:rsid w:val="006D13F8"/>
    <w:rsid w:val="006D15BA"/>
    <w:rsid w:val="006D16E4"/>
    <w:rsid w:val="006D19BC"/>
    <w:rsid w:val="006D22B8"/>
    <w:rsid w:val="006D66F4"/>
    <w:rsid w:val="006D7210"/>
    <w:rsid w:val="006E0046"/>
    <w:rsid w:val="006E06C0"/>
    <w:rsid w:val="006E230F"/>
    <w:rsid w:val="006E274B"/>
    <w:rsid w:val="006E36AD"/>
    <w:rsid w:val="006E43A2"/>
    <w:rsid w:val="006E7D5D"/>
    <w:rsid w:val="006F0B9C"/>
    <w:rsid w:val="006F0D0A"/>
    <w:rsid w:val="006F34DE"/>
    <w:rsid w:val="006F454B"/>
    <w:rsid w:val="006F7226"/>
    <w:rsid w:val="006F7AB0"/>
    <w:rsid w:val="00700496"/>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DC0"/>
    <w:rsid w:val="00712EF0"/>
    <w:rsid w:val="007132E7"/>
    <w:rsid w:val="00714276"/>
    <w:rsid w:val="007150CD"/>
    <w:rsid w:val="0071650C"/>
    <w:rsid w:val="00716D73"/>
    <w:rsid w:val="00721AFA"/>
    <w:rsid w:val="007238D5"/>
    <w:rsid w:val="00726076"/>
    <w:rsid w:val="007275F8"/>
    <w:rsid w:val="00727962"/>
    <w:rsid w:val="00727BC4"/>
    <w:rsid w:val="00727BFE"/>
    <w:rsid w:val="00730B19"/>
    <w:rsid w:val="0073257C"/>
    <w:rsid w:val="007333EB"/>
    <w:rsid w:val="007349E8"/>
    <w:rsid w:val="007365B8"/>
    <w:rsid w:val="00736D87"/>
    <w:rsid w:val="00737C7F"/>
    <w:rsid w:val="00737CB1"/>
    <w:rsid w:val="00737E36"/>
    <w:rsid w:val="00740DA3"/>
    <w:rsid w:val="0074209F"/>
    <w:rsid w:val="0074255B"/>
    <w:rsid w:val="007429ED"/>
    <w:rsid w:val="007431B7"/>
    <w:rsid w:val="00745395"/>
    <w:rsid w:val="00747657"/>
    <w:rsid w:val="00747804"/>
    <w:rsid w:val="007522AE"/>
    <w:rsid w:val="007537A3"/>
    <w:rsid w:val="00753B98"/>
    <w:rsid w:val="007554FA"/>
    <w:rsid w:val="00755A5D"/>
    <w:rsid w:val="007571D2"/>
    <w:rsid w:val="0075731D"/>
    <w:rsid w:val="007610B5"/>
    <w:rsid w:val="00762DA6"/>
    <w:rsid w:val="007632BA"/>
    <w:rsid w:val="00765DD7"/>
    <w:rsid w:val="00767AA4"/>
    <w:rsid w:val="0077014F"/>
    <w:rsid w:val="00770312"/>
    <w:rsid w:val="007707C0"/>
    <w:rsid w:val="00770E3A"/>
    <w:rsid w:val="00774A4B"/>
    <w:rsid w:val="007766B9"/>
    <w:rsid w:val="007801B9"/>
    <w:rsid w:val="0078061D"/>
    <w:rsid w:val="007819BB"/>
    <w:rsid w:val="007821FB"/>
    <w:rsid w:val="00782301"/>
    <w:rsid w:val="00783925"/>
    <w:rsid w:val="007842B2"/>
    <w:rsid w:val="00784479"/>
    <w:rsid w:val="007853CA"/>
    <w:rsid w:val="00786E0B"/>
    <w:rsid w:val="00787E47"/>
    <w:rsid w:val="00787F31"/>
    <w:rsid w:val="00790301"/>
    <w:rsid w:val="00791C53"/>
    <w:rsid w:val="007924EF"/>
    <w:rsid w:val="00793ADF"/>
    <w:rsid w:val="00793EA0"/>
    <w:rsid w:val="00793ECA"/>
    <w:rsid w:val="00794E01"/>
    <w:rsid w:val="00795C07"/>
    <w:rsid w:val="00795F4A"/>
    <w:rsid w:val="00796145"/>
    <w:rsid w:val="007977A5"/>
    <w:rsid w:val="00797849"/>
    <w:rsid w:val="007A0B2F"/>
    <w:rsid w:val="007A1357"/>
    <w:rsid w:val="007A1F68"/>
    <w:rsid w:val="007A23B5"/>
    <w:rsid w:val="007A29EC"/>
    <w:rsid w:val="007A415D"/>
    <w:rsid w:val="007A4915"/>
    <w:rsid w:val="007B060A"/>
    <w:rsid w:val="007B0CB5"/>
    <w:rsid w:val="007B106C"/>
    <w:rsid w:val="007B3937"/>
    <w:rsid w:val="007B3C00"/>
    <w:rsid w:val="007C12AF"/>
    <w:rsid w:val="007C2A0A"/>
    <w:rsid w:val="007C33BF"/>
    <w:rsid w:val="007C489B"/>
    <w:rsid w:val="007C4B99"/>
    <w:rsid w:val="007C5342"/>
    <w:rsid w:val="007C5B87"/>
    <w:rsid w:val="007C5F23"/>
    <w:rsid w:val="007C73A6"/>
    <w:rsid w:val="007C7554"/>
    <w:rsid w:val="007C7834"/>
    <w:rsid w:val="007C788F"/>
    <w:rsid w:val="007D5BCD"/>
    <w:rsid w:val="007D67FF"/>
    <w:rsid w:val="007D6890"/>
    <w:rsid w:val="007E0E71"/>
    <w:rsid w:val="007E1C82"/>
    <w:rsid w:val="007E1CAC"/>
    <w:rsid w:val="007E1D38"/>
    <w:rsid w:val="007E2972"/>
    <w:rsid w:val="007E6DF3"/>
    <w:rsid w:val="007E701D"/>
    <w:rsid w:val="007E7526"/>
    <w:rsid w:val="007E7DC1"/>
    <w:rsid w:val="007F1E33"/>
    <w:rsid w:val="007F219C"/>
    <w:rsid w:val="007F3FB7"/>
    <w:rsid w:val="007F46C4"/>
    <w:rsid w:val="007F4BE5"/>
    <w:rsid w:val="007F4CA1"/>
    <w:rsid w:val="007F5CB5"/>
    <w:rsid w:val="007F64F5"/>
    <w:rsid w:val="007F68CE"/>
    <w:rsid w:val="007F6A3D"/>
    <w:rsid w:val="007F75F7"/>
    <w:rsid w:val="007F7BFC"/>
    <w:rsid w:val="007F7D95"/>
    <w:rsid w:val="00800EE5"/>
    <w:rsid w:val="00801CFD"/>
    <w:rsid w:val="00802070"/>
    <w:rsid w:val="008026CC"/>
    <w:rsid w:val="00804E62"/>
    <w:rsid w:val="008054E6"/>
    <w:rsid w:val="008070FF"/>
    <w:rsid w:val="008128A7"/>
    <w:rsid w:val="00812920"/>
    <w:rsid w:val="008144DF"/>
    <w:rsid w:val="00815478"/>
    <w:rsid w:val="008162AA"/>
    <w:rsid w:val="008201C3"/>
    <w:rsid w:val="0082056C"/>
    <w:rsid w:val="00820819"/>
    <w:rsid w:val="008208E5"/>
    <w:rsid w:val="00820E49"/>
    <w:rsid w:val="00820E95"/>
    <w:rsid w:val="0082104F"/>
    <w:rsid w:val="00821191"/>
    <w:rsid w:val="00821445"/>
    <w:rsid w:val="00821D94"/>
    <w:rsid w:val="0082317B"/>
    <w:rsid w:val="00826A32"/>
    <w:rsid w:val="00826F7D"/>
    <w:rsid w:val="0083009A"/>
    <w:rsid w:val="00830130"/>
    <w:rsid w:val="00830949"/>
    <w:rsid w:val="00831D23"/>
    <w:rsid w:val="008324F1"/>
    <w:rsid w:val="00832831"/>
    <w:rsid w:val="00833225"/>
    <w:rsid w:val="008333E3"/>
    <w:rsid w:val="00833841"/>
    <w:rsid w:val="00834E70"/>
    <w:rsid w:val="00835214"/>
    <w:rsid w:val="00836263"/>
    <w:rsid w:val="008366A6"/>
    <w:rsid w:val="008403F7"/>
    <w:rsid w:val="008436EC"/>
    <w:rsid w:val="00843D33"/>
    <w:rsid w:val="00843E8D"/>
    <w:rsid w:val="00845EAA"/>
    <w:rsid w:val="00846CEF"/>
    <w:rsid w:val="00847658"/>
    <w:rsid w:val="00850E67"/>
    <w:rsid w:val="008512C3"/>
    <w:rsid w:val="00852C9F"/>
    <w:rsid w:val="00852D1F"/>
    <w:rsid w:val="00855112"/>
    <w:rsid w:val="00856C46"/>
    <w:rsid w:val="00860306"/>
    <w:rsid w:val="00860871"/>
    <w:rsid w:val="008612F0"/>
    <w:rsid w:val="00862339"/>
    <w:rsid w:val="00862F88"/>
    <w:rsid w:val="008638A2"/>
    <w:rsid w:val="00865D96"/>
    <w:rsid w:val="00866B6D"/>
    <w:rsid w:val="00870253"/>
    <w:rsid w:val="008703F6"/>
    <w:rsid w:val="00871AB9"/>
    <w:rsid w:val="0087468C"/>
    <w:rsid w:val="00874CD3"/>
    <w:rsid w:val="008759DE"/>
    <w:rsid w:val="00875EBF"/>
    <w:rsid w:val="00877089"/>
    <w:rsid w:val="008819A7"/>
    <w:rsid w:val="008845F6"/>
    <w:rsid w:val="0088504D"/>
    <w:rsid w:val="0088577C"/>
    <w:rsid w:val="008862AB"/>
    <w:rsid w:val="00890C98"/>
    <w:rsid w:val="00892B6D"/>
    <w:rsid w:val="00893110"/>
    <w:rsid w:val="0089322E"/>
    <w:rsid w:val="00893D17"/>
    <w:rsid w:val="008947A2"/>
    <w:rsid w:val="0089480F"/>
    <w:rsid w:val="008968CC"/>
    <w:rsid w:val="008968F3"/>
    <w:rsid w:val="00896CDF"/>
    <w:rsid w:val="008974DB"/>
    <w:rsid w:val="008A0677"/>
    <w:rsid w:val="008A1F14"/>
    <w:rsid w:val="008A3020"/>
    <w:rsid w:val="008A315D"/>
    <w:rsid w:val="008A4346"/>
    <w:rsid w:val="008A4A45"/>
    <w:rsid w:val="008A5CCB"/>
    <w:rsid w:val="008A63DF"/>
    <w:rsid w:val="008A6678"/>
    <w:rsid w:val="008A687B"/>
    <w:rsid w:val="008A78FF"/>
    <w:rsid w:val="008B016E"/>
    <w:rsid w:val="008B081C"/>
    <w:rsid w:val="008B0870"/>
    <w:rsid w:val="008B16A1"/>
    <w:rsid w:val="008B1FE0"/>
    <w:rsid w:val="008B240E"/>
    <w:rsid w:val="008B2FDE"/>
    <w:rsid w:val="008B3C50"/>
    <w:rsid w:val="008B3E16"/>
    <w:rsid w:val="008B6962"/>
    <w:rsid w:val="008B791B"/>
    <w:rsid w:val="008C02A0"/>
    <w:rsid w:val="008C0F60"/>
    <w:rsid w:val="008C15D2"/>
    <w:rsid w:val="008C41AE"/>
    <w:rsid w:val="008C5D24"/>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65A4"/>
    <w:rsid w:val="008F0B6C"/>
    <w:rsid w:val="008F1A7C"/>
    <w:rsid w:val="008F1C28"/>
    <w:rsid w:val="008F4979"/>
    <w:rsid w:val="008F49E2"/>
    <w:rsid w:val="008F64B1"/>
    <w:rsid w:val="008F6F63"/>
    <w:rsid w:val="0090066A"/>
    <w:rsid w:val="00900FD8"/>
    <w:rsid w:val="0090118F"/>
    <w:rsid w:val="00901489"/>
    <w:rsid w:val="00903353"/>
    <w:rsid w:val="00903A91"/>
    <w:rsid w:val="009046D8"/>
    <w:rsid w:val="00904E8A"/>
    <w:rsid w:val="0090784E"/>
    <w:rsid w:val="00907876"/>
    <w:rsid w:val="009140F3"/>
    <w:rsid w:val="009142E0"/>
    <w:rsid w:val="0091504C"/>
    <w:rsid w:val="00915866"/>
    <w:rsid w:val="00915FF9"/>
    <w:rsid w:val="00916C72"/>
    <w:rsid w:val="009176A5"/>
    <w:rsid w:val="00917C14"/>
    <w:rsid w:val="00917F72"/>
    <w:rsid w:val="009205A1"/>
    <w:rsid w:val="00920676"/>
    <w:rsid w:val="00920899"/>
    <w:rsid w:val="009212B4"/>
    <w:rsid w:val="00922004"/>
    <w:rsid w:val="009221AF"/>
    <w:rsid w:val="00923FBE"/>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6E6"/>
    <w:rsid w:val="00936E90"/>
    <w:rsid w:val="00937316"/>
    <w:rsid w:val="00940775"/>
    <w:rsid w:val="00941771"/>
    <w:rsid w:val="00941966"/>
    <w:rsid w:val="00941E41"/>
    <w:rsid w:val="00942A0B"/>
    <w:rsid w:val="009430D5"/>
    <w:rsid w:val="00943675"/>
    <w:rsid w:val="009440A6"/>
    <w:rsid w:val="009442CC"/>
    <w:rsid w:val="00944AF3"/>
    <w:rsid w:val="00944B37"/>
    <w:rsid w:val="009455E1"/>
    <w:rsid w:val="00945997"/>
    <w:rsid w:val="00947D8F"/>
    <w:rsid w:val="0095025D"/>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1DD3"/>
    <w:rsid w:val="009732CC"/>
    <w:rsid w:val="0097335B"/>
    <w:rsid w:val="00973A50"/>
    <w:rsid w:val="009745A9"/>
    <w:rsid w:val="00974A07"/>
    <w:rsid w:val="00975F28"/>
    <w:rsid w:val="009770E2"/>
    <w:rsid w:val="0097735E"/>
    <w:rsid w:val="00977D47"/>
    <w:rsid w:val="00977E71"/>
    <w:rsid w:val="0098194E"/>
    <w:rsid w:val="0098288F"/>
    <w:rsid w:val="009832FC"/>
    <w:rsid w:val="00984AFC"/>
    <w:rsid w:val="009855E1"/>
    <w:rsid w:val="00986761"/>
    <w:rsid w:val="00987456"/>
    <w:rsid w:val="009907B1"/>
    <w:rsid w:val="00991B5D"/>
    <w:rsid w:val="00993093"/>
    <w:rsid w:val="009933A4"/>
    <w:rsid w:val="00994624"/>
    <w:rsid w:val="00994BC6"/>
    <w:rsid w:val="009952A4"/>
    <w:rsid w:val="009957E8"/>
    <w:rsid w:val="00995C69"/>
    <w:rsid w:val="00995CC5"/>
    <w:rsid w:val="00995F28"/>
    <w:rsid w:val="00996E52"/>
    <w:rsid w:val="00997D2F"/>
    <w:rsid w:val="00997EB4"/>
    <w:rsid w:val="009A1670"/>
    <w:rsid w:val="009A2077"/>
    <w:rsid w:val="009A256B"/>
    <w:rsid w:val="009A3C5C"/>
    <w:rsid w:val="009A4828"/>
    <w:rsid w:val="009A486D"/>
    <w:rsid w:val="009A4E50"/>
    <w:rsid w:val="009A7271"/>
    <w:rsid w:val="009B0BC3"/>
    <w:rsid w:val="009B1A95"/>
    <w:rsid w:val="009B1AA2"/>
    <w:rsid w:val="009B2A45"/>
    <w:rsid w:val="009B2E27"/>
    <w:rsid w:val="009C01D5"/>
    <w:rsid w:val="009C02FA"/>
    <w:rsid w:val="009C0F6A"/>
    <w:rsid w:val="009C1119"/>
    <w:rsid w:val="009C1A8B"/>
    <w:rsid w:val="009C1EAD"/>
    <w:rsid w:val="009C3607"/>
    <w:rsid w:val="009C3D7A"/>
    <w:rsid w:val="009C422B"/>
    <w:rsid w:val="009C4F5A"/>
    <w:rsid w:val="009C60B7"/>
    <w:rsid w:val="009C6B36"/>
    <w:rsid w:val="009C764F"/>
    <w:rsid w:val="009D1A10"/>
    <w:rsid w:val="009D2126"/>
    <w:rsid w:val="009D23A2"/>
    <w:rsid w:val="009D28C8"/>
    <w:rsid w:val="009D30D8"/>
    <w:rsid w:val="009D39E8"/>
    <w:rsid w:val="009D5D61"/>
    <w:rsid w:val="009D6A68"/>
    <w:rsid w:val="009D7CF9"/>
    <w:rsid w:val="009D7D0A"/>
    <w:rsid w:val="009E013E"/>
    <w:rsid w:val="009E19FE"/>
    <w:rsid w:val="009E29A7"/>
    <w:rsid w:val="009E2F42"/>
    <w:rsid w:val="009E5409"/>
    <w:rsid w:val="009E731F"/>
    <w:rsid w:val="009E734A"/>
    <w:rsid w:val="009E7AC5"/>
    <w:rsid w:val="009F076F"/>
    <w:rsid w:val="009F0A77"/>
    <w:rsid w:val="009F116E"/>
    <w:rsid w:val="009F3A67"/>
    <w:rsid w:val="009F509A"/>
    <w:rsid w:val="009F658C"/>
    <w:rsid w:val="009F6C22"/>
    <w:rsid w:val="009F6D84"/>
    <w:rsid w:val="009F6F02"/>
    <w:rsid w:val="009F7966"/>
    <w:rsid w:val="00A01341"/>
    <w:rsid w:val="00A01745"/>
    <w:rsid w:val="00A01BDD"/>
    <w:rsid w:val="00A02C8E"/>
    <w:rsid w:val="00A03185"/>
    <w:rsid w:val="00A0349B"/>
    <w:rsid w:val="00A03B76"/>
    <w:rsid w:val="00A03EDC"/>
    <w:rsid w:val="00A05147"/>
    <w:rsid w:val="00A06AF7"/>
    <w:rsid w:val="00A104A6"/>
    <w:rsid w:val="00A11715"/>
    <w:rsid w:val="00A12A9D"/>
    <w:rsid w:val="00A14EE5"/>
    <w:rsid w:val="00A153BB"/>
    <w:rsid w:val="00A1588D"/>
    <w:rsid w:val="00A17446"/>
    <w:rsid w:val="00A2162A"/>
    <w:rsid w:val="00A221CB"/>
    <w:rsid w:val="00A222DA"/>
    <w:rsid w:val="00A223D3"/>
    <w:rsid w:val="00A2305E"/>
    <w:rsid w:val="00A24522"/>
    <w:rsid w:val="00A24F8D"/>
    <w:rsid w:val="00A25561"/>
    <w:rsid w:val="00A30350"/>
    <w:rsid w:val="00A305E5"/>
    <w:rsid w:val="00A32ABB"/>
    <w:rsid w:val="00A33D1D"/>
    <w:rsid w:val="00A379FF"/>
    <w:rsid w:val="00A40251"/>
    <w:rsid w:val="00A4235A"/>
    <w:rsid w:val="00A42EC4"/>
    <w:rsid w:val="00A43A60"/>
    <w:rsid w:val="00A448CA"/>
    <w:rsid w:val="00A44B32"/>
    <w:rsid w:val="00A44DA7"/>
    <w:rsid w:val="00A50397"/>
    <w:rsid w:val="00A50D1D"/>
    <w:rsid w:val="00A518D5"/>
    <w:rsid w:val="00A547F1"/>
    <w:rsid w:val="00A54E9E"/>
    <w:rsid w:val="00A5683C"/>
    <w:rsid w:val="00A57914"/>
    <w:rsid w:val="00A60041"/>
    <w:rsid w:val="00A60395"/>
    <w:rsid w:val="00A6086E"/>
    <w:rsid w:val="00A61AF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0C3"/>
    <w:rsid w:val="00A90116"/>
    <w:rsid w:val="00A91266"/>
    <w:rsid w:val="00A9230E"/>
    <w:rsid w:val="00A93DD0"/>
    <w:rsid w:val="00A94783"/>
    <w:rsid w:val="00A95655"/>
    <w:rsid w:val="00A95D80"/>
    <w:rsid w:val="00A96736"/>
    <w:rsid w:val="00A96C60"/>
    <w:rsid w:val="00A97216"/>
    <w:rsid w:val="00AA1BD7"/>
    <w:rsid w:val="00AA2E42"/>
    <w:rsid w:val="00AA4DD6"/>
    <w:rsid w:val="00AA5311"/>
    <w:rsid w:val="00AA64DA"/>
    <w:rsid w:val="00AA7BA6"/>
    <w:rsid w:val="00AA7FF7"/>
    <w:rsid w:val="00AB1D5E"/>
    <w:rsid w:val="00AB35DE"/>
    <w:rsid w:val="00AB3874"/>
    <w:rsid w:val="00AB3E9A"/>
    <w:rsid w:val="00AB4EBB"/>
    <w:rsid w:val="00AB5A84"/>
    <w:rsid w:val="00AB6417"/>
    <w:rsid w:val="00AB7849"/>
    <w:rsid w:val="00AB787F"/>
    <w:rsid w:val="00AC2429"/>
    <w:rsid w:val="00AC294F"/>
    <w:rsid w:val="00AC2985"/>
    <w:rsid w:val="00AC52E0"/>
    <w:rsid w:val="00AC6513"/>
    <w:rsid w:val="00AC6A2F"/>
    <w:rsid w:val="00AC6A3E"/>
    <w:rsid w:val="00AD12F9"/>
    <w:rsid w:val="00AD1D21"/>
    <w:rsid w:val="00AD2E07"/>
    <w:rsid w:val="00AD347F"/>
    <w:rsid w:val="00AD362D"/>
    <w:rsid w:val="00AD4838"/>
    <w:rsid w:val="00AD6012"/>
    <w:rsid w:val="00AD648C"/>
    <w:rsid w:val="00AD6C2E"/>
    <w:rsid w:val="00AD6CA1"/>
    <w:rsid w:val="00AD73AD"/>
    <w:rsid w:val="00AD7C3E"/>
    <w:rsid w:val="00AE15DA"/>
    <w:rsid w:val="00AE477B"/>
    <w:rsid w:val="00AE4B55"/>
    <w:rsid w:val="00AE5086"/>
    <w:rsid w:val="00AE5BE2"/>
    <w:rsid w:val="00AE633D"/>
    <w:rsid w:val="00AE6AD7"/>
    <w:rsid w:val="00AE74DF"/>
    <w:rsid w:val="00AE7976"/>
    <w:rsid w:val="00AF0425"/>
    <w:rsid w:val="00AF0F41"/>
    <w:rsid w:val="00AF12B2"/>
    <w:rsid w:val="00AF1CFE"/>
    <w:rsid w:val="00AF221A"/>
    <w:rsid w:val="00AF2714"/>
    <w:rsid w:val="00AF3341"/>
    <w:rsid w:val="00AF340F"/>
    <w:rsid w:val="00AF46FC"/>
    <w:rsid w:val="00AF4A6E"/>
    <w:rsid w:val="00AF6727"/>
    <w:rsid w:val="00AF735A"/>
    <w:rsid w:val="00AF7E7E"/>
    <w:rsid w:val="00B00D17"/>
    <w:rsid w:val="00B01D29"/>
    <w:rsid w:val="00B0250F"/>
    <w:rsid w:val="00B03DC7"/>
    <w:rsid w:val="00B040A0"/>
    <w:rsid w:val="00B046F6"/>
    <w:rsid w:val="00B05276"/>
    <w:rsid w:val="00B05CCB"/>
    <w:rsid w:val="00B06FFD"/>
    <w:rsid w:val="00B07369"/>
    <w:rsid w:val="00B07CF5"/>
    <w:rsid w:val="00B10BAB"/>
    <w:rsid w:val="00B11143"/>
    <w:rsid w:val="00B11D22"/>
    <w:rsid w:val="00B11EF8"/>
    <w:rsid w:val="00B136B8"/>
    <w:rsid w:val="00B17968"/>
    <w:rsid w:val="00B203C6"/>
    <w:rsid w:val="00B20AFF"/>
    <w:rsid w:val="00B232C2"/>
    <w:rsid w:val="00B2443F"/>
    <w:rsid w:val="00B24772"/>
    <w:rsid w:val="00B26007"/>
    <w:rsid w:val="00B3059B"/>
    <w:rsid w:val="00B32C50"/>
    <w:rsid w:val="00B3314B"/>
    <w:rsid w:val="00B3399B"/>
    <w:rsid w:val="00B36610"/>
    <w:rsid w:val="00B36A21"/>
    <w:rsid w:val="00B37CF6"/>
    <w:rsid w:val="00B412A6"/>
    <w:rsid w:val="00B430BB"/>
    <w:rsid w:val="00B43E66"/>
    <w:rsid w:val="00B4510D"/>
    <w:rsid w:val="00B468AB"/>
    <w:rsid w:val="00B47E12"/>
    <w:rsid w:val="00B51D10"/>
    <w:rsid w:val="00B51D89"/>
    <w:rsid w:val="00B51F3B"/>
    <w:rsid w:val="00B52EB5"/>
    <w:rsid w:val="00B53B90"/>
    <w:rsid w:val="00B53E0C"/>
    <w:rsid w:val="00B540D6"/>
    <w:rsid w:val="00B54B12"/>
    <w:rsid w:val="00B5532F"/>
    <w:rsid w:val="00B55B59"/>
    <w:rsid w:val="00B55DFC"/>
    <w:rsid w:val="00B6456C"/>
    <w:rsid w:val="00B666B7"/>
    <w:rsid w:val="00B6699F"/>
    <w:rsid w:val="00B6701C"/>
    <w:rsid w:val="00B6744E"/>
    <w:rsid w:val="00B67BC4"/>
    <w:rsid w:val="00B71A2D"/>
    <w:rsid w:val="00B73931"/>
    <w:rsid w:val="00B764D5"/>
    <w:rsid w:val="00B76C86"/>
    <w:rsid w:val="00B77704"/>
    <w:rsid w:val="00B77769"/>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AC6"/>
    <w:rsid w:val="00BA0DBC"/>
    <w:rsid w:val="00BA1F61"/>
    <w:rsid w:val="00BA264B"/>
    <w:rsid w:val="00BA35E5"/>
    <w:rsid w:val="00BA387B"/>
    <w:rsid w:val="00BA3B18"/>
    <w:rsid w:val="00BA41D2"/>
    <w:rsid w:val="00BA588C"/>
    <w:rsid w:val="00BA6504"/>
    <w:rsid w:val="00BA6704"/>
    <w:rsid w:val="00BA68D0"/>
    <w:rsid w:val="00BA7E01"/>
    <w:rsid w:val="00BA7F12"/>
    <w:rsid w:val="00BB0E67"/>
    <w:rsid w:val="00BB0F2C"/>
    <w:rsid w:val="00BB1CC3"/>
    <w:rsid w:val="00BB31FD"/>
    <w:rsid w:val="00BB4751"/>
    <w:rsid w:val="00BB47D2"/>
    <w:rsid w:val="00BB7F10"/>
    <w:rsid w:val="00BC02E9"/>
    <w:rsid w:val="00BC09E9"/>
    <w:rsid w:val="00BC1A5C"/>
    <w:rsid w:val="00BC4446"/>
    <w:rsid w:val="00BC466B"/>
    <w:rsid w:val="00BC49E8"/>
    <w:rsid w:val="00BC4AE2"/>
    <w:rsid w:val="00BC5C6F"/>
    <w:rsid w:val="00BC6A5E"/>
    <w:rsid w:val="00BC7C5E"/>
    <w:rsid w:val="00BD0309"/>
    <w:rsid w:val="00BD1FFC"/>
    <w:rsid w:val="00BD2A29"/>
    <w:rsid w:val="00BD417A"/>
    <w:rsid w:val="00BD50B1"/>
    <w:rsid w:val="00BD5182"/>
    <w:rsid w:val="00BD5E05"/>
    <w:rsid w:val="00BD6268"/>
    <w:rsid w:val="00BE04FA"/>
    <w:rsid w:val="00BE0576"/>
    <w:rsid w:val="00BE2111"/>
    <w:rsid w:val="00BE3108"/>
    <w:rsid w:val="00BE320A"/>
    <w:rsid w:val="00BE3C86"/>
    <w:rsid w:val="00BE4BBD"/>
    <w:rsid w:val="00BE5398"/>
    <w:rsid w:val="00BE6786"/>
    <w:rsid w:val="00BE6DAE"/>
    <w:rsid w:val="00BE7242"/>
    <w:rsid w:val="00BF2ABC"/>
    <w:rsid w:val="00BF3737"/>
    <w:rsid w:val="00BF478D"/>
    <w:rsid w:val="00BF55D9"/>
    <w:rsid w:val="00BF6253"/>
    <w:rsid w:val="00BF6277"/>
    <w:rsid w:val="00BF72E6"/>
    <w:rsid w:val="00BF77DD"/>
    <w:rsid w:val="00C022FB"/>
    <w:rsid w:val="00C04EE3"/>
    <w:rsid w:val="00C05160"/>
    <w:rsid w:val="00C06549"/>
    <w:rsid w:val="00C06CB7"/>
    <w:rsid w:val="00C10A7D"/>
    <w:rsid w:val="00C1241A"/>
    <w:rsid w:val="00C12D5A"/>
    <w:rsid w:val="00C138E9"/>
    <w:rsid w:val="00C14BF7"/>
    <w:rsid w:val="00C16A75"/>
    <w:rsid w:val="00C17624"/>
    <w:rsid w:val="00C17849"/>
    <w:rsid w:val="00C17BD5"/>
    <w:rsid w:val="00C22026"/>
    <w:rsid w:val="00C24064"/>
    <w:rsid w:val="00C24966"/>
    <w:rsid w:val="00C24A21"/>
    <w:rsid w:val="00C24D92"/>
    <w:rsid w:val="00C24E3C"/>
    <w:rsid w:val="00C2521A"/>
    <w:rsid w:val="00C27B95"/>
    <w:rsid w:val="00C27EE7"/>
    <w:rsid w:val="00C30495"/>
    <w:rsid w:val="00C312EE"/>
    <w:rsid w:val="00C31B02"/>
    <w:rsid w:val="00C31D55"/>
    <w:rsid w:val="00C31DD5"/>
    <w:rsid w:val="00C31FBD"/>
    <w:rsid w:val="00C33429"/>
    <w:rsid w:val="00C349D3"/>
    <w:rsid w:val="00C35435"/>
    <w:rsid w:val="00C35578"/>
    <w:rsid w:val="00C3612E"/>
    <w:rsid w:val="00C37080"/>
    <w:rsid w:val="00C37364"/>
    <w:rsid w:val="00C3740E"/>
    <w:rsid w:val="00C377A2"/>
    <w:rsid w:val="00C3799C"/>
    <w:rsid w:val="00C403E4"/>
    <w:rsid w:val="00C4048F"/>
    <w:rsid w:val="00C40669"/>
    <w:rsid w:val="00C41496"/>
    <w:rsid w:val="00C422B3"/>
    <w:rsid w:val="00C441A4"/>
    <w:rsid w:val="00C44525"/>
    <w:rsid w:val="00C44C0C"/>
    <w:rsid w:val="00C46EB3"/>
    <w:rsid w:val="00C50587"/>
    <w:rsid w:val="00C50B98"/>
    <w:rsid w:val="00C52197"/>
    <w:rsid w:val="00C5222B"/>
    <w:rsid w:val="00C527C1"/>
    <w:rsid w:val="00C53915"/>
    <w:rsid w:val="00C5416B"/>
    <w:rsid w:val="00C549DB"/>
    <w:rsid w:val="00C55F2D"/>
    <w:rsid w:val="00C577AE"/>
    <w:rsid w:val="00C61B66"/>
    <w:rsid w:val="00C61CF0"/>
    <w:rsid w:val="00C625CB"/>
    <w:rsid w:val="00C64CD0"/>
    <w:rsid w:val="00C654BF"/>
    <w:rsid w:val="00C65620"/>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87228"/>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2D3E"/>
    <w:rsid w:val="00CB4F3D"/>
    <w:rsid w:val="00CB5A1D"/>
    <w:rsid w:val="00CB677D"/>
    <w:rsid w:val="00CB6DA9"/>
    <w:rsid w:val="00CB7FF6"/>
    <w:rsid w:val="00CC2048"/>
    <w:rsid w:val="00CC2C14"/>
    <w:rsid w:val="00CC2E48"/>
    <w:rsid w:val="00CC33A2"/>
    <w:rsid w:val="00CC42C8"/>
    <w:rsid w:val="00CC463F"/>
    <w:rsid w:val="00CC4B7B"/>
    <w:rsid w:val="00CC51A6"/>
    <w:rsid w:val="00CC5F44"/>
    <w:rsid w:val="00CC6B9A"/>
    <w:rsid w:val="00CC6EE0"/>
    <w:rsid w:val="00CD00E5"/>
    <w:rsid w:val="00CD06F8"/>
    <w:rsid w:val="00CD1496"/>
    <w:rsid w:val="00CD250D"/>
    <w:rsid w:val="00CD25DC"/>
    <w:rsid w:val="00CD3063"/>
    <w:rsid w:val="00CD40F3"/>
    <w:rsid w:val="00CD41B4"/>
    <w:rsid w:val="00CD46EC"/>
    <w:rsid w:val="00CD4B5C"/>
    <w:rsid w:val="00CD4C3F"/>
    <w:rsid w:val="00CD53E3"/>
    <w:rsid w:val="00CD568B"/>
    <w:rsid w:val="00CD753B"/>
    <w:rsid w:val="00CE0D7B"/>
    <w:rsid w:val="00CE1DC1"/>
    <w:rsid w:val="00CE2706"/>
    <w:rsid w:val="00CE4BF6"/>
    <w:rsid w:val="00CE6037"/>
    <w:rsid w:val="00CE6D8E"/>
    <w:rsid w:val="00CE7AFD"/>
    <w:rsid w:val="00CE7CF5"/>
    <w:rsid w:val="00CF0C6F"/>
    <w:rsid w:val="00CF1EC5"/>
    <w:rsid w:val="00CF20CE"/>
    <w:rsid w:val="00CF3811"/>
    <w:rsid w:val="00CF4298"/>
    <w:rsid w:val="00CF7939"/>
    <w:rsid w:val="00D000A9"/>
    <w:rsid w:val="00D025BD"/>
    <w:rsid w:val="00D025C1"/>
    <w:rsid w:val="00D02603"/>
    <w:rsid w:val="00D02841"/>
    <w:rsid w:val="00D02C3D"/>
    <w:rsid w:val="00D0309F"/>
    <w:rsid w:val="00D03278"/>
    <w:rsid w:val="00D03FDD"/>
    <w:rsid w:val="00D04C3C"/>
    <w:rsid w:val="00D052EF"/>
    <w:rsid w:val="00D053D1"/>
    <w:rsid w:val="00D0543E"/>
    <w:rsid w:val="00D05506"/>
    <w:rsid w:val="00D074A9"/>
    <w:rsid w:val="00D07829"/>
    <w:rsid w:val="00D105A9"/>
    <w:rsid w:val="00D117CD"/>
    <w:rsid w:val="00D11A91"/>
    <w:rsid w:val="00D1299D"/>
    <w:rsid w:val="00D138B5"/>
    <w:rsid w:val="00D13980"/>
    <w:rsid w:val="00D16CE6"/>
    <w:rsid w:val="00D17208"/>
    <w:rsid w:val="00D173B5"/>
    <w:rsid w:val="00D17DDB"/>
    <w:rsid w:val="00D21C45"/>
    <w:rsid w:val="00D222D5"/>
    <w:rsid w:val="00D224F1"/>
    <w:rsid w:val="00D22BC7"/>
    <w:rsid w:val="00D23AEA"/>
    <w:rsid w:val="00D24895"/>
    <w:rsid w:val="00D25888"/>
    <w:rsid w:val="00D25C84"/>
    <w:rsid w:val="00D27163"/>
    <w:rsid w:val="00D27234"/>
    <w:rsid w:val="00D30D18"/>
    <w:rsid w:val="00D30FD0"/>
    <w:rsid w:val="00D31255"/>
    <w:rsid w:val="00D312F9"/>
    <w:rsid w:val="00D31621"/>
    <w:rsid w:val="00D32800"/>
    <w:rsid w:val="00D32FCF"/>
    <w:rsid w:val="00D330BF"/>
    <w:rsid w:val="00D33F5A"/>
    <w:rsid w:val="00D33FFB"/>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A38"/>
    <w:rsid w:val="00D46D54"/>
    <w:rsid w:val="00D4771C"/>
    <w:rsid w:val="00D5030E"/>
    <w:rsid w:val="00D510B0"/>
    <w:rsid w:val="00D524EF"/>
    <w:rsid w:val="00D52934"/>
    <w:rsid w:val="00D53759"/>
    <w:rsid w:val="00D54BB0"/>
    <w:rsid w:val="00D56B38"/>
    <w:rsid w:val="00D56E99"/>
    <w:rsid w:val="00D57369"/>
    <w:rsid w:val="00D6018C"/>
    <w:rsid w:val="00D6117B"/>
    <w:rsid w:val="00D615DB"/>
    <w:rsid w:val="00D63548"/>
    <w:rsid w:val="00D6388F"/>
    <w:rsid w:val="00D6391A"/>
    <w:rsid w:val="00D63C2F"/>
    <w:rsid w:val="00D644A2"/>
    <w:rsid w:val="00D64F9C"/>
    <w:rsid w:val="00D65A9D"/>
    <w:rsid w:val="00D66A6A"/>
    <w:rsid w:val="00D6740E"/>
    <w:rsid w:val="00D70334"/>
    <w:rsid w:val="00D71243"/>
    <w:rsid w:val="00D717AD"/>
    <w:rsid w:val="00D71EA3"/>
    <w:rsid w:val="00D72C36"/>
    <w:rsid w:val="00D73CA4"/>
    <w:rsid w:val="00D7532F"/>
    <w:rsid w:val="00D753B9"/>
    <w:rsid w:val="00D75500"/>
    <w:rsid w:val="00D75587"/>
    <w:rsid w:val="00D755AE"/>
    <w:rsid w:val="00D77668"/>
    <w:rsid w:val="00D80026"/>
    <w:rsid w:val="00D8044A"/>
    <w:rsid w:val="00D81217"/>
    <w:rsid w:val="00D81918"/>
    <w:rsid w:val="00D8209F"/>
    <w:rsid w:val="00D827EF"/>
    <w:rsid w:val="00D83E47"/>
    <w:rsid w:val="00D85ECE"/>
    <w:rsid w:val="00D86A7E"/>
    <w:rsid w:val="00D86E8F"/>
    <w:rsid w:val="00D86EB9"/>
    <w:rsid w:val="00D87450"/>
    <w:rsid w:val="00D87A3B"/>
    <w:rsid w:val="00D91AD5"/>
    <w:rsid w:val="00D92BB1"/>
    <w:rsid w:val="00D92CDF"/>
    <w:rsid w:val="00D93431"/>
    <w:rsid w:val="00D93F9F"/>
    <w:rsid w:val="00D94AC3"/>
    <w:rsid w:val="00D95F7A"/>
    <w:rsid w:val="00D968E9"/>
    <w:rsid w:val="00DA06C2"/>
    <w:rsid w:val="00DA0999"/>
    <w:rsid w:val="00DA164A"/>
    <w:rsid w:val="00DA2E3B"/>
    <w:rsid w:val="00DA3CAD"/>
    <w:rsid w:val="00DA6A64"/>
    <w:rsid w:val="00DA78A1"/>
    <w:rsid w:val="00DA7920"/>
    <w:rsid w:val="00DB02F5"/>
    <w:rsid w:val="00DB090B"/>
    <w:rsid w:val="00DB0BC6"/>
    <w:rsid w:val="00DB16AC"/>
    <w:rsid w:val="00DB27CE"/>
    <w:rsid w:val="00DB29C2"/>
    <w:rsid w:val="00DB35C9"/>
    <w:rsid w:val="00DB4858"/>
    <w:rsid w:val="00DB486F"/>
    <w:rsid w:val="00DB58EE"/>
    <w:rsid w:val="00DB7734"/>
    <w:rsid w:val="00DB7F30"/>
    <w:rsid w:val="00DB7FEE"/>
    <w:rsid w:val="00DC0377"/>
    <w:rsid w:val="00DC0991"/>
    <w:rsid w:val="00DC0D06"/>
    <w:rsid w:val="00DC2336"/>
    <w:rsid w:val="00DC4387"/>
    <w:rsid w:val="00DC46C7"/>
    <w:rsid w:val="00DC6922"/>
    <w:rsid w:val="00DC7203"/>
    <w:rsid w:val="00DC79DC"/>
    <w:rsid w:val="00DD245F"/>
    <w:rsid w:val="00DD2CAA"/>
    <w:rsid w:val="00DD46B7"/>
    <w:rsid w:val="00DD4C53"/>
    <w:rsid w:val="00DD6D50"/>
    <w:rsid w:val="00DE031C"/>
    <w:rsid w:val="00DE089E"/>
    <w:rsid w:val="00DE11B1"/>
    <w:rsid w:val="00DE29DE"/>
    <w:rsid w:val="00DE33CC"/>
    <w:rsid w:val="00DE362D"/>
    <w:rsid w:val="00DE48E7"/>
    <w:rsid w:val="00DE7E55"/>
    <w:rsid w:val="00DF0382"/>
    <w:rsid w:val="00DF058D"/>
    <w:rsid w:val="00DF1BF2"/>
    <w:rsid w:val="00DF1E16"/>
    <w:rsid w:val="00DF225D"/>
    <w:rsid w:val="00DF2D6F"/>
    <w:rsid w:val="00DF44A0"/>
    <w:rsid w:val="00DF4831"/>
    <w:rsid w:val="00DF492D"/>
    <w:rsid w:val="00DF5778"/>
    <w:rsid w:val="00DF5D4B"/>
    <w:rsid w:val="00DF641A"/>
    <w:rsid w:val="00E0027D"/>
    <w:rsid w:val="00E00DC3"/>
    <w:rsid w:val="00E01973"/>
    <w:rsid w:val="00E03B30"/>
    <w:rsid w:val="00E04413"/>
    <w:rsid w:val="00E05BD4"/>
    <w:rsid w:val="00E067E5"/>
    <w:rsid w:val="00E0771B"/>
    <w:rsid w:val="00E07C23"/>
    <w:rsid w:val="00E07D63"/>
    <w:rsid w:val="00E07D76"/>
    <w:rsid w:val="00E10D0A"/>
    <w:rsid w:val="00E1125B"/>
    <w:rsid w:val="00E1166D"/>
    <w:rsid w:val="00E14AD1"/>
    <w:rsid w:val="00E15550"/>
    <w:rsid w:val="00E16B25"/>
    <w:rsid w:val="00E16D0F"/>
    <w:rsid w:val="00E170FE"/>
    <w:rsid w:val="00E17B85"/>
    <w:rsid w:val="00E17DA9"/>
    <w:rsid w:val="00E215DC"/>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2473"/>
    <w:rsid w:val="00E33843"/>
    <w:rsid w:val="00E33FF5"/>
    <w:rsid w:val="00E34C15"/>
    <w:rsid w:val="00E34C21"/>
    <w:rsid w:val="00E35BD2"/>
    <w:rsid w:val="00E35FCC"/>
    <w:rsid w:val="00E3624B"/>
    <w:rsid w:val="00E36CC1"/>
    <w:rsid w:val="00E36E69"/>
    <w:rsid w:val="00E375F6"/>
    <w:rsid w:val="00E37704"/>
    <w:rsid w:val="00E41099"/>
    <w:rsid w:val="00E42C6A"/>
    <w:rsid w:val="00E4367B"/>
    <w:rsid w:val="00E43DCF"/>
    <w:rsid w:val="00E45573"/>
    <w:rsid w:val="00E45E63"/>
    <w:rsid w:val="00E46A32"/>
    <w:rsid w:val="00E46F8F"/>
    <w:rsid w:val="00E508B9"/>
    <w:rsid w:val="00E50E49"/>
    <w:rsid w:val="00E50E8E"/>
    <w:rsid w:val="00E525D7"/>
    <w:rsid w:val="00E52B33"/>
    <w:rsid w:val="00E52B56"/>
    <w:rsid w:val="00E535AF"/>
    <w:rsid w:val="00E55E07"/>
    <w:rsid w:val="00E56AE2"/>
    <w:rsid w:val="00E5738A"/>
    <w:rsid w:val="00E57ADB"/>
    <w:rsid w:val="00E57D04"/>
    <w:rsid w:val="00E6188E"/>
    <w:rsid w:val="00E61CF3"/>
    <w:rsid w:val="00E6204E"/>
    <w:rsid w:val="00E63619"/>
    <w:rsid w:val="00E64AC4"/>
    <w:rsid w:val="00E64D91"/>
    <w:rsid w:val="00E65551"/>
    <w:rsid w:val="00E66AF8"/>
    <w:rsid w:val="00E66B82"/>
    <w:rsid w:val="00E722D9"/>
    <w:rsid w:val="00E733CB"/>
    <w:rsid w:val="00E73A1F"/>
    <w:rsid w:val="00E74A3D"/>
    <w:rsid w:val="00E74BA8"/>
    <w:rsid w:val="00E752A2"/>
    <w:rsid w:val="00E7560C"/>
    <w:rsid w:val="00E77C49"/>
    <w:rsid w:val="00E80DBD"/>
    <w:rsid w:val="00E80F8D"/>
    <w:rsid w:val="00E812AD"/>
    <w:rsid w:val="00E8141E"/>
    <w:rsid w:val="00E81ED2"/>
    <w:rsid w:val="00E82926"/>
    <w:rsid w:val="00E83F34"/>
    <w:rsid w:val="00E844B3"/>
    <w:rsid w:val="00E85390"/>
    <w:rsid w:val="00E8699D"/>
    <w:rsid w:val="00E87323"/>
    <w:rsid w:val="00E93F11"/>
    <w:rsid w:val="00E94D41"/>
    <w:rsid w:val="00E96B92"/>
    <w:rsid w:val="00E97B2C"/>
    <w:rsid w:val="00E97D4B"/>
    <w:rsid w:val="00EA0A39"/>
    <w:rsid w:val="00EA2D80"/>
    <w:rsid w:val="00EA3D8F"/>
    <w:rsid w:val="00EA43C9"/>
    <w:rsid w:val="00EA4A77"/>
    <w:rsid w:val="00EA4D4A"/>
    <w:rsid w:val="00EA5073"/>
    <w:rsid w:val="00EA6825"/>
    <w:rsid w:val="00EA710C"/>
    <w:rsid w:val="00EA7789"/>
    <w:rsid w:val="00EB078B"/>
    <w:rsid w:val="00EB1DE7"/>
    <w:rsid w:val="00EB2CF2"/>
    <w:rsid w:val="00EB3206"/>
    <w:rsid w:val="00EB3F26"/>
    <w:rsid w:val="00EB41CF"/>
    <w:rsid w:val="00EB4252"/>
    <w:rsid w:val="00EB44B3"/>
    <w:rsid w:val="00EB461F"/>
    <w:rsid w:val="00EB4F66"/>
    <w:rsid w:val="00EB5BA1"/>
    <w:rsid w:val="00EB66A7"/>
    <w:rsid w:val="00EB6B05"/>
    <w:rsid w:val="00EC0CE4"/>
    <w:rsid w:val="00EC0FDB"/>
    <w:rsid w:val="00EC3AF0"/>
    <w:rsid w:val="00EC62D0"/>
    <w:rsid w:val="00EC6646"/>
    <w:rsid w:val="00EC667F"/>
    <w:rsid w:val="00EC7634"/>
    <w:rsid w:val="00EC77D4"/>
    <w:rsid w:val="00EC7BBD"/>
    <w:rsid w:val="00ED0F26"/>
    <w:rsid w:val="00ED1107"/>
    <w:rsid w:val="00ED1D17"/>
    <w:rsid w:val="00ED1D3A"/>
    <w:rsid w:val="00ED5BDF"/>
    <w:rsid w:val="00ED72B5"/>
    <w:rsid w:val="00ED7AA4"/>
    <w:rsid w:val="00EE0996"/>
    <w:rsid w:val="00EE0EFD"/>
    <w:rsid w:val="00EE13DE"/>
    <w:rsid w:val="00EE1743"/>
    <w:rsid w:val="00EE1D0B"/>
    <w:rsid w:val="00EE21B0"/>
    <w:rsid w:val="00EE2C34"/>
    <w:rsid w:val="00EE30DF"/>
    <w:rsid w:val="00EE39D5"/>
    <w:rsid w:val="00EE3D6E"/>
    <w:rsid w:val="00EE42A7"/>
    <w:rsid w:val="00EE6649"/>
    <w:rsid w:val="00EE6E7D"/>
    <w:rsid w:val="00EE7A62"/>
    <w:rsid w:val="00EF240A"/>
    <w:rsid w:val="00EF2E3F"/>
    <w:rsid w:val="00EF3CD2"/>
    <w:rsid w:val="00EF55FF"/>
    <w:rsid w:val="00EF56B1"/>
    <w:rsid w:val="00EF730B"/>
    <w:rsid w:val="00EF7CCB"/>
    <w:rsid w:val="00F01F59"/>
    <w:rsid w:val="00F061EE"/>
    <w:rsid w:val="00F06EC0"/>
    <w:rsid w:val="00F071B5"/>
    <w:rsid w:val="00F07870"/>
    <w:rsid w:val="00F07A56"/>
    <w:rsid w:val="00F109DD"/>
    <w:rsid w:val="00F11ABF"/>
    <w:rsid w:val="00F1214A"/>
    <w:rsid w:val="00F12320"/>
    <w:rsid w:val="00F139BE"/>
    <w:rsid w:val="00F145CA"/>
    <w:rsid w:val="00F15F34"/>
    <w:rsid w:val="00F1711B"/>
    <w:rsid w:val="00F17645"/>
    <w:rsid w:val="00F17D57"/>
    <w:rsid w:val="00F21662"/>
    <w:rsid w:val="00F22E26"/>
    <w:rsid w:val="00F240C7"/>
    <w:rsid w:val="00F249BF"/>
    <w:rsid w:val="00F24B21"/>
    <w:rsid w:val="00F25613"/>
    <w:rsid w:val="00F25AE6"/>
    <w:rsid w:val="00F30966"/>
    <w:rsid w:val="00F30BAE"/>
    <w:rsid w:val="00F3139F"/>
    <w:rsid w:val="00F31777"/>
    <w:rsid w:val="00F31C86"/>
    <w:rsid w:val="00F3224A"/>
    <w:rsid w:val="00F3377A"/>
    <w:rsid w:val="00F348CA"/>
    <w:rsid w:val="00F3567F"/>
    <w:rsid w:val="00F3594E"/>
    <w:rsid w:val="00F403BA"/>
    <w:rsid w:val="00F410A7"/>
    <w:rsid w:val="00F417D6"/>
    <w:rsid w:val="00F4185A"/>
    <w:rsid w:val="00F4263C"/>
    <w:rsid w:val="00F42AE8"/>
    <w:rsid w:val="00F42E25"/>
    <w:rsid w:val="00F441DB"/>
    <w:rsid w:val="00F45016"/>
    <w:rsid w:val="00F47EA3"/>
    <w:rsid w:val="00F50015"/>
    <w:rsid w:val="00F50753"/>
    <w:rsid w:val="00F53050"/>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3F3E"/>
    <w:rsid w:val="00F644EC"/>
    <w:rsid w:val="00F645E8"/>
    <w:rsid w:val="00F645F7"/>
    <w:rsid w:val="00F646C5"/>
    <w:rsid w:val="00F648B2"/>
    <w:rsid w:val="00F64ABD"/>
    <w:rsid w:val="00F65656"/>
    <w:rsid w:val="00F65CC2"/>
    <w:rsid w:val="00F671B0"/>
    <w:rsid w:val="00F67574"/>
    <w:rsid w:val="00F71905"/>
    <w:rsid w:val="00F71F8F"/>
    <w:rsid w:val="00F72335"/>
    <w:rsid w:val="00F733A7"/>
    <w:rsid w:val="00F73E63"/>
    <w:rsid w:val="00F74852"/>
    <w:rsid w:val="00F7512B"/>
    <w:rsid w:val="00F76A45"/>
    <w:rsid w:val="00F76CAA"/>
    <w:rsid w:val="00F76E95"/>
    <w:rsid w:val="00F777B3"/>
    <w:rsid w:val="00F77FC8"/>
    <w:rsid w:val="00F80261"/>
    <w:rsid w:val="00F80C07"/>
    <w:rsid w:val="00F8107C"/>
    <w:rsid w:val="00F813E2"/>
    <w:rsid w:val="00F82267"/>
    <w:rsid w:val="00F82E42"/>
    <w:rsid w:val="00F84B59"/>
    <w:rsid w:val="00F84F8C"/>
    <w:rsid w:val="00F85DBB"/>
    <w:rsid w:val="00F867C4"/>
    <w:rsid w:val="00F909A0"/>
    <w:rsid w:val="00F90DAF"/>
    <w:rsid w:val="00F91A09"/>
    <w:rsid w:val="00F932D5"/>
    <w:rsid w:val="00F94372"/>
    <w:rsid w:val="00F94530"/>
    <w:rsid w:val="00F946B2"/>
    <w:rsid w:val="00F9473C"/>
    <w:rsid w:val="00F9509E"/>
    <w:rsid w:val="00F958DF"/>
    <w:rsid w:val="00F95C9A"/>
    <w:rsid w:val="00F972C1"/>
    <w:rsid w:val="00FA0074"/>
    <w:rsid w:val="00FA1553"/>
    <w:rsid w:val="00FA1602"/>
    <w:rsid w:val="00FA3887"/>
    <w:rsid w:val="00FA55E5"/>
    <w:rsid w:val="00FA7232"/>
    <w:rsid w:val="00FB0122"/>
    <w:rsid w:val="00FB29A7"/>
    <w:rsid w:val="00FB2E48"/>
    <w:rsid w:val="00FB61C8"/>
    <w:rsid w:val="00FB635A"/>
    <w:rsid w:val="00FB64F3"/>
    <w:rsid w:val="00FB7CF8"/>
    <w:rsid w:val="00FC0150"/>
    <w:rsid w:val="00FC08EC"/>
    <w:rsid w:val="00FC10C9"/>
    <w:rsid w:val="00FC19CE"/>
    <w:rsid w:val="00FC2236"/>
    <w:rsid w:val="00FC26CF"/>
    <w:rsid w:val="00FC4999"/>
    <w:rsid w:val="00FC4F5C"/>
    <w:rsid w:val="00FC572B"/>
    <w:rsid w:val="00FC6743"/>
    <w:rsid w:val="00FC6786"/>
    <w:rsid w:val="00FC6E2A"/>
    <w:rsid w:val="00FC7AEF"/>
    <w:rsid w:val="00FC7E62"/>
    <w:rsid w:val="00FD084A"/>
    <w:rsid w:val="00FD1D90"/>
    <w:rsid w:val="00FD3D5C"/>
    <w:rsid w:val="00FD50A0"/>
    <w:rsid w:val="00FD68C2"/>
    <w:rsid w:val="00FD7AE2"/>
    <w:rsid w:val="00FE1761"/>
    <w:rsid w:val="00FE2E59"/>
    <w:rsid w:val="00FE3332"/>
    <w:rsid w:val="00FE455A"/>
    <w:rsid w:val="00FE4EB5"/>
    <w:rsid w:val="00FE5304"/>
    <w:rsid w:val="00FF6C26"/>
    <w:rsid w:val="00FF6E9B"/>
    <w:rsid w:val="00FF7576"/>
    <w:rsid w:val="00FF7AC6"/>
    <w:rsid w:val="015B4ABF"/>
    <w:rsid w:val="01942967"/>
    <w:rsid w:val="033F683B"/>
    <w:rsid w:val="043013E0"/>
    <w:rsid w:val="052F39B7"/>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101F3294"/>
    <w:rsid w:val="10554E67"/>
    <w:rsid w:val="10756CB1"/>
    <w:rsid w:val="11F62ADD"/>
    <w:rsid w:val="136F5E09"/>
    <w:rsid w:val="140516B9"/>
    <w:rsid w:val="14135CE9"/>
    <w:rsid w:val="143F7994"/>
    <w:rsid w:val="14556E24"/>
    <w:rsid w:val="145C09B6"/>
    <w:rsid w:val="15AC68D1"/>
    <w:rsid w:val="15E564DA"/>
    <w:rsid w:val="161C2B3E"/>
    <w:rsid w:val="17CD0F7F"/>
    <w:rsid w:val="19107E5B"/>
    <w:rsid w:val="1A09059C"/>
    <w:rsid w:val="1AA66989"/>
    <w:rsid w:val="1B574A59"/>
    <w:rsid w:val="1C8C3FCD"/>
    <w:rsid w:val="1D862D0C"/>
    <w:rsid w:val="1DB66E1B"/>
    <w:rsid w:val="1E4578B6"/>
    <w:rsid w:val="1F0577F6"/>
    <w:rsid w:val="22BD3DDC"/>
    <w:rsid w:val="2368442E"/>
    <w:rsid w:val="23EB0065"/>
    <w:rsid w:val="24180599"/>
    <w:rsid w:val="25F25922"/>
    <w:rsid w:val="26D959CA"/>
    <w:rsid w:val="277245D4"/>
    <w:rsid w:val="28114720"/>
    <w:rsid w:val="28CF63F4"/>
    <w:rsid w:val="29326DC7"/>
    <w:rsid w:val="296A57B2"/>
    <w:rsid w:val="29F26F2A"/>
    <w:rsid w:val="2A266611"/>
    <w:rsid w:val="2B4179B6"/>
    <w:rsid w:val="2BBD5ED0"/>
    <w:rsid w:val="2BC16C32"/>
    <w:rsid w:val="2C85746B"/>
    <w:rsid w:val="2CC855D1"/>
    <w:rsid w:val="2DDD422B"/>
    <w:rsid w:val="2E84548B"/>
    <w:rsid w:val="2F2B1A5B"/>
    <w:rsid w:val="2FC9681B"/>
    <w:rsid w:val="31014D28"/>
    <w:rsid w:val="34E62D8C"/>
    <w:rsid w:val="35FB623F"/>
    <w:rsid w:val="366E3B3C"/>
    <w:rsid w:val="36BE7DF1"/>
    <w:rsid w:val="370F0BCD"/>
    <w:rsid w:val="3715098A"/>
    <w:rsid w:val="377C6EFA"/>
    <w:rsid w:val="39157688"/>
    <w:rsid w:val="3A1844F4"/>
    <w:rsid w:val="3B1209F3"/>
    <w:rsid w:val="3BA011E5"/>
    <w:rsid w:val="3BDD5ED6"/>
    <w:rsid w:val="3BE22C01"/>
    <w:rsid w:val="3C5C5F5C"/>
    <w:rsid w:val="3D0B1683"/>
    <w:rsid w:val="3E596370"/>
    <w:rsid w:val="3F733949"/>
    <w:rsid w:val="3FBC6BAA"/>
    <w:rsid w:val="40865941"/>
    <w:rsid w:val="416318D4"/>
    <w:rsid w:val="417F239B"/>
    <w:rsid w:val="41A53138"/>
    <w:rsid w:val="41F25792"/>
    <w:rsid w:val="42974085"/>
    <w:rsid w:val="452B5932"/>
    <w:rsid w:val="45497D2B"/>
    <w:rsid w:val="45C11FF3"/>
    <w:rsid w:val="47775AD7"/>
    <w:rsid w:val="4A1F4764"/>
    <w:rsid w:val="4B0D67DA"/>
    <w:rsid w:val="4B104729"/>
    <w:rsid w:val="4B561588"/>
    <w:rsid w:val="4C556343"/>
    <w:rsid w:val="4CBA6D83"/>
    <w:rsid w:val="4E807534"/>
    <w:rsid w:val="4EBF1908"/>
    <w:rsid w:val="50BE485B"/>
    <w:rsid w:val="51A96FF1"/>
    <w:rsid w:val="51CE7479"/>
    <w:rsid w:val="52FE5AB1"/>
    <w:rsid w:val="53122572"/>
    <w:rsid w:val="53DA317B"/>
    <w:rsid w:val="54103AAC"/>
    <w:rsid w:val="54455AEF"/>
    <w:rsid w:val="5482205B"/>
    <w:rsid w:val="549A5B63"/>
    <w:rsid w:val="55190490"/>
    <w:rsid w:val="554C03ED"/>
    <w:rsid w:val="56555CE2"/>
    <w:rsid w:val="56A01764"/>
    <w:rsid w:val="57096E9F"/>
    <w:rsid w:val="57CD7FAB"/>
    <w:rsid w:val="57D5394B"/>
    <w:rsid w:val="59125B5B"/>
    <w:rsid w:val="5A5B099B"/>
    <w:rsid w:val="5B5D3146"/>
    <w:rsid w:val="5E653E57"/>
    <w:rsid w:val="5EDC31F2"/>
    <w:rsid w:val="5FD6799D"/>
    <w:rsid w:val="5FE175D9"/>
    <w:rsid w:val="60915A2A"/>
    <w:rsid w:val="621E6BB3"/>
    <w:rsid w:val="629F59D2"/>
    <w:rsid w:val="63C64EB3"/>
    <w:rsid w:val="648D0D03"/>
    <w:rsid w:val="654222D3"/>
    <w:rsid w:val="66C24EF1"/>
    <w:rsid w:val="66CC0AAD"/>
    <w:rsid w:val="689A3E47"/>
    <w:rsid w:val="68AE5B14"/>
    <w:rsid w:val="697A70E8"/>
    <w:rsid w:val="6AB96073"/>
    <w:rsid w:val="6B912F3A"/>
    <w:rsid w:val="6BCC359A"/>
    <w:rsid w:val="6D870C0C"/>
    <w:rsid w:val="6EA339BF"/>
    <w:rsid w:val="6F207AEE"/>
    <w:rsid w:val="6F4D3385"/>
    <w:rsid w:val="6FDB6AFA"/>
    <w:rsid w:val="70550787"/>
    <w:rsid w:val="7086429A"/>
    <w:rsid w:val="710A6D7C"/>
    <w:rsid w:val="72147D8C"/>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BC62B6D"/>
    <w:rsid w:val="7BD62FA6"/>
    <w:rsid w:val="7CF56221"/>
    <w:rsid w:val="7D353CCF"/>
    <w:rsid w:val="7EB65FCC"/>
    <w:rsid w:val="7EDF78F9"/>
    <w:rsid w:val="7F9032AD"/>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0"/>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0"/>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link w:val="374"/>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font31"/>
    <w:basedOn w:val="55"/>
    <w:qFormat/>
    <w:uiPriority w:val="0"/>
    <w:rPr>
      <w:rFonts w:hint="eastAsia" w:ascii="宋体" w:hAnsi="宋体" w:eastAsia="宋体" w:cs="宋体"/>
      <w:color w:val="FF0000"/>
      <w:kern w:val="2"/>
      <w:sz w:val="22"/>
      <w:szCs w:val="22"/>
      <w:lang w:val="en-US" w:eastAsia="zh-CN" w:bidi="ar-SA"/>
    </w:rPr>
  </w:style>
  <w:style w:type="paragraph" w:customStyle="1" w:styleId="373">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374">
    <w:name w:val="列出段落 Char"/>
    <w:link w:val="127"/>
    <w:qFormat/>
    <w:uiPriority w:val="34"/>
    <w:rPr>
      <w:kern w:val="2"/>
      <w:sz w:val="21"/>
    </w:rPr>
  </w:style>
  <w:style w:type="character" w:customStyle="1" w:styleId="375">
    <w:name w:val="正文缩进 Char"/>
    <w:qFormat/>
    <w:uiPriority w:val="0"/>
    <w:rPr>
      <w:rFonts w:ascii="Tahoma" w:hAnsi="Tahoma" w:eastAsia="宋体" w:cs="Times New Roman"/>
      <w:szCs w:val="24"/>
    </w:rPr>
  </w:style>
  <w:style w:type="paragraph" w:customStyle="1" w:styleId="37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77">
    <w:name w:val="L-正文"/>
    <w:basedOn w:val="6"/>
    <w:qFormat/>
    <w:uiPriority w:val="0"/>
    <w:pPr>
      <w:autoSpaceDE/>
      <w:autoSpaceDN/>
      <w:adjustRightInd/>
      <w:spacing w:line="360" w:lineRule="auto"/>
      <w:ind w:firstLine="480" w:firstLineChars="200"/>
      <w:jc w:val="both"/>
    </w:pPr>
    <w:rPr>
      <w:rFonts w:ascii="宋体" w:hAnsi="宋体" w:eastAsia="宋体"/>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package" Target="embeddings/Microsoft_Visio___3.vsdx"/><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5BB8C-4416-4CA8-96B9-C56F9D6FEB54}">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65</Pages>
  <Words>28941</Words>
  <Characters>30299</Characters>
  <Lines>234</Lines>
  <Paragraphs>66</Paragraphs>
  <TotalTime>48</TotalTime>
  <ScaleCrop>false</ScaleCrop>
  <LinksUpToDate>false</LinksUpToDate>
  <CharactersWithSpaces>31145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2022-08-18T08:03:00Z</dcterms:created>
  <dc:creator>Administrator</dc:creator>
  <cp:lastModifiedBy>Ccyu.</cp:lastModifiedBy>
  <cp:lastPrinted>2017-04-10T13:36:00Z</cp:lastPrinted>
  <dcterms:modified xsi:type="dcterms:W3CDTF">2022-09-02T01:44:10Z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EF0D5DD9EC8B4CDB88BAB6FB3D0215BE</vt:lpwstr>
  </property>
</Properties>
</file>