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0"/>
        <w:rPr>
          <w:rFonts w:eastAsia="仿宋_GB2312"/>
          <w:color w:val="000000" w:themeColor="text1"/>
          <w:sz w:val="28"/>
          <w:szCs w:val="28"/>
          <w14:textFill>
            <w14:solidFill>
              <w14:schemeClr w14:val="tx1"/>
            </w14:solidFill>
          </w14:textFill>
        </w:rPr>
      </w:pPr>
      <w:bookmarkStart w:id="0" w:name="_Hlk97121947"/>
    </w:p>
    <w:p>
      <w:pPr>
        <w:spacing w:line="360" w:lineRule="auto"/>
        <w:ind w:firstLine="560"/>
        <w:rPr>
          <w:rFonts w:eastAsia="仿宋_GB2312"/>
          <w:color w:val="000000" w:themeColor="text1"/>
          <w:sz w:val="28"/>
          <w:szCs w:val="28"/>
          <w14:textFill>
            <w14:solidFill>
              <w14:schemeClr w14:val="tx1"/>
            </w14:solidFill>
          </w14:textFill>
        </w:rPr>
      </w:pPr>
    </w:p>
    <w:p>
      <w:pPr>
        <w:spacing w:line="360" w:lineRule="auto"/>
        <w:ind w:firstLine="560"/>
        <w:jc w:val="center"/>
        <w:rPr>
          <w:rFonts w:ascii="微软雅黑" w:hAnsi="微软雅黑" w:eastAsia="微软雅黑"/>
          <w:b/>
          <w:bCs/>
          <w:color w:val="000000" w:themeColor="text1"/>
          <w:sz w:val="44"/>
          <w:szCs w:val="44"/>
          <w14:textFill>
            <w14:solidFill>
              <w14:schemeClr w14:val="tx1"/>
            </w14:solidFill>
          </w14:textFill>
        </w:rPr>
      </w:pPr>
      <w:r>
        <w:rPr>
          <w:rFonts w:hint="eastAsia" w:ascii="微软雅黑" w:hAnsi="微软雅黑" w:eastAsia="微软雅黑"/>
          <w:b/>
          <w:bCs/>
          <w:color w:val="000000" w:themeColor="text1"/>
          <w:sz w:val="44"/>
          <w:szCs w:val="44"/>
          <w14:textFill>
            <w14:solidFill>
              <w14:schemeClr w14:val="tx1"/>
            </w14:solidFill>
          </w14:textFill>
        </w:rPr>
        <w:t>江苏省广电有线信息网络股份有限公司</w:t>
      </w:r>
    </w:p>
    <w:p>
      <w:pPr>
        <w:spacing w:after="120" w:line="360" w:lineRule="auto"/>
        <w:jc w:val="center"/>
        <w:rPr>
          <w:rFonts w:ascii="微软雅黑" w:hAnsi="微软雅黑" w:eastAsia="微软雅黑"/>
          <w:b/>
          <w:bCs/>
          <w:color w:val="000000" w:themeColor="text1"/>
          <w:sz w:val="44"/>
          <w:szCs w:val="44"/>
          <w:highlight w:val="none"/>
          <w14:textFill>
            <w14:solidFill>
              <w14:schemeClr w14:val="tx1"/>
            </w14:solidFill>
          </w14:textFill>
        </w:rPr>
      </w:pPr>
      <w:bookmarkStart w:id="1" w:name="_Hlk114057522"/>
      <w:bookmarkStart w:id="2" w:name="_Hlk106266181"/>
      <w:bookmarkStart w:id="3" w:name="_Toc227057880"/>
      <w:r>
        <w:rPr>
          <w:rFonts w:ascii="微软雅黑" w:hAnsi="微软雅黑" w:eastAsia="微软雅黑"/>
          <w:b/>
          <w:bCs/>
          <w:color w:val="000000" w:themeColor="text1"/>
          <w:sz w:val="44"/>
          <w:szCs w:val="44"/>
          <w:highlight w:val="none"/>
          <w14:textFill>
            <w14:solidFill>
              <w14:schemeClr w14:val="tx1"/>
            </w14:solidFill>
          </w14:textFill>
        </w:rPr>
        <w:t>数据中心节能改造</w:t>
      </w:r>
      <w:r>
        <w:rPr>
          <w:rFonts w:hint="eastAsia" w:ascii="微软雅黑" w:hAnsi="微软雅黑" w:eastAsia="微软雅黑"/>
          <w:b/>
          <w:bCs/>
          <w:color w:val="000000" w:themeColor="text1"/>
          <w:sz w:val="44"/>
          <w:szCs w:val="44"/>
          <w:highlight w:val="none"/>
          <w14:textFill>
            <w14:solidFill>
              <w14:schemeClr w14:val="tx1"/>
            </w14:solidFill>
          </w14:textFill>
        </w:rPr>
        <w:t>项目</w:t>
      </w:r>
      <w:bookmarkEnd w:id="1"/>
      <w:r>
        <w:rPr>
          <w:rFonts w:hint="eastAsia" w:ascii="微软雅黑" w:hAnsi="微软雅黑" w:eastAsia="微软雅黑"/>
          <w:b/>
          <w:bCs/>
          <w:color w:val="000000" w:themeColor="text1"/>
          <w:sz w:val="44"/>
          <w:szCs w:val="44"/>
          <w:highlight w:val="none"/>
          <w14:textFill>
            <w14:solidFill>
              <w14:schemeClr w14:val="tx1"/>
            </w14:solidFill>
          </w14:textFill>
        </w:rPr>
        <w:t>（第二次）</w:t>
      </w:r>
    </w:p>
    <w:bookmarkEnd w:id="2"/>
    <w:p>
      <w:pPr>
        <w:spacing w:after="120" w:line="360" w:lineRule="auto"/>
        <w:jc w:val="center"/>
        <w:rPr>
          <w:rFonts w:hint="eastAsia" w:ascii="微软雅黑" w:hAnsi="微软雅黑" w:eastAsia="微软雅黑"/>
          <w:b/>
          <w:bCs/>
          <w:color w:val="000000" w:themeColor="text1"/>
          <w:sz w:val="44"/>
          <w:szCs w:val="44"/>
          <w:highlight w:val="none"/>
          <w14:textFill>
            <w14:solidFill>
              <w14:schemeClr w14:val="tx1"/>
            </w14:solidFill>
          </w14:textFill>
        </w:rPr>
      </w:pPr>
      <w:r>
        <w:rPr>
          <w:rFonts w:hint="eastAsia" w:ascii="微软雅黑" w:hAnsi="微软雅黑" w:eastAsia="微软雅黑"/>
          <w:b/>
          <w:bCs/>
          <w:color w:val="000000" w:themeColor="text1"/>
          <w:sz w:val="44"/>
          <w:szCs w:val="44"/>
          <w:highlight w:val="none"/>
          <w14:textFill>
            <w14:solidFill>
              <w14:schemeClr w14:val="tx1"/>
            </w14:solidFill>
          </w14:textFill>
        </w:rPr>
        <w:t>竞争性磋商文件</w:t>
      </w:r>
    </w:p>
    <w:p>
      <w:pPr>
        <w:pStyle w:val="2"/>
        <w:rPr>
          <w:highlight w:val="none"/>
        </w:rPr>
      </w:pPr>
    </w:p>
    <w:p>
      <w:pPr>
        <w:spacing w:after="120" w:line="360" w:lineRule="auto"/>
        <w:jc w:val="center"/>
        <w:rPr>
          <w:b/>
          <w:bCs/>
          <w:color w:val="000000" w:themeColor="text1"/>
          <w:sz w:val="32"/>
          <w:szCs w:val="32"/>
          <w:highlight w:val="none"/>
          <w14:textFill>
            <w14:solidFill>
              <w14:schemeClr w14:val="tx1"/>
            </w14:solidFill>
          </w14:textFill>
        </w:rPr>
      </w:pPr>
      <w:r>
        <w:rPr>
          <w:rFonts w:hint="eastAsia"/>
          <w:b/>
          <w:bCs/>
          <w:color w:val="000000" w:themeColor="text1"/>
          <w:sz w:val="32"/>
          <w:szCs w:val="32"/>
          <w:highlight w:val="none"/>
          <w14:textFill>
            <w14:solidFill>
              <w14:schemeClr w14:val="tx1"/>
            </w14:solidFill>
          </w14:textFill>
        </w:rPr>
        <w:t>（第一包：动环系统新增电表及系统集成）</w:t>
      </w:r>
    </w:p>
    <w:p>
      <w:pPr>
        <w:jc w:val="center"/>
        <w:rPr>
          <w:rFonts w:ascii="仿宋_GB2312" w:hAnsi="宋体" w:eastAsia="仿宋_GB2312"/>
          <w:b/>
          <w:color w:val="000000" w:themeColor="text1"/>
          <w:sz w:val="32"/>
          <w:szCs w:val="32"/>
          <w:highlight w:val="none"/>
          <w14:textFill>
            <w14:solidFill>
              <w14:schemeClr w14:val="tx1"/>
            </w14:solidFill>
          </w14:textFill>
        </w:rPr>
      </w:pPr>
    </w:p>
    <w:p>
      <w:pPr>
        <w:jc w:val="center"/>
        <w:rPr>
          <w:rFonts w:ascii="仿宋_GB2312" w:hAnsi="宋体" w:eastAsia="仿宋_GB2312"/>
          <w:b/>
          <w:color w:val="000000" w:themeColor="text1"/>
          <w:sz w:val="32"/>
          <w:szCs w:val="32"/>
          <w14:textFill>
            <w14:solidFill>
              <w14:schemeClr w14:val="tx1"/>
            </w14:solidFill>
          </w14:textFill>
        </w:rPr>
      </w:pPr>
    </w:p>
    <w:p>
      <w:pPr>
        <w:jc w:val="center"/>
        <w:rPr>
          <w:rFonts w:ascii="仿宋_GB2312" w:hAnsi="宋体" w:eastAsia="仿宋_GB2312"/>
          <w:b/>
          <w:color w:val="000000" w:themeColor="text1"/>
          <w:sz w:val="32"/>
          <w:szCs w:val="32"/>
          <w14:textFill>
            <w14:solidFill>
              <w14:schemeClr w14:val="tx1"/>
            </w14:solidFill>
          </w14:textFill>
        </w:rPr>
      </w:pPr>
    </w:p>
    <w:p>
      <w:pPr>
        <w:spacing w:after="120" w:line="360" w:lineRule="auto"/>
        <w:jc w:val="center"/>
        <w:rPr>
          <w:rFonts w:ascii="仿宋_GB2312" w:hAnsi="宋体" w:eastAsia="仿宋_GB2312"/>
          <w:b/>
          <w:color w:val="000000" w:themeColor="text1"/>
          <w:sz w:val="32"/>
          <w:szCs w:val="32"/>
          <w14:textFill>
            <w14:solidFill>
              <w14:schemeClr w14:val="tx1"/>
            </w14:solidFill>
          </w14:textFill>
        </w:rPr>
      </w:pPr>
    </w:p>
    <w:p>
      <w:pPr>
        <w:spacing w:after="120" w:line="360" w:lineRule="auto"/>
        <w:jc w:val="center"/>
        <w:rPr>
          <w:rFonts w:ascii="仿宋_GB2312" w:hAnsi="宋体" w:eastAsia="仿宋_GB2312"/>
          <w:b/>
          <w:color w:val="000000" w:themeColor="text1"/>
          <w:sz w:val="32"/>
          <w:szCs w:val="32"/>
          <w14:textFill>
            <w14:solidFill>
              <w14:schemeClr w14:val="tx1"/>
            </w14:solidFill>
          </w14:textFill>
        </w:rPr>
      </w:pPr>
    </w:p>
    <w:p>
      <w:pPr>
        <w:spacing w:after="120" w:line="360" w:lineRule="auto"/>
        <w:jc w:val="center"/>
        <w:rPr>
          <w:rFonts w:ascii="仿宋_GB2312" w:hAnsi="宋体" w:eastAsia="仿宋_GB2312"/>
          <w:b/>
          <w:color w:val="000000" w:themeColor="text1"/>
          <w:sz w:val="32"/>
          <w:szCs w:val="32"/>
          <w14:textFill>
            <w14:solidFill>
              <w14:schemeClr w14:val="tx1"/>
            </w14:solidFill>
          </w14:textFill>
        </w:rPr>
      </w:pPr>
    </w:p>
    <w:p>
      <w:pPr>
        <w:spacing w:after="120" w:line="360" w:lineRule="auto"/>
        <w:jc w:val="center"/>
        <w:rPr>
          <w:rFonts w:ascii="仿宋_GB2312" w:hAnsi="宋体" w:eastAsia="仿宋_GB2312"/>
          <w:b/>
          <w:color w:val="000000" w:themeColor="text1"/>
          <w:sz w:val="32"/>
          <w:szCs w:val="32"/>
          <w14:textFill>
            <w14:solidFill>
              <w14:schemeClr w14:val="tx1"/>
            </w14:solidFill>
          </w14:textFill>
        </w:rPr>
      </w:pPr>
    </w:p>
    <w:p>
      <w:pPr>
        <w:spacing w:after="120" w:line="360" w:lineRule="auto"/>
        <w:jc w:val="center"/>
        <w:rPr>
          <w:rFonts w:ascii="微软雅黑" w:hAnsi="微软雅黑" w:eastAsia="微软雅黑"/>
          <w:b/>
          <w:color w:val="000000" w:themeColor="text1"/>
          <w:sz w:val="28"/>
          <w:szCs w:val="28"/>
          <w14:textFill>
            <w14:solidFill>
              <w14:schemeClr w14:val="tx1"/>
            </w14:solidFill>
          </w14:textFill>
        </w:rPr>
      </w:pPr>
      <w:r>
        <w:rPr>
          <w:rFonts w:hint="eastAsia" w:ascii="微软雅黑" w:hAnsi="微软雅黑" w:eastAsia="微软雅黑"/>
          <w:b/>
          <w:color w:val="000000" w:themeColor="text1"/>
          <w:sz w:val="28"/>
          <w:szCs w:val="28"/>
          <w14:textFill>
            <w14:solidFill>
              <w14:schemeClr w14:val="tx1"/>
            </w14:solidFill>
          </w14:textFill>
        </w:rPr>
        <w:t>采购人：</w:t>
      </w:r>
      <w:r>
        <w:rPr>
          <w:rFonts w:ascii="微软雅黑" w:hAnsi="微软雅黑" w:eastAsia="微软雅黑"/>
          <w:b/>
          <w:color w:val="000000" w:themeColor="text1"/>
          <w:sz w:val="28"/>
          <w:szCs w:val="28"/>
          <w14:textFill>
            <w14:solidFill>
              <w14:schemeClr w14:val="tx1"/>
            </w14:solidFill>
          </w14:textFill>
        </w:rPr>
        <w:t>江苏省广电有线信息网络股份有限公司</w:t>
      </w:r>
    </w:p>
    <w:p>
      <w:pPr>
        <w:spacing w:after="120" w:line="360" w:lineRule="auto"/>
        <w:jc w:val="center"/>
        <w:rPr>
          <w:rFonts w:ascii="微软雅黑" w:hAnsi="微软雅黑" w:eastAsia="微软雅黑"/>
          <w:b/>
          <w:color w:val="000000" w:themeColor="text1"/>
          <w:sz w:val="28"/>
          <w:szCs w:val="28"/>
          <w14:textFill>
            <w14:solidFill>
              <w14:schemeClr w14:val="tx1"/>
            </w14:solidFill>
          </w14:textFill>
        </w:rPr>
      </w:pPr>
      <w:r>
        <w:rPr>
          <w:rFonts w:hint="eastAsia" w:ascii="微软雅黑" w:hAnsi="微软雅黑" w:eastAsia="微软雅黑"/>
          <w:b/>
          <w:color w:val="000000" w:themeColor="text1"/>
          <w:sz w:val="28"/>
          <w:szCs w:val="28"/>
          <w14:textFill>
            <w14:solidFill>
              <w14:schemeClr w14:val="tx1"/>
            </w14:solidFill>
          </w14:textFill>
        </w:rPr>
        <w:t>安播运维部</w:t>
      </w:r>
    </w:p>
    <w:p>
      <w:pPr>
        <w:pStyle w:val="21"/>
        <w:adjustRightInd w:val="0"/>
        <w:snapToGrid w:val="0"/>
        <w:spacing w:before="380" w:beforeLines="100" w:after="380" w:afterLines="100"/>
        <w:ind w:right="210" w:rightChars="100"/>
        <w:jc w:val="center"/>
        <w:rPr>
          <w:rFonts w:ascii="微软雅黑" w:hAnsi="微软雅黑" w:eastAsia="微软雅黑"/>
          <w:b/>
          <w:bCs/>
          <w:color w:val="000000" w:themeColor="text1"/>
          <w:szCs w:val="28"/>
          <w14:textFill>
            <w14:solidFill>
              <w14:schemeClr w14:val="tx1"/>
            </w14:solidFill>
          </w14:textFill>
        </w:rPr>
      </w:pPr>
      <w:r>
        <w:rPr>
          <w:rFonts w:hint="eastAsia" w:ascii="微软雅黑" w:hAnsi="微软雅黑" w:eastAsia="微软雅黑"/>
          <w:b/>
          <w:color w:val="000000" w:themeColor="text1"/>
          <w:szCs w:val="28"/>
          <w14:textFill>
            <w14:solidFill>
              <w14:schemeClr w14:val="tx1"/>
            </w14:solidFill>
          </w14:textFill>
        </w:rPr>
        <w:t xml:space="preserve"> 二〇二二年九月</w:t>
      </w:r>
    </w:p>
    <w:p>
      <w:pPr>
        <w:spacing w:after="120" w:line="360" w:lineRule="auto"/>
        <w:ind w:firstLine="1405" w:firstLineChars="500"/>
        <w:rPr>
          <w:b/>
          <w:color w:val="000000" w:themeColor="text1"/>
          <w:sz w:val="28"/>
          <w:szCs w:val="28"/>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906" w:h="16838"/>
          <w:pgMar w:top="1440" w:right="1826" w:bottom="1440" w:left="1797" w:header="851" w:footer="992" w:gutter="0"/>
          <w:cols w:space="720" w:num="1"/>
          <w:titlePg/>
          <w:docGrid w:type="lines" w:linePitch="380" w:charSpace="0"/>
        </w:sectPr>
      </w:pPr>
    </w:p>
    <w:p>
      <w:pPr>
        <w:spacing w:after="120" w:line="360" w:lineRule="atLeast"/>
        <w:jc w:val="center"/>
        <w:rPr>
          <w:color w:val="000000" w:themeColor="text1"/>
          <w14:textFill>
            <w14:solidFill>
              <w14:schemeClr w14:val="tx1"/>
            </w14:solidFill>
          </w14:textFill>
        </w:rPr>
      </w:pPr>
    </w:p>
    <w:p>
      <w:pPr>
        <w:pStyle w:val="118"/>
        <w:numPr>
          <w:ilvl w:val="0"/>
          <w:numId w:val="0"/>
        </w:numPr>
        <w:ind w:left="288"/>
        <w:jc w:val="center"/>
        <w:rPr>
          <w:color w:val="000000" w:themeColor="text1"/>
          <w14:textFill>
            <w14:solidFill>
              <w14:schemeClr w14:val="tx1"/>
            </w14:solidFill>
          </w14:textFill>
        </w:rPr>
      </w:pPr>
      <w:r>
        <w:rPr>
          <w:rFonts w:ascii="宋体" w:hAnsi="宋体" w:eastAsia="宋体"/>
          <w:color w:val="000000" w:themeColor="text1"/>
          <w:sz w:val="30"/>
          <w:szCs w:val="30"/>
          <w:lang w:val="zh-CN"/>
          <w14:textFill>
            <w14:solidFill>
              <w14:schemeClr w14:val="tx1"/>
            </w14:solidFill>
          </w14:textFill>
        </w:rPr>
        <w:t>目录</w:t>
      </w:r>
    </w:p>
    <w:p>
      <w:pPr>
        <w:pStyle w:val="38"/>
        <w:rPr>
          <w:rFonts w:ascii="Calibri" w:hAnsi="Calibri" w:eastAsia="宋体"/>
          <w:caps w:val="0"/>
          <w:color w:val="000000" w:themeColor="text1"/>
          <w:kern w:val="2"/>
          <w:szCs w:val="22"/>
          <w14:textFill>
            <w14:solidFill>
              <w14:schemeClr w14:val="tx1"/>
            </w14:solidFill>
          </w14:textFill>
        </w:rPr>
      </w:pPr>
      <w:r>
        <w:rPr>
          <w:rFonts w:ascii="宋体" w:hAnsi="宋体" w:eastAsia="宋体"/>
          <w:color w:val="000000" w:themeColor="text1"/>
          <w:sz w:val="20"/>
          <w:szCs w:val="20"/>
          <w14:textFill>
            <w14:solidFill>
              <w14:schemeClr w14:val="tx1"/>
            </w14:solidFill>
          </w14:textFill>
        </w:rPr>
        <w:fldChar w:fldCharType="begin"/>
      </w:r>
      <w:r>
        <w:rPr>
          <w:rFonts w:ascii="宋体" w:hAnsi="宋体" w:eastAsia="宋体"/>
          <w:color w:val="000000" w:themeColor="text1"/>
          <w:sz w:val="20"/>
          <w:szCs w:val="20"/>
          <w14:textFill>
            <w14:solidFill>
              <w14:schemeClr w14:val="tx1"/>
            </w14:solidFill>
          </w14:textFill>
        </w:rPr>
        <w:instrText xml:space="preserve"> TOC \o "1-3" \h \z \u </w:instrText>
      </w:r>
      <w:r>
        <w:rPr>
          <w:rFonts w:ascii="宋体" w:hAnsi="宋体" w:eastAsia="宋体"/>
          <w:color w:val="000000" w:themeColor="text1"/>
          <w:sz w:val="20"/>
          <w:szCs w:val="20"/>
          <w14:textFill>
            <w14:solidFill>
              <w14:schemeClr w14:val="tx1"/>
            </w14:solidFill>
          </w14:textFill>
        </w:rPr>
        <w:fldChar w:fldCharType="separate"/>
      </w:r>
      <w:r>
        <w:fldChar w:fldCharType="begin"/>
      </w:r>
      <w:r>
        <w:instrText xml:space="preserve"> HYPERLINK \l "_Toc69378615" </w:instrText>
      </w:r>
      <w:r>
        <w:fldChar w:fldCharType="separate"/>
      </w:r>
      <w:r>
        <w:rPr>
          <w:rStyle w:val="60"/>
          <w:rFonts w:hint="eastAsia"/>
          <w:b/>
          <w:color w:val="000000" w:themeColor="text1"/>
          <w14:textFill>
            <w14:solidFill>
              <w14:schemeClr w14:val="tx1"/>
            </w14:solidFill>
          </w14:textFill>
        </w:rPr>
        <w:t>第一章 竞争性磋商公告</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_Toc69378615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8"/>
        <w:rPr>
          <w:rFonts w:ascii="Calibri" w:hAnsi="Calibri"/>
          <w:caps w:val="0"/>
          <w:color w:val="000000" w:themeColor="text1"/>
          <w:kern w:val="2"/>
          <w:szCs w:val="22"/>
          <w14:textFill>
            <w14:solidFill>
              <w14:schemeClr w14:val="tx1"/>
            </w14:solidFill>
          </w14:textFill>
        </w:rPr>
      </w:pPr>
      <w:r>
        <w:fldChar w:fldCharType="begin"/>
      </w:r>
      <w:r>
        <w:instrText xml:space="preserve"> HYPERLINK \l "_Toc69378616" </w:instrText>
      </w:r>
      <w:r>
        <w:fldChar w:fldCharType="separate"/>
      </w:r>
      <w:r>
        <w:rPr>
          <w:rStyle w:val="60"/>
          <w:rFonts w:hint="eastAsia"/>
          <w:b/>
          <w:color w:val="000000" w:themeColor="text1"/>
          <w14:textFill>
            <w14:solidFill>
              <w14:schemeClr w14:val="tx1"/>
            </w14:solidFill>
          </w14:textFill>
        </w:rPr>
        <w:t>第二章 竞争性磋商须知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6</w:t>
      </w:r>
    </w:p>
    <w:p>
      <w:pPr>
        <w:pStyle w:val="38"/>
        <w:rPr>
          <w:rFonts w:ascii="Calibri" w:hAnsi="Calibri"/>
          <w:caps w:val="0"/>
          <w:color w:val="000000" w:themeColor="text1"/>
          <w:kern w:val="2"/>
          <w:szCs w:val="22"/>
          <w14:textFill>
            <w14:solidFill>
              <w14:schemeClr w14:val="tx1"/>
            </w14:solidFill>
          </w14:textFill>
        </w:rPr>
      </w:pPr>
      <w:r>
        <w:fldChar w:fldCharType="begin"/>
      </w:r>
      <w:r>
        <w:instrText xml:space="preserve"> HYPERLINK \l "_Toc69378617" </w:instrText>
      </w:r>
      <w:r>
        <w:fldChar w:fldCharType="separate"/>
      </w:r>
      <w:r>
        <w:rPr>
          <w:rStyle w:val="60"/>
          <w:rFonts w:hint="eastAsia"/>
          <w:b/>
          <w:color w:val="000000" w:themeColor="text1"/>
          <w14:textFill>
            <w14:solidFill>
              <w14:schemeClr w14:val="tx1"/>
            </w14:solidFill>
          </w14:textFill>
        </w:rPr>
        <w:t>第三章 评审办法</w:t>
      </w:r>
      <w:r>
        <w:rPr>
          <w:color w:val="000000" w:themeColor="text1"/>
          <w14:textFill>
            <w14:solidFill>
              <w14:schemeClr w14:val="tx1"/>
            </w14:solidFill>
          </w14:textFill>
        </w:rPr>
        <w:tab/>
      </w:r>
      <w:r>
        <w:rPr>
          <w:rFonts w:hint="eastAsia"/>
          <w:color w:val="000000" w:themeColor="text1"/>
          <w14:textFill>
            <w14:solidFill>
              <w14:schemeClr w14:val="tx1"/>
            </w14:solidFill>
          </w14:textFill>
        </w:rPr>
        <w:t>1</w:t>
      </w:r>
      <w:r>
        <w:rPr>
          <w:rFonts w:hint="eastAsia"/>
          <w:color w:val="000000" w:themeColor="text1"/>
          <w14:textFill>
            <w14:solidFill>
              <w14:schemeClr w14:val="tx1"/>
            </w14:solidFill>
          </w14:textFill>
        </w:rPr>
        <w:fldChar w:fldCharType="end"/>
      </w:r>
      <w:r>
        <w:rPr>
          <w:color w:val="000000" w:themeColor="text1"/>
          <w14:textFill>
            <w14:solidFill>
              <w14:schemeClr w14:val="tx1"/>
            </w14:solidFill>
          </w14:textFill>
        </w:rPr>
        <w:t>6</w:t>
      </w:r>
    </w:p>
    <w:p>
      <w:pPr>
        <w:pStyle w:val="38"/>
        <w:rPr>
          <w:rFonts w:ascii="Calibri" w:hAnsi="Calibri"/>
          <w:caps w:val="0"/>
          <w:color w:val="000000" w:themeColor="text1"/>
          <w:kern w:val="2"/>
          <w:szCs w:val="22"/>
          <w14:textFill>
            <w14:solidFill>
              <w14:schemeClr w14:val="tx1"/>
            </w14:solidFill>
          </w14:textFill>
        </w:rPr>
      </w:pPr>
      <w:r>
        <w:fldChar w:fldCharType="begin"/>
      </w:r>
      <w:r>
        <w:instrText xml:space="preserve"> HYPERLINK \l "_Toc69378618" </w:instrText>
      </w:r>
      <w:r>
        <w:fldChar w:fldCharType="separate"/>
      </w:r>
      <w:r>
        <w:rPr>
          <w:rStyle w:val="60"/>
          <w:rFonts w:hint="eastAsia"/>
          <w:b/>
          <w:color w:val="000000" w:themeColor="text1"/>
          <w14:textFill>
            <w14:solidFill>
              <w14:schemeClr w14:val="tx1"/>
            </w14:solidFill>
          </w14:textFill>
        </w:rPr>
        <w:t>第四章 合同格式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r>
        <w:rPr>
          <w:color w:val="000000" w:themeColor="text1"/>
          <w14:textFill>
            <w14:solidFill>
              <w14:schemeClr w14:val="tx1"/>
            </w14:solidFill>
          </w14:textFill>
        </w:rPr>
        <w:t>18</w:t>
      </w:r>
    </w:p>
    <w:p>
      <w:pPr>
        <w:pStyle w:val="38"/>
        <w:rPr>
          <w:rFonts w:ascii="Calibri" w:hAnsi="Calibri"/>
          <w:caps w:val="0"/>
          <w:color w:val="000000" w:themeColor="text1"/>
          <w:kern w:val="2"/>
          <w:szCs w:val="22"/>
          <w14:textFill>
            <w14:solidFill>
              <w14:schemeClr w14:val="tx1"/>
            </w14:solidFill>
          </w14:textFill>
        </w:rPr>
      </w:pPr>
      <w:r>
        <w:fldChar w:fldCharType="begin"/>
      </w:r>
      <w:r>
        <w:instrText xml:space="preserve"> HYPERLINK \l "_Toc69378637" </w:instrText>
      </w:r>
      <w:r>
        <w:fldChar w:fldCharType="separate"/>
      </w:r>
      <w:r>
        <w:rPr>
          <w:rStyle w:val="60"/>
          <w:rFonts w:hint="eastAsia"/>
          <w:b/>
          <w:color w:val="000000" w:themeColor="text1"/>
          <w14:textFill>
            <w14:solidFill>
              <w14:schemeClr w14:val="tx1"/>
            </w14:solidFill>
          </w14:textFill>
        </w:rPr>
        <w:t>第五章 技术需求书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r>
        <w:rPr>
          <w:color w:val="000000" w:themeColor="text1"/>
          <w14:textFill>
            <w14:solidFill>
              <w14:schemeClr w14:val="tx1"/>
            </w14:solidFill>
          </w14:textFill>
        </w:rPr>
        <w:t>28</w:t>
      </w:r>
    </w:p>
    <w:p>
      <w:pPr>
        <w:pStyle w:val="38"/>
        <w:rPr>
          <w:color w:val="000000" w:themeColor="text1"/>
          <w14:textFill>
            <w14:solidFill>
              <w14:schemeClr w14:val="tx1"/>
            </w14:solidFill>
          </w14:textFill>
        </w:rPr>
      </w:pPr>
      <w:r>
        <w:fldChar w:fldCharType="begin"/>
      </w:r>
      <w:r>
        <w:instrText xml:space="preserve"> HYPERLINK \l "_Toc69378657" </w:instrText>
      </w:r>
      <w:r>
        <w:fldChar w:fldCharType="separate"/>
      </w:r>
      <w:r>
        <w:rPr>
          <w:rStyle w:val="60"/>
          <w:rFonts w:hint="eastAsia"/>
          <w:b/>
          <w:bCs/>
          <w:color w:val="000000" w:themeColor="text1"/>
          <w:kern w:val="44"/>
          <w14:textFill>
            <w14:solidFill>
              <w14:schemeClr w14:val="tx1"/>
            </w14:solidFill>
          </w14:textFill>
        </w:rPr>
        <w:t>第六章 竞争性磋商响应文件格式</w:t>
      </w:r>
      <w:r>
        <w:rPr>
          <w:color w:val="000000" w:themeColor="text1"/>
          <w14:textFill>
            <w14:solidFill>
              <w14:schemeClr w14:val="tx1"/>
            </w14:solidFill>
          </w14:textFill>
        </w:rPr>
        <w:tab/>
      </w:r>
      <w:r>
        <w:rPr>
          <w:color w:val="000000" w:themeColor="text1"/>
          <w14:textFill>
            <w14:solidFill>
              <w14:schemeClr w14:val="tx1"/>
            </w14:solidFill>
          </w14:textFill>
        </w:rPr>
        <w:t>46</w:t>
      </w:r>
      <w:r>
        <w:rPr>
          <w:color w:val="000000" w:themeColor="text1"/>
          <w14:textFill>
            <w14:solidFill>
              <w14:schemeClr w14:val="tx1"/>
            </w14:solidFill>
          </w14:textFill>
        </w:rPr>
        <w:fldChar w:fldCharType="end"/>
      </w:r>
    </w:p>
    <w:p>
      <w:pPr>
        <w:pStyle w:val="38"/>
        <w:rPr>
          <w:rFonts w:ascii="Calibri" w:hAnsi="Calibri"/>
          <w:caps w:val="0"/>
          <w:color w:val="000000" w:themeColor="text1"/>
          <w:kern w:val="2"/>
          <w:szCs w:val="22"/>
          <w14:textFill>
            <w14:solidFill>
              <w14:schemeClr w14:val="tx1"/>
            </w14:solidFill>
          </w14:textFill>
        </w:rPr>
      </w:pPr>
      <w:r>
        <w:fldChar w:fldCharType="begin"/>
      </w:r>
      <w:r>
        <w:instrText xml:space="preserve"> HYPERLINK \l "_Toc69378657" </w:instrText>
      </w:r>
      <w:r>
        <w:fldChar w:fldCharType="separate"/>
      </w:r>
      <w:r>
        <w:rPr>
          <w:rStyle w:val="60"/>
          <w:rFonts w:hint="eastAsia"/>
          <w:b/>
          <w:bCs/>
          <w:color w:val="000000" w:themeColor="text1"/>
          <w:kern w:val="44"/>
          <w14:textFill>
            <w14:solidFill>
              <w14:schemeClr w14:val="tx1"/>
            </w14:solidFill>
          </w14:textFill>
        </w:rPr>
        <w:t>第七章 其他</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r>
        <w:rPr>
          <w:color w:val="000000" w:themeColor="text1"/>
          <w14:textFill>
            <w14:solidFill>
              <w14:schemeClr w14:val="tx1"/>
            </w14:solidFill>
          </w14:textFill>
        </w:rPr>
        <w:t>66</w:t>
      </w:r>
    </w:p>
    <w:p>
      <w:pPr>
        <w:rPr>
          <w:caps/>
          <w:color w:val="000000" w:themeColor="text1"/>
          <w14:textFill>
            <w14:solidFill>
              <w14:schemeClr w14:val="tx1"/>
            </w14:solidFill>
          </w14:textFill>
        </w:rPr>
      </w:pPr>
    </w:p>
    <w:p>
      <w:pPr>
        <w:pStyle w:val="38"/>
        <w:rPr>
          <w:rFonts w:ascii="Calibri" w:hAnsi="Calibri" w:eastAsia="宋体"/>
          <w:caps w:val="0"/>
          <w:color w:val="000000" w:themeColor="text1"/>
          <w:kern w:val="2"/>
          <w:szCs w:val="22"/>
          <w14:textFill>
            <w14:solidFill>
              <w14:schemeClr w14:val="tx1"/>
            </w14:solidFill>
          </w14:textFill>
        </w:rPr>
      </w:pPr>
      <w:r>
        <w:rPr>
          <w:rFonts w:ascii="宋体" w:hAnsi="宋体" w:eastAsia="宋体"/>
          <w:color w:val="000000" w:themeColor="text1"/>
          <w:sz w:val="20"/>
          <w:szCs w:val="20"/>
          <w14:textFill>
            <w14:solidFill>
              <w14:schemeClr w14:val="tx1"/>
            </w14:solidFill>
          </w14:textFill>
        </w:rPr>
        <w:fldChar w:fldCharType="end"/>
      </w:r>
    </w:p>
    <w:p>
      <w:pPr>
        <w:widowControl/>
        <w:jc w:val="left"/>
        <w:rPr>
          <w:rFonts w:eastAsia="黑体"/>
          <w:bCs/>
          <w:color w:val="000000" w:themeColor="text1"/>
          <w:kern w:val="44"/>
          <w:sz w:val="30"/>
          <w:szCs w:val="44"/>
          <w14:textFill>
            <w14:solidFill>
              <w14:schemeClr w14:val="tx1"/>
            </w14:solidFill>
          </w14:textFill>
        </w:rPr>
      </w:pPr>
      <w:r>
        <w:rPr>
          <w:color w:val="000000" w:themeColor="text1"/>
          <w14:textFill>
            <w14:solidFill>
              <w14:schemeClr w14:val="tx1"/>
            </w14:solidFill>
          </w14:textFill>
        </w:rPr>
        <w:br w:type="page"/>
      </w:r>
    </w:p>
    <w:p>
      <w:pPr>
        <w:pStyle w:val="3"/>
        <w:numPr>
          <w:ilvl w:val="0"/>
          <w:numId w:val="0"/>
        </w:numPr>
        <w:spacing w:before="0" w:after="0" w:line="360" w:lineRule="auto"/>
        <w:rPr>
          <w:b/>
          <w:color w:val="000000" w:themeColor="text1"/>
          <w:sz w:val="36"/>
          <w:szCs w:val="36"/>
          <w14:textFill>
            <w14:solidFill>
              <w14:schemeClr w14:val="tx1"/>
            </w14:solidFill>
          </w14:textFill>
        </w:rPr>
      </w:pPr>
      <w:bookmarkStart w:id="4" w:name="_Toc69378615"/>
      <w:r>
        <w:rPr>
          <w:rFonts w:hint="eastAsia"/>
          <w:b/>
          <w:color w:val="000000" w:themeColor="text1"/>
          <w:sz w:val="36"/>
          <w:szCs w:val="36"/>
          <w14:textFill>
            <w14:solidFill>
              <w14:schemeClr w14:val="tx1"/>
            </w14:solidFill>
          </w14:textFill>
        </w:rPr>
        <w:t>第一章 竞争性磋商公告</w:t>
      </w:r>
      <w:bookmarkEnd w:id="4"/>
    </w:p>
    <w:bookmarkEnd w:id="0"/>
    <w:bookmarkEnd w:id="3"/>
    <w:p>
      <w:pPr>
        <w:widowControl/>
        <w:shd w:val="clear" w:color="auto" w:fill="FFFFFF"/>
        <w:spacing w:line="315" w:lineRule="atLeast"/>
        <w:jc w:val="left"/>
        <w:rPr>
          <w:rFonts w:ascii="微软雅黑" w:hAnsi="微软雅黑" w:eastAsia="微软雅黑" w:cs="宋体"/>
          <w:color w:val="191919"/>
          <w:kern w:val="0"/>
          <w:szCs w:val="21"/>
        </w:rPr>
      </w:pPr>
      <w:r>
        <w:rPr>
          <w:rFonts w:hint="eastAsia" w:ascii="微软雅黑" w:hAnsi="微软雅黑" w:eastAsia="微软雅黑" w:cs="宋体"/>
          <w:b/>
          <w:bCs/>
          <w:color w:val="191919"/>
          <w:kern w:val="0"/>
          <w:sz w:val="24"/>
          <w:szCs w:val="24"/>
        </w:rPr>
        <w:t>一、项目概况</w:t>
      </w:r>
    </w:p>
    <w:p>
      <w:pPr>
        <w:widowControl/>
        <w:shd w:val="clear" w:color="auto" w:fill="FFFFFF"/>
        <w:spacing w:line="315" w:lineRule="atLeast"/>
        <w:jc w:val="left"/>
        <w:rPr>
          <w:rFonts w:ascii="微软雅黑" w:hAnsi="微软雅黑" w:eastAsia="微软雅黑" w:cs="宋体"/>
          <w:color w:val="191919"/>
          <w:kern w:val="0"/>
          <w:szCs w:val="21"/>
        </w:rPr>
      </w:pPr>
      <w:r>
        <w:rPr>
          <w:rFonts w:hint="eastAsia" w:ascii="微软雅黑" w:hAnsi="微软雅黑" w:eastAsia="微软雅黑" w:cs="宋体"/>
          <w:color w:val="191919"/>
          <w:kern w:val="0"/>
          <w:sz w:val="27"/>
          <w:szCs w:val="27"/>
        </w:rPr>
        <w:t>    1. 项目名称</w:t>
      </w:r>
    </w:p>
    <w:p>
      <w:pPr>
        <w:widowControl/>
        <w:shd w:val="clear" w:color="auto" w:fill="FFFFFF"/>
        <w:spacing w:line="315" w:lineRule="atLeast"/>
        <w:jc w:val="left"/>
        <w:rPr>
          <w:rFonts w:ascii="微软雅黑" w:hAnsi="微软雅黑" w:eastAsia="微软雅黑" w:cs="宋体"/>
          <w:color w:val="191919"/>
          <w:kern w:val="0"/>
          <w:szCs w:val="21"/>
        </w:rPr>
      </w:pPr>
      <w:r>
        <w:rPr>
          <w:rFonts w:hint="eastAsia" w:ascii="微软雅黑" w:hAnsi="微软雅黑" w:eastAsia="微软雅黑" w:cs="宋体"/>
          <w:color w:val="191919"/>
          <w:kern w:val="0"/>
          <w:sz w:val="27"/>
          <w:szCs w:val="27"/>
        </w:rPr>
        <w:t>    江苏省广电有线信息网络股份有限公司三网融合枢纽中心数据中心节能改造项目。</w:t>
      </w:r>
    </w:p>
    <w:p>
      <w:pPr>
        <w:widowControl/>
        <w:shd w:val="clear" w:color="auto" w:fill="FFFFFF"/>
        <w:spacing w:line="315" w:lineRule="atLeast"/>
        <w:jc w:val="left"/>
        <w:rPr>
          <w:rFonts w:ascii="微软雅黑" w:hAnsi="微软雅黑" w:eastAsia="微软雅黑" w:cs="宋体"/>
          <w:color w:val="191919"/>
          <w:kern w:val="0"/>
          <w:szCs w:val="21"/>
        </w:rPr>
      </w:pPr>
      <w:r>
        <w:rPr>
          <w:rFonts w:hint="eastAsia" w:ascii="微软雅黑" w:hAnsi="微软雅黑" w:eastAsia="微软雅黑" w:cs="宋体"/>
          <w:color w:val="191919"/>
          <w:kern w:val="0"/>
          <w:sz w:val="27"/>
          <w:szCs w:val="27"/>
        </w:rPr>
        <w:t>    2. 项目内容</w:t>
      </w:r>
    </w:p>
    <w:p>
      <w:pPr>
        <w:widowControl/>
        <w:shd w:val="clear" w:color="auto" w:fill="FFFFFF"/>
        <w:spacing w:line="315" w:lineRule="atLeast"/>
        <w:ind w:left="6"/>
        <w:jc w:val="left"/>
        <w:rPr>
          <w:rFonts w:ascii="微软雅黑" w:hAnsi="微软雅黑" w:eastAsia="微软雅黑" w:cs="宋体"/>
          <w:color w:val="191919"/>
          <w:kern w:val="0"/>
          <w:szCs w:val="21"/>
        </w:rPr>
      </w:pPr>
      <w:r>
        <w:rPr>
          <w:rFonts w:hint="eastAsia" w:ascii="微软雅黑" w:hAnsi="微软雅黑" w:eastAsia="微软雅黑" w:cs="宋体"/>
          <w:color w:val="191919"/>
          <w:kern w:val="0"/>
          <w:sz w:val="24"/>
          <w:szCs w:val="24"/>
        </w:rPr>
        <w:t>    第一包：动环系统新增电表及系统集成</w:t>
      </w:r>
    </w:p>
    <w:tbl>
      <w:tblPr>
        <w:tblStyle w:val="53"/>
        <w:tblW w:w="8642" w:type="dxa"/>
        <w:jc w:val="center"/>
        <w:tblLayout w:type="autofit"/>
        <w:tblCellMar>
          <w:top w:w="0" w:type="dxa"/>
          <w:left w:w="0" w:type="dxa"/>
          <w:bottom w:w="0" w:type="dxa"/>
          <w:right w:w="0" w:type="dxa"/>
        </w:tblCellMar>
      </w:tblPr>
      <w:tblGrid>
        <w:gridCol w:w="1080"/>
        <w:gridCol w:w="2454"/>
        <w:gridCol w:w="1276"/>
        <w:gridCol w:w="3832"/>
      </w:tblGrid>
      <w:tr>
        <w:tblPrEx>
          <w:tblCellMar>
            <w:top w:w="0" w:type="dxa"/>
            <w:left w:w="0" w:type="dxa"/>
            <w:bottom w:w="0" w:type="dxa"/>
            <w:right w:w="0" w:type="dxa"/>
          </w:tblCellMar>
        </w:tblPrEx>
        <w:trPr>
          <w:trHeight w:val="629" w:hRule="atLeast"/>
          <w:jc w:val="center"/>
        </w:trPr>
        <w:tc>
          <w:tcPr>
            <w:tcW w:w="10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eastAsia="宋体" w:cs="宋体"/>
                <w:kern w:val="0"/>
                <w:sz w:val="24"/>
                <w:szCs w:val="24"/>
              </w:rPr>
            </w:pPr>
            <w:r>
              <w:rPr>
                <w:rFonts w:ascii="宋体" w:hAnsi="宋体" w:eastAsia="宋体" w:cs="宋体"/>
                <w:kern w:val="0"/>
                <w:sz w:val="24"/>
                <w:szCs w:val="24"/>
              </w:rPr>
              <w:t>序号</w:t>
            </w:r>
          </w:p>
        </w:tc>
        <w:tc>
          <w:tcPr>
            <w:tcW w:w="245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eastAsia="宋体" w:cs="宋体"/>
                <w:kern w:val="0"/>
                <w:sz w:val="24"/>
                <w:szCs w:val="24"/>
              </w:rPr>
            </w:pPr>
            <w:r>
              <w:rPr>
                <w:rFonts w:ascii="宋体" w:hAnsi="宋体" w:eastAsia="宋体" w:cs="宋体"/>
                <w:kern w:val="0"/>
                <w:sz w:val="24"/>
                <w:szCs w:val="24"/>
              </w:rPr>
              <w:t>采购设备名称</w:t>
            </w:r>
          </w:p>
        </w:tc>
        <w:tc>
          <w:tcPr>
            <w:tcW w:w="127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eastAsia="宋体" w:cs="宋体"/>
                <w:kern w:val="0"/>
                <w:sz w:val="24"/>
                <w:szCs w:val="24"/>
              </w:rPr>
            </w:pPr>
            <w:r>
              <w:rPr>
                <w:rFonts w:ascii="宋体" w:hAnsi="宋体" w:eastAsia="宋体" w:cs="宋体"/>
                <w:kern w:val="0"/>
                <w:sz w:val="24"/>
                <w:szCs w:val="24"/>
              </w:rPr>
              <w:t>数量</w:t>
            </w:r>
          </w:p>
        </w:tc>
        <w:tc>
          <w:tcPr>
            <w:tcW w:w="383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eastAsia="宋体" w:cs="宋体"/>
                <w:kern w:val="0"/>
                <w:sz w:val="24"/>
                <w:szCs w:val="24"/>
              </w:rPr>
            </w:pPr>
            <w:r>
              <w:rPr>
                <w:rFonts w:ascii="宋体" w:hAnsi="宋体" w:eastAsia="宋体" w:cs="宋体"/>
                <w:kern w:val="0"/>
                <w:sz w:val="24"/>
                <w:szCs w:val="24"/>
              </w:rPr>
              <w:t>备注</w:t>
            </w:r>
          </w:p>
        </w:tc>
      </w:tr>
      <w:tr>
        <w:tblPrEx>
          <w:tblCellMar>
            <w:top w:w="0" w:type="dxa"/>
            <w:left w:w="0" w:type="dxa"/>
            <w:bottom w:w="0" w:type="dxa"/>
            <w:right w:w="0" w:type="dxa"/>
          </w:tblCellMar>
        </w:tblPrEx>
        <w:trPr>
          <w:trHeight w:val="514" w:hRule="atLeast"/>
          <w:jc w:val="center"/>
        </w:trPr>
        <w:tc>
          <w:tcPr>
            <w:tcW w:w="108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eastAsia="宋体" w:cs="宋体"/>
                <w:kern w:val="0"/>
                <w:sz w:val="24"/>
                <w:szCs w:val="24"/>
              </w:rPr>
            </w:pPr>
            <w:r>
              <w:rPr>
                <w:rFonts w:ascii="宋体" w:hAnsi="宋体" w:eastAsia="宋体" w:cs="宋体"/>
                <w:kern w:val="0"/>
                <w:sz w:val="24"/>
                <w:szCs w:val="24"/>
              </w:rPr>
              <w:t>1</w:t>
            </w:r>
          </w:p>
        </w:tc>
        <w:tc>
          <w:tcPr>
            <w:tcW w:w="245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eastAsia="宋体" w:cs="宋体"/>
                <w:kern w:val="0"/>
                <w:sz w:val="24"/>
                <w:szCs w:val="24"/>
              </w:rPr>
            </w:pPr>
            <w:r>
              <w:rPr>
                <w:rFonts w:ascii="宋体" w:hAnsi="宋体" w:eastAsia="宋体" w:cs="宋体"/>
                <w:kern w:val="0"/>
                <w:sz w:val="24"/>
                <w:szCs w:val="24"/>
              </w:rPr>
              <w:t>动环系统新增电表及系统集成</w:t>
            </w:r>
          </w:p>
        </w:tc>
        <w:tc>
          <w:tcPr>
            <w:tcW w:w="127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atLeast"/>
              <w:jc w:val="center"/>
              <w:rPr>
                <w:rFonts w:ascii="宋体" w:hAnsi="宋体" w:eastAsia="宋体" w:cs="宋体"/>
                <w:kern w:val="0"/>
                <w:sz w:val="24"/>
                <w:szCs w:val="24"/>
              </w:rPr>
            </w:pPr>
            <w:r>
              <w:rPr>
                <w:rFonts w:ascii="宋体" w:hAnsi="宋体" w:eastAsia="宋体" w:cs="宋体"/>
                <w:kern w:val="0"/>
                <w:sz w:val="24"/>
                <w:szCs w:val="24"/>
              </w:rPr>
              <w:t>1项</w:t>
            </w:r>
          </w:p>
        </w:tc>
        <w:tc>
          <w:tcPr>
            <w:tcW w:w="383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1、含新增电能计量仪表和照明开关控制器的安装、调试；</w:t>
            </w:r>
          </w:p>
          <w:p>
            <w:pPr>
              <w:widowControl/>
              <w:jc w:val="center"/>
              <w:rPr>
                <w:rFonts w:ascii="宋体" w:hAnsi="宋体" w:eastAsia="宋体" w:cs="宋体"/>
                <w:kern w:val="0"/>
                <w:sz w:val="24"/>
                <w:szCs w:val="24"/>
              </w:rPr>
            </w:pPr>
            <w:r>
              <w:rPr>
                <w:rFonts w:ascii="宋体" w:hAnsi="宋体" w:eastAsia="宋体" w:cs="宋体"/>
                <w:kern w:val="0"/>
                <w:sz w:val="24"/>
                <w:szCs w:val="24"/>
              </w:rPr>
              <w:t>2、含精密空调、电能计量仪表和照明开关控制器等接入江苏有线数据中心现有动环系统的配置调试及系统集成。详见技术需求书。</w:t>
            </w:r>
          </w:p>
        </w:tc>
      </w:tr>
    </w:tbl>
    <w:p>
      <w:pPr>
        <w:widowControl/>
        <w:shd w:val="clear" w:color="auto" w:fill="FFFFFF"/>
        <w:spacing w:line="315" w:lineRule="atLeast"/>
        <w:jc w:val="left"/>
        <w:rPr>
          <w:rFonts w:ascii="微软雅黑" w:hAnsi="微软雅黑" w:eastAsia="微软雅黑" w:cs="宋体"/>
          <w:color w:val="191919"/>
          <w:kern w:val="0"/>
          <w:szCs w:val="21"/>
        </w:rPr>
      </w:pPr>
      <w:r>
        <w:rPr>
          <w:rFonts w:hint="eastAsia" w:ascii="微软雅黑" w:hAnsi="微软雅黑" w:eastAsia="微软雅黑" w:cs="宋体"/>
          <w:color w:val="191919"/>
          <w:kern w:val="0"/>
          <w:sz w:val="24"/>
          <w:szCs w:val="24"/>
        </w:rPr>
        <w:t>    备注：</w:t>
      </w:r>
    </w:p>
    <w:p>
      <w:pPr>
        <w:widowControl/>
        <w:shd w:val="clear" w:color="auto" w:fill="FFFFFF"/>
        <w:spacing w:line="315" w:lineRule="atLeast"/>
        <w:ind w:left="420"/>
        <w:jc w:val="left"/>
        <w:rPr>
          <w:rFonts w:ascii="微软雅黑" w:hAnsi="微软雅黑" w:eastAsia="微软雅黑" w:cs="宋体"/>
          <w:color w:val="191919"/>
          <w:kern w:val="0"/>
          <w:szCs w:val="21"/>
        </w:rPr>
      </w:pPr>
      <w:r>
        <w:rPr>
          <w:rFonts w:hint="eastAsia" w:ascii="微软雅黑" w:hAnsi="微软雅黑" w:eastAsia="微软雅黑" w:cs="宋体"/>
          <w:color w:val="191919"/>
          <w:kern w:val="0"/>
          <w:sz w:val="24"/>
          <w:szCs w:val="24"/>
        </w:rPr>
        <w:t>    1、 供应商可分别对本项目第一包需要的全部内容进行响应；</w:t>
      </w:r>
    </w:p>
    <w:p>
      <w:pPr>
        <w:widowControl/>
        <w:shd w:val="clear" w:color="auto" w:fill="FFFFFF"/>
        <w:spacing w:line="315" w:lineRule="atLeast"/>
        <w:ind w:left="420"/>
        <w:jc w:val="left"/>
        <w:rPr>
          <w:rFonts w:ascii="微软雅黑" w:hAnsi="微软雅黑" w:eastAsia="微软雅黑" w:cs="宋体"/>
          <w:color w:val="191919"/>
          <w:kern w:val="0"/>
          <w:szCs w:val="21"/>
        </w:rPr>
      </w:pPr>
      <w:r>
        <w:rPr>
          <w:rFonts w:hint="eastAsia" w:ascii="微软雅黑" w:hAnsi="微软雅黑" w:eastAsia="微软雅黑" w:cs="宋体"/>
          <w:color w:val="191919"/>
          <w:kern w:val="0"/>
          <w:sz w:val="24"/>
          <w:szCs w:val="24"/>
        </w:rPr>
        <w:t> </w:t>
      </w:r>
      <w:r>
        <w:rPr>
          <w:rFonts w:ascii="微软雅黑" w:hAnsi="微软雅黑" w:eastAsia="微软雅黑" w:cs="宋体"/>
          <w:color w:val="191919"/>
          <w:kern w:val="0"/>
          <w:sz w:val="24"/>
          <w:szCs w:val="24"/>
        </w:rPr>
        <w:t xml:space="preserve">  </w:t>
      </w:r>
      <w:r>
        <w:rPr>
          <w:rFonts w:hint="eastAsia" w:ascii="微软雅黑" w:hAnsi="微软雅黑" w:eastAsia="微软雅黑" w:cs="宋体"/>
          <w:color w:val="191919"/>
          <w:kern w:val="0"/>
          <w:sz w:val="24"/>
          <w:szCs w:val="24"/>
        </w:rPr>
        <w:t xml:space="preserve"> 2、 供应商必须提供所有设备，施工材料，安装费的报价、折扣率和最终采购价详细清单；</w:t>
      </w:r>
    </w:p>
    <w:p>
      <w:pPr>
        <w:widowControl/>
        <w:shd w:val="clear" w:color="auto" w:fill="FFFFFF"/>
        <w:spacing w:line="315" w:lineRule="atLeast"/>
        <w:ind w:left="420"/>
        <w:jc w:val="left"/>
        <w:rPr>
          <w:rFonts w:ascii="微软雅黑" w:hAnsi="微软雅黑" w:eastAsia="微软雅黑" w:cs="宋体"/>
          <w:color w:val="191919"/>
          <w:kern w:val="0"/>
          <w:szCs w:val="21"/>
        </w:rPr>
      </w:pPr>
      <w:r>
        <w:rPr>
          <w:rFonts w:hint="eastAsia" w:ascii="微软雅黑" w:hAnsi="微软雅黑" w:eastAsia="微软雅黑" w:cs="宋体"/>
          <w:color w:val="191919"/>
          <w:kern w:val="0"/>
          <w:sz w:val="24"/>
          <w:szCs w:val="24"/>
        </w:rPr>
        <w:t>    3、 在设备施工过程中所使用的材料和人工均由供应商提供。</w:t>
      </w:r>
    </w:p>
    <w:p>
      <w:pPr>
        <w:widowControl/>
        <w:shd w:val="clear" w:color="auto" w:fill="FFFFFF"/>
        <w:spacing w:line="315" w:lineRule="atLeast"/>
        <w:jc w:val="left"/>
        <w:rPr>
          <w:rFonts w:ascii="微软雅黑" w:hAnsi="微软雅黑" w:eastAsia="微软雅黑" w:cs="宋体"/>
          <w:color w:val="191919"/>
          <w:kern w:val="0"/>
          <w:szCs w:val="21"/>
        </w:rPr>
      </w:pPr>
      <w:r>
        <w:rPr>
          <w:rFonts w:hint="eastAsia" w:ascii="微软雅黑" w:hAnsi="微软雅黑" w:eastAsia="微软雅黑" w:cs="宋体"/>
          <w:b/>
          <w:bCs/>
          <w:color w:val="191919"/>
          <w:kern w:val="0"/>
          <w:sz w:val="24"/>
          <w:szCs w:val="24"/>
        </w:rPr>
        <w:t>二、资格审查方式</w:t>
      </w:r>
    </w:p>
    <w:p>
      <w:pPr>
        <w:widowControl/>
        <w:shd w:val="clear" w:color="auto" w:fill="FFFFFF"/>
        <w:spacing w:line="315" w:lineRule="atLeast"/>
        <w:jc w:val="left"/>
        <w:rPr>
          <w:rFonts w:ascii="微软雅黑" w:hAnsi="微软雅黑" w:eastAsia="微软雅黑" w:cs="宋体"/>
          <w:color w:val="191919"/>
          <w:kern w:val="0"/>
          <w:szCs w:val="21"/>
        </w:rPr>
      </w:pPr>
      <w:r>
        <w:rPr>
          <w:rFonts w:hint="eastAsia" w:ascii="微软雅黑" w:hAnsi="微软雅黑" w:eastAsia="微软雅黑" w:cs="宋体"/>
          <w:color w:val="191919"/>
          <w:kern w:val="0"/>
          <w:sz w:val="24"/>
          <w:szCs w:val="24"/>
        </w:rPr>
        <w:t>    资格后审。由评审委员会对供应商资格要求进行审查，以下所列供应商基本资格要求必须全部满足，才能通过资格审查；供应商资格要求有一项不满足则应判定为资格审查不合格，资格审查不合格的供应商不得参与后续评审，作无效应答处理。</w:t>
      </w:r>
    </w:p>
    <w:p>
      <w:pPr>
        <w:widowControl/>
        <w:shd w:val="clear" w:color="auto" w:fill="FFFFFF"/>
        <w:spacing w:line="315" w:lineRule="atLeast"/>
        <w:jc w:val="left"/>
        <w:rPr>
          <w:rFonts w:ascii="微软雅黑" w:hAnsi="微软雅黑" w:eastAsia="微软雅黑" w:cs="宋体"/>
          <w:color w:val="191919"/>
          <w:kern w:val="0"/>
          <w:szCs w:val="21"/>
        </w:rPr>
      </w:pPr>
      <w:r>
        <w:rPr>
          <w:rFonts w:hint="eastAsia" w:ascii="微软雅黑" w:hAnsi="微软雅黑" w:eastAsia="微软雅黑" w:cs="宋体"/>
          <w:b/>
          <w:bCs/>
          <w:color w:val="191919"/>
          <w:kern w:val="0"/>
          <w:sz w:val="24"/>
          <w:szCs w:val="24"/>
        </w:rPr>
        <w:t>三、合格供应商的基本资格要求</w:t>
      </w:r>
    </w:p>
    <w:p>
      <w:pPr>
        <w:widowControl/>
        <w:shd w:val="clear" w:color="auto" w:fill="FFFFFF"/>
        <w:spacing w:line="315" w:lineRule="atLeast"/>
        <w:jc w:val="left"/>
        <w:rPr>
          <w:rFonts w:ascii="微软雅黑" w:hAnsi="微软雅黑" w:eastAsia="微软雅黑" w:cs="宋体"/>
          <w:color w:val="191919"/>
          <w:kern w:val="0"/>
          <w:szCs w:val="21"/>
        </w:rPr>
      </w:pPr>
      <w:r>
        <w:rPr>
          <w:rFonts w:hint="eastAsia" w:ascii="微软雅黑" w:hAnsi="微软雅黑" w:eastAsia="微软雅黑" w:cs="宋体"/>
          <w:color w:val="191919"/>
          <w:kern w:val="0"/>
          <w:sz w:val="24"/>
          <w:szCs w:val="24"/>
        </w:rPr>
        <w:t>    1．供应商须为在中华人民共和国境内合法注册的独立法人，遵守中国有关法律、法规，具有良好的商业信誉（提供营业执照复印件）。</w:t>
      </w:r>
    </w:p>
    <w:p>
      <w:pPr>
        <w:widowControl/>
        <w:shd w:val="clear" w:color="auto" w:fill="FFFFFF"/>
        <w:spacing w:line="315" w:lineRule="atLeast"/>
        <w:jc w:val="left"/>
        <w:rPr>
          <w:rFonts w:ascii="微软雅黑" w:hAnsi="微软雅黑" w:eastAsia="微软雅黑" w:cs="宋体"/>
          <w:color w:val="191919"/>
          <w:kern w:val="0"/>
          <w:szCs w:val="21"/>
        </w:rPr>
      </w:pPr>
      <w:r>
        <w:rPr>
          <w:rFonts w:hint="eastAsia" w:ascii="微软雅黑" w:hAnsi="微软雅黑" w:eastAsia="微软雅黑" w:cs="宋体"/>
          <w:color w:val="191919"/>
          <w:kern w:val="0"/>
          <w:sz w:val="24"/>
          <w:szCs w:val="24"/>
        </w:rPr>
        <w:t>    2．供应商须提供针对本项目直接保修和服务的承诺。</w:t>
      </w:r>
    </w:p>
    <w:p>
      <w:pPr>
        <w:widowControl/>
        <w:shd w:val="clear" w:color="auto" w:fill="FFFFFF"/>
        <w:spacing w:line="315" w:lineRule="atLeast"/>
        <w:jc w:val="left"/>
        <w:rPr>
          <w:rFonts w:ascii="微软雅黑" w:hAnsi="微软雅黑" w:eastAsia="微软雅黑" w:cs="宋体"/>
          <w:color w:val="191919"/>
          <w:kern w:val="0"/>
          <w:szCs w:val="21"/>
        </w:rPr>
      </w:pPr>
      <w:r>
        <w:rPr>
          <w:rFonts w:hint="eastAsia" w:ascii="微软雅黑" w:hAnsi="微软雅黑" w:eastAsia="微软雅黑" w:cs="宋体"/>
          <w:color w:val="191919"/>
          <w:kern w:val="0"/>
          <w:sz w:val="24"/>
          <w:szCs w:val="24"/>
        </w:rPr>
        <w:t>    3．产品业绩：参加本项目采购的产品自2019年1月1日至登记截止日前实施过类似项目，至少3个，提供合同复印件或验收报告复印件（原件备查）。</w:t>
      </w:r>
    </w:p>
    <w:p>
      <w:pPr>
        <w:widowControl/>
        <w:shd w:val="clear" w:color="auto" w:fill="FFFFFF"/>
        <w:spacing w:line="315" w:lineRule="atLeast"/>
        <w:jc w:val="left"/>
        <w:rPr>
          <w:rFonts w:ascii="微软雅黑" w:hAnsi="微软雅黑" w:eastAsia="微软雅黑" w:cs="宋体"/>
          <w:color w:val="191919"/>
          <w:kern w:val="0"/>
          <w:szCs w:val="21"/>
        </w:rPr>
      </w:pPr>
      <w:r>
        <w:rPr>
          <w:rFonts w:hint="eastAsia" w:ascii="微软雅黑" w:hAnsi="微软雅黑" w:eastAsia="微软雅黑" w:cs="宋体"/>
          <w:color w:val="191919"/>
          <w:kern w:val="0"/>
          <w:sz w:val="24"/>
          <w:szCs w:val="24"/>
        </w:rPr>
        <w:t>    4．供应商须具备完整的售后服务体系、具有快速响应维护能力，在江苏须具有较大规模的销售和售后服务的组织机构及完善快捷的技术支持能力，拥有固定可靠的有效服务网点，或承诺中选后30天内在江苏设立售后服务机构（提供证明材料）。</w:t>
      </w:r>
    </w:p>
    <w:p>
      <w:pPr>
        <w:widowControl/>
        <w:shd w:val="clear" w:color="auto" w:fill="FFFFFF"/>
        <w:spacing w:line="315" w:lineRule="atLeast"/>
        <w:jc w:val="left"/>
        <w:rPr>
          <w:rFonts w:ascii="微软雅黑" w:hAnsi="微软雅黑" w:eastAsia="微软雅黑" w:cs="宋体"/>
          <w:color w:val="191919"/>
          <w:kern w:val="0"/>
          <w:szCs w:val="21"/>
        </w:rPr>
      </w:pPr>
      <w:r>
        <w:rPr>
          <w:rFonts w:hint="eastAsia" w:ascii="微软雅黑" w:hAnsi="微软雅黑" w:eastAsia="微软雅黑" w:cs="宋体"/>
          <w:color w:val="191919"/>
          <w:kern w:val="0"/>
          <w:sz w:val="24"/>
          <w:szCs w:val="24"/>
        </w:rPr>
        <w:t>    5．供应商须出具经第三方审计的2020年度和2021年度财务报表（至少包括文字性报告及资产负债表、现金流量表、利润表等）。</w:t>
      </w:r>
    </w:p>
    <w:p>
      <w:pPr>
        <w:widowControl/>
        <w:shd w:val="clear" w:color="auto" w:fill="FFFFFF"/>
        <w:spacing w:line="315" w:lineRule="atLeast"/>
        <w:jc w:val="left"/>
        <w:rPr>
          <w:rFonts w:ascii="微软雅黑" w:hAnsi="微软雅黑" w:eastAsia="微软雅黑" w:cs="宋体"/>
          <w:color w:val="191919"/>
          <w:kern w:val="0"/>
          <w:szCs w:val="21"/>
        </w:rPr>
      </w:pPr>
      <w:r>
        <w:rPr>
          <w:rFonts w:hint="eastAsia" w:ascii="微软雅黑" w:hAnsi="微软雅黑" w:eastAsia="微软雅黑" w:cs="宋体"/>
          <w:color w:val="191919"/>
          <w:kern w:val="0"/>
          <w:sz w:val="24"/>
          <w:szCs w:val="24"/>
        </w:rPr>
        <w:t>    6．供应商须承诺，采购人在其本国使用供应商提供的货物或服务时，不存在任何已知的不合法的情形，也不存在任何已知的与第三方专利权、著作权、商标权或工业设计权相关的任何争议。如果有任何因采购人使用供应商提供的货物及/或服务而提起的侵权指控，供应商及制造商须依法承担全部责任。</w:t>
      </w:r>
    </w:p>
    <w:p>
      <w:pPr>
        <w:widowControl/>
        <w:shd w:val="clear" w:color="auto" w:fill="FFFFFF"/>
        <w:spacing w:line="315" w:lineRule="atLeast"/>
        <w:jc w:val="left"/>
        <w:rPr>
          <w:rFonts w:ascii="微软雅黑" w:hAnsi="微软雅黑" w:eastAsia="微软雅黑" w:cs="宋体"/>
          <w:color w:val="191919"/>
          <w:kern w:val="0"/>
          <w:szCs w:val="21"/>
        </w:rPr>
      </w:pPr>
      <w:r>
        <w:rPr>
          <w:rFonts w:hint="eastAsia" w:ascii="微软雅黑" w:hAnsi="微软雅黑" w:eastAsia="微软雅黑" w:cs="宋体"/>
          <w:color w:val="191919"/>
          <w:kern w:val="0"/>
          <w:sz w:val="24"/>
          <w:szCs w:val="24"/>
        </w:rPr>
        <w:t>    7.供应商单位负责人为同一人或者存在直接控股、管理关系的不同供应商，不得参加同一标段磋商或者未划分标段的同一采购项目磋商。</w:t>
      </w:r>
    </w:p>
    <w:p>
      <w:pPr>
        <w:widowControl/>
        <w:shd w:val="clear" w:color="auto" w:fill="FFFFFF"/>
        <w:spacing w:line="315" w:lineRule="atLeast"/>
        <w:jc w:val="left"/>
        <w:rPr>
          <w:rFonts w:ascii="微软雅黑" w:hAnsi="微软雅黑" w:eastAsia="微软雅黑" w:cs="宋体"/>
          <w:color w:val="191919"/>
          <w:kern w:val="0"/>
          <w:szCs w:val="21"/>
        </w:rPr>
      </w:pPr>
      <w:r>
        <w:rPr>
          <w:rFonts w:hint="eastAsia" w:ascii="微软雅黑" w:hAnsi="微软雅黑" w:eastAsia="微软雅黑" w:cs="宋体"/>
          <w:color w:val="191919"/>
          <w:kern w:val="0"/>
          <w:sz w:val="24"/>
          <w:szCs w:val="24"/>
        </w:rPr>
        <w:t>    8.法定代表人为同一个人的两个及两个以上法人，母公司与全资子公司/由其控股的子公司，不得同时参与本项目。</w:t>
      </w:r>
    </w:p>
    <w:p>
      <w:pPr>
        <w:widowControl/>
        <w:shd w:val="clear" w:color="auto" w:fill="FFFFFF"/>
        <w:spacing w:line="315" w:lineRule="atLeast"/>
        <w:jc w:val="left"/>
        <w:rPr>
          <w:rFonts w:ascii="微软雅黑" w:hAnsi="微软雅黑" w:eastAsia="微软雅黑" w:cs="宋体"/>
          <w:color w:val="191919"/>
          <w:kern w:val="0"/>
          <w:szCs w:val="21"/>
        </w:rPr>
      </w:pPr>
      <w:r>
        <w:rPr>
          <w:rFonts w:hint="eastAsia" w:ascii="微软雅黑" w:hAnsi="微软雅黑" w:eastAsia="微软雅黑" w:cs="宋体"/>
          <w:color w:val="191919"/>
          <w:kern w:val="0"/>
          <w:sz w:val="24"/>
          <w:szCs w:val="24"/>
        </w:rPr>
        <w:t>    9．本项目不接受联合体响应。</w:t>
      </w:r>
    </w:p>
    <w:p>
      <w:pPr>
        <w:widowControl/>
        <w:shd w:val="clear" w:color="auto" w:fill="FFFFFF"/>
        <w:spacing w:line="315" w:lineRule="atLeast"/>
        <w:jc w:val="left"/>
        <w:rPr>
          <w:rFonts w:ascii="微软雅黑" w:hAnsi="微软雅黑" w:eastAsia="微软雅黑" w:cs="宋体"/>
          <w:color w:val="191919"/>
          <w:kern w:val="0"/>
          <w:szCs w:val="21"/>
        </w:rPr>
      </w:pPr>
      <w:r>
        <w:rPr>
          <w:rFonts w:hint="eastAsia" w:ascii="微软雅黑" w:hAnsi="微软雅黑" w:eastAsia="微软雅黑" w:cs="宋体"/>
          <w:b/>
          <w:bCs/>
          <w:color w:val="191919"/>
          <w:kern w:val="0"/>
          <w:sz w:val="24"/>
          <w:szCs w:val="24"/>
        </w:rPr>
        <w:t>四、竞争性磋商文件的获取</w:t>
      </w:r>
    </w:p>
    <w:p>
      <w:pPr>
        <w:widowControl/>
        <w:shd w:val="clear" w:color="auto" w:fill="FFFFFF"/>
        <w:spacing w:line="315" w:lineRule="atLeast"/>
        <w:jc w:val="left"/>
        <w:rPr>
          <w:rFonts w:ascii="微软雅黑" w:hAnsi="微软雅黑" w:eastAsia="微软雅黑" w:cs="宋体"/>
          <w:color w:val="191919"/>
          <w:kern w:val="0"/>
          <w:szCs w:val="21"/>
        </w:rPr>
      </w:pPr>
      <w:r>
        <w:rPr>
          <w:rFonts w:hint="eastAsia" w:ascii="微软雅黑" w:hAnsi="微软雅黑" w:eastAsia="微软雅黑" w:cs="宋体"/>
          <w:color w:val="191919"/>
          <w:kern w:val="0"/>
          <w:sz w:val="24"/>
          <w:szCs w:val="24"/>
        </w:rPr>
        <w:t>    发布及登记时间：2022年9月</w:t>
      </w:r>
      <w:r>
        <w:rPr>
          <w:rFonts w:ascii="微软雅黑" w:hAnsi="微软雅黑" w:eastAsia="微软雅黑" w:cs="宋体"/>
          <w:color w:val="191919"/>
          <w:kern w:val="0"/>
          <w:sz w:val="24"/>
          <w:szCs w:val="24"/>
        </w:rPr>
        <w:t>23</w:t>
      </w:r>
      <w:r>
        <w:rPr>
          <w:rFonts w:hint="eastAsia" w:ascii="微软雅黑" w:hAnsi="微软雅黑" w:eastAsia="微软雅黑" w:cs="宋体"/>
          <w:color w:val="191919"/>
          <w:kern w:val="0"/>
          <w:sz w:val="24"/>
          <w:szCs w:val="24"/>
        </w:rPr>
        <w:t>日至递交竞争性磋商响应文件截止前一天，每日上午9：00-12：00，下午14：00-17：00（北京时间）。</w:t>
      </w:r>
    </w:p>
    <w:p>
      <w:pPr>
        <w:widowControl/>
        <w:shd w:val="clear" w:color="auto" w:fill="FFFFFF"/>
        <w:spacing w:line="315" w:lineRule="atLeast"/>
        <w:jc w:val="left"/>
        <w:rPr>
          <w:rFonts w:ascii="微软雅黑" w:hAnsi="微软雅黑" w:eastAsia="微软雅黑" w:cs="宋体"/>
          <w:color w:val="191919"/>
          <w:kern w:val="0"/>
          <w:szCs w:val="21"/>
        </w:rPr>
      </w:pPr>
      <w:r>
        <w:rPr>
          <w:rFonts w:hint="eastAsia" w:ascii="微软雅黑" w:hAnsi="微软雅黑" w:eastAsia="微软雅黑" w:cs="宋体"/>
          <w:color w:val="191919"/>
          <w:kern w:val="0"/>
          <w:sz w:val="24"/>
          <w:szCs w:val="24"/>
        </w:rPr>
        <w:t>    发放方式：竞争性磋商文件在报名后自行下载，请响应人联系采购人项目联系人进行报名登记，具体报名方式为将确认磋商函加盖公司公章同时发至邮箱lijing@jscnnet.com，未在文件发放日内完成登记的不得参与本项目。</w:t>
      </w:r>
    </w:p>
    <w:p>
      <w:pPr>
        <w:widowControl/>
        <w:shd w:val="clear" w:color="auto" w:fill="FFFFFF"/>
        <w:spacing w:line="315" w:lineRule="atLeast"/>
        <w:jc w:val="left"/>
        <w:rPr>
          <w:rFonts w:ascii="微软雅黑" w:hAnsi="微软雅黑" w:eastAsia="微软雅黑" w:cs="宋体"/>
          <w:color w:val="191919"/>
          <w:kern w:val="0"/>
          <w:szCs w:val="21"/>
        </w:rPr>
      </w:pPr>
      <w:r>
        <w:rPr>
          <w:rFonts w:hint="eastAsia" w:ascii="微软雅黑" w:hAnsi="微软雅黑" w:eastAsia="微软雅黑" w:cs="宋体"/>
          <w:color w:val="191919"/>
          <w:kern w:val="0"/>
          <w:sz w:val="24"/>
          <w:szCs w:val="24"/>
        </w:rPr>
        <w:t>    登记方式：请响应人将该项目负责人姓名、联系电话（手机）、联系信箱发至采购人该项目联系人（参考竞争性磋商文件第七章响应确认信息表），同时附营业执照扫面件和法定代表人授权委托函，超过递交竞争性磋商响应文件截止前一天17:00再登记的视为无效。</w:t>
      </w:r>
    </w:p>
    <w:p>
      <w:pPr>
        <w:widowControl/>
        <w:shd w:val="clear" w:color="auto" w:fill="FFFFFF"/>
        <w:spacing w:line="315" w:lineRule="atLeast"/>
        <w:jc w:val="left"/>
        <w:rPr>
          <w:rFonts w:ascii="微软雅黑" w:hAnsi="微软雅黑" w:eastAsia="微软雅黑" w:cs="宋体"/>
          <w:color w:val="191919"/>
          <w:kern w:val="0"/>
          <w:szCs w:val="21"/>
        </w:rPr>
      </w:pPr>
      <w:r>
        <w:rPr>
          <w:rFonts w:hint="eastAsia" w:ascii="微软雅黑" w:hAnsi="微软雅黑" w:eastAsia="微软雅黑" w:cs="宋体"/>
          <w:color w:val="191919"/>
          <w:kern w:val="0"/>
          <w:sz w:val="24"/>
          <w:szCs w:val="24"/>
        </w:rPr>
        <w:t>    项目联系人：李晶（025-86731692）</w:t>
      </w:r>
    </w:p>
    <w:p>
      <w:pPr>
        <w:widowControl/>
        <w:shd w:val="clear" w:color="auto" w:fill="FFFFFF"/>
        <w:spacing w:line="315" w:lineRule="atLeast"/>
        <w:jc w:val="left"/>
        <w:rPr>
          <w:rFonts w:ascii="微软雅黑" w:hAnsi="微软雅黑" w:eastAsia="微软雅黑" w:cs="宋体"/>
          <w:color w:val="191919"/>
          <w:kern w:val="0"/>
          <w:szCs w:val="21"/>
        </w:rPr>
      </w:pPr>
      <w:r>
        <w:rPr>
          <w:rFonts w:hint="eastAsia" w:ascii="微软雅黑" w:hAnsi="微软雅黑" w:eastAsia="微软雅黑" w:cs="宋体"/>
          <w:b/>
          <w:bCs/>
          <w:color w:val="191919"/>
          <w:kern w:val="0"/>
          <w:sz w:val="24"/>
          <w:szCs w:val="24"/>
        </w:rPr>
        <w:t>五、响应文件的递交和磋商</w:t>
      </w:r>
    </w:p>
    <w:p>
      <w:pPr>
        <w:widowControl/>
        <w:shd w:val="clear" w:color="auto" w:fill="FFFFFF"/>
        <w:spacing w:line="315" w:lineRule="atLeast"/>
        <w:jc w:val="left"/>
        <w:rPr>
          <w:rFonts w:ascii="微软雅黑" w:hAnsi="微软雅黑" w:eastAsia="微软雅黑" w:cs="宋体"/>
          <w:color w:val="191919"/>
          <w:kern w:val="0"/>
          <w:szCs w:val="21"/>
        </w:rPr>
      </w:pPr>
      <w:r>
        <w:rPr>
          <w:rFonts w:hint="eastAsia" w:ascii="微软雅黑" w:hAnsi="微软雅黑" w:eastAsia="微软雅黑" w:cs="宋体"/>
          <w:color w:val="191919"/>
          <w:kern w:val="0"/>
          <w:sz w:val="24"/>
          <w:szCs w:val="24"/>
        </w:rPr>
        <w:t>    递交竞争性磋商响应文件截止时间：2022年9月2</w:t>
      </w:r>
      <w:r>
        <w:rPr>
          <w:rFonts w:ascii="微软雅黑" w:hAnsi="微软雅黑" w:eastAsia="微软雅黑" w:cs="宋体"/>
          <w:color w:val="191919"/>
          <w:kern w:val="0"/>
          <w:sz w:val="24"/>
          <w:szCs w:val="24"/>
        </w:rPr>
        <w:t>8</w:t>
      </w:r>
      <w:r>
        <w:rPr>
          <w:rFonts w:hint="eastAsia" w:ascii="微软雅黑" w:hAnsi="微软雅黑" w:eastAsia="微软雅黑" w:cs="宋体"/>
          <w:color w:val="191919"/>
          <w:kern w:val="0"/>
          <w:sz w:val="24"/>
          <w:szCs w:val="24"/>
        </w:rPr>
        <w:t>日14:</w:t>
      </w:r>
      <w:r>
        <w:rPr>
          <w:rFonts w:ascii="微软雅黑" w:hAnsi="微软雅黑" w:eastAsia="微软雅黑" w:cs="宋体"/>
          <w:color w:val="191919"/>
          <w:kern w:val="0"/>
          <w:sz w:val="24"/>
          <w:szCs w:val="24"/>
        </w:rPr>
        <w:t>3</w:t>
      </w:r>
      <w:r>
        <w:rPr>
          <w:rFonts w:hint="eastAsia" w:ascii="微软雅黑" w:hAnsi="微软雅黑" w:eastAsia="微软雅黑" w:cs="宋体"/>
          <w:color w:val="191919"/>
          <w:kern w:val="0"/>
          <w:sz w:val="24"/>
          <w:szCs w:val="24"/>
        </w:rPr>
        <w:t>0，逾期收到或不按照竞争性磋商文件要求密封的响应文件恕不接受。</w:t>
      </w:r>
    </w:p>
    <w:p>
      <w:pPr>
        <w:widowControl/>
        <w:shd w:val="clear" w:color="auto" w:fill="FFFFFF"/>
        <w:spacing w:line="315" w:lineRule="atLeast"/>
        <w:jc w:val="left"/>
        <w:rPr>
          <w:rFonts w:ascii="微软雅黑" w:hAnsi="微软雅黑" w:eastAsia="微软雅黑" w:cs="宋体"/>
          <w:color w:val="191919"/>
          <w:kern w:val="0"/>
          <w:szCs w:val="21"/>
        </w:rPr>
      </w:pPr>
      <w:r>
        <w:rPr>
          <w:rFonts w:hint="eastAsia" w:ascii="微软雅黑" w:hAnsi="微软雅黑" w:eastAsia="微软雅黑" w:cs="宋体"/>
          <w:color w:val="191919"/>
          <w:kern w:val="0"/>
          <w:sz w:val="24"/>
          <w:szCs w:val="24"/>
        </w:rPr>
        <w:t>    递交竞争性磋商响应文件地点：南京市玄武区运粮河西路101号2号楼2楼。</w:t>
      </w:r>
    </w:p>
    <w:p>
      <w:pPr>
        <w:widowControl/>
        <w:shd w:val="clear" w:color="auto" w:fill="FFFFFF"/>
        <w:spacing w:line="315" w:lineRule="atLeast"/>
        <w:jc w:val="left"/>
        <w:rPr>
          <w:rFonts w:ascii="微软雅黑" w:hAnsi="微软雅黑" w:eastAsia="微软雅黑" w:cs="宋体"/>
          <w:color w:val="191919"/>
          <w:kern w:val="0"/>
          <w:szCs w:val="21"/>
        </w:rPr>
      </w:pPr>
      <w:r>
        <w:rPr>
          <w:rFonts w:hint="eastAsia" w:ascii="微软雅黑" w:hAnsi="微软雅黑" w:eastAsia="微软雅黑" w:cs="宋体"/>
          <w:color w:val="191919"/>
          <w:kern w:val="0"/>
          <w:sz w:val="24"/>
          <w:szCs w:val="24"/>
        </w:rPr>
        <w:t>    响应文件接收人：李晶，电话：025-86731692。</w:t>
      </w:r>
    </w:p>
    <w:p>
      <w:pPr>
        <w:widowControl/>
        <w:shd w:val="clear" w:color="auto" w:fill="FFFFFF"/>
        <w:spacing w:line="315" w:lineRule="atLeast"/>
        <w:jc w:val="left"/>
        <w:rPr>
          <w:rFonts w:ascii="微软雅黑" w:hAnsi="微软雅黑" w:eastAsia="微软雅黑" w:cs="宋体"/>
          <w:color w:val="191919"/>
          <w:kern w:val="0"/>
          <w:szCs w:val="21"/>
        </w:rPr>
      </w:pPr>
      <w:r>
        <w:rPr>
          <w:rFonts w:hint="eastAsia" w:ascii="微软雅黑" w:hAnsi="微软雅黑" w:eastAsia="微软雅黑" w:cs="宋体"/>
          <w:color w:val="191919"/>
          <w:kern w:val="0"/>
          <w:sz w:val="24"/>
          <w:szCs w:val="24"/>
        </w:rPr>
        <w:t>    竞争性磋商时间：2022年9月2</w:t>
      </w:r>
      <w:r>
        <w:rPr>
          <w:rFonts w:ascii="微软雅黑" w:hAnsi="微软雅黑" w:eastAsia="微软雅黑" w:cs="宋体"/>
          <w:color w:val="191919"/>
          <w:kern w:val="0"/>
          <w:sz w:val="24"/>
          <w:szCs w:val="24"/>
        </w:rPr>
        <w:t>8</w:t>
      </w:r>
      <w:r>
        <w:rPr>
          <w:rFonts w:hint="eastAsia" w:ascii="微软雅黑" w:hAnsi="微软雅黑" w:eastAsia="微软雅黑" w:cs="宋体"/>
          <w:color w:val="191919"/>
          <w:kern w:val="0"/>
          <w:sz w:val="24"/>
          <w:szCs w:val="24"/>
        </w:rPr>
        <w:t>日14:30。</w:t>
      </w:r>
    </w:p>
    <w:p>
      <w:pPr>
        <w:widowControl/>
        <w:shd w:val="clear" w:color="auto" w:fill="FFFFFF"/>
        <w:spacing w:line="315" w:lineRule="atLeast"/>
        <w:jc w:val="left"/>
        <w:rPr>
          <w:rFonts w:ascii="微软雅黑" w:hAnsi="微软雅黑" w:eastAsia="微软雅黑" w:cs="宋体"/>
          <w:color w:val="191919"/>
          <w:kern w:val="0"/>
          <w:szCs w:val="21"/>
        </w:rPr>
      </w:pPr>
      <w:r>
        <w:rPr>
          <w:rFonts w:hint="eastAsia" w:ascii="微软雅黑" w:hAnsi="微软雅黑" w:eastAsia="微软雅黑" w:cs="宋体"/>
          <w:color w:val="191919"/>
          <w:kern w:val="0"/>
          <w:sz w:val="24"/>
          <w:szCs w:val="24"/>
        </w:rPr>
        <w:t>    竞争性磋商地点：南京市玄武区运粮河西路101号2号楼2楼会议室。</w:t>
      </w:r>
    </w:p>
    <w:p>
      <w:pPr>
        <w:widowControl/>
        <w:shd w:val="clear" w:color="auto" w:fill="FFFFFF"/>
        <w:spacing w:line="315" w:lineRule="atLeast"/>
        <w:jc w:val="left"/>
        <w:rPr>
          <w:rFonts w:ascii="微软雅黑" w:hAnsi="微软雅黑" w:eastAsia="微软雅黑" w:cs="宋体"/>
          <w:color w:val="191919"/>
          <w:kern w:val="0"/>
          <w:szCs w:val="21"/>
        </w:rPr>
      </w:pPr>
      <w:r>
        <w:rPr>
          <w:rFonts w:hint="eastAsia" w:ascii="微软雅黑" w:hAnsi="微软雅黑" w:eastAsia="微软雅黑" w:cs="宋体"/>
          <w:b/>
          <w:bCs/>
          <w:color w:val="191919"/>
          <w:kern w:val="0"/>
          <w:sz w:val="24"/>
          <w:szCs w:val="24"/>
        </w:rPr>
        <w:t>六、发布公告的媒介</w:t>
      </w:r>
    </w:p>
    <w:p>
      <w:pPr>
        <w:widowControl/>
        <w:shd w:val="clear" w:color="auto" w:fill="FFFFFF"/>
        <w:spacing w:line="315" w:lineRule="atLeast"/>
        <w:jc w:val="left"/>
        <w:rPr>
          <w:rFonts w:ascii="微软雅黑" w:hAnsi="微软雅黑" w:eastAsia="微软雅黑" w:cs="宋体"/>
          <w:color w:val="191919"/>
          <w:kern w:val="0"/>
          <w:szCs w:val="21"/>
        </w:rPr>
      </w:pPr>
      <w:r>
        <w:rPr>
          <w:rFonts w:hint="eastAsia" w:ascii="微软雅黑" w:hAnsi="微软雅黑" w:eastAsia="微软雅黑" w:cs="宋体"/>
          <w:color w:val="191919"/>
          <w:kern w:val="0"/>
          <w:sz w:val="24"/>
          <w:szCs w:val="24"/>
        </w:rPr>
        <w:t>    本次采购事宜相关公告将在江苏省广电有线信息网络股份有限公司网站（网址：http://www.jscnnet.com/zbcg/）“招标采购”栏目发布，其他媒介转载需注明出处。</w:t>
      </w:r>
    </w:p>
    <w:p>
      <w:pPr>
        <w:widowControl/>
        <w:shd w:val="clear" w:color="auto" w:fill="FFFFFF"/>
        <w:spacing w:line="315" w:lineRule="atLeast"/>
        <w:jc w:val="left"/>
        <w:rPr>
          <w:rFonts w:ascii="微软雅黑" w:hAnsi="微软雅黑" w:eastAsia="微软雅黑" w:cs="宋体"/>
          <w:color w:val="191919"/>
          <w:kern w:val="0"/>
          <w:szCs w:val="21"/>
        </w:rPr>
      </w:pPr>
      <w:r>
        <w:rPr>
          <w:rFonts w:hint="eastAsia" w:ascii="微软雅黑" w:hAnsi="微软雅黑" w:eastAsia="微软雅黑" w:cs="宋体"/>
          <w:b/>
          <w:bCs/>
          <w:color w:val="191919"/>
          <w:kern w:val="0"/>
          <w:sz w:val="24"/>
          <w:szCs w:val="24"/>
        </w:rPr>
        <w:t>七、其他说明事项</w:t>
      </w:r>
    </w:p>
    <w:p>
      <w:pPr>
        <w:widowControl/>
        <w:shd w:val="clear" w:color="auto" w:fill="FFFFFF"/>
        <w:spacing w:line="315" w:lineRule="atLeast"/>
        <w:jc w:val="left"/>
        <w:rPr>
          <w:rFonts w:ascii="微软雅黑" w:hAnsi="微软雅黑" w:eastAsia="微软雅黑" w:cs="宋体"/>
          <w:color w:val="191919"/>
          <w:kern w:val="0"/>
          <w:szCs w:val="21"/>
        </w:rPr>
      </w:pPr>
      <w:r>
        <w:rPr>
          <w:rFonts w:hint="eastAsia" w:ascii="微软雅黑" w:hAnsi="微软雅黑" w:eastAsia="微软雅黑" w:cs="宋体"/>
          <w:color w:val="191919"/>
          <w:kern w:val="0"/>
          <w:sz w:val="24"/>
          <w:szCs w:val="24"/>
        </w:rPr>
        <w:t>    由于疫情防控要求，本项目在供应商无法到达现场时可采取远程谈判形式（详见竞争性磋商文件第七章）。供应商按规定时间先将响应文件盖章扫描件（PDF文档）加密后发至采购人信箱，并在谈判现场告知采购人密码，由采购人现场解密。完成谈判后，供应商须将响应文件及最终承诺的纸质版在谈判完成一周内寄至采购人所在地。如邮寄发出地为中高风险区须事先通过电子邮件告知采购人。联系人：李晶；联系电话：025-86731692；电子邮箱:lijing@jscnnet.com，地址：江苏省南京市运粮河西路101号麒麟科技创新园江苏有线三网融合枢纽中心二号楼二楼；响应文件盖章扫描件（PDF文档）发送截止时间为2022年9月2</w:t>
      </w:r>
      <w:r>
        <w:rPr>
          <w:rFonts w:ascii="微软雅黑" w:hAnsi="微软雅黑" w:eastAsia="微软雅黑" w:cs="宋体"/>
          <w:color w:val="191919"/>
          <w:kern w:val="0"/>
          <w:sz w:val="24"/>
          <w:szCs w:val="24"/>
        </w:rPr>
        <w:t>8</w:t>
      </w:r>
      <w:r>
        <w:rPr>
          <w:rFonts w:hint="eastAsia" w:ascii="微软雅黑" w:hAnsi="微软雅黑" w:eastAsia="微软雅黑" w:cs="宋体"/>
          <w:color w:val="191919"/>
          <w:kern w:val="0"/>
          <w:sz w:val="24"/>
          <w:szCs w:val="24"/>
        </w:rPr>
        <w:t>日14:</w:t>
      </w:r>
      <w:r>
        <w:rPr>
          <w:rFonts w:ascii="微软雅黑" w:hAnsi="微软雅黑" w:eastAsia="微软雅黑" w:cs="宋体"/>
          <w:color w:val="191919"/>
          <w:kern w:val="0"/>
          <w:sz w:val="24"/>
          <w:szCs w:val="24"/>
        </w:rPr>
        <w:t>3</w:t>
      </w:r>
      <w:r>
        <w:rPr>
          <w:rFonts w:hint="eastAsia" w:ascii="微软雅黑" w:hAnsi="微软雅黑" w:eastAsia="微软雅黑" w:cs="宋体"/>
          <w:color w:val="191919"/>
          <w:kern w:val="0"/>
          <w:sz w:val="24"/>
          <w:szCs w:val="24"/>
        </w:rPr>
        <w:t>0，随后组磋商。</w:t>
      </w:r>
    </w:p>
    <w:p>
      <w:pPr>
        <w:widowControl/>
        <w:shd w:val="clear" w:color="auto" w:fill="FFFFFF"/>
        <w:jc w:val="left"/>
        <w:rPr>
          <w:rFonts w:ascii="微软雅黑" w:hAnsi="微软雅黑" w:eastAsia="微软雅黑" w:cs="宋体"/>
          <w:color w:val="191919"/>
          <w:kern w:val="0"/>
          <w:szCs w:val="21"/>
        </w:rPr>
      </w:pPr>
      <w:r>
        <w:rPr>
          <w:rFonts w:hint="eastAsia" w:ascii="微软雅黑" w:hAnsi="微软雅黑" w:eastAsia="微软雅黑" w:cs="宋体"/>
          <w:color w:val="191919"/>
          <w:kern w:val="0"/>
          <w:sz w:val="24"/>
          <w:szCs w:val="24"/>
        </w:rPr>
        <w:t>    有关本次磋商的事项若存在变动或修改，敬请及时关注网上发布的信息更正公告。</w:t>
      </w:r>
    </w:p>
    <w:p/>
    <w:p>
      <w:pPr>
        <w:widowControl/>
        <w:spacing w:line="360" w:lineRule="auto"/>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br w:type="page"/>
      </w:r>
    </w:p>
    <w:p>
      <w:pPr>
        <w:pStyle w:val="3"/>
        <w:numPr>
          <w:ilvl w:val="0"/>
          <w:numId w:val="0"/>
        </w:numPr>
        <w:spacing w:before="0" w:after="0" w:line="360" w:lineRule="auto"/>
        <w:rPr>
          <w:b/>
          <w:color w:val="000000" w:themeColor="text1"/>
          <w:sz w:val="36"/>
          <w:szCs w:val="36"/>
          <w14:textFill>
            <w14:solidFill>
              <w14:schemeClr w14:val="tx1"/>
            </w14:solidFill>
          </w14:textFill>
        </w:rPr>
      </w:pPr>
      <w:bookmarkStart w:id="5" w:name="_Toc226969276"/>
      <w:bookmarkStart w:id="6" w:name="_Toc69378616"/>
      <w:bookmarkStart w:id="7" w:name="_Toc227057883"/>
      <w:bookmarkStart w:id="8" w:name="_Toc107822483"/>
      <w:r>
        <w:rPr>
          <w:rFonts w:hint="eastAsia"/>
          <w:b/>
          <w:color w:val="000000" w:themeColor="text1"/>
          <w:sz w:val="36"/>
          <w:szCs w:val="36"/>
          <w14:textFill>
            <w14:solidFill>
              <w14:schemeClr w14:val="tx1"/>
            </w14:solidFill>
          </w14:textFill>
        </w:rPr>
        <w:t>第二章 竞争性磋商</w:t>
      </w:r>
      <w:r>
        <w:rPr>
          <w:b/>
          <w:color w:val="000000" w:themeColor="text1"/>
          <w:sz w:val="36"/>
          <w:szCs w:val="36"/>
          <w14:textFill>
            <w14:solidFill>
              <w14:schemeClr w14:val="tx1"/>
            </w14:solidFill>
          </w14:textFill>
        </w:rPr>
        <w:t>须知</w:t>
      </w:r>
    </w:p>
    <w:p>
      <w:pPr>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供应商须知前附表</w:t>
      </w:r>
    </w:p>
    <w:p>
      <w:pPr>
        <w:jc w:val="left"/>
        <w:rPr>
          <w:color w:val="000000" w:themeColor="text1"/>
          <w:sz w:val="28"/>
          <w:szCs w:val="28"/>
          <w14:textFill>
            <w14:solidFill>
              <w14:schemeClr w14:val="tx1"/>
            </w14:solidFill>
          </w14:textFill>
        </w:rPr>
      </w:pPr>
      <w:r>
        <w:rPr>
          <w:rFonts w:hint="eastAsia"/>
          <w:color w:val="000000" w:themeColor="text1"/>
          <w:sz w:val="24"/>
          <w14:textFill>
            <w14:solidFill>
              <w14:schemeClr w14:val="tx1"/>
            </w14:solidFill>
          </w14:textFill>
        </w:rPr>
        <w:t>本表关于要采购的货物及</w:t>
      </w:r>
      <w:r>
        <w:rPr>
          <w:color w:val="000000" w:themeColor="text1"/>
          <w:sz w:val="24"/>
          <w14:textFill>
            <w14:solidFill>
              <w14:schemeClr w14:val="tx1"/>
            </w14:solidFill>
          </w14:textFill>
        </w:rPr>
        <w:t>服务</w:t>
      </w:r>
      <w:r>
        <w:rPr>
          <w:rFonts w:hint="eastAsia"/>
          <w:color w:val="000000" w:themeColor="text1"/>
          <w:sz w:val="24"/>
          <w14:textFill>
            <w14:solidFill>
              <w14:schemeClr w14:val="tx1"/>
            </w14:solidFill>
          </w14:textFill>
        </w:rPr>
        <w:t>的具体资料是对应答供应商须知的具体补充和修改，如有矛盾，以本前附表为准。</w:t>
      </w:r>
    </w:p>
    <w:tbl>
      <w:tblPr>
        <w:tblStyle w:val="53"/>
        <w:tblW w:w="5294" w:type="pct"/>
        <w:tblInd w:w="-256" w:type="dxa"/>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68"/>
        <w:gridCol w:w="910"/>
        <w:gridCol w:w="1351"/>
        <w:gridCol w:w="6025"/>
      </w:tblGrid>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21" w:type="pct"/>
            <w:tcBorders>
              <w:top w:val="single" w:color="auto" w:sz="6" w:space="0"/>
            </w:tcBorders>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514" w:type="pct"/>
            <w:tcBorders>
              <w:top w:val="single" w:color="auto" w:sz="6" w:space="0"/>
            </w:tcBorders>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条款号</w:t>
            </w:r>
          </w:p>
        </w:tc>
        <w:tc>
          <w:tcPr>
            <w:tcW w:w="763" w:type="pct"/>
            <w:tcBorders>
              <w:top w:val="single" w:color="auto" w:sz="6" w:space="0"/>
            </w:tcBorders>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内容</w:t>
            </w:r>
          </w:p>
        </w:tc>
        <w:tc>
          <w:tcPr>
            <w:tcW w:w="3402" w:type="pct"/>
            <w:tcBorders>
              <w:top w:val="single" w:color="auto" w:sz="6" w:space="0"/>
            </w:tcBorders>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说明与要求</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21" w:type="pct"/>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p>
        </w:tc>
        <w:tc>
          <w:tcPr>
            <w:tcW w:w="514" w:type="pct"/>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1.1</w:t>
            </w:r>
          </w:p>
        </w:tc>
        <w:tc>
          <w:tcPr>
            <w:tcW w:w="763" w:type="pct"/>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采购人</w:t>
            </w:r>
          </w:p>
        </w:tc>
        <w:tc>
          <w:tcPr>
            <w:tcW w:w="3402" w:type="pct"/>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江苏省广电有线信息网络股份有限公司，以下简称“采购人”</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21" w:type="pct"/>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p>
        </w:tc>
        <w:tc>
          <w:tcPr>
            <w:tcW w:w="514" w:type="pct"/>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1.2</w:t>
            </w:r>
          </w:p>
        </w:tc>
        <w:tc>
          <w:tcPr>
            <w:tcW w:w="763" w:type="pct"/>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代理机构</w:t>
            </w:r>
          </w:p>
        </w:tc>
        <w:tc>
          <w:tcPr>
            <w:tcW w:w="3402" w:type="pct"/>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本项目无代理机构</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6" w:hRule="atLeast"/>
          <w:tblHeader/>
        </w:trPr>
        <w:tc>
          <w:tcPr>
            <w:tcW w:w="321" w:type="pct"/>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p>
        </w:tc>
        <w:tc>
          <w:tcPr>
            <w:tcW w:w="514" w:type="pct"/>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1.3</w:t>
            </w:r>
          </w:p>
        </w:tc>
        <w:tc>
          <w:tcPr>
            <w:tcW w:w="763" w:type="pct"/>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合格的供应商</w:t>
            </w:r>
          </w:p>
        </w:tc>
        <w:tc>
          <w:tcPr>
            <w:tcW w:w="3402" w:type="pct"/>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见竞争性磋商文件第一章《竞争性磋商公告》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21" w:type="pct"/>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w:t>
            </w:r>
          </w:p>
        </w:tc>
        <w:tc>
          <w:tcPr>
            <w:tcW w:w="514" w:type="pct"/>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20.1</w:t>
            </w:r>
          </w:p>
        </w:tc>
        <w:tc>
          <w:tcPr>
            <w:tcW w:w="763" w:type="pct"/>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保密</w:t>
            </w:r>
          </w:p>
        </w:tc>
        <w:tc>
          <w:tcPr>
            <w:tcW w:w="3402" w:type="pct"/>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供应商在参与本项目中，对于采购人披露和提供的所有信息应作为商业秘密对待并予以保护，未经采购人授权不得将任何信息泄漏给第三方，否则采购人有权追究供应商的责任。</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21" w:type="pct"/>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w:t>
            </w:r>
          </w:p>
        </w:tc>
        <w:tc>
          <w:tcPr>
            <w:tcW w:w="514" w:type="pct"/>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7.1</w:t>
            </w:r>
          </w:p>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763" w:type="pct"/>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经第三方审计的财务报表</w:t>
            </w:r>
          </w:p>
        </w:tc>
        <w:tc>
          <w:tcPr>
            <w:tcW w:w="3402" w:type="pct"/>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见竞争性磋商文件第一章《竞争性磋商公告》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21" w:type="pct"/>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6</w:t>
            </w:r>
          </w:p>
        </w:tc>
        <w:tc>
          <w:tcPr>
            <w:tcW w:w="514" w:type="pct"/>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7.1</w:t>
            </w:r>
          </w:p>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763" w:type="pct"/>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响应文件的技术部分中必须包括的内容</w:t>
            </w:r>
          </w:p>
        </w:tc>
        <w:tc>
          <w:tcPr>
            <w:tcW w:w="3402" w:type="pct"/>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对第五章《技术需求书》的逐项应答，逐项应答必须按照服务偏离表格式，对照竞争性磋商文件需求，依据供应商本身服务，如实逐条说明所提供产品及</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或服务已对竞争性磋商文件的需求做出了实质性的响应，或申明与需求的偏差和例外。技术偏离表填报的内容必须对照报价一览表，对于可以用量化形式表示的条款，供应商必须明确回答，或以功能描述回答。</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21" w:type="pct"/>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7</w:t>
            </w:r>
          </w:p>
        </w:tc>
        <w:tc>
          <w:tcPr>
            <w:tcW w:w="514" w:type="pct"/>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7.1</w:t>
            </w:r>
          </w:p>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p>
        </w:tc>
        <w:tc>
          <w:tcPr>
            <w:tcW w:w="763" w:type="pct"/>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合同文本的提供</w:t>
            </w:r>
          </w:p>
        </w:tc>
        <w:tc>
          <w:tcPr>
            <w:tcW w:w="3402" w:type="pct"/>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除了对竞争性磋商文件的逐项应答（包括第四章《合同格式》）外，供应商还应提供一份完整的合同文本，作为响应文件的一部分，该合同文本对于竞争性磋商文件第四章《合同格式》的任何负偏离均将导致响应文件被拒绝。</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21" w:type="pct"/>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8</w:t>
            </w:r>
          </w:p>
        </w:tc>
        <w:tc>
          <w:tcPr>
            <w:tcW w:w="514" w:type="pct"/>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8.1</w:t>
            </w:r>
          </w:p>
        </w:tc>
        <w:tc>
          <w:tcPr>
            <w:tcW w:w="763" w:type="pct"/>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响应文件的式样和签署</w:t>
            </w:r>
          </w:p>
        </w:tc>
        <w:tc>
          <w:tcPr>
            <w:tcW w:w="3402" w:type="pct"/>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响应文件一式</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份（</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份正本、</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份副本），电子版本一份（电子版文件内容必须可搜索，U盘形式）。</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21" w:type="pct"/>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9</w:t>
            </w:r>
          </w:p>
        </w:tc>
        <w:tc>
          <w:tcPr>
            <w:tcW w:w="514" w:type="pct"/>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9.1</w:t>
            </w:r>
          </w:p>
        </w:tc>
        <w:tc>
          <w:tcPr>
            <w:tcW w:w="763" w:type="pct"/>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报价</w:t>
            </w:r>
          </w:p>
        </w:tc>
        <w:tc>
          <w:tcPr>
            <w:tcW w:w="3402" w:type="pct"/>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应根据本项目实际情况，充分考虑市场情况完成采购人在“技术需求书”中所确定的所有工作内容所发生的一切费用。费用包括：直接成本（项目组成员的工资及差旅费、补助费、其他专项开支等）、间接成本（公司管理人员工资、行政办公费、业务培训费等）、税金、利润等为完成本项目所需的全部费用。</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供应商必须保证所提供的服务能够完全满足采购人的项目建设需求，并充分考虑到采购人的售后服务需求。</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21" w:type="pct"/>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10</w:t>
            </w:r>
          </w:p>
        </w:tc>
        <w:tc>
          <w:tcPr>
            <w:tcW w:w="514" w:type="pct"/>
            <w:vAlign w:val="center"/>
          </w:tcPr>
          <w:p>
            <w:pPr>
              <w:jc w:val="center"/>
              <w:rPr>
                <w:rFonts w:ascii="宋体" w:hAnsi="宋体"/>
                <w:color w:val="000000" w:themeColor="text1"/>
                <w:szCs w:val="21"/>
                <w14:textFill>
                  <w14:solidFill>
                    <w14:schemeClr w14:val="tx1"/>
                  </w14:solidFill>
                </w14:textFill>
              </w:rPr>
            </w:pPr>
          </w:p>
        </w:tc>
        <w:tc>
          <w:tcPr>
            <w:tcW w:w="763" w:type="pct"/>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响应文件的盖章或签字</w:t>
            </w:r>
          </w:p>
        </w:tc>
        <w:tc>
          <w:tcPr>
            <w:tcW w:w="3402" w:type="pct"/>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本条款增加规定：</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（1）竞争性磋商文件第六章“响应文件格式”中有单位名称和法定代表人或其委托代理人签字落款的响应文件必须加盖单位公章。</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（2）除上述文件以外的其他响应文件组成部分必须加盖骑缝章（骑缝章必须覆盖所有响应文件），或由法定代表人或其委托代理人逐页手签。</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响应文件中所有标注“盖章”处均指单位公章，不能以“业务章”、“专用章”、“合同章”等代替；如确需要替代，则必须附公章对“业务章”、“专用章”、“合同章”等的授权（格式自制，且正本中必须附原件）</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21" w:type="pct"/>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11</w:t>
            </w:r>
          </w:p>
        </w:tc>
        <w:tc>
          <w:tcPr>
            <w:tcW w:w="514" w:type="pct"/>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10.1</w:t>
            </w:r>
          </w:p>
        </w:tc>
        <w:tc>
          <w:tcPr>
            <w:tcW w:w="763" w:type="pct"/>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响应有效期</w:t>
            </w:r>
          </w:p>
        </w:tc>
        <w:tc>
          <w:tcPr>
            <w:tcW w:w="3402" w:type="pct"/>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供应商递交的响应文件应在规定的递交响应文件截止日后的</w:t>
            </w:r>
            <w:r>
              <w:rPr>
                <w:rFonts w:ascii="宋体" w:hAnsi="宋体"/>
                <w:color w:val="000000" w:themeColor="text1"/>
                <w:szCs w:val="21"/>
                <w14:textFill>
                  <w14:solidFill>
                    <w14:schemeClr w14:val="tx1"/>
                  </w14:solidFill>
                </w14:textFill>
              </w:rPr>
              <w:t>90</w:t>
            </w:r>
            <w:r>
              <w:rPr>
                <w:rFonts w:hint="eastAsia" w:ascii="宋体" w:hAnsi="宋体"/>
                <w:color w:val="000000" w:themeColor="text1"/>
                <w:szCs w:val="21"/>
                <w14:textFill>
                  <w14:solidFill>
                    <w14:schemeClr w14:val="tx1"/>
                  </w14:solidFill>
                </w14:textFill>
              </w:rPr>
              <w:t>天内保持有效。</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21" w:type="pct"/>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12</w:t>
            </w:r>
          </w:p>
        </w:tc>
        <w:tc>
          <w:tcPr>
            <w:tcW w:w="514" w:type="pct"/>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12.1</w:t>
            </w:r>
          </w:p>
        </w:tc>
        <w:tc>
          <w:tcPr>
            <w:tcW w:w="763" w:type="pct"/>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递交响应文件截止时间</w:t>
            </w:r>
          </w:p>
        </w:tc>
        <w:tc>
          <w:tcPr>
            <w:tcW w:w="3402" w:type="pct"/>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见竞争性磋商文件第一章《竞争性磋商公告》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 w:hRule="atLeast"/>
          <w:tblHeader/>
        </w:trPr>
        <w:tc>
          <w:tcPr>
            <w:tcW w:w="321" w:type="pct"/>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13</w:t>
            </w:r>
          </w:p>
        </w:tc>
        <w:tc>
          <w:tcPr>
            <w:tcW w:w="514" w:type="pct"/>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12.1</w:t>
            </w:r>
          </w:p>
        </w:tc>
        <w:tc>
          <w:tcPr>
            <w:tcW w:w="763" w:type="pct"/>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递交响应文件地点</w:t>
            </w:r>
          </w:p>
        </w:tc>
        <w:tc>
          <w:tcPr>
            <w:tcW w:w="3402" w:type="pct"/>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见竞争性磋商文件第一章《竞争性磋商公告》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trPr>
        <w:tc>
          <w:tcPr>
            <w:tcW w:w="321" w:type="pct"/>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14</w:t>
            </w:r>
          </w:p>
        </w:tc>
        <w:tc>
          <w:tcPr>
            <w:tcW w:w="514" w:type="pct"/>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17.5</w:t>
            </w:r>
          </w:p>
        </w:tc>
        <w:tc>
          <w:tcPr>
            <w:tcW w:w="763" w:type="pct"/>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如发现下列情况之一的，其响应文件将可能被拒绝</w:t>
            </w:r>
          </w:p>
        </w:tc>
        <w:tc>
          <w:tcPr>
            <w:tcW w:w="3402" w:type="pct"/>
            <w:vAlign w:val="center"/>
          </w:tcPr>
          <w:p>
            <w:pP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）不满足竞争性磋商文件对合格供应商的基本资质要求的；</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2）供应商在响应文件中提供的服务内容及质量不能实质性满足竞争性磋商文件要求或不能提供实质性满足证明的；</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3）供应商在响应文件中对于第四章《合同格式》有任何负偏离的；</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4）响应函、法人代表授权书不按照第六章《附件》的格式提供的；</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5）资格证明文件不全、失效或不符合竞争性磋商文件要求的；</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6）响应文件无法定代表人签字，或签字人无法定代表人有效授权的；</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8）响应文件或响应有效期不足的；</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8）响应文件中提供虚假或失实资料的；</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9）未按照竞争性磋商文件规定的方式领取竞争性磋商文件并按要求递交响应文件的；</w:t>
            </w:r>
          </w:p>
          <w:p>
            <w:pP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0）评审委员会认为不能实质上满足竞争性磋商文件其它要求的。</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trPr>
        <w:tc>
          <w:tcPr>
            <w:tcW w:w="321" w:type="pct"/>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15</w:t>
            </w:r>
          </w:p>
        </w:tc>
        <w:tc>
          <w:tcPr>
            <w:tcW w:w="514" w:type="pct"/>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19</w:t>
            </w:r>
          </w:p>
        </w:tc>
        <w:tc>
          <w:tcPr>
            <w:tcW w:w="763" w:type="pct"/>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评审</w:t>
            </w:r>
          </w:p>
        </w:tc>
        <w:tc>
          <w:tcPr>
            <w:tcW w:w="3402" w:type="pct"/>
            <w:vAlign w:val="center"/>
          </w:tcPr>
          <w:p>
            <w:pP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）供应商的法定代表人或其授权代理应按采购人规定的时间到达指定的地点，与评审委员会进行磋商并对评审委员会提出的问题作出澄清和答复；</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磋商过程中允许各供应商调整报价，各供应商拥有平等的调整报价机会，评审委员会有权根据实际情况确定调整报价的次数，报价调整必须经过供应商授权代表签字确认。供应商应将其最终报价和相关承诺一并在规定的时间内递交。</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供应商逾期递交的或不满足要求的最终报价和相关承诺将被拒绝，并将导致其竞争性磋商响应文件实质上没有响应竞争性磋商文件的要求。最终报价和相关承诺在递交后将不得更改，并将作为成交商的评审依据。</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4）评审委员会将对参加磋商且实质上响应竞争性磋商文件要求的各磋商供应商进行评价和比较。评审的依据为磋商供应商递交的竞争性磋商响应文件和磋商后递交的最终报价及承诺。详见第三章《评审办法》。</w:t>
            </w:r>
          </w:p>
          <w:p>
            <w:pP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）评审委员会就服务、合同内容和供应商报价进行磋商，磋商后将根据综合评估结果，对供应商按综合得分从高到低排序。</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2" w:hRule="atLeast"/>
          <w:tblHeader/>
        </w:trPr>
        <w:tc>
          <w:tcPr>
            <w:tcW w:w="321" w:type="pct"/>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16</w:t>
            </w:r>
          </w:p>
        </w:tc>
        <w:tc>
          <w:tcPr>
            <w:tcW w:w="514" w:type="pct"/>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22.1</w:t>
            </w:r>
          </w:p>
        </w:tc>
        <w:tc>
          <w:tcPr>
            <w:tcW w:w="763" w:type="pct"/>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成交</w:t>
            </w:r>
          </w:p>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供应商数量</w:t>
            </w:r>
          </w:p>
        </w:tc>
        <w:tc>
          <w:tcPr>
            <w:tcW w:w="3402" w:type="pct"/>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1名成交供应商。推荐</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名成交候选人。</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tblHeader/>
        </w:trPr>
        <w:tc>
          <w:tcPr>
            <w:tcW w:w="321" w:type="pct"/>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17</w:t>
            </w:r>
          </w:p>
        </w:tc>
        <w:tc>
          <w:tcPr>
            <w:tcW w:w="514" w:type="pct"/>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24</w:t>
            </w:r>
          </w:p>
        </w:tc>
        <w:tc>
          <w:tcPr>
            <w:tcW w:w="763" w:type="pct"/>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签约</w:t>
            </w:r>
          </w:p>
        </w:tc>
        <w:tc>
          <w:tcPr>
            <w:tcW w:w="3402" w:type="pct"/>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采购人与本次成交供应商按本竞争性磋商文件第四章合同格式签订合同。</w:t>
            </w:r>
          </w:p>
        </w:tc>
      </w:tr>
    </w:tbl>
    <w:p>
      <w:pPr>
        <w:ind w:firstLine="484" w:firstLineChars="202"/>
        <w:rPr>
          <w:color w:val="000000" w:themeColor="text1"/>
          <w:sz w:val="24"/>
          <w14:textFill>
            <w14:solidFill>
              <w14:schemeClr w14:val="tx1"/>
            </w14:solidFill>
          </w14:textFill>
        </w:rPr>
      </w:pPr>
    </w:p>
    <w:p>
      <w:pPr>
        <w:widowControl/>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br w:type="page"/>
      </w:r>
    </w:p>
    <w:p>
      <w:pPr>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供应商须知</w:t>
      </w:r>
    </w:p>
    <w:p>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一、说明</w:t>
      </w:r>
    </w:p>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采购人及合格的供应商</w:t>
      </w:r>
    </w:p>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1.1 </w:t>
      </w:r>
      <w:r>
        <w:rPr>
          <w:rFonts w:hint="eastAsia" w:ascii="宋体" w:hAnsi="宋体"/>
          <w:color w:val="000000" w:themeColor="text1"/>
          <w:szCs w:val="21"/>
          <w14:textFill>
            <w14:solidFill>
              <w14:schemeClr w14:val="tx1"/>
            </w14:solidFill>
          </w14:textFill>
        </w:rPr>
        <w:t>采购人是指国内采购产品的国家机关、企业、事业单位或其它组织。本项目采购人（详见《供应商须知前附表》）。</w:t>
      </w:r>
    </w:p>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1.2</w:t>
      </w:r>
      <w:r>
        <w:rPr>
          <w:rFonts w:hint="eastAsia" w:ascii="宋体" w:hAnsi="宋体"/>
          <w:color w:val="000000" w:themeColor="text1"/>
          <w:szCs w:val="21"/>
          <w14:textFill>
            <w14:solidFill>
              <w14:schemeClr w14:val="tx1"/>
            </w14:solidFill>
          </w14:textFill>
        </w:rPr>
        <w:t>合格的供应商（详见《供应商须知前附表》）。</w:t>
      </w:r>
    </w:p>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费用</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Cs w:val="21"/>
          <w14:textFill>
            <w14:solidFill>
              <w14:schemeClr w14:val="tx1"/>
            </w14:solidFill>
          </w14:textFill>
        </w:rPr>
        <w:t xml:space="preserve">2.1  </w:t>
      </w:r>
      <w:r>
        <w:rPr>
          <w:rFonts w:hint="eastAsia" w:ascii="宋体" w:hAnsi="宋体"/>
          <w:color w:val="000000" w:themeColor="text1"/>
          <w:szCs w:val="21"/>
          <w14:textFill>
            <w14:solidFill>
              <w14:schemeClr w14:val="tx1"/>
            </w14:solidFill>
          </w14:textFill>
        </w:rPr>
        <w:t>供应商应承担所有与准备和参加竞争有关的费用。不论结果如何，采购人均无义务和责任承担这些费用。</w:t>
      </w:r>
    </w:p>
    <w:p>
      <w:pPr>
        <w:spacing w:line="360" w:lineRule="auto"/>
        <w:rPr>
          <w:rFonts w:ascii="宋体" w:hAnsi="宋体"/>
          <w:color w:val="000000" w:themeColor="text1"/>
          <w:szCs w:val="21"/>
          <w14:textFill>
            <w14:solidFill>
              <w14:schemeClr w14:val="tx1"/>
            </w14:solidFill>
          </w14:textFill>
        </w:rPr>
      </w:pPr>
      <w:r>
        <w:rPr>
          <w:rFonts w:hint="eastAsia" w:ascii="宋体" w:hAnsi="宋体"/>
          <w:b/>
          <w:color w:val="000000" w:themeColor="text1"/>
          <w:sz w:val="24"/>
          <w14:textFill>
            <w14:solidFill>
              <w14:schemeClr w14:val="tx1"/>
            </w14:solidFill>
          </w14:textFill>
        </w:rPr>
        <w:t>二、竞争性磋商文件</w:t>
      </w:r>
    </w:p>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竞争性磋商文件构成</w:t>
      </w:r>
    </w:p>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3.1 </w:t>
      </w:r>
      <w:r>
        <w:rPr>
          <w:rFonts w:hint="eastAsia" w:ascii="宋体" w:hAnsi="宋体"/>
          <w:color w:val="000000" w:themeColor="text1"/>
          <w:szCs w:val="21"/>
          <w14:textFill>
            <w14:solidFill>
              <w14:schemeClr w14:val="tx1"/>
            </w14:solidFill>
          </w14:textFill>
        </w:rPr>
        <w:t>竞争性磋商文件共六章，内容如下：</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第一章 竞争性磋商</w:t>
      </w:r>
      <w:r>
        <w:rPr>
          <w:rFonts w:ascii="宋体" w:hAnsi="宋体"/>
          <w:color w:val="000000" w:themeColor="text1"/>
          <w:szCs w:val="21"/>
          <w14:textFill>
            <w14:solidFill>
              <w14:schemeClr w14:val="tx1"/>
            </w14:solidFill>
          </w14:textFill>
        </w:rPr>
        <w:t>公告</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第二章 竞争性磋商须知</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第三章 评审办法</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第四章 合同格式</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第五章 技术需求书</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第六章 竞争性磋商响应文件格式</w:t>
      </w:r>
    </w:p>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3.2 </w:t>
      </w:r>
      <w:r>
        <w:rPr>
          <w:rFonts w:hint="eastAsia" w:ascii="宋体" w:hAnsi="宋体"/>
          <w:color w:val="000000" w:themeColor="text1"/>
          <w:szCs w:val="21"/>
          <w14:textFill>
            <w14:solidFill>
              <w14:schemeClr w14:val="tx1"/>
            </w14:solidFill>
          </w14:textFill>
        </w:rPr>
        <w:t>供应商应认真阅读竞争性磋商文件中所有的事项、格式、条款和技术规范等。供应商没有按照竞争性磋商文件要求提交全部资料，或者响应文件没有对竞争性磋商文件在各方面都作出实质性响应是供应商的风险，并可能导致其响应文件被拒绝。</w:t>
      </w:r>
    </w:p>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竞争性磋商文件的澄清</w:t>
      </w:r>
    </w:p>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4.1 </w:t>
      </w:r>
      <w:r>
        <w:rPr>
          <w:rFonts w:hint="eastAsia" w:ascii="宋体" w:hAnsi="宋体"/>
          <w:color w:val="000000" w:themeColor="text1"/>
          <w:szCs w:val="21"/>
          <w14:textFill>
            <w14:solidFill>
              <w14:schemeClr w14:val="tx1"/>
            </w14:solidFill>
          </w14:textFill>
        </w:rPr>
        <w:t>任何要求对竞争性磋商文件进行澄清的供应商，均应按规定的递交响应文件截止期五（</w:t>
      </w: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）天前以书面形式通知采购人。逾期的澄清要求将不被接受。</w:t>
      </w:r>
    </w:p>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竞争性磋商文件的修改</w:t>
      </w:r>
    </w:p>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5.1</w:t>
      </w:r>
      <w:r>
        <w:rPr>
          <w:rFonts w:hint="eastAsia" w:ascii="宋体" w:hAnsi="宋体"/>
          <w:color w:val="000000" w:themeColor="text1"/>
          <w:szCs w:val="21"/>
          <w14:textFill>
            <w14:solidFill>
              <w14:schemeClr w14:val="tx1"/>
            </w14:solidFill>
          </w14:textFill>
        </w:rPr>
        <w:t>为使供应商准备响应文件时有充分时间对竞争性磋商文件的修改部分进行研究，采购人可自行决定是否延长递交响应文件截止时间。</w:t>
      </w:r>
    </w:p>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5.2 </w:t>
      </w:r>
      <w:r>
        <w:rPr>
          <w:rFonts w:hint="eastAsia" w:ascii="宋体" w:hAnsi="宋体"/>
          <w:color w:val="000000" w:themeColor="text1"/>
          <w:szCs w:val="21"/>
          <w14:textFill>
            <w14:solidFill>
              <w14:schemeClr w14:val="tx1"/>
            </w14:solidFill>
          </w14:textFill>
        </w:rPr>
        <w:t>在递交响应文件截止时间（包含延长了的递交响应文件截止时间）五（</w:t>
      </w: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）天以前的任何时候，无论出于何种原因，采购人可主动地或在解答供应商提出的澄清问题时对竞争性磋商文件进行修改。</w:t>
      </w:r>
    </w:p>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5.3 </w:t>
      </w:r>
      <w:r>
        <w:rPr>
          <w:rFonts w:hint="eastAsia" w:ascii="宋体" w:hAnsi="宋体"/>
          <w:color w:val="000000" w:themeColor="text1"/>
          <w:szCs w:val="21"/>
          <w14:textFill>
            <w14:solidFill>
              <w14:schemeClr w14:val="tx1"/>
            </w14:solidFill>
          </w14:textFill>
        </w:rPr>
        <w:t>竞争性磋商文件的修改将以书面形式在递交响应文件截止时间（包含延长了的递交响应文件截止时间）五（</w:t>
      </w: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）天前通知参与竞争性磋商的供应商，并对其具有约束力。供应商在收到上述通知后，应立即向采购人回函确认已收到上述通知，但是供应商的回函不作为其收到上述通知的唯一证据。</w:t>
      </w:r>
    </w:p>
    <w:p>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三、响应文件的编制</w:t>
      </w:r>
    </w:p>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6.</w:t>
      </w:r>
      <w:r>
        <w:rPr>
          <w:rFonts w:hint="eastAsia" w:ascii="宋体" w:hAnsi="宋体"/>
          <w:color w:val="000000" w:themeColor="text1"/>
          <w:szCs w:val="21"/>
          <w14:textFill>
            <w14:solidFill>
              <w14:schemeClr w14:val="tx1"/>
            </w14:solidFill>
          </w14:textFill>
        </w:rPr>
        <w:t>响应文件的语言</w:t>
      </w:r>
    </w:p>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6.1 </w:t>
      </w:r>
      <w:r>
        <w:rPr>
          <w:rFonts w:hint="eastAsia" w:ascii="宋体" w:hAnsi="宋体"/>
          <w:color w:val="000000" w:themeColor="text1"/>
          <w:szCs w:val="21"/>
          <w14:textFill>
            <w14:solidFill>
              <w14:schemeClr w14:val="tx1"/>
            </w14:solidFill>
          </w14:textFill>
        </w:rPr>
        <w:t>供应商提交的响应文件以及供应商与采购人就有关响应文件的所有来往函电均应使用中文书写。供应商提交的支持文件和印制的文献可以用另一种语言，但相应内容应附有中文的翻译本，在解释响应文件时以中文翻译本为准。</w:t>
      </w:r>
    </w:p>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7.</w:t>
      </w:r>
      <w:r>
        <w:rPr>
          <w:rFonts w:hint="eastAsia" w:ascii="宋体" w:hAnsi="宋体"/>
          <w:color w:val="000000" w:themeColor="text1"/>
          <w:szCs w:val="21"/>
          <w14:textFill>
            <w14:solidFill>
              <w14:schemeClr w14:val="tx1"/>
            </w14:solidFill>
          </w14:textFill>
        </w:rPr>
        <w:t>响应文件构成</w:t>
      </w:r>
    </w:p>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7.1 </w:t>
      </w:r>
      <w:r>
        <w:rPr>
          <w:rFonts w:hint="eastAsia" w:ascii="宋体" w:hAnsi="宋体"/>
          <w:color w:val="000000" w:themeColor="text1"/>
          <w:szCs w:val="21"/>
          <w14:textFill>
            <w14:solidFill>
              <w14:schemeClr w14:val="tx1"/>
            </w14:solidFill>
          </w14:textFill>
        </w:rPr>
        <w:t>供应商应按下列响应文件格式要求组成响应文件（对以下所要求的响应文件如有任何一项未实质性响应，将可能导致其响应文件被拒绝）：响应文件基本文件；供应商资格证明文件，证明供应商是合格的和有能力履行合同的文件；证明供应商提供的产品及</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或服务的合格性和符合竞争性磋商文件规定的文件；竞争性磋商文件要求的其它文件；供应商认为其它需提供的文件。</w:t>
      </w:r>
    </w:p>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）响应文件基本文件</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项目方案</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响应函（格式见附件）</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报价表（格式见附件）</w:t>
      </w:r>
    </w:p>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）供应商提交的证明其合格且中选后有能力履行合同的资格证明文件（详见《竞争性磋商公告》）以及供应商认为需提供的其它文件和证书</w:t>
      </w:r>
    </w:p>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）证明供应商所提供的产品及</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或服务的合格性和符合竞争性磋商文件规定的文件，包括但不限于：对竞争性磋商文件第五章《技术需求书》的逐项应答，对于某项指标的数据存在证明文件内容不一致的情况，取指标较低的为准。（详见第五章《技术需求书》）</w:t>
      </w:r>
    </w:p>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）竞争性磋商文件要求的其它内容和文件</w:t>
      </w:r>
    </w:p>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）供应商认为其它需提供的文件或证书</w:t>
      </w:r>
    </w:p>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6）合同文本的提供（详见《供应商须知前附表》）</w:t>
      </w:r>
    </w:p>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7.2 </w:t>
      </w:r>
      <w:r>
        <w:rPr>
          <w:rFonts w:hint="eastAsia" w:ascii="宋体" w:hAnsi="宋体"/>
          <w:color w:val="000000" w:themeColor="text1"/>
          <w:szCs w:val="21"/>
          <w14:textFill>
            <w14:solidFill>
              <w14:schemeClr w14:val="tx1"/>
            </w14:solidFill>
          </w14:textFill>
        </w:rPr>
        <w:t>供应商提供的以上材料必须真实有效，任何一项的虚假将导致其响应文件被拒绝。</w:t>
      </w:r>
    </w:p>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8.</w:t>
      </w:r>
      <w:r>
        <w:rPr>
          <w:rFonts w:hint="eastAsia" w:ascii="宋体" w:hAnsi="宋体"/>
          <w:color w:val="000000" w:themeColor="text1"/>
          <w:szCs w:val="21"/>
          <w14:textFill>
            <w14:solidFill>
              <w14:schemeClr w14:val="tx1"/>
            </w14:solidFill>
          </w14:textFill>
        </w:rPr>
        <w:t>响应文件的式样和签署（详见《供应商须知前附表》）</w:t>
      </w:r>
    </w:p>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8.1 </w:t>
      </w:r>
      <w:r>
        <w:rPr>
          <w:rFonts w:hint="eastAsia" w:ascii="宋体" w:hAnsi="宋体"/>
          <w:color w:val="000000" w:themeColor="text1"/>
          <w:szCs w:val="21"/>
          <w14:textFill>
            <w14:solidFill>
              <w14:schemeClr w14:val="tx1"/>
            </w14:solidFill>
          </w14:textFill>
        </w:rPr>
        <w:t>响应文件一式3份（</w:t>
      </w:r>
      <w:r>
        <w:rPr>
          <w:rFonts w:ascii="宋体" w:hAnsi="宋体"/>
          <w:color w:val="000000" w:themeColor="text1"/>
          <w:szCs w:val="21"/>
          <w14:textFill>
            <w14:solidFill>
              <w14:schemeClr w14:val="tx1"/>
            </w14:solidFill>
          </w14:textFill>
        </w:rPr>
        <w:t xml:space="preserve">1 </w:t>
      </w:r>
      <w:r>
        <w:rPr>
          <w:rFonts w:hint="eastAsia" w:ascii="宋体" w:hAnsi="宋体"/>
          <w:color w:val="000000" w:themeColor="text1"/>
          <w:szCs w:val="21"/>
          <w14:textFill>
            <w14:solidFill>
              <w14:schemeClr w14:val="tx1"/>
            </w14:solidFill>
          </w14:textFill>
        </w:rPr>
        <w:t>份正本、2份副本），电子版本一份。响应文件用中文编写，</w:t>
      </w:r>
      <w:r>
        <w:rPr>
          <w:rFonts w:ascii="宋体" w:hAnsi="宋体"/>
          <w:color w:val="000000" w:themeColor="text1"/>
          <w:szCs w:val="21"/>
          <w14:textFill>
            <w14:solidFill>
              <w14:schemeClr w14:val="tx1"/>
            </w14:solidFill>
          </w14:textFill>
        </w:rPr>
        <w:t>A4</w:t>
      </w:r>
      <w:r>
        <w:rPr>
          <w:rFonts w:hint="eastAsia" w:ascii="宋体" w:hAnsi="宋体"/>
          <w:color w:val="000000" w:themeColor="text1"/>
          <w:szCs w:val="21"/>
          <w14:textFill>
            <w14:solidFill>
              <w14:schemeClr w14:val="tx1"/>
            </w14:solidFill>
          </w14:textFill>
        </w:rPr>
        <w:t>纸胶装。其中正本必须注明“正本”字样，正、副本及电子版本内容必须保持一致，副本可以用复印件。若正本和副本或电子版本不符，以正本为准。</w:t>
      </w:r>
    </w:p>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8.2 </w:t>
      </w:r>
      <w:r>
        <w:rPr>
          <w:rFonts w:hint="eastAsia" w:ascii="宋体" w:hAnsi="宋体"/>
          <w:color w:val="000000" w:themeColor="text1"/>
          <w:szCs w:val="21"/>
          <w14:textFill>
            <w14:solidFill>
              <w14:schemeClr w14:val="tx1"/>
            </w14:solidFill>
          </w14:textFill>
        </w:rPr>
        <w:t>响应文件需由供应商法定代表人或经法定代表人正式授权并对供应商有约束力的代表在响应文件上签字。响应文件如是授权代表签字，须将“法定代表人授权书”附在响应文件中。响应文件无法定代表人签字，或签字无法定代表人有效授权，响应文件将被拒绝。</w:t>
      </w:r>
    </w:p>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8.3 </w:t>
      </w:r>
      <w:r>
        <w:rPr>
          <w:rFonts w:hint="eastAsia" w:ascii="宋体" w:hAnsi="宋体"/>
          <w:color w:val="000000" w:themeColor="text1"/>
          <w:szCs w:val="21"/>
          <w14:textFill>
            <w14:solidFill>
              <w14:schemeClr w14:val="tx1"/>
            </w14:solidFill>
          </w14:textFill>
        </w:rPr>
        <w:t>如供应商对竞争性磋商文件个别内容不能接受，应在响应文件中另做声明，否则将视为供应商接受竞争性磋商文件全部内容。</w:t>
      </w:r>
    </w:p>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8.4 </w:t>
      </w:r>
      <w:r>
        <w:rPr>
          <w:rFonts w:hint="eastAsia" w:ascii="宋体" w:hAnsi="宋体"/>
          <w:color w:val="000000" w:themeColor="text1"/>
          <w:szCs w:val="21"/>
          <w14:textFill>
            <w14:solidFill>
              <w14:schemeClr w14:val="tx1"/>
            </w14:solidFill>
          </w14:textFill>
        </w:rPr>
        <w:t>任何对响应文件行间插字、涂改和增删，必须由响应文件签字人签字或盖章后才有效。</w:t>
      </w:r>
    </w:p>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8.5 </w:t>
      </w:r>
      <w:r>
        <w:rPr>
          <w:rFonts w:hint="eastAsia" w:ascii="宋体" w:hAnsi="宋体"/>
          <w:color w:val="000000" w:themeColor="text1"/>
          <w:szCs w:val="21"/>
          <w14:textFill>
            <w14:solidFill>
              <w14:schemeClr w14:val="tx1"/>
            </w14:solidFill>
          </w14:textFill>
        </w:rPr>
        <w:t>响应文件因字迹潦草或表达不清所引起的后果由供应商负责。</w:t>
      </w:r>
    </w:p>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9.</w:t>
      </w:r>
      <w:r>
        <w:rPr>
          <w:rFonts w:hint="eastAsia" w:ascii="宋体" w:hAnsi="宋体"/>
          <w:color w:val="000000" w:themeColor="text1"/>
          <w:szCs w:val="21"/>
          <w14:textFill>
            <w14:solidFill>
              <w14:schemeClr w14:val="tx1"/>
            </w14:solidFill>
          </w14:textFill>
        </w:rPr>
        <w:t>报价</w:t>
      </w:r>
    </w:p>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9.1 </w:t>
      </w:r>
      <w:r>
        <w:rPr>
          <w:rFonts w:hint="eastAsia" w:ascii="宋体" w:hAnsi="宋体"/>
          <w:color w:val="000000" w:themeColor="text1"/>
          <w:szCs w:val="21"/>
          <w14:textFill>
            <w14:solidFill>
              <w14:schemeClr w14:val="tx1"/>
            </w14:solidFill>
          </w14:textFill>
        </w:rPr>
        <w:t>报价：人民币报价。供应商应按照竞争性磋商文件要求，在响应文件中报出本项目包含的所有产品和服务的报价（格式见附件3 报价表）。</w:t>
      </w:r>
    </w:p>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9.2 </w:t>
      </w:r>
      <w:r>
        <w:rPr>
          <w:rFonts w:hint="eastAsia" w:ascii="宋体" w:hAnsi="宋体"/>
          <w:color w:val="000000" w:themeColor="text1"/>
          <w:szCs w:val="21"/>
          <w14:textFill>
            <w14:solidFill>
              <w14:schemeClr w14:val="tx1"/>
            </w14:solidFill>
          </w14:textFill>
        </w:rPr>
        <w:t>供应商的报价包括供应商为完成采购人的项目建设所发生的一切费用（包括全部产品及相关服务）且已包括与所报产品</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服务相关的所有税费。供应商估算错误或漏项的风险一律由供应商承担。</w:t>
      </w:r>
    </w:p>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9.3 </w:t>
      </w:r>
      <w:r>
        <w:rPr>
          <w:rFonts w:hint="eastAsia" w:ascii="宋体" w:hAnsi="宋体"/>
          <w:color w:val="000000" w:themeColor="text1"/>
          <w:szCs w:val="21"/>
          <w14:textFill>
            <w14:solidFill>
              <w14:schemeClr w14:val="tx1"/>
            </w14:solidFill>
          </w14:textFill>
        </w:rPr>
        <w:t>中选的价格在合同执行过程中是固定不变的，未经采购人许可不得以任何理由予以变更。以可调整或可选择的价格提交的响应文件将作为非响应性文件而予以拒绝。</w:t>
      </w:r>
    </w:p>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9.4 </w:t>
      </w:r>
      <w:r>
        <w:rPr>
          <w:rFonts w:hint="eastAsia" w:ascii="宋体" w:hAnsi="宋体"/>
          <w:color w:val="000000" w:themeColor="text1"/>
          <w:szCs w:val="21"/>
          <w14:textFill>
            <w14:solidFill>
              <w14:schemeClr w14:val="tx1"/>
            </w14:solidFill>
          </w14:textFill>
        </w:rPr>
        <w:t>供应商根据本须知规定将报价分成几部分并按附件格式填写分项报价表，是为了方便采购人对响应文件进行比较，并不限制采购人以上述任何条件订立合同的权利。</w:t>
      </w:r>
    </w:p>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10. 响应有效期（详见《供应商须知前附表》）</w:t>
      </w:r>
    </w:p>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10.1</w:t>
      </w:r>
      <w:r>
        <w:rPr>
          <w:rFonts w:hint="eastAsia" w:ascii="宋体" w:hAnsi="宋体"/>
          <w:color w:val="000000" w:themeColor="text1"/>
          <w:szCs w:val="21"/>
          <w14:textFill>
            <w14:solidFill>
              <w14:schemeClr w14:val="tx1"/>
            </w14:solidFill>
          </w14:textFill>
        </w:rPr>
        <w:t>供应商递交的响应文件应在规定的递交响应文件截止日后的</w:t>
      </w:r>
      <w:r>
        <w:rPr>
          <w:rFonts w:ascii="宋体" w:hAnsi="宋体"/>
          <w:color w:val="000000" w:themeColor="text1"/>
          <w:szCs w:val="21"/>
          <w14:textFill>
            <w14:solidFill>
              <w14:schemeClr w14:val="tx1"/>
            </w14:solidFill>
          </w14:textFill>
        </w:rPr>
        <w:t>90</w:t>
      </w:r>
      <w:r>
        <w:rPr>
          <w:rFonts w:hint="eastAsia" w:ascii="宋体" w:hAnsi="宋体"/>
          <w:color w:val="000000" w:themeColor="text1"/>
          <w:szCs w:val="21"/>
          <w14:textFill>
            <w14:solidFill>
              <w14:schemeClr w14:val="tx1"/>
            </w14:solidFill>
          </w14:textFill>
        </w:rPr>
        <w:t>天内保持有效。有效期不满足要求的响应文件将被视为非响应性文件而予以拒绝。</w:t>
      </w:r>
    </w:p>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10.2 </w:t>
      </w:r>
      <w:r>
        <w:rPr>
          <w:rFonts w:hint="eastAsia" w:ascii="宋体" w:hAnsi="宋体"/>
          <w:color w:val="000000" w:themeColor="text1"/>
          <w:szCs w:val="21"/>
          <w14:textFill>
            <w14:solidFill>
              <w14:schemeClr w14:val="tx1"/>
            </w14:solidFill>
          </w14:textFill>
        </w:rPr>
        <w:t>特殊情况下，在原响应有效期截止之前，采购人可要求供应商同意延长响应有效期。这种要求与答复均应以书面形式提交。供应商可拒绝采购人的这种要求。接受延长响应有效期的供应商将不会被要求和允许修正其响应文件。</w:t>
      </w:r>
    </w:p>
    <w:p>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四、响应文件的递交</w:t>
      </w:r>
    </w:p>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11.</w:t>
      </w:r>
      <w:r>
        <w:rPr>
          <w:rFonts w:hint="eastAsia" w:ascii="宋体" w:hAnsi="宋体"/>
          <w:color w:val="000000" w:themeColor="text1"/>
          <w:szCs w:val="21"/>
          <w14:textFill>
            <w14:solidFill>
              <w14:schemeClr w14:val="tx1"/>
            </w14:solidFill>
          </w14:textFill>
        </w:rPr>
        <w:t>响应文件的密封和标记</w:t>
      </w:r>
    </w:p>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11.1 </w:t>
      </w:r>
      <w:r>
        <w:rPr>
          <w:rFonts w:hint="eastAsia" w:ascii="宋体" w:hAnsi="宋体"/>
          <w:color w:val="000000" w:themeColor="text1"/>
          <w:szCs w:val="21"/>
          <w14:textFill>
            <w14:solidFill>
              <w14:schemeClr w14:val="tx1"/>
            </w14:solidFill>
          </w14:textFill>
        </w:rPr>
        <w:t>供应商应将响应文件正本和所有的副本、电子文档分开密封装在单独的信封中，且在信封上标明“正本”、“副本”、“电子文档”字样。</w:t>
      </w:r>
    </w:p>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11.2</w:t>
      </w:r>
      <w:r>
        <w:rPr>
          <w:rFonts w:hint="eastAsia" w:ascii="宋体" w:hAnsi="宋体"/>
          <w:color w:val="000000" w:themeColor="text1"/>
          <w:szCs w:val="21"/>
          <w14:textFill>
            <w14:solidFill>
              <w14:schemeClr w14:val="tx1"/>
            </w14:solidFill>
          </w14:textFill>
        </w:rPr>
        <w:t>内外层信封均应：</w:t>
      </w:r>
    </w:p>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）标明递交至“</w:t>
      </w:r>
      <w:r>
        <w:rPr>
          <w:rFonts w:ascii="宋体" w:hAnsi="宋体"/>
          <w:color w:val="000000" w:themeColor="text1"/>
          <w:szCs w:val="21"/>
          <w14:textFill>
            <w14:solidFill>
              <w14:schemeClr w14:val="tx1"/>
            </w14:solidFill>
          </w14:textFill>
        </w:rPr>
        <w:t>采购公告</w:t>
      </w:r>
      <w:r>
        <w:rPr>
          <w:rFonts w:hint="eastAsia" w:ascii="宋体" w:hAnsi="宋体"/>
          <w:color w:val="000000" w:themeColor="text1"/>
          <w:szCs w:val="21"/>
          <w14:textFill>
            <w14:solidFill>
              <w14:schemeClr w14:val="tx1"/>
            </w14:solidFill>
          </w14:textFill>
        </w:rPr>
        <w:t>”中指明的地点。</w:t>
      </w:r>
    </w:p>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）注明“</w:t>
      </w:r>
      <w:r>
        <w:rPr>
          <w:rFonts w:ascii="宋体" w:hAnsi="宋体"/>
          <w:color w:val="000000" w:themeColor="text1"/>
          <w:szCs w:val="21"/>
          <w14:textFill>
            <w14:solidFill>
              <w14:schemeClr w14:val="tx1"/>
            </w14:solidFill>
          </w14:textFill>
        </w:rPr>
        <w:t>采购公告</w:t>
      </w:r>
      <w:r>
        <w:rPr>
          <w:rFonts w:hint="eastAsia" w:ascii="宋体" w:hAnsi="宋体"/>
          <w:color w:val="000000" w:themeColor="text1"/>
          <w:szCs w:val="21"/>
          <w14:textFill>
            <w14:solidFill>
              <w14:schemeClr w14:val="tx1"/>
            </w14:solidFill>
          </w14:textFill>
        </w:rPr>
        <w:t>”中指明的项目名称、编号和“在”之前不得启封的字样，并填入“</w:t>
      </w:r>
      <w:r>
        <w:rPr>
          <w:rFonts w:ascii="宋体" w:hAnsi="宋体"/>
          <w:color w:val="000000" w:themeColor="text1"/>
          <w:szCs w:val="21"/>
          <w14:textFill>
            <w14:solidFill>
              <w14:schemeClr w14:val="tx1"/>
            </w14:solidFill>
          </w14:textFill>
        </w:rPr>
        <w:t>采购公告</w:t>
      </w:r>
      <w:r>
        <w:rPr>
          <w:rFonts w:hint="eastAsia" w:ascii="宋体" w:hAnsi="宋体"/>
          <w:color w:val="000000" w:themeColor="text1"/>
          <w:szCs w:val="21"/>
          <w14:textFill>
            <w14:solidFill>
              <w14:schemeClr w14:val="tx1"/>
            </w14:solidFill>
          </w14:textFill>
        </w:rPr>
        <w:t>”中规定的日期和时间。</w:t>
      </w:r>
    </w:p>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11.3 </w:t>
      </w:r>
      <w:r>
        <w:rPr>
          <w:rFonts w:hint="eastAsia" w:ascii="宋体" w:hAnsi="宋体"/>
          <w:color w:val="000000" w:themeColor="text1"/>
          <w:szCs w:val="21"/>
          <w14:textFill>
            <w14:solidFill>
              <w14:schemeClr w14:val="tx1"/>
            </w14:solidFill>
          </w14:textFill>
        </w:rPr>
        <w:t>内层信封应写明供应商名称和地址，以便若其响应文件被宣布为“迟到”响应文件时，能原封退回。</w:t>
      </w:r>
    </w:p>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11.4 </w:t>
      </w:r>
      <w:r>
        <w:rPr>
          <w:rFonts w:hint="eastAsia" w:ascii="宋体" w:hAnsi="宋体"/>
          <w:color w:val="000000" w:themeColor="text1"/>
          <w:szCs w:val="21"/>
          <w14:textFill>
            <w14:solidFill>
              <w14:schemeClr w14:val="tx1"/>
            </w14:solidFill>
          </w14:textFill>
        </w:rPr>
        <w:t>如果外层信封未按本须知第</w:t>
      </w:r>
      <w:r>
        <w:rPr>
          <w:rFonts w:ascii="宋体" w:hAnsi="宋体"/>
          <w:color w:val="000000" w:themeColor="text1"/>
          <w:szCs w:val="21"/>
          <w14:textFill>
            <w14:solidFill>
              <w14:schemeClr w14:val="tx1"/>
            </w14:solidFill>
          </w14:textFill>
        </w:rPr>
        <w:t>12.2</w:t>
      </w:r>
      <w:r>
        <w:rPr>
          <w:rFonts w:hint="eastAsia" w:ascii="宋体" w:hAnsi="宋体"/>
          <w:color w:val="000000" w:themeColor="text1"/>
          <w:szCs w:val="21"/>
          <w14:textFill>
            <w14:solidFill>
              <w14:schemeClr w14:val="tx1"/>
            </w14:solidFill>
          </w14:textFill>
        </w:rPr>
        <w:t>条要求加写标记和密封，采购人对误投或过早启封概不负责。</w:t>
      </w:r>
    </w:p>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11.5 </w:t>
      </w:r>
      <w:r>
        <w:rPr>
          <w:rFonts w:hint="eastAsia" w:ascii="宋体" w:hAnsi="宋体"/>
          <w:color w:val="000000" w:themeColor="text1"/>
          <w:szCs w:val="21"/>
          <w14:textFill>
            <w14:solidFill>
              <w14:schemeClr w14:val="tx1"/>
            </w14:solidFill>
          </w14:textFill>
        </w:rPr>
        <w:t>供应商须由其合法的授权人在递交响应文件截止时间之前将响应文件送达采购人并签字确认。供应商须承担因未送达并签字所造成的一切责任。</w:t>
      </w:r>
    </w:p>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12.</w:t>
      </w:r>
      <w:r>
        <w:rPr>
          <w:rFonts w:hint="eastAsia" w:ascii="宋体" w:hAnsi="宋体"/>
          <w:color w:val="000000" w:themeColor="text1"/>
          <w:szCs w:val="21"/>
          <w14:textFill>
            <w14:solidFill>
              <w14:schemeClr w14:val="tx1"/>
            </w14:solidFill>
          </w14:textFill>
        </w:rPr>
        <w:t>递交响应文件截止时间</w:t>
      </w:r>
    </w:p>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12.1 </w:t>
      </w:r>
      <w:r>
        <w:rPr>
          <w:rFonts w:hint="eastAsia" w:ascii="宋体" w:hAnsi="宋体"/>
          <w:color w:val="000000" w:themeColor="text1"/>
          <w:szCs w:val="21"/>
          <w14:textFill>
            <w14:solidFill>
              <w14:schemeClr w14:val="tx1"/>
            </w14:solidFill>
          </w14:textFill>
        </w:rPr>
        <w:t>采购人收到响应文件的时间不迟于（详见《竞争性磋商公告》）</w:t>
      </w:r>
    </w:p>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12.2 </w:t>
      </w:r>
      <w:r>
        <w:rPr>
          <w:rFonts w:hint="eastAsia" w:ascii="宋体" w:hAnsi="宋体"/>
          <w:color w:val="000000" w:themeColor="text1"/>
          <w:szCs w:val="21"/>
          <w14:textFill>
            <w14:solidFill>
              <w14:schemeClr w14:val="tx1"/>
            </w14:solidFill>
          </w14:textFill>
        </w:rPr>
        <w:t>采购人可以按本须知第</w:t>
      </w: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条规定，通过修改竞争性磋商文件自行决定酌情延长递交响应文件截止时间。在此情况下，采购人和供应商受递交响应文件截止时间制约的所有权利和义务均应延长至新的截止期。</w:t>
      </w:r>
    </w:p>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13.</w:t>
      </w:r>
      <w:r>
        <w:rPr>
          <w:rFonts w:hint="eastAsia" w:ascii="宋体" w:hAnsi="宋体"/>
          <w:color w:val="000000" w:themeColor="text1"/>
          <w:szCs w:val="21"/>
          <w14:textFill>
            <w14:solidFill>
              <w14:schemeClr w14:val="tx1"/>
            </w14:solidFill>
          </w14:textFill>
        </w:rPr>
        <w:t>迟交的响应文件</w:t>
      </w:r>
    </w:p>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13.1 </w:t>
      </w:r>
      <w:r>
        <w:rPr>
          <w:rFonts w:hint="eastAsia" w:ascii="宋体" w:hAnsi="宋体"/>
          <w:color w:val="000000" w:themeColor="text1"/>
          <w:szCs w:val="21"/>
          <w14:textFill>
            <w14:solidFill>
              <w14:schemeClr w14:val="tx1"/>
            </w14:solidFill>
          </w14:textFill>
        </w:rPr>
        <w:t>采购人将拒绝并原封退回在规定的递交响应文件截止时间后收到的任何响应文件。</w:t>
      </w:r>
    </w:p>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14.</w:t>
      </w:r>
      <w:r>
        <w:rPr>
          <w:rFonts w:hint="eastAsia" w:ascii="宋体" w:hAnsi="宋体"/>
          <w:color w:val="000000" w:themeColor="text1"/>
          <w:szCs w:val="21"/>
          <w14:textFill>
            <w14:solidFill>
              <w14:schemeClr w14:val="tx1"/>
            </w14:solidFill>
          </w14:textFill>
        </w:rPr>
        <w:t>响应文件的修改与撤回</w:t>
      </w:r>
    </w:p>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14.1 </w:t>
      </w:r>
      <w:r>
        <w:rPr>
          <w:rFonts w:hint="eastAsia" w:ascii="宋体" w:hAnsi="宋体"/>
          <w:color w:val="000000" w:themeColor="text1"/>
          <w:szCs w:val="21"/>
          <w14:textFill>
            <w14:solidFill>
              <w14:schemeClr w14:val="tx1"/>
            </w14:solidFill>
          </w14:textFill>
        </w:rPr>
        <w:t>供应商在递交响应文件后，可以修改或撤回其响应文件，但采购人必须在规定的递交响应文件截止时间之前，收到供应商发出的修改或撤回的书面通知。</w:t>
      </w:r>
    </w:p>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14.2 </w:t>
      </w:r>
      <w:r>
        <w:rPr>
          <w:rFonts w:hint="eastAsia" w:ascii="宋体" w:hAnsi="宋体"/>
          <w:color w:val="000000" w:themeColor="text1"/>
          <w:szCs w:val="21"/>
          <w14:textFill>
            <w14:solidFill>
              <w14:schemeClr w14:val="tx1"/>
            </w14:solidFill>
          </w14:textFill>
        </w:rPr>
        <w:t>供应商的修改或撤回通知应按本须知第</w:t>
      </w:r>
      <w:r>
        <w:rPr>
          <w:rFonts w:ascii="宋体" w:hAnsi="宋体"/>
          <w:color w:val="000000" w:themeColor="text1"/>
          <w:szCs w:val="21"/>
          <w14:textFill>
            <w14:solidFill>
              <w14:schemeClr w14:val="tx1"/>
            </w14:solidFill>
          </w14:textFill>
        </w:rPr>
        <w:t>12</w:t>
      </w:r>
      <w:r>
        <w:rPr>
          <w:rFonts w:hint="eastAsia" w:ascii="宋体" w:hAnsi="宋体"/>
          <w:color w:val="000000" w:themeColor="text1"/>
          <w:szCs w:val="21"/>
          <w14:textFill>
            <w14:solidFill>
              <w14:schemeClr w14:val="tx1"/>
            </w14:solidFill>
          </w14:textFill>
        </w:rPr>
        <w:t>条规定编制、密封、标记和发送。</w:t>
      </w:r>
    </w:p>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14.3 </w:t>
      </w:r>
      <w:r>
        <w:rPr>
          <w:rFonts w:hint="eastAsia" w:ascii="宋体" w:hAnsi="宋体"/>
          <w:color w:val="000000" w:themeColor="text1"/>
          <w:szCs w:val="21"/>
          <w14:textFill>
            <w14:solidFill>
              <w14:schemeClr w14:val="tx1"/>
            </w14:solidFill>
          </w14:textFill>
        </w:rPr>
        <w:t>在递交响应文件截止时间之后，供应商不得对其响应文件做任何修改。</w:t>
      </w:r>
    </w:p>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14.4 </w:t>
      </w:r>
      <w:r>
        <w:rPr>
          <w:rFonts w:hint="eastAsia" w:ascii="宋体" w:hAnsi="宋体"/>
          <w:color w:val="000000" w:themeColor="text1"/>
          <w:szCs w:val="21"/>
          <w14:textFill>
            <w14:solidFill>
              <w14:schemeClr w14:val="tx1"/>
            </w14:solidFill>
          </w14:textFill>
        </w:rPr>
        <w:t>从递交响应文件截止时间至供应商在响应函格式中确定的响应有效期之间的这段时间内，供应商不得撤回其响应文件，否则将取消供应商参与本项目资格。</w:t>
      </w:r>
    </w:p>
    <w:p>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五、评审</w:t>
      </w:r>
    </w:p>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15.</w:t>
      </w:r>
      <w:r>
        <w:rPr>
          <w:rFonts w:hint="eastAsia" w:ascii="宋体" w:hAnsi="宋体"/>
          <w:color w:val="000000" w:themeColor="text1"/>
          <w:szCs w:val="21"/>
          <w14:textFill>
            <w14:solidFill>
              <w14:schemeClr w14:val="tx1"/>
            </w14:solidFill>
          </w14:textFill>
        </w:rPr>
        <w:t>评审委员会</w:t>
      </w:r>
    </w:p>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15.1</w:t>
      </w:r>
      <w:r>
        <w:rPr>
          <w:rFonts w:hint="eastAsia" w:ascii="宋体" w:hAnsi="宋体"/>
          <w:color w:val="000000" w:themeColor="text1"/>
          <w:szCs w:val="21"/>
          <w14:textFill>
            <w14:solidFill>
              <w14:schemeClr w14:val="tx1"/>
            </w14:solidFill>
          </w14:textFill>
        </w:rPr>
        <w:t>采购人根据要求组建评审委员会。评审委员会负责整个项目的评审工作。</w:t>
      </w:r>
    </w:p>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16.</w:t>
      </w:r>
      <w:r>
        <w:rPr>
          <w:rFonts w:hint="eastAsia" w:ascii="宋体" w:hAnsi="宋体"/>
          <w:color w:val="000000" w:themeColor="text1"/>
          <w:szCs w:val="21"/>
          <w14:textFill>
            <w14:solidFill>
              <w14:schemeClr w14:val="tx1"/>
            </w14:solidFill>
          </w14:textFill>
        </w:rPr>
        <w:t>响应文件的澄清</w:t>
      </w:r>
    </w:p>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16.1 </w:t>
      </w:r>
      <w:r>
        <w:rPr>
          <w:rFonts w:hint="eastAsia" w:ascii="宋体" w:hAnsi="宋体"/>
          <w:color w:val="000000" w:themeColor="text1"/>
          <w:szCs w:val="21"/>
          <w14:textFill>
            <w14:solidFill>
              <w14:schemeClr w14:val="tx1"/>
            </w14:solidFill>
          </w14:textFill>
        </w:rPr>
        <w:t>在评审期间，评审委员会可要求供应商对其响应文件的任何内容进行澄清或者说明，但是澄清或者说明不得超出响应文件的范围或者改变竞争性磋商文件的实质性内容。有关澄清的要求和答复均应以书面形式提交。</w:t>
      </w:r>
    </w:p>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16.2</w:t>
      </w:r>
      <w:r>
        <w:rPr>
          <w:rFonts w:hint="eastAsia" w:ascii="宋体" w:hAnsi="宋体"/>
          <w:color w:val="000000" w:themeColor="text1"/>
          <w:szCs w:val="21"/>
          <w14:textFill>
            <w14:solidFill>
              <w14:schemeClr w14:val="tx1"/>
            </w14:solidFill>
          </w14:textFill>
        </w:rPr>
        <w:t>接到评审委员会澄清要求的供应商应派人按评审委员会通知的时间和地点做出书面澄清，书面澄清的内容须由供应商法定代表人或授权代表签署，并作为响应文件的补充部分。</w:t>
      </w:r>
    </w:p>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16.4 </w:t>
      </w:r>
      <w:r>
        <w:rPr>
          <w:rFonts w:hint="eastAsia" w:ascii="宋体" w:hAnsi="宋体"/>
          <w:color w:val="000000" w:themeColor="text1"/>
          <w:szCs w:val="21"/>
          <w14:textFill>
            <w14:solidFill>
              <w14:schemeClr w14:val="tx1"/>
            </w14:solidFill>
          </w14:textFill>
        </w:rPr>
        <w:t>接到评审委员会澄清要求的供应商如未按规定做出澄清，其风险由供应商自行承担。</w:t>
      </w:r>
    </w:p>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17.</w:t>
      </w:r>
      <w:r>
        <w:rPr>
          <w:rFonts w:hint="eastAsia" w:ascii="宋体" w:hAnsi="宋体"/>
          <w:color w:val="000000" w:themeColor="text1"/>
          <w:szCs w:val="21"/>
          <w14:textFill>
            <w14:solidFill>
              <w14:schemeClr w14:val="tx1"/>
            </w14:solidFill>
          </w14:textFill>
        </w:rPr>
        <w:t>响应文件的初审</w:t>
      </w:r>
    </w:p>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17.1 </w:t>
      </w:r>
      <w:r>
        <w:rPr>
          <w:rFonts w:hint="eastAsia" w:ascii="宋体" w:hAnsi="宋体"/>
          <w:color w:val="000000" w:themeColor="text1"/>
          <w:szCs w:val="21"/>
          <w14:textFill>
            <w14:solidFill>
              <w14:schemeClr w14:val="tx1"/>
            </w14:solidFill>
          </w14:textFill>
        </w:rPr>
        <w:t>评审委员会将初步审查响应文件是否完整、总体编排是否有序、文件签署是否合格、有无计算上的错误等。只有通过初步评审的供应商才能进入资格预审的详细评审。</w:t>
      </w:r>
    </w:p>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17.2 </w:t>
      </w:r>
      <w:r>
        <w:rPr>
          <w:rFonts w:hint="eastAsia" w:ascii="宋体" w:hAnsi="宋体"/>
          <w:color w:val="000000" w:themeColor="text1"/>
          <w:szCs w:val="21"/>
          <w14:textFill>
            <w14:solidFill>
              <w14:schemeClr w14:val="tx1"/>
            </w14:solidFill>
          </w14:textFill>
        </w:rPr>
        <w:t>算术错误将按以下方法更正：若单价计算的结果与总价不一致，以单价为准修改总价；若用文字表示的数值与用数字表示的数值不一致，以文字表示的数值为准。如果供应商不接受对其错误的更正，其响应文件将被拒绝。</w:t>
      </w:r>
    </w:p>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17.3 </w:t>
      </w:r>
      <w:r>
        <w:rPr>
          <w:rFonts w:hint="eastAsia" w:ascii="宋体" w:hAnsi="宋体"/>
          <w:color w:val="000000" w:themeColor="text1"/>
          <w:szCs w:val="21"/>
          <w14:textFill>
            <w14:solidFill>
              <w14:schemeClr w14:val="tx1"/>
            </w14:solidFill>
          </w14:textFill>
        </w:rPr>
        <w:t>对于响应文件中不构成实质性偏差的不正规、不一致或不规则，评审委员会可以接受，但这种接受不能损害或影响任何供应商的相对排序。</w:t>
      </w:r>
    </w:p>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17.4 </w:t>
      </w:r>
      <w:r>
        <w:rPr>
          <w:rFonts w:hint="eastAsia" w:ascii="宋体" w:hAnsi="宋体"/>
          <w:color w:val="000000" w:themeColor="text1"/>
          <w:szCs w:val="21"/>
          <w14:textFill>
            <w14:solidFill>
              <w14:schemeClr w14:val="tx1"/>
            </w14:solidFill>
          </w14:textFill>
        </w:rPr>
        <w:t>在详细评审之前，评审委员会要审查每份响应文件是否实质上响应了竞争性磋商文件的要求。实质上响应的响应文件应该是与竞争性磋商文件要求的全部条款、条件和规格相符，没有重大偏离的响应文件。对关键条文的偏离、保留或反对，例如关于适用法律、税及关税等内容的偏离将被认为是实质上的偏离。评审委员会决定响应文件的响应性只根据响应文件本身的内容，而不寻求外部的证据。</w:t>
      </w:r>
    </w:p>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17.5 </w:t>
      </w:r>
      <w:r>
        <w:rPr>
          <w:rFonts w:hint="eastAsia" w:ascii="宋体" w:hAnsi="宋体"/>
          <w:color w:val="000000" w:themeColor="text1"/>
          <w:szCs w:val="21"/>
          <w14:textFill>
            <w14:solidFill>
              <w14:schemeClr w14:val="tx1"/>
            </w14:solidFill>
          </w14:textFill>
        </w:rPr>
        <w:t>实质上没有响应竞争性磋商文件要求的响应文件将被拒绝。供应商不得通过修正或撤消不合要求的偏离或保留从而使其响应文件成为实质上响应的响应文件。如发现下列情况之一的，其响应文件将可能被拒绝：（详见《供应商须知前附表》）</w:t>
      </w:r>
    </w:p>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17.6</w:t>
      </w:r>
      <w:r>
        <w:rPr>
          <w:rFonts w:hint="eastAsia" w:ascii="宋体" w:hAnsi="宋体"/>
          <w:color w:val="000000" w:themeColor="text1"/>
          <w:szCs w:val="21"/>
          <w14:textFill>
            <w14:solidFill>
              <w14:schemeClr w14:val="tx1"/>
            </w14:solidFill>
          </w14:textFill>
        </w:rPr>
        <w:t>采购人保留对通过初审的供应商进行进一步审查的权利。采购人在认为必要的情况下，有权要求已通过初审的供应商提交有关资质证明文件的原件，如发现供应商提供的响应文件与资质原件有不符、伪造或涂改等情况，将取消该供应商的资格。</w:t>
      </w:r>
    </w:p>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17.7 </w:t>
      </w:r>
      <w:r>
        <w:rPr>
          <w:rFonts w:hint="eastAsia" w:ascii="宋体" w:hAnsi="宋体"/>
          <w:color w:val="000000" w:themeColor="text1"/>
          <w:szCs w:val="21"/>
          <w14:textFill>
            <w14:solidFill>
              <w14:schemeClr w14:val="tx1"/>
            </w14:solidFill>
          </w14:textFill>
        </w:rPr>
        <w:t>采购人保留对通过初审的供应商进行进一步磋商或议价的权利。</w:t>
      </w:r>
    </w:p>
    <w:p>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六、磋商和成交供应商评审</w:t>
      </w:r>
    </w:p>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18.磋商</w:t>
      </w:r>
    </w:p>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18.1</w:t>
      </w:r>
      <w:r>
        <w:rPr>
          <w:rFonts w:hint="eastAsia" w:ascii="宋体" w:hAnsi="宋体"/>
          <w:color w:val="000000" w:themeColor="text1"/>
          <w:szCs w:val="21"/>
          <w14:textFill>
            <w14:solidFill>
              <w14:schemeClr w14:val="tx1"/>
            </w14:solidFill>
          </w14:textFill>
        </w:rPr>
        <w:t>获得磋商资格的供应商应按本须知及磋商通知要求准时参加磋商，并在磋商后按要求提供递交其最终报价和相关承诺，否则将视为在报价有效期内撤回竞争性磋商响应文件，其响应文件将被拒绝。</w:t>
      </w:r>
    </w:p>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18.2磋商开始时间预计为：递交竞争性磋商响应文件截止时间后当天（包括法定节假日，具体时间以采购人的通知为准），供应商应提前做好磋商准备。</w:t>
      </w:r>
    </w:p>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18.3进行磋商的各供应商应由其法定代表人或本项目的授权代表作为磋商代表，磋商过程中可有商务、技术及售后服务等人员（总人数不超过5人）共同参加磋商。</w:t>
      </w:r>
    </w:p>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18.4 </w:t>
      </w:r>
      <w:r>
        <w:rPr>
          <w:rFonts w:hint="eastAsia" w:ascii="宋体" w:hAnsi="宋体"/>
          <w:color w:val="000000" w:themeColor="text1"/>
          <w:szCs w:val="21"/>
          <w14:textFill>
            <w14:solidFill>
              <w14:schemeClr w14:val="tx1"/>
            </w14:solidFill>
          </w14:textFill>
        </w:rPr>
        <w:t>评审委员会将与获得磋商资格的各供应商分别进行磋商，磋商内容包括但不限于报价、技术、实施及服务等。在磋商中，磋商的任何一方不得透漏与磋商有关的其它供应商的技术资料、价格和其它信息。</w:t>
      </w:r>
    </w:p>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18.5 </w:t>
      </w:r>
      <w:r>
        <w:rPr>
          <w:rFonts w:hint="eastAsia" w:ascii="宋体" w:hAnsi="宋体"/>
          <w:color w:val="000000" w:themeColor="text1"/>
          <w:szCs w:val="21"/>
          <w14:textFill>
            <w14:solidFill>
              <w14:schemeClr w14:val="tx1"/>
            </w14:solidFill>
          </w14:textFill>
        </w:rPr>
        <w:t>磋商后，参加磋商的供应商应当在规定的时间内按评审委员会的要求递交针对本项目的最终报价和相关承诺。最终报价和相关承诺须由法定代表人或本项目的授权代表签字。</w:t>
      </w:r>
    </w:p>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18.6 </w:t>
      </w:r>
      <w:r>
        <w:rPr>
          <w:rFonts w:hint="eastAsia" w:ascii="宋体" w:hAnsi="宋体"/>
          <w:color w:val="000000" w:themeColor="text1"/>
          <w:szCs w:val="21"/>
          <w14:textFill>
            <w14:solidFill>
              <w14:schemeClr w14:val="tx1"/>
            </w14:solidFill>
          </w14:textFill>
        </w:rPr>
        <w:t>供应商应将其最终报价和相关承诺的正本一份密封装在一个信封中，信封上标明“项目名称及编号”、“供应商名称和地址”字样，并在规定的时间内递交至采购人。</w:t>
      </w:r>
    </w:p>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18.7 </w:t>
      </w:r>
      <w:r>
        <w:rPr>
          <w:rFonts w:hint="eastAsia" w:ascii="宋体" w:hAnsi="宋体"/>
          <w:color w:val="000000" w:themeColor="text1"/>
          <w:szCs w:val="21"/>
          <w14:textFill>
            <w14:solidFill>
              <w14:schemeClr w14:val="tx1"/>
            </w14:solidFill>
          </w14:textFill>
        </w:rPr>
        <w:t>供应商逾期递交的或不满足要求的最终报价和相关承诺将被拒绝，并将导致其竞争性磋商响应文件实质上没有响应竞争性磋商文件的要求。最终报价和相关承诺在递交后将不得更改，并将作为成交供应商的评审依据。</w:t>
      </w:r>
    </w:p>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19.成交供应商的评审</w:t>
      </w:r>
    </w:p>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19.1 </w:t>
      </w:r>
      <w:r>
        <w:rPr>
          <w:rFonts w:hint="eastAsia" w:ascii="宋体" w:hAnsi="宋体"/>
          <w:color w:val="000000" w:themeColor="text1"/>
          <w:szCs w:val="21"/>
          <w14:textFill>
            <w14:solidFill>
              <w14:schemeClr w14:val="tx1"/>
            </w14:solidFill>
          </w14:textFill>
        </w:rPr>
        <w:t>评审委员会将对参加磋商且实质上响应竞争性磋商文件要求的各供应商进行成交供应商的评价和比价。评审的依据为供应商递交的竞争性磋商响应文件和磋商后递交的磋商报价、最终报价及承诺。</w:t>
      </w:r>
    </w:p>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19.2 </w:t>
      </w:r>
      <w:r>
        <w:rPr>
          <w:rFonts w:hint="eastAsia" w:ascii="宋体" w:hAnsi="宋体"/>
          <w:color w:val="000000" w:themeColor="text1"/>
          <w:szCs w:val="21"/>
          <w14:textFill>
            <w14:solidFill>
              <w14:schemeClr w14:val="tx1"/>
            </w14:solidFill>
          </w14:textFill>
        </w:rPr>
        <w:t>磋商后，评审委员会将对参加磋商的供应商进行综合评审，采用综合评审法并考虑以下因素：</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注：具体评审办法详见第三章评审办法。</w:t>
      </w:r>
    </w:p>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19.3评审委员会将根据综合评估结果，对参加磋商且实质上响应竞争性磋商文件要求的供应商按综合得分排序向采购人推荐本项目的成交供应商候选人。</w:t>
      </w:r>
    </w:p>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19.4评</w:t>
      </w:r>
      <w:r>
        <w:rPr>
          <w:rFonts w:hint="eastAsia" w:ascii="宋体" w:hAnsi="宋体"/>
          <w:color w:val="000000" w:themeColor="text1"/>
          <w:szCs w:val="21"/>
          <w14:textFill>
            <w14:solidFill>
              <w14:schemeClr w14:val="tx1"/>
            </w14:solidFill>
          </w14:textFill>
        </w:rPr>
        <w:t>审</w:t>
      </w:r>
      <w:r>
        <w:rPr>
          <w:rFonts w:ascii="宋体" w:hAnsi="宋体"/>
          <w:color w:val="000000" w:themeColor="text1"/>
          <w:szCs w:val="21"/>
          <w14:textFill>
            <w14:solidFill>
              <w14:schemeClr w14:val="tx1"/>
            </w14:solidFill>
          </w14:textFill>
        </w:rPr>
        <w:t>委员会发现</w:t>
      </w:r>
      <w:r>
        <w:rPr>
          <w:rFonts w:hint="eastAsia" w:ascii="宋体" w:hAnsi="宋体"/>
          <w:color w:val="000000" w:themeColor="text1"/>
          <w:szCs w:val="21"/>
          <w14:textFill>
            <w14:solidFill>
              <w14:schemeClr w14:val="tx1"/>
            </w14:solidFill>
          </w14:textFill>
        </w:rPr>
        <w:t>供应商</w:t>
      </w:r>
      <w:r>
        <w:rPr>
          <w:rFonts w:ascii="宋体" w:hAnsi="宋体"/>
          <w:color w:val="000000" w:themeColor="text1"/>
          <w:szCs w:val="21"/>
          <w14:textFill>
            <w14:solidFill>
              <w14:schemeClr w14:val="tx1"/>
            </w14:solidFill>
          </w14:textFill>
        </w:rPr>
        <w:t>的报价明显低于其他报价，有可能影响产品质量或者不能诚信履约的，且无法在评</w:t>
      </w:r>
      <w:r>
        <w:rPr>
          <w:rFonts w:hint="eastAsia" w:ascii="宋体" w:hAnsi="宋体"/>
          <w:color w:val="000000" w:themeColor="text1"/>
          <w:szCs w:val="21"/>
          <w14:textFill>
            <w14:solidFill>
              <w14:schemeClr w14:val="tx1"/>
            </w14:solidFill>
          </w14:textFill>
        </w:rPr>
        <w:t>审</w:t>
      </w:r>
      <w:r>
        <w:rPr>
          <w:rFonts w:ascii="宋体" w:hAnsi="宋体"/>
          <w:color w:val="000000" w:themeColor="text1"/>
          <w:szCs w:val="21"/>
          <w14:textFill>
            <w14:solidFill>
              <w14:schemeClr w14:val="tx1"/>
            </w14:solidFill>
          </w14:textFill>
        </w:rPr>
        <w:t>现场合理的时间内提供书面说明并在必要时提交相关证明材料，以证明其报价合理性的，评</w:t>
      </w:r>
      <w:r>
        <w:rPr>
          <w:rFonts w:hint="eastAsia" w:ascii="宋体" w:hAnsi="宋体"/>
          <w:color w:val="000000" w:themeColor="text1"/>
          <w:szCs w:val="21"/>
          <w14:textFill>
            <w14:solidFill>
              <w14:schemeClr w14:val="tx1"/>
            </w14:solidFill>
          </w14:textFill>
        </w:rPr>
        <w:t>审</w:t>
      </w:r>
      <w:r>
        <w:rPr>
          <w:rFonts w:ascii="宋体" w:hAnsi="宋体"/>
          <w:color w:val="000000" w:themeColor="text1"/>
          <w:szCs w:val="21"/>
          <w14:textFill>
            <w14:solidFill>
              <w14:schemeClr w14:val="tx1"/>
            </w14:solidFill>
          </w14:textFill>
        </w:rPr>
        <w:t>委员会认定该</w:t>
      </w:r>
      <w:r>
        <w:rPr>
          <w:rFonts w:hint="eastAsia" w:ascii="宋体" w:hAnsi="宋体"/>
          <w:color w:val="000000" w:themeColor="text1"/>
          <w:szCs w:val="21"/>
          <w14:textFill>
            <w14:solidFill>
              <w14:schemeClr w14:val="tx1"/>
            </w14:solidFill>
          </w14:textFill>
        </w:rPr>
        <w:t>供应商</w:t>
      </w:r>
      <w:r>
        <w:rPr>
          <w:rFonts w:ascii="宋体" w:hAnsi="宋体"/>
          <w:color w:val="000000" w:themeColor="text1"/>
          <w:szCs w:val="21"/>
          <w14:textFill>
            <w14:solidFill>
              <w14:schemeClr w14:val="tx1"/>
            </w14:solidFill>
          </w14:textFill>
        </w:rPr>
        <w:t>以低于成本报价竞标，其</w:t>
      </w:r>
      <w:r>
        <w:rPr>
          <w:rFonts w:hint="eastAsia" w:ascii="宋体" w:hAnsi="宋体"/>
          <w:color w:val="000000" w:themeColor="text1"/>
          <w:szCs w:val="21"/>
          <w14:textFill>
            <w14:solidFill>
              <w14:schemeClr w14:val="tx1"/>
            </w14:solidFill>
          </w14:textFill>
        </w:rPr>
        <w:t>竞争性磋商响应文件</w:t>
      </w:r>
      <w:r>
        <w:rPr>
          <w:rFonts w:ascii="宋体" w:hAnsi="宋体"/>
          <w:color w:val="000000" w:themeColor="text1"/>
          <w:szCs w:val="21"/>
          <w14:textFill>
            <w14:solidFill>
              <w14:schemeClr w14:val="tx1"/>
            </w14:solidFill>
          </w14:textFill>
        </w:rPr>
        <w:t>应作为无效处理。</w:t>
      </w:r>
    </w:p>
    <w:p>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七、保密</w:t>
      </w:r>
    </w:p>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20.</w:t>
      </w:r>
      <w:r>
        <w:rPr>
          <w:rFonts w:hint="eastAsia" w:ascii="宋体" w:hAnsi="宋体"/>
          <w:color w:val="000000" w:themeColor="text1"/>
          <w:szCs w:val="21"/>
          <w14:textFill>
            <w14:solidFill>
              <w14:schemeClr w14:val="tx1"/>
            </w14:solidFill>
          </w14:textFill>
        </w:rPr>
        <w:t>与采购人的接触</w:t>
      </w:r>
    </w:p>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20.1</w:t>
      </w:r>
      <w:r>
        <w:rPr>
          <w:rFonts w:hint="eastAsia" w:ascii="宋体" w:hAnsi="宋体"/>
          <w:color w:val="000000" w:themeColor="text1"/>
          <w:szCs w:val="21"/>
          <w14:textFill>
            <w14:solidFill>
              <w14:schemeClr w14:val="tx1"/>
            </w14:solidFill>
          </w14:textFill>
        </w:rPr>
        <w:t>除本须知第</w:t>
      </w:r>
      <w:r>
        <w:rPr>
          <w:rFonts w:ascii="宋体" w:hAnsi="宋体"/>
          <w:color w:val="000000" w:themeColor="text1"/>
          <w:szCs w:val="21"/>
          <w14:textFill>
            <w14:solidFill>
              <w14:schemeClr w14:val="tx1"/>
            </w14:solidFill>
          </w14:textFill>
        </w:rPr>
        <w:t>17条和第19条规定外，从递交竞争性磋商响应文件之日起至授予合同期间，供应商不得就与其竞争性磋商响应文件有关的事项与采购人接触。</w:t>
      </w:r>
    </w:p>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20.2 </w:t>
      </w:r>
      <w:r>
        <w:rPr>
          <w:rFonts w:hint="eastAsia" w:ascii="宋体" w:hAnsi="宋体"/>
          <w:color w:val="000000" w:themeColor="text1"/>
          <w:szCs w:val="21"/>
          <w14:textFill>
            <w14:solidFill>
              <w14:schemeClr w14:val="tx1"/>
            </w14:solidFill>
          </w14:textFill>
        </w:rPr>
        <w:t>供应商试图对评审委员会的评审、比较或授予合同的决定进行影响，都可能导致其响应文件被拒绝。</w:t>
      </w:r>
    </w:p>
    <w:p>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八、合同的签订</w:t>
      </w:r>
    </w:p>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21. </w:t>
      </w:r>
      <w:r>
        <w:rPr>
          <w:rFonts w:hint="eastAsia" w:ascii="宋体" w:hAnsi="宋体"/>
          <w:color w:val="000000" w:themeColor="text1"/>
          <w:szCs w:val="21"/>
          <w14:textFill>
            <w14:solidFill>
              <w14:schemeClr w14:val="tx1"/>
            </w14:solidFill>
          </w14:textFill>
        </w:rPr>
        <w:t>合同的签订（详见《供应商须知前附表》）</w:t>
      </w:r>
    </w:p>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21.1评审委员会将根据供应商综合评估结果，按综合得分排序向采购人推荐本项目的</w:t>
      </w:r>
      <w:r>
        <w:rPr>
          <w:rFonts w:hint="eastAsia" w:ascii="宋体" w:hAnsi="宋体"/>
          <w:color w:val="000000" w:themeColor="text1"/>
          <w:szCs w:val="21"/>
          <w14:textFill>
            <w14:solidFill>
              <w14:schemeClr w14:val="tx1"/>
            </w14:solidFill>
          </w14:textFill>
        </w:rPr>
        <w:t>成交</w:t>
      </w:r>
      <w:r>
        <w:rPr>
          <w:rFonts w:ascii="宋体" w:hAnsi="宋体"/>
          <w:color w:val="000000" w:themeColor="text1"/>
          <w:szCs w:val="21"/>
          <w14:textFill>
            <w14:solidFill>
              <w14:schemeClr w14:val="tx1"/>
            </w14:solidFill>
          </w14:textFill>
        </w:rPr>
        <w:t>供应商候选人。</w:t>
      </w:r>
    </w:p>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21.2 </w:t>
      </w:r>
      <w:r>
        <w:rPr>
          <w:rFonts w:hint="eastAsia" w:ascii="宋体" w:hAnsi="宋体"/>
          <w:color w:val="000000" w:themeColor="text1"/>
          <w:szCs w:val="21"/>
          <w14:textFill>
            <w14:solidFill>
              <w14:schemeClr w14:val="tx1"/>
            </w14:solidFill>
          </w14:textFill>
        </w:rPr>
        <w:t>在签订合同前，如评审委员会发现供应商存在提供虚假不实资料的，将拒绝其响应文件，并取消供应商推荐资格，同时按综合评估排序对下一个候选人能否令人满意地履行合同作类似的审查。</w:t>
      </w:r>
    </w:p>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22. </w:t>
      </w:r>
      <w:r>
        <w:rPr>
          <w:rFonts w:hint="eastAsia" w:ascii="宋体" w:hAnsi="宋体"/>
          <w:color w:val="000000" w:themeColor="text1"/>
          <w:szCs w:val="21"/>
          <w14:textFill>
            <w14:solidFill>
              <w14:schemeClr w14:val="tx1"/>
            </w14:solidFill>
          </w14:textFill>
        </w:rPr>
        <w:t>接受和拒绝任何或所有响应文件的权力</w:t>
      </w:r>
    </w:p>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22.1</w:t>
      </w:r>
      <w:r>
        <w:rPr>
          <w:rFonts w:hint="eastAsia" w:ascii="宋体" w:hAnsi="宋体"/>
          <w:color w:val="000000" w:themeColor="text1"/>
          <w:szCs w:val="21"/>
          <w14:textFill>
            <w14:solidFill>
              <w14:schemeClr w14:val="tx1"/>
            </w14:solidFill>
          </w14:textFill>
        </w:rPr>
        <w:t>采购人保留在签订合同之前任何时候接受或拒绝任何响应文件，以及宣布本次采购无效或拒绝所有响应文件的权力，对受影响的供应商不承担任何责任，也无义务向受影响的供应商解释采取这一行动的理由。</w:t>
      </w:r>
    </w:p>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23.</w:t>
      </w:r>
      <w:r>
        <w:rPr>
          <w:rFonts w:hint="eastAsia" w:ascii="宋体" w:hAnsi="宋体"/>
          <w:color w:val="000000" w:themeColor="text1"/>
          <w:szCs w:val="21"/>
          <w14:textFill>
            <w14:solidFill>
              <w14:schemeClr w14:val="tx1"/>
            </w14:solidFill>
          </w14:textFill>
        </w:rPr>
        <w:t>授予合同通知书</w:t>
      </w:r>
    </w:p>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23.1 </w:t>
      </w:r>
      <w:r>
        <w:rPr>
          <w:rFonts w:hint="eastAsia" w:ascii="宋体" w:hAnsi="宋体"/>
          <w:color w:val="000000" w:themeColor="text1"/>
          <w:szCs w:val="21"/>
          <w14:textFill>
            <w14:solidFill>
              <w14:schemeClr w14:val="tx1"/>
            </w14:solidFill>
          </w14:textFill>
        </w:rPr>
        <w:t>采购人确定供应商后，将向成交供应商发出授予合同通知书。</w:t>
      </w:r>
    </w:p>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23.2 </w:t>
      </w:r>
      <w:r>
        <w:rPr>
          <w:rFonts w:hint="eastAsia" w:ascii="宋体" w:hAnsi="宋体"/>
          <w:color w:val="000000" w:themeColor="text1"/>
          <w:szCs w:val="21"/>
          <w14:textFill>
            <w14:solidFill>
              <w14:schemeClr w14:val="tx1"/>
            </w14:solidFill>
          </w14:textFill>
        </w:rPr>
        <w:t>授予合同通知书是合同的一个组成部分。</w:t>
      </w:r>
    </w:p>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24.</w:t>
      </w:r>
      <w:r>
        <w:rPr>
          <w:rFonts w:hint="eastAsia" w:ascii="宋体" w:hAnsi="宋体"/>
          <w:color w:val="000000" w:themeColor="text1"/>
          <w:szCs w:val="21"/>
          <w14:textFill>
            <w14:solidFill>
              <w14:schemeClr w14:val="tx1"/>
            </w14:solidFill>
          </w14:textFill>
        </w:rPr>
        <w:t>签订合同</w:t>
      </w:r>
    </w:p>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24.1</w:t>
      </w:r>
      <w:r>
        <w:rPr>
          <w:rFonts w:hint="eastAsia" w:ascii="宋体" w:hAnsi="宋体"/>
          <w:color w:val="000000" w:themeColor="text1"/>
          <w:szCs w:val="21"/>
          <w14:textFill>
            <w14:solidFill>
              <w14:schemeClr w14:val="tx1"/>
            </w14:solidFill>
          </w14:textFill>
        </w:rPr>
        <w:t>成交供应商应按授予合同通知书规定的时间、地点与采购人签订合同（格式见第四章《合同格式》），否则按响应有效期内撤回响应文件处理。</w:t>
      </w:r>
    </w:p>
    <w:p>
      <w:pPr>
        <w:spacing w:line="360" w:lineRule="auto"/>
        <w:rPr>
          <w:rFonts w:eastAsia="黑体"/>
          <w:bCs/>
          <w:color w:val="000000" w:themeColor="text1"/>
          <w:kern w:val="44"/>
          <w:sz w:val="30"/>
          <w:szCs w:val="44"/>
          <w14:textFill>
            <w14:solidFill>
              <w14:schemeClr w14:val="tx1"/>
            </w14:solidFill>
          </w14:textFill>
        </w:rPr>
      </w:pPr>
      <w:r>
        <w:rPr>
          <w:rFonts w:ascii="宋体" w:hAnsi="宋体"/>
          <w:color w:val="000000" w:themeColor="text1"/>
          <w:szCs w:val="21"/>
          <w14:textFill>
            <w14:solidFill>
              <w14:schemeClr w14:val="tx1"/>
            </w14:solidFill>
          </w14:textFill>
        </w:rPr>
        <w:t xml:space="preserve">24.2 </w:t>
      </w:r>
      <w:r>
        <w:rPr>
          <w:rFonts w:hint="eastAsia" w:ascii="宋体" w:hAnsi="宋体"/>
          <w:color w:val="000000" w:themeColor="text1"/>
          <w:szCs w:val="21"/>
          <w14:textFill>
            <w14:solidFill>
              <w14:schemeClr w14:val="tx1"/>
            </w14:solidFill>
          </w14:textFill>
        </w:rPr>
        <w:t>如果成交供应商没有按照上述规定执行，采购人将有充分理由取消该中选决定。在此情况下，采购人可与下一个候选人签订合同，或重新采购。</w:t>
      </w:r>
      <w:bookmarkEnd w:id="5"/>
      <w:bookmarkEnd w:id="6"/>
      <w:bookmarkEnd w:id="7"/>
      <w:bookmarkEnd w:id="8"/>
      <w:bookmarkStart w:id="9" w:name="_Toc226969316"/>
      <w:bookmarkStart w:id="10" w:name="_Toc107822520"/>
      <w:bookmarkStart w:id="11" w:name="_Toc227057922"/>
      <w:r>
        <w:rPr>
          <w:color w:val="000000" w:themeColor="text1"/>
          <w14:textFill>
            <w14:solidFill>
              <w14:schemeClr w14:val="tx1"/>
            </w14:solidFill>
          </w14:textFill>
        </w:rPr>
        <w:br w:type="page"/>
      </w:r>
    </w:p>
    <w:bookmarkEnd w:id="9"/>
    <w:bookmarkEnd w:id="10"/>
    <w:bookmarkEnd w:id="11"/>
    <w:p>
      <w:pPr>
        <w:pStyle w:val="3"/>
        <w:numPr>
          <w:ilvl w:val="0"/>
          <w:numId w:val="0"/>
        </w:numPr>
        <w:spacing w:before="0" w:after="0" w:line="360" w:lineRule="auto"/>
        <w:rPr>
          <w:b/>
          <w:color w:val="000000" w:themeColor="text1"/>
          <w:sz w:val="36"/>
          <w:szCs w:val="36"/>
          <w14:textFill>
            <w14:solidFill>
              <w14:schemeClr w14:val="tx1"/>
            </w14:solidFill>
          </w14:textFill>
        </w:rPr>
      </w:pPr>
      <w:bookmarkStart w:id="12" w:name="_Toc69378617"/>
      <w:bookmarkStart w:id="13" w:name="_Toc226969352"/>
      <w:bookmarkStart w:id="14" w:name="_Toc107822556"/>
      <w:bookmarkStart w:id="15" w:name="_Toc227057958"/>
      <w:r>
        <w:rPr>
          <w:rFonts w:hint="eastAsia"/>
          <w:b/>
          <w:color w:val="000000" w:themeColor="text1"/>
          <w:sz w:val="36"/>
          <w:szCs w:val="36"/>
          <w14:textFill>
            <w14:solidFill>
              <w14:schemeClr w14:val="tx1"/>
            </w14:solidFill>
          </w14:textFill>
        </w:rPr>
        <w:t>第三章 评审办法</w:t>
      </w:r>
      <w:bookmarkEnd w:id="12"/>
    </w:p>
    <w:p>
      <w:pPr>
        <w:spacing w:line="360" w:lineRule="auto"/>
        <w:ind w:firstLine="480" w:firstLineChars="200"/>
        <w:jc w:val="left"/>
        <w:rPr>
          <w:rFonts w:ascii="宋体" w:hAnsi="宋体"/>
          <w:color w:val="000000" w:themeColor="text1"/>
          <w:sz w:val="24"/>
          <w14:textFill>
            <w14:solidFill>
              <w14:schemeClr w14:val="tx1"/>
            </w14:solidFill>
          </w14:textFill>
        </w:rPr>
      </w:pPr>
    </w:p>
    <w:p>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w:t>
      </w:r>
      <w:r>
        <w:rPr>
          <w:rFonts w:ascii="宋体" w:hAnsi="宋体"/>
          <w:color w:val="000000" w:themeColor="text1"/>
          <w:sz w:val="24"/>
          <w14:textFill>
            <w14:solidFill>
              <w14:schemeClr w14:val="tx1"/>
            </w14:solidFill>
          </w14:textFill>
        </w:rPr>
        <w:t>须对第三章《</w:t>
      </w:r>
      <w:r>
        <w:rPr>
          <w:rFonts w:hint="eastAsia" w:ascii="宋体" w:hAnsi="宋体"/>
          <w:color w:val="000000" w:themeColor="text1"/>
          <w:sz w:val="24"/>
          <w14:textFill>
            <w14:solidFill>
              <w14:schemeClr w14:val="tx1"/>
            </w14:solidFill>
          </w14:textFill>
        </w:rPr>
        <w:t>评审</w:t>
      </w:r>
      <w:r>
        <w:rPr>
          <w:rFonts w:ascii="宋体" w:hAnsi="宋体"/>
          <w:color w:val="000000" w:themeColor="text1"/>
          <w:sz w:val="24"/>
          <w14:textFill>
            <w14:solidFill>
              <w14:schemeClr w14:val="tx1"/>
            </w14:solidFill>
          </w14:textFill>
        </w:rPr>
        <w:t>办法》中的评分要求逐项说明在</w:t>
      </w:r>
      <w:r>
        <w:rPr>
          <w:rFonts w:hint="eastAsia" w:ascii="宋体" w:hAnsi="宋体"/>
          <w:color w:val="000000" w:themeColor="text1"/>
          <w:sz w:val="24"/>
          <w14:textFill>
            <w14:solidFill>
              <w14:schemeClr w14:val="tx1"/>
            </w14:solidFill>
          </w14:textFill>
        </w:rPr>
        <w:t>响应文件</w:t>
      </w:r>
      <w:r>
        <w:rPr>
          <w:rFonts w:ascii="宋体" w:hAnsi="宋体"/>
          <w:color w:val="000000" w:themeColor="text1"/>
          <w:sz w:val="24"/>
          <w14:textFill>
            <w14:solidFill>
              <w14:schemeClr w14:val="tx1"/>
            </w14:solidFill>
          </w14:textFill>
        </w:rPr>
        <w:t>中的装订页码，并将该页装订在</w:t>
      </w:r>
      <w:r>
        <w:rPr>
          <w:rFonts w:hint="eastAsia" w:ascii="宋体" w:hAnsi="宋体"/>
          <w:color w:val="000000" w:themeColor="text1"/>
          <w:sz w:val="24"/>
          <w14:textFill>
            <w14:solidFill>
              <w14:schemeClr w14:val="tx1"/>
            </w14:solidFill>
          </w14:textFill>
        </w:rPr>
        <w:t>响应文件</w:t>
      </w:r>
      <w:r>
        <w:rPr>
          <w:rFonts w:ascii="宋体" w:hAnsi="宋体"/>
          <w:color w:val="000000" w:themeColor="text1"/>
          <w:sz w:val="24"/>
          <w14:textFill>
            <w14:solidFill>
              <w14:schemeClr w14:val="tx1"/>
            </w14:solidFill>
          </w14:textFill>
        </w:rPr>
        <w:t>的首页。</w:t>
      </w:r>
    </w:p>
    <w:p>
      <w:pPr>
        <w:spacing w:line="360" w:lineRule="auto"/>
        <w:jc w:val="left"/>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spacing w:line="360" w:lineRule="auto"/>
        <w:jc w:val="center"/>
        <w:rPr>
          <w:rFonts w:ascii="黑体" w:hAnsi="黑体" w:eastAsia="黑体"/>
          <w:color w:val="000000" w:themeColor="text1"/>
          <w:sz w:val="37"/>
          <w:szCs w:val="37"/>
          <w14:textFill>
            <w14:solidFill>
              <w14:schemeClr w14:val="tx1"/>
            </w14:solidFill>
          </w14:textFill>
        </w:rPr>
      </w:pPr>
      <w:r>
        <w:rPr>
          <w:rFonts w:ascii="宋体" w:hAnsi="宋体"/>
          <w:color w:val="000000" w:themeColor="text1"/>
          <w14:textFill>
            <w14:solidFill>
              <w14:schemeClr w14:val="tx1"/>
            </w14:solidFill>
          </w14:textFill>
        </w:rPr>
        <w:br w:type="page"/>
      </w:r>
      <w:r>
        <w:rPr>
          <w:rFonts w:hint="eastAsia" w:ascii="黑体" w:hAnsi="黑体" w:eastAsia="黑体"/>
          <w:color w:val="000000" w:themeColor="text1"/>
          <w:sz w:val="37"/>
          <w:szCs w:val="37"/>
          <w14:textFill>
            <w14:solidFill>
              <w14:schemeClr w14:val="tx1"/>
            </w14:solidFill>
          </w14:textFill>
        </w:rPr>
        <w:t>详细</w:t>
      </w:r>
      <w:r>
        <w:rPr>
          <w:rFonts w:ascii="黑体" w:hAnsi="黑体" w:eastAsia="黑体"/>
          <w:color w:val="000000" w:themeColor="text1"/>
          <w:sz w:val="37"/>
          <w:szCs w:val="37"/>
          <w14:textFill>
            <w14:solidFill>
              <w14:schemeClr w14:val="tx1"/>
            </w14:solidFill>
          </w14:textFill>
        </w:rPr>
        <w:t>评分表</w:t>
      </w:r>
    </w:p>
    <w:p>
      <w:pPr>
        <w:spacing w:line="360" w:lineRule="auto"/>
        <w:jc w:val="center"/>
        <w:rPr>
          <w:rFonts w:ascii="黑体" w:hAnsi="黑体" w:eastAsia="黑体"/>
          <w:color w:val="000000" w:themeColor="text1"/>
          <w:sz w:val="24"/>
          <w14:textFill>
            <w14:solidFill>
              <w14:schemeClr w14:val="tx1"/>
            </w14:solidFill>
          </w14:textFill>
        </w:rPr>
      </w:pPr>
      <w:r>
        <w:rPr>
          <w:rFonts w:ascii="黑体" w:hAnsi="黑体" w:eastAsia="黑体"/>
          <w:color w:val="000000" w:themeColor="text1"/>
          <w:sz w:val="24"/>
          <w14:textFill>
            <w14:solidFill>
              <w14:schemeClr w14:val="tx1"/>
            </w14:solidFill>
          </w14:textFill>
        </w:rPr>
        <w:t>（满分100分）</w:t>
      </w:r>
    </w:p>
    <w:tbl>
      <w:tblPr>
        <w:tblStyle w:val="53"/>
        <w:tblW w:w="90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1"/>
        <w:gridCol w:w="912"/>
        <w:gridCol w:w="6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41" w:type="dxa"/>
            <w:tcBorders>
              <w:top w:val="single" w:color="auto" w:sz="4" w:space="0"/>
              <w:left w:val="single" w:color="auto" w:sz="4" w:space="0"/>
              <w:bottom w:val="single" w:color="auto" w:sz="4" w:space="0"/>
              <w:right w:val="single" w:color="auto" w:sz="4" w:space="0"/>
            </w:tcBorders>
            <w:vAlign w:val="center"/>
          </w:tcPr>
          <w:p>
            <w:pPr>
              <w:widowControl/>
              <w:jc w:val="center"/>
              <w:rPr>
                <w:b/>
                <w:color w:val="000000" w:themeColor="text1"/>
                <w:kern w:val="0"/>
                <w:szCs w:val="21"/>
                <w14:textFill>
                  <w14:solidFill>
                    <w14:schemeClr w14:val="tx1"/>
                  </w14:solidFill>
                </w14:textFill>
              </w:rPr>
            </w:pPr>
            <w:r>
              <w:rPr>
                <w:rFonts w:hint="eastAsia"/>
                <w:b/>
                <w:color w:val="000000" w:themeColor="text1"/>
                <w:kern w:val="0"/>
                <w:szCs w:val="21"/>
                <w14:textFill>
                  <w14:solidFill>
                    <w14:schemeClr w14:val="tx1"/>
                  </w14:solidFill>
                </w14:textFill>
              </w:rPr>
              <w:t>评审</w:t>
            </w:r>
            <w:r>
              <w:rPr>
                <w:b/>
                <w:color w:val="000000" w:themeColor="text1"/>
                <w:kern w:val="0"/>
                <w:szCs w:val="21"/>
                <w14:textFill>
                  <w14:solidFill>
                    <w14:schemeClr w14:val="tx1"/>
                  </w14:solidFill>
                </w14:textFill>
              </w:rPr>
              <w:t>项目</w:t>
            </w:r>
          </w:p>
        </w:tc>
        <w:tc>
          <w:tcPr>
            <w:tcW w:w="912"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分值</w:t>
            </w:r>
          </w:p>
        </w:tc>
        <w:tc>
          <w:tcPr>
            <w:tcW w:w="6993"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cs="宋体"/>
                <w:b/>
                <w:color w:val="000000" w:themeColor="text1"/>
                <w:kern w:val="0"/>
                <w:szCs w:val="21"/>
                <w14:textFill>
                  <w14:solidFill>
                    <w14:schemeClr w14:val="tx1"/>
                  </w14:solidFill>
                </w14:textFill>
              </w:rPr>
            </w:pPr>
            <w:r>
              <w:rPr>
                <w:rFonts w:cs="宋体"/>
                <w:b/>
                <w:color w:val="000000" w:themeColor="text1"/>
                <w:kern w:val="0"/>
                <w:szCs w:val="21"/>
                <w14:textFill>
                  <w14:solidFill>
                    <w14:schemeClr w14:val="tx1"/>
                  </w14:solidFill>
                </w14:textFill>
              </w:rPr>
              <w:t>评分要求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价格</w:t>
            </w:r>
          </w:p>
        </w:tc>
        <w:tc>
          <w:tcPr>
            <w:tcW w:w="912"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60分</w:t>
            </w:r>
          </w:p>
        </w:tc>
        <w:tc>
          <w:tcPr>
            <w:tcW w:w="6993"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A、评审价的计算：</w:t>
            </w:r>
          </w:p>
          <w:p>
            <w:pPr>
              <w:keepLines/>
              <w:widowControl/>
              <w:tabs>
                <w:tab w:val="left" w:pos="794"/>
                <w:tab w:val="left" w:pos="1191"/>
                <w:tab w:val="left" w:pos="1588"/>
                <w:tab w:val="left" w:pos="1985"/>
              </w:tabs>
              <w:autoSpaceDE w:val="0"/>
              <w:autoSpaceDN w:val="0"/>
              <w:adjustRightInd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1、供应商的最终报价如有缺漏项均视为不实质性响应；</w:t>
            </w:r>
          </w:p>
          <w:p>
            <w:pPr>
              <w:keepLines/>
              <w:widowControl/>
              <w:tabs>
                <w:tab w:val="left" w:pos="794"/>
                <w:tab w:val="left" w:pos="1191"/>
                <w:tab w:val="left" w:pos="1588"/>
                <w:tab w:val="left" w:pos="1985"/>
              </w:tabs>
              <w:autoSpaceDE w:val="0"/>
              <w:autoSpaceDN w:val="0"/>
              <w:adjustRightInd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2、不接受选择性报价或者具有附加条件的报价；</w:t>
            </w:r>
          </w:p>
          <w:p>
            <w:pPr>
              <w:keepLines/>
              <w:widowControl/>
              <w:tabs>
                <w:tab w:val="left" w:pos="794"/>
                <w:tab w:val="left" w:pos="1191"/>
                <w:tab w:val="left" w:pos="1588"/>
                <w:tab w:val="left" w:pos="1985"/>
              </w:tabs>
              <w:autoSpaceDE w:val="0"/>
              <w:autoSpaceDN w:val="0"/>
              <w:adjustRightInd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3、响应文件中如果申报了非竞争性磋商文件所要求的服务和产品，评审时不予以折价降低评审价；</w:t>
            </w:r>
          </w:p>
          <w:p>
            <w:pPr>
              <w:keepLines/>
              <w:widowControl/>
              <w:tabs>
                <w:tab w:val="left" w:pos="794"/>
                <w:tab w:val="left" w:pos="1191"/>
                <w:tab w:val="left" w:pos="1588"/>
                <w:tab w:val="left" w:pos="1985"/>
              </w:tabs>
              <w:autoSpaceDE w:val="0"/>
              <w:autoSpaceDN w:val="0"/>
              <w:adjustRightInd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4、供应商的报价经勘误后的值作为该供应商的评审价。</w:t>
            </w:r>
          </w:p>
          <w:p>
            <w:pPr>
              <w:keepLines/>
              <w:widowControl/>
              <w:tabs>
                <w:tab w:val="left" w:pos="794"/>
                <w:tab w:val="left" w:pos="1191"/>
                <w:tab w:val="left" w:pos="1588"/>
                <w:tab w:val="left" w:pos="1985"/>
              </w:tabs>
              <w:autoSpaceDE w:val="0"/>
              <w:autoSpaceDN w:val="0"/>
              <w:adjustRightInd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B、价格分的计算（保留小数点后2位）</w:t>
            </w:r>
          </w:p>
          <w:p>
            <w:pPr>
              <w:keepLines/>
              <w:widowControl/>
              <w:tabs>
                <w:tab w:val="left" w:pos="794"/>
                <w:tab w:val="left" w:pos="1191"/>
                <w:tab w:val="left" w:pos="1588"/>
                <w:tab w:val="left" w:pos="1985"/>
              </w:tabs>
              <w:autoSpaceDE w:val="0"/>
              <w:autoSpaceDN w:val="0"/>
              <w:adjustRightInd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1、供应商评审价=经评审的该供应商含税总价。</w:t>
            </w:r>
          </w:p>
          <w:p>
            <w:pPr>
              <w:keepLines/>
              <w:widowControl/>
              <w:tabs>
                <w:tab w:val="left" w:pos="794"/>
                <w:tab w:val="left" w:pos="1191"/>
                <w:tab w:val="left" w:pos="1588"/>
                <w:tab w:val="left" w:pos="1985"/>
              </w:tabs>
              <w:autoSpaceDE w:val="0"/>
              <w:autoSpaceDN w:val="0"/>
              <w:adjustRightInd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2、评审基准价：将满足响应文件要求的所有投标人的最低价为评标基准价。3、计算价格得分：（评审基准价/供应商评标价）×60。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响应文件有效性</w:t>
            </w:r>
          </w:p>
        </w:tc>
        <w:tc>
          <w:tcPr>
            <w:tcW w:w="912"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6993"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供应商响应文件完全符合采购文件的形式要件，无缺、漏项，文字清晰、描述清楚得2分；如发现不符，酌情扣分；如果发现严重缺漏或任何弄虚作假的行为，则否决评审。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综合实力</w:t>
            </w:r>
          </w:p>
        </w:tc>
        <w:tc>
          <w:tcPr>
            <w:tcW w:w="912"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5分</w:t>
            </w:r>
          </w:p>
        </w:tc>
        <w:tc>
          <w:tcPr>
            <w:tcW w:w="6993"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根据供应商的企业规模、企业获奖情况、荣誉证书、财务状况（总资产、负债率、利润等）打分。</w:t>
            </w:r>
          </w:p>
          <w:p>
            <w:pPr>
              <w:keepLines/>
              <w:widowControl/>
              <w:tabs>
                <w:tab w:val="left" w:pos="794"/>
                <w:tab w:val="left" w:pos="1191"/>
                <w:tab w:val="left" w:pos="1588"/>
                <w:tab w:val="left" w:pos="1985"/>
              </w:tabs>
              <w:autoSpaceDE w:val="0"/>
              <w:autoSpaceDN w:val="0"/>
              <w:adjustRightInd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优良[4，5]分；较好[2，3]分；一般[0，1]分。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41"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产品业绩经验</w:t>
            </w:r>
          </w:p>
        </w:tc>
        <w:tc>
          <w:tcPr>
            <w:tcW w:w="912"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8分</w:t>
            </w:r>
          </w:p>
        </w:tc>
        <w:tc>
          <w:tcPr>
            <w:tcW w:w="699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根据供应商提供的自201</w:t>
            </w:r>
            <w:r>
              <w:rPr>
                <w:rFonts w:ascii="宋体" w:hAnsi="宋体"/>
                <w:color w:val="000000" w:themeColor="text1"/>
                <w:szCs w:val="21"/>
                <w14:textFill>
                  <w14:solidFill>
                    <w14:schemeClr w14:val="tx1"/>
                  </w14:solidFill>
                </w14:textFill>
              </w:rPr>
              <w:t>9</w:t>
            </w:r>
            <w:r>
              <w:rPr>
                <w:rFonts w:hint="eastAsia" w:ascii="宋体" w:hAnsi="宋体"/>
                <w:color w:val="000000" w:themeColor="text1"/>
                <w:szCs w:val="21"/>
                <w14:textFill>
                  <w14:solidFill>
                    <w14:schemeClr w14:val="tx1"/>
                  </w14:solidFill>
                </w14:textFill>
              </w:rPr>
              <w:t>年1月1日以来，本项目采购的相关产品的应用案例打分，案例以合同为准。超过3个案例则每多一个案例得</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分，本项满分8分。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41"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技术需求应答</w:t>
            </w:r>
          </w:p>
        </w:tc>
        <w:tc>
          <w:tcPr>
            <w:tcW w:w="912"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0分</w:t>
            </w:r>
          </w:p>
        </w:tc>
        <w:tc>
          <w:tcPr>
            <w:tcW w:w="699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根据供应商对竞争性磋商文件第五章《技术需求书》的偏离情况打分，基本分10分。</w:t>
            </w:r>
          </w:p>
          <w:p>
            <w:pPr>
              <w:widowControl/>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关键条款（“</w:t>
            </w:r>
            <w:r>
              <w:rPr>
                <w:rFonts w:ascii="Segoe UI Symbol" w:hAnsi="Segoe UI Symbol" w:cs="Segoe UI Symbol"/>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”号条款）不满足的</w:t>
            </w:r>
            <w:r>
              <w:rPr>
                <w:rFonts w:ascii="宋体" w:hAnsi="宋体"/>
                <w:color w:val="000000" w:themeColor="text1"/>
                <w:szCs w:val="21"/>
                <w14:textFill>
                  <w14:solidFill>
                    <w14:schemeClr w14:val="tx1"/>
                  </w14:solidFill>
                </w14:textFill>
              </w:rPr>
              <w:t>取消评审</w:t>
            </w:r>
            <w:r>
              <w:rPr>
                <w:rFonts w:hint="eastAsia" w:ascii="宋体" w:hAnsi="宋体"/>
                <w:color w:val="000000" w:themeColor="text1"/>
                <w:szCs w:val="21"/>
                <w14:textFill>
                  <w14:solidFill>
                    <w14:schemeClr w14:val="tx1"/>
                  </w14:solidFill>
                </w14:textFill>
              </w:rPr>
              <w:t>；非关键条款（非“</w:t>
            </w:r>
            <w:r>
              <w:rPr>
                <w:rFonts w:ascii="Segoe UI Symbol" w:hAnsi="Segoe UI Symbol" w:cs="Segoe UI Symbol"/>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”号条款</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条及以上不满足的</w:t>
            </w:r>
            <w:r>
              <w:rPr>
                <w:rFonts w:ascii="宋体" w:hAnsi="宋体"/>
                <w:color w:val="000000" w:themeColor="text1"/>
                <w:szCs w:val="21"/>
                <w14:textFill>
                  <w14:solidFill>
                    <w14:schemeClr w14:val="tx1"/>
                  </w14:solidFill>
                </w14:textFill>
              </w:rPr>
              <w:t>取消评审</w:t>
            </w:r>
            <w:r>
              <w:rPr>
                <w:rFonts w:hint="eastAsia" w:ascii="宋体" w:hAnsi="宋体"/>
                <w:color w:val="000000" w:themeColor="text1"/>
                <w:szCs w:val="21"/>
                <w14:textFill>
                  <w14:solidFill>
                    <w14:schemeClr w14:val="tx1"/>
                  </w14:solidFill>
                </w14:textFill>
              </w:rPr>
              <w:t>，有1条非关键条款不满足扣2分，有2条非关键条款不满足扣4分。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41"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技术方案</w:t>
            </w:r>
          </w:p>
        </w:tc>
        <w:tc>
          <w:tcPr>
            <w:tcW w:w="912"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5分</w:t>
            </w:r>
          </w:p>
        </w:tc>
        <w:tc>
          <w:tcPr>
            <w:tcW w:w="6993"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根据供应商提供的技术方案（含方案设计、施工）合理性等情况进行评分：</w:t>
            </w:r>
          </w:p>
          <w:p>
            <w:pPr>
              <w:keepLines/>
              <w:widowControl/>
              <w:tabs>
                <w:tab w:val="left" w:pos="794"/>
                <w:tab w:val="left" w:pos="1191"/>
                <w:tab w:val="left" w:pos="1588"/>
                <w:tab w:val="left" w:pos="1985"/>
              </w:tabs>
              <w:autoSpaceDE w:val="0"/>
              <w:autoSpaceDN w:val="0"/>
              <w:adjustRightInd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技术方案优良[4，5]分；较好[2，3]分；一般[0，1]分。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141" w:type="dxa"/>
            <w:vMerge w:val="restart"/>
            <w:tcBorders>
              <w:top w:val="single" w:color="auto" w:sz="4" w:space="0"/>
              <w:left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服务能力</w:t>
            </w:r>
          </w:p>
        </w:tc>
        <w:tc>
          <w:tcPr>
            <w:tcW w:w="912" w:type="dxa"/>
            <w:vMerge w:val="restart"/>
            <w:tcBorders>
              <w:top w:val="single" w:color="auto" w:sz="4" w:space="0"/>
              <w:left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10</w:t>
            </w:r>
            <w:r>
              <w:rPr>
                <w:rFonts w:hint="eastAsia" w:ascii="宋体" w:hAnsi="宋体"/>
                <w:color w:val="000000" w:themeColor="text1"/>
                <w:szCs w:val="21"/>
                <w14:textFill>
                  <w14:solidFill>
                    <w14:schemeClr w14:val="tx1"/>
                  </w14:solidFill>
                </w14:textFill>
              </w:rPr>
              <w:t>分</w:t>
            </w:r>
          </w:p>
        </w:tc>
        <w:tc>
          <w:tcPr>
            <w:tcW w:w="6993"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left"/>
              <w:rPr>
                <w:rFonts w:ascii="宋体" w:hAnsi="宋体"/>
                <w:color w:val="000000" w:themeColor="text1"/>
                <w:szCs w:val="21"/>
                <w14:textFill>
                  <w14:solidFill>
                    <w14:schemeClr w14:val="tx1"/>
                  </w14:solidFill>
                </w14:textFill>
              </w:rPr>
            </w:pPr>
            <w:r>
              <w:rPr>
                <w:rFonts w:hint="eastAsia"/>
                <w:color w:val="000000" w:themeColor="text1"/>
                <w:kern w:val="0"/>
                <w:szCs w:val="21"/>
                <w14:textFill>
                  <w14:solidFill>
                    <w14:schemeClr w14:val="tx1"/>
                  </w14:solidFill>
                </w14:textFill>
              </w:rPr>
              <w:t>1、根据</w:t>
            </w:r>
            <w:r>
              <w:rPr>
                <w:rFonts w:hint="eastAsia" w:ascii="宋体" w:hAnsi="宋体"/>
                <w:color w:val="000000" w:themeColor="text1"/>
                <w:szCs w:val="21"/>
                <w14:textFill>
                  <w14:solidFill>
                    <w14:schemeClr w14:val="tx1"/>
                  </w14:solidFill>
                </w14:textFill>
              </w:rPr>
              <w:t>供应商</w:t>
            </w:r>
            <w:r>
              <w:rPr>
                <w:rFonts w:hint="eastAsia"/>
                <w:color w:val="000000" w:themeColor="text1"/>
                <w:kern w:val="0"/>
                <w:szCs w:val="21"/>
                <w14:textFill>
                  <w14:solidFill>
                    <w14:schemeClr w14:val="tx1"/>
                  </w14:solidFill>
                </w14:textFill>
              </w:rPr>
              <w:t>的售后服务机构的实力打分：</w:t>
            </w:r>
            <w:r>
              <w:rPr>
                <w:rFonts w:hint="eastAsia" w:ascii="宋体" w:hAnsi="宋体"/>
                <w:color w:val="000000" w:themeColor="text1"/>
                <w:szCs w:val="21"/>
                <w14:textFill>
                  <w14:solidFill>
                    <w14:schemeClr w14:val="tx1"/>
                  </w14:solidFill>
                </w14:textFill>
              </w:rPr>
              <w:t>优良(</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]分；一般[0，1]；</w:t>
            </w:r>
          </w:p>
          <w:p>
            <w:pPr>
              <w:keepLines/>
              <w:widowControl/>
              <w:tabs>
                <w:tab w:val="left" w:pos="794"/>
                <w:tab w:val="left" w:pos="1191"/>
                <w:tab w:val="left" w:pos="1588"/>
                <w:tab w:val="left" w:pos="1985"/>
              </w:tabs>
              <w:autoSpaceDE w:val="0"/>
              <w:autoSpaceDN w:val="0"/>
              <w:adjustRightInd w:val="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2、根据</w:t>
            </w:r>
            <w:r>
              <w:rPr>
                <w:rFonts w:hint="eastAsia" w:ascii="宋体" w:hAnsi="宋体"/>
                <w:color w:val="000000" w:themeColor="text1"/>
                <w:szCs w:val="21"/>
                <w14:textFill>
                  <w14:solidFill>
                    <w14:schemeClr w14:val="tx1"/>
                  </w14:solidFill>
                </w14:textFill>
              </w:rPr>
              <w:t>供应商</w:t>
            </w:r>
            <w:r>
              <w:rPr>
                <w:rFonts w:hint="eastAsia"/>
                <w:color w:val="000000" w:themeColor="text1"/>
                <w:kern w:val="0"/>
                <w:szCs w:val="21"/>
                <w14:textFill>
                  <w14:solidFill>
                    <w14:schemeClr w14:val="tx1"/>
                  </w14:solidFill>
                </w14:textFill>
              </w:rPr>
              <w:t>服务响应时间横向比较打分，满分3分。</w:t>
            </w:r>
          </w:p>
          <w:p>
            <w:pPr>
              <w:keepLines/>
              <w:widowControl/>
              <w:tabs>
                <w:tab w:val="left" w:pos="794"/>
                <w:tab w:val="left" w:pos="1191"/>
                <w:tab w:val="left" w:pos="1588"/>
                <w:tab w:val="left" w:pos="1985"/>
              </w:tabs>
              <w:autoSpaceDE w:val="0"/>
              <w:autoSpaceDN w:val="0"/>
              <w:adjustRightInd w:val="0"/>
              <w:jc w:val="left"/>
              <w:rPr>
                <w:color w:val="000000" w:themeColor="text1"/>
                <w:szCs w:val="21"/>
                <w14:textFill>
                  <w14:solidFill>
                    <w14:schemeClr w14:val="tx1"/>
                  </w14:solidFill>
                </w14:textFill>
              </w:rPr>
            </w:pPr>
            <w:r>
              <w:rPr>
                <w:rFonts w:hint="eastAsia"/>
                <w:color w:val="000000" w:themeColor="text1"/>
                <w:kern w:val="0"/>
                <w:szCs w:val="21"/>
                <w14:textFill>
                  <w14:solidFill>
                    <w14:schemeClr w14:val="tx1"/>
                  </w14:solidFill>
                </w14:textFill>
              </w:rPr>
              <w:t>优良(1，2]分；一般[0，1]；服务响应时间小于2小时，加1分。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41" w:type="dxa"/>
            <w:vMerge w:val="continue"/>
            <w:tcBorders>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color w:val="000000" w:themeColor="text1"/>
                <w:szCs w:val="21"/>
                <w14:textFill>
                  <w14:solidFill>
                    <w14:schemeClr w14:val="tx1"/>
                  </w14:solidFill>
                </w14:textFill>
              </w:rPr>
            </w:pPr>
          </w:p>
        </w:tc>
        <w:tc>
          <w:tcPr>
            <w:tcW w:w="912" w:type="dxa"/>
            <w:vMerge w:val="continue"/>
            <w:tcBorders>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color w:val="000000" w:themeColor="text1"/>
                <w:szCs w:val="21"/>
                <w14:textFill>
                  <w14:solidFill>
                    <w14:schemeClr w14:val="tx1"/>
                  </w14:solidFill>
                </w14:textFill>
              </w:rPr>
            </w:pPr>
          </w:p>
        </w:tc>
        <w:tc>
          <w:tcPr>
            <w:tcW w:w="6993"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根据</w:t>
            </w:r>
            <w:r>
              <w:rPr>
                <w:rFonts w:hint="eastAsia" w:ascii="宋体" w:hAnsi="宋体"/>
                <w:color w:val="000000" w:themeColor="text1"/>
                <w:szCs w:val="21"/>
                <w14:textFill>
                  <w14:solidFill>
                    <w14:schemeClr w14:val="tx1"/>
                  </w14:solidFill>
                </w14:textFill>
              </w:rPr>
              <w:t>供应商</w:t>
            </w:r>
            <w:r>
              <w:rPr>
                <w:rFonts w:hint="eastAsia"/>
                <w:color w:val="000000" w:themeColor="text1"/>
                <w:kern w:val="0"/>
                <w:szCs w:val="21"/>
                <w14:textFill>
                  <w14:solidFill>
                    <w14:schemeClr w14:val="tx1"/>
                  </w14:solidFill>
                </w14:textFill>
              </w:rPr>
              <w:t>交货期、备品备件支持、免费包修期、免费包修期外服务方案限进行</w:t>
            </w:r>
            <w:r>
              <w:rPr>
                <w:color w:val="000000" w:themeColor="text1"/>
                <w:kern w:val="0"/>
                <w:szCs w:val="21"/>
                <w14:textFill>
                  <w14:solidFill>
                    <w14:schemeClr w14:val="tx1"/>
                  </w14:solidFill>
                </w14:textFill>
              </w:rPr>
              <w:t>比较打分</w:t>
            </w:r>
            <w:r>
              <w:rPr>
                <w:rFonts w:hint="eastAsia"/>
                <w:color w:val="000000" w:themeColor="text1"/>
                <w:kern w:val="0"/>
                <w:szCs w:val="21"/>
                <w14:textFill>
                  <w14:solidFill>
                    <w14:schemeClr w14:val="tx1"/>
                  </w14:solidFill>
                </w14:textFill>
              </w:rPr>
              <w:t>，满分5分</w:t>
            </w:r>
            <w:r>
              <w:rPr>
                <w:color w:val="000000" w:themeColor="text1"/>
                <w:kern w:val="0"/>
                <w:szCs w:val="21"/>
                <w14:textFill>
                  <w14:solidFill>
                    <w14:schemeClr w14:val="tx1"/>
                  </w14:solidFill>
                </w14:textFill>
              </w:rPr>
              <w:t>。</w:t>
            </w:r>
          </w:p>
          <w:p>
            <w:pPr>
              <w:keepLines/>
              <w:widowControl/>
              <w:tabs>
                <w:tab w:val="left" w:pos="794"/>
                <w:tab w:val="left" w:pos="1191"/>
                <w:tab w:val="left" w:pos="1588"/>
                <w:tab w:val="left" w:pos="1985"/>
              </w:tabs>
              <w:autoSpaceDE w:val="0"/>
              <w:autoSpaceDN w:val="0"/>
              <w:adjustRightInd w:val="0"/>
              <w:jc w:val="left"/>
              <w:rPr>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优良(2，3]分；较好[1，2]分；一般[0，1)分。</w:t>
            </w:r>
          </w:p>
          <w:p>
            <w:pPr>
              <w:keepLines/>
              <w:widowControl/>
              <w:tabs>
                <w:tab w:val="left" w:pos="794"/>
                <w:tab w:val="left" w:pos="1191"/>
                <w:tab w:val="left" w:pos="1588"/>
                <w:tab w:val="left" w:pos="1985"/>
              </w:tabs>
              <w:autoSpaceDE w:val="0"/>
              <w:autoSpaceDN w:val="0"/>
              <w:adjustRightInd w:val="0"/>
              <w:jc w:val="left"/>
              <w:rPr>
                <w:rFonts w:ascii="宋体" w:hAnsi="宋体"/>
                <w:color w:val="000000" w:themeColor="text1"/>
                <w:szCs w:val="21"/>
                <w14:textFill>
                  <w14:solidFill>
                    <w14:schemeClr w14:val="tx1"/>
                  </w14:solidFill>
                </w14:textFill>
              </w:rPr>
            </w:pPr>
            <w:r>
              <w:rPr>
                <w:rFonts w:hint="eastAsia"/>
                <w:color w:val="000000" w:themeColor="text1"/>
                <w:kern w:val="0"/>
                <w:szCs w:val="21"/>
                <w14:textFill>
                  <w14:solidFill>
                    <w14:schemeClr w14:val="tx1"/>
                  </w14:solidFill>
                </w14:textFill>
              </w:rPr>
              <w:t>免费包修期等于3年不得分，每增加一年得1分，满分</w:t>
            </w:r>
            <w:r>
              <w:rPr>
                <w:color w:val="000000" w:themeColor="text1"/>
                <w:kern w:val="0"/>
                <w:szCs w:val="21"/>
                <w14:textFill>
                  <w14:solidFill>
                    <w14:schemeClr w14:val="tx1"/>
                  </w14:solidFill>
                </w14:textFill>
              </w:rPr>
              <w:t>2</w:t>
            </w:r>
            <w:r>
              <w:rPr>
                <w:rFonts w:hint="eastAsia"/>
                <w:color w:val="000000" w:themeColor="text1"/>
                <w:kern w:val="0"/>
                <w:szCs w:val="21"/>
                <w14:textFill>
                  <w14:solidFill>
                    <w14:schemeClr w14:val="tx1"/>
                  </w14:solidFill>
                </w14:textFill>
              </w:rPr>
              <w:t>分。</w:t>
            </w:r>
          </w:p>
        </w:tc>
      </w:tr>
    </w:tbl>
    <w:p>
      <w:pPr>
        <w:spacing w:line="360" w:lineRule="auto"/>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注：</w:t>
      </w:r>
      <w:r>
        <w:rPr>
          <w:rFonts w:hint="eastAsia"/>
          <w:b/>
          <w:bCs/>
          <w:color w:val="000000" w:themeColor="text1"/>
          <w:sz w:val="24"/>
          <w14:textFill>
            <w14:solidFill>
              <w14:schemeClr w14:val="tx1"/>
            </w14:solidFill>
          </w14:textFill>
        </w:rPr>
        <w:t>评分表中“</w:t>
      </w:r>
      <w:r>
        <w:rPr>
          <w:b/>
          <w:bCs/>
          <w:color w:val="000000" w:themeColor="text1"/>
          <w:sz w:val="24"/>
          <w14:textFill>
            <w14:solidFill>
              <w14:schemeClr w14:val="tx1"/>
            </w14:solidFill>
          </w14:textFill>
        </w:rPr>
        <w:t>[</w:t>
      </w:r>
      <w:r>
        <w:rPr>
          <w:rFonts w:hint="eastAsia"/>
          <w:b/>
          <w:bCs/>
          <w:color w:val="000000" w:themeColor="text1"/>
          <w:sz w:val="24"/>
          <w14:textFill>
            <w14:solidFill>
              <w14:schemeClr w14:val="tx1"/>
            </w14:solidFill>
          </w14:textFill>
        </w:rPr>
        <w:t>”、“</w:t>
      </w:r>
      <w:r>
        <w:rPr>
          <w:b/>
          <w:bCs/>
          <w:color w:val="000000" w:themeColor="text1"/>
          <w:sz w:val="24"/>
          <w14:textFill>
            <w14:solidFill>
              <w14:schemeClr w14:val="tx1"/>
            </w14:solidFill>
          </w14:textFill>
        </w:rPr>
        <w:t>]</w:t>
      </w:r>
      <w:r>
        <w:rPr>
          <w:rFonts w:hint="eastAsia"/>
          <w:b/>
          <w:bCs/>
          <w:color w:val="000000" w:themeColor="text1"/>
          <w:sz w:val="24"/>
          <w14:textFill>
            <w14:solidFill>
              <w14:schemeClr w14:val="tx1"/>
            </w14:solidFill>
          </w14:textFill>
        </w:rPr>
        <w:t>”</w:t>
      </w:r>
      <w:r>
        <w:rPr>
          <w:b/>
          <w:bCs/>
          <w:color w:val="000000" w:themeColor="text1"/>
          <w:sz w:val="24"/>
          <w14:textFill>
            <w14:solidFill>
              <w14:schemeClr w14:val="tx1"/>
            </w14:solidFill>
          </w14:textFill>
        </w:rPr>
        <w:t>表示含，</w:t>
      </w:r>
      <w:r>
        <w:rPr>
          <w:rFonts w:hint="eastAsia"/>
          <w:b/>
          <w:bCs/>
          <w:color w:val="000000" w:themeColor="text1"/>
          <w:sz w:val="24"/>
          <w14:textFill>
            <w14:solidFill>
              <w14:schemeClr w14:val="tx1"/>
            </w14:solidFill>
          </w14:textFill>
        </w:rPr>
        <w:t>“(”、“)”</w:t>
      </w:r>
      <w:r>
        <w:rPr>
          <w:b/>
          <w:bCs/>
          <w:color w:val="000000" w:themeColor="text1"/>
          <w:sz w:val="24"/>
          <w14:textFill>
            <w14:solidFill>
              <w14:schemeClr w14:val="tx1"/>
            </w14:solidFill>
          </w14:textFill>
        </w:rPr>
        <w:t>表示不含</w:t>
      </w:r>
      <w:r>
        <w:rPr>
          <w:rFonts w:hint="eastAsia"/>
          <w:b/>
          <w:bCs/>
          <w:color w:val="000000" w:themeColor="text1"/>
          <w:sz w:val="24"/>
          <w14:textFill>
            <w14:solidFill>
              <w14:schemeClr w14:val="tx1"/>
            </w14:solidFill>
          </w14:textFill>
        </w:rPr>
        <w:t>。</w:t>
      </w:r>
    </w:p>
    <w:p>
      <w:pPr>
        <w:pStyle w:val="3"/>
        <w:numPr>
          <w:ilvl w:val="0"/>
          <w:numId w:val="0"/>
        </w:numPr>
        <w:spacing w:before="0" w:after="0" w:line="360" w:lineRule="auto"/>
        <w:rPr>
          <w:b/>
          <w:color w:val="000000" w:themeColor="text1"/>
          <w:sz w:val="36"/>
          <w:szCs w:val="36"/>
          <w14:textFill>
            <w14:solidFill>
              <w14:schemeClr w14:val="tx1"/>
            </w14:solidFill>
          </w14:textFill>
        </w:rPr>
      </w:pPr>
      <w:bookmarkStart w:id="16" w:name="_Toc69378619"/>
      <w:r>
        <w:rPr>
          <w:color w:val="000000" w:themeColor="text1"/>
          <w14:textFill>
            <w14:solidFill>
              <w14:schemeClr w14:val="tx1"/>
            </w14:solidFill>
          </w14:textFill>
        </w:rPr>
        <w:br w:type="page"/>
      </w:r>
      <w:r>
        <w:rPr>
          <w:rFonts w:hint="eastAsia"/>
          <w:b/>
          <w:color w:val="000000" w:themeColor="text1"/>
          <w:sz w:val="36"/>
          <w:szCs w:val="36"/>
          <w14:textFill>
            <w14:solidFill>
              <w14:schemeClr w14:val="tx1"/>
            </w14:solidFill>
          </w14:textFill>
        </w:rPr>
        <w:t>第四章</w:t>
      </w:r>
      <w:r>
        <w:rPr>
          <w:b/>
          <w:color w:val="000000" w:themeColor="text1"/>
          <w:sz w:val="36"/>
          <w:szCs w:val="36"/>
          <w14:textFill>
            <w14:solidFill>
              <w14:schemeClr w14:val="tx1"/>
            </w14:solidFill>
          </w14:textFill>
        </w:rPr>
        <w:t>合同格式</w:t>
      </w:r>
    </w:p>
    <w:p>
      <w:pPr>
        <w:widowControl/>
        <w:spacing w:line="360" w:lineRule="auto"/>
        <w:ind w:firstLine="480" w:firstLineChars="200"/>
        <w:jc w:val="left"/>
        <w:rPr>
          <w:color w:val="000000" w:themeColor="text1"/>
          <w:sz w:val="24"/>
          <w14:textFill>
            <w14:solidFill>
              <w14:schemeClr w14:val="tx1"/>
            </w14:solidFill>
          </w14:textFill>
        </w:rPr>
      </w:pPr>
    </w:p>
    <w:p>
      <w:pPr>
        <w:widowControl/>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除了对</w:t>
      </w:r>
      <w:r>
        <w:rPr>
          <w:rFonts w:hint="eastAsia"/>
          <w:color w:val="000000" w:themeColor="text1"/>
          <w:sz w:val="24"/>
          <w14:textFill>
            <w14:solidFill>
              <w14:schemeClr w14:val="tx1"/>
            </w14:solidFill>
          </w14:textFill>
        </w:rPr>
        <w:t>磋商</w:t>
      </w:r>
      <w:r>
        <w:rPr>
          <w:color w:val="000000" w:themeColor="text1"/>
          <w:sz w:val="24"/>
          <w14:textFill>
            <w14:solidFill>
              <w14:schemeClr w14:val="tx1"/>
            </w14:solidFill>
          </w14:textFill>
        </w:rPr>
        <w:t>文件第</w:t>
      </w:r>
      <w:r>
        <w:rPr>
          <w:rFonts w:hint="eastAsia"/>
          <w:color w:val="000000" w:themeColor="text1"/>
          <w:sz w:val="24"/>
          <w14:textFill>
            <w14:solidFill>
              <w14:schemeClr w14:val="tx1"/>
            </w14:solidFill>
          </w14:textFill>
        </w:rPr>
        <w:t>四</w:t>
      </w:r>
      <w:r>
        <w:rPr>
          <w:color w:val="000000" w:themeColor="text1"/>
          <w:sz w:val="24"/>
          <w14:textFill>
            <w14:solidFill>
              <w14:schemeClr w14:val="tx1"/>
            </w14:solidFill>
          </w14:textFill>
        </w:rPr>
        <w:t>章《合同格式》内容的逐项应答外，供应商还应提供一份完整的合同文本，作为</w:t>
      </w:r>
      <w:r>
        <w:rPr>
          <w:rFonts w:hint="eastAsia"/>
          <w:color w:val="000000" w:themeColor="text1"/>
          <w:sz w:val="24"/>
          <w14:textFill>
            <w14:solidFill>
              <w14:schemeClr w14:val="tx1"/>
            </w14:solidFill>
          </w14:textFill>
        </w:rPr>
        <w:t>响应</w:t>
      </w:r>
      <w:r>
        <w:rPr>
          <w:color w:val="000000" w:themeColor="text1"/>
          <w:sz w:val="24"/>
          <w14:textFill>
            <w14:solidFill>
              <w14:schemeClr w14:val="tx1"/>
            </w14:solidFill>
          </w14:textFill>
        </w:rPr>
        <w:t>文件的一部分</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对于</w:t>
      </w:r>
      <w:r>
        <w:rPr>
          <w:rFonts w:hint="eastAsia"/>
          <w:color w:val="000000" w:themeColor="text1"/>
          <w:sz w:val="24"/>
          <w14:textFill>
            <w14:solidFill>
              <w14:schemeClr w14:val="tx1"/>
            </w14:solidFill>
          </w14:textFill>
        </w:rPr>
        <w:t>磋商</w:t>
      </w:r>
      <w:r>
        <w:rPr>
          <w:color w:val="000000" w:themeColor="text1"/>
          <w:sz w:val="24"/>
          <w14:textFill>
            <w14:solidFill>
              <w14:schemeClr w14:val="tx1"/>
            </w14:solidFill>
          </w14:textFill>
        </w:rPr>
        <w:t>文件第</w:t>
      </w:r>
      <w:r>
        <w:rPr>
          <w:rFonts w:hint="eastAsia"/>
          <w:color w:val="000000" w:themeColor="text1"/>
          <w:sz w:val="24"/>
          <w14:textFill>
            <w14:solidFill>
              <w14:schemeClr w14:val="tx1"/>
            </w14:solidFill>
          </w14:textFill>
        </w:rPr>
        <w:t>四</w:t>
      </w:r>
      <w:r>
        <w:rPr>
          <w:color w:val="000000" w:themeColor="text1"/>
          <w:sz w:val="24"/>
          <w14:textFill>
            <w14:solidFill>
              <w14:schemeClr w14:val="tx1"/>
            </w14:solidFill>
          </w14:textFill>
        </w:rPr>
        <w:t>章《合同格式》内容的任何负偏离均将导致</w:t>
      </w:r>
      <w:r>
        <w:rPr>
          <w:rFonts w:hint="eastAsia"/>
          <w:color w:val="000000" w:themeColor="text1"/>
          <w:sz w:val="24"/>
          <w14:textFill>
            <w14:solidFill>
              <w14:schemeClr w14:val="tx1"/>
            </w14:solidFill>
          </w14:textFill>
        </w:rPr>
        <w:t>响应文件被拒绝</w:t>
      </w:r>
      <w:r>
        <w:rPr>
          <w:color w:val="000000" w:themeColor="text1"/>
          <w:sz w:val="24"/>
          <w14:textFill>
            <w14:solidFill>
              <w14:schemeClr w14:val="tx1"/>
            </w14:solidFill>
          </w14:textFill>
        </w:rPr>
        <w:t>。</w:t>
      </w:r>
    </w:p>
    <w:p>
      <w:pPr>
        <w:widowControl/>
        <w:spacing w:line="300" w:lineRule="auto"/>
        <w:jc w:val="left"/>
        <w:rPr>
          <w:b/>
          <w:color w:val="000000" w:themeColor="text1"/>
          <w14:textFill>
            <w14:solidFill>
              <w14:schemeClr w14:val="tx1"/>
            </w14:solidFill>
          </w14:textFill>
        </w:rPr>
      </w:pPr>
      <w:r>
        <w:rPr>
          <w:rFonts w:eastAsia="黑体"/>
          <w:bCs/>
          <w:color w:val="000000" w:themeColor="text1"/>
          <w:sz w:val="52"/>
          <w:szCs w:val="52"/>
          <w14:textFill>
            <w14:solidFill>
              <w14:schemeClr w14:val="tx1"/>
            </w14:solidFill>
          </w14:textFill>
        </w:rPr>
        <w:br w:type="page"/>
      </w:r>
    </w:p>
    <w:p>
      <w:pPr>
        <w:spacing w:line="300" w:lineRule="auto"/>
        <w:jc w:val="center"/>
        <w:rPr>
          <w:rFonts w:ascii="黑体" w:hAnsi="宋体"/>
          <w:color w:val="000000" w:themeColor="text1"/>
          <w:kern w:val="0"/>
          <w:sz w:val="44"/>
          <w:szCs w:val="44"/>
          <w14:textFill>
            <w14:solidFill>
              <w14:schemeClr w14:val="tx1"/>
            </w14:solidFill>
          </w14:textFill>
        </w:rPr>
      </w:pPr>
      <w:r>
        <w:rPr>
          <w:rFonts w:hint="eastAsia" w:eastAsia="黑体"/>
          <w:color w:val="000000" w:themeColor="text1"/>
          <w:sz w:val="44"/>
          <w:szCs w:val="44"/>
          <w14:textFill>
            <w14:solidFill>
              <w14:schemeClr w14:val="tx1"/>
            </w14:solidFill>
          </w14:textFill>
        </w:rPr>
        <w:t>合同格式</w:t>
      </w:r>
    </w:p>
    <w:p>
      <w:pPr>
        <w:spacing w:line="360" w:lineRule="auto"/>
        <w:ind w:firstLine="422" w:firstLineChars="200"/>
        <w:rPr>
          <w:rFonts w:ascii="宋体" w:hAnsi="宋体"/>
          <w:color w:val="000000" w:themeColor="text1"/>
          <w:szCs w:val="21"/>
          <w14:textFill>
            <w14:solidFill>
              <w14:schemeClr w14:val="tx1"/>
            </w14:solidFill>
          </w14:textFill>
        </w:rPr>
      </w:pPr>
      <w:r>
        <w:rPr>
          <w:rFonts w:ascii="宋体" w:hAnsi="宋体"/>
          <w:b/>
          <w:color w:val="000000" w:themeColor="text1"/>
          <w:szCs w:val="21"/>
          <w:u w:val="single"/>
          <w14:textFill>
            <w14:solidFill>
              <w14:schemeClr w14:val="tx1"/>
            </w14:solidFill>
          </w14:textFill>
        </w:rPr>
        <w:t>江苏省广电有线信息网络股份有限公司（以下简称“甲方”）</w:t>
      </w:r>
      <w:r>
        <w:rPr>
          <w:rFonts w:ascii="宋体" w:hAnsi="宋体"/>
          <w:color w:val="000000" w:themeColor="text1"/>
          <w:szCs w:val="21"/>
          <w14:textFill>
            <w14:solidFill>
              <w14:schemeClr w14:val="tx1"/>
            </w14:solidFill>
          </w14:textFill>
        </w:rPr>
        <w:t>就</w:t>
      </w:r>
      <w:r>
        <w:rPr>
          <w:rFonts w:hint="eastAsia" w:ascii="宋体" w:hAnsi="宋体"/>
          <w:b/>
          <w:color w:val="000000" w:themeColor="text1"/>
          <w:szCs w:val="21"/>
          <w:u w:val="single"/>
          <w14:textFill>
            <w14:solidFill>
              <w14:schemeClr w14:val="tx1"/>
            </w14:solidFill>
          </w14:textFill>
        </w:rPr>
        <w:t xml:space="preserve">            项目</w:t>
      </w:r>
      <w:r>
        <w:rPr>
          <w:rFonts w:ascii="宋体" w:hAnsi="宋体"/>
          <w:color w:val="000000" w:themeColor="text1"/>
          <w:szCs w:val="21"/>
          <w14:textFill>
            <w14:solidFill>
              <w14:schemeClr w14:val="tx1"/>
            </w14:solidFill>
          </w14:textFill>
        </w:rPr>
        <w:t>的采购及相关服务组织了</w:t>
      </w:r>
      <w:r>
        <w:rPr>
          <w:rFonts w:hint="eastAsia" w:ascii="宋体" w:hAnsi="宋体"/>
          <w:color w:val="000000" w:themeColor="text1"/>
          <w:szCs w:val="21"/>
          <w14:textFill>
            <w14:solidFill>
              <w14:schemeClr w14:val="tx1"/>
            </w14:solidFill>
          </w14:textFill>
        </w:rPr>
        <w:t>竞争性磋商</w:t>
      </w:r>
      <w:r>
        <w:rPr>
          <w:rFonts w:ascii="宋体" w:hAnsi="宋体"/>
          <w:color w:val="000000" w:themeColor="text1"/>
          <w:szCs w:val="21"/>
          <w14:textFill>
            <w14:solidFill>
              <w14:schemeClr w14:val="tx1"/>
            </w14:solidFill>
          </w14:textFill>
        </w:rPr>
        <w:t>，经评委会严格评审，本项目由</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ascii="宋体" w:hAnsi="宋体"/>
          <w:b/>
          <w:color w:val="000000" w:themeColor="text1"/>
          <w:szCs w:val="21"/>
          <w:u w:val="single"/>
          <w14:textFill>
            <w14:solidFill>
              <w14:schemeClr w14:val="tx1"/>
            </w14:solidFill>
          </w14:textFill>
        </w:rPr>
        <w:t>公司</w:t>
      </w:r>
      <w:r>
        <w:rPr>
          <w:rFonts w:ascii="宋体" w:hAnsi="宋体"/>
          <w:b/>
          <w:color w:val="000000" w:themeColor="text1"/>
          <w:szCs w:val="21"/>
          <w14:textFill>
            <w14:solidFill>
              <w14:schemeClr w14:val="tx1"/>
            </w14:solidFill>
          </w14:textFill>
        </w:rPr>
        <w:t>（以下简称“乙方”）</w:t>
      </w:r>
      <w:r>
        <w:rPr>
          <w:rFonts w:hint="eastAsia" w:ascii="宋体" w:hAnsi="宋体"/>
          <w:color w:val="000000" w:themeColor="text1"/>
          <w:szCs w:val="21"/>
          <w14:textFill>
            <w14:solidFill>
              <w14:schemeClr w14:val="tx1"/>
            </w14:solidFill>
          </w14:textFill>
        </w:rPr>
        <w:t>成交</w:t>
      </w:r>
      <w:r>
        <w:rPr>
          <w:rFonts w:ascii="宋体" w:hAnsi="宋体"/>
          <w:color w:val="000000" w:themeColor="text1"/>
          <w:szCs w:val="21"/>
          <w14:textFill>
            <w14:solidFill>
              <w14:schemeClr w14:val="tx1"/>
            </w14:solidFill>
          </w14:textFill>
        </w:rPr>
        <w:t>。</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甲</w:t>
      </w:r>
      <w:r>
        <w:rPr>
          <w:rFonts w:ascii="宋体" w:hAnsi="宋体"/>
          <w:bCs/>
          <w:color w:val="000000" w:themeColor="text1"/>
          <w:szCs w:val="21"/>
          <w14:textFill>
            <w14:solidFill>
              <w14:schemeClr w14:val="tx1"/>
            </w14:solidFill>
          </w14:textFill>
        </w:rPr>
        <w:t>、</w:t>
      </w:r>
      <w:r>
        <w:rPr>
          <w:rFonts w:hint="eastAsia" w:ascii="宋体" w:hAnsi="宋体"/>
          <w:bCs/>
          <w:color w:val="000000" w:themeColor="text1"/>
          <w:szCs w:val="21"/>
          <w14:textFill>
            <w14:solidFill>
              <w14:schemeClr w14:val="tx1"/>
            </w14:solidFill>
          </w14:textFill>
        </w:rPr>
        <w:t>乙</w:t>
      </w:r>
      <w:r>
        <w:rPr>
          <w:rFonts w:ascii="宋体" w:hAnsi="宋体"/>
          <w:bCs/>
          <w:color w:val="000000" w:themeColor="text1"/>
          <w:szCs w:val="21"/>
          <w14:textFill>
            <w14:solidFill>
              <w14:schemeClr w14:val="tx1"/>
            </w14:solidFill>
          </w14:textFill>
        </w:rPr>
        <w:t>双方根据</w:t>
      </w:r>
      <w:r>
        <w:rPr>
          <w:rFonts w:hint="eastAsia" w:ascii="宋体" w:hAnsi="宋体"/>
          <w:color w:val="000000" w:themeColor="text1"/>
          <w:szCs w:val="21"/>
          <w14:textFill>
            <w14:solidFill>
              <w14:schemeClr w14:val="tx1"/>
            </w14:solidFill>
          </w14:textFill>
        </w:rPr>
        <w:t>竞争性磋商</w:t>
      </w:r>
      <w:r>
        <w:rPr>
          <w:rFonts w:ascii="宋体" w:hAnsi="宋体"/>
          <w:color w:val="000000" w:themeColor="text1"/>
          <w:szCs w:val="21"/>
          <w14:textFill>
            <w14:solidFill>
              <w14:schemeClr w14:val="tx1"/>
            </w14:solidFill>
          </w14:textFill>
        </w:rPr>
        <w:t>文件的规定、乙方</w:t>
      </w:r>
      <w:r>
        <w:rPr>
          <w:rFonts w:hint="eastAsia" w:ascii="宋体" w:hAnsi="宋体"/>
          <w:color w:val="000000" w:themeColor="text1"/>
          <w:szCs w:val="21"/>
          <w14:textFill>
            <w14:solidFill>
              <w14:schemeClr w14:val="tx1"/>
            </w14:solidFill>
          </w14:textFill>
        </w:rPr>
        <w:t>响应</w:t>
      </w:r>
      <w:r>
        <w:rPr>
          <w:rFonts w:ascii="宋体" w:hAnsi="宋体"/>
          <w:color w:val="000000" w:themeColor="text1"/>
          <w:szCs w:val="21"/>
          <w14:textFill>
            <w14:solidFill>
              <w14:schemeClr w14:val="tx1"/>
            </w14:solidFill>
          </w14:textFill>
        </w:rPr>
        <w:t>文件及</w:t>
      </w:r>
      <w:r>
        <w:rPr>
          <w:rFonts w:hint="eastAsia" w:ascii="宋体" w:hAnsi="宋体"/>
          <w:color w:val="000000" w:themeColor="text1"/>
          <w:szCs w:val="21"/>
          <w14:textFill>
            <w14:solidFill>
              <w14:schemeClr w14:val="tx1"/>
            </w14:solidFill>
          </w14:textFill>
        </w:rPr>
        <w:t>磋商</w:t>
      </w:r>
      <w:r>
        <w:rPr>
          <w:rFonts w:ascii="宋体" w:hAnsi="宋体"/>
          <w:color w:val="000000" w:themeColor="text1"/>
          <w:szCs w:val="21"/>
          <w14:textFill>
            <w14:solidFill>
              <w14:schemeClr w14:val="tx1"/>
            </w14:solidFill>
          </w14:textFill>
        </w:rPr>
        <w:t>时乙方做出的书面承诺，依法签订本合同。</w:t>
      </w:r>
    </w:p>
    <w:p>
      <w:pPr>
        <w:pStyle w:val="3"/>
        <w:widowControl/>
        <w:numPr>
          <w:ilvl w:val="0"/>
          <w:numId w:val="0"/>
        </w:numPr>
        <w:tabs>
          <w:tab w:val="left" w:pos="25"/>
        </w:tabs>
        <w:spacing w:before="0" w:after="0" w:line="360" w:lineRule="auto"/>
        <w:jc w:val="left"/>
        <w:rPr>
          <w:rFonts w:ascii="宋体" w:hAnsi="宋体" w:eastAsia="宋体" w:cs="宋体"/>
          <w:b/>
          <w:bCs w:val="0"/>
          <w:color w:val="000000" w:themeColor="text1"/>
          <w:sz w:val="21"/>
          <w:szCs w:val="21"/>
          <w14:textFill>
            <w14:solidFill>
              <w14:schemeClr w14:val="tx1"/>
            </w14:solidFill>
          </w14:textFill>
        </w:rPr>
      </w:pPr>
      <w:r>
        <w:rPr>
          <w:rFonts w:ascii="宋体" w:hAnsi="宋体" w:eastAsia="宋体" w:cs="宋体"/>
          <w:b/>
          <w:bCs w:val="0"/>
          <w:color w:val="000000" w:themeColor="text1"/>
          <w:sz w:val="21"/>
          <w:szCs w:val="21"/>
          <w14:textFill>
            <w14:solidFill>
              <w14:schemeClr w14:val="tx1"/>
            </w14:solidFill>
          </w14:textFill>
        </w:rPr>
        <w:t>一、项目标的和内容</w:t>
      </w:r>
      <w:bookmarkEnd w:id="16"/>
    </w:p>
    <w:p>
      <w:pPr>
        <w:spacing w:line="360" w:lineRule="auto"/>
        <w:ind w:firstLine="420" w:firstLineChars="200"/>
        <w:rPr>
          <w:color w:val="000000" w:themeColor="text1"/>
          <w:szCs w:val="21"/>
          <w14:textFill>
            <w14:solidFill>
              <w14:schemeClr w14:val="tx1"/>
            </w14:solidFill>
          </w14:textFill>
        </w:rPr>
      </w:pPr>
      <w:bookmarkStart w:id="17" w:name="_Toc69378620"/>
      <w:r>
        <w:rPr>
          <w:color w:val="000000" w:themeColor="text1"/>
          <w:szCs w:val="21"/>
          <w14:textFill>
            <w14:solidFill>
              <w14:schemeClr w14:val="tx1"/>
            </w14:solidFill>
          </w14:textFill>
        </w:rPr>
        <w:t>项目标的内容包括乙方按照甲方具体要求供应</w:t>
      </w:r>
      <w:r>
        <w:rPr>
          <w:rFonts w:hint="eastAsia" w:ascii="Tahoma" w:hAnsi="Tahoma"/>
          <w:color w:val="000000" w:themeColor="text1"/>
          <w:sz w:val="24"/>
          <w:u w:val="single"/>
          <w14:textFill>
            <w14:solidFill>
              <w14:schemeClr w14:val="tx1"/>
            </w14:solidFill>
          </w14:textFill>
        </w:rPr>
        <w:t>“</w:t>
      </w:r>
      <w:r>
        <w:rPr>
          <w:rFonts w:hint="eastAsia" w:ascii="宋体" w:hAnsi="宋体"/>
          <w:b/>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相关</w:t>
      </w:r>
      <w:r>
        <w:rPr>
          <w:rFonts w:hint="eastAsia"/>
          <w:color w:val="000000" w:themeColor="text1"/>
          <w:szCs w:val="21"/>
          <w14:textFill>
            <w14:solidFill>
              <w14:schemeClr w14:val="tx1"/>
            </w14:solidFill>
          </w14:textFill>
        </w:rPr>
        <w:t>设备</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施工材料，</w:t>
      </w:r>
      <w:r>
        <w:rPr>
          <w:color w:val="000000" w:themeColor="text1"/>
          <w:szCs w:val="21"/>
          <w14:textFill>
            <w14:solidFill>
              <w14:schemeClr w14:val="tx1"/>
            </w14:solidFill>
          </w14:textFill>
        </w:rPr>
        <w:t>并完成所有安装、调试及操作培训工作，同时</w:t>
      </w:r>
      <w:r>
        <w:rPr>
          <w:rFonts w:hint="eastAsia"/>
          <w:color w:val="000000" w:themeColor="text1"/>
          <w:szCs w:val="21"/>
          <w14:textFill>
            <w14:solidFill>
              <w14:schemeClr w14:val="tx1"/>
            </w14:solidFill>
          </w14:textFill>
        </w:rPr>
        <w:t>乙</w:t>
      </w:r>
      <w:r>
        <w:rPr>
          <w:color w:val="000000" w:themeColor="text1"/>
          <w:szCs w:val="21"/>
          <w14:textFill>
            <w14:solidFill>
              <w14:schemeClr w14:val="tx1"/>
            </w14:solidFill>
          </w14:textFill>
        </w:rPr>
        <w:t>方承诺配合</w:t>
      </w:r>
      <w:r>
        <w:rPr>
          <w:rFonts w:hint="eastAsia"/>
          <w:color w:val="000000" w:themeColor="text1"/>
          <w:szCs w:val="21"/>
          <w14:textFill>
            <w14:solidFill>
              <w14:schemeClr w14:val="tx1"/>
            </w14:solidFill>
          </w14:textFill>
        </w:rPr>
        <w:t>甲</w:t>
      </w:r>
      <w:r>
        <w:rPr>
          <w:color w:val="000000" w:themeColor="text1"/>
          <w:szCs w:val="21"/>
          <w14:textFill>
            <w14:solidFill>
              <w14:schemeClr w14:val="tx1"/>
            </w14:solidFill>
          </w14:textFill>
        </w:rPr>
        <w:t>方及</w:t>
      </w:r>
      <w:r>
        <w:rPr>
          <w:rFonts w:hint="eastAsia"/>
          <w:color w:val="000000" w:themeColor="text1"/>
          <w:szCs w:val="21"/>
          <w14:textFill>
            <w14:solidFill>
              <w14:schemeClr w14:val="tx1"/>
            </w14:solidFill>
          </w14:textFill>
        </w:rPr>
        <w:t>乙</w:t>
      </w:r>
      <w:r>
        <w:rPr>
          <w:color w:val="000000" w:themeColor="text1"/>
          <w:szCs w:val="21"/>
          <w14:textFill>
            <w14:solidFill>
              <w14:schemeClr w14:val="tx1"/>
            </w14:solidFill>
          </w14:textFill>
        </w:rPr>
        <w:t>方指定的厂商完成相关的系统集成。具体设备名称、规格型号、配置、数量、价格明细及总价等详见附件一：</w:t>
      </w:r>
      <w:r>
        <w:rPr>
          <w:rFonts w:hint="eastAsia"/>
          <w:color w:val="000000" w:themeColor="text1"/>
          <w:szCs w:val="21"/>
          <w14:textFill>
            <w14:solidFill>
              <w14:schemeClr w14:val="tx1"/>
            </w14:solidFill>
          </w14:textFill>
        </w:rPr>
        <w:t>价格表</w:t>
      </w:r>
      <w:r>
        <w:rPr>
          <w:color w:val="000000" w:themeColor="text1"/>
          <w:szCs w:val="21"/>
          <w14:textFill>
            <w14:solidFill>
              <w14:schemeClr w14:val="tx1"/>
            </w14:solidFill>
          </w14:textFill>
        </w:rPr>
        <w:t>。</w:t>
      </w:r>
    </w:p>
    <w:p>
      <w:pPr>
        <w:pStyle w:val="3"/>
        <w:widowControl/>
        <w:numPr>
          <w:ilvl w:val="0"/>
          <w:numId w:val="0"/>
        </w:numPr>
        <w:tabs>
          <w:tab w:val="left" w:pos="25"/>
        </w:tabs>
        <w:spacing w:before="0" w:after="0" w:line="360" w:lineRule="auto"/>
        <w:jc w:val="left"/>
        <w:rPr>
          <w:rFonts w:ascii="宋体" w:hAnsi="宋体" w:eastAsia="宋体" w:cs="宋体"/>
          <w:b/>
          <w:bCs w:val="0"/>
          <w:color w:val="000000" w:themeColor="text1"/>
          <w:sz w:val="21"/>
          <w:szCs w:val="21"/>
          <w14:textFill>
            <w14:solidFill>
              <w14:schemeClr w14:val="tx1"/>
            </w14:solidFill>
          </w14:textFill>
        </w:rPr>
      </w:pPr>
      <w:r>
        <w:rPr>
          <w:rFonts w:ascii="宋体" w:hAnsi="宋体" w:eastAsia="宋体" w:cs="宋体"/>
          <w:b/>
          <w:bCs w:val="0"/>
          <w:color w:val="000000" w:themeColor="text1"/>
          <w:sz w:val="21"/>
          <w:szCs w:val="21"/>
          <w14:textFill>
            <w14:solidFill>
              <w14:schemeClr w14:val="tx1"/>
            </w14:solidFill>
          </w14:textFill>
        </w:rPr>
        <w:t>二、合同总价</w:t>
      </w:r>
      <w:bookmarkEnd w:id="17"/>
    </w:p>
    <w:p>
      <w:pPr>
        <w:pStyle w:val="89"/>
        <w:numPr>
          <w:ilvl w:val="0"/>
          <w:numId w:val="5"/>
        </w:numPr>
        <w:tabs>
          <w:tab w:val="left" w:pos="0"/>
        </w:tabs>
        <w:spacing w:line="360" w:lineRule="auto"/>
        <w:ind w:firstLineChars="0"/>
        <w:rPr>
          <w:rFonts w:ascii="宋体" w:hAnsi="宋体" w:eastAsia="宋体" w:cs="宋体"/>
          <w:color w:val="000000" w:themeColor="text1"/>
          <w:sz w:val="21"/>
          <w:szCs w:val="22"/>
          <w14:textFill>
            <w14:solidFill>
              <w14:schemeClr w14:val="tx1"/>
            </w14:solidFill>
          </w14:textFill>
        </w:rPr>
      </w:pPr>
      <w:r>
        <w:rPr>
          <w:rFonts w:ascii="宋体" w:hAnsi="宋体" w:eastAsia="宋体" w:cs="宋体"/>
          <w:color w:val="000000" w:themeColor="text1"/>
          <w:sz w:val="21"/>
          <w:szCs w:val="22"/>
          <w14:textFill>
            <w14:solidFill>
              <w14:schemeClr w14:val="tx1"/>
            </w14:solidFill>
          </w14:textFill>
        </w:rPr>
        <w:t>合同总价（人民币大写）：</w:t>
      </w:r>
      <w:r>
        <w:rPr>
          <w:rFonts w:ascii="宋体" w:hAnsi="宋体" w:eastAsia="宋体" w:cs="宋体"/>
          <w:color w:val="000000" w:themeColor="text1"/>
          <w:sz w:val="21"/>
          <w:szCs w:val="22"/>
          <w:u w:val="single"/>
          <w14:textFill>
            <w14:solidFill>
              <w14:schemeClr w14:val="tx1"/>
            </w14:solidFill>
          </w14:textFill>
        </w:rPr>
        <w:t xml:space="preserve">                </w:t>
      </w:r>
      <w:r>
        <w:rPr>
          <w:rFonts w:ascii="宋体" w:hAnsi="宋体" w:eastAsia="宋体" w:cs="宋体"/>
          <w:color w:val="000000" w:themeColor="text1"/>
          <w:sz w:val="21"/>
          <w:szCs w:val="22"/>
          <w14:textFill>
            <w14:solidFill>
              <w14:schemeClr w14:val="tx1"/>
            </w14:solidFill>
          </w14:textFill>
        </w:rPr>
        <w:t>。</w:t>
      </w:r>
    </w:p>
    <w:p>
      <w:pPr>
        <w:pStyle w:val="89"/>
        <w:tabs>
          <w:tab w:val="left" w:pos="0"/>
        </w:tabs>
        <w:spacing w:line="360" w:lineRule="auto"/>
        <w:ind w:left="420" w:firstLine="0" w:firstLineChars="0"/>
        <w:rPr>
          <w:rFonts w:ascii="宋体" w:hAnsi="宋体" w:eastAsia="宋体" w:cs="宋体"/>
          <w:color w:val="000000" w:themeColor="text1"/>
          <w:sz w:val="21"/>
          <w:szCs w:val="22"/>
          <w14:textFill>
            <w14:solidFill>
              <w14:schemeClr w14:val="tx1"/>
            </w14:solidFill>
          </w14:textFill>
        </w:rPr>
      </w:pPr>
      <w:r>
        <w:rPr>
          <w:rFonts w:ascii="宋体" w:hAnsi="宋体" w:eastAsia="宋体" w:cs="宋体"/>
          <w:color w:val="000000" w:themeColor="text1"/>
          <w:sz w:val="21"/>
          <w:szCs w:val="22"/>
          <w14:textFill>
            <w14:solidFill>
              <w14:schemeClr w14:val="tx1"/>
            </w14:solidFill>
          </w14:textFill>
        </w:rPr>
        <w:t>（人民币小写）：￥</w:t>
      </w:r>
      <w:r>
        <w:rPr>
          <w:rFonts w:hint="eastAsia" w:ascii="宋体" w:hAnsi="宋体" w:eastAsia="宋体" w:cs="宋体"/>
          <w:color w:val="000000" w:themeColor="text1"/>
          <w:sz w:val="21"/>
          <w:szCs w:val="22"/>
          <w:u w:val="single"/>
          <w14:textFill>
            <w14:solidFill>
              <w14:schemeClr w14:val="tx1"/>
            </w14:solidFill>
          </w14:textFill>
        </w:rPr>
        <w:t xml:space="preserve"> </w:t>
      </w:r>
      <w:r>
        <w:rPr>
          <w:rFonts w:ascii="宋体" w:hAnsi="宋体" w:eastAsia="宋体" w:cs="宋体"/>
          <w:color w:val="000000" w:themeColor="text1"/>
          <w:sz w:val="21"/>
          <w:szCs w:val="22"/>
          <w:u w:val="single"/>
          <w14:textFill>
            <w14:solidFill>
              <w14:schemeClr w14:val="tx1"/>
            </w14:solidFill>
          </w14:textFill>
        </w:rPr>
        <w:t xml:space="preserve">                     </w:t>
      </w:r>
      <w:r>
        <w:rPr>
          <w:rFonts w:ascii="宋体" w:hAnsi="宋体" w:eastAsia="宋体" w:cs="宋体"/>
          <w:color w:val="000000" w:themeColor="text1"/>
          <w:sz w:val="21"/>
          <w:szCs w:val="22"/>
          <w14:textFill>
            <w14:solidFill>
              <w14:schemeClr w14:val="tx1"/>
            </w14:solidFill>
          </w14:textFill>
        </w:rPr>
        <w:t xml:space="preserve"> 。</w:t>
      </w:r>
    </w:p>
    <w:p>
      <w:pPr>
        <w:pStyle w:val="89"/>
        <w:numPr>
          <w:ilvl w:val="0"/>
          <w:numId w:val="5"/>
        </w:numPr>
        <w:tabs>
          <w:tab w:val="left" w:pos="0"/>
        </w:tabs>
        <w:spacing w:line="360" w:lineRule="auto"/>
        <w:ind w:firstLineChars="0"/>
        <w:rPr>
          <w:rFonts w:ascii="宋体" w:hAnsi="宋体" w:eastAsia="宋体" w:cs="宋体"/>
          <w:color w:val="000000" w:themeColor="text1"/>
          <w:sz w:val="21"/>
          <w:szCs w:val="22"/>
          <w14:textFill>
            <w14:solidFill>
              <w14:schemeClr w14:val="tx1"/>
            </w14:solidFill>
          </w14:textFill>
        </w:rPr>
      </w:pPr>
      <w:bookmarkStart w:id="18" w:name="_Hlk70610090"/>
      <w:r>
        <w:rPr>
          <w:rFonts w:ascii="宋体" w:hAnsi="宋体" w:eastAsia="宋体" w:cs="宋体"/>
          <w:color w:val="000000" w:themeColor="text1"/>
          <w:sz w:val="21"/>
          <w:szCs w:val="22"/>
          <w14:textFill>
            <w14:solidFill>
              <w14:schemeClr w14:val="tx1"/>
            </w14:solidFill>
          </w14:textFill>
        </w:rPr>
        <w:t>合同总价系指按本合同的规定，</w:t>
      </w:r>
      <w:r>
        <w:rPr>
          <w:rFonts w:hint="eastAsia" w:ascii="宋体" w:hAnsi="宋体" w:eastAsia="宋体" w:cs="宋体"/>
          <w:color w:val="000000" w:themeColor="text1"/>
          <w:sz w:val="21"/>
          <w:szCs w:val="22"/>
          <w14:textFill>
            <w14:solidFill>
              <w14:schemeClr w14:val="tx1"/>
            </w14:solidFill>
          </w14:textFill>
        </w:rPr>
        <w:t>乙</w:t>
      </w:r>
      <w:r>
        <w:rPr>
          <w:rFonts w:ascii="宋体" w:hAnsi="宋体" w:eastAsia="宋体" w:cs="宋体"/>
          <w:color w:val="000000" w:themeColor="text1"/>
          <w:sz w:val="21"/>
          <w:szCs w:val="22"/>
          <w14:textFill>
            <w14:solidFill>
              <w14:schemeClr w14:val="tx1"/>
            </w14:solidFill>
          </w14:textFill>
        </w:rPr>
        <w:t>方在完全履行了合同的义务后，</w:t>
      </w:r>
      <w:r>
        <w:rPr>
          <w:rFonts w:hint="eastAsia" w:ascii="宋体" w:hAnsi="宋体" w:eastAsia="宋体" w:cs="宋体"/>
          <w:color w:val="000000" w:themeColor="text1"/>
          <w:sz w:val="21"/>
          <w:szCs w:val="22"/>
          <w14:textFill>
            <w14:solidFill>
              <w14:schemeClr w14:val="tx1"/>
            </w14:solidFill>
          </w14:textFill>
        </w:rPr>
        <w:t>甲</w:t>
      </w:r>
      <w:r>
        <w:rPr>
          <w:rFonts w:ascii="宋体" w:hAnsi="宋体" w:eastAsia="宋体" w:cs="宋体"/>
          <w:color w:val="000000" w:themeColor="text1"/>
          <w:sz w:val="21"/>
          <w:szCs w:val="22"/>
          <w14:textFill>
            <w14:solidFill>
              <w14:schemeClr w14:val="tx1"/>
            </w14:solidFill>
          </w14:textFill>
        </w:rPr>
        <w:t>方支付给</w:t>
      </w:r>
      <w:r>
        <w:rPr>
          <w:rFonts w:hint="eastAsia" w:ascii="宋体" w:hAnsi="宋体" w:eastAsia="宋体" w:cs="宋体"/>
          <w:color w:val="000000" w:themeColor="text1"/>
          <w:sz w:val="21"/>
          <w:szCs w:val="22"/>
          <w14:textFill>
            <w14:solidFill>
              <w14:schemeClr w14:val="tx1"/>
            </w14:solidFill>
          </w14:textFill>
        </w:rPr>
        <w:t>乙</w:t>
      </w:r>
      <w:r>
        <w:rPr>
          <w:rFonts w:ascii="宋体" w:hAnsi="宋体" w:eastAsia="宋体" w:cs="宋体"/>
          <w:color w:val="000000" w:themeColor="text1"/>
          <w:sz w:val="21"/>
          <w:szCs w:val="22"/>
          <w14:textFill>
            <w14:solidFill>
              <w14:schemeClr w14:val="tx1"/>
            </w14:solidFill>
          </w14:textFill>
        </w:rPr>
        <w:t>方的总价款，包括但不限于</w:t>
      </w:r>
      <w:r>
        <w:rPr>
          <w:rFonts w:hint="eastAsia" w:ascii="宋体" w:hAnsi="宋体" w:eastAsia="宋体" w:cs="宋体"/>
          <w:color w:val="000000" w:themeColor="text1"/>
          <w:sz w:val="21"/>
          <w:szCs w:val="22"/>
          <w14:textFill>
            <w14:solidFill>
              <w14:schemeClr w14:val="tx1"/>
            </w14:solidFill>
          </w14:textFill>
        </w:rPr>
        <w:t>设备</w:t>
      </w:r>
      <w:r>
        <w:rPr>
          <w:rFonts w:ascii="宋体" w:hAnsi="宋体" w:eastAsia="宋体" w:cs="宋体"/>
          <w:color w:val="000000" w:themeColor="text1"/>
          <w:sz w:val="21"/>
          <w:szCs w:val="22"/>
          <w14:textFill>
            <w14:solidFill>
              <w14:schemeClr w14:val="tx1"/>
            </w14:solidFill>
          </w14:textFill>
        </w:rPr>
        <w:t>的采购费、包装费、运输费、保险费、安装调试费、随机提供的备品备件和专用工具费、检测验收费、培训费、售后服务费，以及与所供产品和服务有关的一切税费</w:t>
      </w:r>
      <w:r>
        <w:rPr>
          <w:rFonts w:hint="eastAsia" w:ascii="宋体" w:hAnsi="宋体" w:eastAsia="宋体" w:cs="宋体"/>
          <w:color w:val="000000" w:themeColor="text1"/>
          <w:sz w:val="21"/>
          <w:szCs w:val="22"/>
          <w14:textFill>
            <w14:solidFill>
              <w14:schemeClr w14:val="tx1"/>
            </w14:solidFill>
          </w14:textFill>
        </w:rPr>
        <w:t>，除此之外，</w:t>
      </w:r>
      <w:r>
        <w:rPr>
          <w:rFonts w:ascii="宋体" w:hAnsi="宋体" w:eastAsia="宋体" w:cs="宋体"/>
          <w:color w:val="000000" w:themeColor="text1"/>
          <w:sz w:val="21"/>
          <w:szCs w:val="22"/>
          <w14:textFill>
            <w14:solidFill>
              <w14:schemeClr w14:val="tx1"/>
            </w14:solidFill>
          </w14:textFill>
        </w:rPr>
        <w:t>甲</w:t>
      </w:r>
      <w:r>
        <w:rPr>
          <w:rFonts w:hint="eastAsia" w:ascii="宋体" w:hAnsi="宋体" w:eastAsia="宋体" w:cs="宋体"/>
          <w:color w:val="000000" w:themeColor="text1"/>
          <w:sz w:val="21"/>
          <w:szCs w:val="22"/>
          <w14:textFill>
            <w14:solidFill>
              <w14:schemeClr w14:val="tx1"/>
            </w14:solidFill>
          </w14:textFill>
        </w:rPr>
        <w:t>方不再以任何名义、任何方式向</w:t>
      </w:r>
      <w:r>
        <w:rPr>
          <w:rFonts w:ascii="宋体" w:hAnsi="宋体" w:eastAsia="宋体" w:cs="宋体"/>
          <w:color w:val="000000" w:themeColor="text1"/>
          <w:sz w:val="21"/>
          <w:szCs w:val="22"/>
          <w14:textFill>
            <w14:solidFill>
              <w14:schemeClr w14:val="tx1"/>
            </w14:solidFill>
          </w14:textFill>
        </w:rPr>
        <w:t>乙</w:t>
      </w:r>
      <w:r>
        <w:rPr>
          <w:rFonts w:hint="eastAsia" w:ascii="宋体" w:hAnsi="宋体" w:eastAsia="宋体" w:cs="宋体"/>
          <w:color w:val="000000" w:themeColor="text1"/>
          <w:sz w:val="21"/>
          <w:szCs w:val="22"/>
          <w14:textFill>
            <w14:solidFill>
              <w14:schemeClr w14:val="tx1"/>
            </w14:solidFill>
          </w14:textFill>
        </w:rPr>
        <w:t>方支付费用</w:t>
      </w:r>
      <w:r>
        <w:rPr>
          <w:rFonts w:ascii="宋体" w:hAnsi="宋体" w:eastAsia="宋体" w:cs="宋体"/>
          <w:color w:val="000000" w:themeColor="text1"/>
          <w:sz w:val="21"/>
          <w:szCs w:val="22"/>
          <w14:textFill>
            <w14:solidFill>
              <w14:schemeClr w14:val="tx1"/>
            </w14:solidFill>
          </w14:textFill>
        </w:rPr>
        <w:t>。</w:t>
      </w:r>
    </w:p>
    <w:p>
      <w:pPr>
        <w:pStyle w:val="89"/>
        <w:numPr>
          <w:ilvl w:val="0"/>
          <w:numId w:val="5"/>
        </w:numPr>
        <w:tabs>
          <w:tab w:val="left" w:pos="0"/>
        </w:tabs>
        <w:spacing w:line="360" w:lineRule="auto"/>
        <w:ind w:firstLineChars="0"/>
        <w:rPr>
          <w:rFonts w:ascii="宋体" w:hAnsi="宋体" w:eastAsia="宋体" w:cs="宋体"/>
          <w:color w:val="000000" w:themeColor="text1"/>
          <w:sz w:val="21"/>
          <w:szCs w:val="22"/>
          <w14:textFill>
            <w14:solidFill>
              <w14:schemeClr w14:val="tx1"/>
            </w14:solidFill>
          </w14:textFill>
        </w:rPr>
      </w:pPr>
      <w:r>
        <w:rPr>
          <w:rFonts w:ascii="宋体" w:hAnsi="宋体" w:eastAsia="宋体" w:cs="宋体"/>
          <w:color w:val="000000" w:themeColor="text1"/>
          <w:sz w:val="21"/>
          <w:szCs w:val="22"/>
          <w14:textFill>
            <w14:solidFill>
              <w14:schemeClr w14:val="tx1"/>
            </w14:solidFill>
          </w14:textFill>
        </w:rPr>
        <w:t>当国家法定增值税税率发生变更，甲乙双方约定以含税价格不变作为基准，调整增值税税额</w:t>
      </w:r>
      <w:bookmarkEnd w:id="18"/>
      <w:r>
        <w:rPr>
          <w:rFonts w:hint="eastAsia" w:ascii="宋体" w:hAnsi="宋体" w:eastAsia="宋体" w:cs="宋体"/>
          <w:color w:val="000000" w:themeColor="text1"/>
          <w:sz w:val="21"/>
          <w:szCs w:val="22"/>
          <w14:textFill>
            <w14:solidFill>
              <w14:schemeClr w14:val="tx1"/>
            </w14:solidFill>
          </w14:textFill>
        </w:rPr>
        <w:t>。</w:t>
      </w:r>
    </w:p>
    <w:p>
      <w:pPr>
        <w:pStyle w:val="3"/>
        <w:widowControl/>
        <w:numPr>
          <w:ilvl w:val="0"/>
          <w:numId w:val="0"/>
        </w:numPr>
        <w:tabs>
          <w:tab w:val="left" w:pos="25"/>
        </w:tabs>
        <w:spacing w:before="0" w:after="0" w:line="360" w:lineRule="auto"/>
        <w:jc w:val="left"/>
        <w:rPr>
          <w:rFonts w:ascii="宋体" w:hAnsi="宋体" w:eastAsia="宋体" w:cs="宋体"/>
          <w:b/>
          <w:bCs w:val="0"/>
          <w:color w:val="000000" w:themeColor="text1"/>
          <w:sz w:val="21"/>
          <w:szCs w:val="21"/>
          <w14:textFill>
            <w14:solidFill>
              <w14:schemeClr w14:val="tx1"/>
            </w14:solidFill>
          </w14:textFill>
        </w:rPr>
      </w:pPr>
      <w:r>
        <w:rPr>
          <w:rFonts w:hint="eastAsia" w:ascii="宋体" w:hAnsi="宋体" w:eastAsia="宋体" w:cs="宋体"/>
          <w:b/>
          <w:bCs w:val="0"/>
          <w:color w:val="000000" w:themeColor="text1"/>
          <w:sz w:val="21"/>
          <w:szCs w:val="21"/>
          <w14:textFill>
            <w14:solidFill>
              <w14:schemeClr w14:val="tx1"/>
            </w14:solidFill>
          </w14:textFill>
        </w:rPr>
        <w:t>三</w:t>
      </w:r>
      <w:r>
        <w:rPr>
          <w:rFonts w:ascii="宋体" w:hAnsi="宋体" w:eastAsia="宋体" w:cs="宋体"/>
          <w:b/>
          <w:bCs w:val="0"/>
          <w:color w:val="000000" w:themeColor="text1"/>
          <w:sz w:val="21"/>
          <w:szCs w:val="21"/>
          <w14:textFill>
            <w14:solidFill>
              <w14:schemeClr w14:val="tx1"/>
            </w14:solidFill>
          </w14:textFill>
        </w:rPr>
        <w:t>、付款方式及期限</w:t>
      </w:r>
    </w:p>
    <w:p>
      <w:pPr>
        <w:pStyle w:val="89"/>
        <w:numPr>
          <w:ilvl w:val="0"/>
          <w:numId w:val="6"/>
        </w:numPr>
        <w:tabs>
          <w:tab w:val="left" w:pos="0"/>
        </w:tabs>
        <w:spacing w:line="360" w:lineRule="auto"/>
        <w:ind w:firstLineChars="0"/>
        <w:rPr>
          <w:rFonts w:ascii="宋体" w:hAnsi="宋体" w:eastAsia="宋体" w:cs="宋体"/>
          <w:color w:val="000000" w:themeColor="text1"/>
          <w:sz w:val="21"/>
          <w:szCs w:val="22"/>
          <w14:textFill>
            <w14:solidFill>
              <w14:schemeClr w14:val="tx1"/>
            </w14:solidFill>
          </w14:textFill>
        </w:rPr>
      </w:pPr>
      <w:bookmarkStart w:id="19" w:name="_Toc69378621"/>
      <w:r>
        <w:rPr>
          <w:rFonts w:hint="eastAsia" w:ascii="宋体" w:hAnsi="宋体" w:eastAsia="宋体" w:cs="宋体"/>
          <w:color w:val="000000" w:themeColor="text1"/>
          <w:sz w:val="21"/>
          <w:szCs w:val="22"/>
          <w14:textFill>
            <w14:solidFill>
              <w14:schemeClr w14:val="tx1"/>
            </w14:solidFill>
          </w14:textFill>
        </w:rPr>
        <w:t>付款方式：</w:t>
      </w:r>
      <w:r>
        <w:rPr>
          <w:rFonts w:ascii="宋体" w:hAnsi="宋体" w:eastAsia="宋体" w:cs="宋体"/>
          <w:color w:val="000000" w:themeColor="text1"/>
          <w:sz w:val="21"/>
          <w:szCs w:val="22"/>
          <w14:textFill>
            <w14:solidFill>
              <w14:schemeClr w14:val="tx1"/>
            </w14:solidFill>
          </w14:textFill>
        </w:rPr>
        <w:t>合同总价的100%以转账的方式支付</w:t>
      </w:r>
      <w:r>
        <w:rPr>
          <w:rFonts w:hint="eastAsia" w:ascii="宋体" w:hAnsi="宋体" w:eastAsia="宋体" w:cs="宋体"/>
          <w:color w:val="000000" w:themeColor="text1"/>
          <w:sz w:val="21"/>
          <w:szCs w:val="22"/>
          <w14:textFill>
            <w14:solidFill>
              <w14:schemeClr w14:val="tx1"/>
            </w14:solidFill>
          </w14:textFill>
        </w:rPr>
        <w:t>，禁止将货款划入其他账号或支付现金。如收款方的账号和开户行变更，须及时以书面形式通知付款方，通知上必须同时盖有收款方的公章或财务专用章。</w:t>
      </w:r>
    </w:p>
    <w:p>
      <w:pPr>
        <w:pStyle w:val="89"/>
        <w:numPr>
          <w:ilvl w:val="0"/>
          <w:numId w:val="6"/>
        </w:numPr>
        <w:tabs>
          <w:tab w:val="left" w:pos="0"/>
        </w:tabs>
        <w:spacing w:line="360" w:lineRule="auto"/>
        <w:ind w:firstLineChars="0"/>
        <w:rPr>
          <w:rFonts w:ascii="宋体" w:hAnsi="宋体" w:eastAsia="宋体" w:cs="宋体"/>
          <w:color w:val="000000" w:themeColor="text1"/>
          <w:sz w:val="21"/>
          <w:szCs w:val="22"/>
          <w14:textFill>
            <w14:solidFill>
              <w14:schemeClr w14:val="tx1"/>
            </w14:solidFill>
          </w14:textFill>
        </w:rPr>
      </w:pPr>
      <w:r>
        <w:rPr>
          <w:rFonts w:hint="eastAsia" w:ascii="宋体" w:hAnsi="宋体" w:eastAsia="宋体" w:cs="宋体"/>
          <w:color w:val="000000" w:themeColor="text1"/>
          <w:sz w:val="21"/>
          <w:szCs w:val="22"/>
          <w14:textFill>
            <w14:solidFill>
              <w14:schemeClr w14:val="tx1"/>
            </w14:solidFill>
          </w14:textFill>
        </w:rPr>
        <w:t>付款期限：设备到货后</w:t>
      </w:r>
      <w:r>
        <w:rPr>
          <w:rFonts w:ascii="宋体" w:hAnsi="宋体" w:eastAsia="宋体" w:cs="宋体"/>
          <w:color w:val="000000" w:themeColor="text1"/>
          <w:sz w:val="21"/>
          <w:szCs w:val="22"/>
          <w14:textFill>
            <w14:solidFill>
              <w14:schemeClr w14:val="tx1"/>
            </w14:solidFill>
          </w14:textFill>
        </w:rPr>
        <w:t>30</w:t>
      </w:r>
      <w:r>
        <w:rPr>
          <w:rFonts w:hint="eastAsia" w:ascii="宋体" w:hAnsi="宋体" w:eastAsia="宋体" w:cs="宋体"/>
          <w:color w:val="000000" w:themeColor="text1"/>
          <w:sz w:val="21"/>
          <w:szCs w:val="22"/>
          <w14:textFill>
            <w14:solidFill>
              <w14:schemeClr w14:val="tx1"/>
            </w14:solidFill>
          </w14:textFill>
        </w:rPr>
        <w:t>日内，买方向卖方支付合同总价的</w:t>
      </w:r>
      <w:r>
        <w:rPr>
          <w:rFonts w:ascii="宋体" w:hAnsi="宋体" w:eastAsia="宋体" w:cs="宋体"/>
          <w:color w:val="000000" w:themeColor="text1"/>
          <w:sz w:val="21"/>
          <w:szCs w:val="22"/>
          <w14:textFill>
            <w14:solidFill>
              <w14:schemeClr w14:val="tx1"/>
            </w14:solidFill>
          </w14:textFill>
        </w:rPr>
        <w:t>3</w:t>
      </w:r>
      <w:r>
        <w:rPr>
          <w:rFonts w:hint="eastAsia" w:ascii="宋体" w:hAnsi="宋体" w:eastAsia="宋体" w:cs="宋体"/>
          <w:color w:val="000000" w:themeColor="text1"/>
          <w:sz w:val="21"/>
          <w:szCs w:val="22"/>
          <w14:textFill>
            <w14:solidFill>
              <w14:schemeClr w14:val="tx1"/>
            </w14:solidFill>
          </w14:textFill>
        </w:rPr>
        <w:t>0％；系统通过验收后支付合同总额的</w:t>
      </w:r>
      <w:r>
        <w:rPr>
          <w:rFonts w:ascii="宋体" w:hAnsi="宋体" w:eastAsia="宋体" w:cs="宋体"/>
          <w:color w:val="000000" w:themeColor="text1"/>
          <w:sz w:val="21"/>
          <w:szCs w:val="22"/>
          <w14:textFill>
            <w14:solidFill>
              <w14:schemeClr w14:val="tx1"/>
            </w14:solidFill>
          </w14:textFill>
        </w:rPr>
        <w:t>60%</w:t>
      </w:r>
      <w:r>
        <w:rPr>
          <w:rFonts w:hint="eastAsia" w:ascii="宋体" w:hAnsi="宋体" w:eastAsia="宋体" w:cs="宋体"/>
          <w:color w:val="000000" w:themeColor="text1"/>
          <w:sz w:val="21"/>
          <w:szCs w:val="22"/>
          <w14:textFill>
            <w14:solidFill>
              <w14:schemeClr w14:val="tx1"/>
            </w14:solidFill>
          </w14:textFill>
        </w:rPr>
        <w:t>，即人民币：</w:t>
      </w:r>
      <w:r>
        <w:rPr>
          <w:rFonts w:ascii="宋体" w:hAnsi="宋体" w:eastAsia="宋体" w:cs="宋体"/>
          <w:color w:val="000000" w:themeColor="text1"/>
          <w:sz w:val="21"/>
          <w:szCs w:val="22"/>
          <w14:textFill>
            <w14:solidFill>
              <w14:schemeClr w14:val="tx1"/>
            </w14:solidFill>
          </w14:textFill>
        </w:rPr>
        <w:t xml:space="preserve">   </w:t>
      </w:r>
      <w:r>
        <w:rPr>
          <w:rFonts w:hint="eastAsia" w:ascii="宋体" w:hAnsi="宋体" w:eastAsia="宋体" w:cs="宋体"/>
          <w:color w:val="000000" w:themeColor="text1"/>
          <w:sz w:val="21"/>
          <w:szCs w:val="22"/>
          <w14:textFill>
            <w14:solidFill>
              <w14:schemeClr w14:val="tx1"/>
            </w14:solidFill>
          </w14:textFill>
        </w:rPr>
        <w:t>元，大写：</w:t>
      </w:r>
      <w:r>
        <w:rPr>
          <w:rFonts w:ascii="宋体" w:hAnsi="宋体" w:eastAsia="宋体" w:cs="宋体"/>
          <w:color w:val="000000" w:themeColor="text1"/>
          <w:sz w:val="21"/>
          <w:szCs w:val="22"/>
          <w14:textFill>
            <w14:solidFill>
              <w14:schemeClr w14:val="tx1"/>
            </w14:solidFill>
          </w14:textFill>
        </w:rPr>
        <w:t xml:space="preserve">   </w:t>
      </w:r>
      <w:r>
        <w:rPr>
          <w:rFonts w:hint="eastAsia" w:ascii="宋体" w:hAnsi="宋体" w:eastAsia="宋体" w:cs="宋体"/>
          <w:color w:val="000000" w:themeColor="text1"/>
          <w:sz w:val="21"/>
          <w:szCs w:val="22"/>
          <w14:textFill>
            <w14:solidFill>
              <w14:schemeClr w14:val="tx1"/>
            </w14:solidFill>
          </w14:textFill>
        </w:rPr>
        <w:t>元；尾款10%作为质量保证金，即人民币：     ，在终验合格一年后的10个工作日之内支付7%，如乙方此时向甲方开据3%的银行保函（此保函须在免费包修期结束后到期），甲方在收到银行保函45日内将尾款结清（即合同总价的10%），否则甲方将在免费保修期结束后的10个工作日之内支付剩余的3%给乙方。</w:t>
      </w:r>
    </w:p>
    <w:p>
      <w:pPr>
        <w:pStyle w:val="89"/>
        <w:numPr>
          <w:ilvl w:val="0"/>
          <w:numId w:val="6"/>
        </w:numPr>
        <w:tabs>
          <w:tab w:val="left" w:pos="0"/>
        </w:tabs>
        <w:spacing w:line="360" w:lineRule="auto"/>
        <w:ind w:firstLineChars="0"/>
        <w:rPr>
          <w:rFonts w:ascii="宋体" w:hAnsi="宋体" w:eastAsia="宋体" w:cs="宋体"/>
          <w:color w:val="000000" w:themeColor="text1"/>
          <w:sz w:val="21"/>
          <w:szCs w:val="22"/>
          <w14:textFill>
            <w14:solidFill>
              <w14:schemeClr w14:val="tx1"/>
            </w14:solidFill>
          </w14:textFill>
        </w:rPr>
      </w:pPr>
      <w:r>
        <w:rPr>
          <w:rFonts w:hint="eastAsia" w:ascii="宋体" w:hAnsi="宋体" w:eastAsia="宋体" w:cs="宋体"/>
          <w:color w:val="000000" w:themeColor="text1"/>
          <w:sz w:val="21"/>
          <w:szCs w:val="22"/>
          <w14:textFill>
            <w14:solidFill>
              <w14:schemeClr w14:val="tx1"/>
            </w14:solidFill>
          </w14:textFill>
        </w:rPr>
        <w:t>质量保证金：质量保证金包含对履约的保证、对质量的保证和廉政的保证。在合同履行过程中，如乙方应承担履约保证、质量保证或廉政保证中约定的保证责任，甲方有权直接在质量保证金中扣除；扣除后保证金不足的，乙方应在五个工作日内补足，或由甲方直接在应付账款中扣除。</w:t>
      </w:r>
    </w:p>
    <w:p>
      <w:pPr>
        <w:pStyle w:val="89"/>
        <w:numPr>
          <w:ilvl w:val="0"/>
          <w:numId w:val="6"/>
        </w:numPr>
        <w:tabs>
          <w:tab w:val="left" w:pos="0"/>
        </w:tabs>
        <w:spacing w:line="360" w:lineRule="auto"/>
        <w:ind w:firstLineChars="0"/>
        <w:rPr>
          <w:rFonts w:ascii="宋体" w:hAnsi="宋体" w:eastAsia="宋体" w:cs="宋体"/>
          <w:color w:val="000000" w:themeColor="text1"/>
          <w:sz w:val="21"/>
          <w:szCs w:val="22"/>
          <w14:textFill>
            <w14:solidFill>
              <w14:schemeClr w14:val="tx1"/>
            </w14:solidFill>
          </w14:textFill>
        </w:rPr>
      </w:pPr>
      <w:r>
        <w:rPr>
          <w:rFonts w:hint="eastAsia" w:ascii="宋体" w:hAnsi="宋体" w:eastAsia="宋体" w:cs="宋体"/>
          <w:color w:val="000000" w:themeColor="text1"/>
          <w:sz w:val="21"/>
          <w:szCs w:val="22"/>
          <w14:textFill>
            <w14:solidFill>
              <w14:schemeClr w14:val="tx1"/>
            </w14:solidFill>
          </w14:textFill>
        </w:rPr>
        <w:t>付款前，乙方必须按照国家有关发票管理规定，向甲方一次性提供合同总额的增值税专用发票，由甲方审核无误后再支付货款，否则甲方有权拒绝或迟延支付货款，且不影响乙方履行本合同项下的义务，给甲方造成的损失由乙方承担。</w:t>
      </w:r>
    </w:p>
    <w:p>
      <w:pPr>
        <w:pStyle w:val="89"/>
        <w:numPr>
          <w:ilvl w:val="0"/>
          <w:numId w:val="6"/>
        </w:numPr>
        <w:tabs>
          <w:tab w:val="left" w:pos="0"/>
        </w:tabs>
        <w:spacing w:line="360" w:lineRule="auto"/>
        <w:ind w:firstLineChars="0"/>
        <w:rPr>
          <w:rFonts w:ascii="宋体" w:hAnsi="宋体" w:eastAsia="宋体" w:cs="宋体"/>
          <w:color w:val="000000" w:themeColor="text1"/>
          <w:sz w:val="21"/>
          <w:szCs w:val="22"/>
          <w14:textFill>
            <w14:solidFill>
              <w14:schemeClr w14:val="tx1"/>
            </w14:solidFill>
          </w14:textFill>
        </w:rPr>
      </w:pPr>
      <w:r>
        <w:rPr>
          <w:rFonts w:hint="eastAsia" w:ascii="宋体" w:hAnsi="宋体" w:eastAsia="宋体" w:cs="宋体"/>
          <w:color w:val="000000" w:themeColor="text1"/>
          <w:sz w:val="21"/>
          <w:szCs w:val="22"/>
          <w14:textFill>
            <w14:solidFill>
              <w14:schemeClr w14:val="tx1"/>
            </w14:solidFill>
          </w14:textFill>
        </w:rPr>
        <w:t>扣款细则</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乙方履行义务期间，存在以下情况时，甲方可视情况进行相应的扣款。</w:t>
      </w:r>
    </w:p>
    <w:tbl>
      <w:tblPr>
        <w:tblStyle w:val="53"/>
        <w:tblW w:w="9585"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4"/>
        <w:gridCol w:w="1135"/>
        <w:gridCol w:w="2552"/>
        <w:gridCol w:w="1938"/>
        <w:gridCol w:w="1476"/>
        <w:gridCol w:w="18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trPr>
        <w:tc>
          <w:tcPr>
            <w:tcW w:w="674" w:type="dxa"/>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1135" w:type="dxa"/>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费用类别</w:t>
            </w:r>
          </w:p>
        </w:tc>
        <w:tc>
          <w:tcPr>
            <w:tcW w:w="2552" w:type="dxa"/>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适用状况</w:t>
            </w:r>
          </w:p>
        </w:tc>
        <w:tc>
          <w:tcPr>
            <w:tcW w:w="1938" w:type="dxa"/>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执行方法</w:t>
            </w:r>
          </w:p>
        </w:tc>
        <w:tc>
          <w:tcPr>
            <w:tcW w:w="1476" w:type="dxa"/>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罚款金额</w:t>
            </w:r>
          </w:p>
        </w:tc>
        <w:tc>
          <w:tcPr>
            <w:tcW w:w="1810" w:type="dxa"/>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4" w:type="dxa"/>
            <w:vAlign w:val="center"/>
          </w:tcPr>
          <w:p>
            <w:pP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p>
        </w:tc>
        <w:tc>
          <w:tcPr>
            <w:tcW w:w="1135"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项目人员缺勤费用</w:t>
            </w:r>
          </w:p>
        </w:tc>
        <w:tc>
          <w:tcPr>
            <w:tcW w:w="2552"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乙方未按照甲方的考勤要求开展工作或未经甲方同意擅自更换项目人员。</w:t>
            </w:r>
          </w:p>
        </w:tc>
        <w:tc>
          <w:tcPr>
            <w:tcW w:w="1938"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由甲方项目经理提交项目考勤表</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提交财务部扣款</w:t>
            </w:r>
          </w:p>
        </w:tc>
        <w:tc>
          <w:tcPr>
            <w:tcW w:w="1476" w:type="dxa"/>
            <w:vAlign w:val="center"/>
          </w:tcPr>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100</w:t>
            </w:r>
            <w:r>
              <w:rPr>
                <w:rFonts w:hAnsi="宋体"/>
                <w:color w:val="000000" w:themeColor="text1"/>
                <w:szCs w:val="21"/>
                <w14:textFill>
                  <w14:solidFill>
                    <w14:schemeClr w14:val="tx1"/>
                  </w14:solidFill>
                </w14:textFill>
              </w:rPr>
              <w:t>元</w:t>
            </w:r>
            <w:r>
              <w:rPr>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人天</w:t>
            </w:r>
          </w:p>
        </w:tc>
        <w:tc>
          <w:tcPr>
            <w:tcW w:w="1810" w:type="dxa"/>
            <w:vAlign w:val="center"/>
          </w:tcPr>
          <w:p>
            <w:pPr>
              <w:rPr>
                <w:rFonts w:ascii="宋体" w:hAnsi="宋体"/>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4" w:type="dxa"/>
            <w:vAlign w:val="center"/>
          </w:tcPr>
          <w:p>
            <w:pP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p>
        </w:tc>
        <w:tc>
          <w:tcPr>
            <w:tcW w:w="1135"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项目进度滞后费用</w:t>
            </w:r>
          </w:p>
        </w:tc>
        <w:tc>
          <w:tcPr>
            <w:tcW w:w="2552"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乙方未按照提交的项目进度按时完成阶段性工作。</w:t>
            </w:r>
          </w:p>
        </w:tc>
        <w:tc>
          <w:tcPr>
            <w:tcW w:w="1938"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由甲方项目经理完成项目进度确认表，提交财务部扣款</w:t>
            </w:r>
          </w:p>
        </w:tc>
        <w:tc>
          <w:tcPr>
            <w:tcW w:w="1476" w:type="dxa"/>
            <w:vAlign w:val="center"/>
          </w:tcPr>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500</w:t>
            </w:r>
            <w:r>
              <w:rPr>
                <w:rFonts w:hAnsi="宋体"/>
                <w:color w:val="000000" w:themeColor="text1"/>
                <w:szCs w:val="21"/>
                <w14:textFill>
                  <w14:solidFill>
                    <w14:schemeClr w14:val="tx1"/>
                  </w14:solidFill>
                </w14:textFill>
              </w:rPr>
              <w:t>元</w:t>
            </w:r>
            <w:r>
              <w:rPr>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天</w:t>
            </w:r>
          </w:p>
        </w:tc>
        <w:tc>
          <w:tcPr>
            <w:tcW w:w="1810"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由于项目风险等不可抗力原因，进度滞后五个工作日内，提供合理说明经项目经理确认后可免责。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4" w:type="dxa"/>
            <w:vAlign w:val="center"/>
          </w:tcPr>
          <w:p>
            <w:pP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p>
        </w:tc>
        <w:tc>
          <w:tcPr>
            <w:tcW w:w="1135"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服务质量不合格</w:t>
            </w:r>
          </w:p>
        </w:tc>
        <w:tc>
          <w:tcPr>
            <w:tcW w:w="2552"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乙方提供的服务不满足事先约定的质量要求。</w:t>
            </w:r>
          </w:p>
        </w:tc>
        <w:tc>
          <w:tcPr>
            <w:tcW w:w="1938"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由甲方项目经理完成产品质量缺陷说明，提交财务部扣款</w:t>
            </w:r>
          </w:p>
        </w:tc>
        <w:tc>
          <w:tcPr>
            <w:tcW w:w="1476" w:type="dxa"/>
            <w:vAlign w:val="center"/>
          </w:tcPr>
          <w:p>
            <w:pPr>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合同款</w:t>
            </w:r>
            <w:r>
              <w:rPr>
                <w:color w:val="000000" w:themeColor="text1"/>
                <w:szCs w:val="21"/>
                <w14:textFill>
                  <w14:solidFill>
                    <w14:schemeClr w14:val="tx1"/>
                  </w14:solidFill>
                </w14:textFill>
              </w:rPr>
              <w:t>*5%~10%</w:t>
            </w:r>
          </w:p>
        </w:tc>
        <w:tc>
          <w:tcPr>
            <w:tcW w:w="1810"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视问题严重程度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4" w:type="dxa"/>
            <w:vAlign w:val="center"/>
          </w:tcPr>
          <w:p>
            <w:pP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w:t>
            </w:r>
          </w:p>
        </w:tc>
        <w:tc>
          <w:tcPr>
            <w:tcW w:w="1135"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技术支持延迟或售后不合格</w:t>
            </w:r>
          </w:p>
        </w:tc>
        <w:tc>
          <w:tcPr>
            <w:tcW w:w="2552"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乙方未在要求的时间内解决甲方提出的符合包修或技术支持范围的问题</w:t>
            </w:r>
          </w:p>
        </w:tc>
        <w:tc>
          <w:tcPr>
            <w:tcW w:w="1938"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由甲方项目经理完成售后反馈表，提交财务部扣款</w:t>
            </w:r>
          </w:p>
        </w:tc>
        <w:tc>
          <w:tcPr>
            <w:tcW w:w="1476" w:type="dxa"/>
            <w:vAlign w:val="center"/>
          </w:tcPr>
          <w:p>
            <w:pPr>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合同款</w:t>
            </w:r>
            <w:r>
              <w:rPr>
                <w:color w:val="000000" w:themeColor="text1"/>
                <w:szCs w:val="21"/>
                <w14:textFill>
                  <w14:solidFill>
                    <w14:schemeClr w14:val="tx1"/>
                  </w14:solidFill>
                </w14:textFill>
              </w:rPr>
              <w:t>*5%~10%</w:t>
            </w:r>
          </w:p>
        </w:tc>
        <w:tc>
          <w:tcPr>
            <w:tcW w:w="1810"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视问题严重程度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4"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1135"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文档缺失或质量不合格</w:t>
            </w:r>
          </w:p>
        </w:tc>
        <w:tc>
          <w:tcPr>
            <w:tcW w:w="2552"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乙方未提供或提供的技术规范、培训材料等文档</w:t>
            </w:r>
          </w:p>
        </w:tc>
        <w:tc>
          <w:tcPr>
            <w:tcW w:w="1938"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由甲方项目经理确认文档条目，提交财务部扣款</w:t>
            </w:r>
          </w:p>
        </w:tc>
        <w:tc>
          <w:tcPr>
            <w:tcW w:w="1476" w:type="dxa"/>
            <w:vAlign w:val="center"/>
          </w:tcPr>
          <w:p>
            <w:pPr>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合同款</w:t>
            </w:r>
            <w:r>
              <w:rPr>
                <w:color w:val="000000" w:themeColor="text1"/>
                <w:szCs w:val="21"/>
                <w14:textFill>
                  <w14:solidFill>
                    <w14:schemeClr w14:val="tx1"/>
                  </w14:solidFill>
                </w14:textFill>
              </w:rPr>
              <w:t>*5%~10%</w:t>
            </w:r>
          </w:p>
        </w:tc>
        <w:tc>
          <w:tcPr>
            <w:tcW w:w="1810"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视文档重要性</w:t>
            </w: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
        <w:widowControl/>
        <w:numPr>
          <w:ilvl w:val="0"/>
          <w:numId w:val="0"/>
        </w:numPr>
        <w:tabs>
          <w:tab w:val="left" w:pos="25"/>
        </w:tabs>
        <w:spacing w:before="0" w:after="0" w:line="360" w:lineRule="auto"/>
        <w:jc w:val="left"/>
        <w:rPr>
          <w:rFonts w:ascii="宋体" w:hAnsi="宋体" w:eastAsia="宋体" w:cs="宋体"/>
          <w:b/>
          <w:bCs w:val="0"/>
          <w:color w:val="000000" w:themeColor="text1"/>
          <w:sz w:val="21"/>
          <w:szCs w:val="21"/>
          <w14:textFill>
            <w14:solidFill>
              <w14:schemeClr w14:val="tx1"/>
            </w14:solidFill>
          </w14:textFill>
        </w:rPr>
      </w:pPr>
      <w:r>
        <w:rPr>
          <w:rFonts w:hint="eastAsia" w:ascii="宋体" w:hAnsi="宋体" w:eastAsia="宋体" w:cs="宋体"/>
          <w:b/>
          <w:bCs w:val="0"/>
          <w:color w:val="000000" w:themeColor="text1"/>
          <w:sz w:val="21"/>
          <w:szCs w:val="21"/>
          <w14:textFill>
            <w14:solidFill>
              <w14:schemeClr w14:val="tx1"/>
            </w14:solidFill>
          </w14:textFill>
        </w:rPr>
        <w:t>四</w:t>
      </w:r>
      <w:r>
        <w:rPr>
          <w:rFonts w:ascii="宋体" w:hAnsi="宋体" w:eastAsia="宋体" w:cs="宋体"/>
          <w:b/>
          <w:bCs w:val="0"/>
          <w:color w:val="000000" w:themeColor="text1"/>
          <w:sz w:val="21"/>
          <w:szCs w:val="21"/>
          <w14:textFill>
            <w14:solidFill>
              <w14:schemeClr w14:val="tx1"/>
            </w14:solidFill>
          </w14:textFill>
        </w:rPr>
        <w:t>、</w:t>
      </w:r>
      <w:r>
        <w:rPr>
          <w:rFonts w:hint="eastAsia" w:ascii="宋体" w:hAnsi="宋体" w:eastAsia="宋体" w:cs="宋体"/>
          <w:b/>
          <w:bCs w:val="0"/>
          <w:color w:val="000000" w:themeColor="text1"/>
          <w:sz w:val="21"/>
          <w:szCs w:val="21"/>
          <w14:textFill>
            <w14:solidFill>
              <w14:schemeClr w14:val="tx1"/>
            </w14:solidFill>
          </w14:textFill>
        </w:rPr>
        <w:t>产品的质量要求</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乙方所提供产品的技术指标和生产工艺必须完全满足甲方在“</w:t>
      </w:r>
      <w:r>
        <w:rPr>
          <w:rFonts w:hint="eastAsia" w:ascii="宋体" w:hAnsi="宋体"/>
          <w:b/>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竞争性磋商文件中提出的技术要求，乙方所提供产品的功能与服务实现必须完全遵守响应文件和磋商时做出的书面承诺；乙方保证所提供的商品是原厂原装产品，提供原厂或原产地证明，且系崭新的、未使用过的产品，没有任何版权或其他权属争议；乙方须提供产品的出厂检测报告和产品质量合格证明书，且符合相应技术规定的品质和规格要求；若产品技术性能无相应说明，则按国家或国际有关部门最新颁布的标准及规范为准。乙方保证提供的所有产品是现阶段主流产品，没有停产的计划。</w:t>
      </w:r>
    </w:p>
    <w:bookmarkEnd w:id="19"/>
    <w:p>
      <w:pPr>
        <w:pStyle w:val="3"/>
        <w:widowControl/>
        <w:numPr>
          <w:ilvl w:val="0"/>
          <w:numId w:val="0"/>
        </w:numPr>
        <w:tabs>
          <w:tab w:val="left" w:pos="25"/>
        </w:tabs>
        <w:spacing w:before="0" w:after="0" w:line="360" w:lineRule="auto"/>
        <w:jc w:val="left"/>
        <w:rPr>
          <w:rFonts w:ascii="宋体" w:hAnsi="宋体" w:eastAsia="宋体" w:cs="宋体"/>
          <w:b/>
          <w:bCs w:val="0"/>
          <w:color w:val="000000" w:themeColor="text1"/>
          <w:sz w:val="21"/>
          <w:szCs w:val="21"/>
          <w14:textFill>
            <w14:solidFill>
              <w14:schemeClr w14:val="tx1"/>
            </w14:solidFill>
          </w14:textFill>
        </w:rPr>
      </w:pPr>
      <w:r>
        <w:rPr>
          <w:rFonts w:hint="eastAsia" w:ascii="宋体" w:hAnsi="宋体" w:eastAsia="宋体" w:cs="宋体"/>
          <w:b/>
          <w:bCs w:val="0"/>
          <w:color w:val="000000" w:themeColor="text1"/>
          <w:sz w:val="21"/>
          <w:szCs w:val="21"/>
          <w14:textFill>
            <w14:solidFill>
              <w14:schemeClr w14:val="tx1"/>
            </w14:solidFill>
          </w14:textFill>
        </w:rPr>
        <w:t>五</w:t>
      </w:r>
      <w:r>
        <w:rPr>
          <w:rFonts w:ascii="宋体" w:hAnsi="宋体" w:eastAsia="宋体" w:cs="宋体"/>
          <w:b/>
          <w:bCs w:val="0"/>
          <w:color w:val="000000" w:themeColor="text1"/>
          <w:sz w:val="21"/>
          <w:szCs w:val="21"/>
          <w14:textFill>
            <w14:solidFill>
              <w14:schemeClr w14:val="tx1"/>
            </w14:solidFill>
          </w14:textFill>
        </w:rPr>
        <w:t>、</w:t>
      </w:r>
      <w:r>
        <w:rPr>
          <w:rFonts w:hint="eastAsia" w:ascii="宋体" w:hAnsi="宋体" w:eastAsia="宋体" w:cs="宋体"/>
          <w:b/>
          <w:bCs w:val="0"/>
          <w:color w:val="000000" w:themeColor="text1"/>
          <w:sz w:val="21"/>
          <w:szCs w:val="21"/>
          <w14:textFill>
            <w14:solidFill>
              <w14:schemeClr w14:val="tx1"/>
            </w14:solidFill>
          </w14:textFill>
        </w:rPr>
        <w:t>产品的包装</w:t>
      </w:r>
    </w:p>
    <w:p>
      <w:pPr>
        <w:numPr>
          <w:ilvl w:val="0"/>
          <w:numId w:val="7"/>
        </w:numPr>
        <w:tabs>
          <w:tab w:val="left" w:pos="0"/>
          <w:tab w:val="clear" w:pos="1155"/>
        </w:tabs>
        <w:spacing w:line="360" w:lineRule="auto"/>
        <w:ind w:left="0" w:firstLine="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所有产品由乙方负责妥善包装，附件、清单完整齐全，注明储运标志，并适合于长途运输。由此不当而引起的所有损失和责任由乙方承担。</w:t>
      </w:r>
    </w:p>
    <w:p>
      <w:pPr>
        <w:numPr>
          <w:ilvl w:val="0"/>
          <w:numId w:val="7"/>
        </w:numPr>
        <w:tabs>
          <w:tab w:val="left" w:pos="0"/>
          <w:tab w:val="clear" w:pos="1155"/>
        </w:tabs>
        <w:spacing w:line="360" w:lineRule="auto"/>
        <w:ind w:left="0" w:firstLine="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每件包装外面应清楚地打上记号，这些记号或标志应在运单上说明。</w:t>
      </w:r>
    </w:p>
    <w:p>
      <w:pPr>
        <w:numPr>
          <w:ilvl w:val="0"/>
          <w:numId w:val="7"/>
        </w:numPr>
        <w:tabs>
          <w:tab w:val="left" w:pos="0"/>
          <w:tab w:val="clear" w:pos="1155"/>
        </w:tabs>
        <w:spacing w:line="360" w:lineRule="auto"/>
        <w:ind w:left="0" w:firstLine="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备品备件及专用工具应在箱内运送并与产品分别包装，所有备件应加上标签，以示区别。</w:t>
      </w:r>
    </w:p>
    <w:p>
      <w:pPr>
        <w:numPr>
          <w:ilvl w:val="0"/>
          <w:numId w:val="7"/>
        </w:numPr>
        <w:tabs>
          <w:tab w:val="left" w:pos="0"/>
          <w:tab w:val="clear" w:pos="1155"/>
        </w:tabs>
        <w:spacing w:line="360" w:lineRule="auto"/>
        <w:ind w:left="0" w:firstLine="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乙方应提前3天通知甲方负责收货的联系人，告知产品运送到项目现场的具体日期。</w:t>
      </w:r>
    </w:p>
    <w:p>
      <w:pPr>
        <w:pStyle w:val="3"/>
        <w:widowControl/>
        <w:numPr>
          <w:ilvl w:val="0"/>
          <w:numId w:val="0"/>
        </w:numPr>
        <w:tabs>
          <w:tab w:val="left" w:pos="25"/>
        </w:tabs>
        <w:spacing w:before="0" w:after="0" w:line="360" w:lineRule="auto"/>
        <w:jc w:val="left"/>
        <w:rPr>
          <w:rFonts w:ascii="宋体" w:hAnsi="宋体" w:eastAsia="宋体" w:cs="宋体"/>
          <w:b/>
          <w:bCs w:val="0"/>
          <w:color w:val="000000" w:themeColor="text1"/>
          <w:sz w:val="21"/>
          <w:szCs w:val="21"/>
          <w14:textFill>
            <w14:solidFill>
              <w14:schemeClr w14:val="tx1"/>
            </w14:solidFill>
          </w14:textFill>
        </w:rPr>
      </w:pPr>
      <w:bookmarkStart w:id="20" w:name="_Toc69378622"/>
      <w:r>
        <w:rPr>
          <w:rFonts w:hint="eastAsia" w:ascii="宋体" w:hAnsi="宋体" w:eastAsia="宋体" w:cs="宋体"/>
          <w:b/>
          <w:bCs w:val="0"/>
          <w:color w:val="000000" w:themeColor="text1"/>
          <w:sz w:val="21"/>
          <w:szCs w:val="21"/>
          <w14:textFill>
            <w14:solidFill>
              <w14:schemeClr w14:val="tx1"/>
            </w14:solidFill>
          </w14:textFill>
        </w:rPr>
        <w:t>六、产品交付</w:t>
      </w:r>
    </w:p>
    <w:p>
      <w:pPr>
        <w:numPr>
          <w:ilvl w:val="0"/>
          <w:numId w:val="8"/>
        </w:numPr>
        <w:tabs>
          <w:tab w:val="left" w:pos="0"/>
        </w:tabs>
        <w:spacing w:line="360" w:lineRule="auto"/>
        <w:ind w:left="0" w:firstLine="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产品的交货地点为甲方指定地点、指定楼层。</w:t>
      </w:r>
    </w:p>
    <w:p>
      <w:pPr>
        <w:numPr>
          <w:ilvl w:val="0"/>
          <w:numId w:val="8"/>
        </w:numPr>
        <w:tabs>
          <w:tab w:val="left" w:pos="0"/>
        </w:tabs>
        <w:spacing w:line="360" w:lineRule="auto"/>
        <w:ind w:left="0" w:firstLine="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乙方交货时应提供下列技术资料：</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（1）产品原厂或原产地证明；</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（2）产品出厂检验报告和产品合格证；</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（3）竞争性磋商文件中所要求提交的资料。</w:t>
      </w:r>
    </w:p>
    <w:p>
      <w:pPr>
        <w:numPr>
          <w:ilvl w:val="0"/>
          <w:numId w:val="8"/>
        </w:numPr>
        <w:tabs>
          <w:tab w:val="left" w:pos="0"/>
        </w:tabs>
        <w:spacing w:line="360" w:lineRule="auto"/>
        <w:ind w:left="0" w:firstLine="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设备到货后，甲方负责清点货物包装箱件数。在设备安装调试前，甲乙双方代表在施工现场共同开箱清点验收货物。若一方因故无法抵达施工现场，则无条件接受另一方开箱清点验收结果。</w:t>
      </w:r>
    </w:p>
    <w:p>
      <w:pPr>
        <w:numPr>
          <w:ilvl w:val="255"/>
          <w:numId w:val="0"/>
        </w:numPr>
        <w:tabs>
          <w:tab w:val="left" w:pos="0"/>
        </w:tabs>
        <w:spacing w:line="360" w:lineRule="auto"/>
        <w:ind w:firstLine="420" w:firstLineChars="200"/>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甲方有权拒收运抵现场的被损坏或有缺陷的或不符合竞争性磋商文件、乙方响应文件和磋商时乙方做出的书面承诺的任何产品。</w:t>
      </w:r>
    </w:p>
    <w:bookmarkEnd w:id="20"/>
    <w:p>
      <w:pPr>
        <w:pStyle w:val="3"/>
        <w:widowControl/>
        <w:numPr>
          <w:ilvl w:val="0"/>
          <w:numId w:val="0"/>
        </w:numPr>
        <w:tabs>
          <w:tab w:val="left" w:pos="25"/>
        </w:tabs>
        <w:spacing w:before="0" w:after="0" w:line="360" w:lineRule="auto"/>
        <w:jc w:val="left"/>
        <w:rPr>
          <w:rFonts w:ascii="宋体" w:hAnsi="宋体" w:eastAsia="宋体" w:cs="宋体"/>
          <w:b/>
          <w:bCs w:val="0"/>
          <w:color w:val="000000" w:themeColor="text1"/>
          <w:sz w:val="21"/>
          <w:szCs w:val="21"/>
          <w14:textFill>
            <w14:solidFill>
              <w14:schemeClr w14:val="tx1"/>
            </w14:solidFill>
          </w14:textFill>
        </w:rPr>
      </w:pPr>
      <w:bookmarkStart w:id="21" w:name="_Toc69378629"/>
      <w:r>
        <w:rPr>
          <w:rFonts w:hint="eastAsia" w:ascii="宋体" w:hAnsi="宋体" w:eastAsia="宋体" w:cs="宋体"/>
          <w:b/>
          <w:bCs w:val="0"/>
          <w:color w:val="000000" w:themeColor="text1"/>
          <w:sz w:val="21"/>
          <w:szCs w:val="21"/>
          <w14:textFill>
            <w14:solidFill>
              <w14:schemeClr w14:val="tx1"/>
            </w14:solidFill>
          </w14:textFill>
        </w:rPr>
        <w:t>七、</w:t>
      </w:r>
      <w:bookmarkEnd w:id="21"/>
      <w:bookmarkStart w:id="22" w:name="_Toc69378632"/>
      <w:r>
        <w:rPr>
          <w:rFonts w:hint="eastAsia" w:ascii="宋体" w:hAnsi="宋体" w:eastAsia="宋体" w:cs="宋体"/>
          <w:b/>
          <w:bCs w:val="0"/>
          <w:color w:val="000000" w:themeColor="text1"/>
          <w:sz w:val="21"/>
          <w:szCs w:val="21"/>
          <w14:textFill>
            <w14:solidFill>
              <w14:schemeClr w14:val="tx1"/>
            </w14:solidFill>
          </w14:textFill>
        </w:rPr>
        <w:t>运输费用</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乙方承担所有产品的运输、装卸和保险等费用。</w:t>
      </w:r>
    </w:p>
    <w:p>
      <w:pPr>
        <w:pStyle w:val="3"/>
        <w:widowControl/>
        <w:numPr>
          <w:ilvl w:val="0"/>
          <w:numId w:val="0"/>
        </w:numPr>
        <w:tabs>
          <w:tab w:val="left" w:pos="25"/>
        </w:tabs>
        <w:spacing w:before="0" w:after="0" w:line="360" w:lineRule="auto"/>
        <w:jc w:val="left"/>
        <w:rPr>
          <w:rFonts w:ascii="宋体" w:hAnsi="宋体" w:eastAsia="宋体" w:cs="宋体"/>
          <w:b/>
          <w:bCs w:val="0"/>
          <w:color w:val="000000" w:themeColor="text1"/>
          <w:sz w:val="21"/>
          <w:szCs w:val="21"/>
          <w14:textFill>
            <w14:solidFill>
              <w14:schemeClr w14:val="tx1"/>
            </w14:solidFill>
          </w14:textFill>
        </w:rPr>
      </w:pPr>
      <w:r>
        <w:rPr>
          <w:rFonts w:hint="eastAsia" w:ascii="宋体" w:hAnsi="宋体" w:eastAsia="宋体" w:cs="宋体"/>
          <w:b/>
          <w:bCs w:val="0"/>
          <w:color w:val="000000" w:themeColor="text1"/>
          <w:sz w:val="21"/>
          <w:szCs w:val="21"/>
          <w14:textFill>
            <w14:solidFill>
              <w14:schemeClr w14:val="tx1"/>
            </w14:solidFill>
          </w14:textFill>
        </w:rPr>
        <w:t>八、供货周期</w:t>
      </w:r>
    </w:p>
    <w:p>
      <w:pPr>
        <w:numPr>
          <w:ilvl w:val="255"/>
          <w:numId w:val="0"/>
        </w:num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所有货物在合同生效后</w:t>
      </w:r>
      <w:r>
        <w:rPr>
          <w:rFonts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天内（不超过3</w:t>
      </w:r>
      <w:r>
        <w:rPr>
          <w:rFonts w:ascii="宋体" w:hAnsi="宋体" w:cs="宋体"/>
          <w:color w:val="000000" w:themeColor="text1"/>
          <w:szCs w:val="21"/>
          <w14:textFill>
            <w14:solidFill>
              <w14:schemeClr w14:val="tx1"/>
            </w14:solidFill>
          </w14:textFill>
        </w:rPr>
        <w:t>0</w:t>
      </w:r>
      <w:r>
        <w:rPr>
          <w:rFonts w:hint="eastAsia" w:ascii="宋体" w:hAnsi="宋体" w:cs="宋体"/>
          <w:color w:val="000000" w:themeColor="text1"/>
          <w:szCs w:val="21"/>
          <w14:textFill>
            <w14:solidFill>
              <w14:schemeClr w14:val="tx1"/>
            </w14:solidFill>
          </w14:textFill>
        </w:rPr>
        <w:t>天）运抵甲方工地现场、安装、调试结束。现场集成对接时间不得超过四周。乙方每逾期一天交货（不足一天按一天计算），按设备总价的5‰收取滞纳金，滞纳金从合同款中扣除。如逾期时间超过6周仍未能交付全部或部分设备（软件），在不妨碍甲方其他救济手段的情况下，甲方可以向乙方发出书面违约通知从而全部或部分地终止合同，并向乙方索赔。</w:t>
      </w:r>
    </w:p>
    <w:p>
      <w:pPr>
        <w:numPr>
          <w:ilvl w:val="255"/>
          <w:numId w:val="0"/>
        </w:num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乙方逾期交货，甲方接受的，不影响甲方追究乙方逾期交货的违约责任。</w:t>
      </w:r>
      <w:bookmarkEnd w:id="22"/>
    </w:p>
    <w:p>
      <w:pPr>
        <w:pStyle w:val="3"/>
        <w:widowControl/>
        <w:numPr>
          <w:ilvl w:val="0"/>
          <w:numId w:val="0"/>
        </w:numPr>
        <w:tabs>
          <w:tab w:val="left" w:pos="25"/>
        </w:tabs>
        <w:spacing w:before="0" w:after="0" w:line="360" w:lineRule="auto"/>
        <w:jc w:val="left"/>
        <w:rPr>
          <w:rFonts w:ascii="宋体" w:hAnsi="宋体" w:eastAsia="宋体" w:cs="宋体"/>
          <w:b/>
          <w:bCs w:val="0"/>
          <w:color w:val="000000" w:themeColor="text1"/>
          <w:sz w:val="21"/>
          <w:szCs w:val="21"/>
          <w14:textFill>
            <w14:solidFill>
              <w14:schemeClr w14:val="tx1"/>
            </w14:solidFill>
          </w14:textFill>
        </w:rPr>
      </w:pPr>
      <w:bookmarkStart w:id="23" w:name="_Toc69378633"/>
      <w:r>
        <w:rPr>
          <w:rFonts w:hint="eastAsia" w:ascii="宋体" w:hAnsi="宋体" w:eastAsia="宋体" w:cs="宋体"/>
          <w:b/>
          <w:bCs w:val="0"/>
          <w:color w:val="000000" w:themeColor="text1"/>
          <w:sz w:val="21"/>
          <w:szCs w:val="21"/>
          <w14:textFill>
            <w14:solidFill>
              <w14:schemeClr w14:val="tx1"/>
            </w14:solidFill>
          </w14:textFill>
        </w:rPr>
        <w:t>九、验收标准</w:t>
      </w:r>
    </w:p>
    <w:p>
      <w:pPr>
        <w:numPr>
          <w:ilvl w:val="0"/>
          <w:numId w:val="9"/>
        </w:numPr>
        <w:tabs>
          <w:tab w:val="left" w:pos="0"/>
          <w:tab w:val="clear" w:pos="420"/>
        </w:tabs>
        <w:adjustRightInd w:val="0"/>
        <w:snapToGrid w:val="0"/>
        <w:spacing w:line="360" w:lineRule="auto"/>
        <w:ind w:left="0" w:firstLine="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乙方需免费提供验收所需的测试工具、并搭建测试环境，按甲方竞争性磋商文件、乙方响应文件、磋商时乙方做出的书面承诺以及甲乙双方共同签订的补充协议的要求进行验收。乙方在货到安装调试完毕、系统达到技术要求规定的指标并开通业务后，向甲方提交“</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”验收申请报告，甲方应在接到乙方提供的系统验收申请报告后</w:t>
      </w:r>
      <w:r>
        <w:rPr>
          <w:rFonts w:ascii="宋体" w:hAnsi="宋体"/>
          <w:color w:val="000000" w:themeColor="text1"/>
          <w:szCs w:val="21"/>
          <w14:textFill>
            <w14:solidFill>
              <w14:schemeClr w14:val="tx1"/>
            </w14:solidFill>
          </w14:textFill>
        </w:rPr>
        <w:t>10</w:t>
      </w:r>
      <w:r>
        <w:rPr>
          <w:rFonts w:hint="eastAsia" w:ascii="宋体" w:hAnsi="宋体"/>
          <w:color w:val="000000" w:themeColor="text1"/>
          <w:szCs w:val="21"/>
          <w14:textFill>
            <w14:solidFill>
              <w14:schemeClr w14:val="tx1"/>
            </w14:solidFill>
          </w14:textFill>
        </w:rPr>
        <w:t>个工作日内组织有关部门进行验收。</w:t>
      </w:r>
    </w:p>
    <w:p>
      <w:pPr>
        <w:numPr>
          <w:ilvl w:val="0"/>
          <w:numId w:val="9"/>
        </w:numPr>
        <w:tabs>
          <w:tab w:val="left" w:pos="0"/>
          <w:tab w:val="clear" w:pos="420"/>
        </w:tabs>
        <w:adjustRightInd w:val="0"/>
        <w:snapToGrid w:val="0"/>
        <w:spacing w:line="360" w:lineRule="auto"/>
        <w:ind w:left="0" w:firstLine="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如第一次验收未通过，甲方应将有关不符合要求的情况书面通知乙方，乙方应在收到甲方书面通知后</w:t>
      </w:r>
      <w:r>
        <w:rPr>
          <w:rFonts w:ascii="宋体" w:hAnsi="宋体"/>
          <w:color w:val="000000" w:themeColor="text1"/>
          <w:szCs w:val="21"/>
          <w14:textFill>
            <w14:solidFill>
              <w14:schemeClr w14:val="tx1"/>
            </w14:solidFill>
          </w14:textFill>
        </w:rPr>
        <w:t>20</w:t>
      </w:r>
      <w:r>
        <w:rPr>
          <w:rFonts w:hint="eastAsia" w:ascii="宋体" w:hAnsi="宋体"/>
          <w:color w:val="000000" w:themeColor="text1"/>
          <w:szCs w:val="21"/>
          <w14:textFill>
            <w14:solidFill>
              <w14:schemeClr w14:val="tx1"/>
            </w14:solidFill>
          </w14:textFill>
        </w:rPr>
        <w:t>天内完成对系统的调整，使系统达到验收标准，并再次向甲方提出验收申请。甲方应在接到调整后的系统验收申请报告</w:t>
      </w:r>
      <w:r>
        <w:rPr>
          <w:rFonts w:ascii="宋体" w:hAnsi="宋体"/>
          <w:color w:val="000000" w:themeColor="text1"/>
          <w:szCs w:val="21"/>
          <w14:textFill>
            <w14:solidFill>
              <w14:schemeClr w14:val="tx1"/>
            </w14:solidFill>
          </w14:textFill>
        </w:rPr>
        <w:t>10</w:t>
      </w:r>
      <w:r>
        <w:rPr>
          <w:rFonts w:hint="eastAsia" w:ascii="宋体" w:hAnsi="宋体"/>
          <w:color w:val="000000" w:themeColor="text1"/>
          <w:szCs w:val="21"/>
          <w14:textFill>
            <w14:solidFill>
              <w14:schemeClr w14:val="tx1"/>
            </w14:solidFill>
          </w14:textFill>
        </w:rPr>
        <w:t>个工作日内组织第二次验收。如系统仍未通过验收，则视为系统不合格，甲方有权按照本合同的相关条款追究乙方的责任。</w:t>
      </w:r>
    </w:p>
    <w:p>
      <w:pPr>
        <w:numPr>
          <w:ilvl w:val="0"/>
          <w:numId w:val="9"/>
        </w:numPr>
        <w:adjustRightInd w:val="0"/>
        <w:snapToGrid w:val="0"/>
        <w:spacing w:line="360" w:lineRule="auto"/>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因甲方原因未能及时组织验收，甲方应在乙方的协助下尽快解决问题。</w:t>
      </w:r>
    </w:p>
    <w:p>
      <w:pPr>
        <w:numPr>
          <w:ilvl w:val="0"/>
          <w:numId w:val="9"/>
        </w:numPr>
        <w:tabs>
          <w:tab w:val="left" w:pos="0"/>
          <w:tab w:val="clear" w:pos="420"/>
        </w:tabs>
        <w:adjustRightInd w:val="0"/>
        <w:snapToGrid w:val="0"/>
        <w:spacing w:line="360" w:lineRule="auto"/>
        <w:ind w:left="0" w:firstLine="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甲乙双方应按合同规定的时间进行验收，验收时间因各种原因需要更改的，甲乙双方应共同商定修改验收日期。</w:t>
      </w:r>
    </w:p>
    <w:p>
      <w:pPr>
        <w:numPr>
          <w:ilvl w:val="0"/>
          <w:numId w:val="9"/>
        </w:numPr>
        <w:tabs>
          <w:tab w:val="left" w:pos="0"/>
          <w:tab w:val="clear" w:pos="420"/>
        </w:tabs>
        <w:adjustRightInd w:val="0"/>
        <w:snapToGrid w:val="0"/>
        <w:spacing w:line="360" w:lineRule="auto"/>
        <w:ind w:left="0" w:firstLine="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在验收过程中，若一方对验收过程或结果提出质疑，且经协商不成的，可由甲方选择法定检验机构进行检验，检验费用由乙方承担。</w:t>
      </w:r>
    </w:p>
    <w:p>
      <w:pPr>
        <w:numPr>
          <w:ilvl w:val="0"/>
          <w:numId w:val="9"/>
        </w:numPr>
        <w:tabs>
          <w:tab w:val="left" w:pos="0"/>
          <w:tab w:val="clear" w:pos="420"/>
        </w:tabs>
        <w:adjustRightInd w:val="0"/>
        <w:snapToGrid w:val="0"/>
        <w:spacing w:line="360" w:lineRule="auto"/>
        <w:ind w:left="0" w:firstLine="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甲乙双方约定合同产品检验期自交货日起至验收通过之日止。</w:t>
      </w:r>
    </w:p>
    <w:p>
      <w:pPr>
        <w:pStyle w:val="3"/>
        <w:numPr>
          <w:ilvl w:val="255"/>
          <w:numId w:val="0"/>
        </w:numPr>
        <w:adjustRightInd w:val="0"/>
        <w:snapToGrid w:val="0"/>
        <w:spacing w:before="0" w:after="0" w:line="360" w:lineRule="auto"/>
        <w:ind w:left="4"/>
        <w:jc w:val="left"/>
        <w:rPr>
          <w:rFonts w:ascii="宋体" w:hAnsi="宋体" w:eastAsia="宋体"/>
          <w:b/>
          <w:color w:val="000000" w:themeColor="text1"/>
          <w:kern w:val="2"/>
          <w:sz w:val="21"/>
          <w:szCs w:val="21"/>
          <w14:textFill>
            <w14:solidFill>
              <w14:schemeClr w14:val="tx1"/>
            </w14:solidFill>
          </w14:textFill>
        </w:rPr>
      </w:pPr>
      <w:bookmarkStart w:id="24" w:name="_Toc72326302"/>
      <w:r>
        <w:rPr>
          <w:rFonts w:hint="eastAsia" w:ascii="宋体" w:hAnsi="宋体" w:eastAsia="宋体"/>
          <w:b/>
          <w:color w:val="000000" w:themeColor="text1"/>
          <w:kern w:val="2"/>
          <w:sz w:val="21"/>
          <w:szCs w:val="21"/>
          <w14:textFill>
            <w14:solidFill>
              <w14:schemeClr w14:val="tx1"/>
            </w14:solidFill>
          </w14:textFill>
        </w:rPr>
        <w:t>十、售后服务</w:t>
      </w:r>
      <w:bookmarkEnd w:id="24"/>
    </w:p>
    <w:p>
      <w:pPr>
        <w:numPr>
          <w:ilvl w:val="0"/>
          <w:numId w:val="10"/>
        </w:numPr>
        <w:adjustRightInd w:val="0"/>
        <w:snapToGrid w:val="0"/>
        <w:spacing w:line="360" w:lineRule="auto"/>
        <w:ind w:left="0" w:firstLine="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服务响应时间：乙方提供每周</w:t>
      </w:r>
      <w:r>
        <w:rPr>
          <w:rFonts w:ascii="宋体" w:hAnsi="宋体"/>
          <w:color w:val="000000" w:themeColor="text1"/>
          <w:szCs w:val="21"/>
          <w14:textFill>
            <w14:solidFill>
              <w14:schemeClr w14:val="tx1"/>
            </w14:solidFill>
          </w14:textFill>
        </w:rPr>
        <w:t>7</w:t>
      </w:r>
      <w:r>
        <w:rPr>
          <w:rFonts w:hint="eastAsia" w:ascii="宋体" w:hAnsi="宋体"/>
          <w:color w:val="000000" w:themeColor="text1"/>
          <w:szCs w:val="21"/>
          <w14:textFill>
            <w14:solidFill>
              <w14:schemeClr w14:val="tx1"/>
            </w14:solidFill>
          </w14:textFill>
        </w:rPr>
        <w:t>天×</w:t>
      </w:r>
      <w:r>
        <w:rPr>
          <w:rFonts w:ascii="宋体" w:hAnsi="宋体"/>
          <w:color w:val="000000" w:themeColor="text1"/>
          <w:szCs w:val="21"/>
          <w14:textFill>
            <w14:solidFill>
              <w14:schemeClr w14:val="tx1"/>
            </w14:solidFill>
          </w14:textFill>
        </w:rPr>
        <w:t>24</w:t>
      </w:r>
      <w:r>
        <w:rPr>
          <w:rFonts w:hint="eastAsia" w:ascii="宋体" w:hAnsi="宋体"/>
          <w:color w:val="000000" w:themeColor="text1"/>
          <w:szCs w:val="21"/>
          <w14:textFill>
            <w14:solidFill>
              <w14:schemeClr w14:val="tx1"/>
            </w14:solidFill>
          </w14:textFill>
        </w:rPr>
        <w:t>小时的技术支持和服务。如果出现技术问题或故障，乙方应按响应文件和磋商时做出的书面承诺提供相应的服务和技术支持。</w:t>
      </w:r>
      <w:r>
        <w:rPr>
          <w:rFonts w:ascii="宋体" w:hAnsi="宋体"/>
          <w:color w:val="000000" w:themeColor="text1"/>
          <w:szCs w:val="21"/>
          <w14:textFill>
            <w14:solidFill>
              <w14:schemeClr w14:val="tx1"/>
            </w14:solidFill>
          </w14:textFill>
        </w:rPr>
        <w:t>在接到通知后1小时内应答，6小时内派出代表到达现场进行处理。在得到</w:t>
      </w:r>
      <w:r>
        <w:rPr>
          <w:rFonts w:hint="eastAsia" w:ascii="宋体" w:hAnsi="宋体"/>
          <w:color w:val="000000" w:themeColor="text1"/>
          <w:szCs w:val="21"/>
          <w14:textFill>
            <w14:solidFill>
              <w14:schemeClr w14:val="tx1"/>
            </w14:solidFill>
          </w14:textFill>
        </w:rPr>
        <w:t>乙方</w:t>
      </w:r>
      <w:r>
        <w:rPr>
          <w:rFonts w:ascii="宋体" w:hAnsi="宋体"/>
          <w:color w:val="000000" w:themeColor="text1"/>
          <w:szCs w:val="21"/>
          <w14:textFill>
            <w14:solidFill>
              <w14:schemeClr w14:val="tx1"/>
            </w14:solidFill>
          </w14:textFill>
        </w:rPr>
        <w:t>同意后，或在规定期限内，</w:t>
      </w:r>
      <w:r>
        <w:rPr>
          <w:rFonts w:hint="eastAsia" w:ascii="宋体" w:hAnsi="宋体"/>
          <w:color w:val="000000" w:themeColor="text1"/>
          <w:szCs w:val="21"/>
          <w14:textFill>
            <w14:solidFill>
              <w14:schemeClr w14:val="tx1"/>
            </w14:solidFill>
          </w14:textFill>
        </w:rPr>
        <w:t>乙方</w:t>
      </w:r>
      <w:r>
        <w:rPr>
          <w:rFonts w:ascii="宋体" w:hAnsi="宋体"/>
          <w:color w:val="000000" w:themeColor="text1"/>
          <w:szCs w:val="21"/>
          <w14:textFill>
            <w14:solidFill>
              <w14:schemeClr w14:val="tx1"/>
            </w14:solidFill>
          </w14:textFill>
        </w:rPr>
        <w:t>代表仍未到达现场，</w:t>
      </w:r>
      <w:r>
        <w:rPr>
          <w:rFonts w:hint="eastAsia" w:ascii="宋体" w:hAnsi="宋体"/>
          <w:color w:val="000000" w:themeColor="text1"/>
          <w:szCs w:val="21"/>
          <w14:textFill>
            <w14:solidFill>
              <w14:schemeClr w14:val="tx1"/>
            </w14:solidFill>
          </w14:textFill>
        </w:rPr>
        <w:t>甲方</w:t>
      </w:r>
      <w:r>
        <w:rPr>
          <w:rFonts w:ascii="宋体" w:hAnsi="宋体"/>
          <w:color w:val="000000" w:themeColor="text1"/>
          <w:szCs w:val="21"/>
          <w14:textFill>
            <w14:solidFill>
              <w14:schemeClr w14:val="tx1"/>
            </w14:solidFill>
          </w14:textFill>
        </w:rPr>
        <w:t>可以自己进行故障处理，并要求</w:t>
      </w:r>
      <w:r>
        <w:rPr>
          <w:rFonts w:hint="eastAsia" w:ascii="宋体" w:hAnsi="宋体"/>
          <w:color w:val="000000" w:themeColor="text1"/>
          <w:szCs w:val="21"/>
          <w14:textFill>
            <w14:solidFill>
              <w14:schemeClr w14:val="tx1"/>
            </w14:solidFill>
          </w14:textFill>
        </w:rPr>
        <w:t>乙方</w:t>
      </w:r>
      <w:r>
        <w:rPr>
          <w:rFonts w:ascii="宋体" w:hAnsi="宋体"/>
          <w:color w:val="000000" w:themeColor="text1"/>
          <w:szCs w:val="21"/>
          <w14:textFill>
            <w14:solidFill>
              <w14:schemeClr w14:val="tx1"/>
            </w14:solidFill>
          </w14:textFill>
        </w:rPr>
        <w:t>承担相应费用。重大技术故障</w:t>
      </w:r>
      <w:r>
        <w:rPr>
          <w:rFonts w:hint="eastAsia" w:ascii="宋体" w:hAnsi="宋体"/>
          <w:color w:val="000000" w:themeColor="text1"/>
          <w:szCs w:val="21"/>
          <w14:textFill>
            <w14:solidFill>
              <w14:schemeClr w14:val="tx1"/>
            </w14:solidFill>
          </w14:textFill>
        </w:rPr>
        <w:t>乙方</w:t>
      </w:r>
      <w:r>
        <w:rPr>
          <w:rFonts w:ascii="宋体" w:hAnsi="宋体"/>
          <w:color w:val="000000" w:themeColor="text1"/>
          <w:szCs w:val="21"/>
          <w14:textFill>
            <w14:solidFill>
              <w14:schemeClr w14:val="tx1"/>
            </w14:solidFill>
          </w14:textFill>
        </w:rPr>
        <w:t>需要明确处理的时间。</w:t>
      </w:r>
    </w:p>
    <w:p>
      <w:pPr>
        <w:numPr>
          <w:ilvl w:val="0"/>
          <w:numId w:val="10"/>
        </w:numPr>
        <w:adjustRightInd w:val="0"/>
        <w:snapToGrid w:val="0"/>
        <w:spacing w:line="360" w:lineRule="auto"/>
        <w:ind w:left="0" w:firstLine="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包修期：免费包修期</w:t>
      </w:r>
      <w:r>
        <w:rPr>
          <w:rFonts w:hint="eastAsia" w:ascii="宋体" w:hAnsi="宋体" w:cs="宋体"/>
          <w:color w:val="000000" w:themeColor="text1"/>
          <w:szCs w:val="21"/>
          <w14:textFill>
            <w14:solidFill>
              <w14:schemeClr w14:val="tx1"/>
            </w14:solidFill>
          </w14:textFill>
        </w:rPr>
        <w:t>为</w:t>
      </w:r>
      <w:r>
        <w:rPr>
          <w:rFonts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年（不少于三年）</w:t>
      </w:r>
      <w:r>
        <w:rPr>
          <w:rFonts w:hint="eastAsia" w:ascii="宋体" w:hAnsi="宋体"/>
          <w:color w:val="000000" w:themeColor="text1"/>
          <w:szCs w:val="21"/>
          <w14:textFill>
            <w14:solidFill>
              <w14:schemeClr w14:val="tx1"/>
            </w14:solidFill>
          </w14:textFill>
        </w:rPr>
        <w:t>，自验收通过之日起计算。免费包修期内</w:t>
      </w:r>
      <w:r>
        <w:rPr>
          <w:rFonts w:ascii="宋体" w:hAnsi="宋体"/>
          <w:color w:val="000000" w:themeColor="text1"/>
          <w:szCs w:val="21"/>
          <w14:textFill>
            <w14:solidFill>
              <w14:schemeClr w14:val="tx1"/>
            </w14:solidFill>
          </w14:textFill>
        </w:rPr>
        <w:t>，故障设备由</w:t>
      </w:r>
      <w:r>
        <w:rPr>
          <w:rFonts w:hint="eastAsia" w:ascii="宋体" w:hAnsi="宋体"/>
          <w:color w:val="000000" w:themeColor="text1"/>
          <w:szCs w:val="21"/>
          <w14:textFill>
            <w14:solidFill>
              <w14:schemeClr w14:val="tx1"/>
            </w14:solidFill>
          </w14:textFill>
        </w:rPr>
        <w:t>乙方</w:t>
      </w:r>
      <w:r>
        <w:rPr>
          <w:rFonts w:ascii="宋体" w:hAnsi="宋体"/>
          <w:color w:val="000000" w:themeColor="text1"/>
          <w:szCs w:val="21"/>
          <w14:textFill>
            <w14:solidFill>
              <w14:schemeClr w14:val="tx1"/>
            </w14:solidFill>
          </w14:textFill>
        </w:rPr>
        <w:t>应在6小时内予以更换或者修复完毕，更换故障部件的</w:t>
      </w:r>
      <w:r>
        <w:rPr>
          <w:rFonts w:hint="eastAsia" w:ascii="宋体" w:hAnsi="宋体"/>
          <w:color w:val="000000" w:themeColor="text1"/>
          <w:szCs w:val="21"/>
          <w14:textFill>
            <w14:solidFill>
              <w14:schemeClr w14:val="tx1"/>
            </w14:solidFill>
          </w14:textFill>
        </w:rPr>
        <w:t>免费包修期</w:t>
      </w:r>
      <w:r>
        <w:rPr>
          <w:rFonts w:ascii="宋体" w:hAnsi="宋体"/>
          <w:color w:val="000000" w:themeColor="text1"/>
          <w:szCs w:val="21"/>
          <w14:textFill>
            <w14:solidFill>
              <w14:schemeClr w14:val="tx1"/>
            </w14:solidFill>
          </w14:textFill>
        </w:rPr>
        <w:t>从更换日期起重新计算（一年或者本合同质保期剩余时间，以时间较长者为准）。</w:t>
      </w:r>
      <w:r>
        <w:rPr>
          <w:rFonts w:hint="eastAsia" w:ascii="宋体" w:hAnsi="宋体"/>
          <w:color w:val="000000" w:themeColor="text1"/>
          <w:szCs w:val="21"/>
          <w14:textFill>
            <w14:solidFill>
              <w14:schemeClr w14:val="tx1"/>
            </w14:solidFill>
          </w14:textFill>
        </w:rPr>
        <w:t>超过免费质保期后，乙方对其提供的产品在设备寿命期内提供有偿保修服务。全包维保每年</w:t>
      </w:r>
      <w:r>
        <w:rPr>
          <w:rFonts w:hint="eastAsia"/>
          <w:color w:val="000000" w:themeColor="text1"/>
          <w:szCs w:val="21"/>
          <w14:textFill>
            <w14:solidFill>
              <w14:schemeClr w14:val="tx1"/>
            </w14:solidFill>
          </w14:textFill>
        </w:rPr>
        <w:t>价格不得高于需要保修设备成交价的</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%（不高于5%）。</w:t>
      </w:r>
    </w:p>
    <w:p>
      <w:pPr>
        <w:numPr>
          <w:ilvl w:val="0"/>
          <w:numId w:val="10"/>
        </w:numPr>
        <w:adjustRightInd w:val="0"/>
        <w:snapToGrid w:val="0"/>
        <w:spacing w:line="360" w:lineRule="auto"/>
        <w:ind w:left="0" w:firstLine="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培训：包括响应文件和磋商时做出的书面承诺的培训。乙方另行提供的其它培训，往返路程费用、住宿及餐饮等费用由乙方承担。</w:t>
      </w:r>
    </w:p>
    <w:p>
      <w:pPr>
        <w:numPr>
          <w:ilvl w:val="0"/>
          <w:numId w:val="10"/>
        </w:numPr>
        <w:adjustRightInd w:val="0"/>
        <w:snapToGrid w:val="0"/>
        <w:spacing w:line="360" w:lineRule="auto"/>
        <w:ind w:left="0" w:firstLine="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原厂</w:t>
      </w:r>
      <w:r>
        <w:rPr>
          <w:rFonts w:hint="eastAsia" w:ascii="宋体" w:hAnsi="宋体"/>
          <w:color w:val="000000" w:themeColor="text1"/>
          <w:szCs w:val="18"/>
          <w14:textFill>
            <w14:solidFill>
              <w14:schemeClr w14:val="tx1"/>
            </w14:solidFill>
          </w14:textFill>
        </w:rPr>
        <w:t>服务：</w:t>
      </w:r>
      <w:r>
        <w:rPr>
          <w:rFonts w:hint="eastAsia" w:ascii="宋体" w:hAnsi="宋体"/>
          <w:color w:val="000000" w:themeColor="text1"/>
          <w:szCs w:val="21"/>
          <w14:textFill>
            <w14:solidFill>
              <w14:schemeClr w14:val="tx1"/>
            </w14:solidFill>
          </w14:textFill>
        </w:rPr>
        <w:t>乙方所提供的技术服务都由各产品制造商原厂提供。如乙方停止代理销售本合同涉及的品牌产品，则乙方保证由各产品制造商原厂继续提供所有的售后服务，且不免除乙方对此应承担的责任。</w:t>
      </w:r>
    </w:p>
    <w:p>
      <w:pPr>
        <w:numPr>
          <w:ilvl w:val="0"/>
          <w:numId w:val="10"/>
        </w:numPr>
        <w:adjustRightInd w:val="0"/>
        <w:snapToGrid w:val="0"/>
        <w:spacing w:line="360" w:lineRule="auto"/>
        <w:ind w:left="0" w:firstLine="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如果在系统发生故障后，乙方未能按照要求时间排除系统故障，甲方有权请第三方解决问题，由此产生的费用由乙方承担。造成甲方业务损失的，由乙方承担相应责任。</w:t>
      </w:r>
    </w:p>
    <w:p>
      <w:pPr>
        <w:numPr>
          <w:ilvl w:val="0"/>
          <w:numId w:val="10"/>
        </w:numPr>
        <w:adjustRightInd w:val="0"/>
        <w:snapToGrid w:val="0"/>
        <w:spacing w:line="360" w:lineRule="auto"/>
        <w:ind w:left="0" w:firstLine="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乙方保证立即响应并至少通过电话做远程诊断，尝试排除故障或进行紧急处理。</w:t>
      </w:r>
    </w:p>
    <w:p>
      <w:pPr>
        <w:numPr>
          <w:ilvl w:val="0"/>
          <w:numId w:val="10"/>
        </w:numPr>
        <w:adjustRightInd w:val="0"/>
        <w:snapToGrid w:val="0"/>
        <w:spacing w:line="360" w:lineRule="auto"/>
        <w:ind w:left="0" w:firstLine="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乙方保证提供完善的备件支持服务，用以保障甲方应急替换。若某部件发生故障，乙方承诺在6小时内为甲方替换部件。</w:t>
      </w:r>
    </w:p>
    <w:p>
      <w:pPr>
        <w:numPr>
          <w:ilvl w:val="0"/>
          <w:numId w:val="10"/>
        </w:numPr>
        <w:adjustRightInd w:val="0"/>
        <w:snapToGrid w:val="0"/>
        <w:spacing w:line="360" w:lineRule="auto"/>
        <w:ind w:left="0" w:firstLine="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乙方在甲方工地安装、调试期间，一切费用由乙方自理。</w:t>
      </w:r>
    </w:p>
    <w:p>
      <w:pPr>
        <w:numPr>
          <w:ilvl w:val="0"/>
          <w:numId w:val="10"/>
        </w:numPr>
        <w:adjustRightInd w:val="0"/>
        <w:snapToGrid w:val="0"/>
        <w:spacing w:line="360" w:lineRule="auto"/>
        <w:ind w:left="0" w:firstLine="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乙方所供货物要求实行终身维保；乙方应提供货物最低使用年限，在此期间内，不应发生非人为操作原因的重大故障，否则甲方有权追溯乙方的责任。</w:t>
      </w:r>
    </w:p>
    <w:p>
      <w:pPr>
        <w:pStyle w:val="3"/>
        <w:numPr>
          <w:ilvl w:val="255"/>
          <w:numId w:val="0"/>
        </w:numPr>
        <w:adjustRightInd w:val="0"/>
        <w:snapToGrid w:val="0"/>
        <w:spacing w:before="0" w:after="0" w:line="360" w:lineRule="auto"/>
        <w:ind w:left="4"/>
        <w:jc w:val="both"/>
        <w:rPr>
          <w:rFonts w:ascii="宋体" w:hAnsi="宋体" w:eastAsia="宋体"/>
          <w:b/>
          <w:color w:val="000000" w:themeColor="text1"/>
          <w:kern w:val="2"/>
          <w:sz w:val="21"/>
          <w:szCs w:val="21"/>
          <w14:textFill>
            <w14:solidFill>
              <w14:schemeClr w14:val="tx1"/>
            </w14:solidFill>
          </w14:textFill>
        </w:rPr>
      </w:pPr>
      <w:bookmarkStart w:id="25" w:name="_Toc72326303"/>
      <w:r>
        <w:rPr>
          <w:rFonts w:hint="eastAsia" w:ascii="宋体" w:hAnsi="宋体" w:eastAsia="宋体"/>
          <w:b/>
          <w:color w:val="000000" w:themeColor="text1"/>
          <w:kern w:val="2"/>
          <w:sz w:val="21"/>
          <w:szCs w:val="21"/>
          <w14:textFill>
            <w14:solidFill>
              <w14:schemeClr w14:val="tx1"/>
            </w14:solidFill>
          </w14:textFill>
        </w:rPr>
        <w:t>十一、技术升级和优惠条件</w:t>
      </w:r>
      <w:bookmarkEnd w:id="25"/>
    </w:p>
    <w:p>
      <w:pPr>
        <w:numPr>
          <w:ilvl w:val="0"/>
          <w:numId w:val="11"/>
        </w:numPr>
        <w:tabs>
          <w:tab w:val="left" w:pos="0"/>
          <w:tab w:val="clear" w:pos="420"/>
        </w:tabs>
        <w:adjustRightInd w:val="0"/>
        <w:snapToGrid w:val="0"/>
        <w:spacing w:line="360" w:lineRule="auto"/>
        <w:ind w:left="0" w:firstLine="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乙方对所开发软件在包修期内提供免费的不增加新功能的软件升级服务，并在升级后为甲方提供免费的培训。</w:t>
      </w:r>
    </w:p>
    <w:p>
      <w:pPr>
        <w:numPr>
          <w:ilvl w:val="0"/>
          <w:numId w:val="11"/>
        </w:numPr>
        <w:tabs>
          <w:tab w:val="left" w:pos="0"/>
          <w:tab w:val="clear" w:pos="420"/>
        </w:tabs>
        <w:adjustRightInd w:val="0"/>
        <w:snapToGrid w:val="0"/>
        <w:spacing w:line="360" w:lineRule="auto"/>
        <w:ind w:left="0" w:firstLine="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乙方</w:t>
      </w:r>
      <w:r>
        <w:rPr>
          <w:rFonts w:ascii="宋体" w:hAnsi="宋体"/>
          <w:color w:val="000000" w:themeColor="text1"/>
          <w:szCs w:val="21"/>
          <w14:textFill>
            <w14:solidFill>
              <w14:schemeClr w14:val="tx1"/>
            </w14:solidFill>
          </w14:textFill>
        </w:rPr>
        <w:t>对所供硬件及第三方软件在设备寿命期内提供免费的软件升级服务（包括设备模板），并在升级后为</w:t>
      </w:r>
      <w:r>
        <w:rPr>
          <w:rFonts w:hint="eastAsia" w:ascii="宋体" w:hAnsi="宋体"/>
          <w:color w:val="000000" w:themeColor="text1"/>
          <w:szCs w:val="21"/>
          <w14:textFill>
            <w14:solidFill>
              <w14:schemeClr w14:val="tx1"/>
            </w14:solidFill>
          </w14:textFill>
        </w:rPr>
        <w:t>甲方</w:t>
      </w:r>
      <w:r>
        <w:rPr>
          <w:rFonts w:ascii="宋体" w:hAnsi="宋体"/>
          <w:color w:val="000000" w:themeColor="text1"/>
          <w:szCs w:val="21"/>
          <w14:textFill>
            <w14:solidFill>
              <w14:schemeClr w14:val="tx1"/>
            </w14:solidFill>
          </w14:textFill>
        </w:rPr>
        <w:t>提供免费的培训。</w:t>
      </w:r>
    </w:p>
    <w:p>
      <w:pPr>
        <w:numPr>
          <w:ilvl w:val="0"/>
          <w:numId w:val="11"/>
        </w:numPr>
        <w:tabs>
          <w:tab w:val="left" w:pos="0"/>
          <w:tab w:val="clear" w:pos="420"/>
        </w:tabs>
        <w:adjustRightInd w:val="0"/>
        <w:snapToGrid w:val="0"/>
        <w:spacing w:line="360" w:lineRule="auto"/>
        <w:ind w:left="0" w:firstLine="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乙方</w:t>
      </w:r>
      <w:r>
        <w:rPr>
          <w:rFonts w:ascii="宋体" w:hAnsi="宋体"/>
          <w:color w:val="000000" w:themeColor="text1"/>
          <w:szCs w:val="21"/>
          <w14:textFill>
            <w14:solidFill>
              <w14:schemeClr w14:val="tx1"/>
            </w14:solidFill>
          </w14:textFill>
        </w:rPr>
        <w:t>承诺升级后的软件没有版权及权属争议等其它问题，并且保证到下次升级时可正常使用。</w:t>
      </w:r>
    </w:p>
    <w:p>
      <w:pPr>
        <w:numPr>
          <w:ilvl w:val="0"/>
          <w:numId w:val="11"/>
        </w:numPr>
        <w:tabs>
          <w:tab w:val="clear" w:pos="420"/>
        </w:tabs>
        <w:adjustRightInd w:val="0"/>
        <w:snapToGrid w:val="0"/>
        <w:spacing w:line="360" w:lineRule="auto"/>
        <w:ind w:left="0" w:firstLine="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甲方</w:t>
      </w:r>
      <w:r>
        <w:rPr>
          <w:rFonts w:ascii="宋体" w:hAnsi="宋体"/>
          <w:color w:val="000000" w:themeColor="text1"/>
          <w:szCs w:val="21"/>
          <w14:textFill>
            <w14:solidFill>
              <w14:schemeClr w14:val="tx1"/>
            </w14:solidFill>
          </w14:textFill>
        </w:rPr>
        <w:t>在本系统扩容时，</w:t>
      </w:r>
      <w:r>
        <w:rPr>
          <w:rFonts w:hint="eastAsia" w:ascii="宋体" w:hAnsi="宋体"/>
          <w:color w:val="000000" w:themeColor="text1"/>
          <w:szCs w:val="21"/>
          <w14:textFill>
            <w14:solidFill>
              <w14:schemeClr w14:val="tx1"/>
            </w14:solidFill>
          </w14:textFill>
        </w:rPr>
        <w:t>乙方</w:t>
      </w:r>
      <w:r>
        <w:rPr>
          <w:rFonts w:ascii="宋体" w:hAnsi="宋体"/>
          <w:color w:val="000000" w:themeColor="text1"/>
          <w:szCs w:val="21"/>
          <w14:textFill>
            <w14:solidFill>
              <w14:schemeClr w14:val="tx1"/>
            </w14:solidFill>
          </w14:textFill>
        </w:rPr>
        <w:t>提供的同类设备、配件、软件及相关服务等报价应不高于本项目的</w:t>
      </w:r>
      <w:r>
        <w:rPr>
          <w:rFonts w:hint="eastAsia" w:ascii="宋体" w:hAnsi="宋体"/>
          <w:color w:val="000000" w:themeColor="text1"/>
          <w:szCs w:val="21"/>
          <w14:textFill>
            <w14:solidFill>
              <w14:schemeClr w14:val="tx1"/>
            </w14:solidFill>
          </w14:textFill>
        </w:rPr>
        <w:t>成交</w:t>
      </w:r>
      <w:r>
        <w:rPr>
          <w:rFonts w:ascii="宋体" w:hAnsi="宋体"/>
          <w:color w:val="000000" w:themeColor="text1"/>
          <w:szCs w:val="21"/>
          <w14:textFill>
            <w14:solidFill>
              <w14:schemeClr w14:val="tx1"/>
            </w14:solidFill>
          </w14:textFill>
        </w:rPr>
        <w:t>价格、折扣，且不高于当时市场价格。</w:t>
      </w:r>
    </w:p>
    <w:p>
      <w:pPr>
        <w:numPr>
          <w:ilvl w:val="255"/>
          <w:numId w:val="0"/>
        </w:numPr>
        <w:adjustRightInd w:val="0"/>
        <w:snapToGrid w:val="0"/>
        <w:spacing w:line="360" w:lineRule="auto"/>
        <w:rPr>
          <w:rFonts w:ascii="宋体" w:hAnsi="宋体"/>
          <w:b/>
          <w:color w:val="000000" w:themeColor="text1"/>
          <w:szCs w:val="21"/>
          <w14:textFill>
            <w14:solidFill>
              <w14:schemeClr w14:val="tx1"/>
            </w14:solidFill>
          </w14:textFill>
        </w:rPr>
      </w:pPr>
      <w:bookmarkStart w:id="26" w:name="_Toc72326304"/>
      <w:r>
        <w:rPr>
          <w:rFonts w:hint="eastAsia" w:ascii="宋体" w:hAnsi="宋体"/>
          <w:b/>
          <w:bCs/>
          <w:color w:val="000000" w:themeColor="text1"/>
          <w:szCs w:val="21"/>
          <w14:textFill>
            <w14:solidFill>
              <w14:schemeClr w14:val="tx1"/>
            </w14:solidFill>
          </w14:textFill>
        </w:rPr>
        <w:t>十二</w:t>
      </w:r>
      <w:r>
        <w:rPr>
          <w:rFonts w:hint="eastAsia" w:ascii="宋体" w:hAnsi="宋体"/>
          <w:color w:val="000000" w:themeColor="text1"/>
          <w:szCs w:val="21"/>
          <w14:textFill>
            <w14:solidFill>
              <w14:schemeClr w14:val="tx1"/>
            </w14:solidFill>
          </w14:textFill>
        </w:rPr>
        <w:t>、</w:t>
      </w:r>
      <w:bookmarkEnd w:id="26"/>
      <w:bookmarkStart w:id="27" w:name="_Toc72326305"/>
      <w:r>
        <w:rPr>
          <w:rFonts w:hint="eastAsia" w:ascii="宋体" w:hAnsi="宋体"/>
          <w:b/>
          <w:bCs/>
          <w:color w:val="000000" w:themeColor="text1"/>
          <w:szCs w:val="21"/>
          <w14:textFill>
            <w14:solidFill>
              <w14:schemeClr w14:val="tx1"/>
            </w14:solidFill>
          </w14:textFill>
        </w:rPr>
        <w:t>双方责任</w:t>
      </w:r>
      <w:bookmarkEnd w:id="27"/>
    </w:p>
    <w:p>
      <w:pPr>
        <w:numPr>
          <w:ilvl w:val="255"/>
          <w:numId w:val="0"/>
        </w:numPr>
        <w:adjustRightInd w:val="0"/>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甲方责任</w:t>
      </w:r>
    </w:p>
    <w:p>
      <w:pPr>
        <w:numPr>
          <w:ilvl w:val="0"/>
          <w:numId w:val="12"/>
        </w:numPr>
        <w:adjustRightInd w:val="0"/>
        <w:snapToGrid w:val="0"/>
        <w:spacing w:line="360" w:lineRule="auto"/>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甲方需为乙方提供项目实施便利，积极配合乙方进行项目实施安装及调试。</w:t>
      </w:r>
    </w:p>
    <w:p>
      <w:pPr>
        <w:numPr>
          <w:ilvl w:val="0"/>
          <w:numId w:val="12"/>
        </w:numPr>
        <w:adjustRightInd w:val="0"/>
        <w:snapToGrid w:val="0"/>
        <w:spacing w:line="360" w:lineRule="auto"/>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甲方需为乙方协调各方关系提供便利。</w:t>
      </w:r>
    </w:p>
    <w:p>
      <w:pPr>
        <w:numPr>
          <w:ilvl w:val="0"/>
          <w:numId w:val="12"/>
        </w:numPr>
        <w:adjustRightInd w:val="0"/>
        <w:snapToGrid w:val="0"/>
        <w:spacing w:line="360" w:lineRule="auto"/>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甲方应指派管理人员、技术人员参加项目系统安装、系统测试和其它工作。</w:t>
      </w:r>
    </w:p>
    <w:p>
      <w:pPr>
        <w:numPr>
          <w:ilvl w:val="0"/>
          <w:numId w:val="12"/>
        </w:numPr>
        <w:tabs>
          <w:tab w:val="left" w:pos="0"/>
          <w:tab w:val="clear" w:pos="420"/>
        </w:tabs>
        <w:adjustRightInd w:val="0"/>
        <w:snapToGrid w:val="0"/>
        <w:spacing w:line="360" w:lineRule="auto"/>
        <w:ind w:left="0" w:firstLine="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因乙方未按合同质量或要求交货产品，甲方有权拒收，甲方的该项权利不因产品在启运前通过甲方的验收而受到任何限制或影响。</w:t>
      </w:r>
    </w:p>
    <w:p>
      <w:pPr>
        <w:numPr>
          <w:ilvl w:val="255"/>
          <w:numId w:val="0"/>
        </w:numPr>
        <w:adjustRightInd w:val="0"/>
        <w:snapToGrid w:val="0"/>
        <w:spacing w:line="360" w:lineRule="auto"/>
        <w:rPr>
          <w:rFonts w:ascii="宋体" w:hAnsi="宋体"/>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乙方责任</w:t>
      </w:r>
    </w:p>
    <w:p>
      <w:pPr>
        <w:numPr>
          <w:ilvl w:val="0"/>
          <w:numId w:val="13"/>
        </w:numPr>
        <w:tabs>
          <w:tab w:val="left" w:pos="0"/>
          <w:tab w:val="clear" w:pos="420"/>
        </w:tabs>
        <w:adjustRightInd w:val="0"/>
        <w:snapToGrid w:val="0"/>
        <w:spacing w:line="360" w:lineRule="auto"/>
        <w:ind w:left="0" w:firstLine="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乙方承诺：除响应文件及后续书面承诺标明的偏离外，乙方提供的产品和服务均满足竞争性磋商文件要求。</w:t>
      </w:r>
    </w:p>
    <w:p>
      <w:pPr>
        <w:numPr>
          <w:ilvl w:val="0"/>
          <w:numId w:val="13"/>
        </w:numPr>
        <w:tabs>
          <w:tab w:val="left" w:pos="0"/>
          <w:tab w:val="clear" w:pos="420"/>
        </w:tabs>
        <w:adjustRightInd w:val="0"/>
        <w:snapToGrid w:val="0"/>
        <w:spacing w:line="360" w:lineRule="auto"/>
        <w:ind w:left="0" w:firstLine="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乙方应按照竞争性磋商文件、响应文件、乙方后续书面承诺的技术要求以及甲乙双方协定补充文件，提供合格的产品，并保证通过甲方的验收。</w:t>
      </w:r>
    </w:p>
    <w:p>
      <w:pPr>
        <w:numPr>
          <w:ilvl w:val="0"/>
          <w:numId w:val="13"/>
        </w:numPr>
        <w:tabs>
          <w:tab w:val="left" w:pos="0"/>
          <w:tab w:val="clear" w:pos="420"/>
        </w:tabs>
        <w:adjustRightInd w:val="0"/>
        <w:snapToGrid w:val="0"/>
        <w:spacing w:line="360" w:lineRule="auto"/>
        <w:ind w:left="0" w:firstLine="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在系统安装、调试、开发过程中，乙方须保证不影响甲方现有系统的正常运行和现有业务的正常发展。</w:t>
      </w:r>
    </w:p>
    <w:p>
      <w:pPr>
        <w:numPr>
          <w:ilvl w:val="0"/>
          <w:numId w:val="13"/>
        </w:numPr>
        <w:tabs>
          <w:tab w:val="left" w:pos="0"/>
          <w:tab w:val="clear" w:pos="420"/>
        </w:tabs>
        <w:adjustRightInd w:val="0"/>
        <w:snapToGrid w:val="0"/>
        <w:spacing w:line="360" w:lineRule="auto"/>
        <w:ind w:left="0" w:firstLine="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乙方保证在系统安装、调试、开发过程中不非法使用第三方软件，否则由此产生的纠纷由乙方自行负责。</w:t>
      </w:r>
    </w:p>
    <w:p>
      <w:pPr>
        <w:numPr>
          <w:ilvl w:val="0"/>
          <w:numId w:val="13"/>
        </w:numPr>
        <w:tabs>
          <w:tab w:val="left" w:pos="0"/>
          <w:tab w:val="clear" w:pos="420"/>
        </w:tabs>
        <w:adjustRightInd w:val="0"/>
        <w:snapToGrid w:val="0"/>
        <w:spacing w:line="360" w:lineRule="auto"/>
        <w:ind w:left="0" w:firstLine="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乙方在产品安装、调试、开发过程中须派驻足够的有经验的工程技术人员到施工现场进行安装指导，在甲方的组织安排下负责完成系统调试、现场性能试验和验收，服从甲方的现场安排。非因甲方原因，乙方人员遭受人身、财产损害，或乙方人员造成甲方、第三人人身财产损害的，由乙方承担全部责任。</w:t>
      </w:r>
    </w:p>
    <w:p>
      <w:pPr>
        <w:numPr>
          <w:ilvl w:val="0"/>
          <w:numId w:val="13"/>
        </w:numPr>
        <w:adjustRightInd w:val="0"/>
        <w:snapToGrid w:val="0"/>
        <w:spacing w:line="360" w:lineRule="auto"/>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乙方按照要求提供产品合格证书、产品检测记录、调试记录等技术资料。</w:t>
      </w:r>
    </w:p>
    <w:p>
      <w:pPr>
        <w:numPr>
          <w:ilvl w:val="0"/>
          <w:numId w:val="13"/>
        </w:numPr>
        <w:tabs>
          <w:tab w:val="left" w:pos="0"/>
          <w:tab w:val="clear" w:pos="420"/>
        </w:tabs>
        <w:adjustRightInd w:val="0"/>
        <w:snapToGrid w:val="0"/>
        <w:spacing w:line="360" w:lineRule="auto"/>
        <w:ind w:left="0" w:firstLine="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乙方负责与硬件设备相配套的软件厂家、其它设备的制造商、第三方软件厂家和售后服务部门等联系沟通，完成安装、调试，配置相关的产品。</w:t>
      </w:r>
    </w:p>
    <w:p>
      <w:pPr>
        <w:numPr>
          <w:ilvl w:val="0"/>
          <w:numId w:val="13"/>
        </w:numPr>
        <w:adjustRightInd w:val="0"/>
        <w:snapToGrid w:val="0"/>
        <w:spacing w:line="360" w:lineRule="auto"/>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乙方负责配合相关厂家，定期检查产品、及时排查硬件故障。</w:t>
      </w:r>
    </w:p>
    <w:p>
      <w:pPr>
        <w:numPr>
          <w:ilvl w:val="0"/>
          <w:numId w:val="13"/>
        </w:numPr>
        <w:adjustRightInd w:val="0"/>
        <w:snapToGrid w:val="0"/>
        <w:spacing w:line="360" w:lineRule="auto"/>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乙方未按合同规定的质量要求交货产品，甲方拒收时，乙方应承担合同的违约责任。</w:t>
      </w:r>
    </w:p>
    <w:p>
      <w:pPr>
        <w:numPr>
          <w:ilvl w:val="0"/>
          <w:numId w:val="13"/>
        </w:numPr>
        <w:adjustRightInd w:val="0"/>
        <w:snapToGrid w:val="0"/>
        <w:spacing w:line="360" w:lineRule="auto"/>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迟延履行，甲方书面确定一个合理的期限，如乙方仍不能履行，按乙方不履行合同处理。</w:t>
      </w:r>
    </w:p>
    <w:p>
      <w:pPr>
        <w:numPr>
          <w:ilvl w:val="0"/>
          <w:numId w:val="13"/>
        </w:numPr>
        <w:tabs>
          <w:tab w:val="left" w:pos="0"/>
          <w:tab w:val="clear" w:pos="420"/>
        </w:tabs>
        <w:adjustRightInd w:val="0"/>
        <w:snapToGrid w:val="0"/>
        <w:spacing w:line="360" w:lineRule="auto"/>
        <w:ind w:left="0" w:firstLine="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本合同所有产品的制造，都必须由响应文件和磋商时做出的书面承诺中明确的制造商承担，否则将按乙方不履行合同处理。</w:t>
      </w:r>
    </w:p>
    <w:p>
      <w:pPr>
        <w:numPr>
          <w:ilvl w:val="0"/>
          <w:numId w:val="13"/>
        </w:numPr>
        <w:tabs>
          <w:tab w:val="left" w:pos="0"/>
          <w:tab w:val="clear" w:pos="420"/>
        </w:tabs>
        <w:adjustRightInd w:val="0"/>
        <w:snapToGrid w:val="0"/>
        <w:spacing w:line="360" w:lineRule="auto"/>
        <w:ind w:left="0" w:firstLine="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乙方保证不在软件中对功能、性能、容量进行人为限制，不得含有陷阱、逻辑炸弹、后门等非法程序代码。</w:t>
      </w:r>
    </w:p>
    <w:p>
      <w:pPr>
        <w:numPr>
          <w:ilvl w:val="0"/>
          <w:numId w:val="13"/>
        </w:numPr>
        <w:tabs>
          <w:tab w:val="left" w:pos="0"/>
          <w:tab w:val="clear" w:pos="420"/>
        </w:tabs>
        <w:adjustRightInd w:val="0"/>
        <w:snapToGrid w:val="0"/>
        <w:spacing w:line="360" w:lineRule="auto"/>
        <w:ind w:left="0" w:firstLine="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乙方保证按培训计划对甲方技术人员进行培训，向甲方公开所有技术细节和技术资料，使甲方人员完全了解和掌握系统开发、调试、安装过程，具备对系统进行独立运营和维护的能力，保证在系统验收后甲方人员能够进行交接。</w:t>
      </w:r>
    </w:p>
    <w:p>
      <w:pPr>
        <w:numPr>
          <w:ilvl w:val="0"/>
          <w:numId w:val="13"/>
        </w:numPr>
        <w:tabs>
          <w:tab w:val="left" w:pos="0"/>
          <w:tab w:val="clear" w:pos="420"/>
        </w:tabs>
        <w:adjustRightInd w:val="0"/>
        <w:snapToGrid w:val="0"/>
        <w:spacing w:line="360" w:lineRule="auto"/>
        <w:ind w:left="0" w:firstLine="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乙方保证，甲方在其本国使用供应商提供的货物或服务时，不存在任何已知的不合法的情形，也不存在任何已知的与第三方专利权、著作权、商标权或工业设计权相关的任何争议。如果有任何因甲方使用乙方提供的货物及</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或服务而提起的侵权指控，乙方须依法承担全部责任</w:t>
      </w:r>
    </w:p>
    <w:p>
      <w:pPr>
        <w:pStyle w:val="3"/>
        <w:numPr>
          <w:ilvl w:val="255"/>
          <w:numId w:val="0"/>
        </w:numPr>
        <w:adjustRightInd w:val="0"/>
        <w:snapToGrid w:val="0"/>
        <w:spacing w:before="0" w:after="0" w:line="360" w:lineRule="auto"/>
        <w:ind w:left="4"/>
        <w:jc w:val="both"/>
        <w:rPr>
          <w:rFonts w:ascii="宋体" w:hAnsi="宋体" w:eastAsia="宋体"/>
          <w:b/>
          <w:color w:val="000000" w:themeColor="text1"/>
          <w:kern w:val="2"/>
          <w:sz w:val="21"/>
          <w:szCs w:val="21"/>
          <w14:textFill>
            <w14:solidFill>
              <w14:schemeClr w14:val="tx1"/>
            </w14:solidFill>
          </w14:textFill>
        </w:rPr>
      </w:pPr>
      <w:bookmarkStart w:id="28" w:name="_Toc72326306"/>
      <w:r>
        <w:rPr>
          <w:rFonts w:hint="eastAsia" w:ascii="宋体" w:hAnsi="宋体" w:eastAsia="宋体"/>
          <w:b/>
          <w:color w:val="000000" w:themeColor="text1"/>
          <w:kern w:val="2"/>
          <w:sz w:val="21"/>
          <w:szCs w:val="21"/>
          <w14:textFill>
            <w14:solidFill>
              <w14:schemeClr w14:val="tx1"/>
            </w14:solidFill>
          </w14:textFill>
        </w:rPr>
        <w:t>十三、违约责任</w:t>
      </w:r>
      <w:bookmarkEnd w:id="28"/>
    </w:p>
    <w:p>
      <w:pPr>
        <w:numPr>
          <w:ilvl w:val="0"/>
          <w:numId w:val="14"/>
        </w:numPr>
        <w:adjustRightInd w:val="0"/>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乙方承担本合同约定事项的违约责任，且不因设备或软是由第三方制造或开发设计等因素而受到影响。</w:t>
      </w:r>
    </w:p>
    <w:p>
      <w:pPr>
        <w:numPr>
          <w:ilvl w:val="0"/>
          <w:numId w:val="14"/>
        </w:numPr>
        <w:tabs>
          <w:tab w:val="left" w:pos="0"/>
          <w:tab w:val="clear" w:pos="420"/>
        </w:tabs>
        <w:adjustRightInd w:val="0"/>
        <w:snapToGrid w:val="0"/>
        <w:spacing w:line="360" w:lineRule="auto"/>
        <w:ind w:left="0" w:firstLine="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由于乙方提供的开发服务不符合竞争性磋商文件及本合同第四条所规定的要求时，甲方有权要求乙方更换，如果乙方产品在更换后仍不符合要求，甲方有权终止合同，乙方应支付合同总额20%的违约金给甲方。</w:t>
      </w:r>
    </w:p>
    <w:p>
      <w:pPr>
        <w:numPr>
          <w:ilvl w:val="0"/>
          <w:numId w:val="14"/>
        </w:numPr>
        <w:tabs>
          <w:tab w:val="left" w:pos="0"/>
          <w:tab w:val="clear" w:pos="420"/>
        </w:tabs>
        <w:adjustRightInd w:val="0"/>
        <w:snapToGrid w:val="0"/>
        <w:spacing w:line="360" w:lineRule="auto"/>
        <w:ind w:left="0" w:firstLine="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若甲方已有系统是由乙方提供开发服务的，则乙方应按甲方要求进行技术服务，保证业务的正常运营和系统的正常运行，否则甲方有权终止本合同。</w:t>
      </w:r>
    </w:p>
    <w:p>
      <w:pPr>
        <w:numPr>
          <w:ilvl w:val="0"/>
          <w:numId w:val="14"/>
        </w:numPr>
        <w:tabs>
          <w:tab w:val="left" w:pos="0"/>
          <w:tab w:val="clear" w:pos="420"/>
        </w:tabs>
        <w:adjustRightInd w:val="0"/>
        <w:snapToGrid w:val="0"/>
        <w:spacing w:line="360" w:lineRule="auto"/>
        <w:ind w:left="0" w:firstLine="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在合同规定的包修期内，如果乙方维修售后服务不及时、产品质量不稳定等违约情况发生，则甲方有权酌情扣除质量保证金，按照5</w:t>
      </w:r>
      <w:r>
        <w:rPr>
          <w:rFonts w:ascii="宋体" w:hAnsi="宋体"/>
          <w:color w:val="000000" w:themeColor="text1"/>
          <w:szCs w:val="21"/>
          <w14:textFill>
            <w14:solidFill>
              <w14:schemeClr w14:val="tx1"/>
            </w14:solidFill>
          </w14:textFill>
        </w:rPr>
        <w:t>00元</w:t>
      </w:r>
      <w:r>
        <w:rPr>
          <w:rFonts w:hint="eastAsia" w:ascii="宋体" w:hAnsi="宋体"/>
          <w:color w:val="000000" w:themeColor="text1"/>
          <w:szCs w:val="21"/>
          <w14:textFill>
            <w14:solidFill>
              <w14:schemeClr w14:val="tx1"/>
            </w14:solidFill>
          </w14:textFill>
        </w:rPr>
        <w:t>/天计算，并追究乙方赔偿损失的责任。</w:t>
      </w:r>
    </w:p>
    <w:p>
      <w:pPr>
        <w:numPr>
          <w:ilvl w:val="0"/>
          <w:numId w:val="14"/>
        </w:numPr>
        <w:tabs>
          <w:tab w:val="left" w:pos="0"/>
          <w:tab w:val="clear" w:pos="420"/>
        </w:tabs>
        <w:adjustRightInd w:val="0"/>
        <w:snapToGrid w:val="0"/>
        <w:spacing w:line="360" w:lineRule="auto"/>
        <w:ind w:left="0" w:firstLine="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在合同规定的包修期内，如因乙方原因造成甲方其他经济损失的，乙方须承担赔偿损失的责任。</w:t>
      </w:r>
    </w:p>
    <w:p>
      <w:pPr>
        <w:numPr>
          <w:ilvl w:val="0"/>
          <w:numId w:val="14"/>
        </w:numPr>
        <w:tabs>
          <w:tab w:val="left" w:pos="0"/>
          <w:tab w:val="clear" w:pos="420"/>
        </w:tabs>
        <w:adjustRightInd w:val="0"/>
        <w:snapToGrid w:val="0"/>
        <w:spacing w:line="360" w:lineRule="auto"/>
        <w:ind w:left="0" w:firstLine="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甲方有权根据当地质检部门出具的检验报告，就乙方提供的开发服务及系统质量问题向乙方提出索赔，检测费用由乙方承担。</w:t>
      </w:r>
    </w:p>
    <w:p>
      <w:pPr>
        <w:numPr>
          <w:ilvl w:val="0"/>
          <w:numId w:val="14"/>
        </w:numPr>
        <w:tabs>
          <w:tab w:val="left" w:pos="0"/>
          <w:tab w:val="clear" w:pos="420"/>
        </w:tabs>
        <w:adjustRightInd w:val="0"/>
        <w:snapToGrid w:val="0"/>
        <w:spacing w:line="360" w:lineRule="auto"/>
        <w:ind w:left="0" w:firstLine="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如果在甲方发出索赔通知后20日内，乙方未作书面答复，视为乙方接受索赔要求，乙方应当立即支付赔偿金。</w:t>
      </w:r>
    </w:p>
    <w:p>
      <w:pPr>
        <w:numPr>
          <w:ilvl w:val="0"/>
          <w:numId w:val="14"/>
        </w:numPr>
        <w:tabs>
          <w:tab w:val="left" w:pos="0"/>
          <w:tab w:val="clear" w:pos="420"/>
        </w:tabs>
        <w:adjustRightInd w:val="0"/>
        <w:snapToGrid w:val="0"/>
        <w:spacing w:line="360" w:lineRule="auto"/>
        <w:ind w:left="0" w:firstLine="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因乙方违约导致甲方终止合同的，在乙方应将甲方已付的所有合同价款及利息退还甲方，此后，甲方将相关系统成果及资料退还乙方，要求乙方承担本合同约定的违约责任，乙方应支付甲方合同总价款的20%作为违约金，同时赔偿因此给甲方造成的全部损失。</w:t>
      </w:r>
    </w:p>
    <w:p>
      <w:pPr>
        <w:numPr>
          <w:ilvl w:val="0"/>
          <w:numId w:val="14"/>
        </w:numPr>
        <w:tabs>
          <w:tab w:val="left" w:pos="0"/>
          <w:tab w:val="clear" w:pos="420"/>
        </w:tabs>
        <w:adjustRightInd w:val="0"/>
        <w:snapToGrid w:val="0"/>
        <w:spacing w:line="360" w:lineRule="auto"/>
        <w:ind w:left="0" w:firstLine="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由于乙方的原因导致甲方本项目系统中断或系统运行缓慢，致使在实际运营中给甲乙双方造成损失的，乙方应赔偿甲方因此遭受的直接损失和间接损失，同时上述情况每出现一次，甲方有权开据处罚单给乙方，并直接从合同款中扣除合同总额5‰作为违约金；如累计超过5次，则甲方有权终止本合同。</w:t>
      </w:r>
    </w:p>
    <w:p>
      <w:pPr>
        <w:numPr>
          <w:ilvl w:val="0"/>
          <w:numId w:val="14"/>
        </w:numPr>
        <w:tabs>
          <w:tab w:val="left" w:pos="0"/>
          <w:tab w:val="clear" w:pos="420"/>
        </w:tabs>
        <w:adjustRightInd w:val="0"/>
        <w:snapToGrid w:val="0"/>
        <w:spacing w:line="360" w:lineRule="auto"/>
        <w:ind w:left="0" w:firstLine="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由于乙方的原因导致甲方业务数据错误或业务数据丢失，给甲方造成损失的，乙方应赔偿甲方因此遭受的直接损失，如出现一次业务数据错误或业务数据丢失，甲方有权开据处罚单给乙方，并直接从合同款中扣除合同总额1%作为违约金。</w:t>
      </w:r>
    </w:p>
    <w:p>
      <w:pPr>
        <w:numPr>
          <w:ilvl w:val="0"/>
          <w:numId w:val="14"/>
        </w:numPr>
        <w:tabs>
          <w:tab w:val="left" w:pos="0"/>
          <w:tab w:val="clear" w:pos="420"/>
        </w:tabs>
        <w:adjustRightInd w:val="0"/>
        <w:snapToGrid w:val="0"/>
        <w:spacing w:line="360" w:lineRule="auto"/>
        <w:ind w:left="0" w:firstLine="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无论本合同其他条款如何规定，因乙方违约（包括但不限于：违反对系统、软件性能、功能的担保等）需对甲方承担的违约责任和赔偿总额累计不超过合同总额（但此赔偿不能解除乙方相关责任、义务的继续履行，如修正、更换）；且乙方对甲方赔偿金的支付已被认为足额补偿采购人的全部损失。</w:t>
      </w:r>
    </w:p>
    <w:p>
      <w:pPr>
        <w:pStyle w:val="3"/>
        <w:numPr>
          <w:ilvl w:val="255"/>
          <w:numId w:val="0"/>
        </w:numPr>
        <w:adjustRightInd w:val="0"/>
        <w:snapToGrid w:val="0"/>
        <w:spacing w:before="0" w:after="0" w:line="360" w:lineRule="auto"/>
        <w:ind w:left="4"/>
        <w:jc w:val="both"/>
        <w:rPr>
          <w:rFonts w:ascii="宋体" w:hAnsi="宋体" w:eastAsia="宋体"/>
          <w:b/>
          <w:color w:val="000000" w:themeColor="text1"/>
          <w:kern w:val="2"/>
          <w:sz w:val="21"/>
          <w:szCs w:val="21"/>
          <w14:textFill>
            <w14:solidFill>
              <w14:schemeClr w14:val="tx1"/>
            </w14:solidFill>
          </w14:textFill>
        </w:rPr>
      </w:pPr>
      <w:bookmarkStart w:id="29" w:name="_Toc72326307"/>
      <w:r>
        <w:rPr>
          <w:rFonts w:hint="eastAsia" w:ascii="宋体" w:hAnsi="宋体" w:eastAsia="宋体"/>
          <w:b/>
          <w:color w:val="000000" w:themeColor="text1"/>
          <w:kern w:val="2"/>
          <w:sz w:val="21"/>
          <w:szCs w:val="21"/>
          <w14:textFill>
            <w14:solidFill>
              <w14:schemeClr w14:val="tx1"/>
            </w14:solidFill>
          </w14:textFill>
        </w:rPr>
        <w:t>十四、廉洁条款</w:t>
      </w:r>
      <w:bookmarkEnd w:id="29"/>
    </w:p>
    <w:p>
      <w:pPr>
        <w:numPr>
          <w:ilvl w:val="0"/>
          <w:numId w:val="15"/>
        </w:numPr>
        <w:tabs>
          <w:tab w:val="left" w:pos="0"/>
          <w:tab w:val="clear" w:pos="420"/>
        </w:tabs>
        <w:adjustRightInd w:val="0"/>
        <w:snapToGrid w:val="0"/>
        <w:spacing w:line="360" w:lineRule="auto"/>
        <w:ind w:left="0" w:firstLine="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双方应当共同遵守国家关于企业人员廉洁从业的规定，应通过正常合法的途径开展业务工作。甲方人员不得接受乙方的礼金、有价证券、物品，不得在乙方报销任何费用，不得参加其任何的宴请和娱乐活动。如有工作人员违纪违法接受好处，双方均应及时向对方领导或对方上级部门举报，被举报的一方不得以任何借口打击报复。</w:t>
      </w:r>
    </w:p>
    <w:p>
      <w:pPr>
        <w:numPr>
          <w:ilvl w:val="0"/>
          <w:numId w:val="15"/>
        </w:numPr>
        <w:tabs>
          <w:tab w:val="left" w:pos="0"/>
          <w:tab w:val="clear" w:pos="420"/>
        </w:tabs>
        <w:adjustRightInd w:val="0"/>
        <w:snapToGrid w:val="0"/>
        <w:spacing w:line="360" w:lineRule="auto"/>
        <w:ind w:left="0" w:firstLine="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乙方不得以任何借口向甲方人员送以礼金、有价证券、物品，不得为甲方人员报销任何费用，不得邀请甲方人员参加其任何的宴请和娱乐活动。一经发现有上述行为，甲方有权终止本合同，并在3年内不再邀请乙方参加任何采购活动。</w:t>
      </w:r>
    </w:p>
    <w:p>
      <w:pPr>
        <w:pStyle w:val="3"/>
        <w:numPr>
          <w:ilvl w:val="255"/>
          <w:numId w:val="0"/>
        </w:numPr>
        <w:adjustRightInd w:val="0"/>
        <w:snapToGrid w:val="0"/>
        <w:spacing w:before="0" w:after="0" w:line="360" w:lineRule="auto"/>
        <w:ind w:left="4"/>
        <w:jc w:val="both"/>
        <w:rPr>
          <w:rFonts w:ascii="宋体" w:hAnsi="宋体" w:eastAsia="宋体"/>
          <w:b/>
          <w:color w:val="000000" w:themeColor="text1"/>
          <w:kern w:val="2"/>
          <w:sz w:val="21"/>
          <w:szCs w:val="21"/>
          <w14:textFill>
            <w14:solidFill>
              <w14:schemeClr w14:val="tx1"/>
            </w14:solidFill>
          </w14:textFill>
        </w:rPr>
      </w:pPr>
      <w:bookmarkStart w:id="30" w:name="_Toc72326308"/>
      <w:r>
        <w:rPr>
          <w:rFonts w:hint="eastAsia" w:ascii="宋体" w:hAnsi="宋体" w:eastAsia="宋体"/>
          <w:b/>
          <w:color w:val="000000" w:themeColor="text1"/>
          <w:kern w:val="2"/>
          <w:sz w:val="21"/>
          <w:szCs w:val="21"/>
          <w14:textFill>
            <w14:solidFill>
              <w14:schemeClr w14:val="tx1"/>
            </w14:solidFill>
          </w14:textFill>
        </w:rPr>
        <w:t>十五、不可抗力</w:t>
      </w:r>
      <w:bookmarkEnd w:id="30"/>
    </w:p>
    <w:p>
      <w:pPr>
        <w:numPr>
          <w:ilvl w:val="0"/>
          <w:numId w:val="16"/>
        </w:numPr>
        <w:tabs>
          <w:tab w:val="left" w:pos="0"/>
          <w:tab w:val="clear" w:pos="420"/>
        </w:tabs>
        <w:adjustRightInd w:val="0"/>
        <w:snapToGrid w:val="0"/>
        <w:spacing w:line="360" w:lineRule="auto"/>
        <w:ind w:left="0" w:firstLine="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当发生不可抗拒事故时，受影响一方应于</w:t>
      </w:r>
      <w:r>
        <w:rPr>
          <w:rFonts w:ascii="宋体" w:hAnsi="宋体"/>
          <w:color w:val="000000" w:themeColor="text1"/>
          <w:szCs w:val="21"/>
          <w14:textFill>
            <w14:solidFill>
              <w14:schemeClr w14:val="tx1"/>
            </w14:solidFill>
          </w14:textFill>
        </w:rPr>
        <w:t>10</w:t>
      </w:r>
      <w:r>
        <w:rPr>
          <w:rFonts w:hint="eastAsia" w:ascii="宋体" w:hAnsi="宋体"/>
          <w:color w:val="000000" w:themeColor="text1"/>
          <w:szCs w:val="21"/>
          <w14:textFill>
            <w14:solidFill>
              <w14:schemeClr w14:val="tx1"/>
            </w14:solidFill>
          </w14:textFill>
        </w:rPr>
        <w:t>日内以书面形式通知对方，以减轻可能给对方造成的损失，并应当在合理期限内提供公证机构出具的有效证明文件证明。</w:t>
      </w:r>
    </w:p>
    <w:p>
      <w:pPr>
        <w:numPr>
          <w:ilvl w:val="0"/>
          <w:numId w:val="16"/>
        </w:numPr>
        <w:tabs>
          <w:tab w:val="left" w:pos="0"/>
          <w:tab w:val="clear" w:pos="420"/>
        </w:tabs>
        <w:adjustRightInd w:val="0"/>
        <w:snapToGrid w:val="0"/>
        <w:spacing w:line="360" w:lineRule="auto"/>
        <w:ind w:left="0" w:firstLine="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当不可抗力事故终止后，受影响一方应以书面的形式通知对方，双方商定合同是否继续履行。</w:t>
      </w:r>
    </w:p>
    <w:p>
      <w:pPr>
        <w:numPr>
          <w:ilvl w:val="0"/>
          <w:numId w:val="16"/>
        </w:numPr>
        <w:tabs>
          <w:tab w:val="left" w:pos="0"/>
          <w:tab w:val="clear" w:pos="420"/>
        </w:tabs>
        <w:adjustRightInd w:val="0"/>
        <w:snapToGrid w:val="0"/>
        <w:spacing w:line="360" w:lineRule="auto"/>
        <w:ind w:left="0" w:firstLine="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不可抗力，互不追究或承担违约责任。但有违约因素的除外。</w:t>
      </w:r>
    </w:p>
    <w:p>
      <w:pPr>
        <w:pStyle w:val="3"/>
        <w:numPr>
          <w:ilvl w:val="255"/>
          <w:numId w:val="0"/>
        </w:numPr>
        <w:adjustRightInd w:val="0"/>
        <w:snapToGrid w:val="0"/>
        <w:spacing w:before="0" w:after="0" w:line="360" w:lineRule="auto"/>
        <w:ind w:left="4"/>
        <w:jc w:val="both"/>
        <w:rPr>
          <w:rFonts w:ascii="宋体" w:hAnsi="宋体" w:eastAsia="宋体"/>
          <w:b/>
          <w:color w:val="000000" w:themeColor="text1"/>
          <w:kern w:val="2"/>
          <w:sz w:val="21"/>
          <w:szCs w:val="21"/>
          <w14:textFill>
            <w14:solidFill>
              <w14:schemeClr w14:val="tx1"/>
            </w14:solidFill>
          </w14:textFill>
        </w:rPr>
      </w:pPr>
      <w:bookmarkStart w:id="31" w:name="_Toc72326309"/>
      <w:r>
        <w:rPr>
          <w:rFonts w:hint="eastAsia" w:ascii="宋体" w:hAnsi="宋体" w:eastAsia="宋体"/>
          <w:b/>
          <w:color w:val="000000" w:themeColor="text1"/>
          <w:kern w:val="2"/>
          <w:sz w:val="21"/>
          <w:szCs w:val="21"/>
          <w14:textFill>
            <w14:solidFill>
              <w14:schemeClr w14:val="tx1"/>
            </w14:solidFill>
          </w14:textFill>
        </w:rPr>
        <w:t>十六、解决纠纷的方式</w:t>
      </w:r>
      <w:bookmarkEnd w:id="31"/>
    </w:p>
    <w:p>
      <w:pPr>
        <w:numPr>
          <w:ilvl w:val="0"/>
          <w:numId w:val="17"/>
        </w:numPr>
        <w:tabs>
          <w:tab w:val="left" w:pos="0"/>
          <w:tab w:val="clear" w:pos="420"/>
        </w:tabs>
        <w:adjustRightInd w:val="0"/>
        <w:snapToGrid w:val="0"/>
        <w:spacing w:line="360" w:lineRule="auto"/>
        <w:ind w:left="0" w:firstLine="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凡由执行本合同引起或与合同有关的争议，均应通过友好协商解决；协商不成的，由甲方所在地有管辖权的人民法院裁决。</w:t>
      </w:r>
    </w:p>
    <w:p>
      <w:pPr>
        <w:numPr>
          <w:ilvl w:val="0"/>
          <w:numId w:val="17"/>
        </w:numPr>
        <w:adjustRightInd w:val="0"/>
        <w:snapToGrid w:val="0"/>
        <w:spacing w:line="360" w:lineRule="auto"/>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除争议事项待处理外，双方应继续执行合同无争议部分，除非无争议部分不可单独履行。</w:t>
      </w:r>
    </w:p>
    <w:p>
      <w:pPr>
        <w:numPr>
          <w:ilvl w:val="0"/>
          <w:numId w:val="17"/>
        </w:numPr>
        <w:adjustRightInd w:val="0"/>
        <w:snapToGrid w:val="0"/>
        <w:spacing w:line="360" w:lineRule="auto"/>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本合同适用于中华人民共和国大陆地区现行有效的法律。</w:t>
      </w:r>
    </w:p>
    <w:p>
      <w:pPr>
        <w:pStyle w:val="3"/>
        <w:numPr>
          <w:ilvl w:val="255"/>
          <w:numId w:val="0"/>
        </w:numPr>
        <w:adjustRightInd w:val="0"/>
        <w:snapToGrid w:val="0"/>
        <w:spacing w:before="0" w:after="0" w:line="360" w:lineRule="auto"/>
        <w:ind w:left="4"/>
        <w:jc w:val="both"/>
        <w:rPr>
          <w:rFonts w:ascii="宋体" w:hAnsi="宋体" w:eastAsia="宋体"/>
          <w:b/>
          <w:color w:val="000000" w:themeColor="text1"/>
          <w:kern w:val="2"/>
          <w:sz w:val="21"/>
          <w:szCs w:val="21"/>
          <w14:textFill>
            <w14:solidFill>
              <w14:schemeClr w14:val="tx1"/>
            </w14:solidFill>
          </w14:textFill>
        </w:rPr>
      </w:pPr>
      <w:bookmarkStart w:id="32" w:name="_Toc72326310"/>
      <w:r>
        <w:rPr>
          <w:rFonts w:hint="eastAsia" w:ascii="宋体" w:hAnsi="宋体" w:eastAsia="宋体"/>
          <w:b/>
          <w:color w:val="000000" w:themeColor="text1"/>
          <w:kern w:val="2"/>
          <w:sz w:val="21"/>
          <w:szCs w:val="21"/>
          <w14:textFill>
            <w14:solidFill>
              <w14:schemeClr w14:val="tx1"/>
            </w14:solidFill>
          </w14:textFill>
        </w:rPr>
        <w:t>十七、合同生效及其他</w:t>
      </w:r>
      <w:bookmarkEnd w:id="32"/>
    </w:p>
    <w:p>
      <w:pPr>
        <w:numPr>
          <w:ilvl w:val="0"/>
          <w:numId w:val="18"/>
        </w:numPr>
        <w:tabs>
          <w:tab w:val="left" w:pos="0"/>
          <w:tab w:val="clear" w:pos="420"/>
        </w:tabs>
        <w:adjustRightInd w:val="0"/>
        <w:snapToGrid w:val="0"/>
        <w:spacing w:line="360" w:lineRule="auto"/>
        <w:ind w:left="0" w:firstLine="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合同的生效期：本合同一式四份（甲乙双方各二份），每份均具有同等法律效力，自甲乙双方盖章之日起生效。</w:t>
      </w:r>
    </w:p>
    <w:p>
      <w:pPr>
        <w:numPr>
          <w:ilvl w:val="0"/>
          <w:numId w:val="18"/>
        </w:numPr>
        <w:tabs>
          <w:tab w:val="left" w:pos="0"/>
          <w:tab w:val="clear" w:pos="420"/>
        </w:tabs>
        <w:adjustRightInd w:val="0"/>
        <w:snapToGrid w:val="0"/>
        <w:spacing w:line="360" w:lineRule="auto"/>
        <w:ind w:left="0" w:firstLine="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本合同所有附件为本合同不可分割的组成部分，与合同正文有同等的法律效力，包含但不限于：</w:t>
      </w:r>
    </w:p>
    <w:p>
      <w:pPr>
        <w:adjustRightInd w:val="0"/>
        <w:snapToGrid w:val="0"/>
        <w:spacing w:line="360" w:lineRule="auto"/>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（1）甲方的竞争性磋商文件、乙方的响应文件、乙方的</w:t>
      </w:r>
      <w:r>
        <w:rPr>
          <w:rFonts w:ascii="宋体" w:hAnsi="宋体"/>
          <w:color w:val="000000" w:themeColor="text1"/>
          <w:szCs w:val="21"/>
          <w14:textFill>
            <w14:solidFill>
              <w14:schemeClr w14:val="tx1"/>
            </w14:solidFill>
          </w14:textFill>
        </w:rPr>
        <w:t>报价</w:t>
      </w:r>
      <w:r>
        <w:rPr>
          <w:rFonts w:hint="eastAsia" w:ascii="宋体" w:hAnsi="宋体"/>
          <w:color w:val="000000" w:themeColor="text1"/>
          <w:szCs w:val="21"/>
          <w14:textFill>
            <w14:solidFill>
              <w14:schemeClr w14:val="tx1"/>
            </w14:solidFill>
          </w14:textFill>
        </w:rPr>
        <w:t>表、磋商时乙方做出的书面承诺及其它补充修改的部分；</w:t>
      </w:r>
    </w:p>
    <w:p>
      <w:pPr>
        <w:adjustRightInd w:val="0"/>
        <w:snapToGrid w:val="0"/>
        <w:spacing w:line="360" w:lineRule="auto"/>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（2）在执行本合同期间，甲乙双方的所有通知均应采用书面的方式。</w:t>
      </w:r>
    </w:p>
    <w:p>
      <w:pPr>
        <w:numPr>
          <w:ilvl w:val="0"/>
          <w:numId w:val="18"/>
        </w:numPr>
        <w:tabs>
          <w:tab w:val="left" w:pos="0"/>
          <w:tab w:val="clear" w:pos="420"/>
        </w:tabs>
        <w:adjustRightInd w:val="0"/>
        <w:snapToGrid w:val="0"/>
        <w:spacing w:line="360" w:lineRule="auto"/>
        <w:ind w:left="0" w:firstLine="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本合同与上述文件如对相同内容有不同约定，且约定内容有冲突的，除另有特别约定外，依下列原则处理：</w:t>
      </w:r>
    </w:p>
    <w:p>
      <w:pPr>
        <w:adjustRightInd w:val="0"/>
        <w:snapToGrid w:val="0"/>
        <w:spacing w:line="360" w:lineRule="auto"/>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（1）合同条款优先于竞争性磋商文件和响应文件条款；</w:t>
      </w:r>
    </w:p>
    <w:p>
      <w:pPr>
        <w:adjustRightInd w:val="0"/>
        <w:snapToGrid w:val="0"/>
        <w:spacing w:line="360" w:lineRule="auto"/>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（2）在后文件的效力优先于在先文件的效力。</w:t>
      </w:r>
    </w:p>
    <w:p>
      <w:pPr>
        <w:numPr>
          <w:ilvl w:val="0"/>
          <w:numId w:val="18"/>
        </w:numPr>
        <w:tabs>
          <w:tab w:val="left" w:pos="0"/>
          <w:tab w:val="clear" w:pos="420"/>
        </w:tabs>
        <w:adjustRightInd w:val="0"/>
        <w:snapToGrid w:val="0"/>
        <w:spacing w:line="360" w:lineRule="auto"/>
        <w:ind w:left="0" w:firstLine="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甲乙双方对合同条款的理解有争议时，应当按照合同的有关条款、合同的目的、交易习惯以及诚实信用原则，确定该条款的真实含义。</w:t>
      </w:r>
    </w:p>
    <w:p>
      <w:pPr>
        <w:numPr>
          <w:ilvl w:val="0"/>
          <w:numId w:val="18"/>
        </w:numPr>
        <w:tabs>
          <w:tab w:val="left" w:pos="0"/>
          <w:tab w:val="clear" w:pos="420"/>
        </w:tabs>
        <w:adjustRightInd w:val="0"/>
        <w:snapToGrid w:val="0"/>
        <w:spacing w:line="360" w:lineRule="auto"/>
        <w:ind w:left="0" w:firstLine="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对本合同的任何修改和增补，以双方盖章的书面文件为准。</w:t>
      </w:r>
    </w:p>
    <w:p>
      <w:pPr>
        <w:numPr>
          <w:ilvl w:val="0"/>
          <w:numId w:val="18"/>
        </w:numPr>
        <w:tabs>
          <w:tab w:val="left" w:pos="0"/>
          <w:tab w:val="clear" w:pos="420"/>
        </w:tabs>
        <w:adjustRightInd w:val="0"/>
        <w:snapToGrid w:val="0"/>
        <w:spacing w:line="360" w:lineRule="auto"/>
        <w:ind w:left="0" w:firstLine="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甲乙双方对本合同中产品的具体价格和交易方式有保密的责任，未经对方的书面许可，任何一方不得向第三方透露。</w:t>
      </w:r>
    </w:p>
    <w:p>
      <w:pPr>
        <w:numPr>
          <w:ilvl w:val="0"/>
          <w:numId w:val="18"/>
        </w:numPr>
        <w:adjustRightInd w:val="0"/>
        <w:snapToGrid w:val="0"/>
        <w:spacing w:line="360" w:lineRule="auto"/>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本合同中的未尽事宜，甲乙双方协商解决，并按《中华人民共和国民法典》调整。</w:t>
      </w:r>
    </w:p>
    <w:p>
      <w:pPr>
        <w:pStyle w:val="3"/>
        <w:numPr>
          <w:ilvl w:val="255"/>
          <w:numId w:val="0"/>
        </w:numPr>
        <w:adjustRightInd w:val="0"/>
        <w:snapToGrid w:val="0"/>
        <w:spacing w:before="0" w:after="0" w:line="360" w:lineRule="auto"/>
        <w:ind w:left="4"/>
        <w:jc w:val="left"/>
        <w:rPr>
          <w:rFonts w:ascii="宋体" w:hAnsi="宋体" w:eastAsia="宋体"/>
          <w:b/>
          <w:color w:val="000000" w:themeColor="text1"/>
          <w:kern w:val="2"/>
          <w:sz w:val="21"/>
          <w:szCs w:val="21"/>
          <w14:textFill>
            <w14:solidFill>
              <w14:schemeClr w14:val="tx1"/>
            </w14:solidFill>
          </w14:textFill>
        </w:rPr>
      </w:pPr>
      <w:bookmarkStart w:id="33" w:name="_Toc72326311"/>
      <w:r>
        <w:rPr>
          <w:rFonts w:hint="eastAsia" w:ascii="宋体" w:hAnsi="宋体" w:eastAsia="宋体"/>
          <w:b/>
          <w:color w:val="000000" w:themeColor="text1"/>
          <w:kern w:val="2"/>
          <w:sz w:val="21"/>
          <w:szCs w:val="21"/>
          <w14:textFill>
            <w14:solidFill>
              <w14:schemeClr w14:val="tx1"/>
            </w14:solidFill>
          </w14:textFill>
        </w:rPr>
        <w:t>十九、附件列表</w:t>
      </w:r>
      <w:bookmarkEnd w:id="33"/>
    </w:p>
    <w:p>
      <w:pPr>
        <w:adjustRightInd w:val="0"/>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相关文件的优先支配地位的次序如下：</w:t>
      </w:r>
    </w:p>
    <w:p>
      <w:pPr>
        <w:adjustRightInd w:val="0"/>
        <w:snapToGrid w:val="0"/>
        <w:spacing w:line="360" w:lineRule="auto"/>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附件一供货清单（包含产品名称、规格型号和配置、数量和总价）</w:t>
      </w:r>
    </w:p>
    <w:p>
      <w:pPr>
        <w:adjustRightInd w:val="0"/>
        <w:snapToGrid w:val="0"/>
        <w:spacing w:line="360" w:lineRule="auto"/>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附件二成交通知书</w:t>
      </w:r>
    </w:p>
    <w:p>
      <w:pPr>
        <w:adjustRightInd w:val="0"/>
        <w:snapToGrid w:val="0"/>
        <w:spacing w:line="360" w:lineRule="auto"/>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附件三响应文件</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包括澄清文件</w:t>
      </w:r>
      <w:r>
        <w:rPr>
          <w:rFonts w:ascii="宋体" w:hAnsi="宋体"/>
          <w:color w:val="000000" w:themeColor="text1"/>
          <w:szCs w:val="21"/>
          <w14:textFill>
            <w14:solidFill>
              <w14:schemeClr w14:val="tx1"/>
            </w14:solidFill>
          </w14:textFill>
        </w:rPr>
        <w:t>)</w:t>
      </w:r>
    </w:p>
    <w:p>
      <w:pPr>
        <w:adjustRightInd w:val="0"/>
        <w:snapToGrid w:val="0"/>
        <w:spacing w:line="360" w:lineRule="auto"/>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附件四竞争性磋商文件</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含竞争性磋商文件补充通知</w:t>
      </w:r>
      <w:r>
        <w:rPr>
          <w:rFonts w:ascii="宋体" w:hAnsi="宋体"/>
          <w:color w:val="000000" w:themeColor="text1"/>
          <w:szCs w:val="21"/>
          <w14:textFill>
            <w14:solidFill>
              <w14:schemeClr w14:val="tx1"/>
            </w14:solidFill>
          </w14:textFill>
        </w:rPr>
        <w:t>)</w:t>
      </w:r>
    </w:p>
    <w:p>
      <w:pPr>
        <w:adjustRightInd w:val="0"/>
        <w:snapToGrid w:val="0"/>
        <w:spacing w:line="360" w:lineRule="auto"/>
        <w:ind w:left="210" w:hanging="210" w:hangingChars="100"/>
        <w:jc w:val="left"/>
        <w:rPr>
          <w:color w:val="000000" w:themeColor="text1"/>
          <w:szCs w:val="21"/>
          <w14:textFill>
            <w14:solidFill>
              <w14:schemeClr w14:val="tx1"/>
            </w14:solidFill>
          </w14:textFill>
        </w:rPr>
      </w:pPr>
    </w:p>
    <w:p>
      <w:pPr>
        <w:pStyle w:val="2"/>
        <w:rPr>
          <w:color w:val="000000" w:themeColor="text1"/>
          <w14:textFill>
            <w14:solidFill>
              <w14:schemeClr w14:val="tx1"/>
            </w14:solidFill>
          </w14:textFill>
        </w:rPr>
      </w:pPr>
    </w:p>
    <w:p>
      <w:pPr>
        <w:adjustRightInd w:val="0"/>
        <w:snapToGrid w:val="0"/>
        <w:spacing w:line="360" w:lineRule="auto"/>
        <w:ind w:left="210" w:hanging="210" w:hangingChars="100"/>
        <w:jc w:val="left"/>
        <w:rPr>
          <w:color w:val="000000" w:themeColor="text1"/>
          <w:szCs w:val="21"/>
          <w14:textFill>
            <w14:solidFill>
              <w14:schemeClr w14:val="tx1"/>
            </w14:solidFill>
          </w14:textFill>
        </w:rPr>
      </w:pPr>
    </w:p>
    <w:p>
      <w:pPr>
        <w:adjustRightInd w:val="0"/>
        <w:snapToGrid w:val="0"/>
        <w:spacing w:line="360" w:lineRule="auto"/>
        <w:ind w:left="210" w:hanging="210" w:hangingChars="1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甲方</w:t>
      </w:r>
      <w:r>
        <w:rPr>
          <w:color w:val="000000" w:themeColor="text1"/>
          <w:szCs w:val="21"/>
          <w14:textFill>
            <w14:solidFill>
              <w14:schemeClr w14:val="tx1"/>
            </w14:solidFill>
          </w14:textFill>
        </w:rPr>
        <w:t>：</w:t>
      </w:r>
      <w:r>
        <w:rPr>
          <w:color w:val="000000" w:themeColor="text1"/>
          <w:szCs w:val="21"/>
          <w:u w:val="single"/>
          <w14:textFill>
            <w14:solidFill>
              <w14:schemeClr w14:val="tx1"/>
            </w14:solidFill>
          </w14:textFill>
        </w:rPr>
        <w:t>江苏省广电有线信息网络股份有限公司</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乙方</w:t>
      </w:r>
      <w:r>
        <w:rPr>
          <w:color w:val="000000" w:themeColor="text1"/>
          <w:szCs w:val="21"/>
          <w14:textFill>
            <w14:solidFill>
              <w14:schemeClr w14:val="tx1"/>
            </w14:solidFill>
          </w14:textFill>
        </w:rPr>
        <w:t>：</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p>
    <w:p>
      <w:pPr>
        <w:adjustRightInd w:val="0"/>
        <w:snapToGrid w:val="0"/>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（盖章）_________________________          （盖章）_______________________</w:t>
      </w:r>
    </w:p>
    <w:p>
      <w:pPr>
        <w:adjustRightInd w:val="0"/>
        <w:snapToGrid w:val="0"/>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法人代表或授权代表：____________           法人代表或授权代表：_______________</w:t>
      </w:r>
    </w:p>
    <w:p>
      <w:pPr>
        <w:adjustRightInd w:val="0"/>
        <w:snapToGrid w:val="0"/>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地址：___________________                  地址：____________________</w:t>
      </w:r>
    </w:p>
    <w:p>
      <w:pPr>
        <w:adjustRightInd w:val="0"/>
        <w:snapToGrid w:val="0"/>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电话：</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电话：___________________</w:t>
      </w:r>
    </w:p>
    <w:p>
      <w:pPr>
        <w:adjustRightInd w:val="0"/>
        <w:snapToGrid w:val="0"/>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传真：</w:t>
      </w:r>
      <w:r>
        <w:rPr>
          <w:rFonts w:hint="eastAsia"/>
          <w:color w:val="000000" w:themeColor="text1"/>
          <w:szCs w:val="21"/>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传真：___________________</w:t>
      </w:r>
    </w:p>
    <w:p>
      <w:pPr>
        <w:adjustRightInd w:val="0"/>
        <w:snapToGrid w:val="0"/>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邮编：</w:t>
      </w:r>
      <w:r>
        <w:rPr>
          <w:rFonts w:hint="eastAsia"/>
          <w:color w:val="000000" w:themeColor="text1"/>
          <w:szCs w:val="21"/>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邮编：___________________</w:t>
      </w:r>
    </w:p>
    <w:p>
      <w:pPr>
        <w:adjustRightInd w:val="0"/>
        <w:snapToGrid w:val="0"/>
        <w:spacing w:line="360" w:lineRule="auto"/>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开户银行：</w:t>
      </w:r>
      <w:r>
        <w:rPr>
          <w:rFonts w:hint="eastAsia"/>
          <w:color w:val="000000" w:themeColor="text1"/>
          <w:szCs w:val="21"/>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开户银行：___________________</w:t>
      </w:r>
    </w:p>
    <w:p>
      <w:pPr>
        <w:adjustRightInd w:val="0"/>
        <w:snapToGrid w:val="0"/>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银行账号：</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银行账号：___________________</w:t>
      </w:r>
    </w:p>
    <w:p>
      <w:pPr>
        <w:spacing w:line="300" w:lineRule="auto"/>
        <w:ind w:firstLine="5040" w:firstLineChars="2400"/>
        <w:rPr>
          <w:color w:val="000000" w:themeColor="text1"/>
          <w:szCs w:val="21"/>
          <w14:textFill>
            <w14:solidFill>
              <w14:schemeClr w14:val="tx1"/>
            </w14:solidFill>
          </w14:textFill>
        </w:rPr>
      </w:pPr>
    </w:p>
    <w:p>
      <w:pPr>
        <w:spacing w:line="300" w:lineRule="auto"/>
        <w:ind w:firstLine="5040" w:firstLineChars="2400"/>
        <w:rPr>
          <w:rFonts w:ascii="宋体" w:hAnsi="宋体" w:cs="宋体"/>
          <w:color w:val="000000" w:themeColor="text1"/>
          <w14:textFill>
            <w14:solidFill>
              <w14:schemeClr w14:val="tx1"/>
            </w14:solidFill>
          </w14:textFill>
        </w:rPr>
      </w:pPr>
      <w:r>
        <w:rPr>
          <w:rFonts w:hint="eastAsia"/>
          <w:color w:val="000000" w:themeColor="text1"/>
          <w:szCs w:val="21"/>
          <w14:textFill>
            <w14:solidFill>
              <w14:schemeClr w14:val="tx1"/>
            </w14:solidFill>
          </w14:textFill>
        </w:rPr>
        <w:t>签订日期：</w:t>
      </w:r>
      <w:r>
        <w:rPr>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年</w:t>
      </w:r>
      <w:r>
        <w:rPr>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月</w:t>
      </w:r>
      <w:r>
        <w:rPr>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日</w:t>
      </w:r>
      <w:bookmarkEnd w:id="23"/>
      <w:r>
        <w:rPr>
          <w:rFonts w:ascii="宋体" w:hAnsi="宋体" w:cs="宋体"/>
          <w:color w:val="000000" w:themeColor="text1"/>
          <w14:textFill>
            <w14:solidFill>
              <w14:schemeClr w14:val="tx1"/>
            </w14:solidFill>
          </w14:textFill>
        </w:rPr>
        <w:br w:type="page"/>
      </w:r>
    </w:p>
    <w:p>
      <w:pPr>
        <w:pStyle w:val="3"/>
        <w:numPr>
          <w:ilvl w:val="0"/>
          <w:numId w:val="0"/>
        </w:numPr>
        <w:spacing w:before="0" w:after="0" w:line="360" w:lineRule="auto"/>
        <w:rPr>
          <w:b/>
          <w:color w:val="000000" w:themeColor="text1"/>
          <w:sz w:val="36"/>
          <w:szCs w:val="36"/>
          <w14:textFill>
            <w14:solidFill>
              <w14:schemeClr w14:val="tx1"/>
            </w14:solidFill>
          </w14:textFill>
        </w:rPr>
      </w:pPr>
      <w:bookmarkStart w:id="34" w:name="_Toc69378637"/>
      <w:r>
        <w:rPr>
          <w:rFonts w:hint="eastAsia"/>
          <w:b/>
          <w:color w:val="000000" w:themeColor="text1"/>
          <w:sz w:val="36"/>
          <w:szCs w:val="36"/>
          <w14:textFill>
            <w14:solidFill>
              <w14:schemeClr w14:val="tx1"/>
            </w14:solidFill>
          </w14:textFill>
        </w:rPr>
        <w:t>第五章 技术需求书</w:t>
      </w:r>
      <w:bookmarkEnd w:id="34"/>
    </w:p>
    <w:p>
      <w:pPr>
        <w:pStyle w:val="89"/>
        <w:numPr>
          <w:ilvl w:val="0"/>
          <w:numId w:val="19"/>
        </w:numPr>
        <w:spacing w:line="300" w:lineRule="auto"/>
        <w:ind w:left="0" w:firstLine="426" w:firstLineChars="0"/>
        <w:jc w:val="left"/>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供应商须对照本《技术需求书》，依据第三方检测报告、供应商本身产品说明书及样本，逐条说明所提供货物和服务已对竞争性磋商文件的技术规格、参数与要求做出了实质性的响应，或申明与技术规格、参数与要求条文的偏差和例外（按第六章附件技术需求偏离表格式填写），对于可以用量化形式表示的条款，供应商必须明确回答，或以功能描述回答。任何通过简单拷贝竞争性磋商文件技术要求或简单标注“符合”“满足”的响应文件将可能取消评审。</w:t>
      </w:r>
      <w:r>
        <w:rPr>
          <w:rFonts w:hint="eastAsia" w:ascii="宋体" w:hAnsi="宋体"/>
          <w:color w:val="000000" w:themeColor="text1"/>
          <w:sz w:val="21"/>
          <w:szCs w:val="21"/>
          <w14:textFill>
            <w14:solidFill>
              <w14:schemeClr w14:val="tx1"/>
            </w14:solidFill>
          </w14:textFill>
        </w:rPr>
        <w:t>成交后</w:t>
      </w:r>
      <w:r>
        <w:rPr>
          <w:rFonts w:ascii="宋体" w:hAnsi="宋体"/>
          <w:color w:val="000000" w:themeColor="text1"/>
          <w:sz w:val="21"/>
          <w:szCs w:val="21"/>
          <w14:textFill>
            <w14:solidFill>
              <w14:schemeClr w14:val="tx1"/>
            </w14:solidFill>
          </w14:textFill>
        </w:rPr>
        <w:t>供应商在合同签订中的任何偏差都不得超越技术偏离表中已被</w:t>
      </w:r>
      <w:r>
        <w:rPr>
          <w:rFonts w:hint="eastAsia" w:ascii="宋体" w:hAnsi="宋体"/>
          <w:color w:val="000000" w:themeColor="text1"/>
          <w:sz w:val="21"/>
          <w:szCs w:val="21"/>
          <w14:textFill>
            <w14:solidFill>
              <w14:schemeClr w14:val="tx1"/>
            </w14:solidFill>
          </w14:textFill>
        </w:rPr>
        <w:t>采购人</w:t>
      </w:r>
      <w:r>
        <w:rPr>
          <w:rFonts w:ascii="宋体" w:hAnsi="宋体"/>
          <w:color w:val="000000" w:themeColor="text1"/>
          <w:sz w:val="21"/>
          <w:szCs w:val="21"/>
          <w14:textFill>
            <w14:solidFill>
              <w14:schemeClr w14:val="tx1"/>
            </w14:solidFill>
          </w14:textFill>
        </w:rPr>
        <w:t>确认的条款。</w:t>
      </w:r>
    </w:p>
    <w:p>
      <w:pPr>
        <w:pStyle w:val="89"/>
        <w:numPr>
          <w:ilvl w:val="0"/>
          <w:numId w:val="19"/>
        </w:numPr>
        <w:spacing w:line="300" w:lineRule="auto"/>
        <w:ind w:left="0" w:firstLine="426" w:firstLineChars="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竞争性磋商文件技术要求中所</w:t>
      </w:r>
      <w:r>
        <w:rPr>
          <w:rFonts w:ascii="宋体" w:hAnsi="宋体"/>
          <w:color w:val="000000" w:themeColor="text1"/>
          <w:sz w:val="21"/>
          <w:szCs w:val="21"/>
          <w14:textFill>
            <w14:solidFill>
              <w14:schemeClr w14:val="tx1"/>
            </w14:solidFill>
          </w14:textFill>
        </w:rPr>
        <w:t>描述的内容为本项目的基本技术要求，不应作为完整的详细要求。对于为满足正常运行所需的设备材料的供应、安装、调试、验收及质量保证的内容请供应商自行考虑。供应商应满足本技术需求书中未描述的，但为保证设备能正常有效运行所需要的其它要求和所需的设备与附件。</w:t>
      </w:r>
    </w:p>
    <w:p>
      <w:pPr>
        <w:pStyle w:val="89"/>
        <w:numPr>
          <w:ilvl w:val="0"/>
          <w:numId w:val="19"/>
        </w:numPr>
        <w:spacing w:line="300" w:lineRule="auto"/>
        <w:ind w:left="0" w:firstLine="426" w:firstLineChars="0"/>
        <w:rPr>
          <w:rFonts w:ascii="宋体" w:hAnsi="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技术需求书中</w:t>
      </w:r>
      <w:r>
        <w:rPr>
          <w:rFonts w:ascii="宋体" w:hAnsi="宋体"/>
          <w:color w:val="000000" w:themeColor="text1"/>
          <w:sz w:val="21"/>
          <w:szCs w:val="21"/>
          <w14:textFill>
            <w14:solidFill>
              <w14:schemeClr w14:val="tx1"/>
            </w14:solidFill>
          </w14:textFill>
        </w:rPr>
        <w:t>带“</w:t>
      </w:r>
      <w:r>
        <w:rPr>
          <w:rFonts w:ascii="宋体" w:hAnsi="宋体" w:cs="宋体"/>
          <w:color w:val="000000" w:themeColor="text1"/>
          <w:szCs w:val="21"/>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w:t>
      </w:r>
      <w:r>
        <w:rPr>
          <w:rFonts w:ascii="宋体" w:hAnsi="宋体"/>
          <w:color w:val="000000" w:themeColor="text1"/>
          <w:sz w:val="21"/>
          <w:szCs w:val="21"/>
          <w14:textFill>
            <w14:solidFill>
              <w14:schemeClr w14:val="tx1"/>
            </w14:solidFill>
          </w14:textFill>
        </w:rPr>
        <w:t>部分为必须保证满足要求的条款。</w:t>
      </w:r>
    </w:p>
    <w:p>
      <w:pPr>
        <w:pStyle w:val="89"/>
        <w:numPr>
          <w:ilvl w:val="0"/>
          <w:numId w:val="19"/>
        </w:numPr>
        <w:spacing w:line="360" w:lineRule="auto"/>
        <w:ind w:left="0" w:firstLine="426" w:firstLineChars="0"/>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响应文件技术部分应答要求供应商应按照统一格式明确地逐条回答以下设备技术要求：“完全满足”是指完全相应供应商的技术要求，“部分满足”必须详细说明满足的部分和不满足的原因和解决措施，“不满足”必须详细说明不满足的原因和解决措施。</w:t>
      </w:r>
    </w:p>
    <w:p>
      <w:pPr>
        <w:pStyle w:val="4"/>
        <w:numPr>
          <w:ilvl w:val="1"/>
          <w:numId w:val="0"/>
        </w:numPr>
        <w:spacing w:before="0" w:after="0" w:line="360" w:lineRule="auto"/>
        <w:jc w:val="center"/>
        <w:rPr>
          <w:rFonts w:ascii="宋体" w:hAnsi="宋体" w:eastAsia="宋体"/>
          <w:color w:val="000000" w:themeColor="text1"/>
          <w:szCs w:val="21"/>
          <w14:textFill>
            <w14:solidFill>
              <w14:schemeClr w14:val="tx1"/>
            </w14:solidFill>
          </w14:textFill>
        </w:rPr>
        <w:sectPr>
          <w:headerReference r:id="rId9" w:type="default"/>
          <w:footerReference r:id="rId10" w:type="default"/>
          <w:pgSz w:w="11906" w:h="16838"/>
          <w:pgMar w:top="1440" w:right="1800" w:bottom="1440" w:left="1800" w:header="851" w:footer="992" w:gutter="0"/>
          <w:cols w:space="720" w:num="1"/>
          <w:docGrid w:type="lines" w:linePitch="312" w:charSpace="0"/>
        </w:sectPr>
      </w:pPr>
      <w:bookmarkStart w:id="35" w:name="_Toc51053569"/>
      <w:bookmarkStart w:id="36" w:name="_Toc30212"/>
      <w:bookmarkStart w:id="37" w:name="_Toc76856250"/>
      <w:bookmarkStart w:id="38" w:name="_Toc31826"/>
      <w:bookmarkStart w:id="39" w:name="_Toc76996580"/>
    </w:p>
    <w:bookmarkEnd w:id="13"/>
    <w:bookmarkEnd w:id="14"/>
    <w:bookmarkEnd w:id="15"/>
    <w:bookmarkEnd w:id="35"/>
    <w:bookmarkEnd w:id="36"/>
    <w:bookmarkEnd w:id="37"/>
    <w:bookmarkEnd w:id="38"/>
    <w:bookmarkEnd w:id="39"/>
    <w:p>
      <w:pPr>
        <w:keepNext/>
        <w:keepLines/>
        <w:spacing w:before="120" w:after="120" w:line="413" w:lineRule="auto"/>
        <w:jc w:val="center"/>
        <w:outlineLvl w:val="1"/>
        <w:rPr>
          <w:rFonts w:ascii="Tahoma" w:hAnsi="Tahoma"/>
          <w:b/>
          <w:bCs/>
          <w:color w:val="000000" w:themeColor="text1"/>
          <w:sz w:val="24"/>
          <w14:textFill>
            <w14:solidFill>
              <w14:schemeClr w14:val="tx1"/>
            </w14:solidFill>
          </w14:textFill>
        </w:rPr>
      </w:pPr>
      <w:bookmarkStart w:id="40" w:name="_Toc77285820"/>
      <w:bookmarkStart w:id="41" w:name="_Toc69378657"/>
      <w:bookmarkStart w:id="42" w:name="_Toc502914229"/>
      <w:r>
        <w:rPr>
          <w:rFonts w:hint="eastAsia" w:ascii="Tahoma" w:hAnsi="Tahoma"/>
          <w:b/>
          <w:bCs/>
          <w:color w:val="000000" w:themeColor="text1"/>
          <w:sz w:val="24"/>
          <w14:textFill>
            <w14:solidFill>
              <w14:schemeClr w14:val="tx1"/>
            </w14:solidFill>
          </w14:textFill>
        </w:rPr>
        <w:t>《</w:t>
      </w:r>
      <w:r>
        <w:rPr>
          <w:rFonts w:ascii="Tahoma" w:hAnsi="Tahoma"/>
          <w:b/>
          <w:bCs/>
          <w:color w:val="000000" w:themeColor="text1"/>
          <w:sz w:val="24"/>
          <w14:textFill>
            <w14:solidFill>
              <w14:schemeClr w14:val="tx1"/>
            </w14:solidFill>
          </w14:textFill>
        </w:rPr>
        <w:t>第一包：动环系统新增电表及系统集成》</w:t>
      </w:r>
    </w:p>
    <w:p>
      <w:pPr>
        <w:keepNext/>
        <w:keepLines/>
        <w:spacing w:before="120" w:after="120" w:line="413" w:lineRule="auto"/>
        <w:outlineLvl w:val="1"/>
        <w:rPr>
          <w:rFonts w:asciiTheme="minorEastAsia" w:hAnsiTheme="minorEastAsia" w:eastAsiaTheme="minorEastAsia"/>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一、</w:t>
      </w:r>
      <w:bookmarkEnd w:id="40"/>
      <w:r>
        <w:rPr>
          <w:rFonts w:hint="eastAsia" w:asciiTheme="minorEastAsia" w:hAnsiTheme="minorEastAsia" w:eastAsiaTheme="minorEastAsia"/>
          <w:b/>
          <w:bCs/>
          <w:color w:val="000000" w:themeColor="text1"/>
          <w:szCs w:val="21"/>
          <w14:textFill>
            <w14:solidFill>
              <w14:schemeClr w14:val="tx1"/>
            </w14:solidFill>
          </w14:textFill>
        </w:rPr>
        <w:t>项目概述</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根据2021年省节能监察执法指导意见及传输播控大楼实际情况，为实现数据中心年度能源管理目标，计划对三网融合枢纽中心四号楼动力环境监控系统（江苏有线现有动力环境监控系统为维谛动环系统，以下简称动环系统）实施改造，包含对部分电力开关增加电能计量仪表、对部分区域普通照明实现智能开关控制，对数据中心各个关键位置的电流、电压及能耗进行监测/计量，实时进行数据采集和数据分析，通过本次改造，进一步提升数据中心能源监测和管理水平，完善能耗监测体系，为PUE的计算提供基础的数据支撑。</w:t>
      </w:r>
    </w:p>
    <w:p>
      <w:pPr>
        <w:pStyle w:val="89"/>
        <w:keepNext/>
        <w:keepLines/>
        <w:numPr>
          <w:ilvl w:val="0"/>
          <w:numId w:val="20"/>
        </w:numPr>
        <w:spacing w:before="120" w:after="120" w:line="413" w:lineRule="auto"/>
        <w:ind w:firstLineChars="0"/>
        <w:outlineLvl w:val="1"/>
        <w:rPr>
          <w:rFonts w:asciiTheme="minorEastAsia" w:hAnsiTheme="minorEastAsia" w:eastAsiaTheme="minorEastAsia"/>
          <w:b/>
          <w:bCs/>
          <w:color w:val="000000" w:themeColor="text1"/>
          <w:kern w:val="2"/>
          <w:sz w:val="21"/>
          <w:szCs w:val="21"/>
          <w14:textFill>
            <w14:solidFill>
              <w14:schemeClr w14:val="tx1"/>
            </w14:solidFill>
          </w14:textFill>
        </w:rPr>
      </w:pPr>
      <w:r>
        <w:rPr>
          <w:rFonts w:asciiTheme="minorEastAsia" w:hAnsiTheme="minorEastAsia" w:eastAsiaTheme="minorEastAsia"/>
          <w:b/>
          <w:bCs/>
          <w:color w:val="000000" w:themeColor="text1"/>
          <w:sz w:val="21"/>
          <w:szCs w:val="21"/>
          <w14:textFill>
            <w14:solidFill>
              <w14:schemeClr w14:val="tx1"/>
            </w14:solidFill>
          </w14:textFill>
        </w:rPr>
        <w:t>技术要求</w:t>
      </w:r>
    </w:p>
    <w:p>
      <w:pPr>
        <w:pStyle w:val="373"/>
        <w:numPr>
          <w:ilvl w:val="1"/>
          <w:numId w:val="21"/>
        </w:numPr>
        <w:spacing w:line="500" w:lineRule="exact"/>
        <w:ind w:firstLineChars="0"/>
        <w:jc w:val="left"/>
        <w:rPr>
          <w:rFonts w:asciiTheme="minorEastAsia" w:hAnsiTheme="minorEastAsia" w:eastAsiaTheme="minorEastAsia"/>
          <w:b/>
          <w:bCs/>
          <w:color w:val="000000" w:themeColor="text1"/>
          <w14:textFill>
            <w14:solidFill>
              <w14:schemeClr w14:val="tx1"/>
            </w14:solidFill>
          </w14:textFill>
        </w:rPr>
      </w:pPr>
      <w:r>
        <w:rPr>
          <w:rFonts w:hint="eastAsia" w:asciiTheme="minorEastAsia" w:hAnsiTheme="minorEastAsia" w:eastAsiaTheme="minorEastAsia"/>
          <w:b/>
          <w:bCs/>
          <w:color w:val="000000" w:themeColor="text1"/>
          <w14:textFill>
            <w14:solidFill>
              <w14:schemeClr w14:val="tx1"/>
            </w14:solidFill>
          </w14:textFill>
        </w:rPr>
        <w:t>总体要求</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本项目由厂家（合同乙方）完成现场勘察设计、制定技术/施工方案、采购发货、安装调试及测试验收。</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本项目建设具体包含以下内容：</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 在部分区域照明回路安装开关控制器，同时接入现有动环系统，通过动环系统远程操作开关，以实现远程控制该区域照明用电。</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 对部分高低压开关柜和低压负载开关，增加电压互感器、电流互感器和计量电表，计量精确度不低于0.5S级，同时接入为现有动环系统，以实现各类用途负载能耗监测/计量。</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★（3）高压中心站两台精密空调须接入现有动环系统，以实现空调设备状态及能耗监测。</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★（4）本项目采购的电量仪表、控制模块为市场成熟产品，可接入现有动环系统，对生产网络无任何影响。</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设备供货时间严格按照合同规定执行，对项目涉及到的所有商业秘密和技术秘密实行严格保密。项目配套设施中所有软、硬件中对功能、性能、容量无人为限制及等非法程序代码。</w:t>
      </w:r>
    </w:p>
    <w:p>
      <w:pPr>
        <w:pStyle w:val="373"/>
        <w:numPr>
          <w:ilvl w:val="1"/>
          <w:numId w:val="21"/>
        </w:numPr>
        <w:spacing w:line="500" w:lineRule="exact"/>
        <w:ind w:firstLineChars="0"/>
        <w:jc w:val="left"/>
        <w:rPr>
          <w:rFonts w:asciiTheme="minorEastAsia" w:hAnsiTheme="minorEastAsia" w:eastAsiaTheme="minorEastAsia"/>
          <w:b/>
          <w:bCs/>
          <w:color w:val="000000" w:themeColor="text1"/>
          <w14:textFill>
            <w14:solidFill>
              <w14:schemeClr w14:val="tx1"/>
            </w14:solidFill>
          </w14:textFill>
        </w:rPr>
      </w:pPr>
      <w:r>
        <w:rPr>
          <w:rFonts w:hint="eastAsia" w:asciiTheme="minorEastAsia" w:hAnsiTheme="minorEastAsia" w:eastAsiaTheme="minorEastAsia"/>
          <w:b/>
          <w:bCs/>
          <w:color w:val="000000" w:themeColor="text1"/>
          <w14:textFill>
            <w14:solidFill>
              <w14:schemeClr w14:val="tx1"/>
            </w14:solidFill>
          </w14:textFill>
        </w:rPr>
        <w:t>照明回路增加</w:t>
      </w:r>
      <w:r>
        <w:rPr>
          <w:rFonts w:asciiTheme="minorEastAsia" w:hAnsiTheme="minorEastAsia" w:eastAsiaTheme="minorEastAsia"/>
          <w:b/>
          <w:bCs/>
          <w:color w:val="000000" w:themeColor="text1"/>
          <w14:textFill>
            <w14:solidFill>
              <w14:schemeClr w14:val="tx1"/>
            </w14:solidFill>
          </w14:textFill>
        </w:rPr>
        <w:t>开关控制器</w:t>
      </w:r>
    </w:p>
    <w:p>
      <w:pPr>
        <w:pStyle w:val="373"/>
        <w:spacing w:line="500" w:lineRule="exact"/>
        <w:ind w:firstLine="0" w:firstLineChars="0"/>
        <w:jc w:val="left"/>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b/>
          <w:bCs/>
          <w:color w:val="000000" w:themeColor="text1"/>
          <w14:textFill>
            <w14:solidFill>
              <w14:schemeClr w14:val="tx1"/>
            </w14:solidFill>
          </w14:textFill>
        </w:rPr>
        <w:t>2.2.1、</w:t>
      </w:r>
      <w:r>
        <w:rPr>
          <w:rFonts w:hint="eastAsia" w:asciiTheme="minorEastAsia" w:hAnsiTheme="minorEastAsia" w:eastAsiaTheme="minorEastAsia"/>
          <w:b/>
          <w:bCs/>
          <w:color w:val="000000" w:themeColor="text1"/>
          <w14:textFill>
            <w14:solidFill>
              <w14:schemeClr w14:val="tx1"/>
            </w14:solidFill>
          </w14:textFill>
        </w:rPr>
        <w:t>照明能耗现状</w:t>
      </w:r>
    </w:p>
    <w:p>
      <w:pPr>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照明开关控制采用传统的配电箱开关与开关面板结合方式，配电箱控制对应区域的照明用电，开关面板分控各个照明的开启/关闭，巡检人员到现场巡检时通过面板开灯，巡检结束后顺手关灯，但由于有巡检任务需要做，巡检人员很容易忘记在巡检结束后关灯，或者其他人到机房开灯后忘记关闭，照明开关状态无法监测，导致照明灯长时间开启，造成电能浪费。</w:t>
      </w:r>
    </w:p>
    <w:p>
      <w:pPr>
        <w:pStyle w:val="373"/>
        <w:spacing w:line="500" w:lineRule="exact"/>
        <w:ind w:firstLine="0" w:firstLineChars="0"/>
        <w:jc w:val="left"/>
        <w:rPr>
          <w:rFonts w:asciiTheme="minorEastAsia" w:hAnsiTheme="minorEastAsia" w:eastAsiaTheme="minorEastAsia"/>
          <w:b/>
          <w:bCs/>
          <w:color w:val="000000" w:themeColor="text1"/>
          <w14:textFill>
            <w14:solidFill>
              <w14:schemeClr w14:val="tx1"/>
            </w14:solidFill>
          </w14:textFill>
        </w:rPr>
      </w:pPr>
      <w:r>
        <w:rPr>
          <w:rFonts w:asciiTheme="minorEastAsia" w:hAnsiTheme="minorEastAsia" w:eastAsiaTheme="minorEastAsia"/>
          <w:b/>
          <w:bCs/>
          <w:color w:val="000000" w:themeColor="text1"/>
          <w14:textFill>
            <w14:solidFill>
              <w14:schemeClr w14:val="tx1"/>
            </w14:solidFill>
          </w14:textFill>
        </w:rPr>
        <w:t>2.2.2、</w:t>
      </w:r>
      <w:r>
        <w:rPr>
          <w:rFonts w:hint="eastAsia" w:asciiTheme="minorEastAsia" w:hAnsiTheme="minorEastAsia" w:eastAsiaTheme="minorEastAsia"/>
          <w:b/>
          <w:bCs/>
          <w:color w:val="000000" w:themeColor="text1"/>
          <w14:textFill>
            <w14:solidFill>
              <w14:schemeClr w14:val="tx1"/>
            </w14:solidFill>
          </w14:textFill>
        </w:rPr>
        <w:t>照明能耗改造措施</w:t>
      </w:r>
    </w:p>
    <w:p>
      <w:pPr>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根据现有的照明用电系统架构，照明系统的走线网络、开关控制等已固定，线管等早已暗埋，较大的改动如更换照明开关面板、照明配电箱空开等已不容易实现，且成本较高，因而采用在照明用电开关柜侧增加一个交流接触器和DO通信模块，交流接触器接入对应照明区域的电路回路，DO通信模块进行控制。由动环监控系统通过采集器向DO通信模块发出命令控制接触器的闭合/打开，进而控制该区域照明用电的开关，此功能可以在动环系统远程操作实现，保证照明用电的合理性。</w:t>
      </w:r>
    </w:p>
    <w:p>
      <w:pPr>
        <w:pStyle w:val="373"/>
        <w:jc w:val="center"/>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drawing>
          <wp:inline distT="0" distB="0" distL="0" distR="0">
            <wp:extent cx="5274310" cy="4978400"/>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a:stretch>
                      <a:fillRect/>
                    </a:stretch>
                  </pic:blipFill>
                  <pic:spPr>
                    <a:xfrm>
                      <a:off x="0" y="0"/>
                      <a:ext cx="5274310" cy="4978400"/>
                    </a:xfrm>
                    <a:prstGeom prst="rect">
                      <a:avLst/>
                    </a:prstGeom>
                  </pic:spPr>
                </pic:pic>
              </a:graphicData>
            </a:graphic>
          </wp:inline>
        </w:drawing>
      </w:r>
    </w:p>
    <w:p>
      <w:pPr>
        <w:pStyle w:val="373"/>
        <w:jc w:val="center"/>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图1 照明回路控制器拓扑图</w:t>
      </w:r>
    </w:p>
    <w:p>
      <w:pPr>
        <w:pStyle w:val="373"/>
        <w:numPr>
          <w:ilvl w:val="1"/>
          <w:numId w:val="21"/>
        </w:numPr>
        <w:spacing w:line="500" w:lineRule="exact"/>
        <w:ind w:firstLineChars="0"/>
        <w:jc w:val="left"/>
        <w:rPr>
          <w:rFonts w:asciiTheme="minorEastAsia" w:hAnsiTheme="minorEastAsia" w:eastAsiaTheme="minorEastAsia"/>
          <w:b/>
          <w:bCs/>
          <w:color w:val="000000" w:themeColor="text1"/>
          <w14:textFill>
            <w14:solidFill>
              <w14:schemeClr w14:val="tx1"/>
            </w14:solidFill>
          </w14:textFill>
        </w:rPr>
      </w:pPr>
      <w:r>
        <w:rPr>
          <w:rFonts w:hint="eastAsia" w:asciiTheme="minorEastAsia" w:hAnsiTheme="minorEastAsia" w:eastAsiaTheme="minorEastAsia"/>
          <w:b/>
          <w:bCs/>
          <w:color w:val="000000" w:themeColor="text1"/>
          <w14:textFill>
            <w14:solidFill>
              <w14:schemeClr w14:val="tx1"/>
            </w14:solidFill>
          </w14:textFill>
        </w:rPr>
        <w:t>分支开关增加计量电表</w:t>
      </w:r>
    </w:p>
    <w:p>
      <w:pPr>
        <w:pStyle w:val="373"/>
        <w:spacing w:line="500" w:lineRule="exact"/>
        <w:ind w:firstLine="0" w:firstLineChars="0"/>
        <w:jc w:val="left"/>
        <w:rPr>
          <w:rFonts w:asciiTheme="minorEastAsia" w:hAnsiTheme="minorEastAsia" w:eastAsiaTheme="minorEastAsia"/>
          <w:b/>
          <w:bCs/>
          <w:color w:val="000000" w:themeColor="text1"/>
          <w14:textFill>
            <w14:solidFill>
              <w14:schemeClr w14:val="tx1"/>
            </w14:solidFill>
          </w14:textFill>
        </w:rPr>
      </w:pPr>
      <w:r>
        <w:rPr>
          <w:rFonts w:asciiTheme="minorEastAsia" w:hAnsiTheme="minorEastAsia" w:eastAsiaTheme="minorEastAsia"/>
          <w:b/>
          <w:bCs/>
          <w:color w:val="000000" w:themeColor="text1"/>
          <w14:textFill>
            <w14:solidFill>
              <w14:schemeClr w14:val="tx1"/>
            </w14:solidFill>
          </w14:textFill>
        </w:rPr>
        <w:t>2.3.1、电能计量仪表</w:t>
      </w:r>
      <w:r>
        <w:rPr>
          <w:rFonts w:hint="eastAsia" w:asciiTheme="minorEastAsia" w:hAnsiTheme="minorEastAsia" w:eastAsiaTheme="minorEastAsia"/>
          <w:b/>
          <w:bCs/>
          <w:color w:val="000000" w:themeColor="text1"/>
          <w14:textFill>
            <w14:solidFill>
              <w14:schemeClr w14:val="tx1"/>
            </w14:solidFill>
          </w14:textFill>
        </w:rPr>
        <w:t>现状</w:t>
      </w:r>
    </w:p>
    <w:p>
      <w:pPr>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目前，高压中心站4个高压进线柜无电能计量仪表；VRF多联机内机、风冷热泵末端、AHU空调、普通照明及部分值班监控室，无电能计量仪表，动环系统中无相关用电量统计数据，无法实时进行数据采集和PUE数据分析。</w:t>
      </w:r>
    </w:p>
    <w:p>
      <w:pPr>
        <w:pStyle w:val="373"/>
        <w:spacing w:line="500" w:lineRule="exact"/>
        <w:ind w:firstLine="0" w:firstLineChars="0"/>
        <w:jc w:val="left"/>
        <w:rPr>
          <w:rFonts w:asciiTheme="minorEastAsia" w:hAnsiTheme="minorEastAsia" w:eastAsiaTheme="minorEastAsia"/>
          <w:b/>
          <w:bCs/>
          <w:color w:val="000000" w:themeColor="text1"/>
          <w14:textFill>
            <w14:solidFill>
              <w14:schemeClr w14:val="tx1"/>
            </w14:solidFill>
          </w14:textFill>
        </w:rPr>
      </w:pPr>
      <w:r>
        <w:rPr>
          <w:rFonts w:asciiTheme="minorEastAsia" w:hAnsiTheme="minorEastAsia" w:eastAsiaTheme="minorEastAsia"/>
          <w:b/>
          <w:bCs/>
          <w:color w:val="000000" w:themeColor="text1"/>
          <w14:textFill>
            <w14:solidFill>
              <w14:schemeClr w14:val="tx1"/>
            </w14:solidFill>
          </w14:textFill>
        </w:rPr>
        <w:t>2.3.2、电能计量仪表改造措施</w:t>
      </w:r>
    </w:p>
    <w:p>
      <w:pPr>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在高压中心站4个高压进线柜、VRF多联机内机、风冷热泵末端、AHU空调、普通照明及部分值班监控室的上级电源输出开关处，安装电压/电流互感器和电能计量仪表，并接入现有动环系统，以实现分类负载耗电量统计与节能管理。</w:t>
      </w:r>
    </w:p>
    <w:p>
      <w:pPr>
        <w:pStyle w:val="373"/>
        <w:jc w:val="center"/>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drawing>
          <wp:inline distT="0" distB="0" distL="0" distR="0">
            <wp:extent cx="4429125" cy="3736975"/>
            <wp:effectExtent l="0" t="0" r="9525" b="0"/>
            <wp:docPr id="11" name="图片 11" descr="D:\Program Files\WeChat Files\wxid_hpr6346cr46m21\FileStorage\Temp\16568313908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D:\Program Files\WeChat Files\wxid_hpr6346cr46m21\FileStorage\Temp\1656831390884.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429125" cy="3736975"/>
                    </a:xfrm>
                    <a:prstGeom prst="rect">
                      <a:avLst/>
                    </a:prstGeom>
                    <a:noFill/>
                    <a:ln>
                      <a:noFill/>
                    </a:ln>
                  </pic:spPr>
                </pic:pic>
              </a:graphicData>
            </a:graphic>
          </wp:inline>
        </w:drawing>
      </w:r>
    </w:p>
    <w:p>
      <w:pPr>
        <w:pStyle w:val="373"/>
        <w:jc w:val="center"/>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图2 计量电表拓扑图</w:t>
      </w:r>
    </w:p>
    <w:p>
      <w:pPr>
        <w:pStyle w:val="373"/>
        <w:spacing w:line="500" w:lineRule="exact"/>
        <w:ind w:firstLine="0" w:firstLineChars="0"/>
        <w:jc w:val="left"/>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b/>
          <w:bCs/>
          <w:color w:val="000000" w:themeColor="text1"/>
          <w14:textFill>
            <w14:solidFill>
              <w14:schemeClr w14:val="tx1"/>
            </w14:solidFill>
          </w14:textFill>
        </w:rPr>
        <w:t>2.3.3、</w:t>
      </w:r>
      <w:r>
        <w:rPr>
          <w:rFonts w:hint="eastAsia" w:asciiTheme="minorEastAsia" w:hAnsiTheme="minorEastAsia" w:eastAsiaTheme="minorEastAsia"/>
          <w:color w:val="000000" w:themeColor="text1"/>
          <w14:textFill>
            <w14:solidFill>
              <w14:schemeClr w14:val="tx1"/>
            </w14:solidFill>
          </w14:textFill>
        </w:rPr>
        <w:t>新增电表需求</w:t>
      </w:r>
    </w:p>
    <w:p>
      <w:pPr>
        <w:pStyle w:val="373"/>
        <w:jc w:val="left"/>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本次新增电表需求汇总如下：</w:t>
      </w:r>
    </w:p>
    <w:tbl>
      <w:tblPr>
        <w:tblStyle w:val="53"/>
        <w:tblW w:w="9803" w:type="dxa"/>
        <w:tblInd w:w="0" w:type="dxa"/>
        <w:tblLayout w:type="autofit"/>
        <w:tblCellMar>
          <w:top w:w="0" w:type="dxa"/>
          <w:left w:w="108" w:type="dxa"/>
          <w:bottom w:w="0" w:type="dxa"/>
          <w:right w:w="108" w:type="dxa"/>
        </w:tblCellMar>
      </w:tblPr>
      <w:tblGrid>
        <w:gridCol w:w="1225"/>
        <w:gridCol w:w="2211"/>
        <w:gridCol w:w="1104"/>
        <w:gridCol w:w="936"/>
        <w:gridCol w:w="1161"/>
        <w:gridCol w:w="1213"/>
        <w:gridCol w:w="1953"/>
      </w:tblGrid>
      <w:tr>
        <w:tblPrEx>
          <w:tblCellMar>
            <w:top w:w="0" w:type="dxa"/>
            <w:left w:w="108" w:type="dxa"/>
            <w:bottom w:w="0" w:type="dxa"/>
            <w:right w:w="108" w:type="dxa"/>
          </w:tblCellMar>
        </w:tblPrEx>
        <w:trPr>
          <w:trHeight w:val="289" w:hRule="atLeast"/>
        </w:trPr>
        <w:tc>
          <w:tcPr>
            <w:tcW w:w="12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地点</w:t>
            </w:r>
          </w:p>
        </w:tc>
        <w:tc>
          <w:tcPr>
            <w:tcW w:w="221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配电柜</w:t>
            </w:r>
          </w:p>
        </w:tc>
        <w:tc>
          <w:tcPr>
            <w:tcW w:w="110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分类</w:t>
            </w:r>
          </w:p>
        </w:tc>
        <w:tc>
          <w:tcPr>
            <w:tcW w:w="9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数量（块）</w:t>
            </w:r>
          </w:p>
        </w:tc>
        <w:tc>
          <w:tcPr>
            <w:tcW w:w="11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单相</w:t>
            </w:r>
            <w:r>
              <w:rPr>
                <w:rFonts w:cs="宋体" w:asciiTheme="minorEastAsia" w:hAnsiTheme="minorEastAsia" w:eastAsiaTheme="minorEastAsia"/>
                <w:color w:val="000000" w:themeColor="text1"/>
                <w:kern w:val="0"/>
                <w:szCs w:val="21"/>
                <w14:textFill>
                  <w14:solidFill>
                    <w14:schemeClr w14:val="tx1"/>
                  </w14:solidFill>
                </w14:textFill>
              </w:rPr>
              <w:t>/</w:t>
            </w:r>
            <w:r>
              <w:rPr>
                <w:rFonts w:hint="eastAsia" w:cs="宋体" w:asciiTheme="minorEastAsia" w:hAnsiTheme="minorEastAsia" w:eastAsiaTheme="minorEastAsia"/>
                <w:color w:val="000000" w:themeColor="text1"/>
                <w:kern w:val="0"/>
                <w:szCs w:val="21"/>
                <w14:textFill>
                  <w14:solidFill>
                    <w14:schemeClr w14:val="tx1"/>
                  </w14:solidFill>
                </w14:textFill>
              </w:rPr>
              <w:t>三相</w:t>
            </w:r>
          </w:p>
        </w:tc>
        <w:tc>
          <w:tcPr>
            <w:tcW w:w="121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工作电流</w:t>
            </w:r>
            <w:r>
              <w:rPr>
                <w:rFonts w:cs="宋体" w:asciiTheme="minorEastAsia" w:hAnsiTheme="minorEastAsia" w:eastAsiaTheme="minorEastAsia"/>
                <w:color w:val="000000" w:themeColor="text1"/>
                <w:kern w:val="0"/>
                <w:szCs w:val="21"/>
                <w14:textFill>
                  <w14:solidFill>
                    <w14:schemeClr w14:val="tx1"/>
                  </w14:solidFill>
                </w14:textFill>
              </w:rPr>
              <w:t>(A</w:t>
            </w:r>
            <w:r>
              <w:rPr>
                <w:rFonts w:hint="eastAsia" w:cs="宋体" w:asciiTheme="minorEastAsia" w:hAnsiTheme="minorEastAsia" w:eastAsiaTheme="minorEastAsia"/>
                <w:color w:val="000000" w:themeColor="text1"/>
                <w:kern w:val="0"/>
                <w:szCs w:val="21"/>
                <w14:textFill>
                  <w14:solidFill>
                    <w14:schemeClr w14:val="tx1"/>
                  </w14:solidFill>
                </w14:textFill>
              </w:rPr>
              <w:t>）</w:t>
            </w:r>
          </w:p>
        </w:tc>
        <w:tc>
          <w:tcPr>
            <w:tcW w:w="195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备注</w:t>
            </w:r>
          </w:p>
        </w:tc>
      </w:tr>
      <w:tr>
        <w:tblPrEx>
          <w:tblCellMar>
            <w:top w:w="0" w:type="dxa"/>
            <w:left w:w="108" w:type="dxa"/>
            <w:bottom w:w="0" w:type="dxa"/>
            <w:right w:w="108" w:type="dxa"/>
          </w:tblCellMar>
        </w:tblPrEx>
        <w:trPr>
          <w:trHeight w:val="289" w:hRule="atLeast"/>
        </w:trPr>
        <w:tc>
          <w:tcPr>
            <w:tcW w:w="122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一楼中心站</w:t>
            </w:r>
          </w:p>
        </w:tc>
        <w:tc>
          <w:tcPr>
            <w:tcW w:w="2211"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cs="宋体" w:asciiTheme="minorEastAsia" w:hAnsiTheme="minorEastAsia" w:eastAsiaTheme="minorEastAsia"/>
                <w:color w:val="000000" w:themeColor="text1"/>
                <w:kern w:val="0"/>
                <w:szCs w:val="21"/>
                <w14:textFill>
                  <w14:solidFill>
                    <w14:schemeClr w14:val="tx1"/>
                  </w14:solidFill>
                </w14:textFill>
              </w:rPr>
              <w:t>N205/N206/N305/N306</w:t>
            </w:r>
          </w:p>
        </w:tc>
        <w:tc>
          <w:tcPr>
            <w:tcW w:w="110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数据中心总能耗</w:t>
            </w:r>
          </w:p>
        </w:tc>
        <w:tc>
          <w:tcPr>
            <w:tcW w:w="93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cs="宋体" w:asciiTheme="minorEastAsia" w:hAnsiTheme="minorEastAsia" w:eastAsiaTheme="minorEastAsia"/>
                <w:color w:val="000000" w:themeColor="text1"/>
                <w:kern w:val="0"/>
                <w:szCs w:val="21"/>
                <w14:textFill>
                  <w14:solidFill>
                    <w14:schemeClr w14:val="tx1"/>
                  </w14:solidFill>
                </w14:textFill>
              </w:rPr>
              <w:t>4</w:t>
            </w:r>
          </w:p>
        </w:tc>
        <w:tc>
          <w:tcPr>
            <w:tcW w:w="1161"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cs="宋体" w:asciiTheme="minorEastAsia" w:hAnsiTheme="minorEastAsia" w:eastAsiaTheme="minorEastAsia"/>
                <w:color w:val="000000" w:themeColor="text1"/>
                <w:kern w:val="0"/>
                <w:szCs w:val="21"/>
                <w14:textFill>
                  <w14:solidFill>
                    <w14:schemeClr w14:val="tx1"/>
                  </w14:solidFill>
                </w14:textFill>
              </w:rPr>
              <w:t>10KV/100V</w:t>
            </w:r>
          </w:p>
        </w:tc>
        <w:tc>
          <w:tcPr>
            <w:tcW w:w="121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cs="宋体" w:asciiTheme="minorEastAsia" w:hAnsiTheme="minorEastAsia" w:eastAsiaTheme="minorEastAsia"/>
                <w:color w:val="000000" w:themeColor="text1"/>
                <w:kern w:val="0"/>
                <w:szCs w:val="21"/>
                <w14:textFill>
                  <w14:solidFill>
                    <w14:schemeClr w14:val="tx1"/>
                  </w14:solidFill>
                </w14:textFill>
              </w:rPr>
              <w:t>CT</w:t>
            </w:r>
            <w:r>
              <w:rPr>
                <w:rFonts w:hint="eastAsia" w:cs="宋体" w:asciiTheme="minorEastAsia" w:hAnsiTheme="minorEastAsia" w:eastAsiaTheme="minorEastAsia"/>
                <w:color w:val="000000" w:themeColor="text1"/>
                <w:kern w:val="0"/>
                <w:szCs w:val="21"/>
                <w14:textFill>
                  <w14:solidFill>
                    <w14:schemeClr w14:val="tx1"/>
                  </w14:solidFill>
                </w14:textFill>
              </w:rPr>
              <w:t>变比</w:t>
            </w:r>
            <w:r>
              <w:rPr>
                <w:rFonts w:cs="宋体" w:asciiTheme="minorEastAsia" w:hAnsiTheme="minorEastAsia" w:eastAsiaTheme="minorEastAsia"/>
                <w:color w:val="000000" w:themeColor="text1"/>
                <w:kern w:val="0"/>
                <w:szCs w:val="21"/>
                <w14:textFill>
                  <w14:solidFill>
                    <w14:schemeClr w14:val="tx1"/>
                  </w14:solidFill>
                </w14:textFill>
              </w:rPr>
              <w:t>800/5</w:t>
            </w:r>
          </w:p>
        </w:tc>
        <w:tc>
          <w:tcPr>
            <w:tcW w:w="195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中压进线柜</w:t>
            </w:r>
          </w:p>
        </w:tc>
      </w:tr>
      <w:tr>
        <w:tblPrEx>
          <w:tblCellMar>
            <w:top w:w="0" w:type="dxa"/>
            <w:left w:w="108" w:type="dxa"/>
            <w:bottom w:w="0" w:type="dxa"/>
            <w:right w:w="108" w:type="dxa"/>
          </w:tblCellMar>
        </w:tblPrEx>
        <w:trPr>
          <w:trHeight w:val="289" w:hRule="atLeast"/>
        </w:trPr>
        <w:tc>
          <w:tcPr>
            <w:tcW w:w="122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一期强电间</w:t>
            </w:r>
            <w:r>
              <w:rPr>
                <w:rFonts w:cs="宋体" w:asciiTheme="minorEastAsia" w:hAnsiTheme="minorEastAsia" w:eastAsiaTheme="minorEastAsia"/>
                <w:color w:val="000000" w:themeColor="text1"/>
                <w:kern w:val="0"/>
                <w:szCs w:val="21"/>
                <w14:textFill>
                  <w14:solidFill>
                    <w14:schemeClr w14:val="tx1"/>
                  </w14:solidFill>
                </w14:textFill>
              </w:rPr>
              <w:t>ER101</w:t>
            </w:r>
          </w:p>
        </w:tc>
        <w:tc>
          <w:tcPr>
            <w:tcW w:w="2211" w:type="dxa"/>
            <w:tcBorders>
              <w:top w:val="nil"/>
              <w:left w:val="nil"/>
              <w:bottom w:val="nil"/>
              <w:right w:val="single" w:color="auto" w:sz="4" w:space="0"/>
            </w:tcBorders>
            <w:shd w:val="clear" w:color="auto" w:fill="auto"/>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动力配电箱</w:t>
            </w:r>
            <w:r>
              <w:rPr>
                <w:rFonts w:cs="宋体" w:asciiTheme="minorEastAsia" w:hAnsiTheme="minorEastAsia" w:eastAsiaTheme="minorEastAsia"/>
                <w:color w:val="000000" w:themeColor="text1"/>
                <w:kern w:val="0"/>
                <w:szCs w:val="21"/>
                <w14:textFill>
                  <w14:solidFill>
                    <w14:schemeClr w14:val="tx1"/>
                  </w14:solidFill>
                </w14:textFill>
              </w:rPr>
              <w:t>ER101-1</w:t>
            </w:r>
          </w:p>
        </w:tc>
        <w:tc>
          <w:tcPr>
            <w:tcW w:w="1104" w:type="dxa"/>
            <w:tcBorders>
              <w:top w:val="nil"/>
              <w:left w:val="nil"/>
              <w:bottom w:val="nil"/>
              <w:right w:val="single" w:color="auto" w:sz="4" w:space="0"/>
            </w:tcBorders>
            <w:shd w:val="clear" w:color="auto" w:fill="auto"/>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风机动力配电</w:t>
            </w:r>
          </w:p>
        </w:tc>
        <w:tc>
          <w:tcPr>
            <w:tcW w:w="93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cs="宋体" w:asciiTheme="minorEastAsia" w:hAnsiTheme="minorEastAsia" w:eastAsiaTheme="minorEastAsia"/>
                <w:color w:val="000000" w:themeColor="text1"/>
                <w:kern w:val="0"/>
                <w:szCs w:val="21"/>
                <w14:textFill>
                  <w14:solidFill>
                    <w14:schemeClr w14:val="tx1"/>
                  </w14:solidFill>
                </w14:textFill>
              </w:rPr>
              <w:t>1</w:t>
            </w:r>
          </w:p>
        </w:tc>
        <w:tc>
          <w:tcPr>
            <w:tcW w:w="1161"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三相　</w:t>
            </w:r>
          </w:p>
        </w:tc>
        <w:tc>
          <w:tcPr>
            <w:tcW w:w="121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　</w:t>
            </w:r>
          </w:p>
        </w:tc>
        <w:tc>
          <w:tcPr>
            <w:tcW w:w="1953" w:type="dxa"/>
            <w:vMerge w:val="restart"/>
            <w:tcBorders>
              <w:top w:val="nil"/>
              <w:left w:val="nil"/>
              <w:right w:val="single" w:color="auto" w:sz="4" w:space="0"/>
            </w:tcBorders>
            <w:shd w:val="clear" w:color="auto" w:fill="auto"/>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现有总表，需接入动环系统；</w:t>
            </w:r>
            <w:r>
              <w:rPr>
                <w:rFonts w:cs="宋体" w:asciiTheme="minorEastAsia" w:hAnsiTheme="minorEastAsia" w:eastAsiaTheme="minorEastAsia"/>
                <w:color w:val="000000" w:themeColor="text1"/>
                <w:kern w:val="0"/>
                <w:szCs w:val="21"/>
                <w14:textFill>
                  <w14:solidFill>
                    <w14:schemeClr w14:val="tx1"/>
                  </w14:solidFill>
                </w14:textFill>
              </w:rPr>
              <w:t xml:space="preserve"> </w:t>
            </w:r>
          </w:p>
          <w:p>
            <w:pPr>
              <w:jc w:val="center"/>
              <w:rPr>
                <w:rFonts w:cs="宋体" w:asciiTheme="minorEastAsia" w:hAnsiTheme="minorEastAsia" w:eastAsiaTheme="minorEastAsia"/>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289" w:hRule="atLeast"/>
        </w:trPr>
        <w:tc>
          <w:tcPr>
            <w:tcW w:w="1225"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color w:val="000000" w:themeColor="text1"/>
                <w:kern w:val="0"/>
                <w:szCs w:val="21"/>
                <w14:textFill>
                  <w14:solidFill>
                    <w14:schemeClr w14:val="tx1"/>
                  </w14:solidFill>
                </w14:textFill>
              </w:rPr>
            </w:pPr>
          </w:p>
        </w:tc>
        <w:tc>
          <w:tcPr>
            <w:tcW w:w="22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照明配电箱</w:t>
            </w:r>
            <w:r>
              <w:rPr>
                <w:rFonts w:cs="宋体" w:asciiTheme="minorEastAsia" w:hAnsiTheme="minorEastAsia" w:eastAsiaTheme="minorEastAsia"/>
                <w:color w:val="000000" w:themeColor="text1"/>
                <w:kern w:val="0"/>
                <w:szCs w:val="21"/>
                <w14:textFill>
                  <w14:solidFill>
                    <w14:schemeClr w14:val="tx1"/>
                  </w14:solidFill>
                </w14:textFill>
              </w:rPr>
              <w:t>ER101-1</w:t>
            </w:r>
          </w:p>
        </w:tc>
        <w:tc>
          <w:tcPr>
            <w:tcW w:w="110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普通照明配电</w:t>
            </w:r>
          </w:p>
        </w:tc>
        <w:tc>
          <w:tcPr>
            <w:tcW w:w="93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cs="宋体" w:asciiTheme="minorEastAsia" w:hAnsiTheme="minorEastAsia" w:eastAsiaTheme="minorEastAsia"/>
                <w:color w:val="000000" w:themeColor="text1"/>
                <w:kern w:val="0"/>
                <w:szCs w:val="21"/>
                <w14:textFill>
                  <w14:solidFill>
                    <w14:schemeClr w14:val="tx1"/>
                  </w14:solidFill>
                </w14:textFill>
              </w:rPr>
              <w:t>1</w:t>
            </w:r>
          </w:p>
        </w:tc>
        <w:tc>
          <w:tcPr>
            <w:tcW w:w="1161"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三相　</w:t>
            </w:r>
          </w:p>
        </w:tc>
        <w:tc>
          <w:tcPr>
            <w:tcW w:w="121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　</w:t>
            </w:r>
          </w:p>
        </w:tc>
        <w:tc>
          <w:tcPr>
            <w:tcW w:w="1953" w:type="dxa"/>
            <w:vMerge w:val="continue"/>
            <w:tcBorders>
              <w:left w:val="nil"/>
              <w:right w:val="single" w:color="auto" w:sz="4" w:space="0"/>
            </w:tcBorders>
            <w:shd w:val="clear" w:color="auto" w:fill="auto"/>
            <w:vAlign w:val="center"/>
          </w:tcPr>
          <w:p>
            <w:pPr>
              <w:jc w:val="center"/>
              <w:rPr>
                <w:rFonts w:cs="宋体" w:asciiTheme="minorEastAsia" w:hAnsiTheme="minorEastAsia" w:eastAsiaTheme="minorEastAsia"/>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289" w:hRule="atLeast"/>
        </w:trPr>
        <w:tc>
          <w:tcPr>
            <w:tcW w:w="1225"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color w:val="000000" w:themeColor="text1"/>
                <w:kern w:val="0"/>
                <w:szCs w:val="21"/>
                <w14:textFill>
                  <w14:solidFill>
                    <w14:schemeClr w14:val="tx1"/>
                  </w14:solidFill>
                </w14:textFill>
              </w:rPr>
            </w:pPr>
          </w:p>
        </w:tc>
        <w:tc>
          <w:tcPr>
            <w:tcW w:w="221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照明配电箱</w:t>
            </w:r>
            <w:r>
              <w:rPr>
                <w:rFonts w:cs="宋体" w:asciiTheme="minorEastAsia" w:hAnsiTheme="minorEastAsia" w:eastAsiaTheme="minorEastAsia"/>
                <w:color w:val="000000" w:themeColor="text1"/>
                <w:kern w:val="0"/>
                <w:szCs w:val="21"/>
                <w14:textFill>
                  <w14:solidFill>
                    <w14:schemeClr w14:val="tx1"/>
                  </w14:solidFill>
                </w14:textFill>
              </w:rPr>
              <w:t>ER101-2</w:t>
            </w:r>
          </w:p>
        </w:tc>
        <w:tc>
          <w:tcPr>
            <w:tcW w:w="1104"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普通照明配电</w:t>
            </w:r>
          </w:p>
        </w:tc>
        <w:tc>
          <w:tcPr>
            <w:tcW w:w="93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cs="宋体" w:asciiTheme="minorEastAsia" w:hAnsiTheme="minorEastAsia" w:eastAsiaTheme="minorEastAsia"/>
                <w:color w:val="000000" w:themeColor="text1"/>
                <w:kern w:val="0"/>
                <w:szCs w:val="21"/>
                <w14:textFill>
                  <w14:solidFill>
                    <w14:schemeClr w14:val="tx1"/>
                  </w14:solidFill>
                </w14:textFill>
              </w:rPr>
              <w:t>1</w:t>
            </w:r>
          </w:p>
        </w:tc>
        <w:tc>
          <w:tcPr>
            <w:tcW w:w="1161"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三相　</w:t>
            </w:r>
          </w:p>
        </w:tc>
        <w:tc>
          <w:tcPr>
            <w:tcW w:w="121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　</w:t>
            </w:r>
          </w:p>
        </w:tc>
        <w:tc>
          <w:tcPr>
            <w:tcW w:w="1953" w:type="dxa"/>
            <w:vMerge w:val="continue"/>
            <w:tcBorders>
              <w:left w:val="nil"/>
              <w:right w:val="single" w:color="auto" w:sz="4" w:space="0"/>
            </w:tcBorders>
            <w:shd w:val="clear" w:color="auto" w:fill="auto"/>
            <w:vAlign w:val="center"/>
          </w:tcPr>
          <w:p>
            <w:pPr>
              <w:jc w:val="center"/>
              <w:rPr>
                <w:rFonts w:cs="宋体" w:asciiTheme="minorEastAsia" w:hAnsiTheme="minorEastAsia" w:eastAsiaTheme="minorEastAsia"/>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289" w:hRule="atLeast"/>
        </w:trPr>
        <w:tc>
          <w:tcPr>
            <w:tcW w:w="1225" w:type="dxa"/>
            <w:vMerge w:val="restart"/>
            <w:tcBorders>
              <w:top w:val="nil"/>
              <w:left w:val="single" w:color="auto" w:sz="4" w:space="0"/>
              <w:bottom w:val="nil"/>
              <w:right w:val="single" w:color="auto" w:sz="4" w:space="0"/>
            </w:tcBorders>
            <w:shd w:val="clear" w:color="auto" w:fill="auto"/>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一期强电间</w:t>
            </w:r>
            <w:r>
              <w:rPr>
                <w:rFonts w:cs="宋体" w:asciiTheme="minorEastAsia" w:hAnsiTheme="minorEastAsia" w:eastAsiaTheme="minorEastAsia"/>
                <w:color w:val="000000" w:themeColor="text1"/>
                <w:kern w:val="0"/>
                <w:szCs w:val="21"/>
                <w14:textFill>
                  <w14:solidFill>
                    <w14:schemeClr w14:val="tx1"/>
                  </w14:solidFill>
                </w14:textFill>
              </w:rPr>
              <w:t>ER201</w:t>
            </w:r>
          </w:p>
        </w:tc>
        <w:tc>
          <w:tcPr>
            <w:tcW w:w="2211" w:type="dxa"/>
            <w:tcBorders>
              <w:top w:val="nil"/>
              <w:left w:val="nil"/>
              <w:bottom w:val="nil"/>
              <w:right w:val="single" w:color="auto" w:sz="4" w:space="0"/>
            </w:tcBorders>
            <w:shd w:val="clear" w:color="auto" w:fill="auto"/>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动力配电箱</w:t>
            </w:r>
            <w:r>
              <w:rPr>
                <w:rFonts w:cs="宋体" w:asciiTheme="minorEastAsia" w:hAnsiTheme="minorEastAsia" w:eastAsiaTheme="minorEastAsia"/>
                <w:color w:val="000000" w:themeColor="text1"/>
                <w:kern w:val="0"/>
                <w:szCs w:val="21"/>
                <w14:textFill>
                  <w14:solidFill>
                    <w14:schemeClr w14:val="tx1"/>
                  </w14:solidFill>
                </w14:textFill>
              </w:rPr>
              <w:t>ER201-1</w:t>
            </w:r>
          </w:p>
        </w:tc>
        <w:tc>
          <w:tcPr>
            <w:tcW w:w="1104" w:type="dxa"/>
            <w:tcBorders>
              <w:top w:val="nil"/>
              <w:left w:val="nil"/>
              <w:bottom w:val="nil"/>
              <w:right w:val="single" w:color="auto" w:sz="4" w:space="0"/>
            </w:tcBorders>
            <w:shd w:val="clear" w:color="auto" w:fill="auto"/>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风机动力配电</w:t>
            </w:r>
          </w:p>
        </w:tc>
        <w:tc>
          <w:tcPr>
            <w:tcW w:w="93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cs="宋体" w:asciiTheme="minorEastAsia" w:hAnsiTheme="minorEastAsia" w:eastAsiaTheme="minorEastAsia"/>
                <w:color w:val="000000" w:themeColor="text1"/>
                <w:kern w:val="0"/>
                <w:szCs w:val="21"/>
                <w14:textFill>
                  <w14:solidFill>
                    <w14:schemeClr w14:val="tx1"/>
                  </w14:solidFill>
                </w14:textFill>
              </w:rPr>
              <w:t>1</w:t>
            </w:r>
          </w:p>
        </w:tc>
        <w:tc>
          <w:tcPr>
            <w:tcW w:w="1161"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三相　</w:t>
            </w:r>
          </w:p>
        </w:tc>
        <w:tc>
          <w:tcPr>
            <w:tcW w:w="121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　</w:t>
            </w:r>
          </w:p>
        </w:tc>
        <w:tc>
          <w:tcPr>
            <w:tcW w:w="1953" w:type="dxa"/>
            <w:vMerge w:val="continue"/>
            <w:tcBorders>
              <w:left w:val="nil"/>
              <w:right w:val="single" w:color="auto" w:sz="4" w:space="0"/>
            </w:tcBorders>
            <w:shd w:val="clear" w:color="auto" w:fill="auto"/>
            <w:vAlign w:val="center"/>
          </w:tcPr>
          <w:p>
            <w:pPr>
              <w:jc w:val="center"/>
              <w:rPr>
                <w:rFonts w:cs="宋体" w:asciiTheme="minorEastAsia" w:hAnsiTheme="minorEastAsia" w:eastAsiaTheme="minorEastAsia"/>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289" w:hRule="atLeast"/>
        </w:trPr>
        <w:tc>
          <w:tcPr>
            <w:tcW w:w="1225" w:type="dxa"/>
            <w:vMerge w:val="continue"/>
            <w:tcBorders>
              <w:top w:val="nil"/>
              <w:left w:val="single" w:color="auto" w:sz="4" w:space="0"/>
              <w:bottom w:val="nil"/>
              <w:right w:val="single" w:color="auto" w:sz="4" w:space="0"/>
            </w:tcBorders>
            <w:vAlign w:val="center"/>
          </w:tcPr>
          <w:p>
            <w:pPr>
              <w:widowControl/>
              <w:jc w:val="left"/>
              <w:rPr>
                <w:rFonts w:cs="宋体" w:asciiTheme="minorEastAsia" w:hAnsiTheme="minorEastAsia" w:eastAsiaTheme="minorEastAsia"/>
                <w:color w:val="000000" w:themeColor="text1"/>
                <w:kern w:val="0"/>
                <w:szCs w:val="21"/>
                <w14:textFill>
                  <w14:solidFill>
                    <w14:schemeClr w14:val="tx1"/>
                  </w14:solidFill>
                </w14:textFill>
              </w:rPr>
            </w:pPr>
          </w:p>
        </w:tc>
        <w:tc>
          <w:tcPr>
            <w:tcW w:w="2211" w:type="dxa"/>
            <w:tcBorders>
              <w:top w:val="single" w:color="auto" w:sz="4" w:space="0"/>
              <w:left w:val="nil"/>
              <w:bottom w:val="nil"/>
              <w:right w:val="single" w:color="auto" w:sz="4" w:space="0"/>
            </w:tcBorders>
            <w:shd w:val="clear" w:color="auto" w:fill="auto"/>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照明配电箱</w:t>
            </w:r>
            <w:r>
              <w:rPr>
                <w:rFonts w:cs="宋体" w:asciiTheme="minorEastAsia" w:hAnsiTheme="minorEastAsia" w:eastAsiaTheme="minorEastAsia"/>
                <w:color w:val="000000" w:themeColor="text1"/>
                <w:kern w:val="0"/>
                <w:szCs w:val="21"/>
                <w14:textFill>
                  <w14:solidFill>
                    <w14:schemeClr w14:val="tx1"/>
                  </w14:solidFill>
                </w14:textFill>
              </w:rPr>
              <w:t>ER201-1</w:t>
            </w:r>
          </w:p>
        </w:tc>
        <w:tc>
          <w:tcPr>
            <w:tcW w:w="1104" w:type="dxa"/>
            <w:vMerge w:val="restart"/>
            <w:tcBorders>
              <w:top w:val="single" w:color="auto" w:sz="4" w:space="0"/>
              <w:left w:val="single" w:color="auto" w:sz="4" w:space="0"/>
              <w:bottom w:val="nil"/>
              <w:right w:val="single" w:color="auto" w:sz="4" w:space="0"/>
            </w:tcBorders>
            <w:shd w:val="clear" w:color="auto" w:fill="auto"/>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普通照明配电</w:t>
            </w:r>
          </w:p>
        </w:tc>
        <w:tc>
          <w:tcPr>
            <w:tcW w:w="93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cs="宋体" w:asciiTheme="minorEastAsia" w:hAnsiTheme="minorEastAsia" w:eastAsiaTheme="minorEastAsia"/>
                <w:color w:val="000000" w:themeColor="text1"/>
                <w:kern w:val="0"/>
                <w:szCs w:val="21"/>
                <w14:textFill>
                  <w14:solidFill>
                    <w14:schemeClr w14:val="tx1"/>
                  </w14:solidFill>
                </w14:textFill>
              </w:rPr>
              <w:t>1</w:t>
            </w:r>
          </w:p>
        </w:tc>
        <w:tc>
          <w:tcPr>
            <w:tcW w:w="1161"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三相　</w:t>
            </w:r>
          </w:p>
        </w:tc>
        <w:tc>
          <w:tcPr>
            <w:tcW w:w="121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　</w:t>
            </w:r>
          </w:p>
        </w:tc>
        <w:tc>
          <w:tcPr>
            <w:tcW w:w="1953" w:type="dxa"/>
            <w:vMerge w:val="continue"/>
            <w:tcBorders>
              <w:left w:val="nil"/>
              <w:right w:val="single" w:color="auto" w:sz="4" w:space="0"/>
            </w:tcBorders>
            <w:shd w:val="clear" w:color="auto" w:fill="auto"/>
            <w:vAlign w:val="center"/>
          </w:tcPr>
          <w:p>
            <w:pPr>
              <w:jc w:val="center"/>
              <w:rPr>
                <w:rFonts w:cs="宋体" w:asciiTheme="minorEastAsia" w:hAnsiTheme="minorEastAsia" w:eastAsiaTheme="minorEastAsia"/>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289" w:hRule="atLeast"/>
        </w:trPr>
        <w:tc>
          <w:tcPr>
            <w:tcW w:w="1225" w:type="dxa"/>
            <w:vMerge w:val="continue"/>
            <w:tcBorders>
              <w:top w:val="nil"/>
              <w:left w:val="single" w:color="auto" w:sz="4" w:space="0"/>
              <w:bottom w:val="nil"/>
              <w:right w:val="single" w:color="auto" w:sz="4" w:space="0"/>
            </w:tcBorders>
            <w:vAlign w:val="center"/>
          </w:tcPr>
          <w:p>
            <w:pPr>
              <w:widowControl/>
              <w:jc w:val="left"/>
              <w:rPr>
                <w:rFonts w:cs="宋体" w:asciiTheme="minorEastAsia" w:hAnsiTheme="minorEastAsia" w:eastAsiaTheme="minorEastAsia"/>
                <w:color w:val="000000" w:themeColor="text1"/>
                <w:kern w:val="0"/>
                <w:szCs w:val="21"/>
                <w14:textFill>
                  <w14:solidFill>
                    <w14:schemeClr w14:val="tx1"/>
                  </w14:solidFill>
                </w14:textFill>
              </w:rPr>
            </w:pPr>
          </w:p>
        </w:tc>
        <w:tc>
          <w:tcPr>
            <w:tcW w:w="2211" w:type="dxa"/>
            <w:tcBorders>
              <w:top w:val="single" w:color="auto" w:sz="4" w:space="0"/>
              <w:left w:val="nil"/>
              <w:bottom w:val="nil"/>
              <w:right w:val="single" w:color="auto" w:sz="4" w:space="0"/>
            </w:tcBorders>
            <w:shd w:val="clear" w:color="auto" w:fill="auto"/>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照明配电箱</w:t>
            </w:r>
            <w:r>
              <w:rPr>
                <w:rFonts w:cs="宋体" w:asciiTheme="minorEastAsia" w:hAnsiTheme="minorEastAsia" w:eastAsiaTheme="minorEastAsia"/>
                <w:color w:val="000000" w:themeColor="text1"/>
                <w:kern w:val="0"/>
                <w:szCs w:val="21"/>
                <w14:textFill>
                  <w14:solidFill>
                    <w14:schemeClr w14:val="tx1"/>
                  </w14:solidFill>
                </w14:textFill>
              </w:rPr>
              <w:t>ER201-2</w:t>
            </w:r>
          </w:p>
        </w:tc>
        <w:tc>
          <w:tcPr>
            <w:tcW w:w="1104" w:type="dxa"/>
            <w:vMerge w:val="continue"/>
            <w:tcBorders>
              <w:top w:val="single" w:color="auto" w:sz="4" w:space="0"/>
              <w:left w:val="single" w:color="auto" w:sz="4" w:space="0"/>
              <w:bottom w:val="nil"/>
              <w:right w:val="single" w:color="auto" w:sz="4" w:space="0"/>
            </w:tcBorders>
            <w:vAlign w:val="center"/>
          </w:tcPr>
          <w:p>
            <w:pPr>
              <w:widowControl/>
              <w:jc w:val="left"/>
              <w:rPr>
                <w:rFonts w:cs="宋体" w:asciiTheme="minorEastAsia" w:hAnsiTheme="minorEastAsia" w:eastAsiaTheme="minorEastAsia"/>
                <w:color w:val="000000" w:themeColor="text1"/>
                <w:kern w:val="0"/>
                <w:szCs w:val="21"/>
                <w14:textFill>
                  <w14:solidFill>
                    <w14:schemeClr w14:val="tx1"/>
                  </w14:solidFill>
                </w14:textFill>
              </w:rPr>
            </w:pPr>
          </w:p>
        </w:tc>
        <w:tc>
          <w:tcPr>
            <w:tcW w:w="93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cs="宋体" w:asciiTheme="minorEastAsia" w:hAnsiTheme="minorEastAsia" w:eastAsiaTheme="minorEastAsia"/>
                <w:color w:val="000000" w:themeColor="text1"/>
                <w:kern w:val="0"/>
                <w:szCs w:val="21"/>
                <w14:textFill>
                  <w14:solidFill>
                    <w14:schemeClr w14:val="tx1"/>
                  </w14:solidFill>
                </w14:textFill>
              </w:rPr>
              <w:t>1</w:t>
            </w:r>
          </w:p>
        </w:tc>
        <w:tc>
          <w:tcPr>
            <w:tcW w:w="1161"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三相　</w:t>
            </w:r>
          </w:p>
        </w:tc>
        <w:tc>
          <w:tcPr>
            <w:tcW w:w="121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　</w:t>
            </w:r>
          </w:p>
        </w:tc>
        <w:tc>
          <w:tcPr>
            <w:tcW w:w="1953" w:type="dxa"/>
            <w:vMerge w:val="continue"/>
            <w:tcBorders>
              <w:left w:val="nil"/>
              <w:right w:val="single" w:color="auto" w:sz="4" w:space="0"/>
            </w:tcBorders>
            <w:shd w:val="clear" w:color="auto" w:fill="auto"/>
            <w:vAlign w:val="center"/>
          </w:tcPr>
          <w:p>
            <w:pPr>
              <w:jc w:val="center"/>
              <w:rPr>
                <w:rFonts w:cs="宋体" w:asciiTheme="minorEastAsia" w:hAnsiTheme="minorEastAsia" w:eastAsiaTheme="minorEastAsia"/>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289" w:hRule="atLeast"/>
        </w:trPr>
        <w:tc>
          <w:tcPr>
            <w:tcW w:w="122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一期强电间</w:t>
            </w:r>
            <w:r>
              <w:rPr>
                <w:rFonts w:cs="宋体" w:asciiTheme="minorEastAsia" w:hAnsiTheme="minorEastAsia" w:eastAsiaTheme="minorEastAsia"/>
                <w:color w:val="000000" w:themeColor="text1"/>
                <w:kern w:val="0"/>
                <w:szCs w:val="21"/>
                <w14:textFill>
                  <w14:solidFill>
                    <w14:schemeClr w14:val="tx1"/>
                  </w14:solidFill>
                </w14:textFill>
              </w:rPr>
              <w:t>ER301</w:t>
            </w:r>
          </w:p>
        </w:tc>
        <w:tc>
          <w:tcPr>
            <w:tcW w:w="2211" w:type="dxa"/>
            <w:tcBorders>
              <w:top w:val="single" w:color="auto" w:sz="4" w:space="0"/>
              <w:left w:val="nil"/>
              <w:bottom w:val="nil"/>
              <w:right w:val="single" w:color="auto" w:sz="4" w:space="0"/>
            </w:tcBorders>
            <w:shd w:val="clear" w:color="auto" w:fill="auto"/>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动力配电箱</w:t>
            </w:r>
            <w:r>
              <w:rPr>
                <w:rFonts w:cs="宋体" w:asciiTheme="minorEastAsia" w:hAnsiTheme="minorEastAsia" w:eastAsiaTheme="minorEastAsia"/>
                <w:color w:val="000000" w:themeColor="text1"/>
                <w:kern w:val="0"/>
                <w:szCs w:val="21"/>
                <w14:textFill>
                  <w14:solidFill>
                    <w14:schemeClr w14:val="tx1"/>
                  </w14:solidFill>
                </w14:textFill>
              </w:rPr>
              <w:t>ER301-1</w:t>
            </w:r>
          </w:p>
        </w:tc>
        <w:tc>
          <w:tcPr>
            <w:tcW w:w="1104" w:type="dxa"/>
            <w:tcBorders>
              <w:top w:val="single" w:color="auto" w:sz="4" w:space="0"/>
              <w:left w:val="nil"/>
              <w:bottom w:val="nil"/>
              <w:right w:val="single" w:color="auto" w:sz="4" w:space="0"/>
            </w:tcBorders>
            <w:shd w:val="clear" w:color="auto" w:fill="auto"/>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风机动力配电</w:t>
            </w:r>
          </w:p>
        </w:tc>
        <w:tc>
          <w:tcPr>
            <w:tcW w:w="93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cs="宋体" w:asciiTheme="minorEastAsia" w:hAnsiTheme="minorEastAsia" w:eastAsiaTheme="minorEastAsia"/>
                <w:color w:val="000000" w:themeColor="text1"/>
                <w:kern w:val="0"/>
                <w:szCs w:val="21"/>
                <w14:textFill>
                  <w14:solidFill>
                    <w14:schemeClr w14:val="tx1"/>
                  </w14:solidFill>
                </w14:textFill>
              </w:rPr>
              <w:t>1</w:t>
            </w:r>
          </w:p>
        </w:tc>
        <w:tc>
          <w:tcPr>
            <w:tcW w:w="1161"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三相　</w:t>
            </w:r>
          </w:p>
        </w:tc>
        <w:tc>
          <w:tcPr>
            <w:tcW w:w="121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　</w:t>
            </w:r>
          </w:p>
        </w:tc>
        <w:tc>
          <w:tcPr>
            <w:tcW w:w="1953" w:type="dxa"/>
            <w:vMerge w:val="continue"/>
            <w:tcBorders>
              <w:left w:val="nil"/>
              <w:right w:val="single" w:color="auto" w:sz="4" w:space="0"/>
            </w:tcBorders>
            <w:shd w:val="clear" w:color="auto" w:fill="auto"/>
            <w:vAlign w:val="center"/>
          </w:tcPr>
          <w:p>
            <w:pPr>
              <w:jc w:val="center"/>
              <w:rPr>
                <w:rFonts w:cs="宋体" w:asciiTheme="minorEastAsia" w:hAnsiTheme="minorEastAsia" w:eastAsiaTheme="minorEastAsia"/>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289" w:hRule="atLeast"/>
        </w:trPr>
        <w:tc>
          <w:tcPr>
            <w:tcW w:w="122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color w:val="000000" w:themeColor="text1"/>
                <w:kern w:val="0"/>
                <w:szCs w:val="21"/>
                <w14:textFill>
                  <w14:solidFill>
                    <w14:schemeClr w14:val="tx1"/>
                  </w14:solidFill>
                </w14:textFill>
              </w:rPr>
            </w:pPr>
          </w:p>
        </w:tc>
        <w:tc>
          <w:tcPr>
            <w:tcW w:w="2211" w:type="dxa"/>
            <w:tcBorders>
              <w:top w:val="single" w:color="auto" w:sz="4" w:space="0"/>
              <w:left w:val="nil"/>
              <w:bottom w:val="nil"/>
              <w:right w:val="single" w:color="auto" w:sz="4" w:space="0"/>
            </w:tcBorders>
            <w:shd w:val="clear" w:color="auto" w:fill="auto"/>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照明配电箱</w:t>
            </w:r>
            <w:r>
              <w:rPr>
                <w:rFonts w:cs="宋体" w:asciiTheme="minorEastAsia" w:hAnsiTheme="minorEastAsia" w:eastAsiaTheme="minorEastAsia"/>
                <w:color w:val="000000" w:themeColor="text1"/>
                <w:kern w:val="0"/>
                <w:szCs w:val="21"/>
                <w14:textFill>
                  <w14:solidFill>
                    <w14:schemeClr w14:val="tx1"/>
                  </w14:solidFill>
                </w14:textFill>
              </w:rPr>
              <w:t>ER301-1</w:t>
            </w:r>
          </w:p>
        </w:tc>
        <w:tc>
          <w:tcPr>
            <w:tcW w:w="110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普通照明配电</w:t>
            </w:r>
          </w:p>
        </w:tc>
        <w:tc>
          <w:tcPr>
            <w:tcW w:w="93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cs="宋体" w:asciiTheme="minorEastAsia" w:hAnsiTheme="minorEastAsia" w:eastAsiaTheme="minorEastAsia"/>
                <w:color w:val="000000" w:themeColor="text1"/>
                <w:kern w:val="0"/>
                <w:szCs w:val="21"/>
                <w14:textFill>
                  <w14:solidFill>
                    <w14:schemeClr w14:val="tx1"/>
                  </w14:solidFill>
                </w14:textFill>
              </w:rPr>
              <w:t>1</w:t>
            </w:r>
          </w:p>
        </w:tc>
        <w:tc>
          <w:tcPr>
            <w:tcW w:w="1161"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三相　</w:t>
            </w:r>
          </w:p>
        </w:tc>
        <w:tc>
          <w:tcPr>
            <w:tcW w:w="121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　</w:t>
            </w:r>
          </w:p>
        </w:tc>
        <w:tc>
          <w:tcPr>
            <w:tcW w:w="1953" w:type="dxa"/>
            <w:vMerge w:val="continue"/>
            <w:tcBorders>
              <w:left w:val="nil"/>
              <w:right w:val="single" w:color="auto" w:sz="4" w:space="0"/>
            </w:tcBorders>
            <w:shd w:val="clear" w:color="auto" w:fill="auto"/>
            <w:vAlign w:val="center"/>
          </w:tcPr>
          <w:p>
            <w:pPr>
              <w:jc w:val="center"/>
              <w:rPr>
                <w:rFonts w:cs="宋体" w:asciiTheme="minorEastAsia" w:hAnsiTheme="minorEastAsia" w:eastAsiaTheme="minorEastAsia"/>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289" w:hRule="atLeast"/>
        </w:trPr>
        <w:tc>
          <w:tcPr>
            <w:tcW w:w="122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color w:val="000000" w:themeColor="text1"/>
                <w:kern w:val="0"/>
                <w:szCs w:val="21"/>
                <w14:textFill>
                  <w14:solidFill>
                    <w14:schemeClr w14:val="tx1"/>
                  </w14:solidFill>
                </w14:textFill>
              </w:rPr>
            </w:pPr>
          </w:p>
        </w:tc>
        <w:tc>
          <w:tcPr>
            <w:tcW w:w="2211" w:type="dxa"/>
            <w:tcBorders>
              <w:top w:val="single" w:color="auto" w:sz="4" w:space="0"/>
              <w:left w:val="nil"/>
              <w:bottom w:val="nil"/>
              <w:right w:val="single" w:color="auto" w:sz="4" w:space="0"/>
            </w:tcBorders>
            <w:shd w:val="clear" w:color="auto" w:fill="auto"/>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照明配电箱</w:t>
            </w:r>
            <w:r>
              <w:rPr>
                <w:rFonts w:cs="宋体" w:asciiTheme="minorEastAsia" w:hAnsiTheme="minorEastAsia" w:eastAsiaTheme="minorEastAsia"/>
                <w:color w:val="000000" w:themeColor="text1"/>
                <w:kern w:val="0"/>
                <w:szCs w:val="21"/>
                <w14:textFill>
                  <w14:solidFill>
                    <w14:schemeClr w14:val="tx1"/>
                  </w14:solidFill>
                </w14:textFill>
              </w:rPr>
              <w:t>ER301-2</w:t>
            </w:r>
          </w:p>
        </w:tc>
        <w:tc>
          <w:tcPr>
            <w:tcW w:w="110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color w:val="000000" w:themeColor="text1"/>
                <w:kern w:val="0"/>
                <w:szCs w:val="21"/>
                <w14:textFill>
                  <w14:solidFill>
                    <w14:schemeClr w14:val="tx1"/>
                  </w14:solidFill>
                </w14:textFill>
              </w:rPr>
            </w:pPr>
          </w:p>
        </w:tc>
        <w:tc>
          <w:tcPr>
            <w:tcW w:w="93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cs="宋体" w:asciiTheme="minorEastAsia" w:hAnsiTheme="minorEastAsia" w:eastAsiaTheme="minorEastAsia"/>
                <w:color w:val="000000" w:themeColor="text1"/>
                <w:kern w:val="0"/>
                <w:szCs w:val="21"/>
                <w14:textFill>
                  <w14:solidFill>
                    <w14:schemeClr w14:val="tx1"/>
                  </w14:solidFill>
                </w14:textFill>
              </w:rPr>
              <w:t>1</w:t>
            </w:r>
          </w:p>
        </w:tc>
        <w:tc>
          <w:tcPr>
            <w:tcW w:w="1161"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三相　</w:t>
            </w:r>
          </w:p>
        </w:tc>
        <w:tc>
          <w:tcPr>
            <w:tcW w:w="121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　</w:t>
            </w:r>
          </w:p>
        </w:tc>
        <w:tc>
          <w:tcPr>
            <w:tcW w:w="1953" w:type="dxa"/>
            <w:vMerge w:val="continue"/>
            <w:tcBorders>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289" w:hRule="atLeast"/>
        </w:trPr>
        <w:tc>
          <w:tcPr>
            <w:tcW w:w="122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一期强电间</w:t>
            </w:r>
            <w:r>
              <w:rPr>
                <w:rFonts w:cs="宋体" w:asciiTheme="minorEastAsia" w:hAnsiTheme="minorEastAsia" w:eastAsiaTheme="minorEastAsia"/>
                <w:color w:val="000000" w:themeColor="text1"/>
                <w:kern w:val="0"/>
                <w:szCs w:val="21"/>
                <w14:textFill>
                  <w14:solidFill>
                    <w14:schemeClr w14:val="tx1"/>
                  </w14:solidFill>
                </w14:textFill>
              </w:rPr>
              <w:t>ER401</w:t>
            </w:r>
          </w:p>
        </w:tc>
        <w:tc>
          <w:tcPr>
            <w:tcW w:w="221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动力配电箱</w:t>
            </w:r>
            <w:r>
              <w:rPr>
                <w:rFonts w:cs="宋体" w:asciiTheme="minorEastAsia" w:hAnsiTheme="minorEastAsia" w:eastAsiaTheme="minorEastAsia"/>
                <w:color w:val="000000" w:themeColor="text1"/>
                <w:kern w:val="0"/>
                <w:szCs w:val="21"/>
                <w14:textFill>
                  <w14:solidFill>
                    <w14:schemeClr w14:val="tx1"/>
                  </w14:solidFill>
                </w14:textFill>
              </w:rPr>
              <w:t>ER401-1</w:t>
            </w:r>
          </w:p>
        </w:tc>
        <w:tc>
          <w:tcPr>
            <w:tcW w:w="110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风机动力配电</w:t>
            </w:r>
          </w:p>
        </w:tc>
        <w:tc>
          <w:tcPr>
            <w:tcW w:w="93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cs="宋体" w:asciiTheme="minorEastAsia" w:hAnsiTheme="minorEastAsia" w:eastAsiaTheme="minorEastAsia"/>
                <w:color w:val="000000" w:themeColor="text1"/>
                <w:kern w:val="0"/>
                <w:szCs w:val="21"/>
                <w14:textFill>
                  <w14:solidFill>
                    <w14:schemeClr w14:val="tx1"/>
                  </w14:solidFill>
                </w14:textFill>
              </w:rPr>
              <w:t>1</w:t>
            </w:r>
          </w:p>
        </w:tc>
        <w:tc>
          <w:tcPr>
            <w:tcW w:w="1161"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三相　</w:t>
            </w:r>
          </w:p>
        </w:tc>
        <w:tc>
          <w:tcPr>
            <w:tcW w:w="121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　</w:t>
            </w:r>
          </w:p>
        </w:tc>
        <w:tc>
          <w:tcPr>
            <w:tcW w:w="195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现有总表，需接入动环系统；</w:t>
            </w:r>
          </w:p>
        </w:tc>
      </w:tr>
      <w:tr>
        <w:tblPrEx>
          <w:tblCellMar>
            <w:top w:w="0" w:type="dxa"/>
            <w:left w:w="108" w:type="dxa"/>
            <w:bottom w:w="0" w:type="dxa"/>
            <w:right w:w="108" w:type="dxa"/>
          </w:tblCellMar>
        </w:tblPrEx>
        <w:trPr>
          <w:trHeight w:val="289" w:hRule="atLeast"/>
        </w:trPr>
        <w:tc>
          <w:tcPr>
            <w:tcW w:w="1225"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color w:val="000000" w:themeColor="text1"/>
                <w:kern w:val="0"/>
                <w:szCs w:val="21"/>
                <w14:textFill>
                  <w14:solidFill>
                    <w14:schemeClr w14:val="tx1"/>
                  </w14:solidFill>
                </w14:textFill>
              </w:rPr>
            </w:pPr>
          </w:p>
        </w:tc>
        <w:tc>
          <w:tcPr>
            <w:tcW w:w="221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color w:val="000000" w:themeColor="text1"/>
                <w:kern w:val="0"/>
                <w:szCs w:val="21"/>
                <w14:textFill>
                  <w14:solidFill>
                    <w14:schemeClr w14:val="tx1"/>
                  </w14:solidFill>
                </w14:textFill>
              </w:rPr>
            </w:pPr>
          </w:p>
        </w:tc>
        <w:tc>
          <w:tcPr>
            <w:tcW w:w="1104"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color w:val="000000" w:themeColor="text1"/>
                <w:kern w:val="0"/>
                <w:szCs w:val="21"/>
                <w14:textFill>
                  <w14:solidFill>
                    <w14:schemeClr w14:val="tx1"/>
                  </w14:solidFill>
                </w14:textFill>
              </w:rPr>
            </w:pPr>
          </w:p>
        </w:tc>
        <w:tc>
          <w:tcPr>
            <w:tcW w:w="93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cs="宋体" w:asciiTheme="minorEastAsia" w:hAnsiTheme="minorEastAsia" w:eastAsiaTheme="minorEastAsia"/>
                <w:color w:val="000000" w:themeColor="text1"/>
                <w:kern w:val="0"/>
                <w:szCs w:val="21"/>
                <w14:textFill>
                  <w14:solidFill>
                    <w14:schemeClr w14:val="tx1"/>
                  </w14:solidFill>
                </w14:textFill>
              </w:rPr>
              <w:t>1</w:t>
            </w:r>
          </w:p>
        </w:tc>
        <w:tc>
          <w:tcPr>
            <w:tcW w:w="1161"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单相</w:t>
            </w:r>
          </w:p>
        </w:tc>
        <w:tc>
          <w:tcPr>
            <w:tcW w:w="121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cs="宋体" w:asciiTheme="minorEastAsia" w:hAnsiTheme="minorEastAsia" w:eastAsiaTheme="minorEastAsia"/>
                <w:color w:val="000000" w:themeColor="text1"/>
                <w:kern w:val="0"/>
                <w:szCs w:val="21"/>
                <w14:textFill>
                  <w14:solidFill>
                    <w14:schemeClr w14:val="tx1"/>
                  </w14:solidFill>
                </w14:textFill>
              </w:rPr>
              <w:t>20A</w:t>
            </w:r>
          </w:p>
        </w:tc>
        <w:tc>
          <w:tcPr>
            <w:tcW w:w="195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cs="宋体" w:asciiTheme="minorEastAsia" w:hAnsiTheme="minorEastAsia" w:eastAsiaTheme="minorEastAsia"/>
                <w:color w:val="000000" w:themeColor="text1"/>
                <w:kern w:val="0"/>
                <w:szCs w:val="21"/>
                <w14:textFill>
                  <w14:solidFill>
                    <w14:schemeClr w14:val="tx1"/>
                  </w14:solidFill>
                </w14:textFill>
              </w:rPr>
              <w:t>4F</w:t>
            </w:r>
            <w:r>
              <w:rPr>
                <w:rFonts w:hint="eastAsia" w:cs="宋体" w:asciiTheme="minorEastAsia" w:hAnsiTheme="minorEastAsia" w:eastAsiaTheme="minorEastAsia"/>
                <w:color w:val="000000" w:themeColor="text1"/>
                <w:kern w:val="0"/>
                <w:szCs w:val="21"/>
                <w14:textFill>
                  <w14:solidFill>
                    <w14:schemeClr w14:val="tx1"/>
                  </w14:solidFill>
                </w14:textFill>
              </w:rPr>
              <w:t>弱电井</w:t>
            </w:r>
            <w:r>
              <w:rPr>
                <w:rFonts w:cs="宋体" w:asciiTheme="minorEastAsia" w:hAnsiTheme="minorEastAsia" w:eastAsiaTheme="minorEastAsia"/>
                <w:color w:val="000000" w:themeColor="text1"/>
                <w:kern w:val="0"/>
                <w:szCs w:val="21"/>
                <w14:textFill>
                  <w14:solidFill>
                    <w14:schemeClr w14:val="tx1"/>
                  </w14:solidFill>
                </w14:textFill>
              </w:rPr>
              <w:t>VRV</w:t>
            </w:r>
            <w:r>
              <w:rPr>
                <w:rFonts w:hint="eastAsia" w:cs="宋体" w:asciiTheme="minorEastAsia" w:hAnsiTheme="minorEastAsia" w:eastAsiaTheme="minorEastAsia"/>
                <w:color w:val="000000" w:themeColor="text1"/>
                <w:kern w:val="0"/>
                <w:szCs w:val="21"/>
                <w14:textFill>
                  <w14:solidFill>
                    <w14:schemeClr w14:val="tx1"/>
                  </w14:solidFill>
                </w14:textFill>
              </w:rPr>
              <w:t>内机</w:t>
            </w:r>
            <w:r>
              <w:rPr>
                <w:rFonts w:cs="宋体" w:asciiTheme="minorEastAsia" w:hAnsiTheme="minorEastAsia" w:eastAsiaTheme="minorEastAsia"/>
                <w:color w:val="000000" w:themeColor="text1"/>
                <w:kern w:val="0"/>
                <w:szCs w:val="21"/>
                <w14:textFill>
                  <w14:solidFill>
                    <w14:schemeClr w14:val="tx1"/>
                  </w14:solidFill>
                </w14:textFill>
              </w:rPr>
              <w:t>WL19</w:t>
            </w:r>
          </w:p>
        </w:tc>
      </w:tr>
      <w:tr>
        <w:tblPrEx>
          <w:tblCellMar>
            <w:top w:w="0" w:type="dxa"/>
            <w:left w:w="108" w:type="dxa"/>
            <w:bottom w:w="0" w:type="dxa"/>
            <w:right w:w="108" w:type="dxa"/>
          </w:tblCellMar>
        </w:tblPrEx>
        <w:trPr>
          <w:trHeight w:val="289" w:hRule="atLeast"/>
        </w:trPr>
        <w:tc>
          <w:tcPr>
            <w:tcW w:w="1225"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color w:val="000000" w:themeColor="text1"/>
                <w:kern w:val="0"/>
                <w:szCs w:val="21"/>
                <w14:textFill>
                  <w14:solidFill>
                    <w14:schemeClr w14:val="tx1"/>
                  </w14:solidFill>
                </w14:textFill>
              </w:rPr>
            </w:pPr>
          </w:p>
        </w:tc>
        <w:tc>
          <w:tcPr>
            <w:tcW w:w="2211" w:type="dxa"/>
            <w:tcBorders>
              <w:top w:val="nil"/>
              <w:left w:val="nil"/>
              <w:bottom w:val="nil"/>
              <w:right w:val="single" w:color="auto" w:sz="4" w:space="0"/>
            </w:tcBorders>
            <w:shd w:val="clear" w:color="auto" w:fill="auto"/>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照明配电箱</w:t>
            </w:r>
            <w:r>
              <w:rPr>
                <w:rFonts w:cs="宋体" w:asciiTheme="minorEastAsia" w:hAnsiTheme="minorEastAsia" w:eastAsiaTheme="minorEastAsia"/>
                <w:color w:val="000000" w:themeColor="text1"/>
                <w:kern w:val="0"/>
                <w:szCs w:val="21"/>
                <w14:textFill>
                  <w14:solidFill>
                    <w14:schemeClr w14:val="tx1"/>
                  </w14:solidFill>
                </w14:textFill>
              </w:rPr>
              <w:t>ER401-1</w:t>
            </w:r>
          </w:p>
        </w:tc>
        <w:tc>
          <w:tcPr>
            <w:tcW w:w="110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普通照明配电</w:t>
            </w:r>
          </w:p>
        </w:tc>
        <w:tc>
          <w:tcPr>
            <w:tcW w:w="93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cs="宋体" w:asciiTheme="minorEastAsia" w:hAnsiTheme="minorEastAsia" w:eastAsiaTheme="minorEastAsia"/>
                <w:color w:val="000000" w:themeColor="text1"/>
                <w:kern w:val="0"/>
                <w:szCs w:val="21"/>
                <w14:textFill>
                  <w14:solidFill>
                    <w14:schemeClr w14:val="tx1"/>
                  </w14:solidFill>
                </w14:textFill>
              </w:rPr>
              <w:t>1</w:t>
            </w:r>
          </w:p>
        </w:tc>
        <w:tc>
          <w:tcPr>
            <w:tcW w:w="1161"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三相　</w:t>
            </w:r>
          </w:p>
        </w:tc>
        <w:tc>
          <w:tcPr>
            <w:tcW w:w="121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　</w:t>
            </w:r>
          </w:p>
        </w:tc>
        <w:tc>
          <w:tcPr>
            <w:tcW w:w="195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现有总表，需接入动环系统；</w:t>
            </w:r>
          </w:p>
        </w:tc>
      </w:tr>
      <w:tr>
        <w:tblPrEx>
          <w:tblCellMar>
            <w:top w:w="0" w:type="dxa"/>
            <w:left w:w="108" w:type="dxa"/>
            <w:bottom w:w="0" w:type="dxa"/>
            <w:right w:w="108" w:type="dxa"/>
          </w:tblCellMar>
        </w:tblPrEx>
        <w:trPr>
          <w:trHeight w:val="289" w:hRule="atLeast"/>
        </w:trPr>
        <w:tc>
          <w:tcPr>
            <w:tcW w:w="1225"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color w:val="000000" w:themeColor="text1"/>
                <w:kern w:val="0"/>
                <w:szCs w:val="21"/>
                <w14:textFill>
                  <w14:solidFill>
                    <w14:schemeClr w14:val="tx1"/>
                  </w14:solidFill>
                </w14:textFill>
              </w:rPr>
            </w:pPr>
          </w:p>
        </w:tc>
        <w:tc>
          <w:tcPr>
            <w:tcW w:w="2211" w:type="dxa"/>
            <w:tcBorders>
              <w:top w:val="single" w:color="auto" w:sz="4" w:space="0"/>
              <w:left w:val="nil"/>
              <w:bottom w:val="nil"/>
              <w:right w:val="single" w:color="auto" w:sz="4" w:space="0"/>
            </w:tcBorders>
            <w:shd w:val="clear" w:color="auto" w:fill="auto"/>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照明配电箱</w:t>
            </w:r>
            <w:r>
              <w:rPr>
                <w:rFonts w:cs="宋体" w:asciiTheme="minorEastAsia" w:hAnsiTheme="minorEastAsia" w:eastAsiaTheme="minorEastAsia"/>
                <w:color w:val="000000" w:themeColor="text1"/>
                <w:kern w:val="0"/>
                <w:szCs w:val="21"/>
                <w14:textFill>
                  <w14:solidFill>
                    <w14:schemeClr w14:val="tx1"/>
                  </w14:solidFill>
                </w14:textFill>
              </w:rPr>
              <w:t>ER401-2</w:t>
            </w:r>
          </w:p>
        </w:tc>
        <w:tc>
          <w:tcPr>
            <w:tcW w:w="1104"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color w:val="000000" w:themeColor="text1"/>
                <w:kern w:val="0"/>
                <w:szCs w:val="21"/>
                <w14:textFill>
                  <w14:solidFill>
                    <w14:schemeClr w14:val="tx1"/>
                  </w14:solidFill>
                </w14:textFill>
              </w:rPr>
            </w:pPr>
          </w:p>
        </w:tc>
        <w:tc>
          <w:tcPr>
            <w:tcW w:w="93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cs="宋体" w:asciiTheme="minorEastAsia" w:hAnsiTheme="minorEastAsia" w:eastAsiaTheme="minorEastAsia"/>
                <w:color w:val="000000" w:themeColor="text1"/>
                <w:kern w:val="0"/>
                <w:szCs w:val="21"/>
                <w14:textFill>
                  <w14:solidFill>
                    <w14:schemeClr w14:val="tx1"/>
                  </w14:solidFill>
                </w14:textFill>
              </w:rPr>
              <w:t>1</w:t>
            </w:r>
          </w:p>
        </w:tc>
        <w:tc>
          <w:tcPr>
            <w:tcW w:w="1161"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三相　</w:t>
            </w:r>
          </w:p>
        </w:tc>
        <w:tc>
          <w:tcPr>
            <w:tcW w:w="121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　</w:t>
            </w:r>
          </w:p>
        </w:tc>
        <w:tc>
          <w:tcPr>
            <w:tcW w:w="195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现有总表，需接入动环系统；</w:t>
            </w:r>
          </w:p>
        </w:tc>
      </w:tr>
      <w:tr>
        <w:tblPrEx>
          <w:tblCellMar>
            <w:top w:w="0" w:type="dxa"/>
            <w:left w:w="108" w:type="dxa"/>
            <w:bottom w:w="0" w:type="dxa"/>
            <w:right w:w="108" w:type="dxa"/>
          </w:tblCellMar>
        </w:tblPrEx>
        <w:trPr>
          <w:trHeight w:val="289" w:hRule="atLeast"/>
        </w:trPr>
        <w:tc>
          <w:tcPr>
            <w:tcW w:w="12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弱电间</w:t>
            </w:r>
            <w:r>
              <w:rPr>
                <w:rFonts w:cs="宋体" w:asciiTheme="minorEastAsia" w:hAnsiTheme="minorEastAsia" w:eastAsiaTheme="minorEastAsia"/>
                <w:color w:val="000000" w:themeColor="text1"/>
                <w:kern w:val="0"/>
                <w:szCs w:val="21"/>
                <w14:textFill>
                  <w14:solidFill>
                    <w14:schemeClr w14:val="tx1"/>
                  </w14:solidFill>
                </w14:textFill>
              </w:rPr>
              <w:t>LR101</w:t>
            </w:r>
          </w:p>
        </w:tc>
        <w:tc>
          <w:tcPr>
            <w:tcW w:w="221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弱电配电箱</w:t>
            </w:r>
          </w:p>
        </w:tc>
        <w:tc>
          <w:tcPr>
            <w:tcW w:w="1104"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运营商基站</w:t>
            </w:r>
          </w:p>
        </w:tc>
        <w:tc>
          <w:tcPr>
            <w:tcW w:w="93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cs="宋体" w:asciiTheme="minorEastAsia" w:hAnsiTheme="minorEastAsia" w:eastAsiaTheme="minorEastAsia"/>
                <w:color w:val="000000" w:themeColor="text1"/>
                <w:kern w:val="0"/>
                <w:szCs w:val="21"/>
                <w14:textFill>
                  <w14:solidFill>
                    <w14:schemeClr w14:val="tx1"/>
                  </w14:solidFill>
                </w14:textFill>
              </w:rPr>
              <w:t>1</w:t>
            </w:r>
          </w:p>
        </w:tc>
        <w:tc>
          <w:tcPr>
            <w:tcW w:w="1161"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单相</w:t>
            </w:r>
          </w:p>
        </w:tc>
        <w:tc>
          <w:tcPr>
            <w:tcW w:w="121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cs="宋体" w:asciiTheme="minorEastAsia" w:hAnsiTheme="minorEastAsia" w:eastAsiaTheme="minorEastAsia"/>
                <w:color w:val="000000" w:themeColor="text1"/>
                <w:kern w:val="0"/>
                <w:szCs w:val="21"/>
                <w14:textFill>
                  <w14:solidFill>
                    <w14:schemeClr w14:val="tx1"/>
                  </w14:solidFill>
                </w14:textFill>
              </w:rPr>
              <w:t>16A</w:t>
            </w:r>
          </w:p>
        </w:tc>
        <w:tc>
          <w:tcPr>
            <w:tcW w:w="195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289" w:hRule="atLeast"/>
        </w:trPr>
        <w:tc>
          <w:tcPr>
            <w:tcW w:w="12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弱电间</w:t>
            </w:r>
            <w:r>
              <w:rPr>
                <w:rFonts w:cs="宋体" w:asciiTheme="minorEastAsia" w:hAnsiTheme="minorEastAsia" w:eastAsiaTheme="minorEastAsia"/>
                <w:color w:val="000000" w:themeColor="text1"/>
                <w:kern w:val="0"/>
                <w:szCs w:val="21"/>
                <w14:textFill>
                  <w14:solidFill>
                    <w14:schemeClr w14:val="tx1"/>
                  </w14:solidFill>
                </w14:textFill>
              </w:rPr>
              <w:t>LR201</w:t>
            </w:r>
          </w:p>
        </w:tc>
        <w:tc>
          <w:tcPr>
            <w:tcW w:w="2211"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弱电配电箱</w:t>
            </w:r>
          </w:p>
        </w:tc>
        <w:tc>
          <w:tcPr>
            <w:tcW w:w="1104"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color w:val="000000" w:themeColor="text1"/>
                <w:kern w:val="0"/>
                <w:szCs w:val="21"/>
                <w14:textFill>
                  <w14:solidFill>
                    <w14:schemeClr w14:val="tx1"/>
                  </w14:solidFill>
                </w14:textFill>
              </w:rPr>
            </w:pPr>
          </w:p>
        </w:tc>
        <w:tc>
          <w:tcPr>
            <w:tcW w:w="93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cs="宋体" w:asciiTheme="minorEastAsia" w:hAnsiTheme="minorEastAsia" w:eastAsiaTheme="minorEastAsia"/>
                <w:color w:val="000000" w:themeColor="text1"/>
                <w:kern w:val="0"/>
                <w:szCs w:val="21"/>
                <w14:textFill>
                  <w14:solidFill>
                    <w14:schemeClr w14:val="tx1"/>
                  </w14:solidFill>
                </w14:textFill>
              </w:rPr>
              <w:t>1</w:t>
            </w:r>
          </w:p>
        </w:tc>
        <w:tc>
          <w:tcPr>
            <w:tcW w:w="1161"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单相</w:t>
            </w:r>
          </w:p>
        </w:tc>
        <w:tc>
          <w:tcPr>
            <w:tcW w:w="121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cs="宋体" w:asciiTheme="minorEastAsia" w:hAnsiTheme="minorEastAsia" w:eastAsiaTheme="minorEastAsia"/>
                <w:color w:val="000000" w:themeColor="text1"/>
                <w:kern w:val="0"/>
                <w:szCs w:val="21"/>
                <w14:textFill>
                  <w14:solidFill>
                    <w14:schemeClr w14:val="tx1"/>
                  </w14:solidFill>
                </w14:textFill>
              </w:rPr>
              <w:t>20A</w:t>
            </w:r>
          </w:p>
        </w:tc>
        <w:tc>
          <w:tcPr>
            <w:tcW w:w="195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289" w:hRule="atLeast"/>
        </w:trPr>
        <w:tc>
          <w:tcPr>
            <w:tcW w:w="12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弱电间</w:t>
            </w:r>
            <w:r>
              <w:rPr>
                <w:rFonts w:cs="宋体" w:asciiTheme="minorEastAsia" w:hAnsiTheme="minorEastAsia" w:eastAsiaTheme="minorEastAsia"/>
                <w:color w:val="000000" w:themeColor="text1"/>
                <w:kern w:val="0"/>
                <w:szCs w:val="21"/>
                <w14:textFill>
                  <w14:solidFill>
                    <w14:schemeClr w14:val="tx1"/>
                  </w14:solidFill>
                </w14:textFill>
              </w:rPr>
              <w:t>LR202</w:t>
            </w:r>
          </w:p>
        </w:tc>
        <w:tc>
          <w:tcPr>
            <w:tcW w:w="2211"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弱电配电箱</w:t>
            </w:r>
          </w:p>
        </w:tc>
        <w:tc>
          <w:tcPr>
            <w:tcW w:w="1104"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color w:val="000000" w:themeColor="text1"/>
                <w:kern w:val="0"/>
                <w:szCs w:val="21"/>
                <w14:textFill>
                  <w14:solidFill>
                    <w14:schemeClr w14:val="tx1"/>
                  </w14:solidFill>
                </w14:textFill>
              </w:rPr>
            </w:pPr>
          </w:p>
        </w:tc>
        <w:tc>
          <w:tcPr>
            <w:tcW w:w="93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cs="宋体" w:asciiTheme="minorEastAsia" w:hAnsiTheme="minorEastAsia" w:eastAsiaTheme="minorEastAsia"/>
                <w:color w:val="000000" w:themeColor="text1"/>
                <w:kern w:val="0"/>
                <w:szCs w:val="21"/>
                <w14:textFill>
                  <w14:solidFill>
                    <w14:schemeClr w14:val="tx1"/>
                  </w14:solidFill>
                </w14:textFill>
              </w:rPr>
              <w:t>2</w:t>
            </w:r>
          </w:p>
        </w:tc>
        <w:tc>
          <w:tcPr>
            <w:tcW w:w="1161"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单相</w:t>
            </w:r>
          </w:p>
        </w:tc>
        <w:tc>
          <w:tcPr>
            <w:tcW w:w="121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cs="宋体" w:asciiTheme="minorEastAsia" w:hAnsiTheme="minorEastAsia" w:eastAsiaTheme="minorEastAsia"/>
                <w:color w:val="000000" w:themeColor="text1"/>
                <w:kern w:val="0"/>
                <w:szCs w:val="21"/>
                <w14:textFill>
                  <w14:solidFill>
                    <w14:schemeClr w14:val="tx1"/>
                  </w14:solidFill>
                </w14:textFill>
              </w:rPr>
              <w:t>16A</w:t>
            </w:r>
          </w:p>
        </w:tc>
        <w:tc>
          <w:tcPr>
            <w:tcW w:w="195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289" w:hRule="atLeast"/>
        </w:trPr>
        <w:tc>
          <w:tcPr>
            <w:tcW w:w="12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弱电间</w:t>
            </w:r>
            <w:r>
              <w:rPr>
                <w:rFonts w:cs="宋体" w:asciiTheme="minorEastAsia" w:hAnsiTheme="minorEastAsia" w:eastAsiaTheme="minorEastAsia"/>
                <w:color w:val="000000" w:themeColor="text1"/>
                <w:kern w:val="0"/>
                <w:szCs w:val="21"/>
                <w14:textFill>
                  <w14:solidFill>
                    <w14:schemeClr w14:val="tx1"/>
                  </w14:solidFill>
                </w14:textFill>
              </w:rPr>
              <w:t>LR301</w:t>
            </w:r>
          </w:p>
        </w:tc>
        <w:tc>
          <w:tcPr>
            <w:tcW w:w="2211"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弱电配电箱</w:t>
            </w:r>
          </w:p>
        </w:tc>
        <w:tc>
          <w:tcPr>
            <w:tcW w:w="1104"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color w:val="000000" w:themeColor="text1"/>
                <w:kern w:val="0"/>
                <w:szCs w:val="21"/>
                <w14:textFill>
                  <w14:solidFill>
                    <w14:schemeClr w14:val="tx1"/>
                  </w14:solidFill>
                </w14:textFill>
              </w:rPr>
            </w:pPr>
          </w:p>
        </w:tc>
        <w:tc>
          <w:tcPr>
            <w:tcW w:w="93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cs="宋体" w:asciiTheme="minorEastAsia" w:hAnsiTheme="minorEastAsia" w:eastAsiaTheme="minorEastAsia"/>
                <w:color w:val="000000" w:themeColor="text1"/>
                <w:kern w:val="0"/>
                <w:szCs w:val="21"/>
                <w14:textFill>
                  <w14:solidFill>
                    <w14:schemeClr w14:val="tx1"/>
                  </w14:solidFill>
                </w14:textFill>
              </w:rPr>
              <w:t>2</w:t>
            </w:r>
          </w:p>
        </w:tc>
        <w:tc>
          <w:tcPr>
            <w:tcW w:w="1161"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单相</w:t>
            </w:r>
          </w:p>
        </w:tc>
        <w:tc>
          <w:tcPr>
            <w:tcW w:w="121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cs="宋体" w:asciiTheme="minorEastAsia" w:hAnsiTheme="minorEastAsia" w:eastAsiaTheme="minorEastAsia"/>
                <w:color w:val="000000" w:themeColor="text1"/>
                <w:kern w:val="0"/>
                <w:szCs w:val="21"/>
                <w14:textFill>
                  <w14:solidFill>
                    <w14:schemeClr w14:val="tx1"/>
                  </w14:solidFill>
                </w14:textFill>
              </w:rPr>
              <w:t>20A</w:t>
            </w:r>
          </w:p>
        </w:tc>
        <w:tc>
          <w:tcPr>
            <w:tcW w:w="195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289" w:hRule="atLeast"/>
        </w:trPr>
        <w:tc>
          <w:tcPr>
            <w:tcW w:w="12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弱电间</w:t>
            </w:r>
            <w:r>
              <w:rPr>
                <w:rFonts w:cs="宋体" w:asciiTheme="minorEastAsia" w:hAnsiTheme="minorEastAsia" w:eastAsiaTheme="minorEastAsia"/>
                <w:color w:val="000000" w:themeColor="text1"/>
                <w:kern w:val="0"/>
                <w:szCs w:val="21"/>
                <w14:textFill>
                  <w14:solidFill>
                    <w14:schemeClr w14:val="tx1"/>
                  </w14:solidFill>
                </w14:textFill>
              </w:rPr>
              <w:t>LR302</w:t>
            </w:r>
          </w:p>
        </w:tc>
        <w:tc>
          <w:tcPr>
            <w:tcW w:w="2211"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弱电配电箱</w:t>
            </w:r>
          </w:p>
        </w:tc>
        <w:tc>
          <w:tcPr>
            <w:tcW w:w="1104"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color w:val="000000" w:themeColor="text1"/>
                <w:kern w:val="0"/>
                <w:szCs w:val="21"/>
                <w14:textFill>
                  <w14:solidFill>
                    <w14:schemeClr w14:val="tx1"/>
                  </w14:solidFill>
                </w14:textFill>
              </w:rPr>
            </w:pPr>
          </w:p>
        </w:tc>
        <w:tc>
          <w:tcPr>
            <w:tcW w:w="93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cs="宋体" w:asciiTheme="minorEastAsia" w:hAnsiTheme="minorEastAsia" w:eastAsiaTheme="minorEastAsia"/>
                <w:color w:val="000000" w:themeColor="text1"/>
                <w:kern w:val="0"/>
                <w:szCs w:val="21"/>
                <w14:textFill>
                  <w14:solidFill>
                    <w14:schemeClr w14:val="tx1"/>
                  </w14:solidFill>
                </w14:textFill>
              </w:rPr>
              <w:t>1</w:t>
            </w:r>
          </w:p>
        </w:tc>
        <w:tc>
          <w:tcPr>
            <w:tcW w:w="1161"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单相</w:t>
            </w:r>
          </w:p>
        </w:tc>
        <w:tc>
          <w:tcPr>
            <w:tcW w:w="121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cs="宋体" w:asciiTheme="minorEastAsia" w:hAnsiTheme="minorEastAsia" w:eastAsiaTheme="minorEastAsia"/>
                <w:color w:val="000000" w:themeColor="text1"/>
                <w:kern w:val="0"/>
                <w:szCs w:val="21"/>
                <w14:textFill>
                  <w14:solidFill>
                    <w14:schemeClr w14:val="tx1"/>
                  </w14:solidFill>
                </w14:textFill>
              </w:rPr>
              <w:t>16A</w:t>
            </w:r>
          </w:p>
        </w:tc>
        <w:tc>
          <w:tcPr>
            <w:tcW w:w="195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289" w:hRule="atLeast"/>
        </w:trPr>
        <w:tc>
          <w:tcPr>
            <w:tcW w:w="12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弱电间</w:t>
            </w:r>
            <w:r>
              <w:rPr>
                <w:rFonts w:cs="宋体" w:asciiTheme="minorEastAsia" w:hAnsiTheme="minorEastAsia" w:eastAsiaTheme="minorEastAsia"/>
                <w:color w:val="000000" w:themeColor="text1"/>
                <w:kern w:val="0"/>
                <w:szCs w:val="21"/>
                <w14:textFill>
                  <w14:solidFill>
                    <w14:schemeClr w14:val="tx1"/>
                  </w14:solidFill>
                </w14:textFill>
              </w:rPr>
              <w:t>LR202</w:t>
            </w:r>
          </w:p>
        </w:tc>
        <w:tc>
          <w:tcPr>
            <w:tcW w:w="2211"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弱电配电箱</w:t>
            </w:r>
          </w:p>
        </w:tc>
        <w:tc>
          <w:tcPr>
            <w:tcW w:w="1104"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color w:val="000000" w:themeColor="text1"/>
                <w:kern w:val="0"/>
                <w:szCs w:val="21"/>
                <w14:textFill>
                  <w14:solidFill>
                    <w14:schemeClr w14:val="tx1"/>
                  </w14:solidFill>
                </w14:textFill>
              </w:rPr>
            </w:pPr>
          </w:p>
        </w:tc>
        <w:tc>
          <w:tcPr>
            <w:tcW w:w="93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cs="宋体" w:asciiTheme="minorEastAsia" w:hAnsiTheme="minorEastAsia" w:eastAsiaTheme="minorEastAsia"/>
                <w:color w:val="000000" w:themeColor="text1"/>
                <w:kern w:val="0"/>
                <w:szCs w:val="21"/>
                <w14:textFill>
                  <w14:solidFill>
                    <w14:schemeClr w14:val="tx1"/>
                  </w14:solidFill>
                </w14:textFill>
              </w:rPr>
              <w:t>1</w:t>
            </w:r>
          </w:p>
        </w:tc>
        <w:tc>
          <w:tcPr>
            <w:tcW w:w="1161"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单相</w:t>
            </w:r>
          </w:p>
        </w:tc>
        <w:tc>
          <w:tcPr>
            <w:tcW w:w="121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cs="宋体" w:asciiTheme="minorEastAsia" w:hAnsiTheme="minorEastAsia" w:eastAsiaTheme="minorEastAsia"/>
                <w:color w:val="000000" w:themeColor="text1"/>
                <w:kern w:val="0"/>
                <w:szCs w:val="21"/>
                <w14:textFill>
                  <w14:solidFill>
                    <w14:schemeClr w14:val="tx1"/>
                  </w14:solidFill>
                </w14:textFill>
              </w:rPr>
              <w:t>20A</w:t>
            </w:r>
          </w:p>
        </w:tc>
        <w:tc>
          <w:tcPr>
            <w:tcW w:w="195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　</w:t>
            </w:r>
          </w:p>
        </w:tc>
      </w:tr>
    </w:tbl>
    <w:p>
      <w:pPr>
        <w:pStyle w:val="373"/>
        <w:jc w:val="left"/>
        <w:rPr>
          <w:rFonts w:asciiTheme="minorEastAsia" w:hAnsiTheme="minorEastAsia" w:eastAsiaTheme="minorEastAsia"/>
          <w:color w:val="000000" w:themeColor="text1"/>
          <w14:textFill>
            <w14:solidFill>
              <w14:schemeClr w14:val="tx1"/>
            </w14:solidFill>
          </w14:textFill>
        </w:rPr>
      </w:pPr>
    </w:p>
    <w:p>
      <w:pPr>
        <w:pStyle w:val="373"/>
        <w:numPr>
          <w:ilvl w:val="1"/>
          <w:numId w:val="21"/>
        </w:numPr>
        <w:spacing w:line="500" w:lineRule="exact"/>
        <w:ind w:firstLineChars="0"/>
        <w:jc w:val="left"/>
        <w:rPr>
          <w:rFonts w:asciiTheme="minorEastAsia" w:hAnsiTheme="minorEastAsia" w:eastAsiaTheme="minorEastAsia"/>
          <w:b/>
          <w:bCs/>
          <w:color w:val="000000" w:themeColor="text1"/>
          <w14:textFill>
            <w14:solidFill>
              <w14:schemeClr w14:val="tx1"/>
            </w14:solidFill>
          </w14:textFill>
        </w:rPr>
      </w:pPr>
      <w:r>
        <w:rPr>
          <w:rFonts w:hint="eastAsia" w:asciiTheme="minorEastAsia" w:hAnsiTheme="minorEastAsia" w:eastAsiaTheme="minorEastAsia"/>
          <w:b/>
          <w:bCs/>
          <w:color w:val="000000" w:themeColor="text1"/>
          <w14:textFill>
            <w14:solidFill>
              <w14:schemeClr w14:val="tx1"/>
            </w14:solidFill>
          </w14:textFill>
        </w:rPr>
        <w:t>项目实施进度安排</w:t>
      </w:r>
    </w:p>
    <w:p>
      <w:pPr>
        <w:pStyle w:val="373"/>
        <w:jc w:val="left"/>
        <w:rPr>
          <w:rFonts w:asciiTheme="minorEastAsia" w:hAnsiTheme="minorEastAsia" w:eastAsiaTheme="minorEastAsia"/>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本项目可分为调研、项目立项、采购、合同签订、到货安装、上线调试、试运行、验收等各阶段。合同签订后一个月内完成到货安装、上线调试，验收合格后进入试运行。</w:t>
      </w:r>
    </w:p>
    <w:p>
      <w:pPr>
        <w:pStyle w:val="373"/>
        <w:numPr>
          <w:ilvl w:val="1"/>
          <w:numId w:val="21"/>
        </w:numPr>
        <w:spacing w:line="500" w:lineRule="exact"/>
        <w:ind w:firstLineChars="0"/>
        <w:jc w:val="left"/>
        <w:rPr>
          <w:rFonts w:asciiTheme="minorEastAsia" w:hAnsiTheme="minorEastAsia" w:eastAsiaTheme="minorEastAsia"/>
          <w:b/>
          <w:bCs/>
          <w:color w:val="000000" w:themeColor="text1"/>
          <w14:textFill>
            <w14:solidFill>
              <w14:schemeClr w14:val="tx1"/>
            </w14:solidFill>
          </w14:textFill>
        </w:rPr>
      </w:pPr>
      <w:r>
        <w:rPr>
          <w:rFonts w:asciiTheme="minorEastAsia" w:hAnsiTheme="minorEastAsia" w:eastAsiaTheme="minorEastAsia"/>
          <w:b/>
          <w:bCs/>
          <w:color w:val="000000" w:themeColor="text1"/>
          <w14:textFill>
            <w14:solidFill>
              <w14:schemeClr w14:val="tx1"/>
            </w14:solidFill>
          </w14:textFill>
        </w:rPr>
        <w:t>设备清单</w:t>
      </w:r>
    </w:p>
    <w:tbl>
      <w:tblPr>
        <w:tblStyle w:val="53"/>
        <w:tblW w:w="7770" w:type="dxa"/>
        <w:tblInd w:w="0" w:type="dxa"/>
        <w:tblLayout w:type="autofit"/>
        <w:tblCellMar>
          <w:top w:w="0" w:type="dxa"/>
          <w:left w:w="108" w:type="dxa"/>
          <w:bottom w:w="0" w:type="dxa"/>
          <w:right w:w="108" w:type="dxa"/>
        </w:tblCellMar>
      </w:tblPr>
      <w:tblGrid>
        <w:gridCol w:w="1416"/>
        <w:gridCol w:w="3267"/>
        <w:gridCol w:w="729"/>
        <w:gridCol w:w="729"/>
        <w:gridCol w:w="1629"/>
      </w:tblGrid>
      <w:tr>
        <w:tblPrEx>
          <w:tblCellMar>
            <w:top w:w="0" w:type="dxa"/>
            <w:left w:w="108" w:type="dxa"/>
            <w:bottom w:w="0" w:type="dxa"/>
            <w:right w:w="108" w:type="dxa"/>
          </w:tblCellMar>
        </w:tblPrEx>
        <w:trPr>
          <w:trHeight w:val="253" w:hRule="atLeast"/>
        </w:trPr>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名称</w:t>
            </w:r>
          </w:p>
        </w:tc>
        <w:tc>
          <w:tcPr>
            <w:tcW w:w="32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规格要求</w:t>
            </w:r>
          </w:p>
        </w:tc>
        <w:tc>
          <w:tcPr>
            <w:tcW w:w="72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数量</w:t>
            </w:r>
          </w:p>
        </w:tc>
        <w:tc>
          <w:tcPr>
            <w:tcW w:w="72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单位</w:t>
            </w:r>
          </w:p>
        </w:tc>
        <w:tc>
          <w:tcPr>
            <w:tcW w:w="162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备注</w:t>
            </w:r>
          </w:p>
        </w:tc>
      </w:tr>
      <w:tr>
        <w:tblPrEx>
          <w:tblCellMar>
            <w:top w:w="0" w:type="dxa"/>
            <w:left w:w="108" w:type="dxa"/>
            <w:bottom w:w="0" w:type="dxa"/>
            <w:right w:w="108" w:type="dxa"/>
          </w:tblCellMar>
        </w:tblPrEx>
        <w:trPr>
          <w:trHeight w:val="325" w:hRule="atLeast"/>
        </w:trPr>
        <w:tc>
          <w:tcPr>
            <w:tcW w:w="141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电表协议解析软件</w:t>
            </w:r>
          </w:p>
        </w:tc>
        <w:tc>
          <w:tcPr>
            <w:tcW w:w="3267"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智能设备接口协议接入解析</w:t>
            </w:r>
          </w:p>
        </w:tc>
        <w:tc>
          <w:tcPr>
            <w:tcW w:w="72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cs="宋体" w:asciiTheme="minorEastAsia" w:hAnsiTheme="minorEastAsia" w:eastAsiaTheme="minorEastAsia"/>
                <w:color w:val="000000" w:themeColor="text1"/>
                <w:kern w:val="0"/>
                <w:szCs w:val="21"/>
                <w14:textFill>
                  <w14:solidFill>
                    <w14:schemeClr w14:val="tx1"/>
                  </w14:solidFill>
                </w14:textFill>
              </w:rPr>
              <w:t>14</w:t>
            </w:r>
          </w:p>
        </w:tc>
        <w:tc>
          <w:tcPr>
            <w:tcW w:w="729"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套</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cs="宋体" w:asciiTheme="minorEastAsia" w:hAnsiTheme="minorEastAsia" w:eastAsiaTheme="minorEastAsia"/>
                <w:color w:val="000000" w:themeColor="text1"/>
                <w:kern w:val="0"/>
                <w:szCs w:val="21"/>
                <w14:textFill>
                  <w14:solidFill>
                    <w14:schemeClr w14:val="tx1"/>
                  </w14:solidFill>
                </w14:textFill>
              </w:rPr>
              <w:t>Vertiv</w:t>
            </w:r>
            <w:r>
              <w:rPr>
                <w:rFonts w:hint="eastAsia" w:cs="宋体" w:asciiTheme="minorEastAsia" w:hAnsiTheme="minorEastAsia" w:eastAsiaTheme="minorEastAsia"/>
                <w:color w:val="000000" w:themeColor="text1"/>
                <w:kern w:val="0"/>
                <w:szCs w:val="21"/>
                <w14:textFill>
                  <w14:solidFill>
                    <w14:schemeClr w14:val="tx1"/>
                  </w14:solidFill>
                </w14:textFill>
              </w:rPr>
              <w:t>软件，现有配电箱总电表和两台精密空调需接入动环系统</w:t>
            </w:r>
          </w:p>
        </w:tc>
      </w:tr>
      <w:tr>
        <w:tblPrEx>
          <w:tblCellMar>
            <w:top w:w="0" w:type="dxa"/>
            <w:left w:w="108" w:type="dxa"/>
            <w:bottom w:w="0" w:type="dxa"/>
            <w:right w:w="108" w:type="dxa"/>
          </w:tblCellMar>
        </w:tblPrEx>
        <w:trPr>
          <w:trHeight w:val="849" w:hRule="atLeast"/>
        </w:trPr>
        <w:tc>
          <w:tcPr>
            <w:tcW w:w="141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单相智能电表</w:t>
            </w:r>
          </w:p>
        </w:tc>
        <w:tc>
          <w:tcPr>
            <w:tcW w:w="3267"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cs="宋体" w:asciiTheme="minorEastAsia" w:hAnsiTheme="minorEastAsia" w:eastAsiaTheme="minorEastAsia"/>
                <w:color w:val="000000" w:themeColor="text1"/>
                <w:kern w:val="0"/>
                <w:szCs w:val="21"/>
                <w14:textFill>
                  <w14:solidFill>
                    <w14:schemeClr w14:val="tx1"/>
                  </w14:solidFill>
                </w14:textFill>
              </w:rPr>
              <w:t>测量：AC220V</w:t>
            </w:r>
            <w:r>
              <w:rPr>
                <w:rFonts w:hint="eastAsia" w:cs="宋体" w:asciiTheme="minorEastAsia" w:hAnsiTheme="minorEastAsia" w:eastAsiaTheme="minorEastAsia"/>
                <w:color w:val="000000" w:themeColor="text1"/>
                <w:kern w:val="0"/>
                <w:szCs w:val="21"/>
                <w14:textFill>
                  <w14:solidFill>
                    <w14:schemeClr w14:val="tx1"/>
                  </w14:solidFill>
                </w14:textFill>
              </w:rPr>
              <w:t>，</w:t>
            </w:r>
            <w:r>
              <w:rPr>
                <w:rFonts w:cs="宋体" w:asciiTheme="minorEastAsia" w:hAnsiTheme="minorEastAsia" w:eastAsiaTheme="minorEastAsia"/>
                <w:color w:val="000000" w:themeColor="text1"/>
                <w:kern w:val="0"/>
                <w:szCs w:val="21"/>
                <w14:textFill>
                  <w14:solidFill>
                    <w14:schemeClr w14:val="tx1"/>
                  </w14:solidFill>
                </w14:textFill>
              </w:rPr>
              <w:t>20(100)A</w:t>
            </w:r>
            <w:r>
              <w:rPr>
                <w:rFonts w:hint="eastAsia" w:cs="宋体" w:asciiTheme="minorEastAsia" w:hAnsiTheme="minorEastAsia" w:eastAsiaTheme="minorEastAsia"/>
                <w:color w:val="000000" w:themeColor="text1"/>
                <w:kern w:val="0"/>
                <w:szCs w:val="21"/>
                <w14:textFill>
                  <w14:solidFill>
                    <w14:schemeClr w14:val="tx1"/>
                  </w14:solidFill>
                </w14:textFill>
              </w:rPr>
              <w:t>；供电：</w:t>
            </w:r>
            <w:r>
              <w:rPr>
                <w:rFonts w:cs="宋体" w:asciiTheme="minorEastAsia" w:hAnsiTheme="minorEastAsia" w:eastAsiaTheme="minorEastAsia"/>
                <w:color w:val="000000" w:themeColor="text1"/>
                <w:kern w:val="0"/>
                <w:szCs w:val="21"/>
                <w14:textFill>
                  <w14:solidFill>
                    <w14:schemeClr w14:val="tx1"/>
                  </w14:solidFill>
                </w14:textFill>
              </w:rPr>
              <w:t>AC85-265V or DC85-330V ,</w:t>
            </w:r>
            <w:r>
              <w:rPr>
                <w:rFonts w:hint="eastAsia" w:cs="宋体" w:asciiTheme="minorEastAsia" w:hAnsiTheme="minorEastAsia" w:eastAsiaTheme="minorEastAsia"/>
                <w:color w:val="000000" w:themeColor="text1"/>
                <w:kern w:val="0"/>
                <w:szCs w:val="21"/>
                <w14:textFill>
                  <w14:solidFill>
                    <w14:schemeClr w14:val="tx1"/>
                  </w14:solidFill>
                </w14:textFill>
              </w:rPr>
              <w:t>精确度不低于</w:t>
            </w:r>
            <w:r>
              <w:rPr>
                <w:rFonts w:cs="宋体" w:asciiTheme="minorEastAsia" w:hAnsiTheme="minorEastAsia" w:eastAsiaTheme="minorEastAsia"/>
                <w:color w:val="000000" w:themeColor="text1"/>
                <w:kern w:val="0"/>
                <w:szCs w:val="21"/>
                <w14:textFill>
                  <w14:solidFill>
                    <w14:schemeClr w14:val="tx1"/>
                  </w14:solidFill>
                </w14:textFill>
              </w:rPr>
              <w:t>0.5S</w:t>
            </w:r>
            <w:r>
              <w:rPr>
                <w:rFonts w:hint="eastAsia" w:cs="宋体" w:asciiTheme="minorEastAsia" w:hAnsiTheme="minorEastAsia" w:eastAsiaTheme="minorEastAsia"/>
                <w:color w:val="000000" w:themeColor="text1"/>
                <w:kern w:val="0"/>
                <w:szCs w:val="21"/>
                <w14:textFill>
                  <w14:solidFill>
                    <w14:schemeClr w14:val="tx1"/>
                  </w14:solidFill>
                </w14:textFill>
              </w:rPr>
              <w:t>级</w:t>
            </w:r>
          </w:p>
        </w:tc>
        <w:tc>
          <w:tcPr>
            <w:tcW w:w="729"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cs="宋体" w:asciiTheme="minorEastAsia" w:hAnsiTheme="minorEastAsia" w:eastAsiaTheme="minorEastAsia"/>
                <w:color w:val="000000" w:themeColor="text1"/>
                <w:kern w:val="0"/>
                <w:szCs w:val="21"/>
                <w14:textFill>
                  <w14:solidFill>
                    <w14:schemeClr w14:val="tx1"/>
                  </w14:solidFill>
                </w14:textFill>
              </w:rPr>
              <w:t>9</w:t>
            </w:r>
          </w:p>
        </w:tc>
        <w:tc>
          <w:tcPr>
            <w:tcW w:w="729"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个</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用于末端低压用电设备电能</w:t>
            </w:r>
            <w:r>
              <w:rPr>
                <w:rFonts w:cs="宋体" w:asciiTheme="minorEastAsia" w:hAnsiTheme="minorEastAsia" w:eastAsiaTheme="minorEastAsia"/>
                <w:color w:val="000000" w:themeColor="text1"/>
                <w:kern w:val="0"/>
                <w:szCs w:val="21"/>
                <w14:textFill>
                  <w14:solidFill>
                    <w14:schemeClr w14:val="tx1"/>
                  </w14:solidFill>
                </w14:textFill>
              </w:rPr>
              <w:t>计量</w:t>
            </w:r>
          </w:p>
        </w:tc>
      </w:tr>
      <w:tr>
        <w:tblPrEx>
          <w:tblCellMar>
            <w:top w:w="0" w:type="dxa"/>
            <w:left w:w="108" w:type="dxa"/>
            <w:bottom w:w="0" w:type="dxa"/>
            <w:right w:w="108" w:type="dxa"/>
          </w:tblCellMar>
        </w:tblPrEx>
        <w:trPr>
          <w:trHeight w:val="1084" w:hRule="atLeast"/>
        </w:trPr>
        <w:tc>
          <w:tcPr>
            <w:tcW w:w="141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三相智能电表</w:t>
            </w:r>
          </w:p>
        </w:tc>
        <w:tc>
          <w:tcPr>
            <w:tcW w:w="3267"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cs="宋体" w:asciiTheme="minorEastAsia" w:hAnsiTheme="minorEastAsia" w:eastAsiaTheme="minorEastAsia"/>
                <w:color w:val="000000" w:themeColor="text1"/>
                <w:kern w:val="0"/>
                <w:szCs w:val="21"/>
                <w14:textFill>
                  <w14:solidFill>
                    <w14:schemeClr w14:val="tx1"/>
                  </w14:solidFill>
                </w14:textFill>
              </w:rPr>
              <w:t>测量：3*57.7/100V，3*1.5(6)A ；供电：AC85-265V or DC85-330V ；</w:t>
            </w:r>
            <w:r>
              <w:rPr>
                <w:rFonts w:hint="eastAsia" w:cs="宋体" w:asciiTheme="minorEastAsia" w:hAnsiTheme="minorEastAsia" w:eastAsiaTheme="minorEastAsia"/>
                <w:color w:val="000000" w:themeColor="text1"/>
                <w:kern w:val="0"/>
                <w:szCs w:val="21"/>
                <w14:textFill>
                  <w14:solidFill>
                    <w14:schemeClr w14:val="tx1"/>
                  </w14:solidFill>
                </w14:textFill>
              </w:rPr>
              <w:t>精确度不低于</w:t>
            </w:r>
            <w:r>
              <w:rPr>
                <w:rFonts w:cs="宋体" w:asciiTheme="minorEastAsia" w:hAnsiTheme="minorEastAsia" w:eastAsiaTheme="minorEastAsia"/>
                <w:color w:val="000000" w:themeColor="text1"/>
                <w:kern w:val="0"/>
                <w:szCs w:val="21"/>
                <w14:textFill>
                  <w14:solidFill>
                    <w14:schemeClr w14:val="tx1"/>
                  </w14:solidFill>
                </w14:textFill>
              </w:rPr>
              <w:t>0.5S</w:t>
            </w:r>
            <w:r>
              <w:rPr>
                <w:rFonts w:hint="eastAsia" w:cs="宋体" w:asciiTheme="minorEastAsia" w:hAnsiTheme="minorEastAsia" w:eastAsiaTheme="minorEastAsia"/>
                <w:color w:val="000000" w:themeColor="text1"/>
                <w:kern w:val="0"/>
                <w:szCs w:val="21"/>
                <w14:textFill>
                  <w14:solidFill>
                    <w14:schemeClr w14:val="tx1"/>
                  </w14:solidFill>
                </w14:textFill>
              </w:rPr>
              <w:t>级。</w:t>
            </w:r>
          </w:p>
        </w:tc>
        <w:tc>
          <w:tcPr>
            <w:tcW w:w="72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cs="宋体" w:asciiTheme="minorEastAsia" w:hAnsiTheme="minorEastAsia" w:eastAsiaTheme="minorEastAsia"/>
                <w:color w:val="000000" w:themeColor="text1"/>
                <w:kern w:val="0"/>
                <w:szCs w:val="21"/>
                <w14:textFill>
                  <w14:solidFill>
                    <w14:schemeClr w14:val="tx1"/>
                  </w14:solidFill>
                </w14:textFill>
              </w:rPr>
              <w:t>4</w:t>
            </w:r>
          </w:p>
        </w:tc>
        <w:tc>
          <w:tcPr>
            <w:tcW w:w="729"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个</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用于</w:t>
            </w:r>
            <w:r>
              <w:rPr>
                <w:rFonts w:cs="宋体" w:asciiTheme="minorEastAsia" w:hAnsiTheme="minorEastAsia" w:eastAsiaTheme="minorEastAsia"/>
                <w:color w:val="000000" w:themeColor="text1"/>
                <w:kern w:val="0"/>
                <w:szCs w:val="21"/>
                <w14:textFill>
                  <w14:solidFill>
                    <w14:schemeClr w14:val="tx1"/>
                  </w14:solidFill>
                </w14:textFill>
              </w:rPr>
              <w:t>10KV</w:t>
            </w:r>
            <w:r>
              <w:rPr>
                <w:rFonts w:hint="eastAsia" w:cs="宋体" w:asciiTheme="minorEastAsia" w:hAnsiTheme="minorEastAsia" w:eastAsiaTheme="minorEastAsia"/>
                <w:color w:val="000000" w:themeColor="text1"/>
                <w:kern w:val="0"/>
                <w:szCs w:val="21"/>
                <w14:textFill>
                  <w14:solidFill>
                    <w14:schemeClr w14:val="tx1"/>
                  </w14:solidFill>
                </w14:textFill>
              </w:rPr>
              <w:t>中压进线柜电能</w:t>
            </w:r>
            <w:r>
              <w:rPr>
                <w:rFonts w:cs="宋体" w:asciiTheme="minorEastAsia" w:hAnsiTheme="minorEastAsia" w:eastAsiaTheme="minorEastAsia"/>
                <w:color w:val="000000" w:themeColor="text1"/>
                <w:kern w:val="0"/>
                <w:szCs w:val="21"/>
                <w14:textFill>
                  <w14:solidFill>
                    <w14:schemeClr w14:val="tx1"/>
                  </w14:solidFill>
                </w14:textFill>
              </w:rPr>
              <w:t>计量</w:t>
            </w:r>
          </w:p>
        </w:tc>
      </w:tr>
      <w:tr>
        <w:tblPrEx>
          <w:tblCellMar>
            <w:top w:w="0" w:type="dxa"/>
            <w:left w:w="108" w:type="dxa"/>
            <w:bottom w:w="0" w:type="dxa"/>
            <w:right w:w="108" w:type="dxa"/>
          </w:tblCellMar>
        </w:tblPrEx>
        <w:trPr>
          <w:trHeight w:val="325" w:hRule="atLeast"/>
        </w:trPr>
        <w:tc>
          <w:tcPr>
            <w:tcW w:w="141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接触器</w:t>
            </w:r>
            <w:r>
              <w:rPr>
                <w:rFonts w:cs="宋体" w:asciiTheme="minorEastAsia" w:hAnsiTheme="minorEastAsia" w:eastAsiaTheme="minorEastAsia"/>
                <w:color w:val="000000" w:themeColor="text1"/>
                <w:kern w:val="0"/>
                <w:szCs w:val="21"/>
                <w14:textFill>
                  <w14:solidFill>
                    <w14:schemeClr w14:val="tx1"/>
                  </w14:solidFill>
                </w14:textFill>
              </w:rPr>
              <w:t>1P</w:t>
            </w:r>
          </w:p>
        </w:tc>
        <w:tc>
          <w:tcPr>
            <w:tcW w:w="3267"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用于</w:t>
            </w:r>
            <w:r>
              <w:rPr>
                <w:rFonts w:cs="宋体" w:asciiTheme="minorEastAsia" w:hAnsiTheme="minorEastAsia" w:eastAsiaTheme="minorEastAsia"/>
                <w:color w:val="000000" w:themeColor="text1"/>
                <w:kern w:val="0"/>
                <w:szCs w:val="21"/>
                <w14:textFill>
                  <w14:solidFill>
                    <w14:schemeClr w14:val="tx1"/>
                  </w14:solidFill>
                </w14:textFill>
              </w:rPr>
              <w:t>C16 1P 空开控制开合，控制功率</w:t>
            </w:r>
            <w:r>
              <w:rPr>
                <w:rFonts w:hint="eastAsia" w:cs="宋体" w:asciiTheme="minorEastAsia" w:hAnsiTheme="minorEastAsia" w:eastAsiaTheme="minorEastAsia"/>
                <w:color w:val="000000" w:themeColor="text1"/>
                <w:kern w:val="0"/>
                <w:szCs w:val="21"/>
                <w14:textFill>
                  <w14:solidFill>
                    <w14:schemeClr w14:val="tx1"/>
                  </w14:solidFill>
                </w14:textFill>
              </w:rPr>
              <w:t>不低于</w:t>
            </w:r>
            <w:r>
              <w:rPr>
                <w:rFonts w:cs="宋体" w:asciiTheme="minorEastAsia" w:hAnsiTheme="minorEastAsia" w:eastAsiaTheme="minorEastAsia"/>
                <w:color w:val="000000" w:themeColor="text1"/>
                <w:kern w:val="0"/>
                <w:szCs w:val="21"/>
                <w14:textFill>
                  <w14:solidFill>
                    <w14:schemeClr w14:val="tx1"/>
                  </w14:solidFill>
                </w14:textFill>
              </w:rPr>
              <w:t>4KW.</w:t>
            </w:r>
          </w:p>
        </w:tc>
        <w:tc>
          <w:tcPr>
            <w:tcW w:w="729"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cs="宋体" w:asciiTheme="minorEastAsia" w:hAnsiTheme="minorEastAsia" w:eastAsiaTheme="minorEastAsia"/>
                <w:color w:val="000000" w:themeColor="text1"/>
                <w:kern w:val="0"/>
                <w:szCs w:val="21"/>
                <w14:textFill>
                  <w14:solidFill>
                    <w14:schemeClr w14:val="tx1"/>
                  </w14:solidFill>
                </w14:textFill>
              </w:rPr>
              <w:t>16</w:t>
            </w:r>
          </w:p>
        </w:tc>
        <w:tc>
          <w:tcPr>
            <w:tcW w:w="729"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个</w:t>
            </w:r>
          </w:p>
        </w:tc>
        <w:tc>
          <w:tcPr>
            <w:tcW w:w="1629"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照明灯控</w:t>
            </w:r>
          </w:p>
        </w:tc>
      </w:tr>
      <w:tr>
        <w:tblPrEx>
          <w:tblCellMar>
            <w:top w:w="0" w:type="dxa"/>
            <w:left w:w="108" w:type="dxa"/>
            <w:bottom w:w="0" w:type="dxa"/>
            <w:right w:w="108" w:type="dxa"/>
          </w:tblCellMar>
        </w:tblPrEx>
        <w:trPr>
          <w:trHeight w:val="325" w:hRule="atLeast"/>
        </w:trPr>
        <w:tc>
          <w:tcPr>
            <w:tcW w:w="141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接触器</w:t>
            </w:r>
            <w:r>
              <w:rPr>
                <w:rFonts w:cs="宋体" w:asciiTheme="minorEastAsia" w:hAnsiTheme="minorEastAsia" w:eastAsiaTheme="minorEastAsia"/>
                <w:color w:val="000000" w:themeColor="text1"/>
                <w:kern w:val="0"/>
                <w:szCs w:val="21"/>
                <w14:textFill>
                  <w14:solidFill>
                    <w14:schemeClr w14:val="tx1"/>
                  </w14:solidFill>
                </w14:textFill>
              </w:rPr>
              <w:t>3P</w:t>
            </w:r>
          </w:p>
        </w:tc>
        <w:tc>
          <w:tcPr>
            <w:tcW w:w="3267"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用于</w:t>
            </w:r>
            <w:r>
              <w:rPr>
                <w:rFonts w:cs="宋体" w:asciiTheme="minorEastAsia" w:hAnsiTheme="minorEastAsia" w:eastAsiaTheme="minorEastAsia"/>
                <w:color w:val="000000" w:themeColor="text1"/>
                <w:kern w:val="0"/>
                <w:szCs w:val="21"/>
                <w14:textFill>
                  <w14:solidFill>
                    <w14:schemeClr w14:val="tx1"/>
                  </w14:solidFill>
                </w14:textFill>
              </w:rPr>
              <w:t xml:space="preserve">C25 3P </w:t>
            </w:r>
            <w:r>
              <w:rPr>
                <w:rFonts w:hint="eastAsia" w:cs="宋体" w:asciiTheme="minorEastAsia" w:hAnsiTheme="minorEastAsia" w:eastAsiaTheme="minorEastAsia"/>
                <w:color w:val="000000" w:themeColor="text1"/>
                <w:kern w:val="0"/>
                <w:szCs w:val="21"/>
                <w14:textFill>
                  <w14:solidFill>
                    <w14:schemeClr w14:val="tx1"/>
                  </w14:solidFill>
                </w14:textFill>
              </w:rPr>
              <w:t>空开</w:t>
            </w:r>
            <w:r>
              <w:rPr>
                <w:rFonts w:cs="宋体" w:asciiTheme="minorEastAsia" w:hAnsiTheme="minorEastAsia" w:eastAsiaTheme="minorEastAsia"/>
                <w:color w:val="000000" w:themeColor="text1"/>
                <w:kern w:val="0"/>
                <w:szCs w:val="21"/>
                <w14:textFill>
                  <w14:solidFill>
                    <w14:schemeClr w14:val="tx1"/>
                  </w14:solidFill>
                </w14:textFill>
              </w:rPr>
              <w:t>控制开合, 控制功率</w:t>
            </w:r>
            <w:r>
              <w:rPr>
                <w:rFonts w:hint="eastAsia" w:cs="宋体" w:asciiTheme="minorEastAsia" w:hAnsiTheme="minorEastAsia" w:eastAsiaTheme="minorEastAsia"/>
                <w:color w:val="000000" w:themeColor="text1"/>
                <w:kern w:val="0"/>
                <w:szCs w:val="21"/>
                <w14:textFill>
                  <w14:solidFill>
                    <w14:schemeClr w14:val="tx1"/>
                  </w14:solidFill>
                </w14:textFill>
              </w:rPr>
              <w:t>不低于</w:t>
            </w:r>
            <w:r>
              <w:rPr>
                <w:rFonts w:cs="宋体" w:asciiTheme="minorEastAsia" w:hAnsiTheme="minorEastAsia" w:eastAsiaTheme="minorEastAsia"/>
                <w:color w:val="000000" w:themeColor="text1"/>
                <w:kern w:val="0"/>
                <w:szCs w:val="21"/>
                <w14:textFill>
                  <w14:solidFill>
                    <w14:schemeClr w14:val="tx1"/>
                  </w14:solidFill>
                </w14:textFill>
              </w:rPr>
              <w:t>16KW。</w:t>
            </w:r>
          </w:p>
        </w:tc>
        <w:tc>
          <w:tcPr>
            <w:tcW w:w="729"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cs="宋体" w:asciiTheme="minorEastAsia" w:hAnsiTheme="minorEastAsia" w:eastAsiaTheme="minorEastAsia"/>
                <w:color w:val="000000" w:themeColor="text1"/>
                <w:kern w:val="0"/>
                <w:szCs w:val="21"/>
                <w14:textFill>
                  <w14:solidFill>
                    <w14:schemeClr w14:val="tx1"/>
                  </w14:solidFill>
                </w14:textFill>
              </w:rPr>
              <w:t>16</w:t>
            </w:r>
          </w:p>
        </w:tc>
        <w:tc>
          <w:tcPr>
            <w:tcW w:w="729"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个</w:t>
            </w:r>
          </w:p>
        </w:tc>
        <w:tc>
          <w:tcPr>
            <w:tcW w:w="1629" w:type="dxa"/>
            <w:vMerge w:val="continue"/>
            <w:tcBorders>
              <w:top w:val="nil"/>
              <w:left w:val="single" w:color="auto" w:sz="4" w:space="0"/>
              <w:bottom w:val="single" w:color="000000"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325" w:hRule="atLeast"/>
        </w:trPr>
        <w:tc>
          <w:tcPr>
            <w:tcW w:w="141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cs="宋体" w:asciiTheme="minorEastAsia" w:hAnsiTheme="minorEastAsia" w:eastAsiaTheme="minorEastAsia"/>
                <w:color w:val="000000" w:themeColor="text1"/>
                <w:kern w:val="0"/>
                <w:szCs w:val="21"/>
                <w14:textFill>
                  <w14:solidFill>
                    <w14:schemeClr w14:val="tx1"/>
                  </w14:solidFill>
                </w14:textFill>
              </w:rPr>
              <w:t>DIDO</w:t>
            </w:r>
            <w:r>
              <w:rPr>
                <w:rFonts w:hint="eastAsia" w:cs="宋体" w:asciiTheme="minorEastAsia" w:hAnsiTheme="minorEastAsia" w:eastAsiaTheme="minorEastAsia"/>
                <w:color w:val="000000" w:themeColor="text1"/>
                <w:kern w:val="0"/>
                <w:szCs w:val="21"/>
                <w14:textFill>
                  <w14:solidFill>
                    <w14:schemeClr w14:val="tx1"/>
                  </w14:solidFill>
                </w14:textFill>
              </w:rPr>
              <w:t>通讯模块</w:t>
            </w:r>
          </w:p>
        </w:tc>
        <w:tc>
          <w:tcPr>
            <w:tcW w:w="3267"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cs="宋体" w:asciiTheme="minorEastAsia" w:hAnsiTheme="minorEastAsia" w:eastAsiaTheme="minorEastAsia"/>
                <w:color w:val="000000" w:themeColor="text1"/>
                <w:kern w:val="0"/>
                <w:szCs w:val="21"/>
                <w14:textFill>
                  <w14:solidFill>
                    <w14:schemeClr w14:val="tx1"/>
                  </w14:solidFill>
                </w14:textFill>
              </w:rPr>
              <w:t>RS485</w:t>
            </w:r>
            <w:r>
              <w:rPr>
                <w:rFonts w:hint="eastAsia" w:cs="宋体" w:asciiTheme="minorEastAsia" w:hAnsiTheme="minorEastAsia" w:eastAsiaTheme="minorEastAsia"/>
                <w:color w:val="000000" w:themeColor="text1"/>
                <w:kern w:val="0"/>
                <w:szCs w:val="21"/>
                <w14:textFill>
                  <w14:solidFill>
                    <w14:schemeClr w14:val="tx1"/>
                  </w14:solidFill>
                </w14:textFill>
              </w:rPr>
              <w:t>接口</w:t>
            </w:r>
          </w:p>
        </w:tc>
        <w:tc>
          <w:tcPr>
            <w:tcW w:w="729"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cs="宋体" w:asciiTheme="minorEastAsia" w:hAnsiTheme="minorEastAsia" w:eastAsiaTheme="minorEastAsia"/>
                <w:color w:val="000000" w:themeColor="text1"/>
                <w:kern w:val="0"/>
                <w:szCs w:val="21"/>
                <w14:textFill>
                  <w14:solidFill>
                    <w14:schemeClr w14:val="tx1"/>
                  </w14:solidFill>
                </w14:textFill>
              </w:rPr>
              <w:t>8</w:t>
            </w:r>
          </w:p>
        </w:tc>
        <w:tc>
          <w:tcPr>
            <w:tcW w:w="729"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个</w:t>
            </w:r>
          </w:p>
        </w:tc>
        <w:tc>
          <w:tcPr>
            <w:tcW w:w="1629" w:type="dxa"/>
            <w:vMerge w:val="continue"/>
            <w:tcBorders>
              <w:top w:val="nil"/>
              <w:left w:val="single" w:color="auto" w:sz="4" w:space="0"/>
              <w:bottom w:val="single" w:color="000000" w:sz="4" w:space="0"/>
              <w:right w:val="single" w:color="auto" w:sz="4" w:space="0"/>
            </w:tcBorders>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469" w:hRule="atLeast"/>
        </w:trPr>
        <w:tc>
          <w:tcPr>
            <w:tcW w:w="141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采集器</w:t>
            </w:r>
          </w:p>
        </w:tc>
        <w:tc>
          <w:tcPr>
            <w:tcW w:w="3267"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cs="宋体" w:asciiTheme="minorEastAsia" w:hAnsiTheme="minorEastAsia" w:eastAsiaTheme="minorEastAsia"/>
                <w:color w:val="000000" w:themeColor="text1"/>
                <w:kern w:val="0"/>
                <w:szCs w:val="21"/>
                <w14:textFill>
                  <w14:solidFill>
                    <w14:schemeClr w14:val="tx1"/>
                  </w14:solidFill>
                </w14:textFill>
              </w:rPr>
              <w:t>8</w:t>
            </w:r>
            <w:r>
              <w:rPr>
                <w:rFonts w:hint="eastAsia" w:cs="宋体" w:asciiTheme="minorEastAsia" w:hAnsiTheme="minorEastAsia" w:eastAsiaTheme="minorEastAsia"/>
                <w:color w:val="000000" w:themeColor="text1"/>
                <w:kern w:val="0"/>
                <w:szCs w:val="21"/>
                <w14:textFill>
                  <w14:solidFill>
                    <w14:schemeClr w14:val="tx1"/>
                  </w14:solidFill>
                </w14:textFill>
              </w:rPr>
              <w:t>个</w:t>
            </w:r>
            <w:r>
              <w:rPr>
                <w:rFonts w:cs="宋体" w:asciiTheme="minorEastAsia" w:hAnsiTheme="minorEastAsia" w:eastAsiaTheme="minorEastAsia"/>
                <w:color w:val="000000" w:themeColor="text1"/>
                <w:kern w:val="0"/>
                <w:szCs w:val="21"/>
                <w14:textFill>
                  <w14:solidFill>
                    <w14:schemeClr w14:val="tx1"/>
                  </w14:solidFill>
                </w14:textFill>
              </w:rPr>
              <w:t xml:space="preserve">AI&amp;DI </w:t>
            </w:r>
            <w:r>
              <w:rPr>
                <w:rFonts w:hint="eastAsia" w:cs="宋体" w:asciiTheme="minorEastAsia" w:hAnsiTheme="minorEastAsia" w:eastAsiaTheme="minorEastAsia"/>
                <w:color w:val="000000" w:themeColor="text1"/>
                <w:kern w:val="0"/>
                <w:szCs w:val="21"/>
                <w14:textFill>
                  <w14:solidFill>
                    <w14:schemeClr w14:val="tx1"/>
                  </w14:solidFill>
                </w14:textFill>
              </w:rPr>
              <w:t>通道，</w:t>
            </w:r>
            <w:r>
              <w:rPr>
                <w:rFonts w:cs="宋体" w:asciiTheme="minorEastAsia" w:hAnsiTheme="minorEastAsia" w:eastAsiaTheme="minorEastAsia"/>
                <w:color w:val="000000" w:themeColor="text1"/>
                <w:kern w:val="0"/>
                <w:szCs w:val="21"/>
                <w14:textFill>
                  <w14:solidFill>
                    <w14:schemeClr w14:val="tx1"/>
                  </w14:solidFill>
                </w14:textFill>
              </w:rPr>
              <w:t>4</w:t>
            </w:r>
            <w:r>
              <w:rPr>
                <w:rFonts w:hint="eastAsia" w:cs="宋体" w:asciiTheme="minorEastAsia" w:hAnsiTheme="minorEastAsia" w:eastAsiaTheme="minorEastAsia"/>
                <w:color w:val="000000" w:themeColor="text1"/>
                <w:kern w:val="0"/>
                <w:szCs w:val="21"/>
                <w14:textFill>
                  <w14:solidFill>
                    <w14:schemeClr w14:val="tx1"/>
                  </w14:solidFill>
                </w14:textFill>
              </w:rPr>
              <w:t>个</w:t>
            </w:r>
            <w:r>
              <w:rPr>
                <w:rFonts w:cs="宋体" w:asciiTheme="minorEastAsia" w:hAnsiTheme="minorEastAsia" w:eastAsiaTheme="minorEastAsia"/>
                <w:color w:val="000000" w:themeColor="text1"/>
                <w:kern w:val="0"/>
                <w:szCs w:val="21"/>
                <w14:textFill>
                  <w14:solidFill>
                    <w14:schemeClr w14:val="tx1"/>
                  </w14:solidFill>
                </w14:textFill>
              </w:rPr>
              <w:t>DI</w:t>
            </w:r>
            <w:r>
              <w:rPr>
                <w:rFonts w:hint="eastAsia" w:cs="宋体" w:asciiTheme="minorEastAsia" w:hAnsiTheme="minorEastAsia" w:eastAsiaTheme="minorEastAsia"/>
                <w:color w:val="000000" w:themeColor="text1"/>
                <w:kern w:val="0"/>
                <w:szCs w:val="21"/>
                <w14:textFill>
                  <w14:solidFill>
                    <w14:schemeClr w14:val="tx1"/>
                  </w14:solidFill>
                </w14:textFill>
              </w:rPr>
              <w:t>通道</w:t>
            </w:r>
            <w:r>
              <w:rPr>
                <w:rFonts w:cs="宋体" w:asciiTheme="minorEastAsia" w:hAnsiTheme="minorEastAsia" w:eastAsiaTheme="minorEastAsia"/>
                <w:color w:val="000000" w:themeColor="text1"/>
                <w:kern w:val="0"/>
                <w:szCs w:val="21"/>
                <w14:textFill>
                  <w14:solidFill>
                    <w14:schemeClr w14:val="tx1"/>
                  </w14:solidFill>
                </w14:textFill>
              </w:rPr>
              <w:t>,2</w:t>
            </w:r>
            <w:r>
              <w:rPr>
                <w:rFonts w:hint="eastAsia" w:cs="宋体" w:asciiTheme="minorEastAsia" w:hAnsiTheme="minorEastAsia" w:eastAsiaTheme="minorEastAsia"/>
                <w:color w:val="000000" w:themeColor="text1"/>
                <w:kern w:val="0"/>
                <w:szCs w:val="21"/>
                <w14:textFill>
                  <w14:solidFill>
                    <w14:schemeClr w14:val="tx1"/>
                  </w14:solidFill>
                </w14:textFill>
              </w:rPr>
              <w:t>组</w:t>
            </w:r>
            <w:r>
              <w:rPr>
                <w:rFonts w:cs="宋体" w:asciiTheme="minorEastAsia" w:hAnsiTheme="minorEastAsia" w:eastAsiaTheme="minorEastAsia"/>
                <w:color w:val="000000" w:themeColor="text1"/>
                <w:kern w:val="0"/>
                <w:szCs w:val="21"/>
                <w14:textFill>
                  <w14:solidFill>
                    <w14:schemeClr w14:val="tx1"/>
                  </w14:solidFill>
                </w14:textFill>
              </w:rPr>
              <w:t>18~60VDC</w:t>
            </w:r>
            <w:r>
              <w:rPr>
                <w:rFonts w:hint="eastAsia" w:cs="宋体" w:asciiTheme="minorEastAsia" w:hAnsiTheme="minorEastAsia" w:eastAsiaTheme="minorEastAsia"/>
                <w:color w:val="000000" w:themeColor="text1"/>
                <w:kern w:val="0"/>
                <w:szCs w:val="21"/>
                <w14:textFill>
                  <w14:solidFill>
                    <w14:schemeClr w14:val="tx1"/>
                  </w14:solidFill>
                </w14:textFill>
              </w:rPr>
              <w:t>电池总电压、中间点电压输入通道</w:t>
            </w:r>
            <w:r>
              <w:rPr>
                <w:rFonts w:cs="宋体" w:asciiTheme="minorEastAsia" w:hAnsiTheme="minorEastAsia" w:eastAsiaTheme="minorEastAsia"/>
                <w:color w:val="000000" w:themeColor="text1"/>
                <w:kern w:val="0"/>
                <w:szCs w:val="21"/>
                <w14:textFill>
                  <w14:solidFill>
                    <w14:schemeClr w14:val="tx1"/>
                  </w14:solidFill>
                </w14:textFill>
              </w:rPr>
              <w:t>, 4</w:t>
            </w:r>
            <w:r>
              <w:rPr>
                <w:rFonts w:hint="eastAsia" w:cs="宋体" w:asciiTheme="minorEastAsia" w:hAnsiTheme="minorEastAsia" w:eastAsiaTheme="minorEastAsia"/>
                <w:color w:val="000000" w:themeColor="text1"/>
                <w:kern w:val="0"/>
                <w:szCs w:val="21"/>
                <w14:textFill>
                  <w14:solidFill>
                    <w14:schemeClr w14:val="tx1"/>
                  </w14:solidFill>
                </w14:textFill>
              </w:rPr>
              <w:t>路继电器输出控制</w:t>
            </w:r>
            <w:r>
              <w:rPr>
                <w:rFonts w:cs="宋体" w:asciiTheme="minorEastAsia" w:hAnsiTheme="minorEastAsia" w:eastAsiaTheme="minorEastAsia"/>
                <w:color w:val="000000" w:themeColor="text1"/>
                <w:kern w:val="0"/>
                <w:szCs w:val="21"/>
                <w14:textFill>
                  <w14:solidFill>
                    <w14:schemeClr w14:val="tx1"/>
                  </w14:solidFill>
                </w14:textFill>
              </w:rPr>
              <w:t>,1</w:t>
            </w:r>
            <w:r>
              <w:rPr>
                <w:rFonts w:hint="eastAsia" w:cs="宋体" w:asciiTheme="minorEastAsia" w:hAnsiTheme="minorEastAsia" w:eastAsiaTheme="minorEastAsia"/>
                <w:color w:val="000000" w:themeColor="text1"/>
                <w:kern w:val="0"/>
                <w:szCs w:val="21"/>
                <w14:textFill>
                  <w14:solidFill>
                    <w14:schemeClr w14:val="tx1"/>
                  </w14:solidFill>
                </w14:textFill>
              </w:rPr>
              <w:t>路</w:t>
            </w:r>
            <w:r>
              <w:rPr>
                <w:rFonts w:cs="宋体" w:asciiTheme="minorEastAsia" w:hAnsiTheme="minorEastAsia" w:eastAsiaTheme="minorEastAsia"/>
                <w:color w:val="000000" w:themeColor="text1"/>
                <w:kern w:val="0"/>
                <w:szCs w:val="21"/>
                <w14:textFill>
                  <w14:solidFill>
                    <w14:schemeClr w14:val="tx1"/>
                  </w14:solidFill>
                </w14:textFill>
              </w:rPr>
              <w:t>12V</w:t>
            </w:r>
            <w:r>
              <w:rPr>
                <w:rFonts w:hint="eastAsia" w:cs="宋体" w:asciiTheme="minorEastAsia" w:hAnsiTheme="minorEastAsia" w:eastAsiaTheme="minorEastAsia"/>
                <w:color w:val="000000" w:themeColor="text1"/>
                <w:kern w:val="0"/>
                <w:szCs w:val="21"/>
                <w14:textFill>
                  <w14:solidFill>
                    <w14:schemeClr w14:val="tx1"/>
                  </w14:solidFill>
                </w14:textFill>
              </w:rPr>
              <w:t>电源输出</w:t>
            </w:r>
            <w:r>
              <w:rPr>
                <w:rFonts w:cs="宋体" w:asciiTheme="minorEastAsia" w:hAnsiTheme="minorEastAsia" w:eastAsiaTheme="minorEastAsia"/>
                <w:color w:val="000000" w:themeColor="text1"/>
                <w:kern w:val="0"/>
                <w:szCs w:val="21"/>
                <w14:textFill>
                  <w14:solidFill>
                    <w14:schemeClr w14:val="tx1"/>
                  </w14:solidFill>
                </w14:textFill>
              </w:rPr>
              <w:t>,8</w:t>
            </w:r>
            <w:r>
              <w:rPr>
                <w:rFonts w:hint="eastAsia" w:cs="宋体" w:asciiTheme="minorEastAsia" w:hAnsiTheme="minorEastAsia" w:eastAsiaTheme="minorEastAsia"/>
                <w:color w:val="000000" w:themeColor="text1"/>
                <w:kern w:val="0"/>
                <w:szCs w:val="21"/>
                <w14:textFill>
                  <w14:solidFill>
                    <w14:schemeClr w14:val="tx1"/>
                  </w14:solidFill>
                </w14:textFill>
              </w:rPr>
              <w:t>路串口，</w:t>
            </w:r>
            <w:r>
              <w:rPr>
                <w:rFonts w:cs="宋体" w:asciiTheme="minorEastAsia" w:hAnsiTheme="minorEastAsia" w:eastAsiaTheme="minorEastAsia"/>
                <w:color w:val="000000" w:themeColor="text1"/>
                <w:kern w:val="0"/>
                <w:szCs w:val="21"/>
                <w14:textFill>
                  <w14:solidFill>
                    <w14:schemeClr w14:val="tx1"/>
                  </w14:solidFill>
                </w14:textFill>
              </w:rPr>
              <w:t>1</w:t>
            </w:r>
            <w:r>
              <w:rPr>
                <w:rFonts w:hint="eastAsia" w:cs="宋体" w:asciiTheme="minorEastAsia" w:hAnsiTheme="minorEastAsia" w:eastAsiaTheme="minorEastAsia"/>
                <w:color w:val="000000" w:themeColor="text1"/>
                <w:kern w:val="0"/>
                <w:szCs w:val="21"/>
                <w14:textFill>
                  <w14:solidFill>
                    <w14:schemeClr w14:val="tx1"/>
                  </w14:solidFill>
                </w14:textFill>
              </w:rPr>
              <w:t>个</w:t>
            </w:r>
            <w:r>
              <w:rPr>
                <w:rFonts w:cs="宋体" w:asciiTheme="minorEastAsia" w:hAnsiTheme="minorEastAsia" w:eastAsiaTheme="minorEastAsia"/>
                <w:color w:val="000000" w:themeColor="text1"/>
                <w:kern w:val="0"/>
                <w:szCs w:val="21"/>
                <w14:textFill>
                  <w14:solidFill>
                    <w14:schemeClr w14:val="tx1"/>
                  </w14:solidFill>
                </w14:textFill>
              </w:rPr>
              <w:t>USB2.0</w:t>
            </w:r>
            <w:r>
              <w:rPr>
                <w:rFonts w:hint="eastAsia" w:cs="宋体" w:asciiTheme="minorEastAsia" w:hAnsiTheme="minorEastAsia" w:eastAsiaTheme="minorEastAsia"/>
                <w:color w:val="000000" w:themeColor="text1"/>
                <w:kern w:val="0"/>
                <w:szCs w:val="21"/>
                <w14:textFill>
                  <w14:solidFill>
                    <w14:schemeClr w14:val="tx1"/>
                  </w14:solidFill>
                </w14:textFill>
              </w:rPr>
              <w:t>口，</w:t>
            </w:r>
            <w:r>
              <w:rPr>
                <w:rFonts w:cs="宋体" w:asciiTheme="minorEastAsia" w:hAnsiTheme="minorEastAsia" w:eastAsiaTheme="minorEastAsia"/>
                <w:color w:val="000000" w:themeColor="text1"/>
                <w:kern w:val="0"/>
                <w:szCs w:val="21"/>
                <w14:textFill>
                  <w14:solidFill>
                    <w14:schemeClr w14:val="tx1"/>
                  </w14:solidFill>
                </w14:textFill>
              </w:rPr>
              <w:t>4</w:t>
            </w:r>
            <w:r>
              <w:rPr>
                <w:rFonts w:hint="eastAsia" w:cs="宋体" w:asciiTheme="minorEastAsia" w:hAnsiTheme="minorEastAsia" w:eastAsiaTheme="minorEastAsia"/>
                <w:color w:val="000000" w:themeColor="text1"/>
                <w:kern w:val="0"/>
                <w:szCs w:val="21"/>
                <w14:textFill>
                  <w14:solidFill>
                    <w14:schemeClr w14:val="tx1"/>
                  </w14:solidFill>
                </w14:textFill>
              </w:rPr>
              <w:t>个带交换功能的</w:t>
            </w:r>
            <w:r>
              <w:rPr>
                <w:rFonts w:cs="宋体" w:asciiTheme="minorEastAsia" w:hAnsiTheme="minorEastAsia" w:eastAsiaTheme="minorEastAsia"/>
                <w:color w:val="000000" w:themeColor="text1"/>
                <w:kern w:val="0"/>
                <w:szCs w:val="21"/>
                <w14:textFill>
                  <w14:solidFill>
                    <w14:schemeClr w14:val="tx1"/>
                  </w14:solidFill>
                </w14:textFill>
              </w:rPr>
              <w:t>10M&amp;100M IP</w:t>
            </w:r>
            <w:r>
              <w:rPr>
                <w:rFonts w:hint="eastAsia" w:cs="宋体" w:asciiTheme="minorEastAsia" w:hAnsiTheme="minorEastAsia" w:eastAsiaTheme="minorEastAsia"/>
                <w:color w:val="000000" w:themeColor="text1"/>
                <w:kern w:val="0"/>
                <w:szCs w:val="21"/>
                <w14:textFill>
                  <w14:solidFill>
                    <w14:schemeClr w14:val="tx1"/>
                  </w14:solidFill>
                </w14:textFill>
              </w:rPr>
              <w:t>口。</w:t>
            </w:r>
          </w:p>
        </w:tc>
        <w:tc>
          <w:tcPr>
            <w:tcW w:w="729"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cs="宋体" w:asciiTheme="minorEastAsia" w:hAnsiTheme="minorEastAsia" w:eastAsiaTheme="minorEastAsia"/>
                <w:color w:val="000000" w:themeColor="text1"/>
                <w:kern w:val="0"/>
                <w:szCs w:val="21"/>
                <w14:textFill>
                  <w14:solidFill>
                    <w14:schemeClr w14:val="tx1"/>
                  </w14:solidFill>
                </w14:textFill>
              </w:rPr>
              <w:t>4</w:t>
            </w:r>
          </w:p>
        </w:tc>
        <w:tc>
          <w:tcPr>
            <w:tcW w:w="729"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台</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cs="宋体" w:asciiTheme="minorEastAsia" w:hAnsiTheme="minorEastAsia" w:eastAsiaTheme="minorEastAsia"/>
                <w:color w:val="000000" w:themeColor="text1"/>
                <w:kern w:val="0"/>
                <w:szCs w:val="21"/>
                <w14:textFill>
                  <w14:solidFill>
                    <w14:schemeClr w14:val="tx1"/>
                  </w14:solidFill>
                </w14:textFill>
              </w:rPr>
              <w:t>Vertiv</w:t>
            </w:r>
          </w:p>
        </w:tc>
      </w:tr>
      <w:tr>
        <w:tblPrEx>
          <w:tblCellMar>
            <w:top w:w="0" w:type="dxa"/>
            <w:left w:w="108" w:type="dxa"/>
            <w:bottom w:w="0" w:type="dxa"/>
            <w:right w:w="108" w:type="dxa"/>
          </w:tblCellMar>
        </w:tblPrEx>
        <w:trPr>
          <w:trHeight w:val="487" w:hRule="atLeast"/>
        </w:trPr>
        <w:tc>
          <w:tcPr>
            <w:tcW w:w="141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串口板卡</w:t>
            </w:r>
          </w:p>
        </w:tc>
        <w:tc>
          <w:tcPr>
            <w:tcW w:w="3267"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cs="宋体" w:asciiTheme="minorEastAsia" w:hAnsiTheme="minorEastAsia" w:eastAsiaTheme="minorEastAsia"/>
                <w:color w:val="000000" w:themeColor="text1"/>
                <w:kern w:val="0"/>
                <w:szCs w:val="21"/>
                <w14:textFill>
                  <w14:solidFill>
                    <w14:schemeClr w14:val="tx1"/>
                  </w14:solidFill>
                </w14:textFill>
              </w:rPr>
              <w:t>4</w:t>
            </w:r>
            <w:r>
              <w:rPr>
                <w:rFonts w:hint="eastAsia" w:cs="宋体" w:asciiTheme="minorEastAsia" w:hAnsiTheme="minorEastAsia" w:eastAsiaTheme="minorEastAsia"/>
                <w:color w:val="000000" w:themeColor="text1"/>
                <w:kern w:val="0"/>
                <w:szCs w:val="21"/>
                <w14:textFill>
                  <w14:solidFill>
                    <w14:schemeClr w14:val="tx1"/>
                  </w14:solidFill>
                </w14:textFill>
              </w:rPr>
              <w:t>路</w:t>
            </w:r>
            <w:r>
              <w:rPr>
                <w:rFonts w:cs="宋体" w:asciiTheme="minorEastAsia" w:hAnsiTheme="minorEastAsia" w:eastAsiaTheme="minorEastAsia"/>
                <w:color w:val="000000" w:themeColor="text1"/>
                <w:kern w:val="0"/>
                <w:szCs w:val="21"/>
                <w14:textFill>
                  <w14:solidFill>
                    <w14:schemeClr w14:val="tx1"/>
                  </w14:solidFill>
                </w14:textFill>
              </w:rPr>
              <w:t>RS485</w:t>
            </w:r>
            <w:r>
              <w:rPr>
                <w:rFonts w:hint="eastAsia" w:cs="宋体" w:asciiTheme="minorEastAsia" w:hAnsiTheme="minorEastAsia" w:eastAsiaTheme="minorEastAsia"/>
                <w:color w:val="000000" w:themeColor="text1"/>
                <w:kern w:val="0"/>
                <w:szCs w:val="21"/>
                <w14:textFill>
                  <w14:solidFill>
                    <w14:schemeClr w14:val="tx1"/>
                  </w14:solidFill>
                </w14:textFill>
              </w:rPr>
              <w:t>串口，用于串口采集器扩展</w:t>
            </w:r>
          </w:p>
        </w:tc>
        <w:tc>
          <w:tcPr>
            <w:tcW w:w="729"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cs="宋体" w:asciiTheme="minorEastAsia" w:hAnsiTheme="minorEastAsia" w:eastAsiaTheme="minorEastAsia"/>
                <w:color w:val="000000" w:themeColor="text1"/>
                <w:kern w:val="0"/>
                <w:szCs w:val="21"/>
                <w14:textFill>
                  <w14:solidFill>
                    <w14:schemeClr w14:val="tx1"/>
                  </w14:solidFill>
                </w14:textFill>
              </w:rPr>
              <w:t>8</w:t>
            </w:r>
          </w:p>
        </w:tc>
        <w:tc>
          <w:tcPr>
            <w:tcW w:w="729"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个</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cs="宋体" w:asciiTheme="minorEastAsia" w:hAnsiTheme="minorEastAsia" w:eastAsiaTheme="minorEastAsia"/>
                <w:color w:val="000000" w:themeColor="text1"/>
                <w:kern w:val="0"/>
                <w:szCs w:val="21"/>
                <w14:textFill>
                  <w14:solidFill>
                    <w14:schemeClr w14:val="tx1"/>
                  </w14:solidFill>
                </w14:textFill>
              </w:rPr>
              <w:t>Vertiv</w:t>
            </w:r>
          </w:p>
        </w:tc>
      </w:tr>
      <w:tr>
        <w:tblPrEx>
          <w:tblCellMar>
            <w:top w:w="0" w:type="dxa"/>
            <w:left w:w="108" w:type="dxa"/>
            <w:bottom w:w="0" w:type="dxa"/>
            <w:right w:w="108" w:type="dxa"/>
          </w:tblCellMar>
        </w:tblPrEx>
        <w:trPr>
          <w:trHeight w:val="677" w:hRule="atLeast"/>
        </w:trPr>
        <w:tc>
          <w:tcPr>
            <w:tcW w:w="141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安装箱</w:t>
            </w:r>
          </w:p>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3267"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设备</w:t>
            </w:r>
            <w:r>
              <w:rPr>
                <w:rFonts w:cs="宋体" w:asciiTheme="minorEastAsia" w:hAnsiTheme="minorEastAsia" w:eastAsiaTheme="minorEastAsia"/>
                <w:color w:val="000000" w:themeColor="text1"/>
                <w:kern w:val="0"/>
                <w:szCs w:val="21"/>
                <w14:textFill>
                  <w14:solidFill>
                    <w14:schemeClr w14:val="tx1"/>
                  </w14:solidFill>
                </w14:textFill>
              </w:rPr>
              <w:t>/</w:t>
            </w:r>
            <w:r>
              <w:rPr>
                <w:rFonts w:hint="eastAsia" w:cs="宋体" w:asciiTheme="minorEastAsia" w:hAnsiTheme="minorEastAsia" w:eastAsiaTheme="minorEastAsia"/>
                <w:color w:val="000000" w:themeColor="text1"/>
                <w:kern w:val="0"/>
                <w:szCs w:val="21"/>
                <w14:textFill>
                  <w14:solidFill>
                    <w14:schemeClr w14:val="tx1"/>
                  </w14:solidFill>
                </w14:textFill>
              </w:rPr>
              <w:t>模块安装箱，黑色，单排</w:t>
            </w:r>
            <w:r>
              <w:rPr>
                <w:rFonts w:cs="宋体" w:asciiTheme="minorEastAsia" w:hAnsiTheme="minorEastAsia" w:eastAsiaTheme="minorEastAsia"/>
                <w:color w:val="000000" w:themeColor="text1"/>
                <w:kern w:val="0"/>
                <w:szCs w:val="21"/>
                <w14:textFill>
                  <w14:solidFill>
                    <w14:schemeClr w14:val="tx1"/>
                  </w14:solidFill>
                </w14:textFill>
              </w:rPr>
              <w:t>35mm</w:t>
            </w:r>
            <w:r>
              <w:rPr>
                <w:rFonts w:hint="eastAsia" w:cs="宋体" w:asciiTheme="minorEastAsia" w:hAnsiTheme="minorEastAsia" w:eastAsiaTheme="minorEastAsia"/>
                <w:color w:val="000000" w:themeColor="text1"/>
                <w:kern w:val="0"/>
                <w:szCs w:val="21"/>
                <w14:textFill>
                  <w14:solidFill>
                    <w14:schemeClr w14:val="tx1"/>
                  </w14:solidFill>
                </w14:textFill>
              </w:rPr>
              <w:t>导轨长</w:t>
            </w:r>
            <w:r>
              <w:rPr>
                <w:rFonts w:cs="宋体" w:asciiTheme="minorEastAsia" w:hAnsiTheme="minorEastAsia" w:eastAsiaTheme="minorEastAsia"/>
                <w:color w:val="000000" w:themeColor="text1"/>
                <w:kern w:val="0"/>
                <w:szCs w:val="21"/>
                <w14:textFill>
                  <w14:solidFill>
                    <w14:schemeClr w14:val="tx1"/>
                  </w14:solidFill>
                </w14:textFill>
              </w:rPr>
              <w:t>290mm</w:t>
            </w:r>
          </w:p>
        </w:tc>
        <w:tc>
          <w:tcPr>
            <w:tcW w:w="72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cs="宋体" w:asciiTheme="minorEastAsia" w:hAnsiTheme="minorEastAsia" w:eastAsiaTheme="minorEastAsia"/>
                <w:color w:val="000000" w:themeColor="text1"/>
                <w:kern w:val="0"/>
                <w:szCs w:val="21"/>
                <w14:textFill>
                  <w14:solidFill>
                    <w14:schemeClr w14:val="tx1"/>
                  </w14:solidFill>
                </w14:textFill>
              </w:rPr>
              <w:t>7</w:t>
            </w:r>
          </w:p>
        </w:tc>
        <w:tc>
          <w:tcPr>
            <w:tcW w:w="729"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台</w:t>
            </w:r>
          </w:p>
        </w:tc>
        <w:tc>
          <w:tcPr>
            <w:tcW w:w="1629"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325" w:hRule="atLeast"/>
        </w:trPr>
        <w:tc>
          <w:tcPr>
            <w:tcW w:w="141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辅材</w:t>
            </w:r>
          </w:p>
        </w:tc>
        <w:tc>
          <w:tcPr>
            <w:tcW w:w="3267" w:type="dxa"/>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　本项目系统集成所需材料</w:t>
            </w:r>
          </w:p>
        </w:tc>
        <w:tc>
          <w:tcPr>
            <w:tcW w:w="72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cs="宋体" w:asciiTheme="minorEastAsia" w:hAnsiTheme="minorEastAsia" w:eastAsiaTheme="minorEastAsia"/>
                <w:color w:val="000000" w:themeColor="text1"/>
                <w:kern w:val="0"/>
                <w:szCs w:val="21"/>
                <w14:textFill>
                  <w14:solidFill>
                    <w14:schemeClr w14:val="tx1"/>
                  </w14:solidFill>
                </w14:textFill>
              </w:rPr>
              <w:t>1</w:t>
            </w:r>
          </w:p>
        </w:tc>
        <w:tc>
          <w:tcPr>
            <w:tcW w:w="729"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项</w:t>
            </w:r>
          </w:p>
        </w:tc>
        <w:tc>
          <w:tcPr>
            <w:tcW w:w="1629"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325" w:hRule="atLeast"/>
        </w:trPr>
        <w:tc>
          <w:tcPr>
            <w:tcW w:w="141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系统集成费</w:t>
            </w:r>
          </w:p>
        </w:tc>
        <w:tc>
          <w:tcPr>
            <w:tcW w:w="3267" w:type="dxa"/>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　　质保三年，含运保费、税费等</w:t>
            </w:r>
          </w:p>
        </w:tc>
        <w:tc>
          <w:tcPr>
            <w:tcW w:w="729"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cs="宋体" w:asciiTheme="minorEastAsia" w:hAnsiTheme="minorEastAsia" w:eastAsiaTheme="minorEastAsia"/>
                <w:color w:val="000000" w:themeColor="text1"/>
                <w:kern w:val="0"/>
                <w:szCs w:val="21"/>
                <w14:textFill>
                  <w14:solidFill>
                    <w14:schemeClr w14:val="tx1"/>
                  </w14:solidFill>
                </w14:textFill>
              </w:rPr>
              <w:t>1</w:t>
            </w:r>
          </w:p>
        </w:tc>
        <w:tc>
          <w:tcPr>
            <w:tcW w:w="729"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项</w:t>
            </w:r>
          </w:p>
        </w:tc>
        <w:tc>
          <w:tcPr>
            <w:tcW w:w="1629"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　</w:t>
            </w:r>
          </w:p>
        </w:tc>
      </w:tr>
    </w:tbl>
    <w:p>
      <w:pPr>
        <w:pStyle w:val="373"/>
        <w:numPr>
          <w:ilvl w:val="1"/>
          <w:numId w:val="21"/>
        </w:numPr>
        <w:spacing w:line="500" w:lineRule="exact"/>
        <w:ind w:firstLineChars="0"/>
        <w:jc w:val="left"/>
        <w:rPr>
          <w:rFonts w:asciiTheme="minorEastAsia" w:hAnsiTheme="minorEastAsia" w:eastAsiaTheme="minorEastAsia"/>
          <w:b/>
          <w:bCs/>
          <w:color w:val="000000" w:themeColor="text1"/>
          <w14:textFill>
            <w14:solidFill>
              <w14:schemeClr w14:val="tx1"/>
            </w14:solidFill>
          </w14:textFill>
        </w:rPr>
      </w:pPr>
      <w:bookmarkStart w:id="43" w:name="_Toc106831063"/>
      <w:r>
        <w:rPr>
          <w:rFonts w:hint="eastAsia" w:asciiTheme="minorEastAsia" w:hAnsiTheme="minorEastAsia" w:eastAsiaTheme="minorEastAsia"/>
          <w:b/>
          <w:bCs/>
          <w:color w:val="000000" w:themeColor="text1"/>
          <w14:textFill>
            <w14:solidFill>
              <w14:schemeClr w14:val="tx1"/>
            </w14:solidFill>
          </w14:textFill>
        </w:rPr>
        <w:t>设备规格参数</w:t>
      </w:r>
      <w:bookmarkEnd w:id="43"/>
    </w:p>
    <w:p>
      <w:pPr>
        <w:pStyle w:val="373"/>
        <w:numPr>
          <w:ilvl w:val="2"/>
          <w:numId w:val="22"/>
        </w:numPr>
        <w:spacing w:line="500" w:lineRule="exact"/>
        <w:ind w:firstLineChars="0"/>
        <w:jc w:val="left"/>
        <w:rPr>
          <w:rFonts w:asciiTheme="minorEastAsia" w:hAnsiTheme="minorEastAsia" w:eastAsiaTheme="minorEastAsia"/>
          <w:b/>
          <w:bCs/>
          <w:color w:val="000000" w:themeColor="text1"/>
          <w14:textFill>
            <w14:solidFill>
              <w14:schemeClr w14:val="tx1"/>
            </w14:solidFill>
          </w14:textFill>
        </w:rPr>
      </w:pPr>
      <w:r>
        <w:rPr>
          <w:rFonts w:asciiTheme="minorEastAsia" w:hAnsiTheme="minorEastAsia" w:eastAsiaTheme="minorEastAsia"/>
          <w:b/>
          <w:bCs/>
          <w:color w:val="000000" w:themeColor="text1"/>
          <w14:textFill>
            <w14:solidFill>
              <w14:schemeClr w14:val="tx1"/>
            </w14:solidFill>
          </w14:textFill>
        </w:rPr>
        <w:t>采集器</w:t>
      </w:r>
    </w:p>
    <w:p>
      <w:pPr>
        <w:ind w:firstLine="48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采集器是场地设备和环境信息监控的核心平台，要求具备以下功能：</w:t>
      </w:r>
    </w:p>
    <w:p>
      <w:pPr>
        <w:pStyle w:val="89"/>
        <w:numPr>
          <w:ilvl w:val="0"/>
          <w:numId w:val="23"/>
        </w:numPr>
        <w:autoSpaceDE w:val="0"/>
        <w:autoSpaceDN w:val="0"/>
        <w:adjustRightInd w:val="0"/>
        <w:spacing w:line="360" w:lineRule="auto"/>
        <w:ind w:left="0" w:firstLine="482" w:firstLineChars="0"/>
        <w:jc w:val="left"/>
        <w:rPr>
          <w:rFonts w:asciiTheme="minorEastAsia" w:hAnsiTheme="minorEastAsia" w:eastAsia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olor w:val="000000" w:themeColor="text1"/>
          <w:kern w:val="2"/>
          <w:sz w:val="21"/>
          <w:szCs w:val="21"/>
          <w14:textFill>
            <w14:solidFill>
              <w14:schemeClr w14:val="tx1"/>
            </w14:solidFill>
          </w14:textFill>
        </w:rPr>
        <w:t>需接入动环监控平台。要求支持双路供电，供电电源支持</w:t>
      </w:r>
      <w:r>
        <w:rPr>
          <w:rFonts w:asciiTheme="minorEastAsia" w:hAnsiTheme="minorEastAsia" w:eastAsiaTheme="minorEastAsia"/>
          <w:color w:val="000000" w:themeColor="text1"/>
          <w:kern w:val="2"/>
          <w:sz w:val="21"/>
          <w:szCs w:val="21"/>
          <w14:textFill>
            <w14:solidFill>
              <w14:schemeClr w14:val="tx1"/>
            </w14:solidFill>
          </w14:textFill>
        </w:rPr>
        <w:t>220V</w:t>
      </w:r>
      <w:r>
        <w:rPr>
          <w:rFonts w:hint="eastAsia" w:asciiTheme="minorEastAsia" w:hAnsiTheme="minorEastAsia" w:eastAsiaTheme="minorEastAsia"/>
          <w:color w:val="000000" w:themeColor="text1"/>
          <w:kern w:val="2"/>
          <w:sz w:val="21"/>
          <w:szCs w:val="21"/>
          <w14:textFill>
            <w14:solidFill>
              <w14:schemeClr w14:val="tx1"/>
            </w14:solidFill>
          </w14:textFill>
        </w:rPr>
        <w:t>交流。</w:t>
      </w:r>
    </w:p>
    <w:p>
      <w:pPr>
        <w:pStyle w:val="89"/>
        <w:numPr>
          <w:ilvl w:val="0"/>
          <w:numId w:val="23"/>
        </w:numPr>
        <w:autoSpaceDE w:val="0"/>
        <w:autoSpaceDN w:val="0"/>
        <w:adjustRightInd w:val="0"/>
        <w:spacing w:line="360" w:lineRule="auto"/>
        <w:ind w:left="0" w:firstLine="482" w:firstLineChars="0"/>
        <w:jc w:val="left"/>
        <w:rPr>
          <w:rFonts w:asciiTheme="minorEastAsia" w:hAnsiTheme="minorEastAsia" w:eastAsia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olor w:val="000000" w:themeColor="text1"/>
          <w:kern w:val="2"/>
          <w:sz w:val="21"/>
          <w:szCs w:val="21"/>
          <w14:textFill>
            <w14:solidFill>
              <w14:schemeClr w14:val="tx1"/>
            </w14:solidFill>
          </w14:textFill>
        </w:rPr>
        <w:t>智能采集器内置</w:t>
      </w:r>
      <w:r>
        <w:rPr>
          <w:rFonts w:asciiTheme="minorEastAsia" w:hAnsiTheme="minorEastAsia" w:eastAsiaTheme="minorEastAsia"/>
          <w:color w:val="000000" w:themeColor="text1"/>
          <w:kern w:val="2"/>
          <w:sz w:val="21"/>
          <w:szCs w:val="21"/>
          <w14:textFill>
            <w14:solidFill>
              <w14:schemeClr w14:val="tx1"/>
            </w14:solidFill>
          </w14:textFill>
        </w:rPr>
        <w:t>linux</w:t>
      </w:r>
      <w:r>
        <w:rPr>
          <w:rFonts w:hint="eastAsia" w:asciiTheme="minorEastAsia" w:hAnsiTheme="minorEastAsia" w:eastAsiaTheme="minorEastAsia"/>
          <w:color w:val="000000" w:themeColor="text1"/>
          <w:kern w:val="2"/>
          <w:sz w:val="21"/>
          <w:szCs w:val="21"/>
          <w14:textFill>
            <w14:solidFill>
              <w14:schemeClr w14:val="tx1"/>
            </w14:solidFill>
          </w14:textFill>
        </w:rPr>
        <w:t>系统，支撑远程升级和加载运行程序。</w:t>
      </w:r>
    </w:p>
    <w:p>
      <w:pPr>
        <w:pStyle w:val="89"/>
        <w:numPr>
          <w:ilvl w:val="0"/>
          <w:numId w:val="23"/>
        </w:numPr>
        <w:autoSpaceDE w:val="0"/>
        <w:autoSpaceDN w:val="0"/>
        <w:adjustRightInd w:val="0"/>
        <w:spacing w:line="360" w:lineRule="auto"/>
        <w:ind w:left="0" w:firstLine="482" w:firstLineChars="0"/>
        <w:jc w:val="left"/>
        <w:rPr>
          <w:rFonts w:asciiTheme="minorEastAsia" w:hAnsiTheme="minorEastAsia" w:eastAsiaTheme="minorEastAsia"/>
          <w:color w:val="000000" w:themeColor="text1"/>
          <w:kern w:val="2"/>
          <w:sz w:val="21"/>
          <w:szCs w:val="21"/>
          <w14:textFill>
            <w14:solidFill>
              <w14:schemeClr w14:val="tx1"/>
            </w14:solidFill>
          </w14:textFill>
        </w:rPr>
      </w:pPr>
      <w:bookmarkStart w:id="44" w:name="_Hlk59608721"/>
      <w:r>
        <w:rPr>
          <w:rFonts w:hint="eastAsia" w:asciiTheme="minorEastAsia" w:hAnsiTheme="minorEastAsia" w:eastAsiaTheme="minorEastAsia"/>
          <w:color w:val="000000" w:themeColor="text1"/>
          <w:kern w:val="2"/>
          <w:sz w:val="21"/>
          <w:szCs w:val="21"/>
          <w14:textFill>
            <w14:solidFill>
              <w14:schemeClr w14:val="tx1"/>
            </w14:solidFill>
          </w14:textFill>
        </w:rPr>
        <w:t>支持</w:t>
      </w:r>
      <w:r>
        <w:rPr>
          <w:rFonts w:asciiTheme="minorEastAsia" w:hAnsiTheme="minorEastAsia" w:eastAsiaTheme="minorEastAsia"/>
          <w:color w:val="000000" w:themeColor="text1"/>
          <w:kern w:val="2"/>
          <w:sz w:val="21"/>
          <w:szCs w:val="21"/>
          <w14:textFill>
            <w14:solidFill>
              <w14:schemeClr w14:val="tx1"/>
            </w14:solidFill>
          </w14:textFill>
        </w:rPr>
        <w:t>DC48V</w:t>
      </w:r>
      <w:r>
        <w:rPr>
          <w:rFonts w:hint="eastAsia" w:asciiTheme="minorEastAsia" w:hAnsiTheme="minorEastAsia" w:eastAsiaTheme="minorEastAsia"/>
          <w:color w:val="000000" w:themeColor="text1"/>
          <w:kern w:val="2"/>
          <w:sz w:val="21"/>
          <w:szCs w:val="21"/>
          <w14:textFill>
            <w14:solidFill>
              <w14:schemeClr w14:val="tx1"/>
            </w14:solidFill>
          </w14:textFill>
        </w:rPr>
        <w:t>或</w:t>
      </w:r>
      <w:r>
        <w:rPr>
          <w:rFonts w:asciiTheme="minorEastAsia" w:hAnsiTheme="minorEastAsia" w:eastAsiaTheme="minorEastAsia"/>
          <w:color w:val="000000" w:themeColor="text1"/>
          <w:kern w:val="2"/>
          <w:sz w:val="21"/>
          <w:szCs w:val="21"/>
          <w14:textFill>
            <w14:solidFill>
              <w14:schemeClr w14:val="tx1"/>
            </w14:solidFill>
          </w14:textFill>
        </w:rPr>
        <w:t>AC220V</w:t>
      </w:r>
      <w:r>
        <w:rPr>
          <w:rFonts w:hint="eastAsia" w:asciiTheme="minorEastAsia" w:hAnsiTheme="minorEastAsia" w:eastAsiaTheme="minorEastAsia"/>
          <w:color w:val="000000" w:themeColor="text1"/>
          <w:kern w:val="2"/>
          <w:sz w:val="21"/>
          <w:szCs w:val="21"/>
          <w14:textFill>
            <w14:solidFill>
              <w14:schemeClr w14:val="tx1"/>
            </w14:solidFill>
          </w14:textFill>
        </w:rPr>
        <w:t>、</w:t>
      </w:r>
      <w:r>
        <w:rPr>
          <w:rFonts w:asciiTheme="minorEastAsia" w:hAnsiTheme="minorEastAsia" w:eastAsiaTheme="minorEastAsia"/>
          <w:color w:val="000000" w:themeColor="text1"/>
          <w:kern w:val="2"/>
          <w:sz w:val="21"/>
          <w:szCs w:val="21"/>
          <w14:textFill>
            <w14:solidFill>
              <w14:schemeClr w14:val="tx1"/>
            </w14:solidFill>
          </w14:textFill>
        </w:rPr>
        <w:t>DC240V</w:t>
      </w:r>
      <w:r>
        <w:rPr>
          <w:rFonts w:hint="eastAsia" w:asciiTheme="minorEastAsia" w:hAnsiTheme="minorEastAsia" w:eastAsiaTheme="minorEastAsia"/>
          <w:color w:val="000000" w:themeColor="text1"/>
          <w:kern w:val="2"/>
          <w:sz w:val="21"/>
          <w:szCs w:val="21"/>
          <w14:textFill>
            <w14:solidFill>
              <w14:schemeClr w14:val="tx1"/>
            </w14:solidFill>
          </w14:textFill>
        </w:rPr>
        <w:t>供电。</w:t>
      </w:r>
    </w:p>
    <w:bookmarkEnd w:id="44"/>
    <w:p>
      <w:pPr>
        <w:pStyle w:val="89"/>
        <w:numPr>
          <w:ilvl w:val="0"/>
          <w:numId w:val="23"/>
        </w:numPr>
        <w:autoSpaceDE w:val="0"/>
        <w:autoSpaceDN w:val="0"/>
        <w:adjustRightInd w:val="0"/>
        <w:spacing w:line="360" w:lineRule="auto"/>
        <w:ind w:left="0" w:firstLine="482" w:firstLineChars="0"/>
        <w:jc w:val="left"/>
        <w:rPr>
          <w:rFonts w:asciiTheme="minorEastAsia" w:hAnsiTheme="minorEastAsia" w:eastAsiaTheme="minorEastAsia"/>
          <w:color w:val="000000" w:themeColor="text1"/>
          <w:kern w:val="2"/>
          <w:sz w:val="21"/>
          <w:szCs w:val="21"/>
          <w14:textFill>
            <w14:solidFill>
              <w14:schemeClr w14:val="tx1"/>
            </w14:solidFill>
          </w14:textFill>
        </w:rPr>
      </w:pPr>
      <w:r>
        <w:rPr>
          <w:rFonts w:asciiTheme="minorEastAsia" w:hAnsiTheme="minorEastAsia" w:eastAsiaTheme="minorEastAsia"/>
          <w:color w:val="000000" w:themeColor="text1"/>
          <w:kern w:val="2"/>
          <w:sz w:val="21"/>
          <w:szCs w:val="21"/>
          <w14:textFill>
            <w14:solidFill>
              <w14:schemeClr w14:val="tx1"/>
            </w14:solidFill>
          </w14:textFill>
        </w:rPr>
        <w:t>CPU</w:t>
      </w:r>
      <w:r>
        <w:rPr>
          <w:rFonts w:hint="eastAsia" w:asciiTheme="minorEastAsia" w:hAnsiTheme="minorEastAsia" w:eastAsiaTheme="minorEastAsia"/>
          <w:color w:val="000000" w:themeColor="text1"/>
          <w:kern w:val="2"/>
          <w:sz w:val="21"/>
          <w:szCs w:val="21"/>
          <w14:textFill>
            <w14:solidFill>
              <w14:schemeClr w14:val="tx1"/>
            </w14:solidFill>
          </w14:textFill>
        </w:rPr>
        <w:t>处理能力：在正常状态下，</w:t>
      </w:r>
      <w:r>
        <w:rPr>
          <w:rFonts w:asciiTheme="minorEastAsia" w:hAnsiTheme="minorEastAsia" w:eastAsiaTheme="minorEastAsia"/>
          <w:color w:val="000000" w:themeColor="text1"/>
          <w:kern w:val="2"/>
          <w:sz w:val="21"/>
          <w:szCs w:val="21"/>
          <w14:textFill>
            <w14:solidFill>
              <w14:schemeClr w14:val="tx1"/>
            </w14:solidFill>
          </w14:textFill>
        </w:rPr>
        <w:t>CPU</w:t>
      </w:r>
      <w:r>
        <w:rPr>
          <w:rFonts w:hint="eastAsia" w:asciiTheme="minorEastAsia" w:hAnsiTheme="minorEastAsia" w:eastAsiaTheme="minorEastAsia"/>
          <w:color w:val="000000" w:themeColor="text1"/>
          <w:kern w:val="2"/>
          <w:sz w:val="21"/>
          <w:szCs w:val="21"/>
          <w14:textFill>
            <w14:solidFill>
              <w14:schemeClr w14:val="tx1"/>
            </w14:solidFill>
          </w14:textFill>
        </w:rPr>
        <w:t>占用率不应超过</w:t>
      </w:r>
      <w:r>
        <w:rPr>
          <w:rFonts w:asciiTheme="minorEastAsia" w:hAnsiTheme="minorEastAsia" w:eastAsiaTheme="minorEastAsia"/>
          <w:color w:val="000000" w:themeColor="text1"/>
          <w:kern w:val="2"/>
          <w:sz w:val="21"/>
          <w:szCs w:val="21"/>
          <w14:textFill>
            <w14:solidFill>
              <w14:schemeClr w14:val="tx1"/>
            </w14:solidFill>
          </w14:textFill>
        </w:rPr>
        <w:t>60%</w:t>
      </w:r>
      <w:r>
        <w:rPr>
          <w:rFonts w:hint="eastAsia" w:asciiTheme="minorEastAsia" w:hAnsiTheme="minorEastAsia" w:eastAsiaTheme="minorEastAsia"/>
          <w:color w:val="000000" w:themeColor="text1"/>
          <w:kern w:val="2"/>
          <w:sz w:val="21"/>
          <w:szCs w:val="21"/>
          <w14:textFill>
            <w14:solidFill>
              <w14:schemeClr w14:val="tx1"/>
            </w14:solidFill>
          </w14:textFill>
        </w:rPr>
        <w:t>，内存（</w:t>
      </w:r>
      <w:r>
        <w:rPr>
          <w:rFonts w:asciiTheme="minorEastAsia" w:hAnsiTheme="minorEastAsia" w:eastAsiaTheme="minorEastAsia"/>
          <w:color w:val="000000" w:themeColor="text1"/>
          <w:kern w:val="2"/>
          <w:sz w:val="21"/>
          <w:szCs w:val="21"/>
          <w14:textFill>
            <w14:solidFill>
              <w14:schemeClr w14:val="tx1"/>
            </w14:solidFill>
          </w14:textFill>
        </w:rPr>
        <w:t>RAM</w:t>
      </w:r>
      <w:r>
        <w:rPr>
          <w:rFonts w:hint="eastAsia" w:asciiTheme="minorEastAsia" w:hAnsiTheme="minorEastAsia" w:eastAsiaTheme="minorEastAsia"/>
          <w:color w:val="000000" w:themeColor="text1"/>
          <w:kern w:val="2"/>
          <w:sz w:val="21"/>
          <w:szCs w:val="21"/>
          <w14:textFill>
            <w14:solidFill>
              <w14:schemeClr w14:val="tx1"/>
            </w14:solidFill>
          </w14:textFill>
        </w:rPr>
        <w:t>）占用率不应超过</w:t>
      </w:r>
      <w:r>
        <w:rPr>
          <w:rFonts w:asciiTheme="minorEastAsia" w:hAnsiTheme="minorEastAsia" w:eastAsiaTheme="minorEastAsia"/>
          <w:color w:val="000000" w:themeColor="text1"/>
          <w:kern w:val="2"/>
          <w:sz w:val="21"/>
          <w:szCs w:val="21"/>
          <w14:textFill>
            <w14:solidFill>
              <w14:schemeClr w14:val="tx1"/>
            </w14:solidFill>
          </w14:textFill>
        </w:rPr>
        <w:t>60%</w:t>
      </w:r>
      <w:r>
        <w:rPr>
          <w:rFonts w:hint="eastAsia" w:asciiTheme="minorEastAsia" w:hAnsiTheme="minorEastAsia" w:eastAsiaTheme="minorEastAsia"/>
          <w:color w:val="000000" w:themeColor="text1"/>
          <w:kern w:val="2"/>
          <w:sz w:val="21"/>
          <w:szCs w:val="21"/>
          <w14:textFill>
            <w14:solidFill>
              <w14:schemeClr w14:val="tx1"/>
            </w14:solidFill>
          </w14:textFill>
        </w:rPr>
        <w:t>；在最大进程运行状态下，</w:t>
      </w:r>
      <w:r>
        <w:rPr>
          <w:rFonts w:asciiTheme="minorEastAsia" w:hAnsiTheme="minorEastAsia" w:eastAsiaTheme="minorEastAsia"/>
          <w:color w:val="000000" w:themeColor="text1"/>
          <w:kern w:val="2"/>
          <w:sz w:val="21"/>
          <w:szCs w:val="21"/>
          <w14:textFill>
            <w14:solidFill>
              <w14:schemeClr w14:val="tx1"/>
            </w14:solidFill>
          </w14:textFill>
        </w:rPr>
        <w:t>CPU</w:t>
      </w:r>
      <w:r>
        <w:rPr>
          <w:rFonts w:hint="eastAsia" w:asciiTheme="minorEastAsia" w:hAnsiTheme="minorEastAsia" w:eastAsiaTheme="minorEastAsia"/>
          <w:color w:val="000000" w:themeColor="text1"/>
          <w:kern w:val="2"/>
          <w:sz w:val="21"/>
          <w:szCs w:val="21"/>
          <w14:textFill>
            <w14:solidFill>
              <w14:schemeClr w14:val="tx1"/>
            </w14:solidFill>
          </w14:textFill>
        </w:rPr>
        <w:t>占用率不应超过</w:t>
      </w:r>
      <w:r>
        <w:rPr>
          <w:rFonts w:asciiTheme="minorEastAsia" w:hAnsiTheme="minorEastAsia" w:eastAsiaTheme="minorEastAsia"/>
          <w:color w:val="000000" w:themeColor="text1"/>
          <w:kern w:val="2"/>
          <w:sz w:val="21"/>
          <w:szCs w:val="21"/>
          <w14:textFill>
            <w14:solidFill>
              <w14:schemeClr w14:val="tx1"/>
            </w14:solidFill>
          </w14:textFill>
        </w:rPr>
        <w:t>80%</w:t>
      </w:r>
      <w:r>
        <w:rPr>
          <w:rFonts w:hint="eastAsia" w:asciiTheme="minorEastAsia" w:hAnsiTheme="minorEastAsia" w:eastAsiaTheme="minorEastAsia"/>
          <w:color w:val="000000" w:themeColor="text1"/>
          <w:kern w:val="2"/>
          <w:sz w:val="21"/>
          <w:szCs w:val="21"/>
          <w14:textFill>
            <w14:solidFill>
              <w14:schemeClr w14:val="tx1"/>
            </w14:solidFill>
          </w14:textFill>
        </w:rPr>
        <w:t>，内存（</w:t>
      </w:r>
      <w:r>
        <w:rPr>
          <w:rFonts w:asciiTheme="minorEastAsia" w:hAnsiTheme="minorEastAsia" w:eastAsiaTheme="minorEastAsia"/>
          <w:color w:val="000000" w:themeColor="text1"/>
          <w:kern w:val="2"/>
          <w:sz w:val="21"/>
          <w:szCs w:val="21"/>
          <w14:textFill>
            <w14:solidFill>
              <w14:schemeClr w14:val="tx1"/>
            </w14:solidFill>
          </w14:textFill>
        </w:rPr>
        <w:t>RAM</w:t>
      </w:r>
      <w:r>
        <w:rPr>
          <w:rFonts w:hint="eastAsia" w:asciiTheme="minorEastAsia" w:hAnsiTheme="minorEastAsia" w:eastAsiaTheme="minorEastAsia"/>
          <w:color w:val="000000" w:themeColor="text1"/>
          <w:kern w:val="2"/>
          <w:sz w:val="21"/>
          <w:szCs w:val="21"/>
          <w14:textFill>
            <w14:solidFill>
              <w14:schemeClr w14:val="tx1"/>
            </w14:solidFill>
          </w14:textFill>
        </w:rPr>
        <w:t>）占用率不应超过</w:t>
      </w:r>
      <w:r>
        <w:rPr>
          <w:rFonts w:asciiTheme="minorEastAsia" w:hAnsiTheme="minorEastAsia" w:eastAsiaTheme="minorEastAsia"/>
          <w:color w:val="000000" w:themeColor="text1"/>
          <w:kern w:val="2"/>
          <w:sz w:val="21"/>
          <w:szCs w:val="21"/>
          <w14:textFill>
            <w14:solidFill>
              <w14:schemeClr w14:val="tx1"/>
            </w14:solidFill>
          </w14:textFill>
        </w:rPr>
        <w:t>80%</w:t>
      </w:r>
      <w:r>
        <w:rPr>
          <w:rFonts w:hint="eastAsia" w:asciiTheme="minorEastAsia" w:hAnsiTheme="minorEastAsia" w:eastAsiaTheme="minorEastAsia"/>
          <w:color w:val="000000" w:themeColor="text1"/>
          <w:kern w:val="2"/>
          <w:sz w:val="21"/>
          <w:szCs w:val="21"/>
          <w14:textFill>
            <w14:solidFill>
              <w14:schemeClr w14:val="tx1"/>
            </w14:solidFill>
          </w14:textFill>
        </w:rPr>
        <w:t>；</w:t>
      </w:r>
    </w:p>
    <w:p>
      <w:pPr>
        <w:pStyle w:val="89"/>
        <w:numPr>
          <w:ilvl w:val="0"/>
          <w:numId w:val="23"/>
        </w:numPr>
        <w:autoSpaceDE w:val="0"/>
        <w:autoSpaceDN w:val="0"/>
        <w:adjustRightInd w:val="0"/>
        <w:spacing w:line="360" w:lineRule="auto"/>
        <w:ind w:left="0" w:firstLine="482" w:firstLineChars="0"/>
        <w:jc w:val="left"/>
        <w:rPr>
          <w:rFonts w:asciiTheme="minorEastAsia" w:hAnsiTheme="minorEastAsia" w:eastAsia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olor w:val="000000" w:themeColor="text1"/>
          <w:kern w:val="2"/>
          <w:sz w:val="21"/>
          <w:szCs w:val="21"/>
          <w14:textFill>
            <w14:solidFill>
              <w14:schemeClr w14:val="tx1"/>
            </w14:solidFill>
          </w14:textFill>
        </w:rPr>
        <w:t>根据配套提供的调测软件，与连接的便携机或</w:t>
      </w:r>
      <w:r>
        <w:rPr>
          <w:rFonts w:asciiTheme="minorEastAsia" w:hAnsiTheme="minorEastAsia" w:eastAsiaTheme="minorEastAsia"/>
          <w:color w:val="000000" w:themeColor="text1"/>
          <w:kern w:val="2"/>
          <w:sz w:val="21"/>
          <w:szCs w:val="21"/>
          <w14:textFill>
            <w14:solidFill>
              <w14:schemeClr w14:val="tx1"/>
            </w14:solidFill>
          </w14:textFill>
        </w:rPr>
        <w:t>PC</w:t>
      </w:r>
      <w:r>
        <w:rPr>
          <w:rFonts w:hint="eastAsia" w:asciiTheme="minorEastAsia" w:hAnsiTheme="minorEastAsia" w:eastAsiaTheme="minorEastAsia"/>
          <w:color w:val="000000" w:themeColor="text1"/>
          <w:kern w:val="2"/>
          <w:sz w:val="21"/>
          <w:szCs w:val="21"/>
          <w14:textFill>
            <w14:solidFill>
              <w14:schemeClr w14:val="tx1"/>
            </w14:solidFill>
          </w14:textFill>
        </w:rPr>
        <w:t>计算机的接口，通过接口能够进行调测和基本操作；</w:t>
      </w:r>
    </w:p>
    <w:p>
      <w:pPr>
        <w:pStyle w:val="89"/>
        <w:numPr>
          <w:ilvl w:val="0"/>
          <w:numId w:val="23"/>
        </w:numPr>
        <w:autoSpaceDE w:val="0"/>
        <w:autoSpaceDN w:val="0"/>
        <w:adjustRightInd w:val="0"/>
        <w:spacing w:line="360" w:lineRule="auto"/>
        <w:ind w:left="0" w:firstLine="482" w:firstLineChars="0"/>
        <w:jc w:val="left"/>
        <w:rPr>
          <w:rFonts w:asciiTheme="minorEastAsia" w:hAnsiTheme="minorEastAsia" w:eastAsia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olor w:val="000000" w:themeColor="text1"/>
          <w:kern w:val="2"/>
          <w:sz w:val="21"/>
          <w:szCs w:val="21"/>
          <w14:textFill>
            <w14:solidFill>
              <w14:schemeClr w14:val="tx1"/>
            </w14:solidFill>
          </w14:textFill>
        </w:rPr>
        <w:t>存储能力：采集器的</w:t>
      </w:r>
      <w:r>
        <w:rPr>
          <w:rFonts w:asciiTheme="minorEastAsia" w:hAnsiTheme="minorEastAsia" w:eastAsiaTheme="minorEastAsia"/>
          <w:color w:val="000000" w:themeColor="text1"/>
          <w:kern w:val="2"/>
          <w:sz w:val="21"/>
          <w:szCs w:val="21"/>
          <w14:textFill>
            <w14:solidFill>
              <w14:schemeClr w14:val="tx1"/>
            </w14:solidFill>
          </w14:textFill>
        </w:rPr>
        <w:t>ROM</w:t>
      </w:r>
      <w:r>
        <w:rPr>
          <w:rFonts w:hint="eastAsia" w:asciiTheme="minorEastAsia" w:hAnsiTheme="minorEastAsia" w:eastAsiaTheme="minorEastAsia"/>
          <w:color w:val="000000" w:themeColor="text1"/>
          <w:kern w:val="2"/>
          <w:sz w:val="21"/>
          <w:szCs w:val="21"/>
          <w14:textFill>
            <w14:solidFill>
              <w14:schemeClr w14:val="tx1"/>
            </w14:solidFill>
          </w14:textFill>
        </w:rPr>
        <w:t>和</w:t>
      </w:r>
      <w:r>
        <w:rPr>
          <w:rFonts w:asciiTheme="minorEastAsia" w:hAnsiTheme="minorEastAsia" w:eastAsiaTheme="minorEastAsia"/>
          <w:color w:val="000000" w:themeColor="text1"/>
          <w:kern w:val="2"/>
          <w:sz w:val="21"/>
          <w:szCs w:val="21"/>
          <w14:textFill>
            <w14:solidFill>
              <w14:schemeClr w14:val="tx1"/>
            </w14:solidFill>
          </w14:textFill>
        </w:rPr>
        <w:t>RAM</w:t>
      </w:r>
      <w:r>
        <w:rPr>
          <w:rFonts w:hint="eastAsia" w:asciiTheme="minorEastAsia" w:hAnsiTheme="minorEastAsia" w:eastAsiaTheme="minorEastAsia"/>
          <w:color w:val="000000" w:themeColor="text1"/>
          <w:kern w:val="2"/>
          <w:sz w:val="21"/>
          <w:szCs w:val="21"/>
          <w14:textFill>
            <w14:solidFill>
              <w14:schemeClr w14:val="tx1"/>
            </w14:solidFill>
          </w14:textFill>
        </w:rPr>
        <w:t>应大于</w:t>
      </w:r>
      <w:r>
        <w:rPr>
          <w:rFonts w:asciiTheme="minorEastAsia" w:hAnsiTheme="minorEastAsia" w:eastAsiaTheme="minorEastAsia"/>
          <w:color w:val="000000" w:themeColor="text1"/>
          <w:kern w:val="2"/>
          <w:sz w:val="21"/>
          <w:szCs w:val="21"/>
          <w14:textFill>
            <w14:solidFill>
              <w14:schemeClr w14:val="tx1"/>
            </w14:solidFill>
          </w14:textFill>
        </w:rPr>
        <w:t>128M</w:t>
      </w:r>
      <w:r>
        <w:rPr>
          <w:rFonts w:hint="eastAsia" w:asciiTheme="minorEastAsia" w:hAnsiTheme="minorEastAsia" w:eastAsiaTheme="minorEastAsia"/>
          <w:color w:val="000000" w:themeColor="text1"/>
          <w:kern w:val="2"/>
          <w:sz w:val="21"/>
          <w:szCs w:val="21"/>
          <w14:textFill>
            <w14:solidFill>
              <w14:schemeClr w14:val="tx1"/>
            </w14:solidFill>
          </w14:textFill>
        </w:rPr>
        <w:t>，并支持拓展存储卡。存储本地数据的时间不少于</w:t>
      </w:r>
      <w:r>
        <w:rPr>
          <w:rFonts w:asciiTheme="minorEastAsia" w:hAnsiTheme="minorEastAsia" w:eastAsiaTheme="minorEastAsia"/>
          <w:color w:val="000000" w:themeColor="text1"/>
          <w:kern w:val="2"/>
          <w:sz w:val="21"/>
          <w:szCs w:val="21"/>
          <w14:textFill>
            <w14:solidFill>
              <w14:schemeClr w14:val="tx1"/>
            </w14:solidFill>
          </w14:textFill>
        </w:rPr>
        <w:t>15</w:t>
      </w:r>
      <w:r>
        <w:rPr>
          <w:rFonts w:hint="eastAsia" w:asciiTheme="minorEastAsia" w:hAnsiTheme="minorEastAsia" w:eastAsiaTheme="minorEastAsia"/>
          <w:color w:val="000000" w:themeColor="text1"/>
          <w:kern w:val="2"/>
          <w:sz w:val="21"/>
          <w:szCs w:val="21"/>
          <w14:textFill>
            <w14:solidFill>
              <w14:schemeClr w14:val="tx1"/>
            </w14:solidFill>
          </w14:textFill>
        </w:rPr>
        <w:t>天，可存储的告警量和开关量信息不少于</w:t>
      </w:r>
      <w:r>
        <w:rPr>
          <w:rFonts w:asciiTheme="minorEastAsia" w:hAnsiTheme="minorEastAsia" w:eastAsiaTheme="minorEastAsia"/>
          <w:color w:val="000000" w:themeColor="text1"/>
          <w:kern w:val="2"/>
          <w:sz w:val="21"/>
          <w:szCs w:val="21"/>
          <w14:textFill>
            <w14:solidFill>
              <w14:schemeClr w14:val="tx1"/>
            </w14:solidFill>
          </w14:textFill>
        </w:rPr>
        <w:t>300</w:t>
      </w:r>
      <w:r>
        <w:rPr>
          <w:rFonts w:hint="eastAsia" w:asciiTheme="minorEastAsia" w:hAnsiTheme="minorEastAsia" w:eastAsiaTheme="minorEastAsia"/>
          <w:color w:val="000000" w:themeColor="text1"/>
          <w:kern w:val="2"/>
          <w:sz w:val="21"/>
          <w:szCs w:val="21"/>
          <w14:textFill>
            <w14:solidFill>
              <w14:schemeClr w14:val="tx1"/>
            </w14:solidFill>
          </w14:textFill>
        </w:rPr>
        <w:t>条，模拟量信息不少于</w:t>
      </w:r>
      <w:r>
        <w:rPr>
          <w:rFonts w:asciiTheme="minorEastAsia" w:hAnsiTheme="minorEastAsia" w:eastAsiaTheme="minorEastAsia"/>
          <w:color w:val="000000" w:themeColor="text1"/>
          <w:kern w:val="2"/>
          <w:sz w:val="21"/>
          <w:szCs w:val="21"/>
          <w14:textFill>
            <w14:solidFill>
              <w14:schemeClr w14:val="tx1"/>
            </w14:solidFill>
          </w14:textFill>
        </w:rPr>
        <w:t>1500</w:t>
      </w:r>
      <w:r>
        <w:rPr>
          <w:rFonts w:hint="eastAsia" w:asciiTheme="minorEastAsia" w:hAnsiTheme="minorEastAsia" w:eastAsiaTheme="minorEastAsia"/>
          <w:color w:val="000000" w:themeColor="text1"/>
          <w:kern w:val="2"/>
          <w:sz w:val="21"/>
          <w:szCs w:val="21"/>
          <w14:textFill>
            <w14:solidFill>
              <w14:schemeClr w14:val="tx1"/>
            </w14:solidFill>
          </w14:textFill>
        </w:rPr>
        <w:t>条；</w:t>
      </w:r>
    </w:p>
    <w:p>
      <w:pPr>
        <w:pStyle w:val="89"/>
        <w:numPr>
          <w:ilvl w:val="0"/>
          <w:numId w:val="23"/>
        </w:numPr>
        <w:autoSpaceDE w:val="0"/>
        <w:autoSpaceDN w:val="0"/>
        <w:adjustRightInd w:val="0"/>
        <w:spacing w:line="360" w:lineRule="auto"/>
        <w:ind w:left="0" w:firstLine="482" w:firstLineChars="0"/>
        <w:jc w:val="left"/>
        <w:rPr>
          <w:rFonts w:asciiTheme="minorEastAsia" w:hAnsiTheme="minorEastAsia" w:eastAsia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olor w:val="000000" w:themeColor="text1"/>
          <w:kern w:val="2"/>
          <w:sz w:val="21"/>
          <w:szCs w:val="21"/>
          <w14:textFill>
            <w14:solidFill>
              <w14:schemeClr w14:val="tx1"/>
            </w14:solidFill>
          </w14:textFill>
        </w:rPr>
        <w:t>告警处理能力</w:t>
      </w:r>
      <w:r>
        <w:rPr>
          <w:rFonts w:asciiTheme="minorEastAsia" w:hAnsiTheme="minorEastAsia" w:eastAsiaTheme="minorEastAsia"/>
          <w:color w:val="000000" w:themeColor="text1"/>
          <w:kern w:val="2"/>
          <w:sz w:val="21"/>
          <w:szCs w:val="21"/>
          <w14:textFill>
            <w14:solidFill>
              <w14:schemeClr w14:val="tx1"/>
            </w14:solidFill>
          </w14:textFill>
        </w:rPr>
        <w:t>:</w:t>
      </w:r>
      <w:r>
        <w:rPr>
          <w:rFonts w:hint="eastAsia" w:asciiTheme="minorEastAsia" w:hAnsiTheme="minorEastAsia" w:eastAsiaTheme="minorEastAsia"/>
          <w:color w:val="000000" w:themeColor="text1"/>
          <w:kern w:val="2"/>
          <w:sz w:val="21"/>
          <w:szCs w:val="21"/>
          <w14:textFill>
            <w14:solidFill>
              <w14:schemeClr w14:val="tx1"/>
            </w14:solidFill>
          </w14:textFill>
        </w:rPr>
        <w:t>包括主次告警、告警屏蔽以及告警延时；</w:t>
      </w:r>
    </w:p>
    <w:p>
      <w:pPr>
        <w:pStyle w:val="89"/>
        <w:numPr>
          <w:ilvl w:val="0"/>
          <w:numId w:val="23"/>
        </w:numPr>
        <w:autoSpaceDE w:val="0"/>
        <w:autoSpaceDN w:val="0"/>
        <w:adjustRightInd w:val="0"/>
        <w:spacing w:line="360" w:lineRule="auto"/>
        <w:ind w:left="0" w:firstLine="482" w:firstLineChars="0"/>
        <w:jc w:val="left"/>
        <w:rPr>
          <w:rFonts w:asciiTheme="minorEastAsia" w:hAnsiTheme="minorEastAsia" w:eastAsia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olor w:val="000000" w:themeColor="text1"/>
          <w:kern w:val="2"/>
          <w:sz w:val="21"/>
          <w:szCs w:val="21"/>
          <w14:textFill>
            <w14:solidFill>
              <w14:schemeClr w14:val="tx1"/>
            </w14:solidFill>
          </w14:textFill>
        </w:rPr>
        <w:t>告警速度：从被检测设备告警变化开始计时，到现场监控采集器打包发送出告警的时间不大于</w:t>
      </w:r>
      <w:r>
        <w:rPr>
          <w:rFonts w:asciiTheme="minorEastAsia" w:hAnsiTheme="minorEastAsia" w:eastAsiaTheme="minorEastAsia"/>
          <w:color w:val="000000" w:themeColor="text1"/>
          <w:kern w:val="2"/>
          <w:sz w:val="21"/>
          <w:szCs w:val="21"/>
          <w14:textFill>
            <w14:solidFill>
              <w14:schemeClr w14:val="tx1"/>
            </w14:solidFill>
          </w14:textFill>
        </w:rPr>
        <w:t>7S</w:t>
      </w:r>
      <w:r>
        <w:rPr>
          <w:rFonts w:hint="eastAsia" w:asciiTheme="minorEastAsia" w:hAnsiTheme="minorEastAsia" w:eastAsiaTheme="minorEastAsia"/>
          <w:color w:val="000000" w:themeColor="text1"/>
          <w:kern w:val="2"/>
          <w:sz w:val="21"/>
          <w:szCs w:val="21"/>
          <w14:textFill>
            <w14:solidFill>
              <w14:schemeClr w14:val="tx1"/>
            </w14:solidFill>
          </w14:textFill>
        </w:rPr>
        <w:t>；</w:t>
      </w:r>
    </w:p>
    <w:p>
      <w:pPr>
        <w:pStyle w:val="89"/>
        <w:numPr>
          <w:ilvl w:val="0"/>
          <w:numId w:val="23"/>
        </w:numPr>
        <w:autoSpaceDE w:val="0"/>
        <w:autoSpaceDN w:val="0"/>
        <w:adjustRightInd w:val="0"/>
        <w:spacing w:line="360" w:lineRule="auto"/>
        <w:ind w:left="0" w:firstLine="482" w:firstLineChars="0"/>
        <w:jc w:val="left"/>
        <w:rPr>
          <w:rFonts w:asciiTheme="minorEastAsia" w:hAnsiTheme="minorEastAsia" w:eastAsia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olor w:val="000000" w:themeColor="text1"/>
          <w:kern w:val="2"/>
          <w:sz w:val="21"/>
          <w:szCs w:val="21"/>
          <w14:textFill>
            <w14:solidFill>
              <w14:schemeClr w14:val="tx1"/>
            </w14:solidFill>
          </w14:textFill>
        </w:rPr>
        <w:t>具有自动升级能力，能通过</w:t>
      </w:r>
      <w:r>
        <w:rPr>
          <w:rFonts w:asciiTheme="minorEastAsia" w:hAnsiTheme="minorEastAsia" w:eastAsiaTheme="minorEastAsia"/>
          <w:color w:val="000000" w:themeColor="text1"/>
          <w:kern w:val="2"/>
          <w:sz w:val="21"/>
          <w:szCs w:val="21"/>
          <w14:textFill>
            <w14:solidFill>
              <w14:schemeClr w14:val="tx1"/>
            </w14:solidFill>
          </w14:textFill>
        </w:rPr>
        <w:t>FTP</w:t>
      </w:r>
      <w:r>
        <w:rPr>
          <w:rFonts w:hint="eastAsia" w:asciiTheme="minorEastAsia" w:hAnsiTheme="minorEastAsia" w:eastAsiaTheme="minorEastAsia"/>
          <w:color w:val="000000" w:themeColor="text1"/>
          <w:kern w:val="2"/>
          <w:sz w:val="21"/>
          <w:szCs w:val="21"/>
          <w14:textFill>
            <w14:solidFill>
              <w14:schemeClr w14:val="tx1"/>
            </w14:solidFill>
          </w14:textFill>
        </w:rPr>
        <w:t>和</w:t>
      </w:r>
      <w:r>
        <w:rPr>
          <w:rFonts w:asciiTheme="minorEastAsia" w:hAnsiTheme="minorEastAsia" w:eastAsiaTheme="minorEastAsia"/>
          <w:color w:val="000000" w:themeColor="text1"/>
          <w:kern w:val="2"/>
          <w:sz w:val="21"/>
          <w:szCs w:val="21"/>
          <w14:textFill>
            <w14:solidFill>
              <w14:schemeClr w14:val="tx1"/>
            </w14:solidFill>
          </w14:textFill>
        </w:rPr>
        <w:t>USB</w:t>
      </w:r>
      <w:r>
        <w:rPr>
          <w:rFonts w:hint="eastAsia" w:asciiTheme="minorEastAsia" w:hAnsiTheme="minorEastAsia" w:eastAsiaTheme="minorEastAsia"/>
          <w:color w:val="000000" w:themeColor="text1"/>
          <w:kern w:val="2"/>
          <w:sz w:val="21"/>
          <w:szCs w:val="21"/>
          <w14:textFill>
            <w14:solidFill>
              <w14:schemeClr w14:val="tx1"/>
            </w14:solidFill>
          </w14:textFill>
        </w:rPr>
        <w:t>接口向采集器上传采集文件后，重启能自动升级完成。</w:t>
      </w:r>
    </w:p>
    <w:p>
      <w:pPr>
        <w:pStyle w:val="89"/>
        <w:numPr>
          <w:ilvl w:val="0"/>
          <w:numId w:val="23"/>
        </w:numPr>
        <w:autoSpaceDE w:val="0"/>
        <w:autoSpaceDN w:val="0"/>
        <w:adjustRightInd w:val="0"/>
        <w:spacing w:line="360" w:lineRule="auto"/>
        <w:ind w:left="0" w:firstLine="482" w:firstLineChars="0"/>
        <w:jc w:val="left"/>
        <w:rPr>
          <w:rFonts w:asciiTheme="minorEastAsia" w:hAnsiTheme="minorEastAsia" w:eastAsia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olor w:val="000000" w:themeColor="text1"/>
          <w:kern w:val="2"/>
          <w:sz w:val="21"/>
          <w:szCs w:val="21"/>
          <w14:textFill>
            <w14:solidFill>
              <w14:schemeClr w14:val="tx1"/>
            </w14:solidFill>
          </w14:textFill>
        </w:rPr>
        <w:t>具有底端逻辑控制功能，可根据被监控设备和环境状态，采取相应的控制策略，通过接口或</w:t>
      </w:r>
      <w:r>
        <w:rPr>
          <w:rFonts w:asciiTheme="minorEastAsia" w:hAnsiTheme="minorEastAsia" w:eastAsiaTheme="minorEastAsia"/>
          <w:color w:val="000000" w:themeColor="text1"/>
          <w:kern w:val="2"/>
          <w:sz w:val="21"/>
          <w:szCs w:val="21"/>
          <w14:textFill>
            <w14:solidFill>
              <w14:schemeClr w14:val="tx1"/>
            </w14:solidFill>
          </w14:textFill>
        </w:rPr>
        <w:t>DO</w:t>
      </w:r>
      <w:r>
        <w:rPr>
          <w:rFonts w:hint="eastAsia" w:asciiTheme="minorEastAsia" w:hAnsiTheme="minorEastAsia" w:eastAsiaTheme="minorEastAsia"/>
          <w:color w:val="000000" w:themeColor="text1"/>
          <w:kern w:val="2"/>
          <w:sz w:val="21"/>
          <w:szCs w:val="21"/>
          <w14:textFill>
            <w14:solidFill>
              <w14:schemeClr w14:val="tx1"/>
            </w14:solidFill>
          </w14:textFill>
        </w:rPr>
        <w:t>接口对监控对象下达控制命令；应用于空调节能管理、电源节能管理、联动防盗等方面应用；</w:t>
      </w:r>
    </w:p>
    <w:p>
      <w:pPr>
        <w:pStyle w:val="89"/>
        <w:numPr>
          <w:ilvl w:val="0"/>
          <w:numId w:val="23"/>
        </w:numPr>
        <w:autoSpaceDE w:val="0"/>
        <w:autoSpaceDN w:val="0"/>
        <w:adjustRightInd w:val="0"/>
        <w:spacing w:line="360" w:lineRule="auto"/>
        <w:ind w:left="0" w:firstLine="482" w:firstLineChars="0"/>
        <w:jc w:val="left"/>
        <w:rPr>
          <w:rFonts w:asciiTheme="minorEastAsia" w:hAnsiTheme="minorEastAsia" w:eastAsia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olor w:val="000000" w:themeColor="text1"/>
          <w:kern w:val="2"/>
          <w:sz w:val="21"/>
          <w:szCs w:val="21"/>
          <w14:textFill>
            <w14:solidFill>
              <w14:schemeClr w14:val="tx1"/>
            </w14:solidFill>
          </w14:textFill>
        </w:rPr>
        <w:t>要求全端口高标准防雷，所有端口内置防雷器，防雷标准应满足：</w:t>
      </w:r>
    </w:p>
    <w:tbl>
      <w:tblPr>
        <w:tblStyle w:val="53"/>
        <w:tblW w:w="68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75"/>
        <w:gridCol w:w="1276"/>
        <w:gridCol w:w="1276"/>
        <w:gridCol w:w="1560"/>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6" w:hRule="atLeast"/>
          <w:jc w:val="center"/>
        </w:trPr>
        <w:tc>
          <w:tcPr>
            <w:tcW w:w="1275" w:type="dxa"/>
            <w:vAlign w:val="center"/>
          </w:tcPr>
          <w:p>
            <w:pPr>
              <w:pStyle w:val="89"/>
              <w:ind w:firstLine="0" w:firstLineChars="0"/>
              <w:jc w:val="center"/>
              <w:rPr>
                <w:rFonts w:asciiTheme="minorEastAsia" w:hAnsiTheme="minorEastAsia" w:eastAsia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olor w:val="000000" w:themeColor="text1"/>
                <w:kern w:val="2"/>
                <w:sz w:val="21"/>
                <w:szCs w:val="21"/>
                <w14:textFill>
                  <w14:solidFill>
                    <w14:schemeClr w14:val="tx1"/>
                  </w14:solidFill>
                </w14:textFill>
              </w:rPr>
              <w:t>试验端口</w:t>
            </w:r>
          </w:p>
          <w:p>
            <w:pPr>
              <w:pStyle w:val="89"/>
              <w:ind w:firstLine="0" w:firstLineChars="0"/>
              <w:jc w:val="center"/>
              <w:rPr>
                <w:rFonts w:asciiTheme="minorEastAsia" w:hAnsiTheme="minorEastAsia" w:eastAsia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olor w:val="000000" w:themeColor="text1"/>
                <w:kern w:val="2"/>
                <w:sz w:val="21"/>
                <w:szCs w:val="21"/>
                <w14:textFill>
                  <w14:solidFill>
                    <w14:schemeClr w14:val="tx1"/>
                  </w14:solidFill>
                </w14:textFill>
              </w:rPr>
              <w:t>开路试验</w:t>
            </w:r>
          </w:p>
        </w:tc>
        <w:tc>
          <w:tcPr>
            <w:tcW w:w="1276" w:type="dxa"/>
            <w:vAlign w:val="center"/>
          </w:tcPr>
          <w:p>
            <w:pPr>
              <w:ind w:firstLine="360"/>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电源输入口</w:t>
            </w:r>
          </w:p>
        </w:tc>
        <w:tc>
          <w:tcPr>
            <w:tcW w:w="1276" w:type="dxa"/>
            <w:vAlign w:val="center"/>
          </w:tcPr>
          <w:p>
            <w:pPr>
              <w:ind w:firstLine="360"/>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串口</w:t>
            </w:r>
          </w:p>
        </w:tc>
        <w:tc>
          <w:tcPr>
            <w:tcW w:w="1560" w:type="dxa"/>
            <w:vAlign w:val="center"/>
          </w:tcPr>
          <w:p>
            <w:pPr>
              <w:ind w:firstLine="360"/>
              <w:jc w:val="center"/>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IO</w:t>
            </w:r>
            <w:r>
              <w:rPr>
                <w:rFonts w:hint="eastAsia" w:asciiTheme="minorEastAsia" w:hAnsiTheme="minorEastAsia" w:eastAsiaTheme="minorEastAsia"/>
                <w:color w:val="000000" w:themeColor="text1"/>
                <w:szCs w:val="21"/>
                <w14:textFill>
                  <w14:solidFill>
                    <w14:schemeClr w14:val="tx1"/>
                  </w14:solidFill>
                </w14:textFill>
              </w:rPr>
              <w:t>通道</w:t>
            </w:r>
          </w:p>
        </w:tc>
        <w:tc>
          <w:tcPr>
            <w:tcW w:w="1418" w:type="dxa"/>
            <w:vAlign w:val="center"/>
          </w:tcPr>
          <w:p>
            <w:pPr>
              <w:ind w:firstLine="360"/>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以太网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54" w:hRule="atLeast"/>
          <w:jc w:val="center"/>
        </w:trPr>
        <w:tc>
          <w:tcPr>
            <w:tcW w:w="1275" w:type="dxa"/>
            <w:vAlign w:val="center"/>
          </w:tcPr>
          <w:p>
            <w:pPr>
              <w:ind w:firstLine="360"/>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线－线</w:t>
            </w:r>
          </w:p>
        </w:tc>
        <w:tc>
          <w:tcPr>
            <w:tcW w:w="1276" w:type="dxa"/>
            <w:vAlign w:val="center"/>
          </w:tcPr>
          <w:p>
            <w:pPr>
              <w:ind w:firstLine="36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5KA</w:t>
            </w: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8/20us）</w:t>
            </w:r>
          </w:p>
        </w:tc>
        <w:tc>
          <w:tcPr>
            <w:tcW w:w="1276" w:type="dxa"/>
            <w:vAlign w:val="center"/>
          </w:tcPr>
          <w:p>
            <w:pPr>
              <w:ind w:firstLine="36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3KA</w:t>
            </w: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8/20us）</w:t>
            </w:r>
          </w:p>
        </w:tc>
        <w:tc>
          <w:tcPr>
            <w:tcW w:w="1560" w:type="dxa"/>
            <w:vAlign w:val="center"/>
          </w:tcPr>
          <w:p>
            <w:pPr>
              <w:ind w:firstLine="36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3KA</w:t>
            </w: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8/20us）</w:t>
            </w:r>
          </w:p>
        </w:tc>
        <w:tc>
          <w:tcPr>
            <w:tcW w:w="1418" w:type="dxa"/>
            <w:vAlign w:val="center"/>
          </w:tcPr>
          <w:p>
            <w:pPr>
              <w:ind w:firstLine="36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3KA</w:t>
            </w: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8/20us）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67" w:hRule="atLeast"/>
          <w:jc w:val="center"/>
        </w:trPr>
        <w:tc>
          <w:tcPr>
            <w:tcW w:w="1275" w:type="dxa"/>
            <w:vAlign w:val="center"/>
          </w:tcPr>
          <w:p>
            <w:pPr>
              <w:ind w:firstLine="360"/>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线－地</w:t>
            </w:r>
          </w:p>
        </w:tc>
        <w:tc>
          <w:tcPr>
            <w:tcW w:w="1276" w:type="dxa"/>
            <w:vAlign w:val="center"/>
          </w:tcPr>
          <w:p>
            <w:pPr>
              <w:ind w:firstLine="36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5KA</w:t>
            </w: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8/20us）</w:t>
            </w:r>
          </w:p>
        </w:tc>
        <w:tc>
          <w:tcPr>
            <w:tcW w:w="1276" w:type="dxa"/>
            <w:vAlign w:val="center"/>
          </w:tcPr>
          <w:p>
            <w:pPr>
              <w:ind w:firstLine="36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3KA</w:t>
            </w: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8/20us）</w:t>
            </w:r>
          </w:p>
        </w:tc>
        <w:tc>
          <w:tcPr>
            <w:tcW w:w="1560" w:type="dxa"/>
            <w:vAlign w:val="center"/>
          </w:tcPr>
          <w:p>
            <w:pPr>
              <w:ind w:firstLine="36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3KA</w:t>
            </w: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8/20us）</w:t>
            </w:r>
          </w:p>
        </w:tc>
        <w:tc>
          <w:tcPr>
            <w:tcW w:w="1418" w:type="dxa"/>
            <w:vAlign w:val="center"/>
          </w:tcPr>
          <w:p>
            <w:pPr>
              <w:ind w:firstLine="36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3KA</w:t>
            </w: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8/20us）</w:t>
            </w:r>
          </w:p>
        </w:tc>
      </w:tr>
    </w:tbl>
    <w:p>
      <w:pPr>
        <w:autoSpaceDE w:val="0"/>
        <w:autoSpaceDN w:val="0"/>
        <w:adjustRightInd w:val="0"/>
        <w:jc w:val="left"/>
        <w:rPr>
          <w:rFonts w:asciiTheme="minorEastAsia" w:hAnsiTheme="minorEastAsia" w:eastAsiaTheme="minorEastAsia"/>
          <w:color w:val="000000" w:themeColor="text1"/>
          <w:szCs w:val="21"/>
          <w14:textFill>
            <w14:solidFill>
              <w14:schemeClr w14:val="tx1"/>
            </w14:solidFill>
          </w14:textFill>
        </w:rPr>
      </w:pPr>
    </w:p>
    <w:p>
      <w:pPr>
        <w:pStyle w:val="89"/>
        <w:numPr>
          <w:ilvl w:val="0"/>
          <w:numId w:val="23"/>
        </w:numPr>
        <w:autoSpaceDE w:val="0"/>
        <w:autoSpaceDN w:val="0"/>
        <w:adjustRightInd w:val="0"/>
        <w:spacing w:line="360" w:lineRule="auto"/>
        <w:ind w:left="0" w:firstLine="482" w:firstLineChars="0"/>
        <w:jc w:val="left"/>
        <w:rPr>
          <w:rFonts w:asciiTheme="minorEastAsia" w:hAnsiTheme="minorEastAsia" w:eastAsia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olor w:val="000000" w:themeColor="text1"/>
          <w:kern w:val="2"/>
          <w:sz w:val="21"/>
          <w:szCs w:val="21"/>
          <w14:textFill>
            <w14:solidFill>
              <w14:schemeClr w14:val="tx1"/>
            </w14:solidFill>
          </w14:textFill>
        </w:rPr>
        <w:t>智能采集单元端口规格要求如下：</w:t>
      </w:r>
    </w:p>
    <w:p>
      <w:pPr>
        <w:pStyle w:val="89"/>
        <w:numPr>
          <w:ilvl w:val="0"/>
          <w:numId w:val="24"/>
        </w:numPr>
        <w:autoSpaceDE w:val="0"/>
        <w:autoSpaceDN w:val="0"/>
        <w:adjustRightInd w:val="0"/>
        <w:spacing w:line="360" w:lineRule="auto"/>
        <w:ind w:firstLineChars="0"/>
        <w:jc w:val="left"/>
        <w:rPr>
          <w:rFonts w:asciiTheme="minorEastAsia" w:hAnsiTheme="minorEastAsia" w:eastAsiaTheme="minorEastAsia"/>
          <w:color w:val="000000" w:themeColor="text1"/>
          <w:kern w:val="2"/>
          <w:sz w:val="21"/>
          <w:szCs w:val="21"/>
          <w14:textFill>
            <w14:solidFill>
              <w14:schemeClr w14:val="tx1"/>
            </w14:solidFill>
          </w14:textFill>
        </w:rPr>
      </w:pPr>
      <w:r>
        <w:rPr>
          <w:rFonts w:asciiTheme="minorEastAsia" w:hAnsiTheme="minorEastAsia" w:eastAsiaTheme="minorEastAsia"/>
          <w:color w:val="000000" w:themeColor="text1"/>
          <w:kern w:val="2"/>
          <w:sz w:val="21"/>
          <w:szCs w:val="21"/>
          <w14:textFill>
            <w14:solidFill>
              <w14:schemeClr w14:val="tx1"/>
            </w14:solidFill>
          </w14:textFill>
        </w:rPr>
        <w:t>8路AI/DI</w:t>
      </w:r>
      <w:r>
        <w:rPr>
          <w:rFonts w:hint="eastAsia" w:asciiTheme="minorEastAsia" w:hAnsiTheme="minorEastAsia" w:eastAsiaTheme="minorEastAsia"/>
          <w:color w:val="000000" w:themeColor="text1"/>
          <w:kern w:val="2"/>
          <w:sz w:val="21"/>
          <w:szCs w:val="21"/>
          <w14:textFill>
            <w14:solidFill>
              <w14:schemeClr w14:val="tx1"/>
            </w14:solidFill>
          </w14:textFill>
        </w:rPr>
        <w:t>通用通道、</w:t>
      </w:r>
      <w:r>
        <w:rPr>
          <w:rFonts w:asciiTheme="minorEastAsia" w:hAnsiTheme="minorEastAsia" w:eastAsiaTheme="minorEastAsia"/>
          <w:color w:val="000000" w:themeColor="text1"/>
          <w:kern w:val="2"/>
          <w:sz w:val="21"/>
          <w:szCs w:val="21"/>
          <w14:textFill>
            <w14:solidFill>
              <w14:schemeClr w14:val="tx1"/>
            </w14:solidFill>
          </w14:textFill>
        </w:rPr>
        <w:t>4</w:t>
      </w:r>
      <w:r>
        <w:rPr>
          <w:rFonts w:hint="eastAsia" w:asciiTheme="minorEastAsia" w:hAnsiTheme="minorEastAsia" w:eastAsiaTheme="minorEastAsia"/>
          <w:color w:val="000000" w:themeColor="text1"/>
          <w:kern w:val="2"/>
          <w:sz w:val="21"/>
          <w:szCs w:val="21"/>
          <w14:textFill>
            <w14:solidFill>
              <w14:schemeClr w14:val="tx1"/>
            </w14:solidFill>
          </w14:textFill>
        </w:rPr>
        <w:t>路蓄电池组专用通道、</w:t>
      </w:r>
      <w:r>
        <w:rPr>
          <w:rFonts w:asciiTheme="minorEastAsia" w:hAnsiTheme="minorEastAsia" w:eastAsiaTheme="minorEastAsia"/>
          <w:color w:val="000000" w:themeColor="text1"/>
          <w:kern w:val="2"/>
          <w:sz w:val="21"/>
          <w:szCs w:val="21"/>
          <w14:textFill>
            <w14:solidFill>
              <w14:schemeClr w14:val="tx1"/>
            </w14:solidFill>
          </w14:textFill>
        </w:rPr>
        <w:t>2</w:t>
      </w:r>
      <w:r>
        <w:rPr>
          <w:rFonts w:hint="eastAsia" w:asciiTheme="minorEastAsia" w:hAnsiTheme="minorEastAsia" w:eastAsiaTheme="minorEastAsia"/>
          <w:color w:val="000000" w:themeColor="text1"/>
          <w:kern w:val="2"/>
          <w:sz w:val="21"/>
          <w:szCs w:val="21"/>
          <w14:textFill>
            <w14:solidFill>
              <w14:schemeClr w14:val="tx1"/>
            </w14:solidFill>
          </w14:textFill>
        </w:rPr>
        <w:t>路烟感专用接口、</w:t>
      </w:r>
      <w:r>
        <w:rPr>
          <w:rFonts w:asciiTheme="minorEastAsia" w:hAnsiTheme="minorEastAsia" w:eastAsiaTheme="minorEastAsia"/>
          <w:color w:val="000000" w:themeColor="text1"/>
          <w:kern w:val="2"/>
          <w:sz w:val="21"/>
          <w:szCs w:val="21"/>
          <w14:textFill>
            <w14:solidFill>
              <w14:schemeClr w14:val="tx1"/>
            </w14:solidFill>
          </w14:textFill>
        </w:rPr>
        <w:t>2</w:t>
      </w:r>
      <w:r>
        <w:rPr>
          <w:rFonts w:hint="eastAsia" w:asciiTheme="minorEastAsia" w:hAnsiTheme="minorEastAsia" w:eastAsiaTheme="minorEastAsia"/>
          <w:color w:val="000000" w:themeColor="text1"/>
          <w:kern w:val="2"/>
          <w:sz w:val="21"/>
          <w:szCs w:val="21"/>
          <w14:textFill>
            <w14:solidFill>
              <w14:schemeClr w14:val="tx1"/>
            </w14:solidFill>
          </w14:textFill>
        </w:rPr>
        <w:t>路水浸专用接口</w:t>
      </w:r>
    </w:p>
    <w:p>
      <w:pPr>
        <w:pStyle w:val="89"/>
        <w:numPr>
          <w:ilvl w:val="0"/>
          <w:numId w:val="24"/>
        </w:numPr>
        <w:autoSpaceDE w:val="0"/>
        <w:autoSpaceDN w:val="0"/>
        <w:adjustRightInd w:val="0"/>
        <w:spacing w:line="360" w:lineRule="auto"/>
        <w:ind w:firstLineChars="0"/>
        <w:jc w:val="left"/>
        <w:rPr>
          <w:rFonts w:asciiTheme="minorEastAsia" w:hAnsiTheme="minorEastAsia" w:eastAsiaTheme="minorEastAsia"/>
          <w:color w:val="000000" w:themeColor="text1"/>
          <w:kern w:val="2"/>
          <w:sz w:val="21"/>
          <w:szCs w:val="21"/>
          <w14:textFill>
            <w14:solidFill>
              <w14:schemeClr w14:val="tx1"/>
            </w14:solidFill>
          </w14:textFill>
        </w:rPr>
      </w:pPr>
      <w:r>
        <w:rPr>
          <w:rFonts w:asciiTheme="minorEastAsia" w:hAnsiTheme="minorEastAsia" w:eastAsiaTheme="minorEastAsia"/>
          <w:color w:val="000000" w:themeColor="text1"/>
          <w:kern w:val="2"/>
          <w:sz w:val="21"/>
          <w:szCs w:val="21"/>
          <w14:textFill>
            <w14:solidFill>
              <w14:schemeClr w14:val="tx1"/>
            </w14:solidFill>
          </w14:textFill>
        </w:rPr>
        <w:t>4路DO通道</w:t>
      </w:r>
    </w:p>
    <w:p>
      <w:pPr>
        <w:pStyle w:val="89"/>
        <w:numPr>
          <w:ilvl w:val="0"/>
          <w:numId w:val="24"/>
        </w:numPr>
        <w:autoSpaceDE w:val="0"/>
        <w:autoSpaceDN w:val="0"/>
        <w:adjustRightInd w:val="0"/>
        <w:spacing w:line="360" w:lineRule="auto"/>
        <w:ind w:firstLineChars="0"/>
        <w:jc w:val="left"/>
        <w:rPr>
          <w:rFonts w:asciiTheme="minorEastAsia" w:hAnsiTheme="minorEastAsia" w:eastAsiaTheme="minorEastAsia"/>
          <w:color w:val="000000" w:themeColor="text1"/>
          <w:kern w:val="2"/>
          <w:sz w:val="21"/>
          <w:szCs w:val="21"/>
          <w14:textFill>
            <w14:solidFill>
              <w14:schemeClr w14:val="tx1"/>
            </w14:solidFill>
          </w14:textFill>
        </w:rPr>
      </w:pPr>
      <w:r>
        <w:rPr>
          <w:rFonts w:asciiTheme="minorEastAsia" w:hAnsiTheme="minorEastAsia" w:eastAsiaTheme="minorEastAsia"/>
          <w:color w:val="000000" w:themeColor="text1"/>
          <w:kern w:val="2"/>
          <w:sz w:val="21"/>
          <w:szCs w:val="21"/>
          <w14:textFill>
            <w14:solidFill>
              <w14:schemeClr w14:val="tx1"/>
            </w14:solidFill>
          </w14:textFill>
        </w:rPr>
        <w:t>8路串口，其中4路RS232/485</w:t>
      </w:r>
      <w:r>
        <w:rPr>
          <w:rFonts w:hint="eastAsia" w:asciiTheme="minorEastAsia" w:hAnsiTheme="minorEastAsia" w:eastAsiaTheme="minorEastAsia"/>
          <w:color w:val="000000" w:themeColor="text1"/>
          <w:kern w:val="2"/>
          <w:sz w:val="21"/>
          <w:szCs w:val="21"/>
          <w14:textFill>
            <w14:solidFill>
              <w14:schemeClr w14:val="tx1"/>
            </w14:solidFill>
          </w14:textFill>
        </w:rPr>
        <w:t>复用</w:t>
      </w:r>
      <w:r>
        <w:rPr>
          <w:rFonts w:asciiTheme="minorEastAsia" w:hAnsiTheme="minorEastAsia" w:eastAsiaTheme="minorEastAsia"/>
          <w:color w:val="000000" w:themeColor="text1"/>
          <w:kern w:val="2"/>
          <w:sz w:val="21"/>
          <w:szCs w:val="21"/>
          <w14:textFill>
            <w14:solidFill>
              <w14:schemeClr w14:val="tx1"/>
            </w14:solidFill>
          </w14:textFill>
        </w:rPr>
        <w:t>，4路RS485接口</w:t>
      </w:r>
    </w:p>
    <w:p>
      <w:pPr>
        <w:pStyle w:val="89"/>
        <w:numPr>
          <w:ilvl w:val="0"/>
          <w:numId w:val="24"/>
        </w:numPr>
        <w:autoSpaceDE w:val="0"/>
        <w:autoSpaceDN w:val="0"/>
        <w:adjustRightInd w:val="0"/>
        <w:spacing w:line="360" w:lineRule="auto"/>
        <w:ind w:firstLineChars="0"/>
        <w:jc w:val="left"/>
        <w:rPr>
          <w:rFonts w:asciiTheme="minorEastAsia" w:hAnsiTheme="minorEastAsia" w:eastAsiaTheme="minorEastAsia"/>
          <w:color w:val="000000" w:themeColor="text1"/>
          <w:kern w:val="2"/>
          <w:sz w:val="21"/>
          <w:szCs w:val="21"/>
          <w14:textFill>
            <w14:solidFill>
              <w14:schemeClr w14:val="tx1"/>
            </w14:solidFill>
          </w14:textFill>
        </w:rPr>
      </w:pPr>
      <w:r>
        <w:rPr>
          <w:rFonts w:asciiTheme="minorEastAsia" w:hAnsiTheme="minorEastAsia" w:eastAsiaTheme="minorEastAsia"/>
          <w:color w:val="000000" w:themeColor="text1"/>
          <w:kern w:val="2"/>
          <w:sz w:val="21"/>
          <w:szCs w:val="21"/>
          <w14:textFill>
            <w14:solidFill>
              <w14:schemeClr w14:val="tx1"/>
            </w14:solidFill>
          </w14:textFill>
        </w:rPr>
        <w:t>2</w:t>
      </w:r>
      <w:r>
        <w:rPr>
          <w:rFonts w:hint="eastAsia" w:asciiTheme="minorEastAsia" w:hAnsiTheme="minorEastAsia" w:eastAsiaTheme="minorEastAsia"/>
          <w:color w:val="000000" w:themeColor="text1"/>
          <w:kern w:val="2"/>
          <w:sz w:val="21"/>
          <w:szCs w:val="21"/>
          <w14:textFill>
            <w14:solidFill>
              <w14:schemeClr w14:val="tx1"/>
            </w14:solidFill>
          </w14:textFill>
        </w:rPr>
        <w:t>个</w:t>
      </w:r>
      <w:r>
        <w:rPr>
          <w:rFonts w:asciiTheme="minorEastAsia" w:hAnsiTheme="minorEastAsia" w:eastAsiaTheme="minorEastAsia"/>
          <w:color w:val="000000" w:themeColor="text1"/>
          <w:kern w:val="2"/>
          <w:sz w:val="21"/>
          <w:szCs w:val="21"/>
          <w14:textFill>
            <w14:solidFill>
              <w14:schemeClr w14:val="tx1"/>
            </w14:solidFill>
          </w14:textFill>
        </w:rPr>
        <w:t>扩展卡位，</w:t>
      </w:r>
      <w:r>
        <w:rPr>
          <w:rFonts w:hint="eastAsia" w:asciiTheme="minorEastAsia" w:hAnsiTheme="minorEastAsia" w:eastAsiaTheme="minorEastAsia"/>
          <w:color w:val="000000" w:themeColor="text1"/>
          <w:kern w:val="2"/>
          <w:sz w:val="21"/>
          <w:szCs w:val="21"/>
          <w14:textFill>
            <w14:solidFill>
              <w14:schemeClr w14:val="tx1"/>
            </w14:solidFill>
          </w14:textFill>
        </w:rPr>
        <w:t>支持</w:t>
      </w:r>
      <w:r>
        <w:rPr>
          <w:rFonts w:asciiTheme="minorEastAsia" w:hAnsiTheme="minorEastAsia" w:eastAsiaTheme="minorEastAsia"/>
          <w:color w:val="000000" w:themeColor="text1"/>
          <w:kern w:val="2"/>
          <w:sz w:val="21"/>
          <w:szCs w:val="21"/>
          <w14:textFill>
            <w14:solidFill>
              <w14:schemeClr w14:val="tx1"/>
            </w14:solidFill>
          </w14:textFill>
        </w:rPr>
        <w:t>扩展IO</w:t>
      </w:r>
      <w:r>
        <w:rPr>
          <w:rFonts w:hint="eastAsia" w:asciiTheme="minorEastAsia" w:hAnsiTheme="minorEastAsia" w:eastAsiaTheme="minorEastAsia"/>
          <w:color w:val="000000" w:themeColor="text1"/>
          <w:kern w:val="2"/>
          <w:sz w:val="21"/>
          <w:szCs w:val="21"/>
          <w14:textFill>
            <w14:solidFill>
              <w14:schemeClr w14:val="tx1"/>
            </w14:solidFill>
          </w14:textFill>
        </w:rPr>
        <w:t>、</w:t>
      </w:r>
      <w:r>
        <w:rPr>
          <w:rFonts w:asciiTheme="minorEastAsia" w:hAnsiTheme="minorEastAsia" w:eastAsiaTheme="minorEastAsia"/>
          <w:color w:val="000000" w:themeColor="text1"/>
          <w:kern w:val="2"/>
          <w:sz w:val="21"/>
          <w:szCs w:val="21"/>
          <w14:textFill>
            <w14:solidFill>
              <w14:schemeClr w14:val="tx1"/>
            </w14:solidFill>
          </w14:textFill>
        </w:rPr>
        <w:t>串口和</w:t>
      </w:r>
      <w:r>
        <w:rPr>
          <w:rFonts w:hint="eastAsia" w:asciiTheme="minorEastAsia" w:hAnsiTheme="minorEastAsia" w:eastAsiaTheme="minorEastAsia"/>
          <w:color w:val="000000" w:themeColor="text1"/>
          <w:kern w:val="2"/>
          <w:sz w:val="21"/>
          <w:szCs w:val="21"/>
          <w14:textFill>
            <w14:solidFill>
              <w14:schemeClr w14:val="tx1"/>
            </w14:solidFill>
          </w14:textFill>
        </w:rPr>
        <w:t>光纤</w:t>
      </w:r>
      <w:r>
        <w:rPr>
          <w:rFonts w:asciiTheme="minorEastAsia" w:hAnsiTheme="minorEastAsia" w:eastAsiaTheme="minorEastAsia"/>
          <w:color w:val="000000" w:themeColor="text1"/>
          <w:kern w:val="2"/>
          <w:sz w:val="21"/>
          <w:szCs w:val="21"/>
          <w14:textFill>
            <w14:solidFill>
              <w14:schemeClr w14:val="tx1"/>
            </w14:solidFill>
          </w14:textFill>
        </w:rPr>
        <w:t>传输板</w:t>
      </w:r>
      <w:r>
        <w:rPr>
          <w:rFonts w:hint="eastAsia" w:asciiTheme="minorEastAsia" w:hAnsiTheme="minorEastAsia" w:eastAsiaTheme="minorEastAsia"/>
          <w:color w:val="000000" w:themeColor="text1"/>
          <w:kern w:val="2"/>
          <w:sz w:val="21"/>
          <w:szCs w:val="21"/>
          <w14:textFill>
            <w14:solidFill>
              <w14:schemeClr w14:val="tx1"/>
            </w14:solidFill>
          </w14:textFill>
        </w:rPr>
        <w:t>卡</w:t>
      </w:r>
    </w:p>
    <w:p>
      <w:pPr>
        <w:pStyle w:val="89"/>
        <w:numPr>
          <w:ilvl w:val="0"/>
          <w:numId w:val="24"/>
        </w:numPr>
        <w:autoSpaceDE w:val="0"/>
        <w:autoSpaceDN w:val="0"/>
        <w:adjustRightInd w:val="0"/>
        <w:spacing w:line="360" w:lineRule="auto"/>
        <w:ind w:firstLineChars="0"/>
        <w:jc w:val="left"/>
        <w:rPr>
          <w:rFonts w:asciiTheme="minorEastAsia" w:hAnsiTheme="minorEastAsia" w:eastAsiaTheme="minorEastAsia"/>
          <w:color w:val="000000" w:themeColor="text1"/>
          <w:kern w:val="2"/>
          <w:sz w:val="21"/>
          <w:szCs w:val="21"/>
          <w14:textFill>
            <w14:solidFill>
              <w14:schemeClr w14:val="tx1"/>
            </w14:solidFill>
          </w14:textFill>
        </w:rPr>
      </w:pPr>
      <w:r>
        <w:rPr>
          <w:rFonts w:asciiTheme="minorEastAsia" w:hAnsiTheme="minorEastAsia" w:eastAsiaTheme="minorEastAsia"/>
          <w:color w:val="000000" w:themeColor="text1"/>
          <w:kern w:val="2"/>
          <w:sz w:val="21"/>
          <w:szCs w:val="21"/>
          <w14:textFill>
            <w14:solidFill>
              <w14:schemeClr w14:val="tx1"/>
            </w14:solidFill>
          </w14:textFill>
        </w:rPr>
        <w:t>4路10/100M</w:t>
      </w:r>
      <w:r>
        <w:rPr>
          <w:rFonts w:hint="eastAsia" w:asciiTheme="minorEastAsia" w:hAnsiTheme="minorEastAsia" w:eastAsiaTheme="minorEastAsia"/>
          <w:color w:val="000000" w:themeColor="text1"/>
          <w:kern w:val="2"/>
          <w:sz w:val="21"/>
          <w:szCs w:val="21"/>
          <w14:textFill>
            <w14:solidFill>
              <w14:schemeClr w14:val="tx1"/>
            </w14:solidFill>
          </w14:textFill>
        </w:rPr>
        <w:t>以太网通讯网口</w:t>
      </w:r>
    </w:p>
    <w:p>
      <w:pPr>
        <w:pStyle w:val="89"/>
        <w:numPr>
          <w:ilvl w:val="0"/>
          <w:numId w:val="24"/>
        </w:numPr>
        <w:autoSpaceDE w:val="0"/>
        <w:autoSpaceDN w:val="0"/>
        <w:adjustRightInd w:val="0"/>
        <w:spacing w:line="360" w:lineRule="auto"/>
        <w:ind w:firstLineChars="0"/>
        <w:jc w:val="left"/>
        <w:rPr>
          <w:rFonts w:asciiTheme="minorEastAsia" w:hAnsiTheme="minorEastAsia" w:eastAsia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olor w:val="000000" w:themeColor="text1"/>
          <w:kern w:val="2"/>
          <w:sz w:val="21"/>
          <w:szCs w:val="21"/>
          <w14:textFill>
            <w14:solidFill>
              <w14:schemeClr w14:val="tx1"/>
            </w14:solidFill>
          </w14:textFill>
        </w:rPr>
        <w:t>至少</w:t>
      </w:r>
      <w:r>
        <w:rPr>
          <w:rFonts w:asciiTheme="minorEastAsia" w:hAnsiTheme="minorEastAsia" w:eastAsiaTheme="minorEastAsia"/>
          <w:color w:val="000000" w:themeColor="text1"/>
          <w:kern w:val="2"/>
          <w:sz w:val="21"/>
          <w:szCs w:val="21"/>
          <w14:textFill>
            <w14:solidFill>
              <w14:schemeClr w14:val="tx1"/>
            </w14:solidFill>
          </w14:textFill>
        </w:rPr>
        <w:t>1</w:t>
      </w:r>
      <w:r>
        <w:rPr>
          <w:rFonts w:hint="eastAsia" w:asciiTheme="minorEastAsia" w:hAnsiTheme="minorEastAsia" w:eastAsiaTheme="minorEastAsia"/>
          <w:color w:val="000000" w:themeColor="text1"/>
          <w:kern w:val="2"/>
          <w:sz w:val="21"/>
          <w:szCs w:val="21"/>
          <w14:textFill>
            <w14:solidFill>
              <w14:schemeClr w14:val="tx1"/>
            </w14:solidFill>
          </w14:textFill>
        </w:rPr>
        <w:t>路</w:t>
      </w:r>
      <w:r>
        <w:rPr>
          <w:rFonts w:asciiTheme="minorEastAsia" w:hAnsiTheme="minorEastAsia" w:eastAsiaTheme="minorEastAsia"/>
          <w:color w:val="000000" w:themeColor="text1"/>
          <w:kern w:val="2"/>
          <w:sz w:val="21"/>
          <w:szCs w:val="21"/>
          <w14:textFill>
            <w14:solidFill>
              <w14:schemeClr w14:val="tx1"/>
            </w14:solidFill>
          </w14:textFill>
        </w:rPr>
        <w:t>USB2.0标准</w:t>
      </w:r>
      <w:r>
        <w:rPr>
          <w:rFonts w:hint="eastAsia" w:asciiTheme="minorEastAsia" w:hAnsiTheme="minorEastAsia" w:eastAsiaTheme="minorEastAsia"/>
          <w:color w:val="000000" w:themeColor="text1"/>
          <w:kern w:val="2"/>
          <w:sz w:val="21"/>
          <w:szCs w:val="21"/>
          <w14:textFill>
            <w14:solidFill>
              <w14:schemeClr w14:val="tx1"/>
            </w14:solidFill>
          </w14:textFill>
        </w:rPr>
        <w:t>接口</w:t>
      </w:r>
    </w:p>
    <w:p>
      <w:pPr>
        <w:pStyle w:val="89"/>
        <w:numPr>
          <w:ilvl w:val="0"/>
          <w:numId w:val="24"/>
        </w:numPr>
        <w:autoSpaceDE w:val="0"/>
        <w:autoSpaceDN w:val="0"/>
        <w:adjustRightInd w:val="0"/>
        <w:spacing w:line="360" w:lineRule="auto"/>
        <w:ind w:firstLineChars="0"/>
        <w:jc w:val="left"/>
        <w:rPr>
          <w:rFonts w:asciiTheme="minorEastAsia" w:hAnsiTheme="minorEastAsia" w:eastAsia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olor w:val="000000" w:themeColor="text1"/>
          <w:kern w:val="2"/>
          <w:sz w:val="21"/>
          <w:szCs w:val="21"/>
          <w14:textFill>
            <w14:solidFill>
              <w14:schemeClr w14:val="tx1"/>
            </w14:solidFill>
          </w14:textFill>
        </w:rPr>
        <w:t>提供</w:t>
      </w:r>
      <w:r>
        <w:rPr>
          <w:rFonts w:asciiTheme="minorEastAsia" w:hAnsiTheme="minorEastAsia" w:eastAsiaTheme="minorEastAsia"/>
          <w:color w:val="000000" w:themeColor="text1"/>
          <w:kern w:val="2"/>
          <w:sz w:val="21"/>
          <w:szCs w:val="21"/>
          <w14:textFill>
            <w14:solidFill>
              <w14:schemeClr w14:val="tx1"/>
            </w14:solidFill>
          </w14:textFill>
        </w:rPr>
        <w:t>12V</w:t>
      </w:r>
      <w:r>
        <w:rPr>
          <w:rFonts w:hint="eastAsia" w:asciiTheme="minorEastAsia" w:hAnsiTheme="minorEastAsia" w:eastAsiaTheme="minorEastAsia"/>
          <w:color w:val="000000" w:themeColor="text1"/>
          <w:kern w:val="2"/>
          <w:sz w:val="21"/>
          <w:szCs w:val="21"/>
          <w14:textFill>
            <w14:solidFill>
              <w14:schemeClr w14:val="tx1"/>
            </w14:solidFill>
          </w14:textFill>
        </w:rPr>
        <w:t>电源输出，输出电流不小于</w:t>
      </w:r>
      <w:r>
        <w:rPr>
          <w:rFonts w:asciiTheme="minorEastAsia" w:hAnsiTheme="minorEastAsia" w:eastAsiaTheme="minorEastAsia"/>
          <w:color w:val="000000" w:themeColor="text1"/>
          <w:kern w:val="2"/>
          <w:sz w:val="21"/>
          <w:szCs w:val="21"/>
          <w14:textFill>
            <w14:solidFill>
              <w14:schemeClr w14:val="tx1"/>
            </w14:solidFill>
          </w14:textFill>
        </w:rPr>
        <w:t>0.6A</w:t>
      </w:r>
    </w:p>
    <w:p>
      <w:pPr>
        <w:pStyle w:val="89"/>
        <w:numPr>
          <w:ilvl w:val="0"/>
          <w:numId w:val="23"/>
        </w:numPr>
        <w:autoSpaceDE w:val="0"/>
        <w:autoSpaceDN w:val="0"/>
        <w:adjustRightInd w:val="0"/>
        <w:spacing w:line="360" w:lineRule="auto"/>
        <w:ind w:left="0" w:firstLine="482" w:firstLineChars="0"/>
        <w:jc w:val="left"/>
        <w:rPr>
          <w:rFonts w:asciiTheme="minorEastAsia" w:hAnsiTheme="minorEastAsia" w:eastAsia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olor w:val="000000" w:themeColor="text1"/>
          <w:kern w:val="2"/>
          <w:sz w:val="21"/>
          <w:szCs w:val="21"/>
          <w14:textFill>
            <w14:solidFill>
              <w14:schemeClr w14:val="tx1"/>
            </w14:solidFill>
          </w14:textFill>
        </w:rPr>
        <w:t>扩展卡位应支持以下扩展模块：</w:t>
      </w:r>
    </w:p>
    <w:tbl>
      <w:tblPr>
        <w:tblStyle w:val="53"/>
        <w:tblW w:w="7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0"/>
        <w:gridCol w:w="4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shd w:val="clear" w:color="auto" w:fill="auto"/>
          </w:tcPr>
          <w:p>
            <w:pPr>
              <w:ind w:firstLine="360"/>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扩展</w:t>
            </w:r>
            <w:r>
              <w:rPr>
                <w:rFonts w:asciiTheme="minorEastAsia" w:hAnsiTheme="minorEastAsia" w:eastAsiaTheme="minorEastAsia"/>
                <w:color w:val="000000" w:themeColor="text1"/>
                <w:szCs w:val="21"/>
                <w14:textFill>
                  <w14:solidFill>
                    <w14:schemeClr w14:val="tx1"/>
                  </w14:solidFill>
                </w14:textFill>
              </w:rPr>
              <w:t>卡</w:t>
            </w:r>
          </w:p>
        </w:tc>
        <w:tc>
          <w:tcPr>
            <w:tcW w:w="4870" w:type="dxa"/>
            <w:shd w:val="clear" w:color="auto" w:fill="auto"/>
          </w:tcPr>
          <w:p>
            <w:pPr>
              <w:ind w:firstLine="360"/>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shd w:val="clear" w:color="auto" w:fill="auto"/>
          </w:tcPr>
          <w:p>
            <w:pPr>
              <w:ind w:firstLine="36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串口</w:t>
            </w:r>
            <w:r>
              <w:rPr>
                <w:rFonts w:asciiTheme="minorEastAsia" w:hAnsiTheme="minorEastAsia" w:eastAsiaTheme="minorEastAsia"/>
                <w:color w:val="000000" w:themeColor="text1"/>
                <w:szCs w:val="21"/>
                <w14:textFill>
                  <w14:solidFill>
                    <w14:schemeClr w14:val="tx1"/>
                  </w14:solidFill>
                </w14:textFill>
              </w:rPr>
              <w:t>扩展卡</w:t>
            </w:r>
          </w:p>
        </w:tc>
        <w:tc>
          <w:tcPr>
            <w:tcW w:w="4870" w:type="dxa"/>
            <w:shd w:val="clear" w:color="auto" w:fill="auto"/>
            <w:vAlign w:val="center"/>
          </w:tcPr>
          <w:p>
            <w:pPr>
              <w:ind w:firstLine="36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4路RS485串口</w:t>
            </w:r>
          </w:p>
        </w:tc>
      </w:tr>
    </w:tbl>
    <w:p>
      <w:pPr>
        <w:pStyle w:val="373"/>
        <w:ind w:firstLine="422"/>
        <w:jc w:val="left"/>
        <w:rPr>
          <w:rFonts w:asciiTheme="minorEastAsia" w:hAnsiTheme="minorEastAsia" w:eastAsiaTheme="minorEastAsia"/>
          <w:b/>
          <w:bCs/>
          <w:color w:val="000000" w:themeColor="text1"/>
          <w14:textFill>
            <w14:solidFill>
              <w14:schemeClr w14:val="tx1"/>
            </w14:solidFill>
          </w14:textFill>
        </w:rPr>
      </w:pPr>
    </w:p>
    <w:p>
      <w:pPr>
        <w:pStyle w:val="373"/>
        <w:numPr>
          <w:ilvl w:val="2"/>
          <w:numId w:val="22"/>
        </w:numPr>
        <w:spacing w:line="500" w:lineRule="exact"/>
        <w:ind w:firstLineChars="0"/>
        <w:jc w:val="left"/>
        <w:rPr>
          <w:rFonts w:asciiTheme="minorEastAsia" w:hAnsiTheme="minorEastAsia" w:eastAsiaTheme="minorEastAsia"/>
          <w:b/>
          <w:bCs/>
          <w:color w:val="000000" w:themeColor="text1"/>
          <w14:textFill>
            <w14:solidFill>
              <w14:schemeClr w14:val="tx1"/>
            </w14:solidFill>
          </w14:textFill>
        </w:rPr>
      </w:pPr>
      <w:bookmarkStart w:id="45" w:name="_Toc106831067"/>
      <w:r>
        <w:rPr>
          <w:rFonts w:hint="eastAsia" w:asciiTheme="minorEastAsia" w:hAnsiTheme="minorEastAsia" w:eastAsiaTheme="minorEastAsia"/>
          <w:b/>
          <w:bCs/>
          <w:color w:val="000000" w:themeColor="text1"/>
          <w14:textFill>
            <w14:solidFill>
              <w14:schemeClr w14:val="tx1"/>
            </w14:solidFill>
          </w14:textFill>
        </w:rPr>
        <w:t>单相电表</w:t>
      </w:r>
      <w:bookmarkEnd w:id="45"/>
    </w:p>
    <w:p>
      <w:pPr>
        <w:pStyle w:val="89"/>
        <w:spacing w:line="360" w:lineRule="auto"/>
        <w:ind w:left="880" w:firstLine="0" w:firstLineChars="0"/>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辅助电源：AC85-265V/DC85330V,DC20-60V；</w:t>
      </w:r>
    </w:p>
    <w:p>
      <w:pPr>
        <w:pStyle w:val="89"/>
        <w:spacing w:line="360" w:lineRule="auto"/>
        <w:ind w:left="880" w:firstLine="0" w:firstLineChars="0"/>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工作电压：</w:t>
      </w:r>
      <w:r>
        <w:rPr>
          <w:rFonts w:cs="宋体" w:asciiTheme="minorEastAsia" w:hAnsiTheme="minorEastAsia" w:eastAsiaTheme="minorEastAsia"/>
          <w:color w:val="000000" w:themeColor="text1"/>
          <w:sz w:val="21"/>
          <w:szCs w:val="21"/>
          <w14:textFill>
            <w14:solidFill>
              <w14:schemeClr w14:val="tx1"/>
            </w14:solidFill>
          </w14:textFill>
        </w:rPr>
        <w:t>0.9-1.1Un;</w:t>
      </w:r>
    </w:p>
    <w:p>
      <w:pPr>
        <w:pStyle w:val="89"/>
        <w:spacing w:line="360" w:lineRule="auto"/>
        <w:ind w:left="880" w:firstLine="0" w:firstLineChars="0"/>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额度电压（</w:t>
      </w:r>
      <w:r>
        <w:rPr>
          <w:rFonts w:cs="宋体" w:asciiTheme="minorEastAsia" w:hAnsiTheme="minorEastAsia" w:eastAsiaTheme="minorEastAsia"/>
          <w:color w:val="000000" w:themeColor="text1"/>
          <w:sz w:val="21"/>
          <w:szCs w:val="21"/>
          <w14:textFill>
            <w14:solidFill>
              <w14:schemeClr w14:val="tx1"/>
            </w14:solidFill>
          </w14:textFill>
        </w:rPr>
        <w:t>Un</w:t>
      </w:r>
      <w:r>
        <w:rPr>
          <w:rFonts w:hint="eastAsia" w:cs="宋体" w:asciiTheme="minorEastAsia" w:hAnsiTheme="minorEastAsia" w:eastAsiaTheme="minorEastAsia"/>
          <w:color w:val="000000" w:themeColor="text1"/>
          <w:sz w:val="21"/>
          <w:szCs w:val="21"/>
          <w14:textFill>
            <w14:solidFill>
              <w14:schemeClr w14:val="tx1"/>
            </w14:solidFill>
          </w14:textFill>
        </w:rPr>
        <w:t>）：</w:t>
      </w:r>
      <w:r>
        <w:rPr>
          <w:rFonts w:cs="宋体" w:asciiTheme="minorEastAsia" w:hAnsiTheme="minorEastAsia" w:eastAsiaTheme="minorEastAsia"/>
          <w:color w:val="000000" w:themeColor="text1"/>
          <w:sz w:val="21"/>
          <w:szCs w:val="21"/>
          <w14:textFill>
            <w14:solidFill>
              <w14:schemeClr w14:val="tx1"/>
            </w14:solidFill>
          </w14:textFill>
        </w:rPr>
        <w:t>220V</w:t>
      </w:r>
      <w:r>
        <w:rPr>
          <w:rFonts w:hint="eastAsia" w:cs="宋体" w:asciiTheme="minorEastAsia" w:hAnsiTheme="minorEastAsia" w:eastAsiaTheme="minorEastAsia"/>
          <w:color w:val="000000" w:themeColor="text1"/>
          <w:sz w:val="21"/>
          <w:szCs w:val="21"/>
          <w14:textFill>
            <w14:solidFill>
              <w14:schemeClr w14:val="tx1"/>
            </w14:solidFill>
          </w14:textFill>
        </w:rPr>
        <w:t>；</w:t>
      </w:r>
    </w:p>
    <w:p>
      <w:pPr>
        <w:pStyle w:val="89"/>
        <w:spacing w:line="360" w:lineRule="auto"/>
        <w:ind w:left="880" w:firstLine="0" w:firstLineChars="0"/>
        <w:rPr>
          <w:rFonts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工作温度：</w:t>
      </w:r>
      <w:r>
        <w:rPr>
          <w:rFonts w:cs="宋体" w:asciiTheme="minorEastAsia" w:hAnsiTheme="minorEastAsia" w:eastAsiaTheme="minorEastAsia"/>
          <w:color w:val="000000" w:themeColor="text1"/>
          <w:sz w:val="21"/>
          <w:szCs w:val="21"/>
          <w14:textFill>
            <w14:solidFill>
              <w14:schemeClr w14:val="tx1"/>
            </w14:solidFill>
          </w14:textFill>
        </w:rPr>
        <w:t>-25</w:t>
      </w:r>
      <w:r>
        <w:rPr>
          <w:rFonts w:hint="eastAsia" w:cs="宋体" w:asciiTheme="minorEastAsia" w:hAnsiTheme="minorEastAsia" w:eastAsiaTheme="minorEastAsia"/>
          <w:color w:val="000000" w:themeColor="text1"/>
          <w:sz w:val="21"/>
          <w:szCs w:val="21"/>
          <w14:textFill>
            <w14:solidFill>
              <w14:schemeClr w14:val="tx1"/>
            </w14:solidFill>
          </w14:textFill>
        </w:rPr>
        <w:t>℃</w:t>
      </w:r>
      <w:r>
        <w:rPr>
          <w:rFonts w:cs="宋体" w:asciiTheme="minorEastAsia" w:hAnsiTheme="minorEastAsia" w:eastAsiaTheme="minorEastAsia"/>
          <w:color w:val="000000" w:themeColor="text1"/>
          <w:sz w:val="21"/>
          <w:szCs w:val="21"/>
          <w14:textFill>
            <w14:solidFill>
              <w14:schemeClr w14:val="tx1"/>
            </w14:solidFill>
          </w14:textFill>
        </w:rPr>
        <w:t>-55</w:t>
      </w:r>
      <w:r>
        <w:rPr>
          <w:rFonts w:hint="eastAsia" w:cs="宋体" w:asciiTheme="minorEastAsia" w:hAnsiTheme="minorEastAsia" w:eastAsiaTheme="minorEastAsia"/>
          <w:color w:val="000000" w:themeColor="text1"/>
          <w:sz w:val="21"/>
          <w:szCs w:val="21"/>
          <w14:textFill>
            <w14:solidFill>
              <w14:schemeClr w14:val="tx1"/>
            </w14:solidFill>
          </w14:textFill>
        </w:rPr>
        <w:t>℃；</w:t>
      </w:r>
    </w:p>
    <w:p>
      <w:pPr>
        <w:pStyle w:val="89"/>
        <w:spacing w:line="360" w:lineRule="auto"/>
        <w:ind w:left="880" w:firstLine="0" w:firstLineChars="0"/>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电压测量范围：176Vac～242Vac，可以测量电压、电流、电能等参数。</w:t>
      </w:r>
    </w:p>
    <w:p>
      <w:pPr>
        <w:pStyle w:val="89"/>
        <w:spacing w:line="360" w:lineRule="auto"/>
        <w:ind w:left="880" w:firstLine="0" w:firstLineChars="0"/>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电流测量范围：0～100A；</w:t>
      </w:r>
    </w:p>
    <w:p>
      <w:pPr>
        <w:pStyle w:val="89"/>
        <w:spacing w:line="360" w:lineRule="auto"/>
        <w:ind w:left="880" w:firstLine="0" w:firstLineChars="0"/>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电能计算：计量正向有功电能、反向有功电能及组合有功电能；</w:t>
      </w:r>
    </w:p>
    <w:p>
      <w:pPr>
        <w:pStyle w:val="89"/>
        <w:spacing w:line="360" w:lineRule="auto"/>
        <w:ind w:left="880" w:firstLine="0" w:firstLineChars="0"/>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电能存储</w:t>
      </w:r>
      <w:r>
        <w:rPr>
          <w:rFonts w:hint="eastAsia" w:cs="宋体" w:asciiTheme="minorEastAsia" w:hAnsiTheme="minorEastAsia" w:eastAsiaTheme="minorEastAsia"/>
          <w:color w:val="000000" w:themeColor="text1"/>
          <w:sz w:val="21"/>
          <w:szCs w:val="21"/>
          <w14:textFill>
            <w14:solidFill>
              <w14:schemeClr w14:val="tx1"/>
            </w14:solidFill>
          </w14:textFill>
        </w:rPr>
        <w:t>：月末自动冻结电量，最多可保存</w:t>
      </w:r>
      <w:r>
        <w:rPr>
          <w:rFonts w:cs="宋体" w:asciiTheme="minorEastAsia" w:hAnsiTheme="minorEastAsia" w:eastAsiaTheme="minorEastAsia"/>
          <w:color w:val="000000" w:themeColor="text1"/>
          <w:sz w:val="21"/>
          <w:szCs w:val="21"/>
          <w14:textFill>
            <w14:solidFill>
              <w14:schemeClr w14:val="tx1"/>
            </w14:solidFill>
          </w14:textFill>
        </w:rPr>
        <w:t xml:space="preserve"> 12 </w:t>
      </w:r>
      <w:r>
        <w:rPr>
          <w:rFonts w:hint="eastAsia" w:cs="宋体" w:asciiTheme="minorEastAsia" w:hAnsiTheme="minorEastAsia" w:eastAsiaTheme="minorEastAsia"/>
          <w:color w:val="000000" w:themeColor="text1"/>
          <w:sz w:val="21"/>
          <w:szCs w:val="21"/>
          <w14:textFill>
            <w14:solidFill>
              <w14:schemeClr w14:val="tx1"/>
            </w14:solidFill>
          </w14:textFill>
        </w:rPr>
        <w:t>个月电量。</w:t>
      </w:r>
    </w:p>
    <w:p>
      <w:pPr>
        <w:pStyle w:val="89"/>
        <w:spacing w:line="360" w:lineRule="auto"/>
        <w:ind w:left="880" w:firstLine="0" w:firstLineChars="0"/>
        <w:rPr>
          <w:rFonts w:cs="宋体" w:asciiTheme="minorEastAsia" w:hAnsiTheme="minorEastAsia" w:eastAsiaTheme="minorEastAsia"/>
          <w:color w:val="000000" w:themeColor="text1"/>
          <w:sz w:val="21"/>
          <w:szCs w:val="21"/>
          <w14:textFill>
            <w14:solidFill>
              <w14:schemeClr w14:val="tx1"/>
            </w14:solidFill>
          </w14:textFill>
        </w:rPr>
      </w:pPr>
      <w:r>
        <w:rPr>
          <w:rFonts w:cs="宋体" w:asciiTheme="minorEastAsia" w:hAnsiTheme="minorEastAsia" w:eastAsiaTheme="minorEastAsia"/>
          <w:color w:val="000000" w:themeColor="text1"/>
          <w:szCs w:val="21"/>
          <w14:textFill>
            <w14:solidFill>
              <w14:schemeClr w14:val="tx1"/>
            </w14:solidFill>
          </w14:textFill>
        </w:rPr>
        <w:t>★</w:t>
      </w:r>
      <w:r>
        <w:rPr>
          <w:rFonts w:hint="eastAsia" w:cs="宋体" w:asciiTheme="minorEastAsia" w:hAnsiTheme="minorEastAsia" w:eastAsiaTheme="minorEastAsia"/>
          <w:color w:val="000000" w:themeColor="text1"/>
          <w:sz w:val="21"/>
          <w:szCs w:val="21"/>
          <w14:textFill>
            <w14:solidFill>
              <w14:schemeClr w14:val="tx1"/>
            </w14:solidFill>
          </w14:textFill>
        </w:rPr>
        <w:t>精度：≤</w:t>
      </w:r>
      <w:r>
        <w:rPr>
          <w:rFonts w:cs="宋体" w:asciiTheme="minorEastAsia" w:hAnsiTheme="minorEastAsia" w:eastAsiaTheme="minorEastAsia"/>
          <w:color w:val="000000" w:themeColor="text1"/>
          <w:sz w:val="21"/>
          <w:szCs w:val="21"/>
          <w14:textFill>
            <w14:solidFill>
              <w14:schemeClr w14:val="tx1"/>
            </w14:solidFill>
          </w14:textFill>
        </w:rPr>
        <w:t>0.5S</w:t>
      </w:r>
      <w:r>
        <w:rPr>
          <w:rFonts w:hint="eastAsia" w:cs="宋体" w:asciiTheme="minorEastAsia" w:hAnsiTheme="minorEastAsia" w:eastAsiaTheme="minorEastAsia"/>
          <w:color w:val="000000" w:themeColor="text1"/>
          <w:sz w:val="21"/>
          <w:szCs w:val="21"/>
          <w14:textFill>
            <w14:solidFill>
              <w14:schemeClr w14:val="tx1"/>
            </w14:solidFill>
          </w14:textFill>
        </w:rPr>
        <w:t>，</w:t>
      </w:r>
      <w:r>
        <w:rPr>
          <w:rFonts w:asciiTheme="minorEastAsia" w:hAnsiTheme="minorEastAsia" w:eastAsiaTheme="minorEastAsia"/>
          <w:color w:val="000000" w:themeColor="text1"/>
          <w:sz w:val="21"/>
          <w:szCs w:val="21"/>
          <w14:textFill>
            <w14:solidFill>
              <w14:schemeClr w14:val="tx1"/>
            </w14:solidFill>
          </w14:textFill>
        </w:rPr>
        <w:t>符合国标要求</w:t>
      </w:r>
      <w:r>
        <w:rPr>
          <w:rFonts w:hint="eastAsia" w:cs="宋体" w:asciiTheme="minorEastAsia" w:hAnsiTheme="minorEastAsia" w:eastAsiaTheme="minorEastAsia"/>
          <w:color w:val="000000" w:themeColor="text1"/>
          <w:sz w:val="21"/>
          <w:szCs w:val="21"/>
          <w14:textFill>
            <w14:solidFill>
              <w14:schemeClr w14:val="tx1"/>
            </w14:solidFill>
          </w14:textFill>
        </w:rPr>
        <w:t>；</w:t>
      </w:r>
    </w:p>
    <w:p>
      <w:pPr>
        <w:pStyle w:val="89"/>
        <w:spacing w:line="360" w:lineRule="auto"/>
        <w:ind w:left="880" w:firstLine="0" w:firstLineChars="0"/>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带显示；</w:t>
      </w:r>
    </w:p>
    <w:p>
      <w:pPr>
        <w:pStyle w:val="89"/>
        <w:spacing w:line="360" w:lineRule="auto"/>
        <w:ind w:left="880" w:firstLine="0" w:firstLineChars="0"/>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外形尺寸：76</w:t>
      </w:r>
      <w:r>
        <w:rPr>
          <w:rFonts w:hint="eastAsia" w:asciiTheme="minorEastAsia" w:hAnsiTheme="minorEastAsia" w:eastAsiaTheme="minorEastAsia"/>
          <w:color w:val="000000" w:themeColor="text1"/>
          <w:sz w:val="21"/>
          <w:szCs w:val="21"/>
          <w14:textFill>
            <w14:solidFill>
              <w14:schemeClr w14:val="tx1"/>
            </w14:solidFill>
          </w14:textFill>
        </w:rPr>
        <w:t>±</w:t>
      </w:r>
      <w:r>
        <w:rPr>
          <w:rFonts w:asciiTheme="minorEastAsia" w:hAnsiTheme="minorEastAsia" w:eastAsiaTheme="minorEastAsia"/>
          <w:color w:val="000000" w:themeColor="text1"/>
          <w:sz w:val="21"/>
          <w:szCs w:val="21"/>
          <w14:textFill>
            <w14:solidFill>
              <w14:schemeClr w14:val="tx1"/>
            </w14:solidFill>
          </w14:textFill>
        </w:rPr>
        <w:t>0.5mm</w:t>
      </w:r>
      <w:r>
        <w:rPr>
          <w:rFonts w:hint="eastAsia" w:asciiTheme="minorEastAsia" w:hAnsiTheme="minorEastAsia" w:eastAsiaTheme="minorEastAsia"/>
          <w:color w:val="000000" w:themeColor="text1"/>
          <w:sz w:val="21"/>
          <w:szCs w:val="21"/>
          <w14:textFill>
            <w14:solidFill>
              <w14:schemeClr w14:val="tx1"/>
            </w14:solidFill>
          </w14:textFill>
        </w:rPr>
        <w:t>×</w:t>
      </w:r>
      <w:r>
        <w:rPr>
          <w:rFonts w:asciiTheme="minorEastAsia" w:hAnsiTheme="minorEastAsia" w:eastAsiaTheme="minorEastAsia"/>
          <w:color w:val="000000" w:themeColor="text1"/>
          <w:sz w:val="21"/>
          <w:szCs w:val="21"/>
          <w14:textFill>
            <w14:solidFill>
              <w14:schemeClr w14:val="tx1"/>
            </w14:solidFill>
          </w14:textFill>
        </w:rPr>
        <w:t>72</w:t>
      </w:r>
      <w:r>
        <w:rPr>
          <w:rFonts w:hint="eastAsia" w:asciiTheme="minorEastAsia" w:hAnsiTheme="minorEastAsia" w:eastAsiaTheme="minorEastAsia"/>
          <w:color w:val="000000" w:themeColor="text1"/>
          <w:sz w:val="21"/>
          <w:szCs w:val="21"/>
          <w14:textFill>
            <w14:solidFill>
              <w14:schemeClr w14:val="tx1"/>
            </w14:solidFill>
          </w14:textFill>
        </w:rPr>
        <w:t>±</w:t>
      </w:r>
      <w:r>
        <w:rPr>
          <w:rFonts w:asciiTheme="minorEastAsia" w:hAnsiTheme="minorEastAsia" w:eastAsiaTheme="minorEastAsia"/>
          <w:color w:val="000000" w:themeColor="text1"/>
          <w:sz w:val="21"/>
          <w:szCs w:val="21"/>
          <w14:textFill>
            <w14:solidFill>
              <w14:schemeClr w14:val="tx1"/>
            </w14:solidFill>
          </w14:textFill>
        </w:rPr>
        <w:t>0.5mm</w:t>
      </w:r>
      <w:r>
        <w:rPr>
          <w:rFonts w:hint="eastAsia" w:asciiTheme="minorEastAsia" w:hAnsiTheme="minorEastAsia" w:eastAsiaTheme="minorEastAsia"/>
          <w:color w:val="000000" w:themeColor="text1"/>
          <w:sz w:val="21"/>
          <w:szCs w:val="21"/>
          <w14:textFill>
            <w14:solidFill>
              <w14:schemeClr w14:val="tx1"/>
            </w14:solidFill>
          </w14:textFill>
        </w:rPr>
        <w:t>×</w:t>
      </w:r>
      <w:r>
        <w:rPr>
          <w:rFonts w:asciiTheme="minorEastAsia" w:hAnsiTheme="minorEastAsia" w:eastAsiaTheme="minorEastAsia"/>
          <w:color w:val="000000" w:themeColor="text1"/>
          <w:sz w:val="21"/>
          <w:szCs w:val="21"/>
          <w14:textFill>
            <w14:solidFill>
              <w14:schemeClr w14:val="tx1"/>
            </w14:solidFill>
          </w14:textFill>
        </w:rPr>
        <w:t>63</w:t>
      </w:r>
      <w:r>
        <w:rPr>
          <w:rFonts w:hint="eastAsia" w:asciiTheme="minorEastAsia" w:hAnsiTheme="minorEastAsia" w:eastAsiaTheme="minorEastAsia"/>
          <w:color w:val="000000" w:themeColor="text1"/>
          <w:sz w:val="21"/>
          <w:szCs w:val="21"/>
          <w14:textFill>
            <w14:solidFill>
              <w14:schemeClr w14:val="tx1"/>
            </w14:solidFill>
          </w14:textFill>
        </w:rPr>
        <w:t>±</w:t>
      </w:r>
      <w:r>
        <w:rPr>
          <w:rFonts w:asciiTheme="minorEastAsia" w:hAnsiTheme="minorEastAsia" w:eastAsiaTheme="minorEastAsia"/>
          <w:color w:val="000000" w:themeColor="text1"/>
          <w:sz w:val="21"/>
          <w:szCs w:val="21"/>
          <w14:textFill>
            <w14:solidFill>
              <w14:schemeClr w14:val="tx1"/>
            </w14:solidFill>
          </w14:textFill>
        </w:rPr>
        <w:t>0.5mm (长×宽×高)</w:t>
      </w:r>
    </w:p>
    <w:p>
      <w:pPr>
        <w:pStyle w:val="89"/>
        <w:spacing w:line="360" w:lineRule="auto"/>
        <w:ind w:left="880" w:firstLine="0" w:firstLineChars="0"/>
        <w:jc w:val="left"/>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通信方式</w:t>
      </w:r>
      <w:r>
        <w:rPr>
          <w:rFonts w:asciiTheme="minorEastAsia" w:hAnsiTheme="minorEastAsia" w:eastAsiaTheme="minorEastAsia"/>
          <w:color w:val="000000" w:themeColor="text1"/>
          <w:sz w:val="21"/>
          <w:szCs w:val="21"/>
          <w14:textFill>
            <w14:solidFill>
              <w14:schemeClr w14:val="tx1"/>
            </w14:solidFill>
          </w14:textFill>
        </w:rPr>
        <w:t>：兼容DL/T645-1997、DL/T645-2007和Modbus通信规约，具备CMA认证资质和本系列计量电表CPA证书</w:t>
      </w:r>
      <w:r>
        <w:rPr>
          <w:rFonts w:hint="eastAsia" w:cs="宋体" w:asciiTheme="minorEastAsia" w:hAnsiTheme="minorEastAsia" w:eastAsiaTheme="minorEastAsia"/>
          <w:color w:val="000000" w:themeColor="text1"/>
          <w:sz w:val="21"/>
          <w:szCs w:val="21"/>
          <w14:textFill>
            <w14:solidFill>
              <w14:schemeClr w14:val="tx1"/>
            </w14:solidFill>
          </w14:textFill>
        </w:rPr>
        <w:t>。</w:t>
      </w:r>
    </w:p>
    <w:p>
      <w:pPr>
        <w:pStyle w:val="373"/>
        <w:numPr>
          <w:ilvl w:val="2"/>
          <w:numId w:val="22"/>
        </w:numPr>
        <w:spacing w:line="500" w:lineRule="exact"/>
        <w:ind w:firstLineChars="0"/>
        <w:jc w:val="left"/>
        <w:rPr>
          <w:rFonts w:asciiTheme="minorEastAsia" w:hAnsiTheme="minorEastAsia" w:eastAsiaTheme="minorEastAsia"/>
          <w:b/>
          <w:bCs/>
          <w:color w:val="000000" w:themeColor="text1"/>
          <w14:textFill>
            <w14:solidFill>
              <w14:schemeClr w14:val="tx1"/>
            </w14:solidFill>
          </w14:textFill>
        </w:rPr>
      </w:pPr>
      <w:r>
        <w:rPr>
          <w:rFonts w:hint="eastAsia" w:asciiTheme="minorEastAsia" w:hAnsiTheme="minorEastAsia" w:eastAsiaTheme="minorEastAsia"/>
          <w:b/>
          <w:bCs/>
          <w:color w:val="000000" w:themeColor="text1"/>
          <w14:textFill>
            <w14:solidFill>
              <w14:schemeClr w14:val="tx1"/>
            </w14:solidFill>
          </w14:textFill>
        </w:rPr>
        <w:t>三相电表</w:t>
      </w:r>
    </w:p>
    <w:p>
      <w:pPr>
        <w:spacing w:line="360" w:lineRule="auto"/>
        <w:ind w:firstLine="787" w:firstLineChars="375"/>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辅助电源：</w:t>
      </w:r>
      <w:r>
        <w:rPr>
          <w:rFonts w:asciiTheme="minorEastAsia" w:hAnsiTheme="minorEastAsia" w:eastAsiaTheme="minorEastAsia"/>
          <w:color w:val="000000" w:themeColor="text1"/>
          <w:szCs w:val="21"/>
          <w14:textFill>
            <w14:solidFill>
              <w14:schemeClr w14:val="tx1"/>
            </w14:solidFill>
          </w14:textFill>
        </w:rPr>
        <w:t>AC85V~265V or DC85V~330V</w:t>
      </w:r>
      <w:r>
        <w:rPr>
          <w:rFonts w:hint="eastAsia" w:asciiTheme="minorEastAsia" w:hAnsiTheme="minorEastAsia" w:eastAsiaTheme="minorEastAsia"/>
          <w:color w:val="000000" w:themeColor="text1"/>
          <w:szCs w:val="21"/>
          <w14:textFill>
            <w14:solidFill>
              <w14:schemeClr w14:val="tx1"/>
            </w14:solidFill>
          </w14:textFill>
        </w:rPr>
        <w:t>；</w:t>
      </w:r>
    </w:p>
    <w:p>
      <w:pPr>
        <w:pStyle w:val="89"/>
        <w:spacing w:line="360" w:lineRule="auto"/>
        <w:ind w:left="880" w:firstLine="0" w:firstLineChars="0"/>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工作电压：</w:t>
      </w:r>
      <w:r>
        <w:rPr>
          <w:rFonts w:cs="宋体" w:asciiTheme="minorEastAsia" w:hAnsiTheme="minorEastAsia" w:eastAsiaTheme="minorEastAsia"/>
          <w:color w:val="000000" w:themeColor="text1"/>
          <w:sz w:val="21"/>
          <w:szCs w:val="21"/>
          <w14:textFill>
            <w14:solidFill>
              <w14:schemeClr w14:val="tx1"/>
            </w14:solidFill>
          </w14:textFill>
        </w:rPr>
        <w:t>0.8~1.1Un;</w:t>
      </w:r>
    </w:p>
    <w:p>
      <w:pPr>
        <w:pStyle w:val="89"/>
        <w:spacing w:line="360" w:lineRule="auto"/>
        <w:ind w:left="880" w:firstLine="0" w:firstLineChars="0"/>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额度电压（</w:t>
      </w:r>
      <w:r>
        <w:rPr>
          <w:rFonts w:cs="宋体" w:asciiTheme="minorEastAsia" w:hAnsiTheme="minorEastAsia" w:eastAsiaTheme="minorEastAsia"/>
          <w:color w:val="000000" w:themeColor="text1"/>
          <w:sz w:val="21"/>
          <w:szCs w:val="21"/>
          <w14:textFill>
            <w14:solidFill>
              <w14:schemeClr w14:val="tx1"/>
            </w14:solidFill>
          </w14:textFill>
        </w:rPr>
        <w:t>Un</w:t>
      </w:r>
      <w:r>
        <w:rPr>
          <w:rFonts w:hint="eastAsia" w:cs="宋体" w:asciiTheme="minorEastAsia" w:hAnsiTheme="minorEastAsia" w:eastAsiaTheme="minorEastAsia"/>
          <w:color w:val="000000" w:themeColor="text1"/>
          <w:sz w:val="21"/>
          <w:szCs w:val="21"/>
          <w14:textFill>
            <w14:solidFill>
              <w14:schemeClr w14:val="tx1"/>
            </w14:solidFill>
          </w14:textFill>
        </w:rPr>
        <w:t>）：</w:t>
      </w:r>
      <w:r>
        <w:rPr>
          <w:rFonts w:cs="宋体" w:asciiTheme="minorEastAsia" w:hAnsiTheme="minorEastAsia" w:eastAsiaTheme="minorEastAsia"/>
          <w:color w:val="000000" w:themeColor="text1"/>
          <w:sz w:val="21"/>
          <w:szCs w:val="21"/>
          <w14:textFill>
            <w14:solidFill>
              <w14:schemeClr w14:val="tx1"/>
            </w14:solidFill>
          </w14:textFill>
        </w:rPr>
        <w:t>380V</w:t>
      </w:r>
      <w:r>
        <w:rPr>
          <w:rFonts w:hint="eastAsia" w:cs="宋体" w:asciiTheme="minorEastAsia" w:hAnsiTheme="minorEastAsia" w:eastAsiaTheme="minorEastAsia"/>
          <w:color w:val="000000" w:themeColor="text1"/>
          <w:sz w:val="21"/>
          <w:szCs w:val="21"/>
          <w14:textFill>
            <w14:solidFill>
              <w14:schemeClr w14:val="tx1"/>
            </w14:solidFill>
          </w14:textFill>
        </w:rPr>
        <w:t>；</w:t>
      </w:r>
    </w:p>
    <w:p>
      <w:pPr>
        <w:pStyle w:val="89"/>
        <w:spacing w:line="360" w:lineRule="auto"/>
        <w:ind w:left="880" w:firstLine="0" w:firstLineChars="0"/>
        <w:rPr>
          <w:rFonts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工作温度：</w:t>
      </w:r>
      <w:r>
        <w:rPr>
          <w:rFonts w:cs="宋体" w:asciiTheme="minorEastAsia" w:hAnsiTheme="minorEastAsia" w:eastAsiaTheme="minorEastAsia"/>
          <w:color w:val="000000" w:themeColor="text1"/>
          <w:sz w:val="21"/>
          <w:szCs w:val="21"/>
          <w14:textFill>
            <w14:solidFill>
              <w14:schemeClr w14:val="tx1"/>
            </w14:solidFill>
          </w14:textFill>
        </w:rPr>
        <w:t>-10</w:t>
      </w:r>
      <w:r>
        <w:rPr>
          <w:rFonts w:hint="eastAsia" w:cs="宋体" w:asciiTheme="minorEastAsia" w:hAnsiTheme="minorEastAsia" w:eastAsiaTheme="minorEastAsia"/>
          <w:color w:val="000000" w:themeColor="text1"/>
          <w:sz w:val="21"/>
          <w:szCs w:val="21"/>
          <w14:textFill>
            <w14:solidFill>
              <w14:schemeClr w14:val="tx1"/>
            </w14:solidFill>
          </w14:textFill>
        </w:rPr>
        <w:t>℃</w:t>
      </w:r>
      <w:r>
        <w:rPr>
          <w:rFonts w:cs="宋体" w:asciiTheme="minorEastAsia" w:hAnsiTheme="minorEastAsia" w:eastAsiaTheme="minorEastAsia"/>
          <w:color w:val="000000" w:themeColor="text1"/>
          <w:sz w:val="21"/>
          <w:szCs w:val="21"/>
          <w14:textFill>
            <w14:solidFill>
              <w14:schemeClr w14:val="tx1"/>
            </w14:solidFill>
          </w14:textFill>
        </w:rPr>
        <w:t>-50</w:t>
      </w:r>
      <w:r>
        <w:rPr>
          <w:rFonts w:hint="eastAsia" w:cs="宋体" w:asciiTheme="minorEastAsia" w:hAnsiTheme="minorEastAsia" w:eastAsiaTheme="minorEastAsia"/>
          <w:color w:val="000000" w:themeColor="text1"/>
          <w:sz w:val="21"/>
          <w:szCs w:val="21"/>
          <w14:textFill>
            <w14:solidFill>
              <w14:schemeClr w14:val="tx1"/>
            </w14:solidFill>
          </w14:textFill>
        </w:rPr>
        <w:t>℃；</w:t>
      </w:r>
    </w:p>
    <w:p>
      <w:pPr>
        <w:pStyle w:val="89"/>
        <w:spacing w:line="360" w:lineRule="auto"/>
        <w:ind w:left="880" w:firstLine="0" w:firstLineChars="0"/>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电压测量范围：3×57.7V/100V，可以测量电压、电流、</w:t>
      </w:r>
      <w:r>
        <w:rPr>
          <w:rFonts w:hint="eastAsia" w:cs="宋体" w:asciiTheme="minorEastAsia" w:hAnsiTheme="minorEastAsia" w:eastAsiaTheme="minorEastAsia"/>
          <w:color w:val="000000" w:themeColor="text1"/>
          <w:sz w:val="21"/>
          <w:szCs w:val="21"/>
          <w14:textFill>
            <w14:solidFill>
              <w14:schemeClr w14:val="tx1"/>
            </w14:solidFill>
          </w14:textFill>
        </w:rPr>
        <w:t>正向有功、正向无功</w:t>
      </w:r>
      <w:r>
        <w:rPr>
          <w:rFonts w:asciiTheme="minorEastAsia" w:hAnsiTheme="minorEastAsia" w:eastAsiaTheme="minorEastAsia"/>
          <w:color w:val="000000" w:themeColor="text1"/>
          <w:sz w:val="21"/>
          <w:szCs w:val="21"/>
          <w14:textFill>
            <w14:solidFill>
              <w14:schemeClr w14:val="tx1"/>
            </w14:solidFill>
          </w14:textFill>
        </w:rPr>
        <w:t>等参数。</w:t>
      </w:r>
    </w:p>
    <w:p>
      <w:pPr>
        <w:pStyle w:val="89"/>
        <w:spacing w:line="360" w:lineRule="auto"/>
        <w:ind w:left="880" w:firstLine="0" w:firstLineChars="0"/>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电流测量范围：3×1.5(6)A；</w:t>
      </w:r>
    </w:p>
    <w:p>
      <w:pPr>
        <w:pStyle w:val="89"/>
        <w:spacing w:line="360" w:lineRule="auto"/>
        <w:ind w:left="880" w:firstLine="0" w:firstLineChars="0"/>
        <w:rPr>
          <w:rFonts w:cs="宋体" w:asciiTheme="minorEastAsia" w:hAnsiTheme="minorEastAsia" w:eastAsiaTheme="minorEastAsia"/>
          <w:color w:val="000000" w:themeColor="text1"/>
          <w:sz w:val="21"/>
          <w:szCs w:val="21"/>
          <w14:textFill>
            <w14:solidFill>
              <w14:schemeClr w14:val="tx1"/>
            </w14:solidFill>
          </w14:textFill>
        </w:rPr>
      </w:pPr>
      <w:r>
        <w:rPr>
          <w:rFonts w:cs="宋体" w:asciiTheme="minorEastAsia" w:hAnsiTheme="minorEastAsia" w:eastAsiaTheme="minorEastAsia"/>
          <w:color w:val="000000" w:themeColor="text1"/>
          <w:szCs w:val="21"/>
          <w14:textFill>
            <w14:solidFill>
              <w14:schemeClr w14:val="tx1"/>
            </w14:solidFill>
          </w14:textFill>
        </w:rPr>
        <w:t>★</w:t>
      </w:r>
      <w:r>
        <w:rPr>
          <w:rFonts w:hint="eastAsia" w:cs="宋体" w:asciiTheme="minorEastAsia" w:hAnsiTheme="minorEastAsia" w:eastAsiaTheme="minorEastAsia"/>
          <w:color w:val="000000" w:themeColor="text1"/>
          <w:sz w:val="21"/>
          <w:szCs w:val="21"/>
          <w14:textFill>
            <w14:solidFill>
              <w14:schemeClr w14:val="tx1"/>
            </w14:solidFill>
          </w14:textFill>
        </w:rPr>
        <w:t>精度：≤</w:t>
      </w:r>
      <w:r>
        <w:rPr>
          <w:rFonts w:cs="宋体" w:asciiTheme="minorEastAsia" w:hAnsiTheme="minorEastAsia" w:eastAsiaTheme="minorEastAsia"/>
          <w:color w:val="000000" w:themeColor="text1"/>
          <w:sz w:val="21"/>
          <w:szCs w:val="21"/>
          <w14:textFill>
            <w14:solidFill>
              <w14:schemeClr w14:val="tx1"/>
            </w14:solidFill>
          </w14:textFill>
        </w:rPr>
        <w:t>0.5S</w:t>
      </w:r>
      <w:r>
        <w:rPr>
          <w:rFonts w:hint="eastAsia" w:cs="宋体" w:asciiTheme="minorEastAsia" w:hAnsiTheme="minorEastAsia" w:eastAsiaTheme="minorEastAsia"/>
          <w:color w:val="000000" w:themeColor="text1"/>
          <w:sz w:val="21"/>
          <w:szCs w:val="21"/>
          <w14:textFill>
            <w14:solidFill>
              <w14:schemeClr w14:val="tx1"/>
            </w14:solidFill>
          </w14:textFill>
        </w:rPr>
        <w:t>，</w:t>
      </w:r>
      <w:r>
        <w:rPr>
          <w:rFonts w:asciiTheme="minorEastAsia" w:hAnsiTheme="minorEastAsia" w:eastAsiaTheme="minorEastAsia"/>
          <w:color w:val="000000" w:themeColor="text1"/>
          <w:sz w:val="21"/>
          <w:szCs w:val="21"/>
          <w14:textFill>
            <w14:solidFill>
              <w14:schemeClr w14:val="tx1"/>
            </w14:solidFill>
          </w14:textFill>
        </w:rPr>
        <w:t>符合国标要求</w:t>
      </w:r>
      <w:r>
        <w:rPr>
          <w:rFonts w:hint="eastAsia" w:cs="宋体" w:asciiTheme="minorEastAsia" w:hAnsiTheme="minorEastAsia" w:eastAsiaTheme="minorEastAsia"/>
          <w:color w:val="000000" w:themeColor="text1"/>
          <w:sz w:val="21"/>
          <w:szCs w:val="21"/>
          <w14:textFill>
            <w14:solidFill>
              <w14:schemeClr w14:val="tx1"/>
            </w14:solidFill>
          </w14:textFill>
        </w:rPr>
        <w:t>；</w:t>
      </w:r>
    </w:p>
    <w:p>
      <w:pPr>
        <w:pStyle w:val="89"/>
        <w:spacing w:line="360" w:lineRule="auto"/>
        <w:ind w:left="880" w:firstLine="0" w:firstLineChars="0"/>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电能计算：计量正向有功电能、反向有功电能、四象限无功电能及组合有功电能和两种组合无功电能；</w:t>
      </w:r>
    </w:p>
    <w:p>
      <w:pPr>
        <w:pStyle w:val="89"/>
        <w:spacing w:line="360" w:lineRule="auto"/>
        <w:ind w:left="880" w:firstLine="0" w:firstLineChars="0"/>
        <w:rPr>
          <w:rFonts w:cs="宋体"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电能存储</w:t>
      </w:r>
      <w:r>
        <w:rPr>
          <w:rFonts w:hint="eastAsia" w:cs="宋体" w:asciiTheme="minorEastAsia" w:hAnsiTheme="minorEastAsia" w:eastAsiaTheme="minorEastAsia"/>
          <w:color w:val="000000" w:themeColor="text1"/>
          <w:sz w:val="21"/>
          <w:szCs w:val="21"/>
          <w14:textFill>
            <w14:solidFill>
              <w14:schemeClr w14:val="tx1"/>
            </w14:solidFill>
          </w14:textFill>
        </w:rPr>
        <w:t>：月末自动冻结电量，最多可保存</w:t>
      </w:r>
      <w:r>
        <w:rPr>
          <w:rFonts w:cs="宋体" w:asciiTheme="minorEastAsia" w:hAnsiTheme="minorEastAsia" w:eastAsiaTheme="minorEastAsia"/>
          <w:color w:val="000000" w:themeColor="text1"/>
          <w:sz w:val="21"/>
          <w:szCs w:val="21"/>
          <w14:textFill>
            <w14:solidFill>
              <w14:schemeClr w14:val="tx1"/>
            </w14:solidFill>
          </w14:textFill>
        </w:rPr>
        <w:t xml:space="preserve"> 12 </w:t>
      </w:r>
      <w:r>
        <w:rPr>
          <w:rFonts w:hint="eastAsia" w:cs="宋体" w:asciiTheme="minorEastAsia" w:hAnsiTheme="minorEastAsia" w:eastAsiaTheme="minorEastAsia"/>
          <w:color w:val="000000" w:themeColor="text1"/>
          <w:sz w:val="21"/>
          <w:szCs w:val="21"/>
          <w14:textFill>
            <w14:solidFill>
              <w14:schemeClr w14:val="tx1"/>
            </w14:solidFill>
          </w14:textFill>
        </w:rPr>
        <w:t>个月电量。</w:t>
      </w:r>
    </w:p>
    <w:p>
      <w:pPr>
        <w:pStyle w:val="89"/>
        <w:spacing w:line="360" w:lineRule="auto"/>
        <w:ind w:left="880" w:firstLine="0" w:firstLineChars="0"/>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谐波测量：计量总、分相的正向、反向谐波电能，测量电压、电流的谐波含量，可以测量</w:t>
      </w:r>
      <w:r>
        <w:rPr>
          <w:rFonts w:cs="宋体" w:asciiTheme="minorEastAsia" w:hAnsiTheme="minorEastAsia" w:eastAsiaTheme="minorEastAsia"/>
          <w:color w:val="000000" w:themeColor="text1"/>
          <w:sz w:val="21"/>
          <w:szCs w:val="21"/>
          <w14:textFill>
            <w14:solidFill>
              <w14:schemeClr w14:val="tx1"/>
            </w14:solidFill>
          </w14:textFill>
        </w:rPr>
        <w:t xml:space="preserve"> 21 </w:t>
      </w:r>
      <w:r>
        <w:rPr>
          <w:rFonts w:hint="eastAsia" w:cs="宋体" w:asciiTheme="minorEastAsia" w:hAnsiTheme="minorEastAsia" w:eastAsiaTheme="minorEastAsia"/>
          <w:color w:val="000000" w:themeColor="text1"/>
          <w:sz w:val="21"/>
          <w:szCs w:val="21"/>
          <w14:textFill>
            <w14:solidFill>
              <w14:schemeClr w14:val="tx1"/>
            </w14:solidFill>
          </w14:textFill>
        </w:rPr>
        <w:t>次谐波含量；</w:t>
      </w:r>
    </w:p>
    <w:p>
      <w:pPr>
        <w:pStyle w:val="89"/>
        <w:spacing w:line="360" w:lineRule="auto"/>
        <w:ind w:left="880" w:firstLine="0" w:firstLineChars="0"/>
        <w:rPr>
          <w:rFonts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保护：失压、失流、断相判断及相应的事件记录等功能，保存</w:t>
      </w:r>
      <w:r>
        <w:rPr>
          <w:rFonts w:cs="宋体" w:asciiTheme="minorEastAsia" w:hAnsiTheme="minorEastAsia" w:eastAsiaTheme="minorEastAsia"/>
          <w:color w:val="000000" w:themeColor="text1"/>
          <w:sz w:val="21"/>
          <w:szCs w:val="21"/>
          <w14:textFill>
            <w14:solidFill>
              <w14:schemeClr w14:val="tx1"/>
            </w14:solidFill>
          </w14:textFill>
        </w:rPr>
        <w:t>10</w:t>
      </w:r>
      <w:r>
        <w:rPr>
          <w:rFonts w:hint="eastAsia" w:cs="宋体" w:asciiTheme="minorEastAsia" w:hAnsiTheme="minorEastAsia" w:eastAsiaTheme="minorEastAsia"/>
          <w:color w:val="000000" w:themeColor="text1"/>
          <w:sz w:val="21"/>
          <w:szCs w:val="21"/>
          <w14:textFill>
            <w14:solidFill>
              <w14:schemeClr w14:val="tx1"/>
            </w14:solidFill>
          </w14:textFill>
        </w:rPr>
        <w:t>次的事件量及对应数据信息；</w:t>
      </w:r>
    </w:p>
    <w:p>
      <w:pPr>
        <w:pStyle w:val="89"/>
        <w:spacing w:line="360" w:lineRule="auto"/>
        <w:ind w:left="880" w:firstLine="0" w:firstLineChars="0"/>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带显示；</w:t>
      </w:r>
    </w:p>
    <w:p>
      <w:pPr>
        <w:spacing w:line="360" w:lineRule="auto"/>
        <w:ind w:firstLine="787" w:firstLineChars="375"/>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外形尺寸</w:t>
      </w:r>
      <w:r>
        <w:rPr>
          <w:rFonts w:cs="宋体"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 xml:space="preserve"> </w:t>
      </w:r>
      <w:r>
        <w:rPr>
          <w:rFonts w:cs="宋体" w:asciiTheme="minorEastAsia" w:hAnsiTheme="minorEastAsia" w:eastAsiaTheme="minorEastAsia"/>
          <w:color w:val="000000" w:themeColor="text1"/>
          <w:szCs w:val="21"/>
          <w14:textFill>
            <w14:solidFill>
              <w14:schemeClr w14:val="tx1"/>
            </w14:solidFill>
          </w14:textFill>
        </w:rPr>
        <w:t>76</w:t>
      </w:r>
      <w:r>
        <w:rPr>
          <w:rFonts w:hint="eastAsia" w:cs="宋体" w:asciiTheme="minorEastAsia" w:hAnsiTheme="minorEastAsia" w:eastAsiaTheme="minorEastAsia"/>
          <w:color w:val="000000" w:themeColor="text1"/>
          <w:szCs w:val="21"/>
          <w14:textFill>
            <w14:solidFill>
              <w14:schemeClr w14:val="tx1"/>
            </w14:solidFill>
          </w14:textFill>
        </w:rPr>
        <w:t>±</w:t>
      </w:r>
      <w:r>
        <w:rPr>
          <w:rFonts w:cs="宋体" w:asciiTheme="minorEastAsia" w:hAnsiTheme="minorEastAsia" w:eastAsiaTheme="minorEastAsia"/>
          <w:color w:val="000000" w:themeColor="text1"/>
          <w:szCs w:val="21"/>
          <w14:textFill>
            <w14:solidFill>
              <w14:schemeClr w14:val="tx1"/>
            </w14:solidFill>
          </w14:textFill>
        </w:rPr>
        <w:t>0.5mm</w:t>
      </w:r>
      <w:r>
        <w:rPr>
          <w:rFonts w:hint="eastAsia" w:cs="宋体" w:asciiTheme="minorEastAsia" w:hAnsiTheme="minorEastAsia" w:eastAsiaTheme="minorEastAsia"/>
          <w:color w:val="000000" w:themeColor="text1"/>
          <w:szCs w:val="21"/>
          <w14:textFill>
            <w14:solidFill>
              <w14:schemeClr w14:val="tx1"/>
            </w14:solidFill>
          </w14:textFill>
        </w:rPr>
        <w:t>×</w:t>
      </w:r>
      <w:r>
        <w:rPr>
          <w:rFonts w:cs="宋体" w:asciiTheme="minorEastAsia" w:hAnsiTheme="minorEastAsia" w:eastAsiaTheme="minorEastAsia"/>
          <w:color w:val="000000" w:themeColor="text1"/>
          <w:szCs w:val="21"/>
          <w14:textFill>
            <w14:solidFill>
              <w14:schemeClr w14:val="tx1"/>
            </w14:solidFill>
          </w14:textFill>
        </w:rPr>
        <w:t>72</w:t>
      </w:r>
      <w:r>
        <w:rPr>
          <w:rFonts w:hint="eastAsia" w:cs="宋体" w:asciiTheme="minorEastAsia" w:hAnsiTheme="minorEastAsia" w:eastAsiaTheme="minorEastAsia"/>
          <w:color w:val="000000" w:themeColor="text1"/>
          <w:szCs w:val="21"/>
          <w14:textFill>
            <w14:solidFill>
              <w14:schemeClr w14:val="tx1"/>
            </w14:solidFill>
          </w14:textFill>
        </w:rPr>
        <w:t>±</w:t>
      </w:r>
      <w:r>
        <w:rPr>
          <w:rFonts w:cs="宋体" w:asciiTheme="minorEastAsia" w:hAnsiTheme="minorEastAsia" w:eastAsiaTheme="minorEastAsia"/>
          <w:color w:val="000000" w:themeColor="text1"/>
          <w:szCs w:val="21"/>
          <w14:textFill>
            <w14:solidFill>
              <w14:schemeClr w14:val="tx1"/>
            </w14:solidFill>
          </w14:textFill>
        </w:rPr>
        <w:t>0.5mm</w:t>
      </w:r>
      <w:r>
        <w:rPr>
          <w:rFonts w:hint="eastAsia" w:cs="宋体" w:asciiTheme="minorEastAsia" w:hAnsiTheme="minorEastAsia" w:eastAsiaTheme="minorEastAsia"/>
          <w:color w:val="000000" w:themeColor="text1"/>
          <w:szCs w:val="21"/>
          <w14:textFill>
            <w14:solidFill>
              <w14:schemeClr w14:val="tx1"/>
            </w14:solidFill>
          </w14:textFill>
        </w:rPr>
        <w:t>×</w:t>
      </w:r>
      <w:r>
        <w:rPr>
          <w:rFonts w:cs="宋体" w:asciiTheme="minorEastAsia" w:hAnsiTheme="minorEastAsia" w:eastAsiaTheme="minorEastAsia"/>
          <w:color w:val="000000" w:themeColor="text1"/>
          <w:szCs w:val="21"/>
          <w14:textFill>
            <w14:solidFill>
              <w14:schemeClr w14:val="tx1"/>
            </w14:solidFill>
          </w14:textFill>
        </w:rPr>
        <w:t>63</w:t>
      </w:r>
      <w:r>
        <w:rPr>
          <w:rFonts w:hint="eastAsia" w:cs="宋体" w:asciiTheme="minorEastAsia" w:hAnsiTheme="minorEastAsia" w:eastAsiaTheme="minorEastAsia"/>
          <w:color w:val="000000" w:themeColor="text1"/>
          <w:szCs w:val="21"/>
          <w14:textFill>
            <w14:solidFill>
              <w14:schemeClr w14:val="tx1"/>
            </w14:solidFill>
          </w14:textFill>
        </w:rPr>
        <w:t>±</w:t>
      </w:r>
      <w:r>
        <w:rPr>
          <w:rFonts w:cs="宋体" w:asciiTheme="minorEastAsia" w:hAnsiTheme="minorEastAsia" w:eastAsiaTheme="minorEastAsia"/>
          <w:color w:val="000000" w:themeColor="text1"/>
          <w:szCs w:val="21"/>
          <w14:textFill>
            <w14:solidFill>
              <w14:schemeClr w14:val="tx1"/>
            </w14:solidFill>
          </w14:textFill>
        </w:rPr>
        <w:t>0.5mm (</w:t>
      </w:r>
      <w:r>
        <w:rPr>
          <w:rFonts w:hint="eastAsia" w:cs="宋体" w:asciiTheme="minorEastAsia" w:hAnsiTheme="minorEastAsia" w:eastAsiaTheme="minorEastAsia"/>
          <w:color w:val="000000" w:themeColor="text1"/>
          <w:szCs w:val="21"/>
          <w14:textFill>
            <w14:solidFill>
              <w14:schemeClr w14:val="tx1"/>
            </w14:solidFill>
          </w14:textFill>
        </w:rPr>
        <w:t>长×宽×高</w:t>
      </w:r>
      <w:r>
        <w:rPr>
          <w:rFonts w:cs="宋体" w:asciiTheme="minorEastAsia" w:hAnsiTheme="minorEastAsia" w:eastAsiaTheme="minorEastAsia"/>
          <w:color w:val="000000" w:themeColor="text1"/>
          <w:szCs w:val="21"/>
          <w14:textFill>
            <w14:solidFill>
              <w14:schemeClr w14:val="tx1"/>
            </w14:solidFill>
          </w14:textFill>
        </w:rPr>
        <w:t>)</w:t>
      </w:r>
      <w:r>
        <w:rPr>
          <w:rFonts w:hint="eastAsia" w:cs="宋体" w:asciiTheme="minorEastAsia" w:hAnsiTheme="minorEastAsia" w:eastAsiaTheme="minorEastAsia"/>
          <w:color w:val="000000" w:themeColor="text1"/>
          <w:szCs w:val="21"/>
          <w14:textFill>
            <w14:solidFill>
              <w14:schemeClr w14:val="tx1"/>
            </w14:solidFill>
          </w14:textFill>
        </w:rPr>
        <w:t>；</w:t>
      </w:r>
    </w:p>
    <w:p>
      <w:pPr>
        <w:pStyle w:val="89"/>
        <w:spacing w:line="360" w:lineRule="auto"/>
        <w:ind w:left="880" w:firstLine="0" w:firstLineChars="0"/>
        <w:jc w:val="left"/>
        <w:rPr>
          <w:rFonts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通信方式</w:t>
      </w:r>
      <w:r>
        <w:rPr>
          <w:rFonts w:asciiTheme="minorEastAsia" w:hAnsiTheme="minorEastAsia" w:eastAsiaTheme="minorEastAsia"/>
          <w:color w:val="000000" w:themeColor="text1"/>
          <w:sz w:val="21"/>
          <w:szCs w:val="21"/>
          <w14:textFill>
            <w14:solidFill>
              <w14:schemeClr w14:val="tx1"/>
            </w14:solidFill>
          </w14:textFill>
        </w:rPr>
        <w:t>：兼容 DL/T645-1997、Modbus、DL/T645-2007 规约的通信功能，RS485 通讯波特率为 1200bps、2400bps、4800bps、9600bps、19200bps 可设。通过 RS485</w:t>
      </w:r>
    </w:p>
    <w:p>
      <w:pPr>
        <w:pStyle w:val="89"/>
        <w:spacing w:line="360" w:lineRule="auto"/>
        <w:ind w:left="880" w:firstLine="0" w:firstLineChars="0"/>
        <w:jc w:val="left"/>
        <w:rPr>
          <w:rFonts w:asciiTheme="minorEastAsia" w:hAnsiTheme="minorEastAsia" w:eastAsiaTheme="minorEastAsia"/>
          <w:b/>
          <w:bCs/>
          <w:color w:val="000000" w:themeColor="text1"/>
          <w:kern w:val="44"/>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接口，可与 PC 完成编程参数设置和抄读数据。本通讯协议完全符合 DL/T 645-2007，，具备CMA认证资质和本系列计量电表CPA证书</w:t>
      </w:r>
      <w:r>
        <w:rPr>
          <w:rFonts w:hint="eastAsia" w:cs="宋体" w:asciiTheme="minorEastAsia" w:hAnsiTheme="minorEastAsia" w:eastAsiaTheme="minorEastAsia"/>
          <w:color w:val="000000" w:themeColor="text1"/>
          <w:sz w:val="21"/>
          <w:szCs w:val="21"/>
          <w14:textFill>
            <w14:solidFill>
              <w14:schemeClr w14:val="tx1"/>
            </w14:solidFill>
          </w14:textFill>
        </w:rPr>
        <w:t>。</w:t>
      </w:r>
    </w:p>
    <w:p>
      <w:pPr>
        <w:pStyle w:val="373"/>
        <w:numPr>
          <w:ilvl w:val="2"/>
          <w:numId w:val="22"/>
        </w:numPr>
        <w:spacing w:line="500" w:lineRule="exact"/>
        <w:ind w:firstLineChars="0"/>
        <w:jc w:val="left"/>
        <w:rPr>
          <w:rFonts w:asciiTheme="minorEastAsia" w:hAnsiTheme="minorEastAsia" w:eastAsiaTheme="minorEastAsia"/>
          <w:b/>
          <w:bCs/>
          <w:color w:val="000000" w:themeColor="text1"/>
          <w14:textFill>
            <w14:solidFill>
              <w14:schemeClr w14:val="tx1"/>
            </w14:solidFill>
          </w14:textFill>
        </w:rPr>
      </w:pPr>
      <w:r>
        <w:rPr>
          <w:rFonts w:asciiTheme="minorEastAsia" w:hAnsiTheme="minorEastAsia" w:eastAsiaTheme="minorEastAsia"/>
          <w:b/>
          <w:bCs/>
          <w:color w:val="000000" w:themeColor="text1"/>
          <w14:textFill>
            <w14:solidFill>
              <w14:schemeClr w14:val="tx1"/>
            </w14:solidFill>
          </w14:textFill>
        </w:rPr>
        <w:t>DIDO通信模块</w:t>
      </w:r>
    </w:p>
    <w:p>
      <w:pPr>
        <w:pStyle w:val="373"/>
        <w:numPr>
          <w:ilvl w:val="0"/>
          <w:numId w:val="25"/>
        </w:numPr>
        <w:spacing w:line="500" w:lineRule="exact"/>
        <w:ind w:firstLineChars="0"/>
        <w:jc w:val="left"/>
        <w:rPr>
          <w:rFonts w:asciiTheme="minorEastAsia" w:hAnsiTheme="minorEastAsia" w:eastAsiaTheme="minorEastAsia"/>
          <w:b/>
          <w:bCs/>
          <w:color w:val="000000" w:themeColor="text1"/>
          <w14:textFill>
            <w14:solidFill>
              <w14:schemeClr w14:val="tx1"/>
            </w14:solidFill>
          </w14:textFill>
        </w:rPr>
      </w:pPr>
      <w:r>
        <w:rPr>
          <w:rFonts w:hint="eastAsia" w:asciiTheme="minorEastAsia" w:hAnsiTheme="minorEastAsia" w:eastAsiaTheme="minorEastAsia"/>
          <w:b/>
          <w:bCs/>
          <w:color w:val="000000" w:themeColor="text1"/>
          <w14:textFill>
            <w14:solidFill>
              <w14:schemeClr w14:val="tx1"/>
            </w14:solidFill>
          </w14:textFill>
        </w:rPr>
        <w:t>、电气特性</w:t>
      </w:r>
    </w:p>
    <w:p>
      <w:pPr>
        <w:pStyle w:val="373"/>
        <w:spacing w:line="500" w:lineRule="exact"/>
        <w:ind w:left="880" w:firstLine="0" w:firstLineChars="0"/>
        <w:jc w:val="left"/>
        <w:rPr>
          <w:rFonts w:cs="宋体" w:asciiTheme="minorEastAsia" w:hAnsiTheme="minorEastAsia" w:eastAsiaTheme="minorEastAsia"/>
          <w:color w:val="000000" w:themeColor="text1"/>
          <w:kern w:val="0"/>
          <w14:textFill>
            <w14:solidFill>
              <w14:schemeClr w14:val="tx1"/>
            </w14:solidFill>
          </w14:textFill>
        </w:rPr>
      </w:pPr>
      <w:r>
        <w:rPr>
          <w:rFonts w:hint="eastAsia" w:cs="宋体" w:asciiTheme="minorEastAsia" w:hAnsiTheme="minorEastAsia" w:eastAsiaTheme="minorEastAsia"/>
          <w:color w:val="000000" w:themeColor="text1"/>
          <w:kern w:val="0"/>
          <w14:textFill>
            <w14:solidFill>
              <w14:schemeClr w14:val="tx1"/>
            </w14:solidFill>
          </w14:textFill>
        </w:rPr>
        <w:t>工作电源：</w:t>
      </w:r>
      <w:r>
        <w:rPr>
          <w:rFonts w:cs="宋体" w:asciiTheme="minorEastAsia" w:hAnsiTheme="minorEastAsia" w:eastAsiaTheme="minorEastAsia"/>
          <w:color w:val="000000" w:themeColor="text1"/>
          <w:kern w:val="0"/>
          <w14:textFill>
            <w14:solidFill>
              <w14:schemeClr w14:val="tx1"/>
            </w14:solidFill>
          </w14:textFill>
        </w:rPr>
        <w:t>20</w:t>
      </w:r>
      <w:r>
        <w:rPr>
          <w:rFonts w:hint="eastAsia" w:cs="宋体" w:asciiTheme="minorEastAsia" w:hAnsiTheme="minorEastAsia" w:eastAsiaTheme="minorEastAsia"/>
          <w:color w:val="000000" w:themeColor="text1"/>
          <w:kern w:val="0"/>
          <w14:textFill>
            <w14:solidFill>
              <w14:schemeClr w14:val="tx1"/>
            </w14:solidFill>
          </w14:textFill>
        </w:rPr>
        <w:t>～</w:t>
      </w:r>
      <w:r>
        <w:rPr>
          <w:rFonts w:cs="宋体" w:asciiTheme="minorEastAsia" w:hAnsiTheme="minorEastAsia" w:eastAsiaTheme="minorEastAsia"/>
          <w:color w:val="000000" w:themeColor="text1"/>
          <w:kern w:val="0"/>
          <w14:textFill>
            <w14:solidFill>
              <w14:schemeClr w14:val="tx1"/>
            </w14:solidFill>
          </w14:textFill>
        </w:rPr>
        <w:t>55V DC</w:t>
      </w:r>
    </w:p>
    <w:p>
      <w:pPr>
        <w:pStyle w:val="373"/>
        <w:spacing w:line="500" w:lineRule="exact"/>
        <w:ind w:left="880" w:firstLine="0" w:firstLineChars="0"/>
        <w:jc w:val="left"/>
        <w:rPr>
          <w:rFonts w:cs="宋体" w:asciiTheme="minorEastAsia" w:hAnsiTheme="minorEastAsia" w:eastAsiaTheme="minorEastAsia"/>
          <w:color w:val="000000" w:themeColor="text1"/>
          <w:kern w:val="0"/>
          <w14:textFill>
            <w14:solidFill>
              <w14:schemeClr w14:val="tx1"/>
            </w14:solidFill>
          </w14:textFill>
        </w:rPr>
      </w:pPr>
      <w:r>
        <w:rPr>
          <w:rFonts w:hint="eastAsia" w:cs="宋体" w:asciiTheme="minorEastAsia" w:hAnsiTheme="minorEastAsia" w:eastAsiaTheme="minorEastAsia"/>
          <w:color w:val="000000" w:themeColor="text1"/>
          <w:kern w:val="0"/>
          <w14:textFill>
            <w14:solidFill>
              <w14:schemeClr w14:val="tx1"/>
            </w14:solidFill>
          </w14:textFill>
        </w:rPr>
        <w:t>功耗：≤</w:t>
      </w:r>
      <w:r>
        <w:rPr>
          <w:rFonts w:cs="宋体" w:asciiTheme="minorEastAsia" w:hAnsiTheme="minorEastAsia" w:eastAsiaTheme="minorEastAsia"/>
          <w:color w:val="000000" w:themeColor="text1"/>
          <w:kern w:val="0"/>
          <w14:textFill>
            <w14:solidFill>
              <w14:schemeClr w14:val="tx1"/>
            </w14:solidFill>
          </w14:textFill>
        </w:rPr>
        <w:t>3W</w:t>
      </w:r>
    </w:p>
    <w:p>
      <w:pPr>
        <w:pStyle w:val="373"/>
        <w:spacing w:line="500" w:lineRule="exact"/>
        <w:ind w:left="880" w:firstLine="0" w:firstLineChars="0"/>
        <w:jc w:val="left"/>
        <w:rPr>
          <w:rFonts w:cs="宋体" w:asciiTheme="minorEastAsia" w:hAnsiTheme="minorEastAsia" w:eastAsiaTheme="minorEastAsia"/>
          <w:color w:val="000000" w:themeColor="text1"/>
          <w:kern w:val="0"/>
          <w14:textFill>
            <w14:solidFill>
              <w14:schemeClr w14:val="tx1"/>
            </w14:solidFill>
          </w14:textFill>
        </w:rPr>
      </w:pPr>
      <w:r>
        <w:rPr>
          <w:rFonts w:cs="宋体" w:asciiTheme="minorEastAsia" w:hAnsiTheme="minorEastAsia" w:eastAsiaTheme="minorEastAsia"/>
          <w:color w:val="000000" w:themeColor="text1"/>
          <w:kern w:val="0"/>
          <w14:textFill>
            <w14:solidFill>
              <w14:schemeClr w14:val="tx1"/>
            </w14:solidFill>
          </w14:textFill>
        </w:rPr>
        <w:t xml:space="preserve">DO </w:t>
      </w:r>
      <w:r>
        <w:rPr>
          <w:rFonts w:hint="eastAsia" w:cs="宋体" w:asciiTheme="minorEastAsia" w:hAnsiTheme="minorEastAsia" w:eastAsiaTheme="minorEastAsia"/>
          <w:color w:val="000000" w:themeColor="text1"/>
          <w:kern w:val="0"/>
          <w14:textFill>
            <w14:solidFill>
              <w14:schemeClr w14:val="tx1"/>
            </w14:solidFill>
          </w14:textFill>
        </w:rPr>
        <w:t>继电器容量：</w:t>
      </w:r>
      <w:r>
        <w:rPr>
          <w:rFonts w:cs="宋体" w:asciiTheme="minorEastAsia" w:hAnsiTheme="minorEastAsia" w:eastAsiaTheme="minorEastAsia"/>
          <w:color w:val="000000" w:themeColor="text1"/>
          <w:kern w:val="0"/>
          <w14:textFill>
            <w14:solidFill>
              <w14:schemeClr w14:val="tx1"/>
            </w14:solidFill>
          </w14:textFill>
        </w:rPr>
        <w:t>250VAC/30VDC 2.5A</w:t>
      </w:r>
    </w:p>
    <w:p>
      <w:pPr>
        <w:pStyle w:val="373"/>
        <w:spacing w:line="500" w:lineRule="exact"/>
        <w:ind w:left="880" w:firstLine="0" w:firstLineChars="0"/>
        <w:jc w:val="left"/>
        <w:rPr>
          <w:rFonts w:cs="宋体" w:asciiTheme="minorEastAsia" w:hAnsiTheme="minorEastAsia" w:eastAsiaTheme="minorEastAsia"/>
          <w:color w:val="000000" w:themeColor="text1"/>
          <w:kern w:val="0"/>
          <w14:textFill>
            <w14:solidFill>
              <w14:schemeClr w14:val="tx1"/>
            </w14:solidFill>
          </w14:textFill>
        </w:rPr>
      </w:pPr>
      <w:r>
        <w:rPr>
          <w:rFonts w:cs="宋体" w:asciiTheme="minorEastAsia" w:hAnsiTheme="minorEastAsia" w:eastAsiaTheme="minorEastAsia"/>
          <w:color w:val="000000" w:themeColor="text1"/>
          <w:kern w:val="0"/>
          <w14:textFill>
            <w14:solidFill>
              <w14:schemeClr w14:val="tx1"/>
            </w14:solidFill>
          </w14:textFill>
        </w:rPr>
        <w:t xml:space="preserve">DI </w:t>
      </w:r>
      <w:r>
        <w:rPr>
          <w:rFonts w:hint="eastAsia" w:cs="宋体" w:asciiTheme="minorEastAsia" w:hAnsiTheme="minorEastAsia" w:eastAsiaTheme="minorEastAsia"/>
          <w:color w:val="000000" w:themeColor="text1"/>
          <w:kern w:val="0"/>
          <w14:textFill>
            <w14:solidFill>
              <w14:schemeClr w14:val="tx1"/>
            </w14:solidFill>
          </w14:textFill>
        </w:rPr>
        <w:t>输入：干接点</w:t>
      </w:r>
    </w:p>
    <w:p>
      <w:pPr>
        <w:pStyle w:val="373"/>
        <w:spacing w:line="500" w:lineRule="exact"/>
        <w:ind w:left="880" w:firstLine="0" w:firstLineChars="0"/>
        <w:jc w:val="left"/>
        <w:rPr>
          <w:rFonts w:cs="宋体" w:asciiTheme="minorEastAsia" w:hAnsiTheme="minorEastAsia" w:eastAsiaTheme="minorEastAsia"/>
          <w:color w:val="000000" w:themeColor="text1"/>
          <w:kern w:val="0"/>
          <w14:textFill>
            <w14:solidFill>
              <w14:schemeClr w14:val="tx1"/>
            </w14:solidFill>
          </w14:textFill>
        </w:rPr>
      </w:pPr>
      <w:r>
        <w:rPr>
          <w:rFonts w:cs="宋体" w:asciiTheme="minorEastAsia" w:hAnsiTheme="minorEastAsia" w:eastAsiaTheme="minorEastAsia"/>
          <w:color w:val="000000" w:themeColor="text1"/>
          <w:kern w:val="0"/>
          <w14:textFill>
            <w14:solidFill>
              <w14:schemeClr w14:val="tx1"/>
            </w14:solidFill>
          </w14:textFill>
        </w:rPr>
        <w:t>（2）</w:t>
      </w:r>
      <w:r>
        <w:rPr>
          <w:rFonts w:hint="eastAsia" w:cs="宋体" w:asciiTheme="minorEastAsia" w:hAnsiTheme="minorEastAsia" w:eastAsiaTheme="minorEastAsia"/>
          <w:color w:val="000000" w:themeColor="text1"/>
          <w:kern w:val="0"/>
          <w14:textFill>
            <w14:solidFill>
              <w14:schemeClr w14:val="tx1"/>
            </w14:solidFill>
          </w14:textFill>
        </w:rPr>
        <w:t>、通信</w:t>
      </w:r>
    </w:p>
    <w:p>
      <w:pPr>
        <w:pStyle w:val="373"/>
        <w:spacing w:line="500" w:lineRule="exact"/>
        <w:ind w:left="880" w:firstLine="0" w:firstLineChars="0"/>
        <w:jc w:val="left"/>
        <w:rPr>
          <w:rFonts w:cs="宋体" w:asciiTheme="minorEastAsia" w:hAnsiTheme="minorEastAsia" w:eastAsiaTheme="minorEastAsia"/>
          <w:color w:val="000000" w:themeColor="text1"/>
          <w:kern w:val="0"/>
          <w14:textFill>
            <w14:solidFill>
              <w14:schemeClr w14:val="tx1"/>
            </w14:solidFill>
          </w14:textFill>
        </w:rPr>
      </w:pPr>
      <w:r>
        <w:rPr>
          <w:rFonts w:hint="eastAsia" w:cs="宋体" w:asciiTheme="minorEastAsia" w:hAnsiTheme="minorEastAsia" w:eastAsiaTheme="minorEastAsia"/>
          <w:color w:val="000000" w:themeColor="text1"/>
          <w:kern w:val="0"/>
          <w14:textFill>
            <w14:solidFill>
              <w14:schemeClr w14:val="tx1"/>
            </w14:solidFill>
          </w14:textFill>
        </w:rPr>
        <w:t>接口：</w:t>
      </w:r>
      <w:r>
        <w:rPr>
          <w:rFonts w:cs="宋体" w:asciiTheme="minorEastAsia" w:hAnsiTheme="minorEastAsia" w:eastAsiaTheme="minorEastAsia"/>
          <w:color w:val="000000" w:themeColor="text1"/>
          <w:kern w:val="0"/>
          <w14:textFill>
            <w14:solidFill>
              <w14:schemeClr w14:val="tx1"/>
            </w14:solidFill>
          </w14:textFill>
        </w:rPr>
        <w:t>RS485</w:t>
      </w:r>
      <w:r>
        <w:rPr>
          <w:rFonts w:hint="eastAsia" w:cs="宋体" w:asciiTheme="minorEastAsia" w:hAnsiTheme="minorEastAsia" w:eastAsiaTheme="minorEastAsia"/>
          <w:color w:val="000000" w:themeColor="text1"/>
          <w:kern w:val="0"/>
          <w14:textFill>
            <w14:solidFill>
              <w14:schemeClr w14:val="tx1"/>
            </w14:solidFill>
          </w14:textFill>
        </w:rPr>
        <w:t>，</w:t>
      </w:r>
      <w:r>
        <w:rPr>
          <w:rFonts w:cs="宋体" w:asciiTheme="minorEastAsia" w:hAnsiTheme="minorEastAsia" w:eastAsiaTheme="minorEastAsia"/>
          <w:color w:val="000000" w:themeColor="text1"/>
          <w:kern w:val="0"/>
          <w14:textFill>
            <w14:solidFill>
              <w14:schemeClr w14:val="tx1"/>
            </w14:solidFill>
          </w14:textFill>
        </w:rPr>
        <w:t xml:space="preserve">2 </w:t>
      </w:r>
      <w:r>
        <w:rPr>
          <w:rFonts w:hint="eastAsia" w:cs="宋体" w:asciiTheme="minorEastAsia" w:hAnsiTheme="minorEastAsia" w:eastAsiaTheme="minorEastAsia"/>
          <w:color w:val="000000" w:themeColor="text1"/>
          <w:kern w:val="0"/>
          <w14:textFill>
            <w14:solidFill>
              <w14:schemeClr w14:val="tx1"/>
            </w14:solidFill>
          </w14:textFill>
        </w:rPr>
        <w:t>线</w:t>
      </w:r>
      <w:r>
        <w:rPr>
          <w:rFonts w:cs="宋体" w:asciiTheme="minorEastAsia" w:hAnsiTheme="minorEastAsia" w:eastAsiaTheme="minorEastAsia"/>
          <w:color w:val="000000" w:themeColor="text1"/>
          <w:kern w:val="0"/>
          <w14:textFill>
            <w14:solidFill>
              <w14:schemeClr w14:val="tx1"/>
            </w14:solidFill>
          </w14:textFill>
        </w:rPr>
        <w:t xml:space="preserve"> Modbus RTU</w:t>
      </w:r>
    </w:p>
    <w:p>
      <w:pPr>
        <w:pStyle w:val="373"/>
        <w:spacing w:line="500" w:lineRule="exact"/>
        <w:ind w:left="880" w:firstLine="0" w:firstLineChars="0"/>
        <w:jc w:val="left"/>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kern w:val="0"/>
          <w14:textFill>
            <w14:solidFill>
              <w14:schemeClr w14:val="tx1"/>
            </w14:solidFill>
          </w14:textFill>
        </w:rPr>
        <w:t>可选地址</w:t>
      </w:r>
      <w:r>
        <w:rPr>
          <w:rFonts w:hint="eastAsia" w:cs="宋体" w:asciiTheme="minorEastAsia" w:hAnsiTheme="minorEastAsia" w:eastAsiaTheme="minorEastAsia"/>
          <w:color w:val="000000" w:themeColor="text1"/>
          <w14:textFill>
            <w14:solidFill>
              <w14:schemeClr w14:val="tx1"/>
            </w14:solidFill>
          </w14:textFill>
        </w:rPr>
        <w:t>：</w:t>
      </w:r>
      <w:r>
        <w:rPr>
          <w:rFonts w:cs="宋体" w:asciiTheme="minorEastAsia" w:hAnsiTheme="minorEastAsia" w:eastAsiaTheme="minorEastAsia"/>
          <w:color w:val="000000" w:themeColor="text1"/>
          <w14:textFill>
            <w14:solidFill>
              <w14:schemeClr w14:val="tx1"/>
            </w14:solidFill>
          </w14:textFill>
        </w:rPr>
        <w:t>1~99</w:t>
      </w:r>
      <w:r>
        <w:rPr>
          <w:rFonts w:cs="宋体" w:asciiTheme="minorEastAsia" w:hAnsiTheme="minorEastAsia" w:eastAsiaTheme="minorEastAsia"/>
          <w:color w:val="000000" w:themeColor="text1"/>
          <w14:textFill>
            <w14:solidFill>
              <w14:schemeClr w14:val="tx1"/>
            </w14:solidFill>
          </w14:textFill>
        </w:rPr>
        <w:cr/>
      </w:r>
      <w:r>
        <w:rPr>
          <w:rFonts w:hint="eastAsia" w:cs="宋体" w:asciiTheme="minorEastAsia" w:hAnsiTheme="minorEastAsia" w:eastAsiaTheme="minorEastAsia"/>
          <w:color w:val="000000" w:themeColor="text1"/>
          <w14:textFill>
            <w14:solidFill>
              <w14:schemeClr w14:val="tx1"/>
            </w14:solidFill>
          </w14:textFill>
        </w:rPr>
        <w:t>波特率：</w:t>
      </w:r>
      <w:r>
        <w:rPr>
          <w:rFonts w:cs="宋体" w:asciiTheme="minorEastAsia" w:hAnsiTheme="minorEastAsia" w:eastAsiaTheme="minorEastAsia"/>
          <w:color w:val="000000" w:themeColor="text1"/>
          <w14:textFill>
            <w14:solidFill>
              <w14:schemeClr w14:val="tx1"/>
            </w14:solidFill>
          </w14:textFill>
        </w:rPr>
        <w:t>2400/4800/9600/19200bps</w:t>
      </w:r>
    </w:p>
    <w:p>
      <w:pPr>
        <w:pStyle w:val="373"/>
        <w:spacing w:line="500" w:lineRule="exact"/>
        <w:ind w:left="880" w:firstLine="0" w:firstLineChars="0"/>
        <w:jc w:val="left"/>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校验位：</w:t>
      </w:r>
      <w:r>
        <w:rPr>
          <w:rFonts w:cs="宋体" w:asciiTheme="minorEastAsia" w:hAnsiTheme="minorEastAsia" w:eastAsiaTheme="minorEastAsia"/>
          <w:color w:val="000000" w:themeColor="text1"/>
          <w14:textFill>
            <w14:solidFill>
              <w14:schemeClr w14:val="tx1"/>
            </w14:solidFill>
          </w14:textFill>
        </w:rPr>
        <w:t xml:space="preserve">CRC </w:t>
      </w:r>
      <w:r>
        <w:rPr>
          <w:rFonts w:hint="eastAsia" w:cs="宋体" w:asciiTheme="minorEastAsia" w:hAnsiTheme="minorEastAsia" w:eastAsiaTheme="minorEastAsia"/>
          <w:color w:val="000000" w:themeColor="text1"/>
          <w14:textFill>
            <w14:solidFill>
              <w14:schemeClr w14:val="tx1"/>
            </w14:solidFill>
          </w14:textFill>
        </w:rPr>
        <w:t>校验</w:t>
      </w:r>
    </w:p>
    <w:p>
      <w:pPr>
        <w:pStyle w:val="373"/>
        <w:spacing w:line="500" w:lineRule="exact"/>
        <w:ind w:firstLine="630" w:firstLineChars="300"/>
        <w:jc w:val="left"/>
        <w:rPr>
          <w:rFonts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（3）</w:t>
      </w:r>
      <w:r>
        <w:rPr>
          <w:rFonts w:hint="eastAsia" w:cs="宋体" w:asciiTheme="minorEastAsia" w:hAnsiTheme="minorEastAsia" w:eastAsiaTheme="minorEastAsia"/>
          <w:color w:val="000000" w:themeColor="text1"/>
          <w14:textFill>
            <w14:solidFill>
              <w14:schemeClr w14:val="tx1"/>
            </w14:solidFill>
          </w14:textFill>
        </w:rPr>
        <w:t>、物理特性</w:t>
      </w:r>
    </w:p>
    <w:p>
      <w:pPr>
        <w:pStyle w:val="373"/>
        <w:spacing w:line="500" w:lineRule="exact"/>
        <w:ind w:left="880" w:firstLine="0" w:firstLineChars="0"/>
        <w:jc w:val="left"/>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尺寸：</w:t>
      </w:r>
      <w:r>
        <w:rPr>
          <w:rFonts w:cs="宋体" w:asciiTheme="minorEastAsia" w:hAnsiTheme="minorEastAsia" w:eastAsiaTheme="minorEastAsia"/>
          <w:color w:val="000000" w:themeColor="text1"/>
          <w14:textFill>
            <w14:solidFill>
              <w14:schemeClr w14:val="tx1"/>
            </w14:solidFill>
          </w14:textFill>
        </w:rPr>
        <w:t>90 x 73 x 22.5mm</w:t>
      </w:r>
      <w:r>
        <w:rPr>
          <w:rFonts w:hint="eastAsia" w:cs="宋体" w:asciiTheme="minorEastAsia" w:hAnsiTheme="minorEastAsia" w:eastAsiaTheme="minorEastAsia"/>
          <w:color w:val="000000" w:themeColor="text1"/>
          <w14:textFill>
            <w14:solidFill>
              <w14:schemeClr w14:val="tx1"/>
            </w14:solidFill>
          </w14:textFill>
        </w:rPr>
        <w:t>（不含外接端子）</w:t>
      </w:r>
    </w:p>
    <w:p>
      <w:pPr>
        <w:pStyle w:val="373"/>
        <w:spacing w:line="500" w:lineRule="exact"/>
        <w:ind w:left="880" w:firstLine="0" w:firstLineChars="0"/>
        <w:jc w:val="left"/>
        <w:rPr>
          <w:rFonts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109.5x 73 x 22.5mm</w:t>
      </w:r>
      <w:r>
        <w:rPr>
          <w:rFonts w:hint="eastAsia" w:cs="宋体" w:asciiTheme="minorEastAsia" w:hAnsiTheme="minorEastAsia" w:eastAsiaTheme="minorEastAsia"/>
          <w:color w:val="000000" w:themeColor="text1"/>
          <w14:textFill>
            <w14:solidFill>
              <w14:schemeClr w14:val="tx1"/>
            </w14:solidFill>
          </w14:textFill>
        </w:rPr>
        <w:t>（含外接端子）</w:t>
      </w:r>
      <w:r>
        <w:rPr>
          <w:rFonts w:cs="宋体" w:asciiTheme="minorEastAsia" w:hAnsiTheme="minorEastAsia" w:eastAsiaTheme="minorEastAsia"/>
          <w:color w:val="000000" w:themeColor="text1"/>
          <w14:textFill>
            <w14:solidFill>
              <w14:schemeClr w14:val="tx1"/>
            </w14:solidFill>
          </w14:textFill>
        </w:rPr>
        <w:cr/>
      </w:r>
      <w:r>
        <w:rPr>
          <w:rFonts w:hint="eastAsia" w:cs="宋体" w:asciiTheme="minorEastAsia" w:hAnsiTheme="minorEastAsia" w:eastAsiaTheme="minorEastAsia"/>
          <w:color w:val="000000" w:themeColor="text1"/>
          <w14:textFill>
            <w14:solidFill>
              <w14:schemeClr w14:val="tx1"/>
            </w14:solidFill>
          </w14:textFill>
        </w:rPr>
        <w:t>重量：</w:t>
      </w:r>
      <w:r>
        <w:rPr>
          <w:rFonts w:cs="宋体" w:asciiTheme="minorEastAsia" w:hAnsiTheme="minorEastAsia" w:eastAsiaTheme="minorEastAsia"/>
          <w:color w:val="000000" w:themeColor="text1"/>
          <w14:textFill>
            <w14:solidFill>
              <w14:schemeClr w14:val="tx1"/>
            </w14:solidFill>
          </w14:textFill>
        </w:rPr>
        <w:t>120g</w:t>
      </w:r>
    </w:p>
    <w:p>
      <w:pPr>
        <w:pStyle w:val="373"/>
        <w:spacing w:line="500" w:lineRule="exact"/>
        <w:ind w:left="880" w:firstLine="0" w:firstLineChars="0"/>
        <w:jc w:val="left"/>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安装方式：</w:t>
      </w:r>
      <w:r>
        <w:rPr>
          <w:rFonts w:cs="宋体" w:asciiTheme="minorEastAsia" w:hAnsiTheme="minorEastAsia" w:eastAsiaTheme="minorEastAsia"/>
          <w:color w:val="000000" w:themeColor="text1"/>
          <w14:textFill>
            <w14:solidFill>
              <w14:schemeClr w14:val="tx1"/>
            </w14:solidFill>
          </w14:textFill>
        </w:rPr>
        <w:t xml:space="preserve">35mm </w:t>
      </w:r>
      <w:r>
        <w:rPr>
          <w:rFonts w:hint="eastAsia" w:cs="宋体" w:asciiTheme="minorEastAsia" w:hAnsiTheme="minorEastAsia" w:eastAsiaTheme="minorEastAsia"/>
          <w:color w:val="000000" w:themeColor="text1"/>
          <w14:textFill>
            <w14:solidFill>
              <w14:schemeClr w14:val="tx1"/>
            </w14:solidFill>
          </w14:textFill>
        </w:rPr>
        <w:t>标准</w:t>
      </w:r>
      <w:r>
        <w:rPr>
          <w:rFonts w:cs="宋体" w:asciiTheme="minorEastAsia" w:hAnsiTheme="minorEastAsia" w:eastAsiaTheme="minorEastAsia"/>
          <w:color w:val="000000" w:themeColor="text1"/>
          <w14:textFill>
            <w14:solidFill>
              <w14:schemeClr w14:val="tx1"/>
            </w14:solidFill>
          </w14:textFill>
        </w:rPr>
        <w:t xml:space="preserve"> DIN </w:t>
      </w:r>
      <w:r>
        <w:rPr>
          <w:rFonts w:hint="eastAsia" w:cs="宋体" w:asciiTheme="minorEastAsia" w:hAnsiTheme="minorEastAsia" w:eastAsiaTheme="minorEastAsia"/>
          <w:color w:val="000000" w:themeColor="text1"/>
          <w14:textFill>
            <w14:solidFill>
              <w14:schemeClr w14:val="tx1"/>
            </w14:solidFill>
          </w14:textFill>
        </w:rPr>
        <w:t>导轨安装</w:t>
      </w:r>
    </w:p>
    <w:p>
      <w:pPr>
        <w:pStyle w:val="373"/>
        <w:spacing w:line="500" w:lineRule="exact"/>
        <w:ind w:left="880" w:firstLine="0" w:firstLineChars="0"/>
        <w:jc w:val="left"/>
        <w:rPr>
          <w:rFonts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（4）</w:t>
      </w:r>
      <w:r>
        <w:rPr>
          <w:rFonts w:hint="eastAsia" w:cs="宋体" w:asciiTheme="minorEastAsia" w:hAnsiTheme="minorEastAsia" w:eastAsiaTheme="minorEastAsia"/>
          <w:color w:val="000000" w:themeColor="text1"/>
          <w14:textFill>
            <w14:solidFill>
              <w14:schemeClr w14:val="tx1"/>
            </w14:solidFill>
          </w14:textFill>
        </w:rPr>
        <w:t>、环境特性</w:t>
      </w:r>
    </w:p>
    <w:p>
      <w:pPr>
        <w:pStyle w:val="373"/>
        <w:spacing w:line="500" w:lineRule="exact"/>
        <w:ind w:left="880" w:firstLine="0" w:firstLineChars="0"/>
        <w:jc w:val="left"/>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运行环境温度：</w:t>
      </w:r>
      <w:r>
        <w:rPr>
          <w:rFonts w:cs="宋体" w:asciiTheme="minorEastAsia" w:hAnsiTheme="minorEastAsia" w:eastAsiaTheme="minorEastAsia"/>
          <w:color w:val="000000" w:themeColor="text1"/>
          <w14:textFill>
            <w14:solidFill>
              <w14:schemeClr w14:val="tx1"/>
            </w14:solidFill>
          </w14:textFill>
        </w:rPr>
        <w:t>-40</w:t>
      </w:r>
      <w:r>
        <w:rPr>
          <w:rFonts w:hint="eastAsia" w:cs="宋体" w:asciiTheme="minorEastAsia" w:hAnsiTheme="minorEastAsia" w:eastAsiaTheme="minorEastAsia"/>
          <w:color w:val="000000" w:themeColor="text1"/>
          <w14:textFill>
            <w14:solidFill>
              <w14:schemeClr w14:val="tx1"/>
            </w14:solidFill>
          </w14:textFill>
        </w:rPr>
        <w:t>℃～</w:t>
      </w:r>
      <w:r>
        <w:rPr>
          <w:rFonts w:cs="宋体" w:asciiTheme="minorEastAsia" w:hAnsiTheme="minorEastAsia" w:eastAsiaTheme="minorEastAsia"/>
          <w:color w:val="000000" w:themeColor="text1"/>
          <w14:textFill>
            <w14:solidFill>
              <w14:schemeClr w14:val="tx1"/>
            </w14:solidFill>
          </w14:textFill>
        </w:rPr>
        <w:t>70</w:t>
      </w:r>
      <w:r>
        <w:rPr>
          <w:rFonts w:hint="eastAsia" w:cs="宋体" w:asciiTheme="minorEastAsia" w:hAnsiTheme="minorEastAsia" w:eastAsiaTheme="minorEastAsia"/>
          <w:color w:val="000000" w:themeColor="text1"/>
          <w14:textFill>
            <w14:solidFill>
              <w14:schemeClr w14:val="tx1"/>
            </w14:solidFill>
          </w14:textFill>
        </w:rPr>
        <w:t>℃</w:t>
      </w:r>
      <w:r>
        <w:rPr>
          <w:rFonts w:cs="宋体" w:asciiTheme="minorEastAsia" w:hAnsiTheme="minorEastAsia" w:eastAsiaTheme="minorEastAsia"/>
          <w:color w:val="000000" w:themeColor="text1"/>
          <w14:textFill>
            <w14:solidFill>
              <w14:schemeClr w14:val="tx1"/>
            </w14:solidFill>
          </w14:textFill>
        </w:rPr>
        <w:cr/>
      </w:r>
      <w:r>
        <w:rPr>
          <w:rFonts w:hint="eastAsia" w:cs="宋体" w:asciiTheme="minorEastAsia" w:hAnsiTheme="minorEastAsia" w:eastAsiaTheme="minorEastAsia"/>
          <w:color w:val="000000" w:themeColor="text1"/>
          <w14:textFill>
            <w14:solidFill>
              <w14:schemeClr w14:val="tx1"/>
            </w14:solidFill>
          </w14:textFill>
        </w:rPr>
        <w:t>大气条件：周围空气为</w:t>
      </w:r>
      <w:r>
        <w:rPr>
          <w:rFonts w:cs="宋体" w:asciiTheme="minorEastAsia" w:hAnsiTheme="minorEastAsia" w:eastAsiaTheme="minorEastAsia"/>
          <w:color w:val="000000" w:themeColor="text1"/>
          <w14:textFill>
            <w14:solidFill>
              <w14:schemeClr w14:val="tx1"/>
            </w14:solidFill>
          </w14:textFill>
        </w:rPr>
        <w:t xml:space="preserve"> 40</w:t>
      </w:r>
      <w:r>
        <w:rPr>
          <w:rFonts w:hint="eastAsia" w:cs="宋体" w:asciiTheme="minorEastAsia" w:hAnsiTheme="minorEastAsia" w:eastAsiaTheme="minorEastAsia"/>
          <w:color w:val="000000" w:themeColor="text1"/>
          <w14:textFill>
            <w14:solidFill>
              <w14:schemeClr w14:val="tx1"/>
            </w14:solidFill>
          </w14:textFill>
        </w:rPr>
        <w:t>℃，相对湿度为</w:t>
      </w:r>
      <w:r>
        <w:rPr>
          <w:rFonts w:cs="宋体" w:asciiTheme="minorEastAsia" w:hAnsiTheme="minorEastAsia" w:eastAsiaTheme="minorEastAsia"/>
          <w:color w:val="000000" w:themeColor="text1"/>
          <w14:textFill>
            <w14:solidFill>
              <w14:schemeClr w14:val="tx1"/>
            </w14:solidFill>
          </w14:textFill>
        </w:rPr>
        <w:t xml:space="preserve"> 95%</w:t>
      </w:r>
    </w:p>
    <w:p>
      <w:pPr>
        <w:pStyle w:val="373"/>
        <w:spacing w:line="500" w:lineRule="exact"/>
        <w:ind w:left="880" w:firstLine="0" w:firstLineChars="0"/>
        <w:jc w:val="left"/>
        <w:rPr>
          <w:rFonts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阻燃性</w:t>
      </w:r>
      <w:r>
        <w:rPr>
          <w:rFonts w:hint="eastAsia" w:cs="宋体" w:asciiTheme="minorEastAsia" w:hAnsiTheme="minorEastAsia" w:eastAsiaTheme="minorEastAsia"/>
          <w:color w:val="000000" w:themeColor="text1"/>
          <w14:textFill>
            <w14:solidFill>
              <w14:schemeClr w14:val="tx1"/>
            </w14:solidFill>
          </w14:textFill>
        </w:rPr>
        <w:t>：</w:t>
      </w:r>
      <w:r>
        <w:rPr>
          <w:rFonts w:cs="宋体" w:asciiTheme="minorEastAsia" w:hAnsiTheme="minorEastAsia" w:eastAsiaTheme="minorEastAsia"/>
          <w:color w:val="000000" w:themeColor="text1"/>
          <w14:textFill>
            <w14:solidFill>
              <w14:schemeClr w14:val="tx1"/>
            </w14:solidFill>
          </w14:textFill>
        </w:rPr>
        <w:t>UL94-V0</w:t>
      </w:r>
    </w:p>
    <w:p>
      <w:pPr>
        <w:pStyle w:val="373"/>
        <w:spacing w:line="500" w:lineRule="exact"/>
        <w:ind w:left="880" w:firstLine="0" w:firstLineChars="0"/>
        <w:jc w:val="left"/>
        <w:rPr>
          <w:rFonts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保护等级</w:t>
      </w:r>
      <w:r>
        <w:rPr>
          <w:rFonts w:hint="eastAsia" w:cs="宋体" w:asciiTheme="minorEastAsia" w:hAnsiTheme="minorEastAsia" w:eastAsiaTheme="minorEastAsia"/>
          <w:color w:val="000000" w:themeColor="text1"/>
          <w14:textFill>
            <w14:solidFill>
              <w14:schemeClr w14:val="tx1"/>
            </w14:solidFill>
          </w14:textFill>
        </w:rPr>
        <w:t>：</w:t>
      </w:r>
      <w:r>
        <w:rPr>
          <w:rFonts w:cs="宋体" w:asciiTheme="minorEastAsia" w:hAnsiTheme="minorEastAsia" w:eastAsiaTheme="minorEastAsia"/>
          <w:color w:val="000000" w:themeColor="text1"/>
          <w14:textFill>
            <w14:solidFill>
              <w14:schemeClr w14:val="tx1"/>
            </w14:solidFill>
          </w14:textFill>
        </w:rPr>
        <w:t>IP20</w:t>
      </w:r>
    </w:p>
    <w:p>
      <w:pPr>
        <w:pStyle w:val="373"/>
        <w:spacing w:line="500" w:lineRule="exact"/>
        <w:ind w:left="880" w:firstLine="0" w:firstLineChars="0"/>
        <w:jc w:val="left"/>
        <w:rPr>
          <w:rFonts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（5）</w:t>
      </w:r>
      <w:r>
        <w:rPr>
          <w:rFonts w:hint="eastAsia" w:cs="宋体" w:asciiTheme="minorEastAsia" w:hAnsiTheme="minorEastAsia" w:eastAsiaTheme="minorEastAsia"/>
          <w:color w:val="000000" w:themeColor="text1"/>
          <w14:textFill>
            <w14:solidFill>
              <w14:schemeClr w14:val="tx1"/>
            </w14:solidFill>
          </w14:textFill>
        </w:rPr>
        <w:t>、功能</w:t>
      </w:r>
    </w:p>
    <w:p>
      <w:pPr>
        <w:pStyle w:val="373"/>
        <w:spacing w:line="500" w:lineRule="exact"/>
        <w:ind w:left="880" w:firstLine="0" w:firstLineChars="0"/>
        <w:jc w:val="left"/>
        <w:rPr>
          <w:rFonts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1</w:t>
      </w:r>
      <w:r>
        <w:rPr>
          <w:rFonts w:hint="eastAsia" w:cs="宋体" w:asciiTheme="minorEastAsia" w:hAnsiTheme="minorEastAsia" w:eastAsiaTheme="minorEastAsia"/>
          <w:color w:val="000000" w:themeColor="text1"/>
          <w14:textFill>
            <w14:solidFill>
              <w14:schemeClr w14:val="tx1"/>
            </w14:solidFill>
          </w14:textFill>
        </w:rPr>
        <w:t>）主要实现</w:t>
      </w:r>
      <w:r>
        <w:rPr>
          <w:rFonts w:cs="宋体" w:asciiTheme="minorEastAsia" w:hAnsiTheme="minorEastAsia" w:eastAsiaTheme="minorEastAsia"/>
          <w:color w:val="000000" w:themeColor="text1"/>
          <w14:textFill>
            <w14:solidFill>
              <w14:schemeClr w14:val="tx1"/>
            </w14:solidFill>
          </w14:textFill>
        </w:rPr>
        <w:t xml:space="preserve"> 6 </w:t>
      </w:r>
      <w:r>
        <w:rPr>
          <w:rFonts w:hint="eastAsia" w:cs="宋体" w:asciiTheme="minorEastAsia" w:hAnsiTheme="minorEastAsia" w:eastAsiaTheme="minorEastAsia"/>
          <w:color w:val="000000" w:themeColor="text1"/>
          <w14:textFill>
            <w14:solidFill>
              <w14:schemeClr w14:val="tx1"/>
            </w14:solidFill>
          </w14:textFill>
        </w:rPr>
        <w:t>路</w:t>
      </w:r>
      <w:r>
        <w:rPr>
          <w:rFonts w:cs="宋体" w:asciiTheme="minorEastAsia" w:hAnsiTheme="minorEastAsia" w:eastAsiaTheme="minorEastAsia"/>
          <w:color w:val="000000" w:themeColor="text1"/>
          <w14:textFill>
            <w14:solidFill>
              <w14:schemeClr w14:val="tx1"/>
            </w14:solidFill>
          </w14:textFill>
        </w:rPr>
        <w:t xml:space="preserve"> DI </w:t>
      </w:r>
      <w:r>
        <w:rPr>
          <w:rFonts w:hint="eastAsia" w:cs="宋体" w:asciiTheme="minorEastAsia" w:hAnsiTheme="minorEastAsia" w:eastAsiaTheme="minorEastAsia"/>
          <w:color w:val="000000" w:themeColor="text1"/>
          <w14:textFill>
            <w14:solidFill>
              <w14:schemeClr w14:val="tx1"/>
            </w14:solidFill>
          </w14:textFill>
        </w:rPr>
        <w:t>输入检测及</w:t>
      </w:r>
      <w:r>
        <w:rPr>
          <w:rFonts w:cs="宋体" w:asciiTheme="minorEastAsia" w:hAnsiTheme="minorEastAsia" w:eastAsiaTheme="minorEastAsia"/>
          <w:color w:val="000000" w:themeColor="text1"/>
          <w14:textFill>
            <w14:solidFill>
              <w14:schemeClr w14:val="tx1"/>
            </w14:solidFill>
          </w14:textFill>
        </w:rPr>
        <w:t xml:space="preserve"> 6 </w:t>
      </w:r>
      <w:r>
        <w:rPr>
          <w:rFonts w:hint="eastAsia" w:cs="宋体" w:asciiTheme="minorEastAsia" w:hAnsiTheme="minorEastAsia" w:eastAsiaTheme="minorEastAsia"/>
          <w:color w:val="000000" w:themeColor="text1"/>
          <w14:textFill>
            <w14:solidFill>
              <w14:schemeClr w14:val="tx1"/>
            </w14:solidFill>
          </w14:textFill>
        </w:rPr>
        <w:t>路</w:t>
      </w:r>
      <w:r>
        <w:rPr>
          <w:rFonts w:cs="宋体" w:asciiTheme="minorEastAsia" w:hAnsiTheme="minorEastAsia" w:eastAsiaTheme="minorEastAsia"/>
          <w:color w:val="000000" w:themeColor="text1"/>
          <w14:textFill>
            <w14:solidFill>
              <w14:schemeClr w14:val="tx1"/>
            </w14:solidFill>
          </w14:textFill>
        </w:rPr>
        <w:t xml:space="preserve"> DO </w:t>
      </w:r>
      <w:r>
        <w:rPr>
          <w:rFonts w:hint="eastAsia" w:cs="宋体" w:asciiTheme="minorEastAsia" w:hAnsiTheme="minorEastAsia" w:eastAsiaTheme="minorEastAsia"/>
          <w:color w:val="000000" w:themeColor="text1"/>
          <w14:textFill>
            <w14:solidFill>
              <w14:schemeClr w14:val="tx1"/>
            </w14:solidFill>
          </w14:textFill>
        </w:rPr>
        <w:t>输出功能，接收上位机指令，设备返回数据后，应答上位机；</w:t>
      </w:r>
    </w:p>
    <w:p>
      <w:pPr>
        <w:pStyle w:val="373"/>
        <w:spacing w:line="500" w:lineRule="exact"/>
        <w:ind w:left="880" w:firstLine="0" w:firstLineChars="0"/>
        <w:jc w:val="left"/>
        <w:rPr>
          <w:rFonts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2</w:t>
      </w:r>
      <w:r>
        <w:rPr>
          <w:rFonts w:hint="eastAsia" w:cs="宋体" w:asciiTheme="minorEastAsia" w:hAnsiTheme="minorEastAsia" w:eastAsiaTheme="minorEastAsia"/>
          <w:color w:val="000000" w:themeColor="text1"/>
          <w14:textFill>
            <w14:solidFill>
              <w14:schemeClr w14:val="tx1"/>
            </w14:solidFill>
          </w14:textFill>
        </w:rPr>
        <w:t>）</w:t>
      </w:r>
      <w:r>
        <w:rPr>
          <w:rFonts w:cs="宋体" w:asciiTheme="minorEastAsia" w:hAnsiTheme="minorEastAsia" w:eastAsiaTheme="minorEastAsia"/>
          <w:color w:val="000000" w:themeColor="text1"/>
          <w14:textFill>
            <w14:solidFill>
              <w14:schemeClr w14:val="tx1"/>
            </w14:solidFill>
          </w14:textFill>
        </w:rPr>
        <w:t>DIDO 模块有 6 路 DI 输入信号，通过通信可以读取 DI 信号。DIDO 模块有 6 路 DO 输出信号，输出 DO 信号可设置，远端控制模式通过通信可以控制 6 路 DO 的输出，与 DI 输入无关；DO 本地控制 模式，DO 输出与 DI 输入相关，DO 与 DI 的对应关系可配置，一个 DI 可以配置多个 DO(一个 DO 不可以对应多个 DI)。</w:t>
      </w:r>
    </w:p>
    <w:p>
      <w:pPr>
        <w:pStyle w:val="373"/>
        <w:spacing w:line="500" w:lineRule="exact"/>
        <w:ind w:left="880" w:firstLine="0" w:firstLineChars="0"/>
        <w:jc w:val="left"/>
        <w:rPr>
          <w:rFonts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3</w:t>
      </w:r>
      <w:r>
        <w:rPr>
          <w:rFonts w:hint="eastAsia" w:cs="宋体" w:asciiTheme="minorEastAsia" w:hAnsiTheme="minorEastAsia" w:eastAsiaTheme="minorEastAsia"/>
          <w:color w:val="000000" w:themeColor="text1"/>
          <w14:textFill>
            <w14:solidFill>
              <w14:schemeClr w14:val="tx1"/>
            </w14:solidFill>
          </w14:textFill>
        </w:rPr>
        <w:t>）</w:t>
      </w:r>
      <w:r>
        <w:rPr>
          <w:rFonts w:cs="宋体" w:asciiTheme="minorEastAsia" w:hAnsiTheme="minorEastAsia" w:eastAsiaTheme="minorEastAsia"/>
          <w:color w:val="000000" w:themeColor="text1"/>
          <w14:textFill>
            <w14:solidFill>
              <w14:schemeClr w14:val="tx1"/>
            </w14:solidFill>
          </w14:textFill>
        </w:rPr>
        <w:t>模块电源输入无极性要求，DI 输入端为 6 路输入，输入端电压为 12V 电平，与输入公共端短接即 为拉低电平，悬空为 12V 上拉，DO 输出为 6 路隔离继电器输出，每路 DO 输出可配置为常开电平， 常闭电平，常开脉冲，常闭脉冲</w:t>
      </w:r>
      <w:r>
        <w:rPr>
          <w:rFonts w:hint="eastAsia" w:cs="宋体" w:asciiTheme="minorEastAsia" w:hAnsiTheme="minorEastAsia" w:eastAsiaTheme="minorEastAsia"/>
          <w:color w:val="000000" w:themeColor="text1"/>
          <w14:textFill>
            <w14:solidFill>
              <w14:schemeClr w14:val="tx1"/>
            </w14:solidFill>
          </w14:textFill>
        </w:rPr>
        <w:t>；</w:t>
      </w:r>
    </w:p>
    <w:p>
      <w:pPr>
        <w:pStyle w:val="373"/>
        <w:spacing w:line="500" w:lineRule="exact"/>
        <w:ind w:left="880" w:firstLine="0" w:firstLineChars="0"/>
        <w:jc w:val="left"/>
        <w:rPr>
          <w:rFonts w:asciiTheme="minorEastAsia" w:hAnsiTheme="minorEastAsia" w:eastAsiaTheme="minorEastAsia"/>
          <w:b/>
          <w:bCs/>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 xml:space="preserve"> 4</w:t>
      </w:r>
      <w:r>
        <w:rPr>
          <w:rFonts w:hint="eastAsia" w:cs="宋体" w:asciiTheme="minorEastAsia" w:hAnsiTheme="minorEastAsia" w:eastAsiaTheme="minorEastAsia"/>
          <w:color w:val="000000" w:themeColor="text1"/>
          <w14:textFill>
            <w14:solidFill>
              <w14:schemeClr w14:val="tx1"/>
            </w14:solidFill>
          </w14:textFill>
        </w:rPr>
        <w:t>）</w:t>
      </w:r>
      <w:r>
        <w:rPr>
          <w:rFonts w:cs="宋体" w:asciiTheme="minorEastAsia" w:hAnsiTheme="minorEastAsia" w:eastAsiaTheme="minorEastAsia"/>
          <w:color w:val="000000" w:themeColor="text1"/>
          <w14:textFill>
            <w14:solidFill>
              <w14:schemeClr w14:val="tx1"/>
            </w14:solidFill>
          </w14:textFill>
        </w:rPr>
        <w:t>带 7 组 LED 工作状态指示（电源、通讯及 6 路 DI 检测，其中电源与通讯用绿色指示灯，常亮装 置电源指示，闪烁时处于通信状态；6 路 DI 输入用绿色指示灯，控制输人时绿灯亮）</w:t>
      </w:r>
    </w:p>
    <w:p>
      <w:pPr>
        <w:pStyle w:val="373"/>
        <w:numPr>
          <w:ilvl w:val="2"/>
          <w:numId w:val="22"/>
        </w:numPr>
        <w:spacing w:line="500" w:lineRule="exact"/>
        <w:ind w:firstLineChars="0"/>
        <w:jc w:val="left"/>
        <w:rPr>
          <w:rFonts w:asciiTheme="minorEastAsia" w:hAnsiTheme="minorEastAsia" w:eastAsiaTheme="minorEastAsia"/>
          <w:b/>
          <w:bCs/>
          <w:color w:val="000000" w:themeColor="text1"/>
          <w14:textFill>
            <w14:solidFill>
              <w14:schemeClr w14:val="tx1"/>
            </w14:solidFill>
          </w14:textFill>
        </w:rPr>
      </w:pPr>
      <w:r>
        <w:rPr>
          <w:rFonts w:asciiTheme="minorEastAsia" w:hAnsiTheme="minorEastAsia" w:eastAsiaTheme="minorEastAsia"/>
          <w:b/>
          <w:bCs/>
          <w:color w:val="000000" w:themeColor="text1"/>
          <w14:textFill>
            <w14:solidFill>
              <w14:schemeClr w14:val="tx1"/>
            </w14:solidFill>
          </w14:textFill>
        </w:rPr>
        <w:t>接触器1P</w:t>
      </w:r>
    </w:p>
    <w:p>
      <w:pPr>
        <w:pStyle w:val="373"/>
        <w:numPr>
          <w:ilvl w:val="0"/>
          <w:numId w:val="26"/>
        </w:numPr>
        <w:spacing w:line="500" w:lineRule="exact"/>
        <w:ind w:firstLineChars="0"/>
        <w:jc w:val="left"/>
        <w:rPr>
          <w:rFonts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用途：</w:t>
      </w:r>
      <w:r>
        <w:rPr>
          <w:rFonts w:hint="eastAsia" w:cs="宋体" w:asciiTheme="minorEastAsia" w:hAnsiTheme="minorEastAsia" w:eastAsiaTheme="minorEastAsia"/>
          <w:color w:val="000000" w:themeColor="text1"/>
          <w14:textFill>
            <w14:solidFill>
              <w14:schemeClr w14:val="tx1"/>
            </w14:solidFill>
          </w14:textFill>
        </w:rPr>
        <w:t>主要适用于家用电器和类似用途的低感或微感负载以及家用电动机负载。</w:t>
      </w:r>
    </w:p>
    <w:p>
      <w:pPr>
        <w:pStyle w:val="373"/>
        <w:numPr>
          <w:ilvl w:val="0"/>
          <w:numId w:val="26"/>
        </w:numPr>
        <w:spacing w:line="500" w:lineRule="exact"/>
        <w:ind w:firstLineChars="0"/>
        <w:jc w:val="left"/>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适用范围：适用于工作频率为</w:t>
      </w:r>
      <w:r>
        <w:rPr>
          <w:rFonts w:cs="宋体" w:asciiTheme="minorEastAsia" w:hAnsiTheme="minorEastAsia" w:eastAsiaTheme="minorEastAsia"/>
          <w:color w:val="000000" w:themeColor="text1"/>
          <w14:textFill>
            <w14:solidFill>
              <w14:schemeClr w14:val="tx1"/>
            </w14:solidFill>
          </w14:textFill>
        </w:rPr>
        <w:t xml:space="preserve"> 50Hz </w:t>
      </w:r>
      <w:r>
        <w:rPr>
          <w:rFonts w:hint="eastAsia" w:cs="宋体" w:asciiTheme="minorEastAsia" w:hAnsiTheme="minorEastAsia" w:eastAsiaTheme="minorEastAsia"/>
          <w:color w:val="000000" w:themeColor="text1"/>
          <w14:textFill>
            <w14:solidFill>
              <w14:schemeClr w14:val="tx1"/>
            </w14:solidFill>
          </w14:textFill>
        </w:rPr>
        <w:t>或</w:t>
      </w:r>
      <w:r>
        <w:rPr>
          <w:rFonts w:cs="宋体" w:asciiTheme="minorEastAsia" w:hAnsiTheme="minorEastAsia" w:eastAsiaTheme="minorEastAsia"/>
          <w:color w:val="000000" w:themeColor="text1"/>
          <w14:textFill>
            <w14:solidFill>
              <w14:schemeClr w14:val="tx1"/>
            </w14:solidFill>
          </w14:textFill>
        </w:rPr>
        <w:t xml:space="preserve"> 60Hz</w:t>
      </w:r>
      <w:r>
        <w:rPr>
          <w:rFonts w:hint="eastAsia" w:cs="宋体" w:asciiTheme="minorEastAsia" w:hAnsiTheme="minorEastAsia" w:eastAsiaTheme="minorEastAsia"/>
          <w:color w:val="000000" w:themeColor="text1"/>
          <w14:textFill>
            <w14:solidFill>
              <w14:schemeClr w14:val="tx1"/>
            </w14:solidFill>
          </w14:textFill>
        </w:rPr>
        <w:t>，其主触头用于连接额定电压不超过交流</w:t>
      </w:r>
      <w:r>
        <w:rPr>
          <w:rFonts w:cs="宋体" w:asciiTheme="minorEastAsia" w:hAnsiTheme="minorEastAsia" w:eastAsiaTheme="minorEastAsia"/>
          <w:color w:val="000000" w:themeColor="text1"/>
          <w14:textFill>
            <w14:solidFill>
              <w14:schemeClr w14:val="tx1"/>
            </w14:solidFill>
          </w14:textFill>
        </w:rPr>
        <w:t xml:space="preserve"> 400V</w:t>
      </w:r>
      <w:r>
        <w:rPr>
          <w:rFonts w:hint="eastAsia" w:cs="宋体" w:asciiTheme="minorEastAsia" w:hAnsiTheme="minorEastAsia" w:eastAsiaTheme="minorEastAsia"/>
          <w:color w:val="000000" w:themeColor="text1"/>
          <w14:textFill>
            <w14:solidFill>
              <w14:schemeClr w14:val="tx1"/>
            </w14:solidFill>
          </w14:textFill>
        </w:rPr>
        <w:t>，额定工作电流小于或等于</w:t>
      </w:r>
      <w:r>
        <w:rPr>
          <w:rFonts w:cs="宋体" w:asciiTheme="minorEastAsia" w:hAnsiTheme="minorEastAsia" w:eastAsiaTheme="minorEastAsia"/>
          <w:color w:val="000000" w:themeColor="text1"/>
          <w14:textFill>
            <w14:solidFill>
              <w14:schemeClr w14:val="tx1"/>
            </w14:solidFill>
          </w14:textFill>
        </w:rPr>
        <w:t xml:space="preserve"> 63A</w:t>
      </w:r>
      <w:r>
        <w:rPr>
          <w:rFonts w:hint="eastAsia" w:cs="宋体" w:asciiTheme="minorEastAsia" w:hAnsiTheme="minorEastAsia" w:eastAsiaTheme="minorEastAsia"/>
          <w:color w:val="000000" w:themeColor="text1"/>
          <w14:textFill>
            <w14:solidFill>
              <w14:schemeClr w14:val="tx1"/>
            </w14:solidFill>
          </w14:textFill>
        </w:rPr>
        <w:t>，额定限制短路电流小于或等于</w:t>
      </w:r>
      <w:r>
        <w:rPr>
          <w:rFonts w:cs="宋体" w:asciiTheme="minorEastAsia" w:hAnsiTheme="minorEastAsia" w:eastAsiaTheme="minorEastAsia"/>
          <w:color w:val="000000" w:themeColor="text1"/>
          <w14:textFill>
            <w14:solidFill>
              <w14:schemeClr w14:val="tx1"/>
            </w14:solidFill>
          </w14:textFill>
        </w:rPr>
        <w:t xml:space="preserve">6kA </w:t>
      </w:r>
      <w:r>
        <w:rPr>
          <w:rFonts w:hint="eastAsia" w:cs="宋体" w:asciiTheme="minorEastAsia" w:hAnsiTheme="minorEastAsia" w:eastAsiaTheme="minorEastAsia"/>
          <w:color w:val="000000" w:themeColor="text1"/>
          <w14:textFill>
            <w14:solidFill>
              <w14:schemeClr w14:val="tx1"/>
            </w14:solidFill>
          </w14:textFill>
        </w:rPr>
        <w:t>的电路。</w:t>
      </w:r>
    </w:p>
    <w:p>
      <w:pPr>
        <w:pStyle w:val="373"/>
        <w:numPr>
          <w:ilvl w:val="0"/>
          <w:numId w:val="26"/>
        </w:numPr>
        <w:spacing w:line="500" w:lineRule="exact"/>
        <w:ind w:firstLineChars="0"/>
        <w:jc w:val="left"/>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正常工作条件：周围空气温度的上限为＋</w:t>
      </w:r>
      <w:r>
        <w:rPr>
          <w:rFonts w:cs="宋体" w:asciiTheme="minorEastAsia" w:hAnsiTheme="minorEastAsia" w:eastAsiaTheme="minorEastAsia"/>
          <w:color w:val="000000" w:themeColor="text1"/>
          <w14:textFill>
            <w14:solidFill>
              <w14:schemeClr w14:val="tx1"/>
            </w14:solidFill>
          </w14:textFill>
        </w:rPr>
        <w:t>40</w:t>
      </w:r>
      <w:r>
        <w:rPr>
          <w:rFonts w:hint="eastAsia" w:cs="宋体" w:asciiTheme="minorEastAsia" w:hAnsiTheme="minorEastAsia" w:eastAsiaTheme="minorEastAsia"/>
          <w:color w:val="000000" w:themeColor="text1"/>
          <w14:textFill>
            <w14:solidFill>
              <w14:schemeClr w14:val="tx1"/>
            </w14:solidFill>
          </w14:textFill>
        </w:rPr>
        <w:t>℃，其</w:t>
      </w:r>
      <w:r>
        <w:rPr>
          <w:rFonts w:cs="宋体" w:asciiTheme="minorEastAsia" w:hAnsiTheme="minorEastAsia" w:eastAsiaTheme="minorEastAsia"/>
          <w:color w:val="000000" w:themeColor="text1"/>
          <w14:textFill>
            <w14:solidFill>
              <w14:schemeClr w14:val="tx1"/>
            </w14:solidFill>
          </w14:textFill>
        </w:rPr>
        <w:t xml:space="preserve"> 24h </w:t>
      </w:r>
      <w:r>
        <w:rPr>
          <w:rFonts w:hint="eastAsia" w:cs="宋体" w:asciiTheme="minorEastAsia" w:hAnsiTheme="minorEastAsia" w:eastAsiaTheme="minorEastAsia"/>
          <w:color w:val="000000" w:themeColor="text1"/>
          <w14:textFill>
            <w14:solidFill>
              <w14:schemeClr w14:val="tx1"/>
            </w14:solidFill>
          </w14:textFill>
        </w:rPr>
        <w:t>内的平均温度不超过＋</w:t>
      </w:r>
      <w:r>
        <w:rPr>
          <w:rFonts w:cs="宋体" w:asciiTheme="minorEastAsia" w:hAnsiTheme="minorEastAsia" w:eastAsiaTheme="minorEastAsia"/>
          <w:color w:val="000000" w:themeColor="text1"/>
          <w14:textFill>
            <w14:solidFill>
              <w14:schemeClr w14:val="tx1"/>
            </w14:solidFill>
          </w14:textFill>
        </w:rPr>
        <w:t>35</w:t>
      </w:r>
      <w:r>
        <w:rPr>
          <w:rFonts w:hint="eastAsia" w:cs="宋体" w:asciiTheme="minorEastAsia" w:hAnsiTheme="minorEastAsia" w:eastAsiaTheme="minorEastAsia"/>
          <w:color w:val="000000" w:themeColor="text1"/>
          <w14:textFill>
            <w14:solidFill>
              <w14:schemeClr w14:val="tx1"/>
            </w14:solidFill>
          </w14:textFill>
        </w:rPr>
        <w:t>℃。周围空气温度的下限为－</w:t>
      </w:r>
      <w:r>
        <w:rPr>
          <w:rFonts w:cs="宋体" w:asciiTheme="minorEastAsia" w:hAnsiTheme="minorEastAsia" w:eastAsiaTheme="minorEastAsia"/>
          <w:color w:val="000000" w:themeColor="text1"/>
          <w14:textFill>
            <w14:solidFill>
              <w14:schemeClr w14:val="tx1"/>
            </w14:solidFill>
          </w14:textFill>
        </w:rPr>
        <w:t>5</w:t>
      </w:r>
      <w:r>
        <w:rPr>
          <w:rFonts w:hint="eastAsia" w:cs="宋体" w:asciiTheme="minorEastAsia" w:hAnsiTheme="minorEastAsia" w:eastAsiaTheme="minorEastAsia"/>
          <w:color w:val="000000" w:themeColor="text1"/>
          <w14:textFill>
            <w14:solidFill>
              <w14:schemeClr w14:val="tx1"/>
            </w14:solidFill>
          </w14:textFill>
        </w:rPr>
        <w:t>℃。安装地点的海拔不超过</w:t>
      </w:r>
      <w:r>
        <w:rPr>
          <w:rFonts w:cs="宋体" w:asciiTheme="minorEastAsia" w:hAnsiTheme="minorEastAsia" w:eastAsiaTheme="minorEastAsia"/>
          <w:color w:val="000000" w:themeColor="text1"/>
          <w14:textFill>
            <w14:solidFill>
              <w14:schemeClr w14:val="tx1"/>
            </w14:solidFill>
          </w14:textFill>
        </w:rPr>
        <w:t xml:space="preserve"> 2000m</w:t>
      </w:r>
      <w:r>
        <w:rPr>
          <w:rFonts w:hint="eastAsia" w:cs="宋体" w:asciiTheme="minorEastAsia" w:hAnsiTheme="minorEastAsia" w:eastAsiaTheme="minorEastAsia"/>
          <w:color w:val="000000" w:themeColor="text1"/>
          <w14:textFill>
            <w14:solidFill>
              <w14:schemeClr w14:val="tx1"/>
            </w14:solidFill>
          </w14:textFill>
        </w:rPr>
        <w:t>。</w:t>
      </w:r>
    </w:p>
    <w:p>
      <w:pPr>
        <w:pStyle w:val="373"/>
        <w:numPr>
          <w:ilvl w:val="0"/>
          <w:numId w:val="26"/>
        </w:numPr>
        <w:spacing w:line="500" w:lineRule="exact"/>
        <w:ind w:firstLineChars="0"/>
        <w:jc w:val="left"/>
        <w:rPr>
          <w:rFonts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主要参数：额定工作电压250V，控制电压220/240 50Hz，控制功率</w:t>
      </w:r>
      <w:r>
        <w:rPr>
          <w:rFonts w:hint="eastAsia" w:cs="宋体" w:asciiTheme="minorEastAsia" w:hAnsiTheme="minorEastAsia" w:eastAsiaTheme="minorEastAsia"/>
          <w:color w:val="000000" w:themeColor="text1"/>
          <w14:textFill>
            <w14:solidFill>
              <w14:schemeClr w14:val="tx1"/>
            </w14:solidFill>
          </w14:textFill>
        </w:rPr>
        <w:t>不低于</w:t>
      </w:r>
      <w:r>
        <w:rPr>
          <w:rFonts w:cs="宋体" w:asciiTheme="minorEastAsia" w:hAnsiTheme="minorEastAsia" w:eastAsiaTheme="minorEastAsia"/>
          <w:color w:val="000000" w:themeColor="text1"/>
          <w14:textFill>
            <w14:solidFill>
              <w14:schemeClr w14:val="tx1"/>
            </w14:solidFill>
          </w14:textFill>
        </w:rPr>
        <w:t>4KW。</w:t>
      </w:r>
    </w:p>
    <w:p>
      <w:pPr>
        <w:pStyle w:val="373"/>
        <w:numPr>
          <w:ilvl w:val="2"/>
          <w:numId w:val="22"/>
        </w:numPr>
        <w:spacing w:line="500" w:lineRule="exact"/>
        <w:ind w:firstLineChars="0"/>
        <w:jc w:val="left"/>
        <w:rPr>
          <w:rFonts w:asciiTheme="minorEastAsia" w:hAnsiTheme="minorEastAsia" w:eastAsiaTheme="minorEastAsia"/>
          <w:b/>
          <w:bCs/>
          <w:color w:val="000000" w:themeColor="text1"/>
          <w14:textFill>
            <w14:solidFill>
              <w14:schemeClr w14:val="tx1"/>
            </w14:solidFill>
          </w14:textFill>
        </w:rPr>
      </w:pPr>
      <w:r>
        <w:rPr>
          <w:rFonts w:asciiTheme="minorEastAsia" w:hAnsiTheme="minorEastAsia" w:eastAsiaTheme="minorEastAsia"/>
          <w:b/>
          <w:bCs/>
          <w:color w:val="000000" w:themeColor="text1"/>
          <w14:textFill>
            <w14:solidFill>
              <w14:schemeClr w14:val="tx1"/>
            </w14:solidFill>
          </w14:textFill>
        </w:rPr>
        <w:t>接触器3P</w:t>
      </w:r>
    </w:p>
    <w:p>
      <w:pPr>
        <w:pStyle w:val="373"/>
        <w:numPr>
          <w:ilvl w:val="0"/>
          <w:numId w:val="26"/>
        </w:numPr>
        <w:spacing w:line="500" w:lineRule="exact"/>
        <w:ind w:firstLineChars="0"/>
        <w:jc w:val="left"/>
        <w:rPr>
          <w:rFonts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用途：</w:t>
      </w:r>
      <w:r>
        <w:rPr>
          <w:rFonts w:hint="eastAsia" w:cs="宋体" w:asciiTheme="minorEastAsia" w:hAnsiTheme="minorEastAsia" w:eastAsiaTheme="minorEastAsia"/>
          <w:color w:val="000000" w:themeColor="text1"/>
          <w14:textFill>
            <w14:solidFill>
              <w14:schemeClr w14:val="tx1"/>
            </w14:solidFill>
          </w14:textFill>
        </w:rPr>
        <w:t>主要适用于家用电器和类似用途的低感或微感负载以及家用电动机负载。</w:t>
      </w:r>
    </w:p>
    <w:p>
      <w:pPr>
        <w:pStyle w:val="373"/>
        <w:numPr>
          <w:ilvl w:val="0"/>
          <w:numId w:val="26"/>
        </w:numPr>
        <w:spacing w:line="500" w:lineRule="exact"/>
        <w:ind w:firstLineChars="0"/>
        <w:jc w:val="left"/>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适用范围：适用于工作频率为</w:t>
      </w:r>
      <w:r>
        <w:rPr>
          <w:rFonts w:cs="宋体" w:asciiTheme="minorEastAsia" w:hAnsiTheme="minorEastAsia" w:eastAsiaTheme="minorEastAsia"/>
          <w:color w:val="000000" w:themeColor="text1"/>
          <w14:textFill>
            <w14:solidFill>
              <w14:schemeClr w14:val="tx1"/>
            </w14:solidFill>
          </w14:textFill>
        </w:rPr>
        <w:t xml:space="preserve"> 50Hz </w:t>
      </w:r>
      <w:r>
        <w:rPr>
          <w:rFonts w:hint="eastAsia" w:cs="宋体" w:asciiTheme="minorEastAsia" w:hAnsiTheme="minorEastAsia" w:eastAsiaTheme="minorEastAsia"/>
          <w:color w:val="000000" w:themeColor="text1"/>
          <w14:textFill>
            <w14:solidFill>
              <w14:schemeClr w14:val="tx1"/>
            </w14:solidFill>
          </w14:textFill>
        </w:rPr>
        <w:t>或</w:t>
      </w:r>
      <w:r>
        <w:rPr>
          <w:rFonts w:cs="宋体" w:asciiTheme="minorEastAsia" w:hAnsiTheme="minorEastAsia" w:eastAsiaTheme="minorEastAsia"/>
          <w:color w:val="000000" w:themeColor="text1"/>
          <w14:textFill>
            <w14:solidFill>
              <w14:schemeClr w14:val="tx1"/>
            </w14:solidFill>
          </w14:textFill>
        </w:rPr>
        <w:t xml:space="preserve"> 60Hz</w:t>
      </w:r>
      <w:r>
        <w:rPr>
          <w:rFonts w:hint="eastAsia" w:cs="宋体" w:asciiTheme="minorEastAsia" w:hAnsiTheme="minorEastAsia" w:eastAsiaTheme="minorEastAsia"/>
          <w:color w:val="000000" w:themeColor="text1"/>
          <w14:textFill>
            <w14:solidFill>
              <w14:schemeClr w14:val="tx1"/>
            </w14:solidFill>
          </w14:textFill>
        </w:rPr>
        <w:t>，其主触头用于连接额定电压不超过交流</w:t>
      </w:r>
      <w:r>
        <w:rPr>
          <w:rFonts w:cs="宋体" w:asciiTheme="minorEastAsia" w:hAnsiTheme="minorEastAsia" w:eastAsiaTheme="minorEastAsia"/>
          <w:color w:val="000000" w:themeColor="text1"/>
          <w14:textFill>
            <w14:solidFill>
              <w14:schemeClr w14:val="tx1"/>
            </w14:solidFill>
          </w14:textFill>
        </w:rPr>
        <w:t xml:space="preserve"> 400V</w:t>
      </w:r>
      <w:r>
        <w:rPr>
          <w:rFonts w:hint="eastAsia" w:cs="宋体" w:asciiTheme="minorEastAsia" w:hAnsiTheme="minorEastAsia" w:eastAsiaTheme="minorEastAsia"/>
          <w:color w:val="000000" w:themeColor="text1"/>
          <w14:textFill>
            <w14:solidFill>
              <w14:schemeClr w14:val="tx1"/>
            </w14:solidFill>
          </w14:textFill>
        </w:rPr>
        <w:t>，额定工作电流小于或等于</w:t>
      </w:r>
      <w:r>
        <w:rPr>
          <w:rFonts w:cs="宋体" w:asciiTheme="minorEastAsia" w:hAnsiTheme="minorEastAsia" w:eastAsiaTheme="minorEastAsia"/>
          <w:color w:val="000000" w:themeColor="text1"/>
          <w14:textFill>
            <w14:solidFill>
              <w14:schemeClr w14:val="tx1"/>
            </w14:solidFill>
          </w14:textFill>
        </w:rPr>
        <w:t xml:space="preserve"> 63A</w:t>
      </w:r>
      <w:r>
        <w:rPr>
          <w:rFonts w:hint="eastAsia" w:cs="宋体" w:asciiTheme="minorEastAsia" w:hAnsiTheme="minorEastAsia" w:eastAsiaTheme="minorEastAsia"/>
          <w:color w:val="000000" w:themeColor="text1"/>
          <w14:textFill>
            <w14:solidFill>
              <w14:schemeClr w14:val="tx1"/>
            </w14:solidFill>
          </w14:textFill>
        </w:rPr>
        <w:t>，额定限制短路电流小于或等于</w:t>
      </w:r>
      <w:r>
        <w:rPr>
          <w:rFonts w:cs="宋体" w:asciiTheme="minorEastAsia" w:hAnsiTheme="minorEastAsia" w:eastAsiaTheme="minorEastAsia"/>
          <w:color w:val="000000" w:themeColor="text1"/>
          <w14:textFill>
            <w14:solidFill>
              <w14:schemeClr w14:val="tx1"/>
            </w14:solidFill>
          </w14:textFill>
        </w:rPr>
        <w:t xml:space="preserve">6kA </w:t>
      </w:r>
      <w:r>
        <w:rPr>
          <w:rFonts w:hint="eastAsia" w:cs="宋体" w:asciiTheme="minorEastAsia" w:hAnsiTheme="minorEastAsia" w:eastAsiaTheme="minorEastAsia"/>
          <w:color w:val="000000" w:themeColor="text1"/>
          <w14:textFill>
            <w14:solidFill>
              <w14:schemeClr w14:val="tx1"/>
            </w14:solidFill>
          </w14:textFill>
        </w:rPr>
        <w:t>的电路。</w:t>
      </w:r>
    </w:p>
    <w:p>
      <w:pPr>
        <w:pStyle w:val="373"/>
        <w:numPr>
          <w:ilvl w:val="0"/>
          <w:numId w:val="26"/>
        </w:numPr>
        <w:spacing w:line="500" w:lineRule="exact"/>
        <w:ind w:firstLineChars="0"/>
        <w:jc w:val="left"/>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正常工作条件：周围空气温度的上限为＋</w:t>
      </w:r>
      <w:r>
        <w:rPr>
          <w:rFonts w:cs="宋体" w:asciiTheme="minorEastAsia" w:hAnsiTheme="minorEastAsia" w:eastAsiaTheme="minorEastAsia"/>
          <w:color w:val="000000" w:themeColor="text1"/>
          <w14:textFill>
            <w14:solidFill>
              <w14:schemeClr w14:val="tx1"/>
            </w14:solidFill>
          </w14:textFill>
        </w:rPr>
        <w:t>40</w:t>
      </w:r>
      <w:r>
        <w:rPr>
          <w:rFonts w:hint="eastAsia" w:cs="宋体" w:asciiTheme="minorEastAsia" w:hAnsiTheme="minorEastAsia" w:eastAsiaTheme="minorEastAsia"/>
          <w:color w:val="000000" w:themeColor="text1"/>
          <w14:textFill>
            <w14:solidFill>
              <w14:schemeClr w14:val="tx1"/>
            </w14:solidFill>
          </w14:textFill>
        </w:rPr>
        <w:t>℃，其</w:t>
      </w:r>
      <w:r>
        <w:rPr>
          <w:rFonts w:cs="宋体" w:asciiTheme="minorEastAsia" w:hAnsiTheme="minorEastAsia" w:eastAsiaTheme="minorEastAsia"/>
          <w:color w:val="000000" w:themeColor="text1"/>
          <w14:textFill>
            <w14:solidFill>
              <w14:schemeClr w14:val="tx1"/>
            </w14:solidFill>
          </w14:textFill>
        </w:rPr>
        <w:t xml:space="preserve"> 24h </w:t>
      </w:r>
      <w:r>
        <w:rPr>
          <w:rFonts w:hint="eastAsia" w:cs="宋体" w:asciiTheme="minorEastAsia" w:hAnsiTheme="minorEastAsia" w:eastAsiaTheme="minorEastAsia"/>
          <w:color w:val="000000" w:themeColor="text1"/>
          <w14:textFill>
            <w14:solidFill>
              <w14:schemeClr w14:val="tx1"/>
            </w14:solidFill>
          </w14:textFill>
        </w:rPr>
        <w:t>内的平均温度不超过＋</w:t>
      </w:r>
      <w:r>
        <w:rPr>
          <w:rFonts w:cs="宋体" w:asciiTheme="minorEastAsia" w:hAnsiTheme="minorEastAsia" w:eastAsiaTheme="minorEastAsia"/>
          <w:color w:val="000000" w:themeColor="text1"/>
          <w14:textFill>
            <w14:solidFill>
              <w14:schemeClr w14:val="tx1"/>
            </w14:solidFill>
          </w14:textFill>
        </w:rPr>
        <w:t>35</w:t>
      </w:r>
      <w:r>
        <w:rPr>
          <w:rFonts w:hint="eastAsia" w:cs="宋体" w:asciiTheme="minorEastAsia" w:hAnsiTheme="minorEastAsia" w:eastAsiaTheme="minorEastAsia"/>
          <w:color w:val="000000" w:themeColor="text1"/>
          <w14:textFill>
            <w14:solidFill>
              <w14:schemeClr w14:val="tx1"/>
            </w14:solidFill>
          </w14:textFill>
        </w:rPr>
        <w:t>℃。周围空气温度的下限为－</w:t>
      </w:r>
      <w:r>
        <w:rPr>
          <w:rFonts w:cs="宋体" w:asciiTheme="minorEastAsia" w:hAnsiTheme="minorEastAsia" w:eastAsiaTheme="minorEastAsia"/>
          <w:color w:val="000000" w:themeColor="text1"/>
          <w14:textFill>
            <w14:solidFill>
              <w14:schemeClr w14:val="tx1"/>
            </w14:solidFill>
          </w14:textFill>
        </w:rPr>
        <w:t>5</w:t>
      </w:r>
      <w:r>
        <w:rPr>
          <w:rFonts w:hint="eastAsia" w:cs="宋体" w:asciiTheme="minorEastAsia" w:hAnsiTheme="minorEastAsia" w:eastAsiaTheme="minorEastAsia"/>
          <w:color w:val="000000" w:themeColor="text1"/>
          <w14:textFill>
            <w14:solidFill>
              <w14:schemeClr w14:val="tx1"/>
            </w14:solidFill>
          </w14:textFill>
        </w:rPr>
        <w:t>℃。安装地点的海拔不超过</w:t>
      </w:r>
      <w:r>
        <w:rPr>
          <w:rFonts w:cs="宋体" w:asciiTheme="minorEastAsia" w:hAnsiTheme="minorEastAsia" w:eastAsiaTheme="minorEastAsia"/>
          <w:color w:val="000000" w:themeColor="text1"/>
          <w14:textFill>
            <w14:solidFill>
              <w14:schemeClr w14:val="tx1"/>
            </w14:solidFill>
          </w14:textFill>
        </w:rPr>
        <w:t xml:space="preserve"> 2000m</w:t>
      </w:r>
      <w:r>
        <w:rPr>
          <w:rFonts w:hint="eastAsia" w:cs="宋体" w:asciiTheme="minorEastAsia" w:hAnsiTheme="minorEastAsia" w:eastAsiaTheme="minorEastAsia"/>
          <w:color w:val="000000" w:themeColor="text1"/>
          <w14:textFill>
            <w14:solidFill>
              <w14:schemeClr w14:val="tx1"/>
            </w14:solidFill>
          </w14:textFill>
        </w:rPr>
        <w:t>。</w:t>
      </w:r>
    </w:p>
    <w:p>
      <w:pPr>
        <w:pStyle w:val="373"/>
        <w:numPr>
          <w:ilvl w:val="0"/>
          <w:numId w:val="26"/>
        </w:numPr>
        <w:spacing w:line="500" w:lineRule="exact"/>
        <w:ind w:firstLineChars="0"/>
        <w:jc w:val="left"/>
        <w:rPr>
          <w:rFonts w:asciiTheme="minorEastAsia" w:hAnsiTheme="minorEastAsia" w:eastAsiaTheme="minorEastAsia"/>
          <w:b/>
          <w:bCs/>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主要参数：额定工作电压250V，控制电压220/240 50Hz，控制功率</w:t>
      </w:r>
      <w:r>
        <w:rPr>
          <w:rFonts w:hint="eastAsia" w:cs="宋体" w:asciiTheme="minorEastAsia" w:hAnsiTheme="minorEastAsia" w:eastAsiaTheme="minorEastAsia"/>
          <w:color w:val="000000" w:themeColor="text1"/>
          <w14:textFill>
            <w14:solidFill>
              <w14:schemeClr w14:val="tx1"/>
            </w14:solidFill>
          </w14:textFill>
        </w:rPr>
        <w:t>不低于</w:t>
      </w:r>
      <w:r>
        <w:rPr>
          <w:rFonts w:cs="宋体" w:asciiTheme="minorEastAsia" w:hAnsiTheme="minorEastAsia" w:eastAsiaTheme="minorEastAsia"/>
          <w:color w:val="000000" w:themeColor="text1"/>
          <w14:textFill>
            <w14:solidFill>
              <w14:schemeClr w14:val="tx1"/>
            </w14:solidFill>
          </w14:textFill>
        </w:rPr>
        <w:t>16KW。</w:t>
      </w:r>
    </w:p>
    <w:p>
      <w:pPr>
        <w:pStyle w:val="373"/>
        <w:numPr>
          <w:ilvl w:val="1"/>
          <w:numId w:val="21"/>
        </w:numPr>
        <w:spacing w:line="500" w:lineRule="exact"/>
        <w:ind w:firstLineChars="0"/>
        <w:jc w:val="left"/>
        <w:rPr>
          <w:rFonts w:asciiTheme="minorEastAsia" w:hAnsiTheme="minorEastAsia" w:eastAsiaTheme="minorEastAsia"/>
          <w:b/>
          <w:bCs/>
          <w:color w:val="000000" w:themeColor="text1"/>
          <w14:textFill>
            <w14:solidFill>
              <w14:schemeClr w14:val="tx1"/>
            </w14:solidFill>
          </w14:textFill>
        </w:rPr>
      </w:pPr>
      <w:r>
        <w:rPr>
          <w:rFonts w:hint="eastAsia" w:asciiTheme="minorEastAsia" w:hAnsiTheme="minorEastAsia" w:eastAsiaTheme="minorEastAsia"/>
          <w:b/>
          <w:bCs/>
          <w:color w:val="000000" w:themeColor="text1"/>
          <w14:textFill>
            <w14:solidFill>
              <w14:schemeClr w14:val="tx1"/>
            </w14:solidFill>
          </w14:textFill>
        </w:rPr>
        <w:t>施工质量控制</w:t>
      </w:r>
    </w:p>
    <w:p>
      <w:pPr>
        <w:rPr>
          <w:rFonts w:asciiTheme="minorEastAsia" w:hAnsiTheme="minorEastAsia" w:eastAsiaTheme="minorEastAsia"/>
          <w:b/>
          <w:bCs/>
          <w:color w:val="000000" w:themeColor="text1"/>
          <w:szCs w:val="21"/>
          <w14:textFill>
            <w14:solidFill>
              <w14:schemeClr w14:val="tx1"/>
            </w14:solidFill>
          </w14:textFill>
        </w:rPr>
      </w:pPr>
      <w:r>
        <w:rPr>
          <w:rFonts w:asciiTheme="minorEastAsia" w:hAnsiTheme="minorEastAsia" w:eastAsiaTheme="minorEastAsia"/>
          <w:b/>
          <w:bCs/>
          <w:color w:val="000000" w:themeColor="text1"/>
          <w:szCs w:val="21"/>
          <w14:textFill>
            <w14:solidFill>
              <w14:schemeClr w14:val="tx1"/>
            </w14:solidFill>
          </w14:textFill>
        </w:rPr>
        <w:t>2.7.1、</w:t>
      </w:r>
      <w:r>
        <w:rPr>
          <w:rFonts w:hint="eastAsia" w:asciiTheme="minorEastAsia" w:hAnsiTheme="minorEastAsia" w:eastAsiaTheme="minorEastAsia"/>
          <w:b/>
          <w:bCs/>
          <w:color w:val="000000" w:themeColor="text1"/>
          <w:szCs w:val="21"/>
          <w14:textFill>
            <w14:solidFill>
              <w14:schemeClr w14:val="tx1"/>
            </w14:solidFill>
          </w14:textFill>
        </w:rPr>
        <w:t>施工过程质量进行控制</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本项目厂家（合同乙方）应对施工过程质量进行控制。包括：</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（1）正确使用施工图纸、设计文件，验收标准及适用的施工工艺标准、作业指导书。适用时，对施工过程实施样板引路；</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（2）调配符合规定的操作人员，特种作业人员应持证上岗；</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（3）按工程项目施工质量管理策划规定，配备适用建筑材料、构配件和设备、施工机具、检测设备；</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（4）施工过程监控：应按图纸规范和方案等要求组织施工，按检验试验计划及时进行检查、监测。对施工过程的检查、监测包括：对工序的内部检查、技术复核，施工过程参数的监测和必要的统计分析活动；</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（5）根据现场管理有关规定对施工作业环境进行控制；</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（6）根据设计要求采用新材料、新工艺、新技术、新设备。 </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（7）合理安排施工进度：对施工进度、工作进度进行管理控制，确保满足施工进度计划，并保证施工质量；</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（8）采取半成品、成品保护措施并监督实施，制订半成品、成品保护措施，确保相应责任人，通过施工作业时的相互监督、巡回检查等方法，确保施工全过程做到防盗、防火、消防及物资的维护；</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（9）对不稳定和能力不足的施工过程、突发事件实施监控；</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（10）对施工过程实施监控。</w:t>
      </w:r>
    </w:p>
    <w:p>
      <w:pPr>
        <w:rPr>
          <w:rFonts w:asciiTheme="minorEastAsia" w:hAnsiTheme="minorEastAsia" w:eastAsiaTheme="minorEastAsia"/>
          <w:b/>
          <w:bCs/>
          <w:color w:val="000000" w:themeColor="text1"/>
          <w:szCs w:val="21"/>
          <w14:textFill>
            <w14:solidFill>
              <w14:schemeClr w14:val="tx1"/>
            </w14:solidFill>
          </w14:textFill>
        </w:rPr>
      </w:pPr>
      <w:r>
        <w:rPr>
          <w:rFonts w:cs="宋体" w:asciiTheme="minorEastAsia" w:hAnsiTheme="minorEastAsia" w:eastAsiaTheme="minorEastAsia"/>
          <w:color w:val="000000" w:themeColor="text1"/>
          <w:szCs w:val="21"/>
          <w:lang w:bidi="ar"/>
          <w14:textFill>
            <w14:solidFill>
              <w14:schemeClr w14:val="tx1"/>
            </w14:solidFill>
          </w14:textFill>
        </w:rPr>
        <w:t xml:space="preserve"> </w:t>
      </w:r>
      <w:r>
        <w:rPr>
          <w:rFonts w:asciiTheme="minorEastAsia" w:hAnsiTheme="minorEastAsia" w:eastAsiaTheme="minorEastAsia"/>
          <w:b/>
          <w:bCs/>
          <w:color w:val="000000" w:themeColor="text1"/>
          <w:szCs w:val="21"/>
          <w14:textFill>
            <w14:solidFill>
              <w14:schemeClr w14:val="tx1"/>
            </w14:solidFill>
          </w14:textFill>
        </w:rPr>
        <w:t>2.7.2、</w:t>
      </w:r>
      <w:r>
        <w:rPr>
          <w:rFonts w:hint="eastAsia" w:asciiTheme="minorEastAsia" w:hAnsiTheme="minorEastAsia" w:eastAsiaTheme="minorEastAsia"/>
          <w:b/>
          <w:bCs/>
          <w:color w:val="000000" w:themeColor="text1"/>
          <w:szCs w:val="21"/>
          <w14:textFill>
            <w14:solidFill>
              <w14:schemeClr w14:val="tx1"/>
            </w14:solidFill>
          </w14:textFill>
        </w:rPr>
        <w:t>隐蔽工程质量进行控制</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主要针对隐蔽工程的事先确认，包括：  </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（1）对工艺标准和技术文件进行评审，并对操作人员上岗资格进行鉴定；</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（2）对施工机具进行认可；</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（3）定期或在人员、材料、工艺参数、设备发生变化时，重新进行确认。</w:t>
      </w:r>
    </w:p>
    <w:p>
      <w:pPr>
        <w:pStyle w:val="89"/>
        <w:numPr>
          <w:ilvl w:val="2"/>
          <w:numId w:val="27"/>
        </w:numPr>
        <w:ind w:firstLineChars="0"/>
        <w:rPr>
          <w:rFonts w:asciiTheme="minorEastAsia" w:hAnsiTheme="minorEastAsia" w:eastAsiaTheme="minorEastAsia"/>
          <w:b/>
          <w:bCs/>
          <w:color w:val="000000" w:themeColor="text1"/>
          <w:sz w:val="21"/>
          <w:szCs w:val="21"/>
          <w14:textFill>
            <w14:solidFill>
              <w14:schemeClr w14:val="tx1"/>
            </w14:solidFill>
          </w14:textFill>
        </w:rPr>
      </w:pPr>
      <w:r>
        <w:rPr>
          <w:rFonts w:asciiTheme="minorEastAsia" w:hAnsiTheme="minorEastAsia" w:eastAsiaTheme="minorEastAsia"/>
          <w:b/>
          <w:bCs/>
          <w:color w:val="000000" w:themeColor="text1"/>
          <w:sz w:val="21"/>
          <w:szCs w:val="21"/>
          <w14:textFill>
            <w14:solidFill>
              <w14:schemeClr w14:val="tx1"/>
            </w14:solidFill>
          </w14:textFill>
        </w:rPr>
        <w:t>施工进度</w:t>
      </w:r>
      <w:r>
        <w:rPr>
          <w:rFonts w:hint="eastAsia" w:asciiTheme="minorEastAsia" w:hAnsiTheme="minorEastAsia" w:eastAsiaTheme="minorEastAsia"/>
          <w:b/>
          <w:bCs/>
          <w:color w:val="000000" w:themeColor="text1"/>
          <w:kern w:val="2"/>
          <w:sz w:val="21"/>
          <w:szCs w:val="21"/>
          <w14:textFill>
            <w14:solidFill>
              <w14:schemeClr w14:val="tx1"/>
            </w14:solidFill>
          </w14:textFill>
        </w:rPr>
        <w:t>控制</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施工过程中应做好施工过程及进度标识，确保施工过程具有可追溯性。可采用以下措施：</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（1）记录人员做好过程记录，包括施工日志、检验和试验报告等表明施工过程状态；  </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施工现场标识：根据施工过程特点建立标识，根据施工进度变化调整标识，根据施工变化突发情况改变标识，施工完工后撤销标识。标识管理需与施工进度相匹配，与施工需求相适宜。通过记录可对施工过程进行追溯性。</w:t>
      </w:r>
    </w:p>
    <w:p>
      <w:pPr>
        <w:pStyle w:val="89"/>
        <w:numPr>
          <w:ilvl w:val="2"/>
          <w:numId w:val="27"/>
        </w:numPr>
        <w:ind w:firstLineChars="0"/>
        <w:rPr>
          <w:rFonts w:asciiTheme="minorEastAsia" w:hAnsiTheme="minorEastAsia" w:eastAsiaTheme="minorEastAsia"/>
          <w:b/>
          <w:bCs/>
          <w:color w:val="000000" w:themeColor="text1"/>
          <w:sz w:val="21"/>
          <w:szCs w:val="21"/>
          <w14:textFill>
            <w14:solidFill>
              <w14:schemeClr w14:val="tx1"/>
            </w14:solidFill>
          </w14:textFill>
        </w:rPr>
      </w:pPr>
      <w:r>
        <w:rPr>
          <w:rFonts w:asciiTheme="minorEastAsia" w:hAnsiTheme="minorEastAsia" w:eastAsiaTheme="minorEastAsia"/>
          <w:b/>
          <w:bCs/>
          <w:color w:val="000000" w:themeColor="text1"/>
          <w:sz w:val="21"/>
          <w:szCs w:val="21"/>
          <w14:textFill>
            <w14:solidFill>
              <w14:schemeClr w14:val="tx1"/>
            </w14:solidFill>
          </w14:textFill>
        </w:rPr>
        <w:t>施工过程信息沟通</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应做好信息沟通工作，包括：  </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（1）工程信息（包括与工程有关的要求）；</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（2）合同的处理，包括对其的修改；  </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（3）建设方问询的处理、建设方反馈、包括投诉。</w:t>
      </w:r>
    </w:p>
    <w:p>
      <w:pPr>
        <w:pStyle w:val="89"/>
        <w:numPr>
          <w:ilvl w:val="2"/>
          <w:numId w:val="27"/>
        </w:numPr>
        <w:ind w:firstLineChars="0"/>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b/>
          <w:bCs/>
          <w:color w:val="000000" w:themeColor="text1"/>
          <w:kern w:val="2"/>
          <w:sz w:val="21"/>
          <w:szCs w:val="21"/>
          <w14:textFill>
            <w14:solidFill>
              <w14:schemeClr w14:val="tx1"/>
            </w14:solidFill>
          </w14:textFill>
        </w:rPr>
        <w:t>质量管理记录</w:t>
      </w:r>
    </w:p>
    <w:p>
      <w:pPr>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建立施工过程中的质量管理记录，并在竣工交付后移交给建设方（合同甲方），括： </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（1）施工日记和专项施工记录； </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（2）交底记录；  </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（3）上岗培训记录和岗位资格证明；</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（4）施工机具和检验、测量及试验设备的管理记录；  </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（5）图纸的接收和发放、设计变更的有关规定；  </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（6）监督检查和整改、复查记录；  </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（7）质量管理相关文件；   </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（8）工程项目质量管理策划结果中规定的其他记录。 </w:t>
      </w:r>
    </w:p>
    <w:p>
      <w:pPr>
        <w:widowControl/>
        <w:jc w:val="left"/>
        <w:rPr>
          <w:color w:val="000000" w:themeColor="text1"/>
          <w14:textFill>
            <w14:solidFill>
              <w14:schemeClr w14:val="tx1"/>
            </w14:solidFill>
          </w14:textFill>
        </w:rPr>
      </w:pPr>
      <w:r>
        <w:rPr>
          <w:rFonts w:eastAsia="黑体"/>
          <w:b/>
          <w:bCs/>
          <w:color w:val="000000" w:themeColor="text1"/>
          <w:kern w:val="44"/>
          <w:sz w:val="36"/>
          <w:szCs w:val="36"/>
          <w14:textFill>
            <w14:solidFill>
              <w14:schemeClr w14:val="tx1"/>
            </w14:solidFill>
          </w14:textFill>
        </w:rPr>
        <w:br w:type="page"/>
      </w:r>
    </w:p>
    <w:p>
      <w:pPr>
        <w:autoSpaceDE w:val="0"/>
        <w:autoSpaceDN w:val="0"/>
        <w:spacing w:line="240" w:lineRule="atLeast"/>
        <w:jc w:val="center"/>
        <w:outlineLvl w:val="0"/>
        <w:rPr>
          <w:rFonts w:eastAsia="黑体"/>
          <w:b/>
          <w:bCs/>
          <w:color w:val="000000" w:themeColor="text1"/>
          <w:kern w:val="44"/>
          <w:sz w:val="36"/>
          <w:szCs w:val="36"/>
          <w14:textFill>
            <w14:solidFill>
              <w14:schemeClr w14:val="tx1"/>
            </w14:solidFill>
          </w14:textFill>
        </w:rPr>
      </w:pPr>
      <w:r>
        <w:rPr>
          <w:rFonts w:hint="eastAsia" w:eastAsia="黑体"/>
          <w:b/>
          <w:bCs/>
          <w:color w:val="000000" w:themeColor="text1"/>
          <w:kern w:val="44"/>
          <w:sz w:val="36"/>
          <w:szCs w:val="36"/>
          <w14:textFill>
            <w14:solidFill>
              <w14:schemeClr w14:val="tx1"/>
            </w14:solidFill>
          </w14:textFill>
        </w:rPr>
        <w:t>第六章 竞争性磋商响应文件格式</w:t>
      </w:r>
      <w:bookmarkEnd w:id="41"/>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spacing w:line="360" w:lineRule="auto"/>
        <w:ind w:firstLine="560"/>
        <w:jc w:val="center"/>
        <w:rPr>
          <w:rFonts w:ascii="微软雅黑" w:hAnsi="微软雅黑" w:eastAsia="微软雅黑"/>
          <w:b/>
          <w:bCs/>
          <w:color w:val="000000" w:themeColor="text1"/>
          <w:sz w:val="44"/>
          <w:szCs w:val="44"/>
          <w14:textFill>
            <w14:solidFill>
              <w14:schemeClr w14:val="tx1"/>
            </w14:solidFill>
          </w14:textFill>
        </w:rPr>
      </w:pPr>
    </w:p>
    <w:p>
      <w:pPr>
        <w:spacing w:line="360" w:lineRule="auto"/>
        <w:ind w:firstLine="560"/>
        <w:jc w:val="center"/>
        <w:rPr>
          <w:rFonts w:ascii="微软雅黑" w:hAnsi="微软雅黑" w:eastAsia="微软雅黑"/>
          <w:b/>
          <w:bCs/>
          <w:color w:val="000000" w:themeColor="text1"/>
          <w:sz w:val="44"/>
          <w:szCs w:val="44"/>
          <w14:textFill>
            <w14:solidFill>
              <w14:schemeClr w14:val="tx1"/>
            </w14:solidFill>
          </w14:textFill>
        </w:rPr>
      </w:pPr>
    </w:p>
    <w:p>
      <w:pPr>
        <w:spacing w:line="360" w:lineRule="auto"/>
        <w:ind w:firstLine="560"/>
        <w:jc w:val="center"/>
        <w:rPr>
          <w:rFonts w:ascii="微软雅黑" w:hAnsi="微软雅黑" w:eastAsia="微软雅黑"/>
          <w:b/>
          <w:bCs/>
          <w:color w:val="000000" w:themeColor="text1"/>
          <w:sz w:val="44"/>
          <w:szCs w:val="44"/>
          <w14:textFill>
            <w14:solidFill>
              <w14:schemeClr w14:val="tx1"/>
            </w14:solidFill>
          </w14:textFill>
        </w:rPr>
      </w:pPr>
    </w:p>
    <w:p>
      <w:pPr>
        <w:spacing w:line="360" w:lineRule="auto"/>
        <w:ind w:firstLine="560"/>
        <w:jc w:val="center"/>
        <w:rPr>
          <w:rFonts w:ascii="微软雅黑" w:hAnsi="微软雅黑" w:eastAsia="微软雅黑"/>
          <w:b/>
          <w:bCs/>
          <w:color w:val="000000" w:themeColor="text1"/>
          <w:sz w:val="44"/>
          <w:szCs w:val="44"/>
          <w14:textFill>
            <w14:solidFill>
              <w14:schemeClr w14:val="tx1"/>
            </w14:solidFill>
          </w14:textFill>
        </w:rPr>
      </w:pPr>
    </w:p>
    <w:p>
      <w:pPr>
        <w:spacing w:line="360" w:lineRule="auto"/>
        <w:ind w:firstLine="560"/>
        <w:jc w:val="center"/>
        <w:rPr>
          <w:rFonts w:ascii="微软雅黑" w:hAnsi="微软雅黑" w:eastAsia="微软雅黑"/>
          <w:b/>
          <w:bCs/>
          <w:color w:val="000000" w:themeColor="text1"/>
          <w:sz w:val="44"/>
          <w:szCs w:val="44"/>
          <w14:textFill>
            <w14:solidFill>
              <w14:schemeClr w14:val="tx1"/>
            </w14:solidFill>
          </w14:textFill>
        </w:rPr>
      </w:pPr>
    </w:p>
    <w:p>
      <w:pPr>
        <w:spacing w:line="360" w:lineRule="auto"/>
        <w:ind w:firstLine="560"/>
        <w:jc w:val="center"/>
        <w:rPr>
          <w:rFonts w:ascii="微软雅黑" w:hAnsi="微软雅黑" w:eastAsia="微软雅黑"/>
          <w:b/>
          <w:bCs/>
          <w:color w:val="000000" w:themeColor="text1"/>
          <w:sz w:val="44"/>
          <w:szCs w:val="44"/>
          <w14:textFill>
            <w14:solidFill>
              <w14:schemeClr w14:val="tx1"/>
            </w14:solidFill>
          </w14:textFill>
        </w:rPr>
      </w:pPr>
    </w:p>
    <w:p>
      <w:pPr>
        <w:spacing w:line="360" w:lineRule="auto"/>
        <w:ind w:firstLine="560"/>
        <w:jc w:val="center"/>
        <w:rPr>
          <w:rFonts w:ascii="微软雅黑" w:hAnsi="微软雅黑" w:eastAsia="微软雅黑"/>
          <w:b/>
          <w:bCs/>
          <w:color w:val="000000" w:themeColor="text1"/>
          <w:sz w:val="44"/>
          <w:szCs w:val="44"/>
          <w14:textFill>
            <w14:solidFill>
              <w14:schemeClr w14:val="tx1"/>
            </w14:solidFill>
          </w14:textFill>
        </w:rPr>
      </w:pPr>
    </w:p>
    <w:p>
      <w:pPr>
        <w:spacing w:line="360" w:lineRule="auto"/>
        <w:ind w:firstLine="560"/>
        <w:jc w:val="center"/>
        <w:rPr>
          <w:rFonts w:ascii="微软雅黑" w:hAnsi="微软雅黑" w:eastAsia="微软雅黑"/>
          <w:b/>
          <w:bCs/>
          <w:color w:val="000000" w:themeColor="text1"/>
          <w:sz w:val="44"/>
          <w:szCs w:val="44"/>
          <w14:textFill>
            <w14:solidFill>
              <w14:schemeClr w14:val="tx1"/>
            </w14:solidFill>
          </w14:textFill>
        </w:rPr>
      </w:pPr>
    </w:p>
    <w:p>
      <w:pPr>
        <w:spacing w:line="360" w:lineRule="auto"/>
        <w:ind w:firstLine="560"/>
        <w:jc w:val="center"/>
        <w:rPr>
          <w:rFonts w:ascii="微软雅黑" w:hAnsi="微软雅黑" w:eastAsia="微软雅黑"/>
          <w:b/>
          <w:bCs/>
          <w:color w:val="000000" w:themeColor="text1"/>
          <w:sz w:val="44"/>
          <w:szCs w:val="44"/>
          <w14:textFill>
            <w14:solidFill>
              <w14:schemeClr w14:val="tx1"/>
            </w14:solidFill>
          </w14:textFill>
        </w:rPr>
      </w:pPr>
    </w:p>
    <w:p>
      <w:pPr>
        <w:spacing w:line="360" w:lineRule="auto"/>
        <w:ind w:firstLine="560"/>
        <w:jc w:val="center"/>
        <w:rPr>
          <w:rFonts w:ascii="微软雅黑" w:hAnsi="微软雅黑" w:eastAsia="微软雅黑"/>
          <w:b/>
          <w:bCs/>
          <w:color w:val="000000" w:themeColor="text1"/>
          <w:sz w:val="44"/>
          <w:szCs w:val="44"/>
          <w14:textFill>
            <w14:solidFill>
              <w14:schemeClr w14:val="tx1"/>
            </w14:solidFill>
          </w14:textFill>
        </w:rPr>
      </w:pPr>
    </w:p>
    <w:p>
      <w:pPr>
        <w:spacing w:line="360" w:lineRule="auto"/>
        <w:ind w:firstLine="560"/>
        <w:jc w:val="center"/>
        <w:rPr>
          <w:rFonts w:ascii="微软雅黑" w:hAnsi="微软雅黑" w:eastAsia="微软雅黑"/>
          <w:b/>
          <w:bCs/>
          <w:color w:val="000000" w:themeColor="text1"/>
          <w:sz w:val="44"/>
          <w:szCs w:val="44"/>
          <w14:textFill>
            <w14:solidFill>
              <w14:schemeClr w14:val="tx1"/>
            </w14:solidFill>
          </w14:textFill>
        </w:rPr>
      </w:pPr>
    </w:p>
    <w:p>
      <w:pPr>
        <w:spacing w:line="360" w:lineRule="auto"/>
        <w:ind w:firstLine="560"/>
        <w:jc w:val="center"/>
        <w:rPr>
          <w:rFonts w:ascii="微软雅黑" w:hAnsi="微软雅黑" w:eastAsia="微软雅黑"/>
          <w:b/>
          <w:bCs/>
          <w:color w:val="000000" w:themeColor="text1"/>
          <w:sz w:val="44"/>
          <w:szCs w:val="44"/>
          <w14:textFill>
            <w14:solidFill>
              <w14:schemeClr w14:val="tx1"/>
            </w14:solidFill>
          </w14:textFill>
        </w:rPr>
      </w:pPr>
    </w:p>
    <w:p>
      <w:pPr>
        <w:spacing w:line="360" w:lineRule="auto"/>
        <w:jc w:val="right"/>
        <w:rPr>
          <w:rFonts w:ascii="黑体" w:hAnsi="黑体" w:eastAsia="黑体" w:cs="宋体"/>
          <w:color w:val="000000" w:themeColor="text1"/>
          <w:sz w:val="36"/>
          <w:szCs w:val="36"/>
          <w:lang w:val="zh-TW"/>
          <w14:textFill>
            <w14:solidFill>
              <w14:schemeClr w14:val="tx1"/>
            </w14:solidFill>
          </w14:textFill>
        </w:rPr>
      </w:pPr>
    </w:p>
    <w:p>
      <w:pPr>
        <w:spacing w:line="360" w:lineRule="auto"/>
        <w:jc w:val="right"/>
        <w:rPr>
          <w:rFonts w:ascii="黑体" w:hAnsi="黑体" w:eastAsia="黑体" w:cs="宋体"/>
          <w:color w:val="000000" w:themeColor="text1"/>
          <w:sz w:val="36"/>
          <w:szCs w:val="36"/>
          <w:lang w:val="zh-TW"/>
          <w14:textFill>
            <w14:solidFill>
              <w14:schemeClr w14:val="tx1"/>
            </w14:solidFill>
          </w14:textFill>
        </w:rPr>
      </w:pPr>
      <w:r>
        <w:rPr>
          <w:rFonts w:hint="eastAsia" w:ascii="黑体" w:hAnsi="黑体" w:eastAsia="黑体" w:cs="宋体"/>
          <w:color w:val="000000" w:themeColor="text1"/>
          <w:sz w:val="36"/>
          <w:szCs w:val="36"/>
          <w:lang w:val="zh-TW"/>
          <w14:textFill>
            <w14:solidFill>
              <w14:schemeClr w14:val="tx1"/>
            </w14:solidFill>
          </w14:textFill>
        </w:rPr>
        <w:t>正</w:t>
      </w:r>
      <w:r>
        <w:rPr>
          <w:rFonts w:ascii="黑体" w:hAnsi="黑体" w:eastAsia="黑体" w:cs="宋体"/>
          <w:color w:val="000000" w:themeColor="text1"/>
          <w:sz w:val="36"/>
          <w:szCs w:val="36"/>
          <w:lang w:val="zh-TW"/>
          <w14:textFill>
            <w14:solidFill>
              <w14:schemeClr w14:val="tx1"/>
            </w14:solidFill>
          </w14:textFill>
        </w:rPr>
        <w:t>本</w:t>
      </w:r>
      <w:r>
        <w:rPr>
          <w:rFonts w:hint="eastAsia" w:ascii="黑体" w:hAnsi="黑体" w:eastAsia="黑体" w:cs="宋体"/>
          <w:color w:val="000000" w:themeColor="text1"/>
          <w:sz w:val="36"/>
          <w:szCs w:val="36"/>
          <w:lang w:val="zh-TW"/>
          <w14:textFill>
            <w14:solidFill>
              <w14:schemeClr w14:val="tx1"/>
            </w14:solidFill>
          </w14:textFill>
        </w:rPr>
        <w:t>/副本</w:t>
      </w:r>
    </w:p>
    <w:p>
      <w:pPr>
        <w:spacing w:line="360" w:lineRule="auto"/>
        <w:ind w:firstLine="560"/>
        <w:jc w:val="center"/>
        <w:rPr>
          <w:rFonts w:ascii="微软雅黑" w:hAnsi="微软雅黑" w:eastAsia="微软雅黑"/>
          <w:b/>
          <w:bCs/>
          <w:color w:val="000000" w:themeColor="text1"/>
          <w:sz w:val="44"/>
          <w:szCs w:val="44"/>
          <w14:textFill>
            <w14:solidFill>
              <w14:schemeClr w14:val="tx1"/>
            </w14:solidFill>
          </w14:textFill>
        </w:rPr>
      </w:pPr>
    </w:p>
    <w:p>
      <w:pPr>
        <w:spacing w:line="360" w:lineRule="auto"/>
        <w:ind w:firstLine="560"/>
        <w:jc w:val="center"/>
        <w:rPr>
          <w:rFonts w:ascii="微软雅黑" w:hAnsi="微软雅黑" w:eastAsia="微软雅黑"/>
          <w:b/>
          <w:bCs/>
          <w:color w:val="000000" w:themeColor="text1"/>
          <w:sz w:val="44"/>
          <w:szCs w:val="44"/>
          <w:highlight w:val="none"/>
          <w14:textFill>
            <w14:solidFill>
              <w14:schemeClr w14:val="tx1"/>
            </w14:solidFill>
          </w14:textFill>
        </w:rPr>
      </w:pPr>
      <w:bookmarkStart w:id="98" w:name="_GoBack"/>
      <w:r>
        <w:rPr>
          <w:rFonts w:hint="eastAsia" w:ascii="微软雅黑" w:hAnsi="微软雅黑" w:eastAsia="微软雅黑"/>
          <w:b/>
          <w:bCs/>
          <w:color w:val="000000" w:themeColor="text1"/>
          <w:sz w:val="44"/>
          <w:szCs w:val="44"/>
          <w:highlight w:val="none"/>
          <w14:textFill>
            <w14:solidFill>
              <w14:schemeClr w14:val="tx1"/>
            </w14:solidFill>
          </w14:textFill>
        </w:rPr>
        <w:t>江苏省广电有线信息网络股份有限公司</w:t>
      </w:r>
    </w:p>
    <w:p>
      <w:pPr>
        <w:spacing w:after="120" w:line="360" w:lineRule="auto"/>
        <w:jc w:val="center"/>
        <w:rPr>
          <w:rFonts w:ascii="微软雅黑" w:hAnsi="微软雅黑" w:eastAsia="微软雅黑"/>
          <w:b/>
          <w:bCs/>
          <w:color w:val="000000" w:themeColor="text1"/>
          <w:sz w:val="44"/>
          <w:szCs w:val="44"/>
          <w:highlight w:val="none"/>
          <w14:textFill>
            <w14:solidFill>
              <w14:schemeClr w14:val="tx1"/>
            </w14:solidFill>
          </w14:textFill>
        </w:rPr>
      </w:pPr>
      <w:r>
        <w:rPr>
          <w:rFonts w:ascii="微软雅黑" w:hAnsi="微软雅黑" w:eastAsia="微软雅黑"/>
          <w:b/>
          <w:bCs/>
          <w:color w:val="000000" w:themeColor="text1"/>
          <w:sz w:val="44"/>
          <w:szCs w:val="44"/>
          <w:highlight w:val="none"/>
          <w14:textFill>
            <w14:solidFill>
              <w14:schemeClr w14:val="tx1"/>
            </w14:solidFill>
          </w14:textFill>
        </w:rPr>
        <w:t>数据中心节能</w:t>
      </w:r>
      <w:r>
        <w:rPr>
          <w:rFonts w:hint="eastAsia" w:ascii="微软雅黑" w:hAnsi="微软雅黑" w:eastAsia="微软雅黑"/>
          <w:b/>
          <w:bCs/>
          <w:color w:val="000000" w:themeColor="text1"/>
          <w:sz w:val="44"/>
          <w:szCs w:val="44"/>
          <w:highlight w:val="none"/>
          <w14:textFill>
            <w14:solidFill>
              <w14:schemeClr w14:val="tx1"/>
            </w14:solidFill>
          </w14:textFill>
        </w:rPr>
        <w:t>改造项目（第二次）</w:t>
      </w:r>
    </w:p>
    <w:p>
      <w:pPr>
        <w:spacing w:after="120" w:line="360" w:lineRule="auto"/>
        <w:jc w:val="center"/>
        <w:rPr>
          <w:rFonts w:ascii="微软雅黑" w:hAnsi="微软雅黑" w:eastAsia="微软雅黑"/>
          <w:b/>
          <w:bCs/>
          <w:color w:val="000000" w:themeColor="text1"/>
          <w:sz w:val="44"/>
          <w:szCs w:val="44"/>
          <w:highlight w:val="none"/>
          <w14:textFill>
            <w14:solidFill>
              <w14:schemeClr w14:val="tx1"/>
            </w14:solidFill>
          </w14:textFill>
        </w:rPr>
      </w:pPr>
      <w:r>
        <w:rPr>
          <w:rFonts w:hint="eastAsia" w:ascii="微软雅黑" w:hAnsi="微软雅黑" w:eastAsia="微软雅黑"/>
          <w:b/>
          <w:bCs/>
          <w:color w:val="000000" w:themeColor="text1"/>
          <w:sz w:val="44"/>
          <w:szCs w:val="44"/>
          <w:highlight w:val="none"/>
          <w14:textFill>
            <w14:solidFill>
              <w14:schemeClr w14:val="tx1"/>
            </w14:solidFill>
          </w14:textFill>
        </w:rPr>
        <w:t>竞争性磋商响应文件</w:t>
      </w:r>
    </w:p>
    <w:p>
      <w:pPr>
        <w:spacing w:after="120" w:line="360" w:lineRule="auto"/>
        <w:jc w:val="center"/>
        <w:rPr>
          <w:b/>
          <w:bCs/>
          <w:color w:val="000000" w:themeColor="text1"/>
          <w:sz w:val="32"/>
          <w:szCs w:val="32"/>
          <w:highlight w:val="none"/>
          <w14:textFill>
            <w14:solidFill>
              <w14:schemeClr w14:val="tx1"/>
            </w14:solidFill>
          </w14:textFill>
        </w:rPr>
      </w:pPr>
      <w:r>
        <w:rPr>
          <w:rFonts w:hint="eastAsia"/>
          <w:b/>
          <w:bCs/>
          <w:color w:val="000000" w:themeColor="text1"/>
          <w:sz w:val="32"/>
          <w:szCs w:val="32"/>
          <w:highlight w:val="none"/>
          <w14:textFill>
            <w14:solidFill>
              <w14:schemeClr w14:val="tx1"/>
            </w14:solidFill>
          </w14:textFill>
        </w:rPr>
        <w:t>（第一包：动环系统新增电表及系统集成）</w:t>
      </w:r>
    </w:p>
    <w:p>
      <w:pPr>
        <w:rPr>
          <w:color w:val="000000" w:themeColor="text1"/>
          <w:highlight w:val="none"/>
          <w14:textFill>
            <w14:solidFill>
              <w14:schemeClr w14:val="tx1"/>
            </w14:solidFill>
          </w14:textFill>
        </w:rPr>
      </w:pPr>
    </w:p>
    <w:p>
      <w:pPr>
        <w:pStyle w:val="21"/>
        <w:kinsoku w:val="0"/>
        <w:overflowPunct w:val="0"/>
        <w:adjustRightInd w:val="0"/>
        <w:snapToGrid w:val="0"/>
        <w:spacing w:before="312" w:beforeLines="100" w:after="312" w:afterLines="100"/>
        <w:ind w:right="210" w:rightChars="100"/>
        <w:jc w:val="left"/>
        <w:rPr>
          <w:color w:val="000000" w:themeColor="text1"/>
          <w:sz w:val="44"/>
          <w:szCs w:val="44"/>
          <w:highlight w:val="none"/>
          <w14:textFill>
            <w14:solidFill>
              <w14:schemeClr w14:val="tx1"/>
            </w14:solidFill>
          </w14:textFill>
        </w:rPr>
      </w:pPr>
    </w:p>
    <w:bookmarkEnd w:id="98"/>
    <w:p>
      <w:pPr>
        <w:pStyle w:val="21"/>
        <w:kinsoku w:val="0"/>
        <w:overflowPunct w:val="0"/>
        <w:adjustRightInd w:val="0"/>
        <w:snapToGrid w:val="0"/>
        <w:spacing w:before="312" w:beforeLines="100" w:after="312" w:afterLines="100"/>
        <w:ind w:right="210" w:rightChars="100"/>
        <w:jc w:val="left"/>
        <w:rPr>
          <w:color w:val="000000" w:themeColor="text1"/>
          <w:sz w:val="44"/>
          <w:szCs w:val="44"/>
          <w14:textFill>
            <w14:solidFill>
              <w14:schemeClr w14:val="tx1"/>
            </w14:solidFill>
          </w14:textFill>
        </w:rPr>
      </w:pPr>
    </w:p>
    <w:p>
      <w:pPr>
        <w:pStyle w:val="21"/>
        <w:kinsoku w:val="0"/>
        <w:overflowPunct w:val="0"/>
        <w:adjustRightInd w:val="0"/>
        <w:snapToGrid w:val="0"/>
        <w:spacing w:before="312" w:beforeLines="100" w:after="312" w:afterLines="100"/>
        <w:ind w:right="210" w:rightChars="100"/>
        <w:jc w:val="left"/>
        <w:rPr>
          <w:color w:val="000000" w:themeColor="text1"/>
          <w:sz w:val="44"/>
          <w:szCs w:val="44"/>
          <w14:textFill>
            <w14:solidFill>
              <w14:schemeClr w14:val="tx1"/>
            </w14:solidFill>
          </w14:textFill>
        </w:rPr>
      </w:pPr>
    </w:p>
    <w:p>
      <w:pPr>
        <w:pStyle w:val="21"/>
        <w:kinsoku w:val="0"/>
        <w:overflowPunct w:val="0"/>
        <w:adjustRightInd w:val="0"/>
        <w:snapToGrid w:val="0"/>
        <w:spacing w:before="312" w:beforeLines="100" w:after="312" w:afterLines="100"/>
        <w:ind w:left="210" w:leftChars="100" w:right="210" w:rightChars="100" w:firstLine="1220" w:firstLineChars="200"/>
        <w:jc w:val="left"/>
        <w:rPr>
          <w:color w:val="000000" w:themeColor="text1"/>
          <w:sz w:val="61"/>
          <w:szCs w:val="61"/>
          <w14:textFill>
            <w14:solidFill>
              <w14:schemeClr w14:val="tx1"/>
            </w14:solidFill>
          </w14:textFill>
        </w:rPr>
      </w:pPr>
    </w:p>
    <w:p>
      <w:pPr>
        <w:pStyle w:val="21"/>
        <w:adjustRightInd w:val="0"/>
        <w:snapToGrid w:val="0"/>
        <w:spacing w:before="312" w:beforeLines="100" w:after="312" w:afterLines="100"/>
        <w:ind w:left="210" w:leftChars="100" w:right="210" w:rightChars="100" w:firstLine="562" w:firstLineChars="200"/>
        <w:jc w:val="left"/>
        <w:rPr>
          <w:b/>
          <w:bCs/>
          <w:color w:val="000000" w:themeColor="text1"/>
          <w:szCs w:val="28"/>
          <w14:textFill>
            <w14:solidFill>
              <w14:schemeClr w14:val="tx1"/>
            </w14:solidFill>
          </w14:textFill>
        </w:rPr>
      </w:pPr>
      <w:r>
        <w:rPr>
          <w:rFonts w:hint="eastAsia"/>
          <w:b/>
          <w:bCs/>
          <w:color w:val="000000" w:themeColor="text1"/>
          <w:szCs w:val="28"/>
          <w14:textFill>
            <w14:solidFill>
              <w14:schemeClr w14:val="tx1"/>
            </w14:solidFill>
          </w14:textFill>
        </w:rPr>
        <w:t>供应商：</w:t>
      </w:r>
      <w:r>
        <w:rPr>
          <w:rFonts w:hint="eastAsia"/>
          <w:b/>
          <w:bCs/>
          <w:color w:val="000000" w:themeColor="text1"/>
          <w:szCs w:val="28"/>
          <w:u w:val="single"/>
          <w14:textFill>
            <w14:solidFill>
              <w14:schemeClr w14:val="tx1"/>
            </w14:solidFill>
          </w14:textFill>
        </w:rPr>
        <w:t xml:space="preserve">                       </w:t>
      </w:r>
      <w:r>
        <w:rPr>
          <w:rFonts w:hint="eastAsia"/>
          <w:b/>
          <w:bCs/>
          <w:color w:val="000000" w:themeColor="text1"/>
          <w:szCs w:val="28"/>
          <w14:textFill>
            <w14:solidFill>
              <w14:schemeClr w14:val="tx1"/>
            </w14:solidFill>
          </w14:textFill>
        </w:rPr>
        <w:t>（盖单位公章）</w:t>
      </w:r>
    </w:p>
    <w:p>
      <w:pPr>
        <w:pStyle w:val="21"/>
        <w:adjustRightInd w:val="0"/>
        <w:snapToGrid w:val="0"/>
        <w:spacing w:before="312" w:beforeLines="100" w:after="312" w:afterLines="100"/>
        <w:ind w:left="210" w:leftChars="100" w:right="210" w:rightChars="100" w:firstLine="562" w:firstLineChars="200"/>
        <w:jc w:val="left"/>
        <w:rPr>
          <w:b/>
          <w:bCs/>
          <w:color w:val="000000" w:themeColor="text1"/>
          <w:szCs w:val="28"/>
          <w14:textFill>
            <w14:solidFill>
              <w14:schemeClr w14:val="tx1"/>
            </w14:solidFill>
          </w14:textFill>
        </w:rPr>
      </w:pPr>
      <w:r>
        <w:rPr>
          <w:rFonts w:hint="eastAsia"/>
          <w:b/>
          <w:bCs/>
          <w:color w:val="000000" w:themeColor="text1"/>
          <w:szCs w:val="28"/>
          <w14:textFill>
            <w14:solidFill>
              <w14:schemeClr w14:val="tx1"/>
            </w14:solidFill>
          </w14:textFill>
        </w:rPr>
        <w:t>法定代表人或其委托代理人：</w:t>
      </w:r>
      <w:r>
        <w:rPr>
          <w:rFonts w:hint="eastAsia"/>
          <w:b/>
          <w:bCs/>
          <w:color w:val="000000" w:themeColor="text1"/>
          <w:szCs w:val="28"/>
          <w:u w:val="single"/>
          <w14:textFill>
            <w14:solidFill>
              <w14:schemeClr w14:val="tx1"/>
            </w14:solidFill>
          </w14:textFill>
        </w:rPr>
        <w:t xml:space="preserve">      </w:t>
      </w:r>
      <w:r>
        <w:rPr>
          <w:b/>
          <w:bCs/>
          <w:color w:val="000000" w:themeColor="text1"/>
          <w:szCs w:val="28"/>
          <w:u w:val="single"/>
          <w14:textFill>
            <w14:solidFill>
              <w14:schemeClr w14:val="tx1"/>
            </w14:solidFill>
          </w14:textFill>
        </w:rPr>
        <w:t xml:space="preserve">  </w:t>
      </w:r>
      <w:r>
        <w:rPr>
          <w:rFonts w:hint="eastAsia"/>
          <w:b/>
          <w:bCs/>
          <w:color w:val="000000" w:themeColor="text1"/>
          <w:szCs w:val="28"/>
          <w:u w:val="single"/>
          <w14:textFill>
            <w14:solidFill>
              <w14:schemeClr w14:val="tx1"/>
            </w14:solidFill>
          </w14:textFill>
        </w:rPr>
        <w:t xml:space="preserve">   </w:t>
      </w:r>
      <w:r>
        <w:rPr>
          <w:rFonts w:hint="eastAsia"/>
          <w:b/>
          <w:bCs/>
          <w:color w:val="000000" w:themeColor="text1"/>
          <w:szCs w:val="28"/>
          <w14:textFill>
            <w14:solidFill>
              <w14:schemeClr w14:val="tx1"/>
            </w14:solidFill>
          </w14:textFill>
        </w:rPr>
        <w:t>（签字）</w:t>
      </w:r>
    </w:p>
    <w:p>
      <w:pPr>
        <w:pStyle w:val="21"/>
        <w:adjustRightInd w:val="0"/>
        <w:snapToGrid w:val="0"/>
        <w:spacing w:before="312" w:beforeLines="100" w:after="312" w:afterLines="100"/>
        <w:ind w:left="210" w:leftChars="100" w:right="210" w:rightChars="100" w:firstLine="1968" w:firstLineChars="700"/>
        <w:jc w:val="left"/>
        <w:rPr>
          <w:b/>
          <w:bCs/>
          <w:color w:val="000000" w:themeColor="text1"/>
          <w:szCs w:val="28"/>
          <w14:textFill>
            <w14:solidFill>
              <w14:schemeClr w14:val="tx1"/>
            </w14:solidFill>
          </w14:textFill>
        </w:rPr>
      </w:pPr>
      <w:r>
        <w:rPr>
          <w:rFonts w:hint="eastAsia"/>
          <w:b/>
          <w:bCs/>
          <w:color w:val="000000" w:themeColor="text1"/>
          <w:szCs w:val="28"/>
          <w:u w:val="single"/>
          <w14:textFill>
            <w14:solidFill>
              <w14:schemeClr w14:val="tx1"/>
            </w14:solidFill>
          </w14:textFill>
        </w:rPr>
        <w:t xml:space="preserve">        </w:t>
      </w:r>
      <w:r>
        <w:rPr>
          <w:rFonts w:hint="eastAsia"/>
          <w:b/>
          <w:bCs/>
          <w:color w:val="000000" w:themeColor="text1"/>
          <w:szCs w:val="28"/>
          <w14:textFill>
            <w14:solidFill>
              <w14:schemeClr w14:val="tx1"/>
            </w14:solidFill>
          </w14:textFill>
        </w:rPr>
        <w:t>年</w:t>
      </w:r>
      <w:r>
        <w:rPr>
          <w:rFonts w:hint="eastAsia"/>
          <w:b/>
          <w:bCs/>
          <w:color w:val="000000" w:themeColor="text1"/>
          <w:szCs w:val="28"/>
          <w:u w:val="single"/>
          <w14:textFill>
            <w14:solidFill>
              <w14:schemeClr w14:val="tx1"/>
            </w14:solidFill>
          </w14:textFill>
        </w:rPr>
        <w:t xml:space="preserve">   </w:t>
      </w:r>
      <w:r>
        <w:rPr>
          <w:rFonts w:hint="eastAsia"/>
          <w:b/>
          <w:bCs/>
          <w:color w:val="000000" w:themeColor="text1"/>
          <w:szCs w:val="28"/>
          <w14:textFill>
            <w14:solidFill>
              <w14:schemeClr w14:val="tx1"/>
            </w14:solidFill>
          </w14:textFill>
        </w:rPr>
        <w:t>月</w:t>
      </w:r>
      <w:r>
        <w:rPr>
          <w:rFonts w:hint="eastAsia"/>
          <w:b/>
          <w:bCs/>
          <w:color w:val="000000" w:themeColor="text1"/>
          <w:szCs w:val="28"/>
          <w:u w:val="single"/>
          <w14:textFill>
            <w14:solidFill>
              <w14:schemeClr w14:val="tx1"/>
            </w14:solidFill>
          </w14:textFill>
        </w:rPr>
        <w:t xml:space="preserve">  </w:t>
      </w:r>
      <w:r>
        <w:rPr>
          <w:rFonts w:hint="eastAsia"/>
          <w:b/>
          <w:bCs/>
          <w:color w:val="000000" w:themeColor="text1"/>
          <w:szCs w:val="28"/>
          <w14:textFill>
            <w14:solidFill>
              <w14:schemeClr w14:val="tx1"/>
            </w14:solidFill>
          </w14:textFill>
        </w:rPr>
        <w:t>日</w:t>
      </w:r>
    </w:p>
    <w:p>
      <w:pPr>
        <w:pStyle w:val="21"/>
        <w:adjustRightInd w:val="0"/>
        <w:snapToGrid w:val="0"/>
        <w:spacing w:before="312" w:beforeLines="100" w:after="312" w:afterLines="100"/>
        <w:ind w:left="210" w:leftChars="100" w:right="210" w:rightChars="100" w:firstLine="562" w:firstLineChars="200"/>
        <w:jc w:val="left"/>
        <w:rPr>
          <w:rFonts w:ascii="Arial" w:hAnsi="Arial" w:eastAsia="黑体" w:cs="Arial"/>
          <w:color w:val="000000" w:themeColor="text1"/>
          <w14:textFill>
            <w14:solidFill>
              <w14:schemeClr w14:val="tx1"/>
            </w14:solidFill>
          </w14:textFill>
        </w:rPr>
      </w:pPr>
      <w:r>
        <w:rPr>
          <w:b/>
          <w:bCs/>
          <w:color w:val="000000" w:themeColor="text1"/>
          <w:szCs w:val="28"/>
          <w14:textFill>
            <w14:solidFill>
              <w14:schemeClr w14:val="tx1"/>
            </w14:solidFill>
          </w14:textFill>
        </w:rPr>
        <w:t> </w:t>
      </w:r>
      <w:r>
        <w:rPr>
          <w:rFonts w:ascii="Arial" w:hAnsi="Arial" w:eastAsia="黑体" w:cs="Arial"/>
          <w:color w:val="000000" w:themeColor="text1"/>
          <w14:textFill>
            <w14:solidFill>
              <w14:schemeClr w14:val="tx1"/>
            </w14:solidFill>
          </w14:textFill>
        </w:rPr>
        <w:br w:type="page"/>
      </w:r>
    </w:p>
    <w:p>
      <w:pPr>
        <w:pStyle w:val="4"/>
        <w:numPr>
          <w:ilvl w:val="0"/>
          <w:numId w:val="0"/>
        </w:numPr>
        <w:jc w:val="center"/>
        <w:rPr>
          <w:color w:val="000000" w:themeColor="text1"/>
          <w14:textFill>
            <w14:solidFill>
              <w14:schemeClr w14:val="tx1"/>
            </w14:solidFill>
          </w14:textFill>
        </w:rPr>
      </w:pPr>
      <w:bookmarkStart w:id="46" w:name="_Toc472689687"/>
      <w:bookmarkStart w:id="47" w:name="_Toc69378658"/>
      <w:bookmarkStart w:id="48" w:name="_Toc529538374"/>
      <w:bookmarkStart w:id="49" w:name="_Toc26260030"/>
      <w:bookmarkStart w:id="50" w:name="_Toc26259737"/>
      <w:bookmarkStart w:id="51" w:name="_Toc447265317"/>
      <w:bookmarkStart w:id="52" w:name="_Toc438052118"/>
      <w:bookmarkStart w:id="53" w:name="_Toc447265603"/>
      <w:r>
        <w:rPr>
          <w:rFonts w:hint="eastAsia"/>
          <w:color w:val="000000" w:themeColor="text1"/>
          <w14:textFill>
            <w14:solidFill>
              <w14:schemeClr w14:val="tx1"/>
            </w14:solidFill>
          </w14:textFill>
        </w:rPr>
        <w:t>评审索引表</w:t>
      </w:r>
      <w:bookmarkEnd w:id="46"/>
      <w:bookmarkEnd w:id="47"/>
      <w:bookmarkEnd w:id="48"/>
      <w:bookmarkEnd w:id="49"/>
      <w:bookmarkEnd w:id="50"/>
    </w:p>
    <w:p>
      <w:pPr>
        <w:spacing w:line="276" w:lineRule="auto"/>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为了便于评审高效有序进行，请供应商提供如下索引表，并请将该索引表置于应答文件首页。请供应商按照索引表及竞争性磋商文件要求提供相关材料。供应商没有按照竞争性磋商文件要求提交全部资料，或者应答没有对竞争性磋商文件做出实质性响应是供应商的风险，并可能导致其响应文件作否决处理。</w:t>
      </w:r>
    </w:p>
    <w:p>
      <w:pPr>
        <w:pStyle w:val="6"/>
        <w:rPr>
          <w:rFonts w:ascii="宋体" w:hAnsi="宋体" w:eastAsia="宋体"/>
          <w:b/>
          <w:color w:val="000000" w:themeColor="text1"/>
          <w:sz w:val="24"/>
          <w14:textFill>
            <w14:solidFill>
              <w14:schemeClr w14:val="tx1"/>
            </w14:solidFill>
          </w14:textFill>
        </w:rPr>
      </w:pPr>
      <w:bookmarkStart w:id="54" w:name="_Toc401151285"/>
      <w:bookmarkStart w:id="55" w:name="_Toc429954241"/>
      <w:bookmarkStart w:id="56" w:name="_Toc401216443"/>
      <w:bookmarkStart w:id="57" w:name="_Toc26260031"/>
      <w:bookmarkStart w:id="58" w:name="_Toc427071030"/>
      <w:bookmarkStart w:id="59" w:name="_Toc529538375"/>
      <w:bookmarkStart w:id="60" w:name="_Toc401133270"/>
      <w:bookmarkStart w:id="61" w:name="_Toc26259738"/>
      <w:bookmarkStart w:id="62" w:name="_Toc485737092"/>
    </w:p>
    <w:p>
      <w:pPr>
        <w:pStyle w:val="5"/>
        <w:spacing w:before="260" w:after="260" w:line="416" w:lineRule="auto"/>
        <w:jc w:val="center"/>
        <w:rPr>
          <w:rFonts w:ascii="宋体" w:hAnsi="宋体" w:eastAsia="宋体"/>
          <w:b/>
          <w:bCs/>
          <w:color w:val="000000" w:themeColor="text1"/>
          <w:sz w:val="22"/>
          <w:szCs w:val="28"/>
          <w14:textFill>
            <w14:solidFill>
              <w14:schemeClr w14:val="tx1"/>
            </w14:solidFill>
          </w14:textFill>
        </w:rPr>
      </w:pPr>
      <w:bookmarkStart w:id="63" w:name="_Toc69378659"/>
      <w:r>
        <w:rPr>
          <w:rFonts w:hint="eastAsia" w:ascii="宋体" w:hAnsi="宋体" w:eastAsia="宋体"/>
          <w:b/>
          <w:bCs/>
          <w:color w:val="000000" w:themeColor="text1"/>
          <w:sz w:val="22"/>
          <w:szCs w:val="28"/>
          <w14:textFill>
            <w14:solidFill>
              <w14:schemeClr w14:val="tx1"/>
            </w14:solidFill>
          </w14:textFill>
        </w:rPr>
        <w:t>初步</w:t>
      </w:r>
      <w:r>
        <w:rPr>
          <w:rFonts w:ascii="宋体" w:hAnsi="宋体" w:eastAsia="宋体"/>
          <w:b/>
          <w:bCs/>
          <w:color w:val="000000" w:themeColor="text1"/>
          <w:sz w:val="22"/>
          <w:szCs w:val="28"/>
          <w14:textFill>
            <w14:solidFill>
              <w14:schemeClr w14:val="tx1"/>
            </w14:solidFill>
          </w14:textFill>
        </w:rPr>
        <w:t>评审索引表</w:t>
      </w:r>
      <w:bookmarkEnd w:id="54"/>
      <w:bookmarkEnd w:id="55"/>
      <w:bookmarkEnd w:id="56"/>
      <w:bookmarkEnd w:id="57"/>
      <w:bookmarkEnd w:id="58"/>
      <w:bookmarkEnd w:id="59"/>
      <w:bookmarkEnd w:id="60"/>
      <w:bookmarkEnd w:id="61"/>
      <w:bookmarkEnd w:id="62"/>
      <w:bookmarkEnd w:id="63"/>
    </w:p>
    <w:tbl>
      <w:tblPr>
        <w:tblStyle w:val="5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
        <w:gridCol w:w="6430"/>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76" w:type="pct"/>
            <w:vAlign w:val="center"/>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序号</w:t>
            </w:r>
          </w:p>
        </w:tc>
        <w:tc>
          <w:tcPr>
            <w:tcW w:w="3771" w:type="pct"/>
            <w:vAlign w:val="center"/>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lang w:eastAsia="zh-TW"/>
                <w14:textFill>
                  <w14:solidFill>
                    <w14:schemeClr w14:val="tx1"/>
                  </w14:solidFill>
                </w14:textFill>
              </w:rPr>
              <w:t>评审因素</w:t>
            </w:r>
          </w:p>
        </w:tc>
        <w:tc>
          <w:tcPr>
            <w:tcW w:w="650" w:type="pct"/>
            <w:vAlign w:val="center"/>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76" w:type="pct"/>
            <w:vAlign w:val="center"/>
          </w:tcPr>
          <w:p>
            <w:pPr>
              <w:widowControl/>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p>
        </w:tc>
        <w:tc>
          <w:tcPr>
            <w:tcW w:w="3771" w:type="pct"/>
            <w:vAlign w:val="center"/>
          </w:tcPr>
          <w:p>
            <w:pPr>
              <w:widowControl/>
              <w:spacing w:line="300" w:lineRule="auto"/>
              <w:jc w:val="left"/>
              <w:rPr>
                <w:rFonts w:ascii="宋体" w:hAnsi="宋体"/>
                <w:color w:val="000000" w:themeColor="text1"/>
                <w:kern w:val="0"/>
                <w14:textFill>
                  <w14:solidFill>
                    <w14:schemeClr w14:val="tx1"/>
                  </w14:solidFill>
                </w14:textFill>
              </w:rPr>
            </w:pPr>
          </w:p>
        </w:tc>
        <w:tc>
          <w:tcPr>
            <w:tcW w:w="650" w:type="pct"/>
            <w:vAlign w:val="center"/>
          </w:tcPr>
          <w:p>
            <w:pPr>
              <w:widowControl/>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76" w:type="pct"/>
            <w:vAlign w:val="center"/>
          </w:tcPr>
          <w:p>
            <w:pPr>
              <w:widowControl/>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p>
        </w:tc>
        <w:tc>
          <w:tcPr>
            <w:tcW w:w="3771" w:type="pct"/>
            <w:vAlign w:val="center"/>
          </w:tcPr>
          <w:p>
            <w:pPr>
              <w:widowControl/>
              <w:spacing w:line="300" w:lineRule="auto"/>
              <w:jc w:val="left"/>
              <w:rPr>
                <w:rFonts w:ascii="宋体" w:hAnsi="宋体"/>
                <w:color w:val="000000" w:themeColor="text1"/>
                <w:kern w:val="0"/>
                <w14:textFill>
                  <w14:solidFill>
                    <w14:schemeClr w14:val="tx1"/>
                  </w14:solidFill>
                </w14:textFill>
              </w:rPr>
            </w:pPr>
          </w:p>
        </w:tc>
        <w:tc>
          <w:tcPr>
            <w:tcW w:w="650" w:type="pct"/>
            <w:vAlign w:val="center"/>
          </w:tcPr>
          <w:p>
            <w:pPr>
              <w:widowControl/>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76" w:type="pct"/>
            <w:vAlign w:val="center"/>
          </w:tcPr>
          <w:p>
            <w:pPr>
              <w:widowControl/>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p>
        </w:tc>
        <w:tc>
          <w:tcPr>
            <w:tcW w:w="3771" w:type="pct"/>
            <w:vAlign w:val="center"/>
          </w:tcPr>
          <w:p>
            <w:pPr>
              <w:widowControl/>
              <w:spacing w:line="300" w:lineRule="auto"/>
              <w:jc w:val="left"/>
              <w:rPr>
                <w:rFonts w:ascii="宋体" w:hAnsi="宋体"/>
                <w:color w:val="000000" w:themeColor="text1"/>
                <w:kern w:val="0"/>
                <w14:textFill>
                  <w14:solidFill>
                    <w14:schemeClr w14:val="tx1"/>
                  </w14:solidFill>
                </w14:textFill>
              </w:rPr>
            </w:pPr>
          </w:p>
        </w:tc>
        <w:tc>
          <w:tcPr>
            <w:tcW w:w="650" w:type="pct"/>
            <w:vAlign w:val="center"/>
          </w:tcPr>
          <w:p>
            <w:pPr>
              <w:widowControl/>
              <w:jc w:val="center"/>
              <w:rPr>
                <w:rFonts w:ascii="宋体" w:hAnsi="宋体" w:cs="宋体"/>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76" w:type="pct"/>
            <w:vAlign w:val="center"/>
          </w:tcPr>
          <w:p>
            <w:pPr>
              <w:widowControl/>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w:t>
            </w:r>
          </w:p>
        </w:tc>
        <w:tc>
          <w:tcPr>
            <w:tcW w:w="3771" w:type="pct"/>
            <w:vAlign w:val="center"/>
          </w:tcPr>
          <w:p>
            <w:pPr>
              <w:widowControl/>
              <w:spacing w:line="300" w:lineRule="auto"/>
              <w:jc w:val="left"/>
              <w:rPr>
                <w:rFonts w:ascii="宋体" w:hAnsi="宋体"/>
                <w:color w:val="000000" w:themeColor="text1"/>
                <w:kern w:val="0"/>
                <w14:textFill>
                  <w14:solidFill>
                    <w14:schemeClr w14:val="tx1"/>
                  </w14:solidFill>
                </w14:textFill>
              </w:rPr>
            </w:pPr>
          </w:p>
        </w:tc>
        <w:tc>
          <w:tcPr>
            <w:tcW w:w="650" w:type="pct"/>
            <w:vAlign w:val="center"/>
          </w:tcPr>
          <w:p>
            <w:pPr>
              <w:widowControl/>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76" w:type="pct"/>
            <w:vAlign w:val="center"/>
          </w:tcPr>
          <w:p>
            <w:pPr>
              <w:widowControl/>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w:t>
            </w:r>
          </w:p>
        </w:tc>
        <w:tc>
          <w:tcPr>
            <w:tcW w:w="3771" w:type="pct"/>
            <w:vAlign w:val="center"/>
          </w:tcPr>
          <w:p>
            <w:pPr>
              <w:widowControl/>
              <w:spacing w:line="300" w:lineRule="auto"/>
              <w:jc w:val="left"/>
              <w:rPr>
                <w:rFonts w:ascii="宋体" w:hAnsi="宋体"/>
                <w:color w:val="000000" w:themeColor="text1"/>
                <w:kern w:val="0"/>
                <w14:textFill>
                  <w14:solidFill>
                    <w14:schemeClr w14:val="tx1"/>
                  </w14:solidFill>
                </w14:textFill>
              </w:rPr>
            </w:pPr>
          </w:p>
        </w:tc>
        <w:tc>
          <w:tcPr>
            <w:tcW w:w="650" w:type="pct"/>
            <w:vAlign w:val="center"/>
          </w:tcPr>
          <w:p>
            <w:pPr>
              <w:widowControl/>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76" w:type="pct"/>
            <w:vAlign w:val="center"/>
          </w:tcPr>
          <w:p>
            <w:pPr>
              <w:widowControl/>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w:t>
            </w:r>
          </w:p>
        </w:tc>
        <w:tc>
          <w:tcPr>
            <w:tcW w:w="3771" w:type="pct"/>
            <w:vAlign w:val="center"/>
          </w:tcPr>
          <w:p>
            <w:pPr>
              <w:widowControl/>
              <w:spacing w:line="300" w:lineRule="auto"/>
              <w:jc w:val="left"/>
              <w:rPr>
                <w:rFonts w:ascii="宋体" w:hAnsi="宋体"/>
                <w:color w:val="000000" w:themeColor="text1"/>
                <w:kern w:val="0"/>
                <w14:textFill>
                  <w14:solidFill>
                    <w14:schemeClr w14:val="tx1"/>
                  </w14:solidFill>
                </w14:textFill>
              </w:rPr>
            </w:pPr>
          </w:p>
        </w:tc>
        <w:tc>
          <w:tcPr>
            <w:tcW w:w="650" w:type="pct"/>
            <w:vAlign w:val="center"/>
          </w:tcPr>
          <w:p>
            <w:pPr>
              <w:widowControl/>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76" w:type="pct"/>
            <w:vAlign w:val="center"/>
          </w:tcPr>
          <w:p>
            <w:pPr>
              <w:widowControl/>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w:t>
            </w:r>
          </w:p>
        </w:tc>
        <w:tc>
          <w:tcPr>
            <w:tcW w:w="3771" w:type="pct"/>
            <w:vAlign w:val="center"/>
          </w:tcPr>
          <w:p>
            <w:pPr>
              <w:widowControl/>
              <w:spacing w:line="300" w:lineRule="auto"/>
              <w:jc w:val="left"/>
              <w:rPr>
                <w:rFonts w:ascii="宋体" w:hAnsi="宋体"/>
                <w:color w:val="000000" w:themeColor="text1"/>
                <w:kern w:val="0"/>
                <w14:textFill>
                  <w14:solidFill>
                    <w14:schemeClr w14:val="tx1"/>
                  </w14:solidFill>
                </w14:textFill>
              </w:rPr>
            </w:pPr>
          </w:p>
        </w:tc>
        <w:tc>
          <w:tcPr>
            <w:tcW w:w="650" w:type="pct"/>
            <w:vAlign w:val="center"/>
          </w:tcPr>
          <w:p>
            <w:pPr>
              <w:widowControl/>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76" w:type="pct"/>
            <w:vAlign w:val="center"/>
          </w:tcPr>
          <w:p>
            <w:pPr>
              <w:widowControl/>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w:t>
            </w:r>
          </w:p>
        </w:tc>
        <w:tc>
          <w:tcPr>
            <w:tcW w:w="3771" w:type="pct"/>
            <w:vAlign w:val="center"/>
          </w:tcPr>
          <w:p>
            <w:pPr>
              <w:widowControl/>
              <w:spacing w:line="300" w:lineRule="auto"/>
              <w:jc w:val="left"/>
              <w:rPr>
                <w:rFonts w:ascii="宋体" w:hAnsi="宋体"/>
                <w:color w:val="000000" w:themeColor="text1"/>
                <w:kern w:val="0"/>
                <w14:textFill>
                  <w14:solidFill>
                    <w14:schemeClr w14:val="tx1"/>
                  </w14:solidFill>
                </w14:textFill>
              </w:rPr>
            </w:pPr>
          </w:p>
        </w:tc>
        <w:tc>
          <w:tcPr>
            <w:tcW w:w="650" w:type="pct"/>
            <w:vAlign w:val="center"/>
          </w:tcPr>
          <w:p>
            <w:pPr>
              <w:widowControl/>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76" w:type="pct"/>
            <w:vAlign w:val="center"/>
          </w:tcPr>
          <w:p>
            <w:pPr>
              <w:widowControl/>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w:t>
            </w:r>
          </w:p>
        </w:tc>
        <w:tc>
          <w:tcPr>
            <w:tcW w:w="3771" w:type="pct"/>
            <w:vAlign w:val="center"/>
          </w:tcPr>
          <w:p>
            <w:pPr>
              <w:widowControl/>
              <w:spacing w:line="300" w:lineRule="auto"/>
              <w:jc w:val="left"/>
              <w:rPr>
                <w:rFonts w:ascii="宋体" w:hAnsi="宋体"/>
                <w:color w:val="000000" w:themeColor="text1"/>
                <w:kern w:val="0"/>
                <w14:textFill>
                  <w14:solidFill>
                    <w14:schemeClr w14:val="tx1"/>
                  </w14:solidFill>
                </w14:textFill>
              </w:rPr>
            </w:pPr>
          </w:p>
        </w:tc>
        <w:tc>
          <w:tcPr>
            <w:tcW w:w="650" w:type="pct"/>
            <w:vAlign w:val="center"/>
          </w:tcPr>
          <w:p>
            <w:pPr>
              <w:widowControl/>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76" w:type="pct"/>
            <w:vAlign w:val="center"/>
          </w:tcPr>
          <w:p>
            <w:pPr>
              <w:widowControl/>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w:t>
            </w:r>
          </w:p>
        </w:tc>
        <w:tc>
          <w:tcPr>
            <w:tcW w:w="3771" w:type="pct"/>
            <w:vAlign w:val="center"/>
          </w:tcPr>
          <w:p>
            <w:pPr>
              <w:widowControl/>
              <w:spacing w:line="300" w:lineRule="auto"/>
              <w:jc w:val="left"/>
              <w:rPr>
                <w:rFonts w:ascii="宋体" w:hAnsi="宋体"/>
                <w:color w:val="000000" w:themeColor="text1"/>
                <w:kern w:val="0"/>
                <w14:textFill>
                  <w14:solidFill>
                    <w14:schemeClr w14:val="tx1"/>
                  </w14:solidFill>
                </w14:textFill>
              </w:rPr>
            </w:pPr>
          </w:p>
        </w:tc>
        <w:tc>
          <w:tcPr>
            <w:tcW w:w="650" w:type="pct"/>
            <w:vAlign w:val="center"/>
          </w:tcPr>
          <w:p>
            <w:pPr>
              <w:widowControl/>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76" w:type="pct"/>
            <w:vAlign w:val="center"/>
          </w:tcPr>
          <w:p>
            <w:pPr>
              <w:widowControl/>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w:t>
            </w:r>
          </w:p>
        </w:tc>
        <w:tc>
          <w:tcPr>
            <w:tcW w:w="3771" w:type="pct"/>
            <w:vAlign w:val="center"/>
          </w:tcPr>
          <w:p>
            <w:pPr>
              <w:widowControl/>
              <w:spacing w:line="300" w:lineRule="auto"/>
              <w:jc w:val="left"/>
              <w:rPr>
                <w:rFonts w:ascii="宋体" w:hAnsi="宋体"/>
                <w:color w:val="000000" w:themeColor="text1"/>
                <w:kern w:val="0"/>
                <w14:textFill>
                  <w14:solidFill>
                    <w14:schemeClr w14:val="tx1"/>
                  </w14:solidFill>
                </w14:textFill>
              </w:rPr>
            </w:pPr>
          </w:p>
        </w:tc>
        <w:tc>
          <w:tcPr>
            <w:tcW w:w="650" w:type="pct"/>
            <w:vAlign w:val="center"/>
          </w:tcPr>
          <w:p>
            <w:pPr>
              <w:widowControl/>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76" w:type="pct"/>
            <w:vAlign w:val="center"/>
          </w:tcPr>
          <w:p>
            <w:pPr>
              <w:widowControl/>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2</w:t>
            </w:r>
          </w:p>
        </w:tc>
        <w:tc>
          <w:tcPr>
            <w:tcW w:w="3771" w:type="pct"/>
            <w:vAlign w:val="center"/>
          </w:tcPr>
          <w:p>
            <w:pPr>
              <w:widowControl/>
              <w:spacing w:line="300" w:lineRule="auto"/>
              <w:jc w:val="left"/>
              <w:rPr>
                <w:rFonts w:ascii="宋体" w:hAnsi="宋体"/>
                <w:color w:val="000000" w:themeColor="text1"/>
                <w:kern w:val="0"/>
                <w14:textFill>
                  <w14:solidFill>
                    <w14:schemeClr w14:val="tx1"/>
                  </w14:solidFill>
                </w14:textFill>
              </w:rPr>
            </w:pPr>
          </w:p>
        </w:tc>
        <w:tc>
          <w:tcPr>
            <w:tcW w:w="650" w:type="pct"/>
            <w:vAlign w:val="center"/>
          </w:tcPr>
          <w:p>
            <w:pPr>
              <w:widowControl/>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76" w:type="pct"/>
            <w:vAlign w:val="center"/>
          </w:tcPr>
          <w:p>
            <w:pPr>
              <w:widowControl/>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3</w:t>
            </w:r>
          </w:p>
        </w:tc>
        <w:tc>
          <w:tcPr>
            <w:tcW w:w="3771" w:type="pct"/>
            <w:vAlign w:val="center"/>
          </w:tcPr>
          <w:p>
            <w:pPr>
              <w:widowControl/>
              <w:spacing w:line="300" w:lineRule="auto"/>
              <w:jc w:val="left"/>
              <w:rPr>
                <w:rFonts w:ascii="宋体" w:hAnsi="宋体"/>
                <w:color w:val="000000" w:themeColor="text1"/>
                <w:kern w:val="0"/>
                <w14:textFill>
                  <w14:solidFill>
                    <w14:schemeClr w14:val="tx1"/>
                  </w14:solidFill>
                </w14:textFill>
              </w:rPr>
            </w:pPr>
          </w:p>
        </w:tc>
        <w:tc>
          <w:tcPr>
            <w:tcW w:w="650" w:type="pct"/>
            <w:vAlign w:val="center"/>
          </w:tcPr>
          <w:p>
            <w:pPr>
              <w:widowControl/>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76" w:type="pct"/>
            <w:vAlign w:val="center"/>
          </w:tcPr>
          <w:p>
            <w:pPr>
              <w:widowControl/>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4</w:t>
            </w:r>
          </w:p>
        </w:tc>
        <w:tc>
          <w:tcPr>
            <w:tcW w:w="3771" w:type="pct"/>
            <w:vAlign w:val="center"/>
          </w:tcPr>
          <w:p>
            <w:pPr>
              <w:widowControl/>
              <w:spacing w:line="300" w:lineRule="auto"/>
              <w:jc w:val="left"/>
              <w:rPr>
                <w:rFonts w:ascii="宋体" w:hAnsi="宋体"/>
                <w:color w:val="000000" w:themeColor="text1"/>
                <w:kern w:val="0"/>
                <w14:textFill>
                  <w14:solidFill>
                    <w14:schemeClr w14:val="tx1"/>
                  </w14:solidFill>
                </w14:textFill>
              </w:rPr>
            </w:pPr>
          </w:p>
        </w:tc>
        <w:tc>
          <w:tcPr>
            <w:tcW w:w="650" w:type="pct"/>
            <w:vAlign w:val="center"/>
          </w:tcPr>
          <w:p>
            <w:pPr>
              <w:widowControl/>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76" w:type="pct"/>
            <w:vAlign w:val="center"/>
          </w:tcPr>
          <w:p>
            <w:pPr>
              <w:widowControl/>
              <w:jc w:val="center"/>
              <w:rPr>
                <w:rFonts w:ascii="宋体" w:hAnsi="宋体"/>
                <w:color w:val="000000" w:themeColor="text1"/>
                <w14:textFill>
                  <w14:solidFill>
                    <w14:schemeClr w14:val="tx1"/>
                  </w14:solidFill>
                </w14:textFill>
              </w:rPr>
            </w:pPr>
          </w:p>
        </w:tc>
        <w:tc>
          <w:tcPr>
            <w:tcW w:w="3771" w:type="pct"/>
            <w:vAlign w:val="center"/>
          </w:tcPr>
          <w:p>
            <w:pPr>
              <w:widowControl/>
              <w:spacing w:line="300" w:lineRule="auto"/>
              <w:jc w:val="left"/>
              <w:rPr>
                <w:rFonts w:ascii="宋体" w:hAnsi="宋体"/>
                <w:color w:val="000000" w:themeColor="text1"/>
                <w:kern w:val="0"/>
                <w14:textFill>
                  <w14:solidFill>
                    <w14:schemeClr w14:val="tx1"/>
                  </w14:solidFill>
                </w14:textFill>
              </w:rPr>
            </w:pPr>
          </w:p>
        </w:tc>
        <w:tc>
          <w:tcPr>
            <w:tcW w:w="650" w:type="pct"/>
            <w:vAlign w:val="center"/>
          </w:tcPr>
          <w:p>
            <w:pPr>
              <w:widowControl/>
              <w:rPr>
                <w:rFonts w:ascii="宋体" w:hAnsi="宋体" w:cs="宋体"/>
                <w:color w:val="000000" w:themeColor="text1"/>
                <w:kern w:val="0"/>
                <w:szCs w:val="21"/>
                <w14:textFill>
                  <w14:solidFill>
                    <w14:schemeClr w14:val="tx1"/>
                  </w14:solidFill>
                </w14:textFill>
              </w:rPr>
            </w:pPr>
          </w:p>
        </w:tc>
      </w:tr>
    </w:tbl>
    <w:p>
      <w:pPr>
        <w:rPr>
          <w:color w:val="000000" w:themeColor="text1"/>
          <w14:textFill>
            <w14:solidFill>
              <w14:schemeClr w14:val="tx1"/>
            </w14:solidFill>
          </w14:textFill>
        </w:rPr>
      </w:pPr>
    </w:p>
    <w:p>
      <w:pPr>
        <w:pStyle w:val="52"/>
        <w:ind w:firstLine="560"/>
        <w:rPr>
          <w:color w:val="000000" w:themeColor="text1"/>
          <w14:textFill>
            <w14:solidFill>
              <w14:schemeClr w14:val="tx1"/>
            </w14:solidFill>
          </w14:textFill>
        </w:rPr>
      </w:pPr>
    </w:p>
    <w:p>
      <w:pPr>
        <w:pStyle w:val="5"/>
        <w:spacing w:before="260" w:after="260" w:line="416" w:lineRule="auto"/>
        <w:jc w:val="center"/>
        <w:rPr>
          <w:rFonts w:ascii="宋体" w:hAnsi="宋体" w:eastAsia="宋体"/>
          <w:b/>
          <w:bCs/>
          <w:color w:val="000000" w:themeColor="text1"/>
          <w:sz w:val="22"/>
          <w:szCs w:val="28"/>
          <w14:textFill>
            <w14:solidFill>
              <w14:schemeClr w14:val="tx1"/>
            </w14:solidFill>
          </w14:textFill>
        </w:rPr>
      </w:pPr>
      <w:bookmarkStart w:id="64" w:name="_Toc26259739"/>
      <w:bookmarkStart w:id="65" w:name="_Toc69378660"/>
      <w:bookmarkStart w:id="66" w:name="_Toc26260032"/>
      <w:r>
        <w:rPr>
          <w:rFonts w:hint="eastAsia" w:ascii="宋体" w:hAnsi="宋体" w:eastAsia="宋体"/>
          <w:b/>
          <w:bCs/>
          <w:color w:val="000000" w:themeColor="text1"/>
          <w:sz w:val="22"/>
          <w:szCs w:val="28"/>
          <w14:textFill>
            <w14:solidFill>
              <w14:schemeClr w14:val="tx1"/>
            </w14:solidFill>
          </w14:textFill>
        </w:rPr>
        <w:t>详细</w:t>
      </w:r>
      <w:r>
        <w:rPr>
          <w:rFonts w:ascii="宋体" w:hAnsi="宋体" w:eastAsia="宋体"/>
          <w:b/>
          <w:bCs/>
          <w:color w:val="000000" w:themeColor="text1"/>
          <w:sz w:val="22"/>
          <w:szCs w:val="28"/>
          <w14:textFill>
            <w14:solidFill>
              <w14:schemeClr w14:val="tx1"/>
            </w14:solidFill>
          </w14:textFill>
        </w:rPr>
        <w:t>评审索引表</w:t>
      </w:r>
      <w:bookmarkEnd w:id="64"/>
      <w:bookmarkEnd w:id="65"/>
      <w:bookmarkEnd w:id="66"/>
    </w:p>
    <w:tbl>
      <w:tblPr>
        <w:tblStyle w:val="53"/>
        <w:tblW w:w="94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
        <w:gridCol w:w="1086"/>
        <w:gridCol w:w="6778"/>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gridSpan w:val="2"/>
            <w:vAlign w:val="center"/>
          </w:tcPr>
          <w:p>
            <w:pPr>
              <w:widowControl/>
              <w:spacing w:line="300" w:lineRule="auto"/>
              <w:jc w:val="center"/>
              <w:rPr>
                <w:b/>
                <w:color w:val="000000" w:themeColor="text1"/>
                <w:kern w:val="0"/>
                <w:szCs w:val="21"/>
                <w14:textFill>
                  <w14:solidFill>
                    <w14:schemeClr w14:val="tx1"/>
                  </w14:solidFill>
                </w14:textFill>
              </w:rPr>
            </w:pPr>
            <w:r>
              <w:rPr>
                <w:rFonts w:hint="eastAsia"/>
                <w:b/>
                <w:color w:val="000000" w:themeColor="text1"/>
                <w:kern w:val="0"/>
                <w:szCs w:val="21"/>
                <w14:textFill>
                  <w14:solidFill>
                    <w14:schemeClr w14:val="tx1"/>
                  </w14:solidFill>
                </w14:textFill>
              </w:rPr>
              <w:t>评审</w:t>
            </w:r>
            <w:r>
              <w:rPr>
                <w:b/>
                <w:color w:val="000000" w:themeColor="text1"/>
                <w:kern w:val="0"/>
                <w:szCs w:val="21"/>
                <w14:textFill>
                  <w14:solidFill>
                    <w14:schemeClr w14:val="tx1"/>
                  </w14:solidFill>
                </w14:textFill>
              </w:rPr>
              <w:t>项目</w:t>
            </w:r>
          </w:p>
        </w:tc>
        <w:tc>
          <w:tcPr>
            <w:tcW w:w="6778" w:type="dxa"/>
            <w:vAlign w:val="center"/>
          </w:tcPr>
          <w:p>
            <w:pPr>
              <w:jc w:val="center"/>
              <w:rPr>
                <w:b/>
                <w:color w:val="000000" w:themeColor="text1"/>
                <w14:textFill>
                  <w14:solidFill>
                    <w14:schemeClr w14:val="tx1"/>
                  </w14:solidFill>
                </w14:textFill>
              </w:rPr>
            </w:pPr>
            <w:r>
              <w:rPr>
                <w:b/>
                <w:color w:val="000000" w:themeColor="text1"/>
                <w:kern w:val="0"/>
                <w:szCs w:val="21"/>
                <w14:textFill>
                  <w14:solidFill>
                    <w14:schemeClr w14:val="tx1"/>
                  </w14:solidFill>
                </w14:textFill>
              </w:rPr>
              <w:t>评分要求</w:t>
            </w:r>
          </w:p>
        </w:tc>
        <w:tc>
          <w:tcPr>
            <w:tcW w:w="1141" w:type="dxa"/>
            <w:vAlign w:val="center"/>
          </w:tcPr>
          <w:p>
            <w:pPr>
              <w:jc w:val="center"/>
              <w:rPr>
                <w:b/>
                <w:color w:val="000000" w:themeColor="text1"/>
                <w14:textFill>
                  <w14:solidFill>
                    <w14:schemeClr w14:val="tx1"/>
                  </w14:solidFill>
                </w14:textFill>
              </w:rPr>
            </w:pPr>
            <w:r>
              <w:rPr>
                <w:rFonts w:hint="eastAsia"/>
                <w:b/>
                <w:color w:val="000000" w:themeColor="text1"/>
                <w:kern w:val="0"/>
                <w:szCs w:val="21"/>
                <w14:textFill>
                  <w14:solidFill>
                    <w14:schemeClr w14:val="tx1"/>
                  </w14:solidFill>
                </w14:textFill>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jc w:val="center"/>
        </w:trPr>
        <w:tc>
          <w:tcPr>
            <w:tcW w:w="416" w:type="dxa"/>
            <w:vAlign w:val="center"/>
          </w:tcPr>
          <w:p>
            <w:pPr>
              <w:widowControl/>
              <w:spacing w:line="300"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w:t>
            </w:r>
          </w:p>
        </w:tc>
        <w:tc>
          <w:tcPr>
            <w:tcW w:w="1086" w:type="dxa"/>
            <w:vAlign w:val="center"/>
          </w:tcPr>
          <w:p>
            <w:pPr>
              <w:widowControl/>
              <w:spacing w:line="300" w:lineRule="auto"/>
              <w:jc w:val="center"/>
              <w:rPr>
                <w:color w:val="000000" w:themeColor="text1"/>
                <w:kern w:val="0"/>
                <w:szCs w:val="21"/>
                <w14:textFill>
                  <w14:solidFill>
                    <w14:schemeClr w14:val="tx1"/>
                  </w14:solidFill>
                </w14:textFill>
              </w:rPr>
            </w:pPr>
          </w:p>
        </w:tc>
        <w:tc>
          <w:tcPr>
            <w:tcW w:w="6778" w:type="dxa"/>
            <w:vAlign w:val="center"/>
          </w:tcPr>
          <w:p>
            <w:pPr>
              <w:widowControl/>
              <w:tabs>
                <w:tab w:val="left" w:pos="402"/>
              </w:tabs>
              <w:ind w:left="420"/>
              <w:rPr>
                <w:color w:val="000000" w:themeColor="text1"/>
                <w:kern w:val="0"/>
                <w:szCs w:val="21"/>
                <w14:textFill>
                  <w14:solidFill>
                    <w14:schemeClr w14:val="tx1"/>
                  </w14:solidFill>
                </w14:textFill>
              </w:rPr>
            </w:pPr>
          </w:p>
        </w:tc>
        <w:tc>
          <w:tcPr>
            <w:tcW w:w="1141" w:type="dxa"/>
            <w:vAlign w:val="center"/>
          </w:tcPr>
          <w:p>
            <w:pPr>
              <w:widowControl/>
              <w:tabs>
                <w:tab w:val="left" w:pos="0"/>
                <w:tab w:val="left" w:pos="402"/>
              </w:tabs>
              <w:spacing w:line="300" w:lineRule="auto"/>
              <w:ind w:firstLine="210" w:firstLineChars="100"/>
              <w:rPr>
                <w:color w:val="000000" w:themeColor="text1"/>
                <w:kern w:val="0"/>
                <w:szCs w:val="21"/>
                <w14:textFill>
                  <w14:solidFill>
                    <w14:schemeClr w14:val="tx1"/>
                  </w14:solidFill>
                </w14:textFill>
              </w:rPr>
            </w:pPr>
            <w:r>
              <w:rPr>
                <w:rFonts w:hint="eastAsia"/>
                <w:color w:val="000000" w:themeColor="text1"/>
                <w:kern w:val="0"/>
                <w:szCs w:val="21"/>
                <w:u w:val="single"/>
                <w14:textFill>
                  <w14:solidFill>
                    <w14:schemeClr w14:val="tx1"/>
                  </w14:solidFill>
                </w14:textFill>
              </w:rPr>
              <w:t xml:space="preserve"> </w:t>
            </w:r>
            <w:r>
              <w:rPr>
                <w:color w:val="000000" w:themeColor="text1"/>
                <w:kern w:val="0"/>
                <w:szCs w:val="21"/>
                <w:u w:val="single"/>
                <w14:textFill>
                  <w14:solidFill>
                    <w14:schemeClr w14:val="tx1"/>
                  </w14:solidFill>
                </w14:textFill>
              </w:rPr>
              <w:t xml:space="preserve">   </w:t>
            </w:r>
            <w:r>
              <w:rPr>
                <w:rFonts w:hint="eastAsia"/>
                <w:color w:val="000000" w:themeColor="text1"/>
                <w:kern w:val="0"/>
                <w:szCs w:val="21"/>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416" w:type="dxa"/>
            <w:vAlign w:val="center"/>
          </w:tcPr>
          <w:p>
            <w:pPr>
              <w:jc w:val="center"/>
              <w:rPr>
                <w:color w:val="000000" w:themeColor="text1"/>
                <w14:textFill>
                  <w14:solidFill>
                    <w14:schemeClr w14:val="tx1"/>
                  </w14:solidFill>
                </w14:textFill>
              </w:rPr>
            </w:pPr>
            <w:r>
              <w:rPr>
                <w:rFonts w:hint="eastAsia"/>
                <w:color w:val="000000" w:themeColor="text1"/>
                <w:kern w:val="0"/>
                <w:szCs w:val="21"/>
                <w14:textFill>
                  <w14:solidFill>
                    <w14:schemeClr w14:val="tx1"/>
                  </w14:solidFill>
                </w14:textFill>
              </w:rPr>
              <w:t>2</w:t>
            </w:r>
          </w:p>
        </w:tc>
        <w:tc>
          <w:tcPr>
            <w:tcW w:w="1086" w:type="dxa"/>
            <w:vAlign w:val="center"/>
          </w:tcPr>
          <w:p>
            <w:pPr>
              <w:jc w:val="center"/>
              <w:rPr>
                <w:color w:val="000000" w:themeColor="text1"/>
                <w:kern w:val="0"/>
                <w:szCs w:val="21"/>
                <w14:textFill>
                  <w14:solidFill>
                    <w14:schemeClr w14:val="tx1"/>
                  </w14:solidFill>
                </w14:textFill>
              </w:rPr>
            </w:pPr>
          </w:p>
        </w:tc>
        <w:tc>
          <w:tcPr>
            <w:tcW w:w="6778" w:type="dxa"/>
            <w:vAlign w:val="center"/>
          </w:tcPr>
          <w:p>
            <w:pPr>
              <w:widowControl/>
              <w:jc w:val="left"/>
              <w:rPr>
                <w:color w:val="000000" w:themeColor="text1"/>
                <w:kern w:val="0"/>
                <w:szCs w:val="21"/>
                <w14:textFill>
                  <w14:solidFill>
                    <w14:schemeClr w14:val="tx1"/>
                  </w14:solidFill>
                </w14:textFill>
              </w:rPr>
            </w:pPr>
          </w:p>
        </w:tc>
        <w:tc>
          <w:tcPr>
            <w:tcW w:w="1141" w:type="dxa"/>
            <w:vAlign w:val="center"/>
          </w:tcPr>
          <w:p>
            <w:pPr>
              <w:widowControl/>
              <w:ind w:firstLine="210" w:firstLineChars="100"/>
              <w:jc w:val="left"/>
              <w:rPr>
                <w:color w:val="000000" w:themeColor="text1"/>
                <w:kern w:val="0"/>
                <w:szCs w:val="21"/>
                <w14:textFill>
                  <w14:solidFill>
                    <w14:schemeClr w14:val="tx1"/>
                  </w14:solidFill>
                </w14:textFill>
              </w:rPr>
            </w:pPr>
            <w:r>
              <w:rPr>
                <w:rFonts w:hint="eastAsia"/>
                <w:color w:val="000000" w:themeColor="text1"/>
                <w:kern w:val="0"/>
                <w:szCs w:val="21"/>
                <w:u w:val="single"/>
                <w14:textFill>
                  <w14:solidFill>
                    <w14:schemeClr w14:val="tx1"/>
                  </w14:solidFill>
                </w14:textFill>
              </w:rPr>
              <w:t xml:space="preserve"> </w:t>
            </w:r>
            <w:r>
              <w:rPr>
                <w:color w:val="000000" w:themeColor="text1"/>
                <w:kern w:val="0"/>
                <w:szCs w:val="21"/>
                <w:u w:val="single"/>
                <w14:textFill>
                  <w14:solidFill>
                    <w14:schemeClr w14:val="tx1"/>
                  </w14:solidFill>
                </w14:textFill>
              </w:rPr>
              <w:t xml:space="preserve">   </w:t>
            </w:r>
            <w:r>
              <w:rPr>
                <w:rFonts w:hint="eastAsia"/>
                <w:color w:val="000000" w:themeColor="text1"/>
                <w:kern w:val="0"/>
                <w:szCs w:val="21"/>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7" w:hRule="atLeast"/>
          <w:jc w:val="center"/>
        </w:trPr>
        <w:tc>
          <w:tcPr>
            <w:tcW w:w="416" w:type="dxa"/>
            <w:vAlign w:val="center"/>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3</w:t>
            </w:r>
          </w:p>
        </w:tc>
        <w:tc>
          <w:tcPr>
            <w:tcW w:w="1086" w:type="dxa"/>
            <w:vAlign w:val="center"/>
          </w:tcPr>
          <w:p>
            <w:pPr>
              <w:jc w:val="center"/>
              <w:rPr>
                <w:rFonts w:ascii="宋体" w:hAnsi="宋体"/>
                <w:b/>
                <w:color w:val="000000" w:themeColor="text1"/>
                <w14:textFill>
                  <w14:solidFill>
                    <w14:schemeClr w14:val="tx1"/>
                  </w14:solidFill>
                </w14:textFill>
              </w:rPr>
            </w:pPr>
          </w:p>
        </w:tc>
        <w:tc>
          <w:tcPr>
            <w:tcW w:w="6778" w:type="dxa"/>
            <w:vAlign w:val="center"/>
          </w:tcPr>
          <w:p>
            <w:pPr>
              <w:widowControl/>
              <w:jc w:val="left"/>
              <w:rPr>
                <w:rFonts w:ascii="宋体" w:hAnsi="宋体"/>
                <w:color w:val="000000" w:themeColor="text1"/>
                <w:szCs w:val="21"/>
                <w14:textFill>
                  <w14:solidFill>
                    <w14:schemeClr w14:val="tx1"/>
                  </w14:solidFill>
                </w14:textFill>
              </w:rPr>
            </w:pPr>
          </w:p>
        </w:tc>
        <w:tc>
          <w:tcPr>
            <w:tcW w:w="1141" w:type="dxa"/>
            <w:vAlign w:val="center"/>
          </w:tcPr>
          <w:p>
            <w:pPr>
              <w:widowControl/>
              <w:ind w:firstLine="210" w:firstLineChars="100"/>
              <w:jc w:val="left"/>
              <w:rPr>
                <w:color w:val="000000" w:themeColor="text1"/>
                <w:kern w:val="0"/>
                <w:szCs w:val="21"/>
                <w14:textFill>
                  <w14:solidFill>
                    <w14:schemeClr w14:val="tx1"/>
                  </w14:solidFill>
                </w14:textFill>
              </w:rPr>
            </w:pPr>
            <w:r>
              <w:rPr>
                <w:rFonts w:hint="eastAsia"/>
                <w:color w:val="000000" w:themeColor="text1"/>
                <w:kern w:val="0"/>
                <w:szCs w:val="21"/>
                <w:u w:val="single"/>
                <w14:textFill>
                  <w14:solidFill>
                    <w14:schemeClr w14:val="tx1"/>
                  </w14:solidFill>
                </w14:textFill>
              </w:rPr>
              <w:t xml:space="preserve"> </w:t>
            </w:r>
            <w:r>
              <w:rPr>
                <w:color w:val="000000" w:themeColor="text1"/>
                <w:kern w:val="0"/>
                <w:szCs w:val="21"/>
                <w:u w:val="single"/>
                <w14:textFill>
                  <w14:solidFill>
                    <w14:schemeClr w14:val="tx1"/>
                  </w14:solidFill>
                </w14:textFill>
              </w:rPr>
              <w:t xml:space="preserve">   </w:t>
            </w:r>
            <w:r>
              <w:rPr>
                <w:rFonts w:hint="eastAsia"/>
                <w:color w:val="000000" w:themeColor="text1"/>
                <w:kern w:val="0"/>
                <w:szCs w:val="21"/>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jc w:val="center"/>
        </w:trPr>
        <w:tc>
          <w:tcPr>
            <w:tcW w:w="416"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1086" w:type="dxa"/>
            <w:vAlign w:val="center"/>
          </w:tcPr>
          <w:p>
            <w:pPr>
              <w:jc w:val="center"/>
              <w:rPr>
                <w:color w:val="000000" w:themeColor="text1"/>
                <w:kern w:val="0"/>
                <w:szCs w:val="21"/>
                <w14:textFill>
                  <w14:solidFill>
                    <w14:schemeClr w14:val="tx1"/>
                  </w14:solidFill>
                </w14:textFill>
              </w:rPr>
            </w:pPr>
          </w:p>
        </w:tc>
        <w:tc>
          <w:tcPr>
            <w:tcW w:w="6778" w:type="dxa"/>
            <w:vAlign w:val="center"/>
          </w:tcPr>
          <w:p>
            <w:pPr>
              <w:widowControl/>
              <w:jc w:val="left"/>
              <w:rPr>
                <w:color w:val="000000" w:themeColor="text1"/>
                <w:kern w:val="0"/>
                <w:szCs w:val="21"/>
                <w14:textFill>
                  <w14:solidFill>
                    <w14:schemeClr w14:val="tx1"/>
                  </w14:solidFill>
                </w14:textFill>
              </w:rPr>
            </w:pPr>
          </w:p>
        </w:tc>
        <w:tc>
          <w:tcPr>
            <w:tcW w:w="1141" w:type="dxa"/>
            <w:vAlign w:val="center"/>
          </w:tcPr>
          <w:p>
            <w:pPr>
              <w:widowControl/>
              <w:ind w:firstLine="210" w:firstLineChars="100"/>
              <w:jc w:val="left"/>
              <w:rPr>
                <w:color w:val="000000" w:themeColor="text1"/>
                <w:kern w:val="0"/>
                <w:szCs w:val="21"/>
                <w14:textFill>
                  <w14:solidFill>
                    <w14:schemeClr w14:val="tx1"/>
                  </w14:solidFill>
                </w14:textFill>
              </w:rPr>
            </w:pPr>
            <w:r>
              <w:rPr>
                <w:rFonts w:hint="eastAsia"/>
                <w:color w:val="000000" w:themeColor="text1"/>
                <w:kern w:val="0"/>
                <w:szCs w:val="21"/>
                <w:u w:val="single"/>
                <w14:textFill>
                  <w14:solidFill>
                    <w14:schemeClr w14:val="tx1"/>
                  </w14:solidFill>
                </w14:textFill>
              </w:rPr>
              <w:t xml:space="preserve"> </w:t>
            </w:r>
            <w:r>
              <w:rPr>
                <w:color w:val="000000" w:themeColor="text1"/>
                <w:kern w:val="0"/>
                <w:szCs w:val="21"/>
                <w:u w:val="single"/>
                <w14:textFill>
                  <w14:solidFill>
                    <w14:schemeClr w14:val="tx1"/>
                  </w14:solidFill>
                </w14:textFill>
              </w:rPr>
              <w:t xml:space="preserve">   </w:t>
            </w:r>
            <w:r>
              <w:rPr>
                <w:rFonts w:hint="eastAsia"/>
                <w:color w:val="000000" w:themeColor="text1"/>
                <w:kern w:val="0"/>
                <w:szCs w:val="21"/>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jc w:val="center"/>
        </w:trPr>
        <w:tc>
          <w:tcPr>
            <w:tcW w:w="416" w:type="dxa"/>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5</w:t>
            </w:r>
          </w:p>
        </w:tc>
        <w:tc>
          <w:tcPr>
            <w:tcW w:w="1086" w:type="dxa"/>
            <w:vAlign w:val="center"/>
          </w:tcPr>
          <w:p>
            <w:pPr>
              <w:jc w:val="center"/>
              <w:rPr>
                <w:color w:val="000000" w:themeColor="text1"/>
                <w:kern w:val="0"/>
                <w:szCs w:val="21"/>
                <w14:textFill>
                  <w14:solidFill>
                    <w14:schemeClr w14:val="tx1"/>
                  </w14:solidFill>
                </w14:textFill>
              </w:rPr>
            </w:pPr>
          </w:p>
        </w:tc>
        <w:tc>
          <w:tcPr>
            <w:tcW w:w="6778" w:type="dxa"/>
            <w:vAlign w:val="center"/>
          </w:tcPr>
          <w:p>
            <w:pPr>
              <w:widowControl/>
              <w:jc w:val="left"/>
              <w:rPr>
                <w:color w:val="000000" w:themeColor="text1"/>
                <w:kern w:val="0"/>
                <w:szCs w:val="21"/>
                <w14:textFill>
                  <w14:solidFill>
                    <w14:schemeClr w14:val="tx1"/>
                  </w14:solidFill>
                </w14:textFill>
              </w:rPr>
            </w:pPr>
          </w:p>
        </w:tc>
        <w:tc>
          <w:tcPr>
            <w:tcW w:w="1141" w:type="dxa"/>
            <w:vAlign w:val="center"/>
          </w:tcPr>
          <w:p>
            <w:pPr>
              <w:widowControl/>
              <w:ind w:firstLine="210" w:firstLineChars="100"/>
              <w:jc w:val="left"/>
              <w:rPr>
                <w:color w:val="000000" w:themeColor="text1"/>
                <w:kern w:val="0"/>
                <w:szCs w:val="21"/>
                <w14:textFill>
                  <w14:solidFill>
                    <w14:schemeClr w14:val="tx1"/>
                  </w14:solidFill>
                </w14:textFill>
              </w:rPr>
            </w:pPr>
            <w:r>
              <w:rPr>
                <w:rFonts w:hint="eastAsia"/>
                <w:color w:val="000000" w:themeColor="text1"/>
                <w:kern w:val="0"/>
                <w:szCs w:val="21"/>
                <w:u w:val="single"/>
                <w14:textFill>
                  <w14:solidFill>
                    <w14:schemeClr w14:val="tx1"/>
                  </w14:solidFill>
                </w14:textFill>
              </w:rPr>
              <w:t xml:space="preserve"> </w:t>
            </w:r>
            <w:r>
              <w:rPr>
                <w:color w:val="000000" w:themeColor="text1"/>
                <w:kern w:val="0"/>
                <w:szCs w:val="21"/>
                <w:u w:val="single"/>
                <w14:textFill>
                  <w14:solidFill>
                    <w14:schemeClr w14:val="tx1"/>
                  </w14:solidFill>
                </w14:textFill>
              </w:rPr>
              <w:t xml:space="preserve">   </w:t>
            </w:r>
            <w:r>
              <w:rPr>
                <w:rFonts w:hint="eastAsia"/>
                <w:color w:val="000000" w:themeColor="text1"/>
                <w:kern w:val="0"/>
                <w:szCs w:val="21"/>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jc w:val="center"/>
        </w:trPr>
        <w:tc>
          <w:tcPr>
            <w:tcW w:w="416" w:type="dxa"/>
            <w:vAlign w:val="center"/>
          </w:tcPr>
          <w:p>
            <w:pP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6</w:t>
            </w:r>
          </w:p>
        </w:tc>
        <w:tc>
          <w:tcPr>
            <w:tcW w:w="1086" w:type="dxa"/>
            <w:vAlign w:val="center"/>
          </w:tcPr>
          <w:p>
            <w:pPr>
              <w:jc w:val="center"/>
              <w:rPr>
                <w:color w:val="000000" w:themeColor="text1"/>
                <w:kern w:val="0"/>
                <w:szCs w:val="21"/>
                <w14:textFill>
                  <w14:solidFill>
                    <w14:schemeClr w14:val="tx1"/>
                  </w14:solidFill>
                </w14:textFill>
              </w:rPr>
            </w:pPr>
          </w:p>
        </w:tc>
        <w:tc>
          <w:tcPr>
            <w:tcW w:w="6778" w:type="dxa"/>
            <w:vAlign w:val="center"/>
          </w:tcPr>
          <w:p>
            <w:pPr>
              <w:rPr>
                <w:color w:val="000000" w:themeColor="text1"/>
                <w14:textFill>
                  <w14:solidFill>
                    <w14:schemeClr w14:val="tx1"/>
                  </w14:solidFill>
                </w14:textFill>
              </w:rPr>
            </w:pPr>
          </w:p>
        </w:tc>
        <w:tc>
          <w:tcPr>
            <w:tcW w:w="1141" w:type="dxa"/>
            <w:vAlign w:val="center"/>
          </w:tcPr>
          <w:p>
            <w:pPr>
              <w:ind w:firstLine="210" w:firstLineChars="100"/>
              <w:rPr>
                <w:color w:val="000000" w:themeColor="text1"/>
                <w14:textFill>
                  <w14:solidFill>
                    <w14:schemeClr w14:val="tx1"/>
                  </w14:solidFill>
                </w14:textFill>
              </w:rPr>
            </w:pPr>
            <w:r>
              <w:rPr>
                <w:rFonts w:hint="eastAsia"/>
                <w:color w:val="000000" w:themeColor="text1"/>
                <w:kern w:val="0"/>
                <w:szCs w:val="21"/>
                <w:u w:val="single"/>
                <w14:textFill>
                  <w14:solidFill>
                    <w14:schemeClr w14:val="tx1"/>
                  </w14:solidFill>
                </w14:textFill>
              </w:rPr>
              <w:t xml:space="preserve"> </w:t>
            </w:r>
            <w:r>
              <w:rPr>
                <w:color w:val="000000" w:themeColor="text1"/>
                <w:kern w:val="0"/>
                <w:szCs w:val="21"/>
                <w:u w:val="single"/>
                <w14:textFill>
                  <w14:solidFill>
                    <w14:schemeClr w14:val="tx1"/>
                  </w14:solidFill>
                </w14:textFill>
              </w:rPr>
              <w:t xml:space="preserve">   </w:t>
            </w:r>
            <w:r>
              <w:rPr>
                <w:rFonts w:hint="eastAsia"/>
                <w:color w:val="000000" w:themeColor="text1"/>
                <w:kern w:val="0"/>
                <w:szCs w:val="21"/>
                <w14:textFill>
                  <w14:solidFill>
                    <w14:schemeClr w14:val="tx1"/>
                  </w14:solidFill>
                </w14:textFill>
              </w:rPr>
              <w:t>页</w:t>
            </w:r>
          </w:p>
        </w:tc>
      </w:tr>
    </w:tbl>
    <w:p>
      <w:pPr>
        <w:pStyle w:val="6"/>
        <w:rPr>
          <w:color w:val="000000" w:themeColor="text1"/>
          <w14:textFill>
            <w14:solidFill>
              <w14:schemeClr w14:val="tx1"/>
            </w14:solidFill>
          </w14:textFill>
        </w:rPr>
      </w:pPr>
    </w:p>
    <w:bookmarkEnd w:id="51"/>
    <w:bookmarkEnd w:id="52"/>
    <w:bookmarkEnd w:id="53"/>
    <w:p>
      <w:pPr>
        <w:rPr>
          <w:color w:val="000000" w:themeColor="text1"/>
          <w14:textFill>
            <w14:solidFill>
              <w14:schemeClr w14:val="tx1"/>
            </w14:solidFill>
          </w14:textFill>
        </w:rPr>
      </w:pPr>
    </w:p>
    <w:p>
      <w:pPr>
        <w:rPr>
          <w:color w:val="000000" w:themeColor="text1"/>
          <w14:textFill>
            <w14:solidFill>
              <w14:schemeClr w14:val="tx1"/>
            </w14:solidFill>
          </w14:textFill>
        </w:rPr>
        <w:sectPr>
          <w:pgSz w:w="11906" w:h="16838"/>
          <w:pgMar w:top="1440" w:right="1800" w:bottom="1440" w:left="1800" w:header="851" w:footer="992" w:gutter="0"/>
          <w:cols w:space="720" w:num="1"/>
          <w:docGrid w:type="lines" w:linePitch="312" w:charSpace="0"/>
        </w:sectPr>
      </w:pPr>
    </w:p>
    <w:p>
      <w:pPr>
        <w:pStyle w:val="4"/>
        <w:numPr>
          <w:ilvl w:val="0"/>
          <w:numId w:val="0"/>
        </w:numPr>
        <w:snapToGrid w:val="0"/>
        <w:spacing w:before="312" w:beforeLines="100" w:after="312" w:afterLines="100"/>
        <w:ind w:right="210" w:rightChars="100"/>
        <w:rPr>
          <w:rStyle w:val="106"/>
          <w:rFonts w:hAnsi="宋体"/>
          <w:b w:val="0"/>
          <w:bCs w:val="0"/>
          <w:color w:val="000000" w:themeColor="text1"/>
          <w:sz w:val="24"/>
          <w:szCs w:val="24"/>
          <w14:textFill>
            <w14:solidFill>
              <w14:schemeClr w14:val="tx1"/>
            </w14:solidFill>
          </w14:textFill>
        </w:rPr>
      </w:pPr>
      <w:bookmarkStart w:id="67" w:name="_Toc135999006"/>
      <w:bookmarkStart w:id="68" w:name="_Toc161767428"/>
      <w:bookmarkStart w:id="69" w:name="_Toc26260033"/>
      <w:bookmarkStart w:id="70" w:name="_Toc69378663"/>
      <w:bookmarkStart w:id="71" w:name="_Toc529538377"/>
      <w:bookmarkStart w:id="72" w:name="_Toc472689688"/>
      <w:bookmarkStart w:id="73" w:name="_Toc438052120"/>
      <w:r>
        <w:rPr>
          <w:rStyle w:val="106"/>
          <w:rFonts w:hint="eastAsia" w:hAnsi="宋体"/>
          <w:b w:val="0"/>
          <w:bCs w:val="0"/>
          <w:color w:val="000000" w:themeColor="text1"/>
          <w:sz w:val="24"/>
          <w:szCs w:val="24"/>
          <w14:textFill>
            <w14:solidFill>
              <w14:schemeClr w14:val="tx1"/>
            </w14:solidFill>
          </w14:textFill>
        </w:rPr>
        <w:t>附件</w:t>
      </w:r>
      <w:r>
        <w:rPr>
          <w:rStyle w:val="106"/>
          <w:rFonts w:hAnsi="宋体"/>
          <w:b w:val="0"/>
          <w:bCs w:val="0"/>
          <w:color w:val="000000" w:themeColor="text1"/>
          <w:sz w:val="24"/>
          <w:szCs w:val="24"/>
          <w14:textFill>
            <w14:solidFill>
              <w14:schemeClr w14:val="tx1"/>
            </w14:solidFill>
          </w14:textFill>
        </w:rPr>
        <w:t>1</w:t>
      </w:r>
      <w:r>
        <w:rPr>
          <w:rStyle w:val="106"/>
          <w:rFonts w:hint="eastAsia" w:hAnsi="宋体"/>
          <w:b w:val="0"/>
          <w:bCs w:val="0"/>
          <w:color w:val="000000" w:themeColor="text1"/>
          <w:sz w:val="24"/>
          <w:szCs w:val="24"/>
          <w14:textFill>
            <w14:solidFill>
              <w14:schemeClr w14:val="tx1"/>
            </w14:solidFill>
          </w14:textFill>
        </w:rPr>
        <w:t>：</w:t>
      </w:r>
      <w:bookmarkEnd w:id="67"/>
      <w:bookmarkEnd w:id="68"/>
      <w:r>
        <w:rPr>
          <w:rStyle w:val="106"/>
          <w:rFonts w:hint="eastAsia" w:hAnsi="宋体"/>
          <w:b w:val="0"/>
          <w:bCs w:val="0"/>
          <w:color w:val="000000" w:themeColor="text1"/>
          <w:sz w:val="24"/>
          <w:szCs w:val="24"/>
          <w14:textFill>
            <w14:solidFill>
              <w14:schemeClr w14:val="tx1"/>
            </w14:solidFill>
          </w14:textFill>
        </w:rPr>
        <w:t>响应函</w:t>
      </w:r>
      <w:bookmarkEnd w:id="69"/>
      <w:bookmarkEnd w:id="70"/>
    </w:p>
    <w:p>
      <w:pPr>
        <w:snapToGrid w:val="0"/>
        <w:spacing w:before="312" w:beforeLines="100" w:after="312" w:afterLines="100"/>
        <w:ind w:left="210" w:leftChars="100" w:right="210" w:rightChars="100" w:firstLine="643" w:firstLineChars="200"/>
        <w:jc w:val="center"/>
        <w:rPr>
          <w:rFonts w:ascii="宋体" w:hAnsi="宋体" w:eastAsia="黑体"/>
          <w:b/>
          <w:bCs/>
          <w:color w:val="000000" w:themeColor="text1"/>
          <w:sz w:val="32"/>
          <w:szCs w:val="32"/>
          <w14:textFill>
            <w14:solidFill>
              <w14:schemeClr w14:val="tx1"/>
            </w14:solidFill>
          </w14:textFill>
        </w:rPr>
      </w:pPr>
      <w:r>
        <w:rPr>
          <w:rStyle w:val="106"/>
          <w:rFonts w:hint="eastAsia" w:ascii="宋体" w:hAnsi="宋体"/>
          <w:color w:val="000000" w:themeColor="text1"/>
          <w14:textFill>
            <w14:solidFill>
              <w14:schemeClr w14:val="tx1"/>
            </w14:solidFill>
          </w14:textFill>
        </w:rPr>
        <w:t>响应函</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江苏省广电有线信息网络股份有限公司：</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（供应商全称）授权（全权代表姓名、职务、职称）为全权代表，参加贵方组织的（采购编号、项目名称）的有关活动，为此：</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（1）提供供应商须知规定的全部响应文件（正本</w:t>
      </w:r>
      <w:r>
        <w:rPr>
          <w:rFonts w:ascii="宋体" w:hAnsi="宋体"/>
          <w:color w:val="000000" w:themeColor="text1"/>
          <w:szCs w:val="21"/>
          <w14:textFill>
            <w14:solidFill>
              <w14:schemeClr w14:val="tx1"/>
            </w14:solidFill>
          </w14:textFill>
        </w:rPr>
        <w:t>[ 1 ]</w:t>
      </w:r>
      <w:r>
        <w:rPr>
          <w:rFonts w:hint="eastAsia" w:ascii="宋体" w:hAnsi="宋体"/>
          <w:color w:val="000000" w:themeColor="text1"/>
          <w:szCs w:val="21"/>
          <w14:textFill>
            <w14:solidFill>
              <w14:schemeClr w14:val="tx1"/>
            </w14:solidFill>
          </w14:textFill>
        </w:rPr>
        <w:t>份，副本</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份、电子版</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份）。</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（2）提供按竞争性磋商文件要求的产品</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服务的报价。（</w:t>
      </w:r>
      <w:r>
        <w:rPr>
          <w:rFonts w:hint="eastAsia" w:ascii="宋体" w:hAnsi="宋体"/>
          <w:color w:val="000000" w:themeColor="text1"/>
          <w:szCs w:val="21"/>
          <w:u w:val="single"/>
          <w14:textFill>
            <w14:solidFill>
              <w14:schemeClr w14:val="tx1"/>
            </w14:solidFill>
          </w14:textFill>
        </w:rPr>
        <w:t>详见附件：报价表</w:t>
      </w:r>
      <w:r>
        <w:rPr>
          <w:rFonts w:hint="eastAsia" w:ascii="宋体" w:hAnsi="宋体"/>
          <w:color w:val="000000" w:themeColor="text1"/>
          <w:szCs w:val="21"/>
          <w14:textFill>
            <w14:solidFill>
              <w14:schemeClr w14:val="tx1"/>
            </w14:solidFill>
          </w14:textFill>
        </w:rPr>
        <w:t>）。</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（3）供应商将按竞争性磋商文件的规定履行全部责任和义务。</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（4）供应商已详细审查全部竞争性磋商文件，我们完全理解并同意放弃对竞争性磋商文件提出质疑及</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或争议的权利。</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（5）本供应商递交响应文件的有效期为自递交响应文件截止日起</w:t>
      </w:r>
      <w:r>
        <w:rPr>
          <w:rFonts w:hint="eastAsia" w:ascii="宋体" w:hAnsi="宋体"/>
          <w:color w:val="000000" w:themeColor="text1"/>
          <w:szCs w:val="21"/>
          <w:u w:val="single"/>
          <w14:textFill>
            <w14:solidFill>
              <w14:schemeClr w14:val="tx1"/>
            </w14:solidFill>
          </w14:textFill>
        </w:rPr>
        <w:t>90个</w:t>
      </w:r>
      <w:r>
        <w:rPr>
          <w:rFonts w:hint="eastAsia" w:ascii="宋体" w:hAnsi="宋体"/>
          <w:color w:val="000000" w:themeColor="text1"/>
          <w:szCs w:val="21"/>
          <w14:textFill>
            <w14:solidFill>
              <w14:schemeClr w14:val="tx1"/>
            </w14:solidFill>
          </w14:textFill>
        </w:rPr>
        <w:t>日历日。</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（6）如果在规定的递交响应文件截止时间后，供应商在谈判有效期内撤回响应文件，将取消供应商参与本项目资格。</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（7）愿意向贵方提供任何与该项响应文件有关的数据、情况和技术资料，完全理解贵方不一定接受最低价的响应文件或收到的任何响应文件。</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我方授权贵方查询或调查我们递交的与本响应文件有关的声明、文件和资料，并同意在贵方的要求下提供相关文件或证书的原件及其他相关书面材料，以及通过我们的开户银行和客户澄清响应文件中有关财务和技术方面的问题。</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（9）我方在法律和财务上独立、合法运作并独立于采购人。</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我方承诺：采购人在其本国使用我方提供的产品及服务时，不存在任何已知的不合法的情形，也不存在任何已知的与第三方专利权、著作权、商标权或工业设计权相关的任何争议。如果有任何因采购人使用我方提供的产品及服务而提起的侵权指控，我方将依法承担全部责任。</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）我方具有较大规模的销售和售后服务的组织机构及完善快捷的技术支持能力，承诺在南京地区拥有固定可靠的有效服务网点。</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）根据本项目要求，我单位委派（姓名）（身份证号）作为本项目的项目负责人。</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）与本响应文件有关的一切往来通讯请寄：</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地址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传真：</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电话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电子函件：</w:t>
      </w:r>
    </w:p>
    <w:p>
      <w:pPr>
        <w:spacing w:line="360" w:lineRule="auto"/>
        <w:rPr>
          <w:rFonts w:ascii="宋体" w:hAnsi="宋体"/>
          <w:color w:val="000000" w:themeColor="text1"/>
          <w:szCs w:val="21"/>
          <w14:textFill>
            <w14:solidFill>
              <w14:schemeClr w14:val="tx1"/>
            </w14:solidFill>
          </w14:textFill>
        </w:rPr>
      </w:pP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供应商名称（盖章）：</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供应商代表（签字）：</w:t>
      </w:r>
    </w:p>
    <w:p>
      <w:pPr>
        <w:spacing w:line="360" w:lineRule="auto"/>
        <w:rPr>
          <w:color w:val="000000" w:themeColor="text1"/>
          <w:sz w:val="18"/>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日期：</w:t>
      </w:r>
    </w:p>
    <w:p>
      <w:pPr>
        <w:snapToGrid w:val="0"/>
        <w:spacing w:before="312" w:beforeLines="100" w:after="312" w:afterLines="100"/>
        <w:ind w:left="210" w:leftChars="100" w:right="210" w:rightChars="100" w:firstLine="420" w:firstLineChars="200"/>
        <w:rPr>
          <w:color w:val="000000" w:themeColor="text1"/>
          <w:u w:val="single"/>
          <w14:textFill>
            <w14:solidFill>
              <w14:schemeClr w14:val="tx1"/>
            </w14:solidFill>
          </w14:textFill>
        </w:rPr>
      </w:pPr>
    </w:p>
    <w:p>
      <w:pPr>
        <w:snapToGrid w:val="0"/>
        <w:spacing w:before="312" w:beforeLines="100" w:after="312" w:afterLines="100"/>
        <w:ind w:left="210" w:leftChars="100" w:right="210" w:rightChars="100" w:firstLine="420" w:firstLineChars="200"/>
        <w:rPr>
          <w:color w:val="000000" w:themeColor="text1"/>
          <w:u w:val="single"/>
          <w14:textFill>
            <w14:solidFill>
              <w14:schemeClr w14:val="tx1"/>
            </w14:solidFill>
          </w14:textFill>
        </w:rPr>
      </w:pPr>
    </w:p>
    <w:p>
      <w:pPr>
        <w:pStyle w:val="4"/>
        <w:numPr>
          <w:ilvl w:val="0"/>
          <w:numId w:val="0"/>
        </w:numPr>
        <w:snapToGrid w:val="0"/>
        <w:spacing w:before="312" w:beforeLines="100" w:after="312" w:afterLines="100"/>
        <w:ind w:right="210" w:rightChars="100"/>
        <w:rPr>
          <w:color w:val="000000" w:themeColor="text1"/>
          <w:szCs w:val="24"/>
          <w14:textFill>
            <w14:solidFill>
              <w14:schemeClr w14:val="tx1"/>
            </w14:solidFill>
          </w14:textFill>
        </w:rPr>
      </w:pPr>
      <w:r>
        <w:rPr>
          <w:color w:val="000000" w:themeColor="text1"/>
          <w:szCs w:val="24"/>
          <w14:textFill>
            <w14:solidFill>
              <w14:schemeClr w14:val="tx1"/>
            </w14:solidFill>
          </w14:textFill>
        </w:rPr>
        <w:br w:type="page"/>
      </w:r>
      <w:bookmarkStart w:id="74" w:name="_Toc26260034"/>
      <w:bookmarkStart w:id="75" w:name="_Toc69378664"/>
      <w:bookmarkStart w:id="76" w:name="_Toc26259740"/>
    </w:p>
    <w:p>
      <w:pPr>
        <w:pStyle w:val="4"/>
        <w:numPr>
          <w:ilvl w:val="0"/>
          <w:numId w:val="0"/>
        </w:numPr>
        <w:snapToGrid w:val="0"/>
        <w:spacing w:before="312" w:beforeLines="100" w:after="312" w:afterLines="100"/>
        <w:ind w:right="210" w:rightChars="100"/>
        <w:rPr>
          <w:rStyle w:val="106"/>
          <w:rFonts w:hAnsi="宋体"/>
          <w:b w:val="0"/>
          <w:bCs w:val="0"/>
          <w:color w:val="000000" w:themeColor="text1"/>
          <w:sz w:val="24"/>
          <w:szCs w:val="24"/>
          <w14:textFill>
            <w14:solidFill>
              <w14:schemeClr w14:val="tx1"/>
            </w14:solidFill>
          </w14:textFill>
        </w:rPr>
      </w:pPr>
      <w:r>
        <w:rPr>
          <w:rStyle w:val="106"/>
          <w:rFonts w:hint="eastAsia" w:hAnsi="宋体"/>
          <w:b w:val="0"/>
          <w:bCs w:val="0"/>
          <w:color w:val="000000" w:themeColor="text1"/>
          <w:sz w:val="24"/>
          <w:szCs w:val="24"/>
          <w14:textFill>
            <w14:solidFill>
              <w14:schemeClr w14:val="tx1"/>
            </w14:solidFill>
          </w14:textFill>
        </w:rPr>
        <w:t>附件</w:t>
      </w:r>
      <w:r>
        <w:rPr>
          <w:rStyle w:val="106"/>
          <w:rFonts w:hAnsi="宋体"/>
          <w:b w:val="0"/>
          <w:bCs w:val="0"/>
          <w:color w:val="000000" w:themeColor="text1"/>
          <w:sz w:val="24"/>
          <w:szCs w:val="24"/>
          <w14:textFill>
            <w14:solidFill>
              <w14:schemeClr w14:val="tx1"/>
            </w14:solidFill>
          </w14:textFill>
        </w:rPr>
        <w:t>2</w:t>
      </w:r>
      <w:r>
        <w:rPr>
          <w:rStyle w:val="106"/>
          <w:rFonts w:hint="eastAsia" w:hAnsi="宋体"/>
          <w:b w:val="0"/>
          <w:bCs w:val="0"/>
          <w:color w:val="000000" w:themeColor="text1"/>
          <w:sz w:val="24"/>
          <w:szCs w:val="24"/>
          <w14:textFill>
            <w14:solidFill>
              <w14:schemeClr w14:val="tx1"/>
            </w14:solidFill>
          </w14:textFill>
        </w:rPr>
        <w:t>：制造商的授权函和承诺函</w:t>
      </w:r>
    </w:p>
    <w:p>
      <w:pPr>
        <w:pStyle w:val="4"/>
        <w:numPr>
          <w:ilvl w:val="0"/>
          <w:numId w:val="0"/>
        </w:numPr>
        <w:snapToGrid w:val="0"/>
        <w:spacing w:before="312" w:beforeLines="100" w:after="312" w:afterLines="100"/>
        <w:ind w:right="210" w:rightChars="100"/>
        <w:rPr>
          <w:rStyle w:val="106"/>
          <w:rFonts w:hAnsi="宋体"/>
          <w:b w:val="0"/>
          <w:bCs w:val="0"/>
          <w:color w:val="000000" w:themeColor="text1"/>
          <w:sz w:val="24"/>
          <w:szCs w:val="24"/>
          <w14:textFill>
            <w14:solidFill>
              <w14:schemeClr w14:val="tx1"/>
            </w14:solidFill>
          </w14:textFill>
        </w:rPr>
      </w:pPr>
    </w:p>
    <w:p>
      <w:pPr>
        <w:pStyle w:val="4"/>
        <w:numPr>
          <w:ilvl w:val="0"/>
          <w:numId w:val="0"/>
        </w:numPr>
        <w:snapToGrid w:val="0"/>
        <w:spacing w:before="312" w:beforeLines="100" w:after="312" w:afterLines="100"/>
        <w:ind w:right="210" w:rightChars="100"/>
        <w:rPr>
          <w:rStyle w:val="106"/>
          <w:rFonts w:hAnsi="宋体"/>
          <w:b w:val="0"/>
          <w:bCs w:val="0"/>
          <w:color w:val="000000" w:themeColor="text1"/>
          <w:sz w:val="24"/>
          <w:szCs w:val="24"/>
          <w14:textFill>
            <w14:solidFill>
              <w14:schemeClr w14:val="tx1"/>
            </w14:solidFill>
          </w14:textFill>
        </w:rPr>
      </w:pPr>
    </w:p>
    <w:p>
      <w:pPr>
        <w:pStyle w:val="4"/>
        <w:numPr>
          <w:ilvl w:val="0"/>
          <w:numId w:val="0"/>
        </w:numPr>
        <w:snapToGrid w:val="0"/>
        <w:spacing w:before="312" w:beforeLines="100" w:after="312" w:afterLines="100"/>
        <w:ind w:right="210" w:rightChars="100"/>
        <w:rPr>
          <w:rStyle w:val="106"/>
          <w:rFonts w:hAnsi="宋体"/>
          <w:b w:val="0"/>
          <w:bCs w:val="0"/>
          <w:color w:val="000000" w:themeColor="text1"/>
          <w:sz w:val="24"/>
          <w:szCs w:val="24"/>
          <w14:textFill>
            <w14:solidFill>
              <w14:schemeClr w14:val="tx1"/>
            </w14:solidFill>
          </w14:textFill>
        </w:rPr>
      </w:pPr>
    </w:p>
    <w:p>
      <w:pPr>
        <w:pStyle w:val="4"/>
        <w:numPr>
          <w:ilvl w:val="0"/>
          <w:numId w:val="0"/>
        </w:numPr>
        <w:snapToGrid w:val="0"/>
        <w:spacing w:before="312" w:beforeLines="100" w:after="312" w:afterLines="100"/>
        <w:ind w:right="210" w:rightChars="100"/>
        <w:rPr>
          <w:rStyle w:val="106"/>
          <w:rFonts w:hAnsi="宋体"/>
          <w:b w:val="0"/>
          <w:bCs w:val="0"/>
          <w:color w:val="000000" w:themeColor="text1"/>
          <w:sz w:val="24"/>
          <w:szCs w:val="24"/>
          <w14:textFill>
            <w14:solidFill>
              <w14:schemeClr w14:val="tx1"/>
            </w14:solidFill>
          </w14:textFill>
        </w:rPr>
      </w:pPr>
    </w:p>
    <w:p>
      <w:pPr>
        <w:pStyle w:val="4"/>
        <w:numPr>
          <w:ilvl w:val="0"/>
          <w:numId w:val="0"/>
        </w:numPr>
        <w:snapToGrid w:val="0"/>
        <w:spacing w:before="312" w:beforeLines="100" w:after="312" w:afterLines="100"/>
        <w:ind w:right="210" w:rightChars="100"/>
        <w:rPr>
          <w:rStyle w:val="106"/>
          <w:rFonts w:hAnsi="宋体"/>
          <w:b w:val="0"/>
          <w:bCs w:val="0"/>
          <w:color w:val="000000" w:themeColor="text1"/>
          <w:sz w:val="24"/>
          <w:szCs w:val="24"/>
          <w14:textFill>
            <w14:solidFill>
              <w14:schemeClr w14:val="tx1"/>
            </w14:solidFill>
          </w14:textFill>
        </w:rPr>
      </w:pPr>
    </w:p>
    <w:p>
      <w:pPr>
        <w:pStyle w:val="4"/>
        <w:numPr>
          <w:ilvl w:val="0"/>
          <w:numId w:val="0"/>
        </w:numPr>
        <w:snapToGrid w:val="0"/>
        <w:spacing w:before="312" w:beforeLines="100" w:after="312" w:afterLines="100"/>
        <w:ind w:right="210" w:rightChars="100"/>
        <w:rPr>
          <w:rStyle w:val="106"/>
          <w:rFonts w:hAnsi="宋体"/>
          <w:b w:val="0"/>
          <w:bCs w:val="0"/>
          <w:color w:val="000000" w:themeColor="text1"/>
          <w:sz w:val="24"/>
          <w:szCs w:val="24"/>
          <w14:textFill>
            <w14:solidFill>
              <w14:schemeClr w14:val="tx1"/>
            </w14:solidFill>
          </w14:textFill>
        </w:rPr>
      </w:pPr>
    </w:p>
    <w:p>
      <w:pPr>
        <w:pStyle w:val="4"/>
        <w:numPr>
          <w:ilvl w:val="0"/>
          <w:numId w:val="0"/>
        </w:numPr>
        <w:snapToGrid w:val="0"/>
        <w:spacing w:before="312" w:beforeLines="100" w:after="312" w:afterLines="100"/>
        <w:ind w:right="210" w:rightChars="100"/>
        <w:rPr>
          <w:rStyle w:val="106"/>
          <w:rFonts w:hAnsi="宋体"/>
          <w:b w:val="0"/>
          <w:bCs w:val="0"/>
          <w:color w:val="000000" w:themeColor="text1"/>
          <w:sz w:val="24"/>
          <w:szCs w:val="24"/>
          <w14:textFill>
            <w14:solidFill>
              <w14:schemeClr w14:val="tx1"/>
            </w14:solidFill>
          </w14:textFill>
        </w:rPr>
      </w:pPr>
    </w:p>
    <w:p>
      <w:pPr>
        <w:pStyle w:val="4"/>
        <w:numPr>
          <w:ilvl w:val="0"/>
          <w:numId w:val="0"/>
        </w:numPr>
        <w:snapToGrid w:val="0"/>
        <w:spacing w:before="312" w:beforeLines="100" w:after="312" w:afterLines="100"/>
        <w:ind w:right="210" w:rightChars="100"/>
        <w:rPr>
          <w:rStyle w:val="106"/>
          <w:rFonts w:hAnsi="宋体"/>
          <w:b w:val="0"/>
          <w:bCs w:val="0"/>
          <w:color w:val="000000" w:themeColor="text1"/>
          <w:sz w:val="24"/>
          <w:szCs w:val="24"/>
          <w14:textFill>
            <w14:solidFill>
              <w14:schemeClr w14:val="tx1"/>
            </w14:solidFill>
          </w14:textFill>
        </w:rPr>
      </w:pPr>
    </w:p>
    <w:p>
      <w:pPr>
        <w:rPr>
          <w:rStyle w:val="106"/>
          <w:rFonts w:hAnsi="宋体"/>
          <w:b w:val="0"/>
          <w:bCs w:val="0"/>
          <w:color w:val="000000" w:themeColor="text1"/>
          <w:sz w:val="24"/>
          <w:szCs w:val="24"/>
          <w14:textFill>
            <w14:solidFill>
              <w14:schemeClr w14:val="tx1"/>
            </w14:solidFill>
          </w14:textFill>
        </w:rPr>
      </w:pPr>
    </w:p>
    <w:p>
      <w:pPr>
        <w:pStyle w:val="2"/>
        <w:rPr>
          <w:rStyle w:val="106"/>
          <w:rFonts w:hAnsi="宋体"/>
          <w:b w:val="0"/>
          <w:bCs w:val="0"/>
          <w:color w:val="000000" w:themeColor="text1"/>
          <w:sz w:val="24"/>
          <w:szCs w:val="24"/>
          <w14:textFill>
            <w14:solidFill>
              <w14:schemeClr w14:val="tx1"/>
            </w14:solidFill>
          </w14:textFill>
        </w:rPr>
      </w:pPr>
    </w:p>
    <w:p>
      <w:pPr>
        <w:rPr>
          <w:rStyle w:val="106"/>
          <w:rFonts w:hAnsi="宋体"/>
          <w:b w:val="0"/>
          <w:bCs w:val="0"/>
          <w:color w:val="000000" w:themeColor="text1"/>
          <w:sz w:val="24"/>
          <w:szCs w:val="24"/>
          <w14:textFill>
            <w14:solidFill>
              <w14:schemeClr w14:val="tx1"/>
            </w14:solidFill>
          </w14:textFill>
        </w:rPr>
      </w:pPr>
    </w:p>
    <w:p>
      <w:pPr>
        <w:pStyle w:val="2"/>
        <w:rPr>
          <w:rStyle w:val="106"/>
          <w:rFonts w:hAnsi="宋体"/>
          <w:b w:val="0"/>
          <w:bCs w:val="0"/>
          <w:color w:val="000000" w:themeColor="text1"/>
          <w:sz w:val="24"/>
          <w:szCs w:val="24"/>
          <w14:textFill>
            <w14:solidFill>
              <w14:schemeClr w14:val="tx1"/>
            </w14:solidFill>
          </w14:textFill>
        </w:rPr>
      </w:pPr>
    </w:p>
    <w:p>
      <w:pPr>
        <w:rPr>
          <w:rStyle w:val="106"/>
          <w:rFonts w:hAnsi="宋体"/>
          <w:b w:val="0"/>
          <w:bCs w:val="0"/>
          <w:color w:val="000000" w:themeColor="text1"/>
          <w:sz w:val="24"/>
          <w:szCs w:val="24"/>
          <w14:textFill>
            <w14:solidFill>
              <w14:schemeClr w14:val="tx1"/>
            </w14:solidFill>
          </w14:textFill>
        </w:rPr>
      </w:pPr>
    </w:p>
    <w:p>
      <w:pPr>
        <w:pStyle w:val="2"/>
        <w:rPr>
          <w:rStyle w:val="106"/>
          <w:rFonts w:hAnsi="宋体"/>
          <w:b w:val="0"/>
          <w:bCs w:val="0"/>
          <w:color w:val="000000" w:themeColor="text1"/>
          <w:sz w:val="24"/>
          <w:szCs w:val="24"/>
          <w14:textFill>
            <w14:solidFill>
              <w14:schemeClr w14:val="tx1"/>
            </w14:solidFill>
          </w14:textFill>
        </w:rPr>
      </w:pPr>
    </w:p>
    <w:p>
      <w:pPr>
        <w:rPr>
          <w:rStyle w:val="106"/>
          <w:rFonts w:hAnsi="宋体"/>
          <w:b w:val="0"/>
          <w:bCs w:val="0"/>
          <w:color w:val="000000" w:themeColor="text1"/>
          <w:sz w:val="24"/>
          <w:szCs w:val="24"/>
          <w14:textFill>
            <w14:solidFill>
              <w14:schemeClr w14:val="tx1"/>
            </w14:solidFill>
          </w14:textFill>
        </w:rPr>
      </w:pPr>
    </w:p>
    <w:p>
      <w:pPr>
        <w:pStyle w:val="2"/>
        <w:rPr>
          <w:rStyle w:val="106"/>
          <w:rFonts w:hAnsi="宋体"/>
          <w:b w:val="0"/>
          <w:bCs w:val="0"/>
          <w:color w:val="000000" w:themeColor="text1"/>
          <w:sz w:val="24"/>
          <w:szCs w:val="24"/>
          <w14:textFill>
            <w14:solidFill>
              <w14:schemeClr w14:val="tx1"/>
            </w14:solidFill>
          </w14:textFill>
        </w:rPr>
      </w:pPr>
    </w:p>
    <w:p>
      <w:pPr>
        <w:rPr>
          <w:rStyle w:val="106"/>
          <w:rFonts w:hAnsi="宋体"/>
          <w:b w:val="0"/>
          <w:bCs w:val="0"/>
          <w:color w:val="000000" w:themeColor="text1"/>
          <w:sz w:val="24"/>
          <w:szCs w:val="24"/>
          <w14:textFill>
            <w14:solidFill>
              <w14:schemeClr w14:val="tx1"/>
            </w14:solidFill>
          </w14:textFill>
        </w:rPr>
      </w:pPr>
    </w:p>
    <w:p>
      <w:pPr>
        <w:pStyle w:val="2"/>
        <w:rPr>
          <w:rStyle w:val="106"/>
          <w:rFonts w:hAnsi="宋体"/>
          <w:b w:val="0"/>
          <w:bCs w:val="0"/>
          <w:color w:val="000000" w:themeColor="text1"/>
          <w:sz w:val="24"/>
          <w:szCs w:val="24"/>
          <w14:textFill>
            <w14:solidFill>
              <w14:schemeClr w14:val="tx1"/>
            </w14:solidFill>
          </w14:textFill>
        </w:rPr>
      </w:pPr>
    </w:p>
    <w:p>
      <w:pPr>
        <w:rPr>
          <w:rStyle w:val="106"/>
          <w:rFonts w:hAnsi="宋体"/>
          <w:b w:val="0"/>
          <w:bCs w:val="0"/>
          <w:color w:val="000000" w:themeColor="text1"/>
          <w:sz w:val="24"/>
          <w:szCs w:val="24"/>
          <w14:textFill>
            <w14:solidFill>
              <w14:schemeClr w14:val="tx1"/>
            </w14:solidFill>
          </w14:textFill>
        </w:rPr>
      </w:pPr>
    </w:p>
    <w:p>
      <w:pPr>
        <w:pStyle w:val="2"/>
        <w:rPr>
          <w:rStyle w:val="106"/>
          <w:rFonts w:hAnsi="宋体"/>
          <w:b w:val="0"/>
          <w:bCs w:val="0"/>
          <w:color w:val="000000" w:themeColor="text1"/>
          <w:sz w:val="24"/>
          <w:szCs w:val="24"/>
          <w14:textFill>
            <w14:solidFill>
              <w14:schemeClr w14:val="tx1"/>
            </w14:solidFill>
          </w14:textFill>
        </w:rPr>
      </w:pPr>
    </w:p>
    <w:p>
      <w:pPr>
        <w:rPr>
          <w:rStyle w:val="106"/>
          <w:rFonts w:hAnsi="宋体"/>
          <w:b w:val="0"/>
          <w:bCs w:val="0"/>
          <w:color w:val="000000" w:themeColor="text1"/>
          <w:sz w:val="24"/>
          <w:szCs w:val="24"/>
          <w14:textFill>
            <w14:solidFill>
              <w14:schemeClr w14:val="tx1"/>
            </w14:solidFill>
          </w14:textFill>
        </w:rPr>
      </w:pPr>
    </w:p>
    <w:p>
      <w:pPr>
        <w:pStyle w:val="4"/>
        <w:numPr>
          <w:ilvl w:val="0"/>
          <w:numId w:val="0"/>
        </w:numPr>
        <w:snapToGrid w:val="0"/>
        <w:spacing w:before="312" w:beforeLines="100" w:after="312" w:afterLines="100"/>
        <w:ind w:right="210" w:rightChars="100"/>
        <w:rPr>
          <w:rStyle w:val="106"/>
          <w:rFonts w:hAnsi="宋体"/>
          <w:b w:val="0"/>
          <w:bCs w:val="0"/>
          <w:color w:val="000000" w:themeColor="text1"/>
          <w:sz w:val="24"/>
          <w:szCs w:val="24"/>
          <w14:textFill>
            <w14:solidFill>
              <w14:schemeClr w14:val="tx1"/>
            </w14:solidFill>
          </w14:textFill>
        </w:rPr>
      </w:pPr>
    </w:p>
    <w:p>
      <w:pPr>
        <w:snapToGrid w:val="0"/>
        <w:spacing w:before="312" w:beforeLines="100" w:after="312" w:afterLines="100"/>
        <w:ind w:right="210" w:rightChars="100"/>
        <w:rPr>
          <w:rFonts w:hAnsi="宋体"/>
          <w:color w:val="000000" w:themeColor="text1"/>
          <w:sz w:val="24"/>
          <w14:textFill>
            <w14:solidFill>
              <w14:schemeClr w14:val="tx1"/>
            </w14:solidFill>
          </w14:textFill>
        </w:rPr>
      </w:pPr>
    </w:p>
    <w:p>
      <w:pPr>
        <w:pStyle w:val="4"/>
        <w:numPr>
          <w:ilvl w:val="0"/>
          <w:numId w:val="0"/>
        </w:numPr>
        <w:snapToGrid w:val="0"/>
        <w:spacing w:before="312" w:beforeLines="100" w:after="312" w:afterLines="100"/>
        <w:ind w:right="210" w:rightChars="100"/>
        <w:rPr>
          <w:rStyle w:val="106"/>
          <w:rFonts w:hAnsi="宋体"/>
          <w:b w:val="0"/>
          <w:bCs w:val="0"/>
          <w:color w:val="000000" w:themeColor="text1"/>
          <w:sz w:val="24"/>
          <w:szCs w:val="24"/>
          <w14:textFill>
            <w14:solidFill>
              <w14:schemeClr w14:val="tx1"/>
            </w14:solidFill>
          </w14:textFill>
        </w:rPr>
      </w:pPr>
      <w:r>
        <w:rPr>
          <w:rStyle w:val="106"/>
          <w:rFonts w:hint="eastAsia" w:hAnsi="宋体"/>
          <w:b w:val="0"/>
          <w:bCs w:val="0"/>
          <w:color w:val="000000" w:themeColor="text1"/>
          <w:sz w:val="24"/>
          <w:szCs w:val="24"/>
          <w14:textFill>
            <w14:solidFill>
              <w14:schemeClr w14:val="tx1"/>
            </w14:solidFill>
          </w14:textFill>
        </w:rPr>
        <w:t>附件</w:t>
      </w:r>
      <w:r>
        <w:rPr>
          <w:rStyle w:val="106"/>
          <w:rFonts w:hAnsi="宋体"/>
          <w:b w:val="0"/>
          <w:bCs w:val="0"/>
          <w:color w:val="000000" w:themeColor="text1"/>
          <w:sz w:val="24"/>
          <w:szCs w:val="24"/>
          <w14:textFill>
            <w14:solidFill>
              <w14:schemeClr w14:val="tx1"/>
            </w14:solidFill>
          </w14:textFill>
        </w:rPr>
        <w:t>3</w:t>
      </w:r>
      <w:r>
        <w:rPr>
          <w:rStyle w:val="106"/>
          <w:rFonts w:hint="eastAsia" w:hAnsi="宋体"/>
          <w:b w:val="0"/>
          <w:bCs w:val="0"/>
          <w:color w:val="000000" w:themeColor="text1"/>
          <w:sz w:val="24"/>
          <w:szCs w:val="24"/>
          <w14:textFill>
            <w14:solidFill>
              <w14:schemeClr w14:val="tx1"/>
            </w14:solidFill>
          </w14:textFill>
        </w:rPr>
        <w:t>：报价表</w:t>
      </w:r>
      <w:r>
        <w:rPr>
          <w:rStyle w:val="106"/>
          <w:rFonts w:hAnsi="宋体"/>
          <w:b w:val="0"/>
          <w:bCs w:val="0"/>
          <w:color w:val="000000" w:themeColor="text1"/>
          <w:sz w:val="24"/>
          <w:szCs w:val="24"/>
          <w14:textFill>
            <w14:solidFill>
              <w14:schemeClr w14:val="tx1"/>
            </w14:solidFill>
          </w14:textFill>
        </w:rPr>
        <w:t>(</w:t>
      </w:r>
      <w:r>
        <w:rPr>
          <w:rStyle w:val="106"/>
          <w:rFonts w:hint="eastAsia" w:hAnsi="宋体"/>
          <w:b w:val="0"/>
          <w:bCs w:val="0"/>
          <w:color w:val="000000" w:themeColor="text1"/>
          <w:sz w:val="24"/>
          <w:szCs w:val="24"/>
          <w14:textFill>
            <w14:solidFill>
              <w14:schemeClr w14:val="tx1"/>
            </w14:solidFill>
          </w14:textFill>
        </w:rPr>
        <w:t>格式</w:t>
      </w:r>
      <w:r>
        <w:rPr>
          <w:rStyle w:val="106"/>
          <w:rFonts w:hAnsi="宋体"/>
          <w:b w:val="0"/>
          <w:bCs w:val="0"/>
          <w:color w:val="000000" w:themeColor="text1"/>
          <w:sz w:val="24"/>
          <w:szCs w:val="24"/>
          <w14:textFill>
            <w14:solidFill>
              <w14:schemeClr w14:val="tx1"/>
            </w14:solidFill>
          </w14:textFill>
        </w:rPr>
        <w:t>)</w:t>
      </w:r>
    </w:p>
    <w:p>
      <w:pPr>
        <w:spacing w:line="360" w:lineRule="auto"/>
        <w:rPr>
          <w:rFonts w:ascii="宋体" w:hAnsi="宋体"/>
          <w:color w:val="000000" w:themeColor="text1"/>
          <w:szCs w:val="21"/>
          <w14:textFill>
            <w14:solidFill>
              <w14:schemeClr w14:val="tx1"/>
            </w14:solidFill>
          </w14:textFill>
        </w:rPr>
      </w:pPr>
      <w:r>
        <w:rPr>
          <w:color w:val="000000" w:themeColor="text1"/>
          <w14:textFill>
            <w14:solidFill>
              <w14:schemeClr w14:val="tx1"/>
            </w14:solidFill>
          </w14:textFill>
        </w:rPr>
        <w:t>项目名称：</w:t>
      </w:r>
      <w:r>
        <w:rPr>
          <w:rFonts w:ascii="宋体" w:hAnsi="宋体"/>
          <w:color w:val="000000" w:themeColor="text1"/>
          <w:szCs w:val="21"/>
          <w14:textFill>
            <w14:solidFill>
              <w14:schemeClr w14:val="tx1"/>
            </w14:solidFill>
          </w14:textFill>
        </w:rPr>
        <w:t>数据中心节能改造</w:t>
      </w:r>
      <w:r>
        <w:rPr>
          <w:rFonts w:hint="eastAsia" w:ascii="宋体" w:hAnsi="宋体"/>
          <w:color w:val="000000" w:themeColor="text1"/>
          <w:szCs w:val="21"/>
          <w14:textFill>
            <w14:solidFill>
              <w14:schemeClr w14:val="tx1"/>
            </w14:solidFill>
          </w14:textFill>
        </w:rPr>
        <w:t>项目（</w:t>
      </w:r>
      <w:r>
        <w:rPr>
          <w:rFonts w:ascii="宋体" w:hAnsi="宋体"/>
          <w:color w:val="000000" w:themeColor="text1"/>
          <w:szCs w:val="21"/>
          <w14:textFill>
            <w14:solidFill>
              <w14:schemeClr w14:val="tx1"/>
            </w14:solidFill>
          </w14:textFill>
        </w:rPr>
        <w:t>第一包：动环系统新增电表及系统集成</w:t>
      </w:r>
      <w:r>
        <w:rPr>
          <w:rFonts w:hint="eastAsia" w:ascii="宋体" w:hAnsi="宋体"/>
          <w:color w:val="000000" w:themeColor="text1"/>
          <w:szCs w:val="21"/>
          <w14:textFill>
            <w14:solidFill>
              <w14:schemeClr w14:val="tx1"/>
            </w14:solidFill>
          </w14:textFill>
        </w:rPr>
        <w:t>）</w:t>
      </w:r>
    </w:p>
    <w:tbl>
      <w:tblPr>
        <w:tblStyle w:val="53"/>
        <w:tblpPr w:leftFromText="180" w:rightFromText="180" w:vertAnchor="text" w:horzAnchor="margin" w:tblpY="845"/>
        <w:tblOverlap w:val="never"/>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2"/>
        <w:gridCol w:w="3086"/>
        <w:gridCol w:w="850"/>
        <w:gridCol w:w="156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842"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产品名称</w:t>
            </w:r>
          </w:p>
        </w:tc>
        <w:tc>
          <w:tcPr>
            <w:tcW w:w="3086"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内容</w:t>
            </w:r>
          </w:p>
        </w:tc>
        <w:tc>
          <w:tcPr>
            <w:tcW w:w="850"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数量</w:t>
            </w:r>
          </w:p>
        </w:tc>
        <w:tc>
          <w:tcPr>
            <w:tcW w:w="1560"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含税单价（元）</w:t>
            </w:r>
          </w:p>
        </w:tc>
        <w:tc>
          <w:tcPr>
            <w:tcW w:w="1559"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2" w:type="dxa"/>
            <w:vAlign w:val="center"/>
          </w:tcPr>
          <w:p>
            <w:pPr>
              <w:spacing w:before="12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电表协议解析软件</w:t>
            </w:r>
          </w:p>
        </w:tc>
        <w:tc>
          <w:tcPr>
            <w:tcW w:w="308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智能设备接口协议接入解析</w:t>
            </w:r>
          </w:p>
        </w:tc>
        <w:tc>
          <w:tcPr>
            <w:tcW w:w="850"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4套</w:t>
            </w:r>
          </w:p>
        </w:tc>
        <w:tc>
          <w:tcPr>
            <w:tcW w:w="1560" w:type="dxa"/>
            <w:vAlign w:val="center"/>
          </w:tcPr>
          <w:p>
            <w:pPr>
              <w:jc w:val="center"/>
              <w:rPr>
                <w:rFonts w:ascii="宋体" w:hAnsi="宋体"/>
                <w:color w:val="000000" w:themeColor="text1"/>
                <w:szCs w:val="21"/>
                <w14:textFill>
                  <w14:solidFill>
                    <w14:schemeClr w14:val="tx1"/>
                  </w14:solidFill>
                </w14:textFill>
              </w:rPr>
            </w:pPr>
          </w:p>
        </w:tc>
        <w:tc>
          <w:tcPr>
            <w:tcW w:w="1559" w:type="dxa"/>
            <w:vAlign w:val="center"/>
          </w:tcPr>
          <w:p>
            <w:pPr>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2" w:type="dxa"/>
            <w:vAlign w:val="center"/>
          </w:tcPr>
          <w:p>
            <w:pPr>
              <w:spacing w:before="12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单相智能电表</w:t>
            </w:r>
          </w:p>
        </w:tc>
        <w:tc>
          <w:tcPr>
            <w:tcW w:w="3086" w:type="dxa"/>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测量：</w:t>
            </w:r>
            <w:r>
              <w:rPr>
                <w:rFonts w:hint="eastAsia" w:ascii="宋体" w:hAnsi="宋体"/>
                <w:color w:val="000000" w:themeColor="text1"/>
                <w:szCs w:val="21"/>
                <w14:textFill>
                  <w14:solidFill>
                    <w14:schemeClr w14:val="tx1"/>
                  </w14:solidFill>
                </w14:textFill>
              </w:rPr>
              <w:t xml:space="preserve">AC220V，20(100)A；供电：AC85-265V or DC85-330V </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精确度不低于0.5S级</w:t>
            </w:r>
          </w:p>
        </w:tc>
        <w:tc>
          <w:tcPr>
            <w:tcW w:w="850"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9个</w:t>
            </w:r>
          </w:p>
        </w:tc>
        <w:tc>
          <w:tcPr>
            <w:tcW w:w="1560" w:type="dxa"/>
            <w:vAlign w:val="center"/>
          </w:tcPr>
          <w:p>
            <w:pPr>
              <w:jc w:val="center"/>
              <w:rPr>
                <w:rFonts w:ascii="宋体" w:hAnsi="宋体"/>
                <w:color w:val="000000" w:themeColor="text1"/>
                <w:szCs w:val="21"/>
                <w14:textFill>
                  <w14:solidFill>
                    <w14:schemeClr w14:val="tx1"/>
                  </w14:solidFill>
                </w14:textFill>
              </w:rPr>
            </w:pPr>
          </w:p>
        </w:tc>
        <w:tc>
          <w:tcPr>
            <w:tcW w:w="1559" w:type="dxa"/>
            <w:vAlign w:val="center"/>
          </w:tcPr>
          <w:p>
            <w:pPr>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2" w:type="dxa"/>
            <w:vAlign w:val="center"/>
          </w:tcPr>
          <w:p>
            <w:pPr>
              <w:spacing w:before="12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三相智能电表</w:t>
            </w:r>
          </w:p>
        </w:tc>
        <w:tc>
          <w:tcPr>
            <w:tcW w:w="3086" w:type="dxa"/>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测量：3*57.7/100V，3*1.5(6)A ；供电：AC85-265V or DC85-330V ；</w:t>
            </w:r>
            <w:r>
              <w:rPr>
                <w:rFonts w:hint="eastAsia" w:ascii="宋体" w:hAnsi="宋体"/>
                <w:color w:val="000000" w:themeColor="text1"/>
                <w:szCs w:val="21"/>
                <w14:textFill>
                  <w14:solidFill>
                    <w14:schemeClr w14:val="tx1"/>
                  </w14:solidFill>
                </w14:textFill>
              </w:rPr>
              <w:t>精确度不低于0.5S级。</w:t>
            </w:r>
          </w:p>
        </w:tc>
        <w:tc>
          <w:tcPr>
            <w:tcW w:w="850"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4个</w:t>
            </w:r>
          </w:p>
        </w:tc>
        <w:tc>
          <w:tcPr>
            <w:tcW w:w="1560" w:type="dxa"/>
            <w:vAlign w:val="center"/>
          </w:tcPr>
          <w:p>
            <w:pPr>
              <w:jc w:val="center"/>
              <w:rPr>
                <w:rFonts w:ascii="宋体" w:hAnsi="宋体"/>
                <w:color w:val="000000" w:themeColor="text1"/>
                <w:szCs w:val="21"/>
                <w14:textFill>
                  <w14:solidFill>
                    <w14:schemeClr w14:val="tx1"/>
                  </w14:solidFill>
                </w14:textFill>
              </w:rPr>
            </w:pPr>
          </w:p>
        </w:tc>
        <w:tc>
          <w:tcPr>
            <w:tcW w:w="1559" w:type="dxa"/>
            <w:vAlign w:val="center"/>
          </w:tcPr>
          <w:p>
            <w:pPr>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2" w:type="dxa"/>
            <w:vAlign w:val="center"/>
          </w:tcPr>
          <w:p>
            <w:pPr>
              <w:spacing w:before="12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接触器1P</w:t>
            </w:r>
          </w:p>
        </w:tc>
        <w:tc>
          <w:tcPr>
            <w:tcW w:w="308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用于C16</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1P</w:t>
            </w:r>
            <w:r>
              <w:rPr>
                <w:rFonts w:ascii="宋体" w:hAnsi="宋体"/>
                <w:color w:val="000000" w:themeColor="text1"/>
                <w:szCs w:val="21"/>
                <w14:textFill>
                  <w14:solidFill>
                    <w14:schemeClr w14:val="tx1"/>
                  </w14:solidFill>
                </w14:textFill>
              </w:rPr>
              <w:t xml:space="preserve"> 空开控制开合，控制功率</w:t>
            </w:r>
            <w:r>
              <w:rPr>
                <w:rFonts w:hint="eastAsia" w:ascii="宋体" w:hAnsi="宋体"/>
                <w:color w:val="000000" w:themeColor="text1"/>
                <w:szCs w:val="21"/>
                <w14:textFill>
                  <w14:solidFill>
                    <w14:schemeClr w14:val="tx1"/>
                  </w14:solidFill>
                </w14:textFill>
              </w:rPr>
              <w:t>不低于</w:t>
            </w:r>
            <w:r>
              <w:rPr>
                <w:rFonts w:ascii="宋体" w:hAnsi="宋体"/>
                <w:color w:val="000000" w:themeColor="text1"/>
                <w:szCs w:val="21"/>
                <w14:textFill>
                  <w14:solidFill>
                    <w14:schemeClr w14:val="tx1"/>
                  </w14:solidFill>
                </w14:textFill>
              </w:rPr>
              <w:t>4KW.</w:t>
            </w:r>
          </w:p>
        </w:tc>
        <w:tc>
          <w:tcPr>
            <w:tcW w:w="850"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16个</w:t>
            </w:r>
          </w:p>
        </w:tc>
        <w:tc>
          <w:tcPr>
            <w:tcW w:w="1560" w:type="dxa"/>
            <w:vAlign w:val="center"/>
          </w:tcPr>
          <w:p>
            <w:pPr>
              <w:jc w:val="center"/>
              <w:rPr>
                <w:rFonts w:ascii="宋体" w:hAnsi="宋体"/>
                <w:color w:val="000000" w:themeColor="text1"/>
                <w:szCs w:val="21"/>
                <w14:textFill>
                  <w14:solidFill>
                    <w14:schemeClr w14:val="tx1"/>
                  </w14:solidFill>
                </w14:textFill>
              </w:rPr>
            </w:pPr>
          </w:p>
        </w:tc>
        <w:tc>
          <w:tcPr>
            <w:tcW w:w="1559" w:type="dxa"/>
            <w:vAlign w:val="center"/>
          </w:tcPr>
          <w:p>
            <w:pPr>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2" w:type="dxa"/>
            <w:vAlign w:val="center"/>
          </w:tcPr>
          <w:p>
            <w:pPr>
              <w:spacing w:before="12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接触器3P</w:t>
            </w:r>
          </w:p>
        </w:tc>
        <w:tc>
          <w:tcPr>
            <w:tcW w:w="308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用于C25 3P</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空开</w:t>
            </w:r>
            <w:r>
              <w:rPr>
                <w:rFonts w:ascii="宋体" w:hAnsi="宋体"/>
                <w:color w:val="000000" w:themeColor="text1"/>
                <w:szCs w:val="21"/>
                <w14:textFill>
                  <w14:solidFill>
                    <w14:schemeClr w14:val="tx1"/>
                  </w14:solidFill>
                </w14:textFill>
              </w:rPr>
              <w:t>控制开合</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 xml:space="preserve"> 控制功率</w:t>
            </w:r>
            <w:r>
              <w:rPr>
                <w:rFonts w:hint="eastAsia" w:ascii="宋体" w:hAnsi="宋体"/>
                <w:color w:val="000000" w:themeColor="text1"/>
                <w:szCs w:val="21"/>
                <w14:textFill>
                  <w14:solidFill>
                    <w14:schemeClr w14:val="tx1"/>
                  </w14:solidFill>
                </w14:textFill>
              </w:rPr>
              <w:t>不低于</w:t>
            </w:r>
            <w:r>
              <w:rPr>
                <w:rFonts w:ascii="宋体" w:hAnsi="宋体"/>
                <w:color w:val="000000" w:themeColor="text1"/>
                <w:szCs w:val="21"/>
                <w14:textFill>
                  <w14:solidFill>
                    <w14:schemeClr w14:val="tx1"/>
                  </w14:solidFill>
                </w14:textFill>
              </w:rPr>
              <w:t>16KW。</w:t>
            </w:r>
          </w:p>
        </w:tc>
        <w:tc>
          <w:tcPr>
            <w:tcW w:w="850"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16个</w:t>
            </w:r>
          </w:p>
        </w:tc>
        <w:tc>
          <w:tcPr>
            <w:tcW w:w="1560" w:type="dxa"/>
            <w:vAlign w:val="center"/>
          </w:tcPr>
          <w:p>
            <w:pPr>
              <w:jc w:val="center"/>
              <w:rPr>
                <w:rFonts w:ascii="宋体" w:hAnsi="宋体"/>
                <w:color w:val="000000" w:themeColor="text1"/>
                <w:szCs w:val="21"/>
                <w14:textFill>
                  <w14:solidFill>
                    <w14:schemeClr w14:val="tx1"/>
                  </w14:solidFill>
                </w14:textFill>
              </w:rPr>
            </w:pPr>
          </w:p>
        </w:tc>
        <w:tc>
          <w:tcPr>
            <w:tcW w:w="1559" w:type="dxa"/>
            <w:vAlign w:val="center"/>
          </w:tcPr>
          <w:p>
            <w:pPr>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2" w:type="dxa"/>
            <w:vAlign w:val="center"/>
          </w:tcPr>
          <w:p>
            <w:pPr>
              <w:spacing w:before="12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DIDO通讯模块</w:t>
            </w:r>
          </w:p>
        </w:tc>
        <w:tc>
          <w:tcPr>
            <w:tcW w:w="308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RS485接口</w:t>
            </w:r>
          </w:p>
        </w:tc>
        <w:tc>
          <w:tcPr>
            <w:tcW w:w="850"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8个</w:t>
            </w:r>
          </w:p>
        </w:tc>
        <w:tc>
          <w:tcPr>
            <w:tcW w:w="1560" w:type="dxa"/>
            <w:vAlign w:val="center"/>
          </w:tcPr>
          <w:p>
            <w:pPr>
              <w:jc w:val="center"/>
              <w:rPr>
                <w:rFonts w:ascii="宋体" w:hAnsi="宋体"/>
                <w:color w:val="000000" w:themeColor="text1"/>
                <w:szCs w:val="21"/>
                <w14:textFill>
                  <w14:solidFill>
                    <w14:schemeClr w14:val="tx1"/>
                  </w14:solidFill>
                </w14:textFill>
              </w:rPr>
            </w:pPr>
          </w:p>
        </w:tc>
        <w:tc>
          <w:tcPr>
            <w:tcW w:w="1559" w:type="dxa"/>
            <w:vAlign w:val="center"/>
          </w:tcPr>
          <w:p>
            <w:pPr>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2" w:type="dxa"/>
            <w:vAlign w:val="center"/>
          </w:tcPr>
          <w:p>
            <w:pPr>
              <w:spacing w:before="12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采集器</w:t>
            </w:r>
          </w:p>
        </w:tc>
        <w:tc>
          <w:tcPr>
            <w:tcW w:w="308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8个AI&amp;DI 通道，4个DI通道,2组18~60VDC电池总电压、中间点电压输入通道, 4路继电器输出控制,1路12V电源输出,8路串口，1个USB2.0口，4个带交换功能的10M&amp;100M IP口。</w:t>
            </w:r>
          </w:p>
        </w:tc>
        <w:tc>
          <w:tcPr>
            <w:tcW w:w="850"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4台</w:t>
            </w:r>
          </w:p>
        </w:tc>
        <w:tc>
          <w:tcPr>
            <w:tcW w:w="1560" w:type="dxa"/>
            <w:vAlign w:val="center"/>
          </w:tcPr>
          <w:p>
            <w:pPr>
              <w:jc w:val="center"/>
              <w:rPr>
                <w:rFonts w:ascii="宋体" w:hAnsi="宋体"/>
                <w:color w:val="000000" w:themeColor="text1"/>
                <w:szCs w:val="21"/>
                <w14:textFill>
                  <w14:solidFill>
                    <w14:schemeClr w14:val="tx1"/>
                  </w14:solidFill>
                </w14:textFill>
              </w:rPr>
            </w:pPr>
          </w:p>
        </w:tc>
        <w:tc>
          <w:tcPr>
            <w:tcW w:w="1559" w:type="dxa"/>
            <w:vAlign w:val="center"/>
          </w:tcPr>
          <w:p>
            <w:pPr>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2" w:type="dxa"/>
            <w:vAlign w:val="center"/>
          </w:tcPr>
          <w:p>
            <w:pPr>
              <w:spacing w:before="12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串口板卡</w:t>
            </w:r>
          </w:p>
        </w:tc>
        <w:tc>
          <w:tcPr>
            <w:tcW w:w="308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4路RS485串口，用于串口采集器扩展</w:t>
            </w:r>
          </w:p>
        </w:tc>
        <w:tc>
          <w:tcPr>
            <w:tcW w:w="850"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8个</w:t>
            </w:r>
          </w:p>
        </w:tc>
        <w:tc>
          <w:tcPr>
            <w:tcW w:w="1560" w:type="dxa"/>
            <w:vAlign w:val="center"/>
          </w:tcPr>
          <w:p>
            <w:pPr>
              <w:jc w:val="center"/>
              <w:rPr>
                <w:rFonts w:ascii="宋体" w:hAnsi="宋体"/>
                <w:color w:val="000000" w:themeColor="text1"/>
                <w:szCs w:val="21"/>
                <w14:textFill>
                  <w14:solidFill>
                    <w14:schemeClr w14:val="tx1"/>
                  </w14:solidFill>
                </w14:textFill>
              </w:rPr>
            </w:pPr>
          </w:p>
        </w:tc>
        <w:tc>
          <w:tcPr>
            <w:tcW w:w="1559" w:type="dxa"/>
            <w:vAlign w:val="center"/>
          </w:tcPr>
          <w:p>
            <w:pPr>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2" w:type="dxa"/>
            <w:vAlign w:val="center"/>
          </w:tcPr>
          <w:p>
            <w:pPr>
              <w:spacing w:before="12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安装箱</w:t>
            </w:r>
          </w:p>
        </w:tc>
        <w:tc>
          <w:tcPr>
            <w:tcW w:w="308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设备/模块安装箱，黑色，单排35mm导轨长290mm </w:t>
            </w:r>
          </w:p>
        </w:tc>
        <w:tc>
          <w:tcPr>
            <w:tcW w:w="850"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7台</w:t>
            </w:r>
          </w:p>
        </w:tc>
        <w:tc>
          <w:tcPr>
            <w:tcW w:w="1560" w:type="dxa"/>
            <w:vAlign w:val="center"/>
          </w:tcPr>
          <w:p>
            <w:pPr>
              <w:jc w:val="center"/>
              <w:rPr>
                <w:rFonts w:ascii="宋体" w:hAnsi="宋体"/>
                <w:color w:val="000000" w:themeColor="text1"/>
                <w:szCs w:val="21"/>
                <w14:textFill>
                  <w14:solidFill>
                    <w14:schemeClr w14:val="tx1"/>
                  </w14:solidFill>
                </w14:textFill>
              </w:rPr>
            </w:pPr>
          </w:p>
        </w:tc>
        <w:tc>
          <w:tcPr>
            <w:tcW w:w="1559" w:type="dxa"/>
            <w:vAlign w:val="center"/>
          </w:tcPr>
          <w:p>
            <w:pPr>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2" w:type="dxa"/>
            <w:vAlign w:val="center"/>
          </w:tcPr>
          <w:p>
            <w:pPr>
              <w:spacing w:before="12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辅材</w:t>
            </w:r>
          </w:p>
        </w:tc>
        <w:tc>
          <w:tcPr>
            <w:tcW w:w="308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本项目系统集成所需材料</w:t>
            </w:r>
          </w:p>
        </w:tc>
        <w:tc>
          <w:tcPr>
            <w:tcW w:w="850"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1项</w:t>
            </w:r>
          </w:p>
        </w:tc>
        <w:tc>
          <w:tcPr>
            <w:tcW w:w="1560" w:type="dxa"/>
            <w:vAlign w:val="center"/>
          </w:tcPr>
          <w:p>
            <w:pPr>
              <w:jc w:val="center"/>
              <w:rPr>
                <w:rFonts w:ascii="宋体" w:hAnsi="宋体"/>
                <w:color w:val="000000" w:themeColor="text1"/>
                <w:szCs w:val="21"/>
                <w14:textFill>
                  <w14:solidFill>
                    <w14:schemeClr w14:val="tx1"/>
                  </w14:solidFill>
                </w14:textFill>
              </w:rPr>
            </w:pPr>
          </w:p>
        </w:tc>
        <w:tc>
          <w:tcPr>
            <w:tcW w:w="1559" w:type="dxa"/>
            <w:vAlign w:val="center"/>
          </w:tcPr>
          <w:p>
            <w:pPr>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2" w:type="dxa"/>
            <w:vAlign w:val="center"/>
          </w:tcPr>
          <w:p>
            <w:pPr>
              <w:spacing w:before="12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系统集成费</w:t>
            </w:r>
          </w:p>
        </w:tc>
        <w:tc>
          <w:tcPr>
            <w:tcW w:w="308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质保三年，含运保费、税费等</w:t>
            </w:r>
          </w:p>
        </w:tc>
        <w:tc>
          <w:tcPr>
            <w:tcW w:w="850"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1项</w:t>
            </w:r>
          </w:p>
        </w:tc>
        <w:tc>
          <w:tcPr>
            <w:tcW w:w="1560" w:type="dxa"/>
            <w:vAlign w:val="center"/>
          </w:tcPr>
          <w:p>
            <w:pPr>
              <w:jc w:val="center"/>
              <w:rPr>
                <w:rFonts w:ascii="宋体" w:hAnsi="宋体"/>
                <w:color w:val="000000" w:themeColor="text1"/>
                <w:szCs w:val="21"/>
                <w14:textFill>
                  <w14:solidFill>
                    <w14:schemeClr w14:val="tx1"/>
                  </w14:solidFill>
                </w14:textFill>
              </w:rPr>
            </w:pPr>
          </w:p>
        </w:tc>
        <w:tc>
          <w:tcPr>
            <w:tcW w:w="1559" w:type="dxa"/>
            <w:vAlign w:val="center"/>
          </w:tcPr>
          <w:p>
            <w:pPr>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2"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交货期</w:t>
            </w:r>
          </w:p>
        </w:tc>
        <w:tc>
          <w:tcPr>
            <w:tcW w:w="7055" w:type="dxa"/>
            <w:gridSpan w:val="4"/>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合同签订后</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天（不超过</w:t>
            </w:r>
            <w:r>
              <w:rPr>
                <w:rFonts w:hint="eastAsia" w:ascii="宋体" w:hAnsi="宋体"/>
                <w:color w:val="000000" w:themeColor="text1"/>
                <w:szCs w:val="21"/>
                <w14:textFill>
                  <w14:solidFill>
                    <w14:schemeClr w14:val="tx1"/>
                  </w14:solidFill>
                </w14:textFill>
              </w:rPr>
              <w:t>3</w:t>
            </w:r>
            <w:r>
              <w:rPr>
                <w:rFonts w:ascii="宋体" w:hAnsi="宋体"/>
                <w:color w:val="000000" w:themeColor="text1"/>
                <w:szCs w:val="21"/>
                <w14:textFill>
                  <w14:solidFill>
                    <w14:schemeClr w14:val="tx1"/>
                  </w14:solidFill>
                </w14:textFill>
              </w:rPr>
              <w:t>0</w:t>
            </w:r>
            <w:r>
              <w:rPr>
                <w:rFonts w:hint="eastAsia" w:ascii="宋体" w:hAnsi="宋体"/>
                <w:color w:val="000000" w:themeColor="text1"/>
                <w:szCs w:val="21"/>
                <w14:textFill>
                  <w14:solidFill>
                    <w14:schemeClr w14:val="tx1"/>
                  </w14:solidFill>
                </w14:textFill>
              </w:rPr>
              <w:t>天</w:t>
            </w:r>
            <w:r>
              <w:rPr>
                <w:rFonts w:hint="eastAsia" w:ascii="宋体" w:hAnsi="宋体" w:cs="宋体"/>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2"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交货地点</w:t>
            </w:r>
          </w:p>
        </w:tc>
        <w:tc>
          <w:tcPr>
            <w:tcW w:w="7055" w:type="dxa"/>
            <w:gridSpan w:val="4"/>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842"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免费包修期</w:t>
            </w:r>
          </w:p>
        </w:tc>
        <w:tc>
          <w:tcPr>
            <w:tcW w:w="7055" w:type="dxa"/>
            <w:gridSpan w:val="4"/>
            <w:vAlign w:val="center"/>
          </w:tcPr>
          <w:p>
            <w:pPr>
              <w:spacing w:line="360" w:lineRule="auto"/>
              <w:rPr>
                <w:rFonts w:ascii="宋体" w:hAnsi="宋体"/>
                <w:color w:val="000000" w:themeColor="text1"/>
                <w:szCs w:val="2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验收</w:t>
            </w:r>
            <w:r>
              <w:rPr>
                <w:rFonts w:hint="eastAsia" w:ascii="宋体" w:hAnsi="宋体" w:cs="宋体"/>
                <w:color w:val="000000" w:themeColor="text1"/>
                <w14:textFill>
                  <w14:solidFill>
                    <w14:schemeClr w14:val="tx1"/>
                  </w14:solidFill>
                </w14:textFill>
              </w:rPr>
              <w:t>通过后</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年（不少于三年）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2"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包修期内的服务内容</w:t>
            </w:r>
          </w:p>
        </w:tc>
        <w:tc>
          <w:tcPr>
            <w:tcW w:w="7055" w:type="dxa"/>
            <w:gridSpan w:val="4"/>
            <w:vAlign w:val="center"/>
          </w:tcPr>
          <w:p>
            <w:pPr>
              <w:spacing w:line="360" w:lineRule="auto"/>
              <w:rPr>
                <w:rFonts w:ascii="宋体"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t>竞争性磋商文件</w:t>
            </w:r>
            <w:r>
              <w:rPr>
                <w:color w:val="000000" w:themeColor="text1"/>
                <w14:textFill>
                  <w14:solidFill>
                    <w14:schemeClr w14:val="tx1"/>
                  </w14:solidFill>
                </w14:textFill>
              </w:rPr>
              <w:t>第五章《技术及服务要求》中所有要求的内容，以及：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2" w:type="dxa"/>
            <w:vAlign w:val="center"/>
          </w:tcPr>
          <w:p>
            <w:pPr>
              <w:spacing w:line="400" w:lineRule="exact"/>
              <w:jc w:val="center"/>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t>包修期满后的服务价格</w:t>
            </w:r>
          </w:p>
        </w:tc>
        <w:tc>
          <w:tcPr>
            <w:tcW w:w="7055" w:type="dxa"/>
            <w:gridSpan w:val="4"/>
            <w:vAlign w:val="center"/>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维保价格：</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元/年（全包</w:t>
            </w:r>
            <w:r>
              <w:rPr>
                <w:color w:val="000000" w:themeColor="text1"/>
                <w:szCs w:val="21"/>
                <w14:textFill>
                  <w14:solidFill>
                    <w14:schemeClr w14:val="tx1"/>
                  </w14:solidFill>
                </w14:textFill>
              </w:rPr>
              <w:t>年维保费用不得高于合同价格的</w:t>
            </w:r>
            <w:r>
              <w:rPr>
                <w:rFonts w:hint="eastAsia"/>
                <w:color w:val="000000" w:themeColor="text1"/>
                <w:szCs w:val="21"/>
                <w14:textFill>
                  <w14:solidFill>
                    <w14:schemeClr w14:val="tx1"/>
                  </w14:solidFill>
                </w14:textFill>
              </w:rPr>
              <w:t>5</w:t>
            </w:r>
            <w:r>
              <w:rPr>
                <w:color w:val="000000" w:themeColor="text1"/>
                <w:szCs w:val="21"/>
                <w14:textFill>
                  <w14:solidFill>
                    <w14:schemeClr w14:val="tx1"/>
                  </w14:solidFill>
                </w14:textFill>
              </w:rPr>
              <w:t>%</w:t>
            </w:r>
            <w:r>
              <w:rPr>
                <w:color w:val="000000" w:themeColor="text1"/>
                <w14:textFill>
                  <w14:solidFill>
                    <w14:schemeClr w14:val="tx1"/>
                  </w14:solidFill>
                </w14:textFill>
              </w:rPr>
              <w:t>）</w:t>
            </w:r>
          </w:p>
          <w:p>
            <w:pPr>
              <w:spacing w:line="400" w:lineRule="exact"/>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t>包含内容：</w:t>
            </w:r>
            <w:r>
              <w:rPr>
                <w:color w:val="000000" w:themeColor="text1"/>
                <w:u w:val="single"/>
                <w14:textFill>
                  <w14:solidFill>
                    <w14:schemeClr w14:val="tx1"/>
                  </w14:solidFill>
                </w14:textFill>
              </w:rPr>
              <w:t>按照包修期内的服务内容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842"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备注</w:t>
            </w:r>
          </w:p>
        </w:tc>
        <w:tc>
          <w:tcPr>
            <w:tcW w:w="7055" w:type="dxa"/>
            <w:gridSpan w:val="4"/>
          </w:tcPr>
          <w:p>
            <w:pPr>
              <w:rPr>
                <w:rFonts w:ascii="宋体" w:hAnsi="宋体" w:cs="宋体"/>
                <w:color w:val="000000" w:themeColor="text1"/>
                <w14:textFill>
                  <w14:solidFill>
                    <w14:schemeClr w14:val="tx1"/>
                  </w14:solidFill>
                </w14:textFill>
              </w:rPr>
            </w:pPr>
          </w:p>
        </w:tc>
      </w:tr>
    </w:tbl>
    <w:p>
      <w:pPr>
        <w:rPr>
          <w:color w:val="000000" w:themeColor="text1"/>
          <w14:textFill>
            <w14:solidFill>
              <w14:schemeClr w14:val="tx1"/>
            </w14:solidFill>
          </w14:textFill>
        </w:rPr>
      </w:pPr>
    </w:p>
    <w:p>
      <w:pPr>
        <w:snapToGrid w:val="0"/>
        <w:spacing w:line="360" w:lineRule="auto"/>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：1.</w:t>
      </w:r>
      <w:r>
        <w:rPr>
          <w:rFonts w:hint="eastAsia"/>
          <w:color w:val="000000" w:themeColor="text1"/>
          <w:szCs w:val="21"/>
          <w14:textFill>
            <w14:solidFill>
              <w14:schemeClr w14:val="tx1"/>
            </w14:solidFill>
          </w14:textFill>
        </w:rPr>
        <w:t>供应商</w:t>
      </w:r>
      <w:r>
        <w:rPr>
          <w:color w:val="000000" w:themeColor="text1"/>
          <w:szCs w:val="21"/>
          <w14:textFill>
            <w14:solidFill>
              <w14:schemeClr w14:val="tx1"/>
            </w14:solidFill>
          </w14:textFill>
        </w:rPr>
        <w:t>须按照</w:t>
      </w:r>
      <w:r>
        <w:rPr>
          <w:rFonts w:hint="eastAsia"/>
          <w:color w:val="000000" w:themeColor="text1"/>
          <w:szCs w:val="21"/>
          <w14:textFill>
            <w14:solidFill>
              <w14:schemeClr w14:val="tx1"/>
            </w14:solidFill>
          </w14:textFill>
        </w:rPr>
        <w:t>竞争性磋商文件</w:t>
      </w:r>
      <w:r>
        <w:rPr>
          <w:color w:val="000000" w:themeColor="text1"/>
          <w:szCs w:val="21"/>
          <w14:textFill>
            <w14:solidFill>
              <w14:schemeClr w14:val="tx1"/>
            </w14:solidFill>
          </w14:textFill>
        </w:rPr>
        <w:t>要求，提供货到用户指定现场（到楼层）并提供全部</w:t>
      </w:r>
      <w:r>
        <w:rPr>
          <w:rFonts w:hint="eastAsia"/>
          <w:color w:val="000000" w:themeColor="text1"/>
          <w:szCs w:val="21"/>
          <w14:textFill>
            <w14:solidFill>
              <w14:schemeClr w14:val="tx1"/>
            </w14:solidFill>
          </w14:textFill>
        </w:rPr>
        <w:t>安装调试</w:t>
      </w:r>
      <w:r>
        <w:rPr>
          <w:color w:val="000000" w:themeColor="text1"/>
          <w:szCs w:val="21"/>
          <w14:textFill>
            <w14:solidFill>
              <w14:schemeClr w14:val="tx1"/>
            </w14:solidFill>
          </w14:textFill>
        </w:rPr>
        <w:t>服务</w:t>
      </w:r>
      <w:r>
        <w:rPr>
          <w:rFonts w:hint="eastAsia"/>
          <w:color w:val="000000" w:themeColor="text1"/>
          <w:szCs w:val="21"/>
          <w14:textFill>
            <w14:solidFill>
              <w14:schemeClr w14:val="tx1"/>
            </w14:solidFill>
          </w14:textFill>
        </w:rPr>
        <w:t>含材料</w:t>
      </w:r>
      <w:r>
        <w:rPr>
          <w:color w:val="000000" w:themeColor="text1"/>
          <w:szCs w:val="21"/>
          <w14:textFill>
            <w14:solidFill>
              <w14:schemeClr w14:val="tx1"/>
            </w14:solidFill>
          </w14:textFill>
        </w:rPr>
        <w:t>的含税</w:t>
      </w:r>
      <w:r>
        <w:rPr>
          <w:rFonts w:hint="eastAsia"/>
          <w:color w:val="000000" w:themeColor="text1"/>
          <w:szCs w:val="21"/>
          <w14:textFill>
            <w14:solidFill>
              <w14:schemeClr w14:val="tx1"/>
            </w14:solidFill>
          </w14:textFill>
        </w:rPr>
        <w:t>价。</w:t>
      </w:r>
    </w:p>
    <w:p>
      <w:pPr>
        <w:snapToGrid w:val="0"/>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2.报价时请仔细阅读竞争性磋商文件《竞争性磋商须知》中关于报价的要求。</w:t>
      </w:r>
    </w:p>
    <w:p>
      <w:pPr>
        <w:snapToGrid w:val="0"/>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3.供应商应按照竞争性磋商文件中要求提供的服务内容报价。未在表中明确列出的服务项，采购人将视作供应商免费提供。</w:t>
      </w:r>
    </w:p>
    <w:p>
      <w:pPr>
        <w:snapToGrid w:val="0"/>
        <w:spacing w:before="312" w:beforeLines="100" w:after="312" w:afterLines="100"/>
        <w:ind w:left="210" w:leftChars="100" w:right="210" w:rightChars="100"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w:t>
      </w:r>
      <w:r>
        <w:rPr>
          <w:rFonts w:ascii="宋体" w:hAnsi="宋体"/>
          <w:color w:val="000000" w:themeColor="text1"/>
          <w:szCs w:val="21"/>
          <w14:textFill>
            <w14:solidFill>
              <w14:schemeClr w14:val="tx1"/>
            </w14:solidFill>
          </w14:textFill>
        </w:rPr>
        <w:t>名称（公章）：</w:t>
      </w:r>
    </w:p>
    <w:p>
      <w:pPr>
        <w:snapToGrid w:val="0"/>
        <w:spacing w:before="312" w:beforeLines="100" w:after="312" w:afterLines="100"/>
        <w:ind w:left="210" w:leftChars="100" w:right="210" w:rightChars="100" w:firstLine="420" w:firstLineChars="200"/>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供应商</w:t>
      </w:r>
      <w:r>
        <w:rPr>
          <w:rFonts w:ascii="宋体" w:hAnsi="宋体"/>
          <w:color w:val="000000" w:themeColor="text1"/>
          <w:szCs w:val="21"/>
          <w14:textFill>
            <w14:solidFill>
              <w14:schemeClr w14:val="tx1"/>
            </w14:solidFill>
          </w14:textFill>
        </w:rPr>
        <w:t>代表签字</w:t>
      </w:r>
      <w:r>
        <w:rPr>
          <w:rFonts w:ascii="宋体" w:hAnsi="宋体"/>
          <w:color w:val="000000" w:themeColor="text1"/>
          <w:szCs w:val="21"/>
          <w:u w:val="single"/>
          <w14:textFill>
            <w14:solidFill>
              <w14:schemeClr w14:val="tx1"/>
            </w14:solidFill>
          </w14:textFill>
        </w:rPr>
        <w:t>：</w:t>
      </w:r>
    </w:p>
    <w:p>
      <w:pPr>
        <w:ind w:firstLine="630" w:firstLineChars="300"/>
        <w:rPr>
          <w:color w:val="000000" w:themeColor="text1"/>
          <w14:textFill>
            <w14:solidFill>
              <w14:schemeClr w14:val="tx1"/>
            </w14:solidFill>
          </w14:textFill>
        </w:rPr>
      </w:pPr>
      <w:r>
        <w:rPr>
          <w:rFonts w:hint="eastAsia"/>
          <w:color w:val="000000" w:themeColor="text1"/>
          <w14:textFill>
            <w14:solidFill>
              <w14:schemeClr w14:val="tx1"/>
            </w14:solidFill>
          </w14:textFill>
        </w:rPr>
        <w:t>日期：</w:t>
      </w: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bookmarkEnd w:id="74"/>
    <w:bookmarkEnd w:id="75"/>
    <w:bookmarkEnd w:id="76"/>
    <w:p>
      <w:pPr>
        <w:pStyle w:val="4"/>
        <w:numPr>
          <w:ilvl w:val="0"/>
          <w:numId w:val="0"/>
        </w:numPr>
        <w:snapToGrid w:val="0"/>
        <w:spacing w:before="312" w:beforeLines="100" w:after="312" w:afterLines="100"/>
        <w:ind w:right="210" w:rightChars="100"/>
        <w:rPr>
          <w:color w:val="000000" w:themeColor="text1"/>
          <w:szCs w:val="24"/>
          <w:u w:val="single"/>
          <w14:textFill>
            <w14:solidFill>
              <w14:schemeClr w14:val="tx1"/>
            </w14:solidFill>
          </w14:textFill>
        </w:rPr>
      </w:pPr>
      <w:bookmarkStart w:id="77" w:name="_Toc69378666"/>
      <w:bookmarkStart w:id="78" w:name="_Toc161767431"/>
      <w:bookmarkStart w:id="79" w:name="_Toc26259742"/>
      <w:bookmarkStart w:id="80" w:name="_Toc26260036"/>
      <w:bookmarkStart w:id="81" w:name="_Toc135999010"/>
      <w:bookmarkStart w:id="82" w:name="_Toc26259741"/>
      <w:bookmarkStart w:id="83" w:name="_Toc26260035"/>
      <w:bookmarkStart w:id="84" w:name="_Toc69378665"/>
      <w:r>
        <w:rPr>
          <w:rStyle w:val="106"/>
          <w:rFonts w:hint="eastAsia" w:hAnsi="宋体"/>
          <w:b w:val="0"/>
          <w:bCs w:val="0"/>
          <w:color w:val="000000" w:themeColor="text1"/>
          <w:sz w:val="24"/>
          <w:szCs w:val="24"/>
          <w14:textFill>
            <w14:solidFill>
              <w14:schemeClr w14:val="tx1"/>
            </w14:solidFill>
          </w14:textFill>
        </w:rPr>
        <w:t>附件</w:t>
      </w:r>
      <w:r>
        <w:rPr>
          <w:rStyle w:val="106"/>
          <w:rFonts w:hAnsi="宋体"/>
          <w:b w:val="0"/>
          <w:bCs w:val="0"/>
          <w:color w:val="000000" w:themeColor="text1"/>
          <w:sz w:val="24"/>
          <w:szCs w:val="24"/>
          <w14:textFill>
            <w14:solidFill>
              <w14:schemeClr w14:val="tx1"/>
            </w14:solidFill>
          </w14:textFill>
        </w:rPr>
        <w:t>4</w:t>
      </w:r>
      <w:r>
        <w:rPr>
          <w:rStyle w:val="106"/>
          <w:rFonts w:hint="eastAsia" w:hAnsi="宋体"/>
          <w:b w:val="0"/>
          <w:bCs w:val="0"/>
          <w:color w:val="000000" w:themeColor="text1"/>
          <w:sz w:val="24"/>
          <w:szCs w:val="24"/>
          <w14:textFill>
            <w14:solidFill>
              <w14:schemeClr w14:val="tx1"/>
            </w14:solidFill>
          </w14:textFill>
        </w:rPr>
        <w:t>：商务条款偏离表</w:t>
      </w:r>
      <w:bookmarkEnd w:id="77"/>
      <w:bookmarkEnd w:id="78"/>
      <w:bookmarkEnd w:id="79"/>
      <w:bookmarkEnd w:id="80"/>
      <w:bookmarkEnd w:id="81"/>
    </w:p>
    <w:p>
      <w:pPr>
        <w:snapToGrid w:val="0"/>
        <w:spacing w:before="312" w:beforeLines="100" w:after="312" w:afterLines="100"/>
        <w:ind w:left="210" w:leftChars="100" w:right="210" w:rightChars="100" w:firstLine="420" w:firstLineChars="200"/>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供应商名称： </w:t>
      </w:r>
      <w:r>
        <w:rPr>
          <w:rFonts w:ascii="宋体" w:hAnsi="宋体"/>
          <w:color w:val="000000" w:themeColor="text1"/>
          <w:szCs w:val="21"/>
          <w14:textFill>
            <w14:solidFill>
              <w14:schemeClr w14:val="tx1"/>
            </w14:solidFill>
          </w14:textFill>
        </w:rPr>
        <w:t xml:space="preserve">          </w:t>
      </w:r>
    </w:p>
    <w:tbl>
      <w:tblPr>
        <w:tblStyle w:val="53"/>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1774"/>
        <w:gridCol w:w="2221"/>
        <w:gridCol w:w="2004"/>
        <w:gridCol w:w="15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Borders>
              <w:top w:val="single" w:color="auto" w:sz="12" w:space="0"/>
            </w:tcBorders>
          </w:tcPr>
          <w:p>
            <w:pPr>
              <w:snapToGrid w:val="0"/>
              <w:spacing w:before="312" w:beforeLines="100" w:after="312" w:afterLines="100"/>
              <w:ind w:right="210" w:rightChars="1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1041" w:type="pct"/>
            <w:tcBorders>
              <w:top w:val="single" w:color="auto" w:sz="12" w:space="0"/>
            </w:tcBorders>
          </w:tcPr>
          <w:p>
            <w:pPr>
              <w:snapToGrid w:val="0"/>
              <w:spacing w:before="312" w:beforeLines="100" w:after="312" w:afterLines="100"/>
              <w:ind w:left="210" w:leftChars="100" w:right="210" w:rightChars="1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竞争性磋商文件条目号</w:t>
            </w:r>
          </w:p>
        </w:tc>
        <w:tc>
          <w:tcPr>
            <w:tcW w:w="1303" w:type="pct"/>
            <w:tcBorders>
              <w:top w:val="single" w:color="auto" w:sz="12" w:space="0"/>
            </w:tcBorders>
          </w:tcPr>
          <w:p>
            <w:pPr>
              <w:snapToGrid w:val="0"/>
              <w:spacing w:before="312" w:beforeLines="100" w:after="312" w:afterLines="100"/>
              <w:ind w:left="210" w:leftChars="100" w:right="210" w:rightChars="1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竞争性磋商文件的商务条款</w:t>
            </w:r>
          </w:p>
        </w:tc>
        <w:tc>
          <w:tcPr>
            <w:tcW w:w="1176" w:type="pct"/>
            <w:tcBorders>
              <w:top w:val="single" w:color="auto" w:sz="12" w:space="0"/>
            </w:tcBorders>
          </w:tcPr>
          <w:p>
            <w:pPr>
              <w:snapToGrid w:val="0"/>
              <w:spacing w:before="312" w:beforeLines="100" w:after="312" w:afterLines="100"/>
              <w:ind w:left="210" w:leftChars="100" w:right="210" w:rightChars="1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响应文件的商务条款</w:t>
            </w:r>
          </w:p>
        </w:tc>
        <w:tc>
          <w:tcPr>
            <w:tcW w:w="923" w:type="pct"/>
            <w:tcBorders>
              <w:top w:val="single" w:color="auto" w:sz="12" w:space="0"/>
            </w:tcBorders>
          </w:tcPr>
          <w:p>
            <w:pPr>
              <w:snapToGrid w:val="0"/>
              <w:spacing w:before="312" w:beforeLines="100" w:after="312" w:afterLines="100"/>
              <w:ind w:left="210" w:leftChars="100" w:right="210" w:rightChars="1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r>
    </w:tbl>
    <w:p>
      <w:pPr>
        <w:snapToGrid w:val="0"/>
        <w:spacing w:before="312" w:beforeLines="100" w:after="312" w:afterLines="100"/>
        <w:ind w:left="210" w:leftChars="100" w:right="210" w:rightChars="100" w:firstLine="420" w:firstLineChars="200"/>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供应商名称（公章）：</w:t>
      </w:r>
    </w:p>
    <w:p>
      <w:pPr>
        <w:snapToGrid w:val="0"/>
        <w:spacing w:before="312" w:beforeLines="100" w:after="312" w:afterLines="100"/>
        <w:ind w:left="210" w:leftChars="100" w:right="210" w:rightChars="100" w:firstLine="420" w:firstLineChars="200"/>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供应商代表签字：</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 xml:space="preserve">1. </w:t>
      </w:r>
      <w:r>
        <w:rPr>
          <w:rFonts w:hint="eastAsia"/>
          <w:color w:val="000000" w:themeColor="text1"/>
          <w14:textFill>
            <w14:solidFill>
              <w14:schemeClr w14:val="tx1"/>
            </w14:solidFill>
          </w14:textFill>
        </w:rPr>
        <w:t>如供应商无任何偏离，也需在响应表中注明并在响应文件中递交此表。</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 xml:space="preserve">2. </w:t>
      </w:r>
      <w:r>
        <w:rPr>
          <w:rFonts w:hint="eastAsia"/>
          <w:color w:val="000000" w:themeColor="text1"/>
          <w14:textFill>
            <w14:solidFill>
              <w14:schemeClr w14:val="tx1"/>
            </w14:solidFill>
          </w14:textFill>
        </w:rPr>
        <w:t>偏离包括正、负偏离，正偏离指供应商的响应高于竞争性磋商文件要求，负偏离指供应商的响应低于竞争性磋商文件要求。</w:t>
      </w:r>
    </w:p>
    <w:p>
      <w:pPr>
        <w:widowControl/>
        <w:jc w:val="left"/>
        <w:rPr>
          <w:rStyle w:val="106"/>
          <w:rFonts w:hAnsi="宋体"/>
          <w:b w:val="0"/>
          <w:bCs w:val="0"/>
          <w:color w:val="000000" w:themeColor="text1"/>
          <w:sz w:val="24"/>
          <w:szCs w:val="24"/>
          <w14:textFill>
            <w14:solidFill>
              <w14:schemeClr w14:val="tx1"/>
            </w14:solidFill>
          </w14:textFill>
        </w:rPr>
      </w:pPr>
      <w:r>
        <w:rPr>
          <w:rStyle w:val="106"/>
          <w:rFonts w:hAnsi="宋体"/>
          <w:b w:val="0"/>
          <w:color w:val="000000" w:themeColor="text1"/>
          <w:sz w:val="24"/>
          <w:szCs w:val="24"/>
          <w14:textFill>
            <w14:solidFill>
              <w14:schemeClr w14:val="tx1"/>
            </w14:solidFill>
          </w14:textFill>
        </w:rPr>
        <w:br w:type="page"/>
      </w:r>
    </w:p>
    <w:p>
      <w:pPr>
        <w:pStyle w:val="4"/>
        <w:numPr>
          <w:ilvl w:val="0"/>
          <w:numId w:val="0"/>
        </w:numPr>
        <w:snapToGrid w:val="0"/>
        <w:spacing w:before="312" w:beforeLines="100" w:after="312" w:afterLines="100"/>
        <w:ind w:right="210" w:rightChars="100"/>
        <w:rPr>
          <w:rFonts w:ascii="黑体"/>
          <w:b/>
          <w:color w:val="000000" w:themeColor="text1"/>
          <w:kern w:val="44"/>
          <w:sz w:val="32"/>
          <w14:textFill>
            <w14:solidFill>
              <w14:schemeClr w14:val="tx1"/>
            </w14:solidFill>
          </w14:textFill>
        </w:rPr>
      </w:pPr>
      <w:r>
        <w:rPr>
          <w:rStyle w:val="106"/>
          <w:rFonts w:hint="eastAsia" w:hAnsi="宋体"/>
          <w:b w:val="0"/>
          <w:bCs w:val="0"/>
          <w:color w:val="000000" w:themeColor="text1"/>
          <w:sz w:val="24"/>
          <w:szCs w:val="24"/>
          <w14:textFill>
            <w14:solidFill>
              <w14:schemeClr w14:val="tx1"/>
            </w14:solidFill>
          </w14:textFill>
        </w:rPr>
        <w:t>附件</w:t>
      </w:r>
      <w:r>
        <w:rPr>
          <w:rStyle w:val="106"/>
          <w:rFonts w:hAnsi="宋体"/>
          <w:b w:val="0"/>
          <w:bCs w:val="0"/>
          <w:color w:val="000000" w:themeColor="text1"/>
          <w:sz w:val="24"/>
          <w:szCs w:val="24"/>
          <w14:textFill>
            <w14:solidFill>
              <w14:schemeClr w14:val="tx1"/>
            </w14:solidFill>
          </w14:textFill>
        </w:rPr>
        <w:t>5</w:t>
      </w:r>
      <w:r>
        <w:rPr>
          <w:rStyle w:val="106"/>
          <w:rFonts w:hint="eastAsia" w:hAnsi="宋体"/>
          <w:b w:val="0"/>
          <w:bCs w:val="0"/>
          <w:color w:val="000000" w:themeColor="text1"/>
          <w:sz w:val="24"/>
          <w:szCs w:val="24"/>
          <w14:textFill>
            <w14:solidFill>
              <w14:schemeClr w14:val="tx1"/>
            </w14:solidFill>
          </w14:textFill>
        </w:rPr>
        <w:t>：法定代表人身份证明及授权委托书</w:t>
      </w:r>
      <w:bookmarkEnd w:id="82"/>
      <w:bookmarkEnd w:id="83"/>
      <w:bookmarkEnd w:id="84"/>
    </w:p>
    <w:p>
      <w:pPr>
        <w:topLinePunct/>
        <w:snapToGrid w:val="0"/>
        <w:spacing w:before="312" w:beforeLines="100" w:after="312" w:afterLines="100"/>
        <w:ind w:left="210" w:leftChars="100" w:right="210" w:rightChars="100" w:firstLine="420" w:firstLineChars="200"/>
        <w:rPr>
          <w:bCs/>
          <w:color w:val="000000" w:themeColor="text1"/>
          <w:szCs w:val="21"/>
          <w:u w:val="single"/>
          <w14:textFill>
            <w14:solidFill>
              <w14:schemeClr w14:val="tx1"/>
            </w14:solidFill>
          </w14:textFill>
        </w:rPr>
      </w:pPr>
      <w:r>
        <w:rPr>
          <w:rFonts w:hint="eastAsia"/>
          <w:bCs/>
          <w:color w:val="000000" w:themeColor="text1"/>
          <w:szCs w:val="21"/>
          <w14:textFill>
            <w14:solidFill>
              <w14:schemeClr w14:val="tx1"/>
            </w14:solidFill>
          </w14:textFill>
        </w:rPr>
        <w:t>供应商</w:t>
      </w:r>
      <w:r>
        <w:rPr>
          <w:bCs/>
          <w:color w:val="000000" w:themeColor="text1"/>
          <w:szCs w:val="21"/>
          <w14:textFill>
            <w14:solidFill>
              <w14:schemeClr w14:val="tx1"/>
            </w14:solidFill>
          </w14:textFill>
        </w:rPr>
        <w:t>名称：</w:t>
      </w:r>
    </w:p>
    <w:p>
      <w:pPr>
        <w:topLinePunct/>
        <w:snapToGrid w:val="0"/>
        <w:spacing w:before="312" w:beforeLines="100" w:after="312" w:afterLines="100"/>
        <w:ind w:left="210" w:leftChars="100" w:right="210" w:rightChars="100"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单位性质：</w:t>
      </w:r>
    </w:p>
    <w:p>
      <w:pPr>
        <w:topLinePunct/>
        <w:snapToGrid w:val="0"/>
        <w:spacing w:before="312" w:beforeLines="100" w:after="312" w:afterLines="100"/>
        <w:ind w:left="210" w:leftChars="100" w:right="210" w:rightChars="100"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成立时间：年月日</w:t>
      </w:r>
    </w:p>
    <w:p>
      <w:pPr>
        <w:topLinePunct/>
        <w:snapToGrid w:val="0"/>
        <w:spacing w:before="312" w:beforeLines="100" w:after="312" w:afterLines="100"/>
        <w:ind w:left="210" w:leftChars="100" w:right="210" w:rightChars="100"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经营期限：</w:t>
      </w:r>
    </w:p>
    <w:p>
      <w:pPr>
        <w:topLinePunct/>
        <w:snapToGrid w:val="0"/>
        <w:spacing w:before="312" w:beforeLines="100" w:after="312" w:afterLines="100"/>
        <w:ind w:left="210" w:leftChars="100" w:right="210" w:rightChars="100" w:firstLine="420" w:firstLineChars="200"/>
        <w:rPr>
          <w:bCs/>
          <w:color w:val="000000" w:themeColor="text1"/>
          <w:szCs w:val="21"/>
          <w:u w:val="single"/>
          <w14:textFill>
            <w14:solidFill>
              <w14:schemeClr w14:val="tx1"/>
            </w14:solidFill>
          </w14:textFill>
        </w:rPr>
      </w:pPr>
      <w:r>
        <w:rPr>
          <w:bCs/>
          <w:color w:val="000000" w:themeColor="text1"/>
          <w:szCs w:val="21"/>
          <w14:textFill>
            <w14:solidFill>
              <w14:schemeClr w14:val="tx1"/>
            </w14:solidFill>
          </w14:textFill>
        </w:rPr>
        <w:t>姓名：性别：年龄：职务：</w:t>
      </w:r>
    </w:p>
    <w:p>
      <w:pPr>
        <w:topLinePunct/>
        <w:snapToGrid w:val="0"/>
        <w:spacing w:before="312" w:beforeLines="100" w:after="312" w:afterLines="100"/>
        <w:ind w:left="210" w:leftChars="100" w:right="210" w:rightChars="100"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系</w:t>
      </w:r>
      <w:r>
        <w:rPr>
          <w:rFonts w:hint="eastAsia"/>
          <w:bCs/>
          <w:color w:val="000000" w:themeColor="text1"/>
          <w:szCs w:val="21"/>
          <w14:textFill>
            <w14:solidFill>
              <w14:schemeClr w14:val="tx1"/>
            </w14:solidFill>
          </w14:textFill>
        </w:rPr>
        <w:t>（供应商</w:t>
      </w:r>
      <w:r>
        <w:rPr>
          <w:bCs/>
          <w:color w:val="000000" w:themeColor="text1"/>
          <w:szCs w:val="21"/>
          <w14:textFill>
            <w14:solidFill>
              <w14:schemeClr w14:val="tx1"/>
            </w14:solidFill>
          </w14:textFill>
        </w:rPr>
        <w:t>名称</w:t>
      </w:r>
      <w:r>
        <w:rPr>
          <w:rFonts w:hint="eastAsia"/>
          <w:bCs/>
          <w:color w:val="000000" w:themeColor="text1"/>
          <w:szCs w:val="21"/>
          <w14:textFill>
            <w14:solidFill>
              <w14:schemeClr w14:val="tx1"/>
            </w14:solidFill>
          </w14:textFill>
        </w:rPr>
        <w:t>）</w:t>
      </w:r>
      <w:r>
        <w:rPr>
          <w:bCs/>
          <w:color w:val="000000" w:themeColor="text1"/>
          <w:szCs w:val="21"/>
          <w14:textFill>
            <w14:solidFill>
              <w14:schemeClr w14:val="tx1"/>
            </w14:solidFill>
          </w14:textFill>
        </w:rPr>
        <w:t>的法定代表人。</w:t>
      </w:r>
    </w:p>
    <w:p>
      <w:pPr>
        <w:topLinePunct/>
        <w:snapToGrid w:val="0"/>
        <w:spacing w:before="312" w:beforeLines="100" w:after="312" w:afterLines="100"/>
        <w:ind w:left="210" w:leftChars="100" w:right="210" w:rightChars="100"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特此证明。</w:t>
      </w:r>
    </w:p>
    <w:p>
      <w:pPr>
        <w:topLinePunct/>
        <w:snapToGrid w:val="0"/>
        <w:spacing w:before="312" w:beforeLines="100" w:after="312" w:afterLines="100"/>
        <w:ind w:left="210" w:leftChars="100" w:right="210" w:rightChars="100"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附：法定代表人身份证复印件</w:t>
      </w:r>
      <w:r>
        <w:rPr>
          <w:rFonts w:hint="eastAsia"/>
          <w:color w:val="000000" w:themeColor="text1"/>
          <w14:textFill>
            <w14:solidFill>
              <w14:schemeClr w14:val="tx1"/>
            </w14:solidFill>
          </w14:textFill>
        </w:rPr>
        <w:t>（</w:t>
      </w:r>
      <w:r>
        <w:rPr>
          <w:rFonts w:hint="eastAsia" w:ascii="宋体" w:hAnsi="宋体"/>
          <w:color w:val="000000" w:themeColor="text1"/>
          <w:szCs w:val="21"/>
          <w14:textFill>
            <w14:solidFill>
              <w14:schemeClr w14:val="tx1"/>
            </w14:solidFill>
          </w14:textFill>
        </w:rPr>
        <w:t>需同时提供正面及背面</w:t>
      </w:r>
      <w:r>
        <w:rPr>
          <w:rFonts w:hint="eastAsia"/>
          <w:color w:val="000000" w:themeColor="text1"/>
          <w14:textFill>
            <w14:solidFill>
              <w14:schemeClr w14:val="tx1"/>
            </w14:solidFill>
          </w14:textFill>
        </w:rPr>
        <w:t>）</w:t>
      </w:r>
    </w:p>
    <w:p>
      <w:pPr>
        <w:snapToGrid w:val="0"/>
        <w:spacing w:before="312" w:beforeLines="100" w:after="312" w:afterLines="100"/>
        <w:ind w:right="210" w:rightChars="100"/>
        <w:rPr>
          <w:rFonts w:ascii="宋体" w:hAnsi="宋体"/>
          <w:color w:val="000000" w:themeColor="text1"/>
          <w:szCs w:val="2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-694690</wp:posOffset>
                </wp:positionH>
                <wp:positionV relativeFrom="paragraph">
                  <wp:posOffset>269240</wp:posOffset>
                </wp:positionV>
                <wp:extent cx="3297555" cy="2113915"/>
                <wp:effectExtent l="0" t="0" r="17145" b="19685"/>
                <wp:wrapNone/>
                <wp:docPr id="4" name="AutoShape 4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法定代表人身份证正面复印件</w:t>
                            </w:r>
                          </w:p>
                        </w:txbxContent>
                      </wps:txbx>
                      <wps:bodyPr rot="0" vert="horz" wrap="square" lIns="91440" tIns="45720" rIns="91440" bIns="45720" anchor="t" anchorCtr="0" upright="1">
                        <a:noAutofit/>
                      </wps:bodyPr>
                    </wps:wsp>
                  </a:graphicData>
                </a:graphic>
              </wp:anchor>
            </w:drawing>
          </mc:Choice>
          <mc:Fallback>
            <w:pict>
              <v:shape id="AutoShape 40" o:spid="_x0000_s1026" o:spt="176" type="#_x0000_t176" style="position:absolute;left:0pt;margin-left:-54.7pt;margin-top:21.2pt;height:166.45pt;width:259.65pt;z-index:251659264;mso-width-relative:page;mso-height-relative:page;" fillcolor="#FFFFFF" filled="t" stroked="t" coordsize="21600,21600" o:gfxdata="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w83tK2gAAAAsBAAAPAAAAAAAAAAEAIAAAACIA&#10;AABkcnMvZG93bnJldi54bWxQSwECFAAUAAAACACHTuJAeSACAkACAACiBAAADgAAAAAAAAABACAA&#10;AAApAQAAZHJzL2Uyb0RvYy54bWxQSwUGAAAAAAYABgBZAQAA2wUAAAAA&#10;">
                <v:fill on="t" focussize="0,0"/>
                <v:stroke color="#000000" miterlimit="8" joinstyle="miter"/>
                <v:imagedata o:title=""/>
                <o:lock v:ext="edit" aspectratio="f"/>
                <v:textbox>
                  <w:txbxContent>
                    <w:p>
                      <w:pPr>
                        <w:jc w:val="center"/>
                        <w:rPr>
                          <w:szCs w:val="21"/>
                        </w:rPr>
                      </w:pPr>
                      <w:r>
                        <w:rPr>
                          <w:rFonts w:hint="eastAsia"/>
                          <w:szCs w:val="21"/>
                        </w:rPr>
                        <w:t>法定代表人身份证正面复印件</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2677160</wp:posOffset>
                </wp:positionH>
                <wp:positionV relativeFrom="paragraph">
                  <wp:posOffset>276225</wp:posOffset>
                </wp:positionV>
                <wp:extent cx="3297555" cy="2113915"/>
                <wp:effectExtent l="0" t="0" r="17145" b="19685"/>
                <wp:wrapNone/>
                <wp:docPr id="5" name="AutoShape 4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法定代表人身份证背面复印件</w:t>
                            </w:r>
                          </w:p>
                        </w:txbxContent>
                      </wps:txbx>
                      <wps:bodyPr rot="0" vert="horz" wrap="square" lIns="91440" tIns="45720" rIns="91440" bIns="45720" anchor="t" anchorCtr="0" upright="1">
                        <a:noAutofit/>
                      </wps:bodyPr>
                    </wps:wsp>
                  </a:graphicData>
                </a:graphic>
              </wp:anchor>
            </w:drawing>
          </mc:Choice>
          <mc:Fallback>
            <w:pict>
              <v:shape id="AutoShape 40" o:spid="_x0000_s1026" o:spt="176" type="#_x0000_t176" style="position:absolute;left:0pt;margin-left:210.8pt;margin-top:21.75pt;height:166.45pt;width:259.65pt;z-index:251660288;mso-width-relative:page;mso-height-relative:page;" fillcolor="#FFFFFF" filled="t" stroked="t" coordsize="21600,21600" o:gfxdata="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oiI2BtkAAAAKAQAADwAAAAAAAAABACAAAAAiAAAA&#10;ZHJzL2Rvd25yZXYueG1sUEsBAhQAFAAAAAgAh07iQOywA/s/AgAAogQAAA4AAAAAAAAAAQAgAAAA&#10;KAEAAGRycy9lMm9Eb2MueG1sUEsFBgAAAAAGAAYAWQEAANkFAAAAAA==&#10;">
                <v:fill on="t" focussize="0,0"/>
                <v:stroke color="#000000" miterlimit="8" joinstyle="miter"/>
                <v:imagedata o:title=""/>
                <o:lock v:ext="edit" aspectratio="f"/>
                <v:textbox>
                  <w:txbxContent>
                    <w:p>
                      <w:pPr>
                        <w:jc w:val="center"/>
                        <w:rPr>
                          <w:szCs w:val="21"/>
                        </w:rPr>
                      </w:pPr>
                      <w:r>
                        <w:rPr>
                          <w:rFonts w:hint="eastAsia"/>
                          <w:szCs w:val="21"/>
                        </w:rPr>
                        <w:t>法定代表人身份证背面复印件</w:t>
                      </w:r>
                    </w:p>
                  </w:txbxContent>
                </v:textbox>
              </v:shape>
            </w:pict>
          </mc:Fallback>
        </mc:AlternateContent>
      </w:r>
    </w:p>
    <w:p>
      <w:pPr>
        <w:snapToGrid w:val="0"/>
        <w:spacing w:before="312" w:beforeLines="100" w:after="312" w:afterLines="100"/>
        <w:ind w:left="210" w:leftChars="100" w:right="210" w:rightChars="100" w:firstLine="420" w:firstLineChars="200"/>
        <w:rPr>
          <w:color w:val="000000" w:themeColor="text1"/>
          <w:szCs w:val="21"/>
          <w14:textFill>
            <w14:solidFill>
              <w14:schemeClr w14:val="tx1"/>
            </w14:solidFill>
          </w14:textFill>
        </w:rPr>
      </w:pPr>
    </w:p>
    <w:p>
      <w:pPr>
        <w:snapToGrid w:val="0"/>
        <w:spacing w:before="312" w:beforeLines="100" w:after="312" w:afterLines="100"/>
        <w:ind w:left="210" w:leftChars="100" w:right="210" w:rightChars="100" w:firstLine="420" w:firstLineChars="200"/>
        <w:rPr>
          <w:rFonts w:ascii="宋体" w:hAnsi="宋体"/>
          <w:color w:val="000000" w:themeColor="text1"/>
          <w:szCs w:val="21"/>
          <w14:textFill>
            <w14:solidFill>
              <w14:schemeClr w14:val="tx1"/>
            </w14:solidFill>
          </w14:textFill>
        </w:rPr>
      </w:pPr>
    </w:p>
    <w:p>
      <w:pPr>
        <w:snapToGrid w:val="0"/>
        <w:spacing w:before="312" w:beforeLines="100" w:after="312" w:afterLines="100"/>
        <w:ind w:left="210" w:leftChars="100" w:right="210" w:rightChars="100" w:firstLine="420" w:firstLineChars="200"/>
        <w:rPr>
          <w:color w:val="000000" w:themeColor="text1"/>
          <w:szCs w:val="21"/>
          <w14:textFill>
            <w14:solidFill>
              <w14:schemeClr w14:val="tx1"/>
            </w14:solidFill>
          </w14:textFill>
        </w:rPr>
      </w:pPr>
    </w:p>
    <w:p>
      <w:pPr>
        <w:snapToGrid w:val="0"/>
        <w:spacing w:before="312" w:beforeLines="100" w:after="312" w:afterLines="100"/>
        <w:ind w:left="210" w:leftChars="100" w:right="210" w:rightChars="100" w:firstLine="420" w:firstLineChars="200"/>
        <w:rPr>
          <w:color w:val="000000" w:themeColor="text1"/>
          <w:szCs w:val="21"/>
          <w14:textFill>
            <w14:solidFill>
              <w14:schemeClr w14:val="tx1"/>
            </w14:solidFill>
          </w14:textFill>
        </w:rPr>
      </w:pPr>
    </w:p>
    <w:p>
      <w:pPr>
        <w:snapToGrid w:val="0"/>
        <w:spacing w:before="312" w:beforeLines="100" w:after="312" w:afterLines="100"/>
        <w:ind w:left="210" w:leftChars="100" w:right="210" w:rightChars="100" w:firstLine="420" w:firstLineChars="200"/>
        <w:rPr>
          <w:rFonts w:ascii="宋体" w:hAnsi="宋体"/>
          <w:color w:val="000000" w:themeColor="text1"/>
          <w:szCs w:val="21"/>
          <w14:textFill>
            <w14:solidFill>
              <w14:schemeClr w14:val="tx1"/>
            </w14:solidFill>
          </w14:textFill>
        </w:rPr>
      </w:pPr>
    </w:p>
    <w:p>
      <w:pPr>
        <w:snapToGrid w:val="0"/>
        <w:spacing w:before="312" w:beforeLines="100" w:after="312" w:afterLines="100"/>
        <w:ind w:left="210" w:leftChars="100" w:right="210" w:rightChars="100" w:firstLine="420" w:firstLineChars="200"/>
        <w:rPr>
          <w:color w:val="000000" w:themeColor="text1"/>
          <w:szCs w:val="21"/>
          <w14:textFill>
            <w14:solidFill>
              <w14:schemeClr w14:val="tx1"/>
            </w14:solidFill>
          </w14:textFill>
        </w:rPr>
      </w:pPr>
    </w:p>
    <w:p>
      <w:pPr>
        <w:snapToGrid w:val="0"/>
        <w:spacing w:before="312" w:beforeLines="100" w:after="312" w:afterLines="100"/>
        <w:ind w:left="210" w:leftChars="100" w:right="210" w:rightChars="100" w:firstLine="420" w:firstLineChars="200"/>
        <w:rPr>
          <w:rFonts w:ascii="宋体" w:hAnsi="宋体"/>
          <w:color w:val="000000" w:themeColor="text1"/>
          <w:szCs w:val="21"/>
          <w14:textFill>
            <w14:solidFill>
              <w14:schemeClr w14:val="tx1"/>
            </w14:solidFill>
          </w14:textFill>
        </w:rPr>
      </w:pPr>
    </w:p>
    <w:p>
      <w:pPr>
        <w:snapToGrid w:val="0"/>
        <w:spacing w:before="312" w:beforeLines="100" w:after="312" w:afterLines="100"/>
        <w:ind w:right="210" w:rightChars="100"/>
        <w:rPr>
          <w:color w:val="000000" w:themeColor="text1"/>
          <w:szCs w:val="21"/>
          <w14:textFill>
            <w14:solidFill>
              <w14:schemeClr w14:val="tx1"/>
            </w14:solidFill>
          </w14:textFill>
        </w:rPr>
      </w:pPr>
    </w:p>
    <w:p>
      <w:pPr>
        <w:snapToGrid w:val="0"/>
        <w:spacing w:before="312" w:beforeLines="100" w:after="312" w:afterLines="100"/>
        <w:ind w:left="210" w:leftChars="100" w:right="210" w:rightChars="100" w:firstLine="420" w:firstLineChars="200"/>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供应商名称</w:t>
      </w:r>
      <w:r>
        <w:rPr>
          <w:color w:val="000000" w:themeColor="text1"/>
          <w:szCs w:val="21"/>
          <w14:textFill>
            <w14:solidFill>
              <w14:schemeClr w14:val="tx1"/>
            </w14:solidFill>
          </w14:textFill>
        </w:rPr>
        <w:t>：（盖单位公章）</w:t>
      </w:r>
    </w:p>
    <w:p>
      <w:pPr>
        <w:snapToGrid w:val="0"/>
        <w:spacing w:before="312" w:beforeLines="100" w:after="312" w:afterLines="100"/>
        <w:ind w:left="210" w:leftChars="100" w:right="210" w:rightChars="100" w:firstLine="840" w:firstLineChars="400"/>
        <w:rPr>
          <w:color w:val="000000" w:themeColor="text1"/>
          <w:szCs w:val="21"/>
          <w14:textFill>
            <w14:solidFill>
              <w14:schemeClr w14:val="tx1"/>
            </w14:solidFill>
          </w14:textFill>
        </w:rPr>
      </w:pPr>
      <w:r>
        <w:rPr>
          <w:color w:val="000000" w:themeColor="text1"/>
          <w:szCs w:val="21"/>
          <w14:textFill>
            <w14:solidFill>
              <w14:schemeClr w14:val="tx1"/>
            </w14:solidFill>
          </w14:textFill>
        </w:rPr>
        <w:t>年月日</w:t>
      </w:r>
    </w:p>
    <w:p>
      <w:pPr>
        <w:snapToGrid w:val="0"/>
        <w:spacing w:before="312" w:beforeLines="100" w:after="312" w:afterLines="100"/>
        <w:ind w:left="210" w:leftChars="100" w:right="210" w:rightChars="100" w:firstLine="420" w:firstLineChars="200"/>
        <w:rPr>
          <w:rFonts w:eastAsia="黑体"/>
          <w:color w:val="000000" w:themeColor="text1"/>
          <w:szCs w:val="21"/>
          <w14:textFill>
            <w14:solidFill>
              <w14:schemeClr w14:val="tx1"/>
            </w14:solidFill>
          </w14:textFill>
        </w:rPr>
      </w:pPr>
    </w:p>
    <w:p>
      <w:pPr>
        <w:snapToGrid w:val="0"/>
        <w:spacing w:before="312" w:beforeLines="100" w:after="312" w:afterLines="100"/>
        <w:ind w:left="210" w:leftChars="100" w:right="210" w:rightChars="100" w:firstLine="420" w:firstLineChars="200"/>
        <w:rPr>
          <w:rFonts w:eastAsia="黑体"/>
          <w:color w:val="000000" w:themeColor="text1"/>
          <w:szCs w:val="21"/>
          <w14:textFill>
            <w14:solidFill>
              <w14:schemeClr w14:val="tx1"/>
            </w14:solidFill>
          </w14:textFill>
        </w:rPr>
      </w:pPr>
    </w:p>
    <w:p>
      <w:pPr>
        <w:widowControl/>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br w:type="page"/>
      </w:r>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本授权书声明：注册于</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国家或地区的名称</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的</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公司名称</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的在下面签字（或签章）的</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法定代表人姓名、职务</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代表本公司授权</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单位名称</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的在下面签字的</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被授权人的姓名、职务</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为本公司的合法代理人，就</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项目名称、采购编号</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参与</w:t>
      </w:r>
      <w:r>
        <w:rPr>
          <w:rFonts w:ascii="宋体" w:hAnsi="宋体"/>
          <w:color w:val="000000" w:themeColor="text1"/>
          <w:szCs w:val="21"/>
          <w14:textFill>
            <w14:solidFill>
              <w14:schemeClr w14:val="tx1"/>
            </w14:solidFill>
          </w14:textFill>
        </w:rPr>
        <w:t>谈判</w:t>
      </w:r>
      <w:r>
        <w:rPr>
          <w:rFonts w:hint="eastAsia" w:ascii="宋体" w:hAnsi="宋体"/>
          <w:color w:val="000000" w:themeColor="text1"/>
          <w:szCs w:val="21"/>
          <w14:textFill>
            <w14:solidFill>
              <w14:schemeClr w14:val="tx1"/>
            </w14:solidFill>
          </w14:textFill>
        </w:rPr>
        <w:t>，以本公司名义处理一切与之有关的事务。</w:t>
      </w:r>
    </w:p>
    <w:p>
      <w:pPr>
        <w:snapToGrid w:val="0"/>
        <w:spacing w:before="312" w:beforeLines="100" w:after="312" w:afterLines="100"/>
        <w:ind w:left="210" w:leftChars="100" w:right="210" w:rightChars="100"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本授权书于</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年</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月</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日签字生效，特此声明。</w:t>
      </w:r>
    </w:p>
    <w:p>
      <w:pPr>
        <w:snapToGrid w:val="0"/>
        <w:spacing w:before="312" w:beforeLines="100" w:after="312" w:afterLines="100"/>
        <w:ind w:left="210" w:leftChars="100" w:right="210" w:rightChars="100"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附：委托代理人身份证复印件(需同时提供正面及背面)</w:t>
      </w:r>
    </w:p>
    <w:p>
      <w:pPr>
        <w:snapToGrid w:val="0"/>
        <w:spacing w:before="312" w:beforeLines="100" w:after="312" w:afterLines="100"/>
        <w:ind w:right="210" w:rightChars="100"/>
        <w:rPr>
          <w:rFonts w:ascii="宋体" w:hAnsi="宋体"/>
          <w:color w:val="000000" w:themeColor="text1"/>
          <w:szCs w:val="2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-694690</wp:posOffset>
                </wp:positionH>
                <wp:positionV relativeFrom="paragraph">
                  <wp:posOffset>269240</wp:posOffset>
                </wp:positionV>
                <wp:extent cx="3297555" cy="2113915"/>
                <wp:effectExtent l="0" t="0" r="17145" b="19685"/>
                <wp:wrapNone/>
                <wp:docPr id="7" name="AutoShape 4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法定代表人身份证正面复印件</w:t>
                            </w:r>
                          </w:p>
                        </w:txbxContent>
                      </wps:txbx>
                      <wps:bodyPr rot="0" vert="horz" wrap="square" lIns="91440" tIns="45720" rIns="91440" bIns="45720" anchor="t" anchorCtr="0" upright="1">
                        <a:noAutofit/>
                      </wps:bodyPr>
                    </wps:wsp>
                  </a:graphicData>
                </a:graphic>
              </wp:anchor>
            </w:drawing>
          </mc:Choice>
          <mc:Fallback>
            <w:pict>
              <v:shape id="AutoShape 40" o:spid="_x0000_s1026" o:spt="176" type="#_x0000_t176" style="position:absolute;left:0pt;margin-left:-54.7pt;margin-top:21.2pt;height:166.45pt;width:259.65pt;z-index:251661312;mso-width-relative:page;mso-height-relative:page;" fillcolor="#FFFFFF" filled="t" stroked="t" coordsize="21600,21600" o:gfxdata="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w83tK2gAAAAsBAAAPAAAAAAAAAAEAIAAAACIA&#10;AABkcnMvZG93bnJldi54bWxQSwECFAAUAAAACACHTuJAh5dx0kACAACiBAAADgAAAAAAAAABACAA&#10;AAApAQAAZHJzL2Uyb0RvYy54bWxQSwUGAAAAAAYABgBZAQAA2wUAAAAA&#10;">
                <v:fill on="t" focussize="0,0"/>
                <v:stroke color="#000000" miterlimit="8" joinstyle="miter"/>
                <v:imagedata o:title=""/>
                <o:lock v:ext="edit" aspectratio="f"/>
                <v:textbox>
                  <w:txbxContent>
                    <w:p>
                      <w:pPr>
                        <w:jc w:val="center"/>
                        <w:rPr>
                          <w:szCs w:val="21"/>
                        </w:rPr>
                      </w:pPr>
                      <w:r>
                        <w:rPr>
                          <w:rFonts w:hint="eastAsia"/>
                          <w:szCs w:val="21"/>
                        </w:rPr>
                        <w:t>法定代表人身份证正面复印件</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2677160</wp:posOffset>
                </wp:positionH>
                <wp:positionV relativeFrom="paragraph">
                  <wp:posOffset>276225</wp:posOffset>
                </wp:positionV>
                <wp:extent cx="3297555" cy="2113915"/>
                <wp:effectExtent l="0" t="0" r="17145" b="19685"/>
                <wp:wrapNone/>
                <wp:docPr id="8" name="AutoShape 4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法定代表人身份证背面复印件</w:t>
                            </w:r>
                          </w:p>
                        </w:txbxContent>
                      </wps:txbx>
                      <wps:bodyPr rot="0" vert="horz" wrap="square" lIns="91440" tIns="45720" rIns="91440" bIns="45720" anchor="t" anchorCtr="0" upright="1">
                        <a:noAutofit/>
                      </wps:bodyPr>
                    </wps:wsp>
                  </a:graphicData>
                </a:graphic>
              </wp:anchor>
            </w:drawing>
          </mc:Choice>
          <mc:Fallback>
            <w:pict>
              <v:shape id="AutoShape 40" o:spid="_x0000_s1026" o:spt="176" type="#_x0000_t176" style="position:absolute;left:0pt;margin-left:210.8pt;margin-top:21.75pt;height:166.45pt;width:259.65pt;z-index:251662336;mso-width-relative:page;mso-height-relative:page;" fillcolor="#FFFFFF" filled="t" stroked="t" coordsize="21600,21600" o:gfxdata="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oiI2BtkAAAAKAQAADwAAAAAAAAABACAAAAAiAAAA&#10;ZHJzL2Rvd25yZXYueG1sUEsBAhQAFAAAAAgAh07iQAPzLvU/AgAAogQAAA4AAAAAAAAAAQAgAAAA&#10;KAEAAGRycy9lMm9Eb2MueG1sUEsFBgAAAAAGAAYAWQEAANkFAAAAAA==&#10;">
                <v:fill on="t" focussize="0,0"/>
                <v:stroke color="#000000" miterlimit="8" joinstyle="miter"/>
                <v:imagedata o:title=""/>
                <o:lock v:ext="edit" aspectratio="f"/>
                <v:textbox>
                  <w:txbxContent>
                    <w:p>
                      <w:pPr>
                        <w:jc w:val="center"/>
                        <w:rPr>
                          <w:szCs w:val="21"/>
                        </w:rPr>
                      </w:pPr>
                      <w:r>
                        <w:rPr>
                          <w:rFonts w:hint="eastAsia"/>
                          <w:szCs w:val="21"/>
                        </w:rPr>
                        <w:t>法定代表人身份证背面复印件</w:t>
                      </w:r>
                    </w:p>
                  </w:txbxContent>
                </v:textbox>
              </v:shape>
            </w:pict>
          </mc:Fallback>
        </mc:AlternateContent>
      </w:r>
    </w:p>
    <w:p>
      <w:pPr>
        <w:snapToGrid w:val="0"/>
        <w:spacing w:before="312" w:beforeLines="100" w:after="312" w:afterLines="100"/>
        <w:ind w:left="210" w:leftChars="100" w:right="210" w:rightChars="100" w:firstLine="420" w:firstLineChars="200"/>
        <w:rPr>
          <w:color w:val="000000" w:themeColor="text1"/>
          <w:szCs w:val="21"/>
          <w14:textFill>
            <w14:solidFill>
              <w14:schemeClr w14:val="tx1"/>
            </w14:solidFill>
          </w14:textFill>
        </w:rPr>
      </w:pPr>
    </w:p>
    <w:p>
      <w:pPr>
        <w:snapToGrid w:val="0"/>
        <w:spacing w:before="312" w:beforeLines="100" w:after="312" w:afterLines="100"/>
        <w:ind w:left="210" w:leftChars="100" w:right="210" w:rightChars="100" w:firstLine="420" w:firstLineChars="200"/>
        <w:rPr>
          <w:rFonts w:ascii="宋体" w:hAnsi="宋体"/>
          <w:color w:val="000000" w:themeColor="text1"/>
          <w:szCs w:val="21"/>
          <w14:textFill>
            <w14:solidFill>
              <w14:schemeClr w14:val="tx1"/>
            </w14:solidFill>
          </w14:textFill>
        </w:rPr>
      </w:pPr>
    </w:p>
    <w:p>
      <w:pPr>
        <w:snapToGrid w:val="0"/>
        <w:spacing w:before="312" w:beforeLines="100" w:after="312" w:afterLines="100"/>
        <w:ind w:left="210" w:leftChars="100" w:right="210" w:rightChars="100" w:firstLine="420" w:firstLineChars="200"/>
        <w:rPr>
          <w:color w:val="000000" w:themeColor="text1"/>
          <w:szCs w:val="21"/>
          <w14:textFill>
            <w14:solidFill>
              <w14:schemeClr w14:val="tx1"/>
            </w14:solidFill>
          </w14:textFill>
        </w:rPr>
      </w:pPr>
    </w:p>
    <w:p>
      <w:pPr>
        <w:snapToGrid w:val="0"/>
        <w:spacing w:before="312" w:beforeLines="100" w:after="312" w:afterLines="100"/>
        <w:ind w:left="210" w:leftChars="100" w:right="210" w:rightChars="100" w:firstLine="420" w:firstLineChars="200"/>
        <w:rPr>
          <w:color w:val="000000" w:themeColor="text1"/>
          <w:szCs w:val="21"/>
          <w14:textFill>
            <w14:solidFill>
              <w14:schemeClr w14:val="tx1"/>
            </w14:solidFill>
          </w14:textFill>
        </w:rPr>
      </w:pPr>
    </w:p>
    <w:p>
      <w:pPr>
        <w:snapToGrid w:val="0"/>
        <w:spacing w:before="312" w:beforeLines="100" w:after="312" w:afterLines="100"/>
        <w:ind w:left="210" w:leftChars="100" w:right="210" w:rightChars="100" w:firstLine="420" w:firstLineChars="200"/>
        <w:rPr>
          <w:rFonts w:ascii="宋体" w:hAnsi="宋体"/>
          <w:color w:val="000000" w:themeColor="text1"/>
          <w:szCs w:val="21"/>
          <w14:textFill>
            <w14:solidFill>
              <w14:schemeClr w14:val="tx1"/>
            </w14:solidFill>
          </w14:textFill>
        </w:rPr>
      </w:pPr>
    </w:p>
    <w:p>
      <w:pPr>
        <w:snapToGrid w:val="0"/>
        <w:spacing w:before="312" w:beforeLines="100" w:after="312" w:afterLines="100"/>
        <w:ind w:left="210" w:leftChars="100" w:right="210" w:rightChars="100" w:firstLine="420" w:firstLineChars="200"/>
        <w:rPr>
          <w:color w:val="000000" w:themeColor="text1"/>
          <w:szCs w:val="21"/>
          <w14:textFill>
            <w14:solidFill>
              <w14:schemeClr w14:val="tx1"/>
            </w14:solidFill>
          </w14:textFill>
        </w:rPr>
      </w:pPr>
    </w:p>
    <w:p>
      <w:pPr>
        <w:snapToGrid w:val="0"/>
        <w:spacing w:before="312" w:beforeLines="100" w:after="312" w:afterLines="100"/>
        <w:ind w:left="210" w:leftChars="100" w:right="210" w:rightChars="100" w:firstLine="420" w:firstLineChars="200"/>
        <w:rPr>
          <w:rFonts w:ascii="宋体" w:hAnsi="宋体"/>
          <w:color w:val="000000" w:themeColor="text1"/>
          <w:szCs w:val="21"/>
          <w14:textFill>
            <w14:solidFill>
              <w14:schemeClr w14:val="tx1"/>
            </w14:solidFill>
          </w14:textFill>
        </w:rPr>
      </w:pPr>
    </w:p>
    <w:p>
      <w:pPr>
        <w:snapToGrid w:val="0"/>
        <w:spacing w:before="312" w:beforeLines="100" w:after="312" w:afterLines="100"/>
        <w:ind w:right="210" w:rightChars="100"/>
        <w:rPr>
          <w:rFonts w:ascii="宋体" w:hAnsi="宋体"/>
          <w:color w:val="000000" w:themeColor="text1"/>
          <w:szCs w:val="21"/>
          <w14:textFill>
            <w14:solidFill>
              <w14:schemeClr w14:val="tx1"/>
            </w14:solidFill>
          </w14:textFill>
        </w:rPr>
      </w:pPr>
    </w:p>
    <w:p>
      <w:pPr>
        <w:snapToGrid w:val="0"/>
        <w:spacing w:before="312" w:beforeLines="100" w:after="312" w:afterLines="100"/>
        <w:ind w:left="210" w:leftChars="100" w:right="210" w:rightChars="100" w:firstLine="420" w:firstLineChars="200"/>
        <w:rPr>
          <w:rFonts w:ascii="宋体" w:hAnsi="宋体"/>
          <w:color w:val="000000" w:themeColor="text1"/>
          <w:szCs w:val="21"/>
          <w14:textFill>
            <w14:solidFill>
              <w14:schemeClr w14:val="tx1"/>
            </w14:solidFill>
          </w14:textFill>
        </w:rPr>
      </w:pPr>
    </w:p>
    <w:p>
      <w:pPr>
        <w:spacing w:line="360" w:lineRule="auto"/>
        <w:rPr>
          <w:rFonts w:asci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供应商名称（盖章）：</w:t>
      </w:r>
    </w:p>
    <w:p>
      <w:pPr>
        <w:spacing w:line="360" w:lineRule="auto"/>
        <w:rPr>
          <w:rFonts w:asci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法定代表人签字（或签章）：</w:t>
      </w:r>
    </w:p>
    <w:p>
      <w:pPr>
        <w:snapToGrid w:val="0"/>
        <w:spacing w:before="312" w:beforeLines="100" w:after="312" w:afterLines="100"/>
        <w:ind w:right="210" w:rightChars="100"/>
        <w:rPr>
          <w:rStyle w:val="106"/>
          <w:color w:val="000000" w:themeColor="text1"/>
          <w:sz w:val="24"/>
          <w:szCs w:val="24"/>
          <w14:textFill>
            <w14:solidFill>
              <w14:schemeClr w14:val="tx1"/>
            </w14:solidFill>
          </w14:textFill>
        </w:rPr>
      </w:pPr>
      <w:r>
        <w:rPr>
          <w:rFonts w:hint="eastAsia" w:ascii="宋体" w:hAnsi="宋体"/>
          <w:color w:val="000000" w:themeColor="text1"/>
          <w:szCs w:val="21"/>
          <w14:textFill>
            <w14:solidFill>
              <w14:schemeClr w14:val="tx1"/>
            </w14:solidFill>
          </w14:textFill>
        </w:rPr>
        <w:t>被授权人签字：</w:t>
      </w:r>
      <w:r>
        <w:rPr>
          <w:color w:val="000000" w:themeColor="text1"/>
          <w:u w:val="single"/>
          <w14:textFill>
            <w14:solidFill>
              <w14:schemeClr w14:val="tx1"/>
            </w14:solidFill>
          </w14:textFill>
        </w:rPr>
        <w:br w:type="page"/>
      </w:r>
      <w:bookmarkStart w:id="85" w:name="_Toc69378667"/>
      <w:bookmarkStart w:id="86" w:name="_Toc26260037"/>
      <w:bookmarkStart w:id="87" w:name="_Toc26259743"/>
      <w:r>
        <w:rPr>
          <w:rStyle w:val="106"/>
          <w:rFonts w:hint="eastAsia" w:hAnsi="宋体"/>
          <w:b w:val="0"/>
          <w:bCs w:val="0"/>
          <w:color w:val="000000" w:themeColor="text1"/>
          <w:sz w:val="24"/>
          <w:szCs w:val="24"/>
          <w14:textFill>
            <w14:solidFill>
              <w14:schemeClr w14:val="tx1"/>
            </w14:solidFill>
          </w14:textFill>
        </w:rPr>
        <w:t>附件</w:t>
      </w:r>
      <w:r>
        <w:rPr>
          <w:rStyle w:val="106"/>
          <w:rFonts w:hAnsi="宋体"/>
          <w:b w:val="0"/>
          <w:bCs w:val="0"/>
          <w:color w:val="000000" w:themeColor="text1"/>
          <w:sz w:val="24"/>
          <w:szCs w:val="24"/>
          <w14:textFill>
            <w14:solidFill>
              <w14:schemeClr w14:val="tx1"/>
            </w14:solidFill>
          </w14:textFill>
        </w:rPr>
        <w:t>6</w:t>
      </w:r>
      <w:r>
        <w:rPr>
          <w:rStyle w:val="106"/>
          <w:rFonts w:hint="eastAsia" w:hAnsi="宋体"/>
          <w:b w:val="0"/>
          <w:bCs w:val="0"/>
          <w:color w:val="000000" w:themeColor="text1"/>
          <w:sz w:val="24"/>
          <w:szCs w:val="24"/>
          <w14:textFill>
            <w14:solidFill>
              <w14:schemeClr w14:val="tx1"/>
            </w14:solidFill>
          </w14:textFill>
        </w:rPr>
        <w:t>：技术规范偏离表</w:t>
      </w:r>
      <w:bookmarkEnd w:id="85"/>
      <w:bookmarkEnd w:id="86"/>
      <w:bookmarkEnd w:id="87"/>
    </w:p>
    <w:p>
      <w:pPr>
        <w:snapToGrid w:val="0"/>
        <w:spacing w:before="312" w:beforeLines="100" w:after="312" w:afterLines="100"/>
        <w:ind w:left="210" w:leftChars="100" w:right="210" w:rightChars="100" w:firstLine="420" w:firstLineChars="200"/>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供应商名称：采购编号：</w:t>
      </w:r>
    </w:p>
    <w:tbl>
      <w:tblPr>
        <w:tblStyle w:val="5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4"/>
        <w:gridCol w:w="2850"/>
        <w:gridCol w:w="2646"/>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536" w:type="pct"/>
            <w:vAlign w:val="center"/>
          </w:tcPr>
          <w:p>
            <w:pPr>
              <w:snapToGrid w:val="0"/>
              <w:spacing w:before="312" w:beforeLines="100" w:after="312" w:afterLines="100"/>
              <w:ind w:right="210" w:rightChars="1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1672" w:type="pct"/>
            <w:vAlign w:val="center"/>
          </w:tcPr>
          <w:p>
            <w:pPr>
              <w:snapToGrid w:val="0"/>
              <w:spacing w:before="312" w:beforeLines="100" w:after="312" w:afterLines="100"/>
              <w:ind w:right="210" w:rightChars="1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竞争性磋商文件</w:t>
            </w:r>
            <w:r>
              <w:rPr>
                <w:rFonts w:hint="eastAsia" w:ascii="宋体"/>
                <w:bCs/>
                <w:color w:val="000000" w:themeColor="text1"/>
                <w:szCs w:val="21"/>
                <w14:textFill>
                  <w14:solidFill>
                    <w14:schemeClr w14:val="tx1"/>
                  </w14:solidFill>
                </w14:textFill>
              </w:rPr>
              <w:t>技术需求</w:t>
            </w:r>
            <w:r>
              <w:rPr>
                <w:rFonts w:hint="eastAsia" w:ascii="宋体" w:hAnsi="宋体"/>
                <w:color w:val="000000" w:themeColor="text1"/>
                <w:szCs w:val="21"/>
                <w14:textFill>
                  <w14:solidFill>
                    <w14:schemeClr w14:val="tx1"/>
                  </w14:solidFill>
                </w14:textFill>
              </w:rPr>
              <w:t>书要求</w:t>
            </w:r>
          </w:p>
        </w:tc>
        <w:tc>
          <w:tcPr>
            <w:tcW w:w="1552" w:type="pct"/>
            <w:vAlign w:val="center"/>
          </w:tcPr>
          <w:p>
            <w:pPr>
              <w:snapToGrid w:val="0"/>
              <w:spacing w:before="312" w:beforeLines="100" w:after="312" w:afterLines="100"/>
              <w:ind w:right="210" w:rightChars="1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响应文件技术指标情况</w:t>
            </w:r>
          </w:p>
        </w:tc>
        <w:tc>
          <w:tcPr>
            <w:tcW w:w="1238" w:type="pct"/>
            <w:vAlign w:val="center"/>
          </w:tcPr>
          <w:p>
            <w:pPr>
              <w:snapToGrid w:val="0"/>
              <w:spacing w:before="312" w:beforeLines="100" w:after="312" w:afterLines="100"/>
              <w:ind w:right="210" w:rightChars="1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r>
    </w:tbl>
    <w:p>
      <w:pPr>
        <w:snapToGrid w:val="0"/>
        <w:spacing w:before="312" w:beforeLines="100" w:after="312" w:afterLines="100"/>
        <w:ind w:left="210" w:leftChars="100" w:right="210" w:rightChars="100" w:firstLine="420" w:firstLineChars="200"/>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供应商名称（公章）：</w:t>
      </w:r>
    </w:p>
    <w:p>
      <w:pPr>
        <w:snapToGrid w:val="0"/>
        <w:spacing w:before="312" w:beforeLines="100" w:after="312" w:afterLines="100"/>
        <w:ind w:left="210" w:leftChars="100" w:right="210" w:rightChars="100" w:firstLine="420" w:firstLineChars="200"/>
        <w:rPr>
          <w:rFonts w:ascii="宋体" w:hAnsi="宋体"/>
          <w: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供应商代表签字</w:t>
      </w:r>
      <w:r>
        <w:rPr>
          <w:rFonts w:hint="eastAsia" w:ascii="宋体" w:hAnsi="宋体"/>
          <w:color w:val="000000" w:themeColor="text1"/>
          <w:szCs w:val="21"/>
          <w:u w:val="single"/>
          <w14:textFill>
            <w14:solidFill>
              <w14:schemeClr w14:val="tx1"/>
            </w14:solidFill>
          </w14:textFill>
        </w:rPr>
        <w:t>：</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本表应依据供应商实际情况逐项逐条填写。</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对于某项指标的数据存在证明文件内容不一致的情况，取指标较低的为准，对于可以用量化形式表示的条款，供应商必须明确回答，或以功能描述回答。说明中有“详见”、“参见”的，应指明参见响应文件中的具体的章节或页码。</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作为响应文件重要的组成部分，任何通过简单拷贝竞争性磋商文件技术要求或简单标注“符合”“满足”或使用“明白”、“理解”、“部分满足”等含混词语的响应文件将被视为实质性不符合。</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偏离包括正、负偏离，正偏离指供应商的响应高于竞争性磋商文件要求，负偏离指供应商的响应低于竞争性磋商文件要求。</w:t>
      </w:r>
    </w:p>
    <w:p>
      <w:pPr>
        <w:pStyle w:val="4"/>
        <w:numPr>
          <w:ilvl w:val="0"/>
          <w:numId w:val="0"/>
        </w:numPr>
        <w:snapToGrid w:val="0"/>
        <w:spacing w:before="312" w:beforeLines="100" w:after="312" w:afterLines="100"/>
        <w:ind w:right="210" w:rightChars="100"/>
        <w:rPr>
          <w:rStyle w:val="106"/>
          <w:b w:val="0"/>
          <w:bCs w:val="0"/>
          <w:color w:val="000000" w:themeColor="text1"/>
          <w:sz w:val="24"/>
          <w:szCs w:val="24"/>
          <w14:textFill>
            <w14:solidFill>
              <w14:schemeClr w14:val="tx1"/>
            </w14:solidFill>
          </w14:textFill>
        </w:rPr>
      </w:pPr>
      <w:r>
        <w:rPr>
          <w:color w:val="000000" w:themeColor="text1"/>
          <w:szCs w:val="24"/>
          <w14:textFill>
            <w14:solidFill>
              <w14:schemeClr w14:val="tx1"/>
            </w14:solidFill>
          </w14:textFill>
        </w:rPr>
        <w:br w:type="page"/>
      </w:r>
      <w:bookmarkStart w:id="88" w:name="_Toc161767433"/>
      <w:bookmarkStart w:id="89" w:name="_Toc135999012"/>
      <w:bookmarkStart w:id="90" w:name="_Toc26260038"/>
      <w:bookmarkStart w:id="91" w:name="_Toc26259744"/>
      <w:bookmarkStart w:id="92" w:name="_Toc69378668"/>
      <w:r>
        <w:rPr>
          <w:rStyle w:val="106"/>
          <w:rFonts w:hint="eastAsia" w:hAnsi="宋体"/>
          <w:b w:val="0"/>
          <w:bCs w:val="0"/>
          <w:color w:val="000000" w:themeColor="text1"/>
          <w:sz w:val="24"/>
          <w:szCs w:val="24"/>
          <w14:textFill>
            <w14:solidFill>
              <w14:schemeClr w14:val="tx1"/>
            </w14:solidFill>
          </w14:textFill>
        </w:rPr>
        <w:t>附件</w:t>
      </w:r>
      <w:r>
        <w:rPr>
          <w:rStyle w:val="106"/>
          <w:rFonts w:hAnsi="宋体"/>
          <w:b w:val="0"/>
          <w:bCs w:val="0"/>
          <w:color w:val="000000" w:themeColor="text1"/>
          <w:sz w:val="24"/>
          <w:szCs w:val="24"/>
          <w14:textFill>
            <w14:solidFill>
              <w14:schemeClr w14:val="tx1"/>
            </w14:solidFill>
          </w14:textFill>
        </w:rPr>
        <w:t>7</w:t>
      </w:r>
      <w:r>
        <w:rPr>
          <w:rStyle w:val="106"/>
          <w:rFonts w:hint="eastAsia" w:hAnsi="宋体"/>
          <w:b w:val="0"/>
          <w:bCs w:val="0"/>
          <w:color w:val="000000" w:themeColor="text1"/>
          <w:sz w:val="24"/>
          <w:szCs w:val="24"/>
          <w14:textFill>
            <w14:solidFill>
              <w14:schemeClr w14:val="tx1"/>
            </w14:solidFill>
          </w14:textFill>
        </w:rPr>
        <w:t>：资格证明文件</w:t>
      </w:r>
      <w:bookmarkEnd w:id="88"/>
      <w:bookmarkEnd w:id="89"/>
      <w:bookmarkEnd w:id="90"/>
      <w:bookmarkEnd w:id="91"/>
      <w:bookmarkEnd w:id="92"/>
    </w:p>
    <w:p>
      <w:pPr>
        <w:snapToGrid w:val="0"/>
        <w:spacing w:before="312" w:beforeLines="100" w:after="312" w:afterLines="100"/>
        <w:ind w:left="210" w:leftChars="100" w:right="210" w:rightChars="100" w:firstLine="420" w:firstLineChars="200"/>
        <w:rPr>
          <w:rFonts w:ascii="宋体"/>
          <w:color w:val="000000" w:themeColor="text1"/>
          <w14:textFill>
            <w14:solidFill>
              <w14:schemeClr w14:val="tx1"/>
            </w14:solidFill>
          </w14:textFill>
        </w:rPr>
      </w:pP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填写须知</w:t>
      </w:r>
    </w:p>
    <w:p>
      <w:pPr>
        <w:numPr>
          <w:ilvl w:val="0"/>
          <w:numId w:val="28"/>
        </w:numPr>
        <w:spacing w:line="360" w:lineRule="auto"/>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供应商应填写和提交下述规定的全部格式以及其它有关资料。</w:t>
      </w:r>
    </w:p>
    <w:p>
      <w:pPr>
        <w:numPr>
          <w:ilvl w:val="0"/>
          <w:numId w:val="28"/>
        </w:numPr>
        <w:spacing w:line="360" w:lineRule="auto"/>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所附格式中要求填写的全部问题和</w:t>
      </w:r>
      <w:r>
        <w:rPr>
          <w:rFonts w:ascii="宋体"/>
          <w:color w:val="000000" w:themeColor="text1"/>
          <w:szCs w:val="21"/>
          <w14:textFill>
            <w14:solidFill>
              <w14:schemeClr w14:val="tx1"/>
            </w14:solidFill>
          </w14:textFill>
        </w:rPr>
        <w:t>/</w:t>
      </w:r>
      <w:r>
        <w:rPr>
          <w:rFonts w:hint="eastAsia" w:ascii="宋体"/>
          <w:color w:val="000000" w:themeColor="text1"/>
          <w:szCs w:val="21"/>
          <w14:textFill>
            <w14:solidFill>
              <w14:schemeClr w14:val="tx1"/>
            </w14:solidFill>
          </w14:textFill>
        </w:rPr>
        <w:t>或信息都必须填写。</w:t>
      </w:r>
    </w:p>
    <w:p>
      <w:pPr>
        <w:numPr>
          <w:ilvl w:val="0"/>
          <w:numId w:val="28"/>
        </w:numPr>
        <w:spacing w:line="360" w:lineRule="auto"/>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本资格声明的签字人应保证全部声明和填写的内容是真实的和正确的。</w:t>
      </w:r>
    </w:p>
    <w:p>
      <w:pPr>
        <w:numPr>
          <w:ilvl w:val="0"/>
          <w:numId w:val="28"/>
        </w:numPr>
        <w:spacing w:line="360" w:lineRule="auto"/>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采购人将应用供应商提交的资料根据自己的判断和考虑决定供应商履行合同的合格性及能力。</w:t>
      </w:r>
    </w:p>
    <w:p>
      <w:pPr>
        <w:numPr>
          <w:ilvl w:val="0"/>
          <w:numId w:val="28"/>
        </w:numPr>
        <w:spacing w:line="360" w:lineRule="auto"/>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供应商提交的材料将被保密，但不退还。</w:t>
      </w:r>
    </w:p>
    <w:p>
      <w:pPr>
        <w:numPr>
          <w:ilvl w:val="0"/>
          <w:numId w:val="28"/>
        </w:numPr>
        <w:spacing w:line="360" w:lineRule="auto"/>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全部文件应按规定的语言和份数提交。</w:t>
      </w:r>
    </w:p>
    <w:p>
      <w:pPr>
        <w:snapToGrid w:val="0"/>
        <w:spacing w:before="312" w:beforeLines="100" w:after="312" w:afterLines="100"/>
        <w:ind w:left="210" w:leftChars="100" w:right="210" w:rightChars="100" w:firstLine="420" w:firstLineChars="200"/>
        <w:rPr>
          <w:rFonts w:ascii="宋体"/>
          <w:color w:val="000000" w:themeColor="text1"/>
          <w14:textFill>
            <w14:solidFill>
              <w14:schemeClr w14:val="tx1"/>
            </w14:solidFill>
          </w14:textFill>
        </w:rPr>
      </w:pPr>
    </w:p>
    <w:p>
      <w:pPr>
        <w:snapToGrid w:val="0"/>
        <w:spacing w:before="312" w:beforeLines="100" w:after="312" w:afterLines="100"/>
        <w:ind w:left="210" w:leftChars="100" w:right="210" w:rightChars="100" w:firstLine="420" w:firstLineChars="200"/>
        <w:rPr>
          <w:rFonts w:ascii="黑体" w:eastAsia="黑体"/>
          <w:b/>
          <w:color w:val="000000" w:themeColor="text1"/>
          <w14:textFill>
            <w14:solidFill>
              <w14:schemeClr w14:val="tx1"/>
            </w14:solidFill>
          </w14:textFill>
        </w:rPr>
      </w:pPr>
      <w:r>
        <w:rPr>
          <w:rFonts w:ascii="宋体"/>
          <w:color w:val="000000" w:themeColor="text1"/>
          <w14:textFill>
            <w14:solidFill>
              <w14:schemeClr w14:val="tx1"/>
            </w14:solidFill>
          </w14:textFill>
        </w:rPr>
        <w:br w:type="page"/>
      </w:r>
      <w:r>
        <w:rPr>
          <w:rFonts w:ascii="黑体" w:eastAsia="黑体"/>
          <w:b/>
          <w:color w:val="000000" w:themeColor="text1"/>
          <w14:textFill>
            <w14:solidFill>
              <w14:schemeClr w14:val="tx1"/>
            </w14:solidFill>
          </w14:textFill>
        </w:rPr>
        <w:t xml:space="preserve">7-1  </w:t>
      </w:r>
      <w:r>
        <w:rPr>
          <w:rFonts w:hint="eastAsia" w:ascii="黑体" w:eastAsia="黑体"/>
          <w:b/>
          <w:color w:val="000000" w:themeColor="text1"/>
          <w14:textFill>
            <w14:solidFill>
              <w14:schemeClr w14:val="tx1"/>
            </w14:solidFill>
          </w14:textFill>
        </w:rPr>
        <w:t>资格声明</w:t>
      </w:r>
    </w:p>
    <w:p>
      <w:pPr>
        <w:snapToGrid w:val="0"/>
        <w:spacing w:before="312" w:beforeLines="100" w:after="312" w:afterLines="100"/>
        <w:ind w:right="210" w:right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致：江苏省广电有线信息网络股份有限公司：</w:t>
      </w:r>
    </w:p>
    <w:p>
      <w:pPr>
        <w:snapToGrid w:val="0"/>
        <w:spacing w:before="312" w:beforeLines="100" w:after="312" w:afterLines="100"/>
        <w:ind w:left="210" w:leftChars="100" w:right="210" w:rightChars="100" w:firstLine="422" w:firstLineChars="20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资格声明</w:t>
      </w:r>
    </w:p>
    <w:p>
      <w:pPr>
        <w:snapToGrid w:val="0"/>
        <w:spacing w:before="312" w:beforeLines="100" w:after="312" w:afterLines="100"/>
        <w:ind w:right="210" w:rightChars="100"/>
        <w:jc w:val="left"/>
        <w:rPr>
          <w:rFonts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尊敬的女士</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先生：</w:t>
      </w:r>
    </w:p>
    <w:p>
      <w:pPr>
        <w:spacing w:line="360" w:lineRule="auto"/>
        <w:ind w:firstLine="63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为响应你方</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年</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月</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日的</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采购编号</w:t>
      </w:r>
      <w:r>
        <w:rPr>
          <w:rFonts w:ascii="宋体" w:hAnsi="宋体"/>
          <w:color w:val="000000" w:themeColor="text1"/>
          <w:szCs w:val="21"/>
          <w:u w:val="single"/>
          <w14:textFill>
            <w14:solidFill>
              <w14:schemeClr w14:val="tx1"/>
            </w14:solidFill>
          </w14:textFill>
        </w:rPr>
        <w:t>]</w:t>
      </w:r>
      <w:r>
        <w:rPr>
          <w:rFonts w:ascii="宋体" w:hAnsi="宋体"/>
          <w:color w:val="000000" w:themeColor="text1"/>
          <w:szCs w:val="21"/>
          <w14:textFill>
            <w14:solidFill>
              <w14:schemeClr w14:val="tx1"/>
            </w14:solidFill>
          </w14:textFill>
        </w:rPr>
        <w:t>采购公告</w:t>
      </w:r>
      <w:r>
        <w:rPr>
          <w:rFonts w:hint="eastAsia" w:ascii="宋体" w:hAnsi="宋体"/>
          <w:color w:val="000000" w:themeColor="text1"/>
          <w:szCs w:val="21"/>
          <w14:textFill>
            <w14:solidFill>
              <w14:schemeClr w14:val="tx1"/>
            </w14:solidFill>
          </w14:textFill>
        </w:rPr>
        <w:t>，下述签字人自愿参与磋商，提供竞争性磋商文件技术需求书中规定的</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服务名称</w:t>
      </w:r>
      <w:r>
        <w:rPr>
          <w:rFonts w:ascii="宋体" w:hAnsi="宋体"/>
          <w:color w:val="000000" w:themeColor="text1"/>
          <w:szCs w:val="21"/>
          <w:u w:val="single"/>
          <w14:textFill>
            <w14:solidFill>
              <w14:schemeClr w14:val="tx1"/>
            </w14:solidFill>
          </w14:textFill>
        </w:rPr>
        <w:t>]</w:t>
      </w:r>
      <w:r>
        <w:rPr>
          <w:rFonts w:hint="eastAsia" w:ascii="宋体" w:hAnsi="宋体"/>
          <w:color w:val="000000" w:themeColor="text1"/>
          <w:szCs w:val="21"/>
          <w14:textFill>
            <w14:solidFill>
              <w14:schemeClr w14:val="tx1"/>
            </w14:solidFill>
          </w14:textFill>
        </w:rPr>
        <w:t>，提交下述文件并声明全部说明是真实的和正确的。下述签字人将就下述文件中存在的虚假或不真实内容对代理机构和采购人承担法律责任。</w:t>
      </w:r>
    </w:p>
    <w:p>
      <w:pPr>
        <w:numPr>
          <w:ilvl w:val="0"/>
          <w:numId w:val="29"/>
        </w:numPr>
        <w:spacing w:line="360" w:lineRule="auto"/>
        <w:ind w:left="420" w:hanging="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我方的资格声明，各有</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份正本，</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份副本。</w:t>
      </w:r>
    </w:p>
    <w:p>
      <w:pPr>
        <w:numPr>
          <w:ilvl w:val="0"/>
          <w:numId w:val="29"/>
        </w:numPr>
        <w:spacing w:line="360" w:lineRule="auto"/>
        <w:ind w:left="420" w:hanging="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下述签字人证明本资格文件中的内容是真实的和正确的。</w:t>
      </w:r>
    </w:p>
    <w:p>
      <w:pPr>
        <w:numPr>
          <w:ilvl w:val="0"/>
          <w:numId w:val="29"/>
        </w:numPr>
        <w:spacing w:line="360" w:lineRule="auto"/>
        <w:ind w:left="420" w:hanging="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下述签字人知道，采购人可能要求其提供进一步的资格材料并同意按采购人的要求提交。</w:t>
      </w:r>
    </w:p>
    <w:p>
      <w:pPr>
        <w:spacing w:line="360" w:lineRule="auto"/>
        <w:rPr>
          <w:rFonts w:ascii="宋体" w:hAnsi="宋体"/>
          <w:b/>
          <w:color w:val="000000" w:themeColor="text1"/>
          <w:szCs w:val="21"/>
          <w14:textFill>
            <w14:solidFill>
              <w14:schemeClr w14:val="tx1"/>
            </w14:solidFill>
          </w14:textFill>
        </w:rPr>
      </w:pPr>
    </w:p>
    <w:p>
      <w:pPr>
        <w:spacing w:line="360" w:lineRule="auto"/>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供应商</w:t>
      </w:r>
      <w:r>
        <w:rPr>
          <w:rFonts w:hint="eastAsia" w:ascii="宋体" w:hAnsi="宋体"/>
          <w:color w:val="000000" w:themeColor="text1"/>
          <w:szCs w:val="21"/>
          <w14:textFill>
            <w14:solidFill>
              <w14:schemeClr w14:val="tx1"/>
            </w14:solidFill>
          </w14:textFill>
        </w:rPr>
        <w:t>授权签署本资格文件</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名称（盖章）签字人姓名、职务（印刷字体）</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地址：</w:t>
      </w:r>
    </w:p>
    <w:p>
      <w:pPr>
        <w:spacing w:line="360" w:lineRule="auto"/>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传真签字：</w:t>
      </w:r>
    </w:p>
    <w:p>
      <w:pPr>
        <w:spacing w:line="360" w:lineRule="auto"/>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邮编电话：</w:t>
      </w:r>
    </w:p>
    <w:p>
      <w:pPr>
        <w:snapToGrid w:val="0"/>
        <w:spacing w:before="312" w:beforeLines="100" w:after="312" w:afterLines="100"/>
        <w:ind w:left="210" w:leftChars="100" w:right="210" w:rightChars="100" w:firstLine="420" w:firstLineChars="200"/>
        <w:rPr>
          <w:rFonts w:ascii="宋体"/>
          <w:color w:val="000000" w:themeColor="text1"/>
          <w:u w:val="single"/>
          <w14:textFill>
            <w14:solidFill>
              <w14:schemeClr w14:val="tx1"/>
            </w14:solidFill>
          </w14:textFill>
        </w:rPr>
      </w:pPr>
    </w:p>
    <w:p>
      <w:pPr>
        <w:snapToGrid w:val="0"/>
        <w:spacing w:before="312" w:beforeLines="100" w:after="312" w:afterLines="100"/>
        <w:ind w:left="210" w:leftChars="100" w:right="210" w:rightChars="100" w:firstLine="420" w:firstLineChars="200"/>
        <w:rPr>
          <w:rFonts w:ascii="黑体" w:eastAsia="黑体"/>
          <w:b/>
          <w:color w:val="000000" w:themeColor="text1"/>
          <w14:textFill>
            <w14:solidFill>
              <w14:schemeClr w14:val="tx1"/>
            </w14:solidFill>
          </w14:textFill>
        </w:rPr>
      </w:pPr>
      <w:r>
        <w:rPr>
          <w:rFonts w:ascii="宋体"/>
          <w:color w:val="000000" w:themeColor="text1"/>
          <w:u w:val="single"/>
          <w14:textFill>
            <w14:solidFill>
              <w14:schemeClr w14:val="tx1"/>
            </w14:solidFill>
          </w14:textFill>
        </w:rPr>
        <w:br w:type="page"/>
      </w:r>
      <w:r>
        <w:rPr>
          <w:rFonts w:ascii="黑体" w:eastAsia="黑体"/>
          <w:b/>
          <w:color w:val="000000" w:themeColor="text1"/>
          <w14:textFill>
            <w14:solidFill>
              <w14:schemeClr w14:val="tx1"/>
            </w14:solidFill>
          </w14:textFill>
        </w:rPr>
        <w:t xml:space="preserve">7-2  </w:t>
      </w:r>
      <w:r>
        <w:rPr>
          <w:rFonts w:hint="eastAsia" w:ascii="黑体" w:eastAsia="黑体"/>
          <w:b/>
          <w:color w:val="000000" w:themeColor="text1"/>
          <w14:textFill>
            <w14:solidFill>
              <w14:schemeClr w14:val="tx1"/>
            </w14:solidFill>
          </w14:textFill>
        </w:rPr>
        <w:t>供应商的资格声明</w:t>
      </w:r>
    </w:p>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、名称及概况：</w:t>
      </w:r>
    </w:p>
    <w:p>
      <w:pPr>
        <w:numPr>
          <w:ilvl w:val="0"/>
          <w:numId w:val="30"/>
        </w:numPr>
        <w:spacing w:line="360" w:lineRule="auto"/>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供应商名称：</w:t>
      </w:r>
    </w:p>
    <w:p>
      <w:pPr>
        <w:numPr>
          <w:ilvl w:val="0"/>
          <w:numId w:val="30"/>
        </w:num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总部地址：</w:t>
      </w:r>
    </w:p>
    <w:p>
      <w:pPr>
        <w:spacing w:line="360" w:lineRule="auto"/>
        <w:ind w:left="425"/>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电传</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传真</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电话号码：</w:t>
      </w:r>
    </w:p>
    <w:p>
      <w:pPr>
        <w:numPr>
          <w:ilvl w:val="0"/>
          <w:numId w:val="30"/>
        </w:numPr>
        <w:spacing w:line="360" w:lineRule="auto"/>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成立和</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或注册日期：</w:t>
      </w:r>
    </w:p>
    <w:p>
      <w:pPr>
        <w:numPr>
          <w:ilvl w:val="0"/>
          <w:numId w:val="30"/>
        </w:num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实收资本：</w:t>
      </w:r>
    </w:p>
    <w:p>
      <w:pPr>
        <w:numPr>
          <w:ilvl w:val="0"/>
          <w:numId w:val="30"/>
        </w:num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近期资产负债表（到年月日止）</w:t>
      </w:r>
    </w:p>
    <w:p>
      <w:pPr>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）固定资产：</w:t>
      </w:r>
    </w:p>
    <w:p>
      <w:pPr>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）流动资产：</w:t>
      </w:r>
    </w:p>
    <w:p>
      <w:pPr>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）长期负债：</w:t>
      </w:r>
    </w:p>
    <w:p>
      <w:pPr>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）流动负债：</w:t>
      </w:r>
    </w:p>
    <w:p>
      <w:pPr>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）净值：</w:t>
      </w:r>
    </w:p>
    <w:p>
      <w:pPr>
        <w:numPr>
          <w:ilvl w:val="0"/>
          <w:numId w:val="30"/>
        </w:numPr>
        <w:spacing w:line="360" w:lineRule="auto"/>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主要负责人名称：（可选填）</w:t>
      </w:r>
    </w:p>
    <w:p>
      <w:pPr>
        <w:numPr>
          <w:ilvl w:val="0"/>
          <w:numId w:val="30"/>
        </w:num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供应商在中国的代表的姓名和地址：（可选填）</w:t>
      </w:r>
    </w:p>
    <w:p>
      <w:pPr>
        <w:numPr>
          <w:ilvl w:val="0"/>
          <w:numId w:val="30"/>
        </w:num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供应商简介（包括但不限于业务范围、注册资金、所有权状况、组织机构及职能、人员构成、公司的场地环境和软硬件设施等）：</w:t>
      </w:r>
    </w:p>
    <w:p>
      <w:pPr>
        <w:numPr>
          <w:ilvl w:val="0"/>
          <w:numId w:val="30"/>
        </w:num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w:t>
      </w:r>
      <w:r>
        <w:rPr>
          <w:rFonts w:hint="eastAsia" w:ascii="宋体" w:hAnsi="宋体" w:cs="MS Gothic"/>
          <w:color w:val="000000" w:themeColor="text1"/>
          <w:szCs w:val="21"/>
          <w14:textFill>
            <w14:solidFill>
              <w14:schemeClr w14:val="tx1"/>
            </w14:solidFill>
          </w14:textFill>
        </w:rPr>
        <w:t>在中国大</w:t>
      </w:r>
      <w:r>
        <w:rPr>
          <w:rFonts w:hint="eastAsia" w:ascii="宋体" w:hAnsi="宋体" w:cs="宋体"/>
          <w:color w:val="000000" w:themeColor="text1"/>
          <w:szCs w:val="21"/>
          <w14:textFill>
            <w14:solidFill>
              <w14:schemeClr w14:val="tx1"/>
            </w14:solidFill>
          </w14:textFill>
        </w:rPr>
        <w:t>陆</w:t>
      </w:r>
      <w:r>
        <w:rPr>
          <w:rFonts w:hint="eastAsia" w:ascii="宋体" w:hAnsi="宋体" w:cs="MS Gothic"/>
          <w:color w:val="000000" w:themeColor="text1"/>
          <w:szCs w:val="21"/>
          <w14:textFill>
            <w14:solidFill>
              <w14:schemeClr w14:val="tx1"/>
            </w14:solidFill>
          </w14:textFill>
        </w:rPr>
        <w:t>的分公司及</w:t>
      </w:r>
      <w:r>
        <w:rPr>
          <w:rFonts w:hint="eastAsia" w:ascii="宋体" w:hAnsi="宋体" w:cs="宋体"/>
          <w:color w:val="000000" w:themeColor="text1"/>
          <w:szCs w:val="21"/>
          <w14:textFill>
            <w14:solidFill>
              <w14:schemeClr w14:val="tx1"/>
            </w14:solidFill>
          </w14:textFill>
        </w:rPr>
        <w:t>办</w:t>
      </w:r>
      <w:r>
        <w:rPr>
          <w:rFonts w:hint="eastAsia" w:ascii="宋体" w:hAnsi="宋体" w:cs="MS Gothic"/>
          <w:color w:val="000000" w:themeColor="text1"/>
          <w:szCs w:val="21"/>
          <w14:textFill>
            <w14:solidFill>
              <w14:schemeClr w14:val="tx1"/>
            </w14:solidFill>
          </w14:textFill>
        </w:rPr>
        <w:t>事</w:t>
      </w:r>
      <w:r>
        <w:rPr>
          <w:rFonts w:hint="eastAsia" w:ascii="宋体" w:hAnsi="宋体" w:cs="宋体"/>
          <w:color w:val="000000" w:themeColor="text1"/>
          <w:szCs w:val="21"/>
          <w14:textFill>
            <w14:solidFill>
              <w14:schemeClr w14:val="tx1"/>
            </w14:solidFill>
          </w14:textFill>
        </w:rPr>
        <w:t>处</w:t>
      </w:r>
      <w:r>
        <w:rPr>
          <w:rFonts w:hint="eastAsia" w:ascii="宋体" w:hAnsi="宋体" w:cs="MS Gothic"/>
          <w:color w:val="000000" w:themeColor="text1"/>
          <w:szCs w:val="21"/>
          <w14:textFill>
            <w14:solidFill>
              <w14:schemeClr w14:val="tx1"/>
            </w14:solidFill>
          </w14:textFill>
        </w:rPr>
        <w:t>信息</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1088"/>
        <w:gridCol w:w="3978"/>
        <w:gridCol w:w="1155"/>
        <w:gridCol w:w="1072"/>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3" w:type="dxa"/>
          </w:tcPr>
          <w:p>
            <w:pPr>
              <w:tabs>
                <w:tab w:val="left" w:pos="930"/>
                <w:tab w:val="left" w:pos="8364"/>
              </w:tabs>
              <w:ind w:right="-58"/>
              <w:jc w:val="center"/>
              <w:rPr>
                <w:rFonts w:ascii="宋体" w:hAnsi="宋体"/>
                <w:color w:val="000000" w:themeColor="text1"/>
                <w:spacing w:val="20"/>
                <w:szCs w:val="21"/>
                <w14:textFill>
                  <w14:solidFill>
                    <w14:schemeClr w14:val="tx1"/>
                  </w14:solidFill>
                </w14:textFill>
              </w:rPr>
            </w:pPr>
            <w:r>
              <w:rPr>
                <w:rFonts w:hint="eastAsia" w:ascii="宋体" w:hAnsi="宋体"/>
                <w:color w:val="000000" w:themeColor="text1"/>
                <w:spacing w:val="20"/>
                <w:szCs w:val="21"/>
                <w14:textFill>
                  <w14:solidFill>
                    <w14:schemeClr w14:val="tx1"/>
                  </w14:solidFill>
                </w14:textFill>
              </w:rPr>
              <w:t>序号</w:t>
            </w:r>
          </w:p>
        </w:tc>
        <w:tc>
          <w:tcPr>
            <w:tcW w:w="1088" w:type="dxa"/>
          </w:tcPr>
          <w:p>
            <w:pPr>
              <w:tabs>
                <w:tab w:val="left" w:pos="930"/>
                <w:tab w:val="left" w:pos="8364"/>
              </w:tabs>
              <w:ind w:right="-58"/>
              <w:rPr>
                <w:rFonts w:ascii="宋体" w:hAnsi="宋体"/>
                <w:color w:val="000000" w:themeColor="text1"/>
                <w:spacing w:val="20"/>
                <w:szCs w:val="21"/>
                <w14:textFill>
                  <w14:solidFill>
                    <w14:schemeClr w14:val="tx1"/>
                  </w14:solidFill>
                </w14:textFill>
              </w:rPr>
            </w:pPr>
            <w:r>
              <w:rPr>
                <w:rFonts w:hint="eastAsia" w:ascii="宋体" w:hAnsi="宋体"/>
                <w:color w:val="000000" w:themeColor="text1"/>
                <w:spacing w:val="20"/>
                <w:szCs w:val="21"/>
                <w14:textFill>
                  <w14:solidFill>
                    <w14:schemeClr w14:val="tx1"/>
                  </w14:solidFill>
                </w14:textFill>
              </w:rPr>
              <w:t>地区</w:t>
            </w:r>
          </w:p>
        </w:tc>
        <w:tc>
          <w:tcPr>
            <w:tcW w:w="3978" w:type="dxa"/>
          </w:tcPr>
          <w:p>
            <w:pPr>
              <w:tabs>
                <w:tab w:val="left" w:pos="930"/>
                <w:tab w:val="left" w:pos="8364"/>
              </w:tabs>
              <w:ind w:right="-58"/>
              <w:rPr>
                <w:rFonts w:ascii="宋体" w:hAnsi="宋体"/>
                <w:color w:val="000000" w:themeColor="text1"/>
                <w:spacing w:val="20"/>
                <w:szCs w:val="21"/>
                <w14:textFill>
                  <w14:solidFill>
                    <w14:schemeClr w14:val="tx1"/>
                  </w14:solidFill>
                </w14:textFill>
              </w:rPr>
            </w:pPr>
            <w:r>
              <w:rPr>
                <w:rFonts w:hint="eastAsia" w:ascii="宋体" w:hAnsi="宋体"/>
                <w:color w:val="000000" w:themeColor="text1"/>
                <w:spacing w:val="20"/>
                <w:szCs w:val="21"/>
                <w14:textFill>
                  <w14:solidFill>
                    <w14:schemeClr w14:val="tx1"/>
                  </w14:solidFill>
                </w14:textFill>
              </w:rPr>
              <w:t>分公司</w:t>
            </w:r>
            <w:r>
              <w:rPr>
                <w:rFonts w:ascii="宋体" w:hAnsi="宋体"/>
                <w:color w:val="000000" w:themeColor="text1"/>
                <w:spacing w:val="20"/>
                <w:szCs w:val="21"/>
                <w14:textFill>
                  <w14:solidFill>
                    <w14:schemeClr w14:val="tx1"/>
                  </w14:solidFill>
                </w14:textFill>
              </w:rPr>
              <w:t>/</w:t>
            </w:r>
            <w:r>
              <w:rPr>
                <w:rFonts w:hint="eastAsia" w:ascii="宋体" w:hAnsi="宋体" w:cs="宋体"/>
                <w:color w:val="000000" w:themeColor="text1"/>
                <w:spacing w:val="20"/>
                <w:szCs w:val="21"/>
                <w14:textFill>
                  <w14:solidFill>
                    <w14:schemeClr w14:val="tx1"/>
                  </w14:solidFill>
                </w14:textFill>
              </w:rPr>
              <w:t>办</w:t>
            </w:r>
            <w:r>
              <w:rPr>
                <w:rFonts w:hint="eastAsia" w:ascii="宋体" w:hAnsi="宋体" w:cs="MS Gothic"/>
                <w:color w:val="000000" w:themeColor="text1"/>
                <w:spacing w:val="20"/>
                <w:szCs w:val="21"/>
                <w14:textFill>
                  <w14:solidFill>
                    <w14:schemeClr w14:val="tx1"/>
                  </w14:solidFill>
                </w14:textFill>
              </w:rPr>
              <w:t>事</w:t>
            </w:r>
            <w:r>
              <w:rPr>
                <w:rFonts w:hint="eastAsia" w:ascii="宋体" w:hAnsi="宋体" w:cs="宋体"/>
                <w:color w:val="000000" w:themeColor="text1"/>
                <w:spacing w:val="20"/>
                <w:szCs w:val="21"/>
                <w14:textFill>
                  <w14:solidFill>
                    <w14:schemeClr w14:val="tx1"/>
                  </w14:solidFill>
                </w14:textFill>
              </w:rPr>
              <w:t>处</w:t>
            </w:r>
            <w:r>
              <w:rPr>
                <w:rFonts w:hint="eastAsia" w:ascii="宋体" w:hAnsi="宋体" w:cs="MS Gothic"/>
                <w:color w:val="000000" w:themeColor="text1"/>
                <w:spacing w:val="20"/>
                <w:szCs w:val="21"/>
                <w14:textFill>
                  <w14:solidFill>
                    <w14:schemeClr w14:val="tx1"/>
                  </w14:solidFill>
                </w14:textFill>
              </w:rPr>
              <w:t>地址</w:t>
            </w:r>
            <w:r>
              <w:rPr>
                <w:rFonts w:ascii="宋体" w:hAnsi="宋体"/>
                <w:color w:val="000000" w:themeColor="text1"/>
                <w:spacing w:val="20"/>
                <w:szCs w:val="21"/>
                <w14:textFill>
                  <w14:solidFill>
                    <w14:schemeClr w14:val="tx1"/>
                  </w14:solidFill>
                </w14:textFill>
              </w:rPr>
              <w:t>/</w:t>
            </w:r>
            <w:r>
              <w:rPr>
                <w:rFonts w:hint="eastAsia" w:ascii="宋体" w:hAnsi="宋体" w:cs="宋体"/>
                <w:color w:val="000000" w:themeColor="text1"/>
                <w:spacing w:val="20"/>
                <w:szCs w:val="21"/>
                <w14:textFill>
                  <w14:solidFill>
                    <w14:schemeClr w14:val="tx1"/>
                  </w14:solidFill>
                </w14:textFill>
              </w:rPr>
              <w:t>联</w:t>
            </w:r>
            <w:r>
              <w:rPr>
                <w:rFonts w:hint="eastAsia" w:ascii="宋体" w:hAnsi="宋体" w:cs="MS Gothic"/>
                <w:color w:val="000000" w:themeColor="text1"/>
                <w:spacing w:val="20"/>
                <w:szCs w:val="21"/>
                <w14:textFill>
                  <w14:solidFill>
                    <w14:schemeClr w14:val="tx1"/>
                  </w14:solidFill>
                </w14:textFill>
              </w:rPr>
              <w:t>系</w:t>
            </w:r>
            <w:r>
              <w:rPr>
                <w:rFonts w:hint="eastAsia" w:ascii="宋体" w:hAnsi="宋体" w:cs="宋体"/>
                <w:color w:val="000000" w:themeColor="text1"/>
                <w:spacing w:val="20"/>
                <w:szCs w:val="21"/>
                <w14:textFill>
                  <w14:solidFill>
                    <w14:schemeClr w14:val="tx1"/>
                  </w14:solidFill>
                </w14:textFill>
              </w:rPr>
              <w:t>电话</w:t>
            </w:r>
          </w:p>
        </w:tc>
        <w:tc>
          <w:tcPr>
            <w:tcW w:w="1155" w:type="dxa"/>
          </w:tcPr>
          <w:p>
            <w:pPr>
              <w:tabs>
                <w:tab w:val="left" w:pos="930"/>
                <w:tab w:val="left" w:pos="8364"/>
              </w:tabs>
              <w:ind w:right="-58"/>
              <w:rPr>
                <w:rFonts w:ascii="宋体" w:hAnsi="宋体"/>
                <w:color w:val="000000" w:themeColor="text1"/>
                <w:spacing w:val="20"/>
                <w:szCs w:val="21"/>
                <w14:textFill>
                  <w14:solidFill>
                    <w14:schemeClr w14:val="tx1"/>
                  </w14:solidFill>
                </w14:textFill>
              </w:rPr>
            </w:pPr>
            <w:r>
              <w:rPr>
                <w:rFonts w:hint="eastAsia" w:ascii="宋体" w:hAnsi="宋体" w:cs="宋体"/>
                <w:color w:val="000000" w:themeColor="text1"/>
                <w:spacing w:val="20"/>
                <w:szCs w:val="21"/>
                <w14:textFill>
                  <w14:solidFill>
                    <w14:schemeClr w14:val="tx1"/>
                  </w14:solidFill>
                </w14:textFill>
              </w:rPr>
              <w:t>负责</w:t>
            </w:r>
            <w:r>
              <w:rPr>
                <w:rFonts w:hint="eastAsia" w:ascii="宋体" w:hAnsi="宋体" w:cs="MS Gothic"/>
                <w:color w:val="000000" w:themeColor="text1"/>
                <w:spacing w:val="20"/>
                <w:szCs w:val="21"/>
                <w14:textFill>
                  <w14:solidFill>
                    <w14:schemeClr w14:val="tx1"/>
                  </w14:solidFill>
                </w14:textFill>
              </w:rPr>
              <w:t>人</w:t>
            </w:r>
          </w:p>
        </w:tc>
        <w:tc>
          <w:tcPr>
            <w:tcW w:w="1072" w:type="dxa"/>
          </w:tcPr>
          <w:p>
            <w:pPr>
              <w:tabs>
                <w:tab w:val="left" w:pos="930"/>
                <w:tab w:val="left" w:pos="8364"/>
              </w:tabs>
              <w:ind w:right="-58"/>
              <w:rPr>
                <w:rFonts w:ascii="宋体" w:hAnsi="宋体"/>
                <w:color w:val="000000" w:themeColor="text1"/>
                <w:spacing w:val="20"/>
                <w:szCs w:val="21"/>
                <w14:textFill>
                  <w14:solidFill>
                    <w14:schemeClr w14:val="tx1"/>
                  </w14:solidFill>
                </w14:textFill>
              </w:rPr>
            </w:pPr>
            <w:r>
              <w:rPr>
                <w:rFonts w:hint="eastAsia" w:ascii="宋体" w:hAnsi="宋体"/>
                <w:color w:val="000000" w:themeColor="text1"/>
                <w:spacing w:val="20"/>
                <w:szCs w:val="21"/>
                <w14:textFill>
                  <w14:solidFill>
                    <w14:schemeClr w14:val="tx1"/>
                  </w14:solidFill>
                </w14:textFill>
              </w:rPr>
              <w:t>技</w:t>
            </w:r>
            <w:r>
              <w:rPr>
                <w:rFonts w:hint="eastAsia" w:ascii="宋体" w:hAnsi="宋体" w:cs="宋体"/>
                <w:color w:val="000000" w:themeColor="text1"/>
                <w:spacing w:val="20"/>
                <w:szCs w:val="21"/>
                <w14:textFill>
                  <w14:solidFill>
                    <w14:schemeClr w14:val="tx1"/>
                  </w14:solidFill>
                </w14:textFill>
              </w:rPr>
              <w:t>术</w:t>
            </w:r>
            <w:r>
              <w:rPr>
                <w:rFonts w:hint="eastAsia" w:ascii="宋体" w:hAnsi="宋体" w:cs="MS Gothic"/>
                <w:color w:val="000000" w:themeColor="text1"/>
                <w:spacing w:val="20"/>
                <w:szCs w:val="21"/>
                <w14:textFill>
                  <w14:solidFill>
                    <w14:schemeClr w14:val="tx1"/>
                  </w14:solidFill>
                </w14:textFill>
              </w:rPr>
              <w:t>人</w:t>
            </w:r>
          </w:p>
          <w:p>
            <w:pPr>
              <w:tabs>
                <w:tab w:val="left" w:pos="930"/>
                <w:tab w:val="left" w:pos="8364"/>
              </w:tabs>
              <w:ind w:right="-58"/>
              <w:rPr>
                <w:rFonts w:ascii="宋体" w:hAnsi="宋体"/>
                <w:color w:val="000000" w:themeColor="text1"/>
                <w:spacing w:val="20"/>
                <w:szCs w:val="21"/>
                <w14:textFill>
                  <w14:solidFill>
                    <w14:schemeClr w14:val="tx1"/>
                  </w14:solidFill>
                </w14:textFill>
              </w:rPr>
            </w:pPr>
            <w:r>
              <w:rPr>
                <w:rFonts w:hint="eastAsia" w:ascii="宋体" w:hAnsi="宋体" w:cs="宋体"/>
                <w:color w:val="000000" w:themeColor="text1"/>
                <w:spacing w:val="20"/>
                <w:szCs w:val="21"/>
                <w14:textFill>
                  <w14:solidFill>
                    <w14:schemeClr w14:val="tx1"/>
                  </w14:solidFill>
                </w14:textFill>
              </w:rPr>
              <w:t>员</w:t>
            </w:r>
            <w:r>
              <w:rPr>
                <w:rFonts w:hint="eastAsia" w:ascii="宋体" w:hAnsi="宋体" w:cs="MS Gothic"/>
                <w:color w:val="000000" w:themeColor="text1"/>
                <w:spacing w:val="20"/>
                <w:szCs w:val="21"/>
                <w14:textFill>
                  <w14:solidFill>
                    <w14:schemeClr w14:val="tx1"/>
                  </w14:solidFill>
                </w14:textFill>
              </w:rPr>
              <w:t>数量</w:t>
            </w:r>
          </w:p>
        </w:tc>
        <w:tc>
          <w:tcPr>
            <w:tcW w:w="1066" w:type="dxa"/>
          </w:tcPr>
          <w:p>
            <w:pPr>
              <w:tabs>
                <w:tab w:val="left" w:pos="930"/>
                <w:tab w:val="left" w:pos="8364"/>
              </w:tabs>
              <w:ind w:right="-58"/>
              <w:rPr>
                <w:rFonts w:ascii="宋体" w:hAnsi="宋体"/>
                <w:color w:val="000000" w:themeColor="text1"/>
                <w:spacing w:val="20"/>
                <w:szCs w:val="21"/>
                <w14:textFill>
                  <w14:solidFill>
                    <w14:schemeClr w14:val="tx1"/>
                  </w14:solidFill>
                </w14:textFill>
              </w:rPr>
            </w:pPr>
            <w:r>
              <w:rPr>
                <w:rFonts w:hint="eastAsia" w:ascii="宋体" w:hAnsi="宋体"/>
                <w:color w:val="000000" w:themeColor="text1"/>
                <w:spacing w:val="20"/>
                <w:szCs w:val="21"/>
                <w14:textFill>
                  <w14:solidFill>
                    <w14:schemeClr w14:val="tx1"/>
                  </w14:solidFill>
                </w14:textFill>
              </w:rPr>
              <w:t>商</w:t>
            </w:r>
            <w:r>
              <w:rPr>
                <w:rFonts w:hint="eastAsia" w:ascii="宋体" w:hAnsi="宋体" w:cs="宋体"/>
                <w:color w:val="000000" w:themeColor="text1"/>
                <w:spacing w:val="20"/>
                <w:szCs w:val="21"/>
                <w14:textFill>
                  <w14:solidFill>
                    <w14:schemeClr w14:val="tx1"/>
                  </w14:solidFill>
                </w14:textFill>
              </w:rPr>
              <w:t>务</w:t>
            </w:r>
            <w:r>
              <w:rPr>
                <w:rFonts w:hint="eastAsia" w:ascii="宋体" w:hAnsi="宋体" w:cs="MS Gothic"/>
                <w:color w:val="000000" w:themeColor="text1"/>
                <w:spacing w:val="20"/>
                <w:szCs w:val="21"/>
                <w14:textFill>
                  <w14:solidFill>
                    <w14:schemeClr w14:val="tx1"/>
                  </w14:solidFill>
                </w14:textFill>
              </w:rPr>
              <w:t>人</w:t>
            </w:r>
          </w:p>
          <w:p>
            <w:pPr>
              <w:tabs>
                <w:tab w:val="left" w:pos="930"/>
                <w:tab w:val="left" w:pos="8364"/>
              </w:tabs>
              <w:ind w:right="-58"/>
              <w:rPr>
                <w:rFonts w:ascii="宋体" w:hAnsi="宋体"/>
                <w:color w:val="000000" w:themeColor="text1"/>
                <w:spacing w:val="20"/>
                <w:szCs w:val="21"/>
                <w14:textFill>
                  <w14:solidFill>
                    <w14:schemeClr w14:val="tx1"/>
                  </w14:solidFill>
                </w14:textFill>
              </w:rPr>
            </w:pPr>
            <w:r>
              <w:rPr>
                <w:rFonts w:hint="eastAsia" w:ascii="宋体" w:hAnsi="宋体" w:cs="宋体"/>
                <w:color w:val="000000" w:themeColor="text1"/>
                <w:spacing w:val="20"/>
                <w:szCs w:val="21"/>
                <w14:textFill>
                  <w14:solidFill>
                    <w14:schemeClr w14:val="tx1"/>
                  </w14:solidFill>
                </w14:textFill>
              </w:rPr>
              <w:t>员</w:t>
            </w:r>
            <w:r>
              <w:rPr>
                <w:rFonts w:hint="eastAsia" w:ascii="宋体" w:hAnsi="宋体" w:cs="MS Gothic"/>
                <w:color w:val="000000" w:themeColor="text1"/>
                <w:spacing w:val="20"/>
                <w:szCs w:val="21"/>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color w:val="000000" w:themeColor="text1"/>
                <w:spacing w:val="20"/>
                <w:szCs w:val="21"/>
                <w14:textFill>
                  <w14:solidFill>
                    <w14:schemeClr w14:val="tx1"/>
                  </w14:solidFill>
                </w14:textFill>
              </w:rPr>
            </w:pPr>
          </w:p>
        </w:tc>
        <w:tc>
          <w:tcPr>
            <w:tcW w:w="1088" w:type="dxa"/>
          </w:tcPr>
          <w:p>
            <w:pPr>
              <w:tabs>
                <w:tab w:val="left" w:pos="930"/>
                <w:tab w:val="left" w:pos="8364"/>
              </w:tabs>
              <w:ind w:right="-58"/>
              <w:rPr>
                <w:rFonts w:ascii="宋体" w:hAnsi="宋体"/>
                <w:color w:val="000000" w:themeColor="text1"/>
                <w:spacing w:val="20"/>
                <w:szCs w:val="21"/>
                <w14:textFill>
                  <w14:solidFill>
                    <w14:schemeClr w14:val="tx1"/>
                  </w14:solidFill>
                </w14:textFill>
              </w:rPr>
            </w:pPr>
          </w:p>
        </w:tc>
        <w:tc>
          <w:tcPr>
            <w:tcW w:w="3978" w:type="dxa"/>
          </w:tcPr>
          <w:p>
            <w:pPr>
              <w:tabs>
                <w:tab w:val="left" w:pos="930"/>
                <w:tab w:val="left" w:pos="8364"/>
              </w:tabs>
              <w:ind w:right="-58"/>
              <w:rPr>
                <w:rFonts w:ascii="宋体" w:hAnsi="宋体"/>
                <w:color w:val="000000" w:themeColor="text1"/>
                <w:spacing w:val="20"/>
                <w:szCs w:val="21"/>
                <w14:textFill>
                  <w14:solidFill>
                    <w14:schemeClr w14:val="tx1"/>
                  </w14:solidFill>
                </w14:textFill>
              </w:rPr>
            </w:pPr>
          </w:p>
        </w:tc>
        <w:tc>
          <w:tcPr>
            <w:tcW w:w="1155" w:type="dxa"/>
          </w:tcPr>
          <w:p>
            <w:pPr>
              <w:tabs>
                <w:tab w:val="left" w:pos="930"/>
                <w:tab w:val="left" w:pos="8364"/>
              </w:tabs>
              <w:ind w:right="-58"/>
              <w:rPr>
                <w:rFonts w:ascii="宋体" w:hAnsi="宋体"/>
                <w:color w:val="000000" w:themeColor="text1"/>
                <w:spacing w:val="20"/>
                <w:szCs w:val="21"/>
                <w14:textFill>
                  <w14:solidFill>
                    <w14:schemeClr w14:val="tx1"/>
                  </w14:solidFill>
                </w14:textFill>
              </w:rPr>
            </w:pPr>
          </w:p>
        </w:tc>
        <w:tc>
          <w:tcPr>
            <w:tcW w:w="1072" w:type="dxa"/>
          </w:tcPr>
          <w:p>
            <w:pPr>
              <w:tabs>
                <w:tab w:val="left" w:pos="930"/>
                <w:tab w:val="left" w:pos="8364"/>
              </w:tabs>
              <w:ind w:right="-58"/>
              <w:rPr>
                <w:rFonts w:ascii="宋体" w:hAnsi="宋体"/>
                <w:color w:val="000000" w:themeColor="text1"/>
                <w:spacing w:val="20"/>
                <w:szCs w:val="21"/>
                <w14:textFill>
                  <w14:solidFill>
                    <w14:schemeClr w14:val="tx1"/>
                  </w14:solidFill>
                </w14:textFill>
              </w:rPr>
            </w:pPr>
          </w:p>
        </w:tc>
        <w:tc>
          <w:tcPr>
            <w:tcW w:w="1066" w:type="dxa"/>
          </w:tcPr>
          <w:p>
            <w:pPr>
              <w:tabs>
                <w:tab w:val="left" w:pos="930"/>
                <w:tab w:val="left" w:pos="8364"/>
              </w:tabs>
              <w:ind w:right="-58"/>
              <w:rPr>
                <w:rFonts w:ascii="宋体" w:hAnsi="宋体"/>
                <w:color w:val="000000" w:themeColor="text1"/>
                <w:spacing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color w:val="000000" w:themeColor="text1"/>
                <w:spacing w:val="20"/>
                <w:szCs w:val="21"/>
                <w14:textFill>
                  <w14:solidFill>
                    <w14:schemeClr w14:val="tx1"/>
                  </w14:solidFill>
                </w14:textFill>
              </w:rPr>
            </w:pPr>
          </w:p>
        </w:tc>
        <w:tc>
          <w:tcPr>
            <w:tcW w:w="1088" w:type="dxa"/>
          </w:tcPr>
          <w:p>
            <w:pPr>
              <w:tabs>
                <w:tab w:val="left" w:pos="930"/>
                <w:tab w:val="left" w:pos="8364"/>
              </w:tabs>
              <w:ind w:right="-58"/>
              <w:rPr>
                <w:rFonts w:ascii="宋体" w:hAnsi="宋体"/>
                <w:color w:val="000000" w:themeColor="text1"/>
                <w:spacing w:val="20"/>
                <w:szCs w:val="21"/>
                <w14:textFill>
                  <w14:solidFill>
                    <w14:schemeClr w14:val="tx1"/>
                  </w14:solidFill>
                </w14:textFill>
              </w:rPr>
            </w:pPr>
          </w:p>
        </w:tc>
        <w:tc>
          <w:tcPr>
            <w:tcW w:w="3978" w:type="dxa"/>
          </w:tcPr>
          <w:p>
            <w:pPr>
              <w:tabs>
                <w:tab w:val="left" w:pos="930"/>
                <w:tab w:val="left" w:pos="8364"/>
              </w:tabs>
              <w:ind w:right="-58"/>
              <w:rPr>
                <w:rFonts w:ascii="宋体" w:hAnsi="宋体"/>
                <w:color w:val="000000" w:themeColor="text1"/>
                <w:spacing w:val="20"/>
                <w:szCs w:val="21"/>
                <w14:textFill>
                  <w14:solidFill>
                    <w14:schemeClr w14:val="tx1"/>
                  </w14:solidFill>
                </w14:textFill>
              </w:rPr>
            </w:pPr>
          </w:p>
        </w:tc>
        <w:tc>
          <w:tcPr>
            <w:tcW w:w="1155" w:type="dxa"/>
          </w:tcPr>
          <w:p>
            <w:pPr>
              <w:tabs>
                <w:tab w:val="left" w:pos="930"/>
                <w:tab w:val="left" w:pos="8364"/>
              </w:tabs>
              <w:ind w:right="-58"/>
              <w:rPr>
                <w:rFonts w:ascii="宋体" w:hAnsi="宋体"/>
                <w:color w:val="000000" w:themeColor="text1"/>
                <w:spacing w:val="20"/>
                <w:szCs w:val="21"/>
                <w14:textFill>
                  <w14:solidFill>
                    <w14:schemeClr w14:val="tx1"/>
                  </w14:solidFill>
                </w14:textFill>
              </w:rPr>
            </w:pPr>
          </w:p>
        </w:tc>
        <w:tc>
          <w:tcPr>
            <w:tcW w:w="1072" w:type="dxa"/>
          </w:tcPr>
          <w:p>
            <w:pPr>
              <w:tabs>
                <w:tab w:val="left" w:pos="930"/>
                <w:tab w:val="left" w:pos="8364"/>
              </w:tabs>
              <w:ind w:right="-58"/>
              <w:rPr>
                <w:rFonts w:ascii="宋体" w:hAnsi="宋体"/>
                <w:color w:val="000000" w:themeColor="text1"/>
                <w:spacing w:val="20"/>
                <w:szCs w:val="21"/>
                <w14:textFill>
                  <w14:solidFill>
                    <w14:schemeClr w14:val="tx1"/>
                  </w14:solidFill>
                </w14:textFill>
              </w:rPr>
            </w:pPr>
          </w:p>
        </w:tc>
        <w:tc>
          <w:tcPr>
            <w:tcW w:w="1066" w:type="dxa"/>
          </w:tcPr>
          <w:p>
            <w:pPr>
              <w:tabs>
                <w:tab w:val="left" w:pos="930"/>
                <w:tab w:val="left" w:pos="8364"/>
              </w:tabs>
              <w:ind w:right="-58"/>
              <w:rPr>
                <w:rFonts w:ascii="宋体" w:hAnsi="宋体"/>
                <w:color w:val="000000" w:themeColor="text1"/>
                <w:spacing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color w:val="000000" w:themeColor="text1"/>
                <w:spacing w:val="20"/>
                <w:szCs w:val="21"/>
                <w14:textFill>
                  <w14:solidFill>
                    <w14:schemeClr w14:val="tx1"/>
                  </w14:solidFill>
                </w14:textFill>
              </w:rPr>
            </w:pPr>
          </w:p>
        </w:tc>
        <w:tc>
          <w:tcPr>
            <w:tcW w:w="1088" w:type="dxa"/>
          </w:tcPr>
          <w:p>
            <w:pPr>
              <w:tabs>
                <w:tab w:val="left" w:pos="930"/>
                <w:tab w:val="left" w:pos="8364"/>
              </w:tabs>
              <w:ind w:right="-58"/>
              <w:rPr>
                <w:rFonts w:ascii="宋体" w:hAnsi="宋体"/>
                <w:color w:val="000000" w:themeColor="text1"/>
                <w:spacing w:val="20"/>
                <w:szCs w:val="21"/>
                <w14:textFill>
                  <w14:solidFill>
                    <w14:schemeClr w14:val="tx1"/>
                  </w14:solidFill>
                </w14:textFill>
              </w:rPr>
            </w:pPr>
          </w:p>
        </w:tc>
        <w:tc>
          <w:tcPr>
            <w:tcW w:w="3978" w:type="dxa"/>
          </w:tcPr>
          <w:p>
            <w:pPr>
              <w:tabs>
                <w:tab w:val="left" w:pos="930"/>
                <w:tab w:val="left" w:pos="8364"/>
              </w:tabs>
              <w:ind w:right="-58"/>
              <w:rPr>
                <w:rFonts w:ascii="宋体" w:hAnsi="宋体"/>
                <w:color w:val="000000" w:themeColor="text1"/>
                <w:spacing w:val="20"/>
                <w:szCs w:val="21"/>
                <w14:textFill>
                  <w14:solidFill>
                    <w14:schemeClr w14:val="tx1"/>
                  </w14:solidFill>
                </w14:textFill>
              </w:rPr>
            </w:pPr>
          </w:p>
        </w:tc>
        <w:tc>
          <w:tcPr>
            <w:tcW w:w="1155" w:type="dxa"/>
          </w:tcPr>
          <w:p>
            <w:pPr>
              <w:tabs>
                <w:tab w:val="left" w:pos="930"/>
                <w:tab w:val="left" w:pos="8364"/>
              </w:tabs>
              <w:ind w:right="-58"/>
              <w:rPr>
                <w:rFonts w:ascii="宋体" w:hAnsi="宋体"/>
                <w:color w:val="000000" w:themeColor="text1"/>
                <w:spacing w:val="20"/>
                <w:szCs w:val="21"/>
                <w14:textFill>
                  <w14:solidFill>
                    <w14:schemeClr w14:val="tx1"/>
                  </w14:solidFill>
                </w14:textFill>
              </w:rPr>
            </w:pPr>
          </w:p>
        </w:tc>
        <w:tc>
          <w:tcPr>
            <w:tcW w:w="1072" w:type="dxa"/>
          </w:tcPr>
          <w:p>
            <w:pPr>
              <w:tabs>
                <w:tab w:val="left" w:pos="930"/>
                <w:tab w:val="left" w:pos="8364"/>
              </w:tabs>
              <w:ind w:right="-58"/>
              <w:rPr>
                <w:rFonts w:ascii="宋体" w:hAnsi="宋体"/>
                <w:color w:val="000000" w:themeColor="text1"/>
                <w:spacing w:val="20"/>
                <w:szCs w:val="21"/>
                <w14:textFill>
                  <w14:solidFill>
                    <w14:schemeClr w14:val="tx1"/>
                  </w14:solidFill>
                </w14:textFill>
              </w:rPr>
            </w:pPr>
          </w:p>
        </w:tc>
        <w:tc>
          <w:tcPr>
            <w:tcW w:w="1066" w:type="dxa"/>
          </w:tcPr>
          <w:p>
            <w:pPr>
              <w:tabs>
                <w:tab w:val="left" w:pos="930"/>
                <w:tab w:val="left" w:pos="8364"/>
              </w:tabs>
              <w:ind w:right="-58"/>
              <w:rPr>
                <w:rFonts w:ascii="宋体" w:hAnsi="宋体"/>
                <w:color w:val="000000" w:themeColor="text1"/>
                <w:spacing w:val="20"/>
                <w:szCs w:val="21"/>
                <w14:textFill>
                  <w14:solidFill>
                    <w14:schemeClr w14:val="tx1"/>
                  </w14:solidFill>
                </w14:textFill>
              </w:rPr>
            </w:pPr>
          </w:p>
        </w:tc>
      </w:tr>
    </w:tbl>
    <w:p>
      <w:pPr>
        <w:numPr>
          <w:ilvl w:val="0"/>
          <w:numId w:val="30"/>
        </w:num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研发能力及人员配备：</w:t>
      </w:r>
    </w:p>
    <w:p>
      <w:pPr>
        <w:spacing w:line="360" w:lineRule="auto"/>
        <w:ind w:left="425"/>
        <w:rPr>
          <w:rFonts w:ascii="宋体" w:hAnsi="宋体"/>
          <w:color w:val="000000" w:themeColor="text1"/>
          <w:szCs w:val="21"/>
          <w14:textFill>
            <w14:solidFill>
              <w14:schemeClr w14:val="tx1"/>
            </w14:solidFill>
          </w14:textFill>
        </w:rPr>
      </w:pP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有关开户银行的名称和地址：</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供应商所属的集团公司，如有的话：</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其他情况：</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兹证明上述声明是真实、正确的，并提供了全部能提供的资料和数据，我们同意遵照贵方要求出示有关证明文件。</w:t>
      </w:r>
    </w:p>
    <w:p>
      <w:pPr>
        <w:spacing w:line="360" w:lineRule="auto"/>
        <w:rPr>
          <w:rFonts w:ascii="宋体" w:hAnsi="宋体"/>
          <w:color w:val="000000" w:themeColor="text1"/>
          <w:szCs w:val="21"/>
          <w14:textFill>
            <w14:solidFill>
              <w14:schemeClr w14:val="tx1"/>
            </w14:solidFill>
          </w14:textFill>
        </w:rPr>
      </w:pP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供应商名称（盖章）：</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签字人姓名和职务：</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签字人签字：</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签字日期：</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传真：</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电话：</w:t>
      </w:r>
    </w:p>
    <w:p>
      <w:pPr>
        <w:spacing w:line="360" w:lineRule="auto"/>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电子函件：</w:t>
      </w:r>
    </w:p>
    <w:p>
      <w:pPr>
        <w:snapToGrid w:val="0"/>
        <w:spacing w:before="312" w:beforeLines="100" w:after="312" w:afterLines="100"/>
        <w:ind w:left="210" w:leftChars="100" w:right="210" w:rightChars="100" w:firstLine="420" w:firstLineChars="200"/>
        <w:rPr>
          <w:rFonts w:ascii="宋体" w:hAnsi="宋体"/>
          <w:color w:val="000000" w:themeColor="text1"/>
          <w:szCs w:val="21"/>
          <w:u w:val="single"/>
          <w14:textFill>
            <w14:solidFill>
              <w14:schemeClr w14:val="tx1"/>
            </w14:solidFill>
          </w14:textFill>
        </w:rPr>
      </w:pPr>
    </w:p>
    <w:p>
      <w:pPr>
        <w:pStyle w:val="4"/>
        <w:numPr>
          <w:ilvl w:val="0"/>
          <w:numId w:val="0"/>
        </w:numPr>
        <w:snapToGrid w:val="0"/>
        <w:spacing w:before="312" w:beforeLines="100" w:after="312" w:afterLines="100"/>
        <w:ind w:right="210" w:rightChars="100"/>
        <w:rPr>
          <w:rStyle w:val="106"/>
          <w:rFonts w:hAnsi="宋体"/>
          <w:b w:val="0"/>
          <w:bCs/>
          <w:color w:val="000000" w:themeColor="text1"/>
          <w:sz w:val="24"/>
          <w:szCs w:val="24"/>
          <w14:textFill>
            <w14:solidFill>
              <w14:schemeClr w14:val="tx1"/>
            </w14:solidFill>
          </w14:textFill>
        </w:rPr>
      </w:pPr>
      <w:r>
        <w:rPr>
          <w:color w:val="000000" w:themeColor="text1"/>
          <w:szCs w:val="24"/>
          <w:u w:val="single"/>
          <w14:textFill>
            <w14:solidFill>
              <w14:schemeClr w14:val="tx1"/>
            </w14:solidFill>
          </w14:textFill>
        </w:rPr>
        <w:br w:type="page"/>
      </w:r>
      <w:bookmarkStart w:id="93" w:name="_Toc69378669"/>
      <w:bookmarkStart w:id="94" w:name="_Toc26259745"/>
      <w:bookmarkStart w:id="95" w:name="_Toc26260039"/>
      <w:r>
        <w:rPr>
          <w:rStyle w:val="106"/>
          <w:rFonts w:hint="eastAsia" w:hAnsi="宋体"/>
          <w:b w:val="0"/>
          <w:bCs w:val="0"/>
          <w:color w:val="000000" w:themeColor="text1"/>
          <w:sz w:val="24"/>
          <w:szCs w:val="24"/>
          <w14:textFill>
            <w14:solidFill>
              <w14:schemeClr w14:val="tx1"/>
            </w14:solidFill>
          </w14:textFill>
        </w:rPr>
        <w:t>附件</w:t>
      </w:r>
      <w:r>
        <w:rPr>
          <w:rStyle w:val="106"/>
          <w:rFonts w:hAnsi="宋体"/>
          <w:b w:val="0"/>
          <w:bCs w:val="0"/>
          <w:color w:val="000000" w:themeColor="text1"/>
          <w:sz w:val="24"/>
          <w:szCs w:val="24"/>
          <w14:textFill>
            <w14:solidFill>
              <w14:schemeClr w14:val="tx1"/>
            </w14:solidFill>
          </w14:textFill>
        </w:rPr>
        <w:t>8</w:t>
      </w:r>
      <w:r>
        <w:rPr>
          <w:rStyle w:val="106"/>
          <w:rFonts w:hint="eastAsia" w:hAnsi="宋体"/>
          <w:b w:val="0"/>
          <w:bCs w:val="0"/>
          <w:color w:val="000000" w:themeColor="text1"/>
          <w:sz w:val="24"/>
          <w:szCs w:val="24"/>
          <w14:textFill>
            <w14:solidFill>
              <w14:schemeClr w14:val="tx1"/>
            </w14:solidFill>
          </w14:textFill>
        </w:rPr>
        <w:t>：项目业绩及证明文件</w:t>
      </w:r>
      <w:bookmarkEnd w:id="93"/>
      <w:bookmarkEnd w:id="94"/>
      <w:bookmarkEnd w:id="95"/>
    </w:p>
    <w:tbl>
      <w:tblPr>
        <w:tblStyle w:val="53"/>
        <w:tblW w:w="0" w:type="auto"/>
        <w:tblInd w:w="0" w:type="dxa"/>
        <w:shd w:val="clear" w:color="auto" w:fill="FFFFFF"/>
        <w:tblLayout w:type="fixed"/>
        <w:tblCellMar>
          <w:top w:w="0" w:type="dxa"/>
          <w:left w:w="108" w:type="dxa"/>
          <w:bottom w:w="0" w:type="dxa"/>
          <w:right w:w="108" w:type="dxa"/>
        </w:tblCellMar>
      </w:tblPr>
      <w:tblGrid>
        <w:gridCol w:w="612"/>
        <w:gridCol w:w="770"/>
        <w:gridCol w:w="905"/>
        <w:gridCol w:w="845"/>
        <w:gridCol w:w="845"/>
        <w:gridCol w:w="848"/>
        <w:gridCol w:w="848"/>
        <w:gridCol w:w="1016"/>
        <w:gridCol w:w="1075"/>
      </w:tblGrid>
      <w:tr>
        <w:tblPrEx>
          <w:shd w:val="clear" w:color="auto" w:fill="FFFFFF"/>
          <w:tblCellMar>
            <w:top w:w="0" w:type="dxa"/>
            <w:left w:w="108" w:type="dxa"/>
            <w:bottom w:w="0" w:type="dxa"/>
            <w:right w:w="108" w:type="dxa"/>
          </w:tblCellMar>
        </w:tblPrEx>
        <w:trPr>
          <w:trHeight w:val="1020" w:hRule="atLeast"/>
        </w:trPr>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序号</w:t>
            </w:r>
          </w:p>
        </w:tc>
        <w:tc>
          <w:tcPr>
            <w:tcW w:w="770"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项目</w:t>
            </w:r>
          </w:p>
          <w:p>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名称</w:t>
            </w:r>
          </w:p>
        </w:tc>
        <w:tc>
          <w:tcPr>
            <w:tcW w:w="905"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项目负责人</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项目委托日期</w:t>
            </w:r>
          </w:p>
        </w:tc>
        <w:tc>
          <w:tcPr>
            <w:tcW w:w="845"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需求方名称</w:t>
            </w:r>
          </w:p>
        </w:tc>
        <w:tc>
          <w:tcPr>
            <w:tcW w:w="848"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需求方联系人姓名</w:t>
            </w:r>
          </w:p>
        </w:tc>
        <w:tc>
          <w:tcPr>
            <w:tcW w:w="848"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需求方联系人电话</w:t>
            </w:r>
          </w:p>
        </w:tc>
        <w:tc>
          <w:tcPr>
            <w:tcW w:w="1016"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项目规模</w:t>
            </w:r>
          </w:p>
          <w:p>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（单位：万元）</w:t>
            </w:r>
          </w:p>
        </w:tc>
        <w:tc>
          <w:tcPr>
            <w:tcW w:w="1075"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备注</w:t>
            </w:r>
          </w:p>
        </w:tc>
      </w:tr>
      <w:tr>
        <w:tblPrEx>
          <w:shd w:val="clear" w:color="auto" w:fill="FFFFFF"/>
          <w:tblCellMar>
            <w:top w:w="0" w:type="dxa"/>
            <w:left w:w="108" w:type="dxa"/>
            <w:bottom w:w="0" w:type="dxa"/>
            <w:right w:w="108" w:type="dxa"/>
          </w:tblCellMar>
        </w:tblPrEx>
        <w:trPr>
          <w:trHeight w:val="360" w:hRule="atLeast"/>
        </w:trPr>
        <w:tc>
          <w:tcPr>
            <w:tcW w:w="612" w:type="dxa"/>
            <w:tcBorders>
              <w:top w:val="nil"/>
              <w:left w:val="single" w:color="auto" w:sz="4" w:space="0"/>
              <w:bottom w:val="nil"/>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770"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905" w:type="dxa"/>
            <w:tcBorders>
              <w:top w:val="single" w:color="auto" w:sz="4" w:space="0"/>
              <w:left w:val="single" w:color="auto" w:sz="4" w:space="0"/>
              <w:bottom w:val="nil"/>
              <w:right w:val="single" w:color="auto" w:sz="4" w:space="0"/>
            </w:tcBorders>
            <w:shd w:val="clear" w:color="auto" w:fill="FFFFFF"/>
          </w:tcPr>
          <w:p>
            <w:pPr>
              <w:jc w:val="center"/>
              <w:rPr>
                <w:rFonts w:ascii="宋体" w:hAnsi="宋体" w:cs="宋体"/>
                <w:color w:val="000000" w:themeColor="text1"/>
                <w:szCs w:val="21"/>
                <w14:textFill>
                  <w14:solidFill>
                    <w14:schemeClr w14:val="tx1"/>
                  </w14:solidFill>
                </w14:textFill>
              </w:rPr>
            </w:pPr>
          </w:p>
        </w:tc>
        <w:tc>
          <w:tcPr>
            <w:tcW w:w="84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016"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07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themeColor="text1"/>
                <w:szCs w:val="21"/>
                <w14:textFill>
                  <w14:solidFill>
                    <w14:schemeClr w14:val="tx1"/>
                  </w14:solidFill>
                </w14:textFill>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themeColor="text1"/>
                <w:szCs w:val="21"/>
                <w14:textFill>
                  <w14:solidFill>
                    <w14:schemeClr w14:val="tx1"/>
                  </w14:solidFill>
                </w14:textFill>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themeColor="text1"/>
                <w:szCs w:val="21"/>
                <w14:textFill>
                  <w14:solidFill>
                    <w14:schemeClr w14:val="tx1"/>
                  </w14:solidFill>
                </w14:textFill>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themeColor="text1"/>
                <w:szCs w:val="21"/>
                <w14:textFill>
                  <w14:solidFill>
                    <w14:schemeClr w14:val="tx1"/>
                  </w14:solidFill>
                </w14:textFill>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themeColor="text1"/>
                <w:szCs w:val="21"/>
                <w14:textFill>
                  <w14:solidFill>
                    <w14:schemeClr w14:val="tx1"/>
                  </w14:solidFill>
                </w14:textFill>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themeColor="text1"/>
                <w:szCs w:val="21"/>
                <w14:textFill>
                  <w14:solidFill>
                    <w14:schemeClr w14:val="tx1"/>
                  </w14:solidFill>
                </w14:textFill>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themeColor="text1"/>
                <w:szCs w:val="21"/>
                <w14:textFill>
                  <w14:solidFill>
                    <w14:schemeClr w14:val="tx1"/>
                  </w14:solidFill>
                </w14:textFill>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themeColor="text1"/>
                <w:szCs w:val="21"/>
                <w14:textFill>
                  <w14:solidFill>
                    <w14:schemeClr w14:val="tx1"/>
                  </w14:solidFill>
                </w14:textFill>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r>
      <w:tr>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themeColor="text1"/>
                <w:szCs w:val="21"/>
                <w14:textFill>
                  <w14:solidFill>
                    <w14:schemeClr w14:val="tx1"/>
                  </w14:solidFill>
                </w14:textFill>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770"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905" w:type="dxa"/>
            <w:tcBorders>
              <w:top w:val="single" w:color="auto" w:sz="4" w:space="0"/>
              <w:left w:val="single" w:color="auto" w:sz="4" w:space="0"/>
              <w:bottom w:val="nil"/>
              <w:right w:val="single" w:color="auto" w:sz="4" w:space="0"/>
            </w:tcBorders>
            <w:shd w:val="clear" w:color="auto" w:fill="FFFFFF"/>
          </w:tcPr>
          <w:p>
            <w:pPr>
              <w:jc w:val="center"/>
              <w:rPr>
                <w:rFonts w:ascii="宋体" w:hAnsi="宋体" w:cs="宋体"/>
                <w:color w:val="000000" w:themeColor="text1"/>
                <w:szCs w:val="21"/>
                <w14:textFill>
                  <w14:solidFill>
                    <w14:schemeClr w14:val="tx1"/>
                  </w14:solidFill>
                </w14:textFill>
              </w:rPr>
            </w:pPr>
          </w:p>
        </w:tc>
        <w:tc>
          <w:tcPr>
            <w:tcW w:w="84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016"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07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r>
      <w:tr>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themeColor="text1"/>
                <w:szCs w:val="21"/>
                <w14:textFill>
                  <w14:solidFill>
                    <w14:schemeClr w14:val="tx1"/>
                  </w14:solidFill>
                </w14:textFill>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r>
      <w:tr>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themeColor="text1"/>
                <w:szCs w:val="21"/>
                <w14:textFill>
                  <w14:solidFill>
                    <w14:schemeClr w14:val="tx1"/>
                  </w14:solidFill>
                </w14:textFill>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r>
      <w:tr>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themeColor="text1"/>
                <w:szCs w:val="21"/>
                <w14:textFill>
                  <w14:solidFill>
                    <w14:schemeClr w14:val="tx1"/>
                  </w14:solidFill>
                </w14:textFill>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r>
      <w:tr>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themeColor="text1"/>
                <w:szCs w:val="21"/>
                <w14:textFill>
                  <w14:solidFill>
                    <w14:schemeClr w14:val="tx1"/>
                  </w14:solidFill>
                </w14:textFill>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r>
      <w:tr>
        <w:tblPrEx>
          <w:tblCellMar>
            <w:top w:w="0" w:type="dxa"/>
            <w:left w:w="108" w:type="dxa"/>
            <w:bottom w:w="0" w:type="dxa"/>
            <w:right w:w="108" w:type="dxa"/>
          </w:tblCellMar>
        </w:tblPrEx>
        <w:trPr>
          <w:trHeight w:val="450" w:hRule="atLeast"/>
        </w:trPr>
        <w:tc>
          <w:tcPr>
            <w:tcW w:w="5673" w:type="dxa"/>
            <w:gridSpan w:val="7"/>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合计</w:t>
            </w:r>
          </w:p>
        </w:tc>
        <w:tc>
          <w:tcPr>
            <w:tcW w:w="1016" w:type="dxa"/>
            <w:tcBorders>
              <w:top w:val="nil"/>
              <w:left w:val="nil"/>
              <w:bottom w:val="single" w:color="auto" w:sz="4" w:space="0"/>
              <w:right w:val="single" w:color="auto" w:sz="4" w:space="0"/>
            </w:tcBorders>
            <w:shd w:val="clear" w:color="auto" w:fill="FFFFFF"/>
            <w:vAlign w:val="center"/>
          </w:tcPr>
          <w:p>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 xml:space="preserve">0.00 </w:t>
            </w:r>
          </w:p>
        </w:tc>
        <w:tc>
          <w:tcPr>
            <w:tcW w:w="1075" w:type="dxa"/>
            <w:tcBorders>
              <w:top w:val="nil"/>
              <w:left w:val="nil"/>
              <w:bottom w:val="single" w:color="auto" w:sz="4" w:space="0"/>
              <w:right w:val="single" w:color="auto" w:sz="4" w:space="0"/>
            </w:tcBorders>
            <w:shd w:val="clear" w:color="auto" w:fill="FFFFFF"/>
            <w:vAlign w:val="center"/>
          </w:tcPr>
          <w:p>
            <w:pPr>
              <w:jc w:val="center"/>
              <w:rPr>
                <w:rFonts w:ascii="宋体" w:hAnsi="宋体" w:cs="宋体"/>
                <w:b/>
                <w:bCs/>
                <w:color w:val="000000" w:themeColor="text1"/>
                <w:szCs w:val="21"/>
                <w14:textFill>
                  <w14:solidFill>
                    <w14:schemeClr w14:val="tx1"/>
                  </w14:solidFill>
                </w14:textFill>
              </w:rPr>
            </w:pPr>
          </w:p>
        </w:tc>
      </w:tr>
    </w:tbl>
    <w:p>
      <w:pPr>
        <w:spacing w:line="480" w:lineRule="auto"/>
        <w:rPr>
          <w:color w:val="000000" w:themeColor="text1"/>
          <w14:textFill>
            <w14:solidFill>
              <w14:schemeClr w14:val="tx1"/>
            </w14:solidFill>
          </w14:textFill>
        </w:rPr>
      </w:pPr>
    </w:p>
    <w:p>
      <w:pPr>
        <w:spacing w:line="480" w:lineRule="auto"/>
        <w:rPr>
          <w:i/>
          <w:color w:val="000000" w:themeColor="text1"/>
          <w14:textFill>
            <w14:solidFill>
              <w14:schemeClr w14:val="tx1"/>
            </w14:solidFill>
          </w14:textFill>
        </w:rPr>
      </w:pPr>
      <w:r>
        <w:rPr>
          <w:rFonts w:hint="eastAsia"/>
          <w:color w:val="000000" w:themeColor="text1"/>
          <w14:textFill>
            <w14:solidFill>
              <w14:schemeClr w14:val="tx1"/>
            </w14:solidFill>
          </w14:textFill>
        </w:rPr>
        <w:t>供应商</w:t>
      </w:r>
      <w:r>
        <w:rPr>
          <w:color w:val="000000" w:themeColor="text1"/>
          <w14:textFill>
            <w14:solidFill>
              <w14:schemeClr w14:val="tx1"/>
            </w14:solidFill>
          </w14:textFill>
        </w:rPr>
        <w:t>名称（公章）：</w:t>
      </w:r>
      <w:r>
        <w:rPr>
          <w:rFonts w:hint="eastAsia"/>
          <w:color w:val="000000" w:themeColor="text1"/>
          <w14:textFill>
            <w14:solidFill>
              <w14:schemeClr w14:val="tx1"/>
            </w14:solidFill>
          </w14:textFill>
        </w:rPr>
        <w:t>供应商</w:t>
      </w:r>
      <w:r>
        <w:rPr>
          <w:color w:val="000000" w:themeColor="text1"/>
          <w14:textFill>
            <w14:solidFill>
              <w14:schemeClr w14:val="tx1"/>
            </w14:solidFill>
          </w14:textFill>
        </w:rPr>
        <w:t>代表签字</w:t>
      </w:r>
      <w:r>
        <w:rPr>
          <w:color w:val="000000" w:themeColor="text1"/>
          <w:u w:val="single"/>
          <w14:textFill>
            <w14:solidFill>
              <w14:schemeClr w14:val="tx1"/>
            </w14:solidFill>
          </w14:textFill>
        </w:rPr>
        <w:t>：</w:t>
      </w:r>
    </w:p>
    <w:p>
      <w:pPr>
        <w:spacing w:line="480" w:lineRule="auto"/>
        <w:rPr>
          <w:color w:val="000000" w:themeColor="text1"/>
          <w14:textFill>
            <w14:solidFill>
              <w14:schemeClr w14:val="tx1"/>
            </w14:solidFill>
          </w14:textFill>
        </w:rPr>
      </w:pPr>
      <w:r>
        <w:rPr>
          <w:color w:val="000000" w:themeColor="text1"/>
          <w14:textFill>
            <w14:solidFill>
              <w14:schemeClr w14:val="tx1"/>
            </w14:solidFill>
          </w14:textFill>
        </w:rPr>
        <w:t>填表说明：1</w:t>
      </w:r>
      <w:r>
        <w:rPr>
          <w:rFonts w:hint="eastAsia"/>
          <w:color w:val="000000" w:themeColor="text1"/>
          <w14:textFill>
            <w14:solidFill>
              <w14:schemeClr w14:val="tx1"/>
            </w14:solidFill>
          </w14:textFill>
        </w:rPr>
        <w:t>.供应商须根据合格供应商和评审办法关于业绩的要求，在响应文件中如实提供相应数量的合同复印件或其它证明文件。</w:t>
      </w:r>
    </w:p>
    <w:p>
      <w:pPr>
        <w:spacing w:line="480" w:lineRule="auto"/>
        <w:rPr>
          <w:rStyle w:val="106"/>
          <w:rFonts w:ascii="Times New Roman" w:hAnsi="Times New Roman" w:eastAsia="宋体"/>
          <w:b w:val="0"/>
          <w:bCs w:val="0"/>
          <w:color w:val="000000" w:themeColor="text1"/>
          <w:sz w:val="21"/>
          <w:szCs w:val="24"/>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．供应商需按照表格的顺序装订合同复印件，合同装订顺序须与表中所列项目顺序一致。</w:t>
      </w:r>
      <w:bookmarkEnd w:id="42"/>
      <w:bookmarkEnd w:id="71"/>
      <w:bookmarkEnd w:id="72"/>
      <w:bookmarkEnd w:id="73"/>
    </w:p>
    <w:p>
      <w:pPr>
        <w:widowControl/>
        <w:jc w:val="left"/>
        <w:rPr>
          <w:rFonts w:eastAsia="黑体"/>
          <w:b/>
          <w:bCs/>
          <w:color w:val="000000" w:themeColor="text1"/>
          <w:kern w:val="44"/>
          <w:sz w:val="36"/>
          <w:szCs w:val="36"/>
          <w14:textFill>
            <w14:solidFill>
              <w14:schemeClr w14:val="tx1"/>
            </w14:solidFill>
          </w14:textFill>
        </w:rPr>
      </w:pPr>
      <w:r>
        <w:rPr>
          <w:b/>
          <w:color w:val="000000" w:themeColor="text1"/>
          <w:sz w:val="36"/>
          <w:szCs w:val="36"/>
          <w14:textFill>
            <w14:solidFill>
              <w14:schemeClr w14:val="tx1"/>
            </w14:solidFill>
          </w14:textFill>
        </w:rPr>
        <w:br w:type="page"/>
      </w:r>
    </w:p>
    <w:p>
      <w:pPr>
        <w:pStyle w:val="3"/>
        <w:numPr>
          <w:ilvl w:val="0"/>
          <w:numId w:val="0"/>
        </w:numPr>
        <w:spacing w:line="360" w:lineRule="auto"/>
        <w:rPr>
          <w:color w:val="000000" w:themeColor="text1"/>
          <w:sz w:val="52"/>
          <w:szCs w:val="52"/>
          <w14:textFill>
            <w14:solidFill>
              <w14:schemeClr w14:val="tx1"/>
            </w14:solidFill>
          </w14:textFill>
        </w:rPr>
      </w:pPr>
      <w:bookmarkStart w:id="96" w:name="_Hlk104374920"/>
      <w:r>
        <w:rPr>
          <w:rFonts w:hint="eastAsia"/>
          <w:b/>
          <w:color w:val="000000" w:themeColor="text1"/>
          <w:sz w:val="36"/>
          <w:szCs w:val="36"/>
          <w14:textFill>
            <w14:solidFill>
              <w14:schemeClr w14:val="tx1"/>
            </w14:solidFill>
          </w14:textFill>
        </w:rPr>
        <w:t>第七章  其他</w:t>
      </w:r>
    </w:p>
    <w:p>
      <w:pPr>
        <w:widowControl/>
        <w:jc w:val="left"/>
        <w:rPr>
          <w:b/>
          <w:color w:val="000000" w:themeColor="text1"/>
          <w:sz w:val="24"/>
          <w14:textFill>
            <w14:solidFill>
              <w14:schemeClr w14:val="tx1"/>
            </w14:solidFill>
          </w14:textFill>
        </w:rPr>
      </w:pPr>
      <w:bookmarkStart w:id="97" w:name="_Toc15025"/>
      <w:r>
        <w:rPr>
          <w:rFonts w:hint="eastAsia"/>
          <w:b/>
          <w:color w:val="000000" w:themeColor="text1"/>
          <w:sz w:val="24"/>
          <w14:textFill>
            <w14:solidFill>
              <w14:schemeClr w14:val="tx1"/>
            </w14:solidFill>
          </w14:textFill>
        </w:rPr>
        <w:t>响应</w:t>
      </w:r>
      <w:r>
        <w:rPr>
          <w:b/>
          <w:color w:val="000000" w:themeColor="text1"/>
          <w:sz w:val="24"/>
          <w14:textFill>
            <w14:solidFill>
              <w14:schemeClr w14:val="tx1"/>
            </w14:solidFill>
          </w14:textFill>
        </w:rPr>
        <w:t>文件</w:t>
      </w:r>
      <w:r>
        <w:rPr>
          <w:b/>
          <w:color w:val="000000" w:themeColor="text1"/>
          <w:kern w:val="11"/>
          <w:sz w:val="24"/>
          <w14:textFill>
            <w14:solidFill>
              <w14:schemeClr w14:val="tx1"/>
            </w14:solidFill>
          </w14:textFill>
        </w:rPr>
        <w:t>封套格式</w:t>
      </w:r>
      <w:r>
        <w:rPr>
          <w:b/>
          <w:color w:val="000000" w:themeColor="text1"/>
          <w:sz w:val="24"/>
          <w14:textFill>
            <w14:solidFill>
              <w14:schemeClr w14:val="tx1"/>
            </w14:solidFill>
          </w14:textFill>
        </w:rPr>
        <w:t>如下：</w:t>
      </w:r>
      <w:bookmarkEnd w:id="97"/>
    </w:p>
    <w:tbl>
      <w:tblPr>
        <w:tblStyle w:val="53"/>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tcPr>
          <w:p>
            <w:pPr>
              <w:spacing w:before="156" w:beforeLines="50" w:after="312" w:afterLines="100"/>
              <w:jc w:val="center"/>
              <w:rPr>
                <w:rFonts w:eastAsia="黑体"/>
                <w:color w:val="000000" w:themeColor="text1"/>
                <w:sz w:val="32"/>
                <w:szCs w:val="32"/>
                <w:u w:val="single"/>
                <w14:textFill>
                  <w14:solidFill>
                    <w14:schemeClr w14:val="tx1"/>
                  </w14:solidFill>
                </w14:textFill>
              </w:rPr>
            </w:pPr>
          </w:p>
          <w:p>
            <w:pPr>
              <w:jc w:val="center"/>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江苏省广电有线信息网络股份有限公司</w:t>
            </w:r>
          </w:p>
          <w:p>
            <w:pPr>
              <w:jc w:val="center"/>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XXX项目</w:t>
            </w:r>
          </w:p>
          <w:p>
            <w:pPr>
              <w:spacing w:before="312" w:beforeLines="100" w:after="312" w:afterLines="100"/>
              <w:jc w:val="center"/>
              <w:rPr>
                <w:rFonts w:eastAsia="黑体"/>
                <w:color w:val="000000" w:themeColor="text1"/>
                <w:sz w:val="28"/>
                <w:szCs w:val="28"/>
                <w14:textFill>
                  <w14:solidFill>
                    <w14:schemeClr w14:val="tx1"/>
                  </w14:solidFill>
                </w14:textFill>
              </w:rPr>
            </w:pPr>
          </w:p>
          <w:p>
            <w:pPr>
              <w:pStyle w:val="2"/>
              <w:spacing w:before="312" w:beforeLines="100" w:after="312" w:afterLines="100"/>
              <w:jc w:val="center"/>
              <w:rPr>
                <w:rFonts w:eastAsia="黑体"/>
                <w:color w:val="000000" w:themeColor="text1"/>
                <w:szCs w:val="28"/>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jc w:val="center"/>
              <w:rPr>
                <w:rFonts w:eastAsia="黑体"/>
                <w:color w:val="000000" w:themeColor="text1"/>
                <w:sz w:val="52"/>
                <w:szCs w:val="36"/>
                <w14:textFill>
                  <w14:solidFill>
                    <w14:schemeClr w14:val="tx1"/>
                  </w14:solidFill>
                </w14:textFill>
              </w:rPr>
            </w:pPr>
            <w:r>
              <w:rPr>
                <w:rFonts w:hint="eastAsia" w:eastAsia="黑体"/>
                <w:color w:val="000000" w:themeColor="text1"/>
                <w:sz w:val="52"/>
                <w:szCs w:val="36"/>
                <w14:textFill>
                  <w14:solidFill>
                    <w14:schemeClr w14:val="tx1"/>
                  </w14:solidFill>
                </w14:textFill>
              </w:rPr>
              <w:t>响应文件</w:t>
            </w:r>
          </w:p>
          <w:p>
            <w:pPr>
              <w:spacing w:after="120"/>
              <w:jc w:val="center"/>
              <w:rPr>
                <w:rFonts w:eastAsia="PMingLiU"/>
                <w:color w:val="000000" w:themeColor="text1"/>
                <w:sz w:val="36"/>
                <w:szCs w:val="36"/>
                <w:lang w:val="zh-TW" w:eastAsia="zh-TW"/>
                <w14:textFill>
                  <w14:solidFill>
                    <w14:schemeClr w14:val="tx1"/>
                  </w14:solidFill>
                </w14:textFill>
              </w:rPr>
            </w:pPr>
            <w:r>
              <w:rPr>
                <w:rFonts w:hint="eastAsia" w:eastAsia="黑体"/>
                <w:color w:val="000000" w:themeColor="text1"/>
                <w:sz w:val="28"/>
                <w:szCs w:val="28"/>
                <w14:textFill>
                  <w14:solidFill>
                    <w14:schemeClr w14:val="tx1"/>
                  </w14:solidFill>
                </w14:textFill>
              </w:rPr>
              <w:t>（开标时间以前不得开封）</w:t>
            </w:r>
          </w:p>
          <w:p>
            <w:pPr>
              <w:spacing w:before="312" w:beforeLines="100" w:after="312" w:afterLines="100"/>
              <w:jc w:val="center"/>
              <w:rPr>
                <w:rFonts w:eastAsia="黑体"/>
                <w:color w:val="000000" w:themeColor="text1"/>
                <w:sz w:val="52"/>
                <w:szCs w:val="36"/>
                <w14:textFill>
                  <w14:solidFill>
                    <w14:schemeClr w14:val="tx1"/>
                  </w14:solidFill>
                </w14:textFill>
              </w:rPr>
            </w:pPr>
          </w:p>
          <w:p>
            <w:pPr>
              <w:pStyle w:val="2"/>
              <w:spacing w:before="312" w:beforeLines="100" w:after="312" w:afterLines="100"/>
              <w:jc w:val="center"/>
              <w:rPr>
                <w:rFonts w:eastAsia="黑体"/>
                <w:color w:val="000000" w:themeColor="text1"/>
                <w:sz w:val="52"/>
                <w:szCs w:val="36"/>
                <w14:textFill>
                  <w14:solidFill>
                    <w14:schemeClr w14:val="tx1"/>
                  </w14:solidFill>
                </w14:textFill>
              </w:rPr>
            </w:pPr>
          </w:p>
          <w:p>
            <w:pPr>
              <w:spacing w:line="360" w:lineRule="auto"/>
              <w:jc w:val="center"/>
              <w:rPr>
                <w:rFonts w:eastAsia="黑体"/>
                <w:color w:val="000000" w:themeColor="text1"/>
                <w:sz w:val="24"/>
                <w14:textFill>
                  <w14:solidFill>
                    <w14:schemeClr w14:val="tx1"/>
                  </w14:solidFill>
                </w14:textFill>
              </w:rPr>
            </w:pPr>
            <w:r>
              <w:rPr>
                <w:rFonts w:hint="eastAsia" w:eastAsia="黑体"/>
                <w:color w:val="000000" w:themeColor="text1"/>
                <w:sz w:val="24"/>
                <w14:textFill>
                  <w14:solidFill>
                    <w14:schemeClr w14:val="tx1"/>
                  </w14:solidFill>
                </w14:textFill>
              </w:rPr>
              <w:t>供应商</w:t>
            </w:r>
            <w:r>
              <w:rPr>
                <w:rFonts w:eastAsia="黑体"/>
                <w:color w:val="000000" w:themeColor="text1"/>
                <w:sz w:val="24"/>
                <w14:textFill>
                  <w14:solidFill>
                    <w14:schemeClr w14:val="tx1"/>
                  </w14:solidFill>
                </w14:textFill>
              </w:rPr>
              <w:t>：</w:t>
            </w:r>
            <w:r>
              <w:rPr>
                <w:rFonts w:eastAsia="黑体"/>
                <w:color w:val="000000" w:themeColor="text1"/>
                <w:sz w:val="24"/>
                <w:u w:val="single"/>
                <w14:textFill>
                  <w14:solidFill>
                    <w14:schemeClr w14:val="tx1"/>
                  </w14:solidFill>
                </w14:textFill>
              </w:rPr>
              <w:t xml:space="preserve">                         </w:t>
            </w:r>
            <w:r>
              <w:rPr>
                <w:rFonts w:eastAsia="黑体"/>
                <w:color w:val="000000" w:themeColor="text1"/>
                <w:sz w:val="24"/>
                <w14:textFill>
                  <w14:solidFill>
                    <w14:schemeClr w14:val="tx1"/>
                  </w14:solidFill>
                </w14:textFill>
              </w:rPr>
              <w:t>（盖单位章）</w:t>
            </w:r>
          </w:p>
          <w:p>
            <w:pPr>
              <w:spacing w:line="360" w:lineRule="auto"/>
              <w:jc w:val="center"/>
              <w:rPr>
                <w:rFonts w:eastAsia="黑体"/>
                <w:color w:val="000000" w:themeColor="text1"/>
                <w:sz w:val="24"/>
                <w14:textFill>
                  <w14:solidFill>
                    <w14:schemeClr w14:val="tx1"/>
                  </w14:solidFill>
                </w14:textFill>
              </w:rPr>
            </w:pPr>
            <w:r>
              <w:rPr>
                <w:rFonts w:eastAsia="黑体"/>
                <w:color w:val="000000" w:themeColor="text1"/>
                <w:sz w:val="24"/>
                <w14:textFill>
                  <w14:solidFill>
                    <w14:schemeClr w14:val="tx1"/>
                  </w14:solidFill>
                </w14:textFill>
              </w:rPr>
              <w:t>法定代表人或其委托的代理人：</w:t>
            </w:r>
            <w:r>
              <w:rPr>
                <w:rFonts w:eastAsia="黑体"/>
                <w:color w:val="000000" w:themeColor="text1"/>
                <w:sz w:val="24"/>
                <w:u w:val="single"/>
                <w14:textFill>
                  <w14:solidFill>
                    <w14:schemeClr w14:val="tx1"/>
                  </w14:solidFill>
                </w14:textFill>
              </w:rPr>
              <w:t xml:space="preserve">             </w:t>
            </w:r>
            <w:r>
              <w:rPr>
                <w:rFonts w:eastAsia="黑体"/>
                <w:color w:val="000000" w:themeColor="text1"/>
                <w:sz w:val="24"/>
                <w14:textFill>
                  <w14:solidFill>
                    <w14:schemeClr w14:val="tx1"/>
                  </w14:solidFill>
                </w14:textFill>
              </w:rPr>
              <w:t>（签字）</w:t>
            </w:r>
          </w:p>
          <w:p>
            <w:pPr>
              <w:spacing w:line="360" w:lineRule="auto"/>
              <w:ind w:firstLine="1440" w:firstLineChars="600"/>
              <w:rPr>
                <w:rFonts w:eastAsia="黑体"/>
                <w:color w:val="000000" w:themeColor="text1"/>
                <w:sz w:val="24"/>
                <w:u w:val="single"/>
                <w14:textFill>
                  <w14:solidFill>
                    <w14:schemeClr w14:val="tx1"/>
                  </w14:solidFill>
                </w14:textFill>
              </w:rPr>
            </w:pPr>
            <w:r>
              <w:rPr>
                <w:rFonts w:hint="eastAsia" w:eastAsia="黑体"/>
                <w:color w:val="000000" w:themeColor="text1"/>
                <w:sz w:val="24"/>
                <w14:textFill>
                  <w14:solidFill>
                    <w14:schemeClr w14:val="tx1"/>
                  </w14:solidFill>
                </w14:textFill>
              </w:rPr>
              <w:t>供应商</w:t>
            </w:r>
            <w:r>
              <w:rPr>
                <w:rFonts w:eastAsia="黑体"/>
                <w:color w:val="000000" w:themeColor="text1"/>
                <w:sz w:val="24"/>
                <w14:textFill>
                  <w14:solidFill>
                    <w14:schemeClr w14:val="tx1"/>
                  </w14:solidFill>
                </w14:textFill>
              </w:rPr>
              <w:t>地址：</w:t>
            </w:r>
            <w:r>
              <w:rPr>
                <w:rFonts w:eastAsia="黑体"/>
                <w:color w:val="000000" w:themeColor="text1"/>
                <w:sz w:val="24"/>
                <w:u w:val="single"/>
                <w14:textFill>
                  <w14:solidFill>
                    <w14:schemeClr w14:val="tx1"/>
                  </w14:solidFill>
                </w14:textFill>
              </w:rPr>
              <w:t xml:space="preserve">                            </w:t>
            </w:r>
          </w:p>
          <w:p>
            <w:pPr>
              <w:spacing w:after="624" w:afterLines="200"/>
              <w:ind w:firstLine="3000" w:firstLineChars="1250"/>
              <w:rPr>
                <w:color w:val="000000" w:themeColor="text1"/>
                <w:kern w:val="11"/>
                <w14:textFill>
                  <w14:solidFill>
                    <w14:schemeClr w14:val="tx1"/>
                  </w14:solidFill>
                </w14:textFill>
              </w:rPr>
            </w:pPr>
            <w:r>
              <w:rPr>
                <w:rFonts w:hint="eastAsia" w:eastAsia="黑体"/>
                <w:color w:val="000000" w:themeColor="text1"/>
                <w:sz w:val="24"/>
                <w14:textFill>
                  <w14:solidFill>
                    <w14:schemeClr w14:val="tx1"/>
                  </w14:solidFill>
                </w14:textFill>
              </w:rPr>
              <w:t xml:space="preserve"> </w:t>
            </w:r>
            <w:r>
              <w:rPr>
                <w:rFonts w:hint="eastAsia" w:eastAsia="黑体"/>
                <w:color w:val="000000" w:themeColor="text1"/>
                <w:sz w:val="24"/>
                <w:u w:val="single"/>
                <w14:textFill>
                  <w14:solidFill>
                    <w14:schemeClr w14:val="tx1"/>
                  </w14:solidFill>
                </w14:textFill>
              </w:rPr>
              <w:t xml:space="preserve">       </w:t>
            </w:r>
            <w:r>
              <w:rPr>
                <w:rFonts w:eastAsia="黑体"/>
                <w:color w:val="000000" w:themeColor="text1"/>
                <w:sz w:val="24"/>
                <w14:textFill>
                  <w14:solidFill>
                    <w14:schemeClr w14:val="tx1"/>
                  </w14:solidFill>
                </w14:textFill>
              </w:rPr>
              <w:t>年</w:t>
            </w:r>
            <w:r>
              <w:rPr>
                <w:rFonts w:eastAsia="黑体"/>
                <w:color w:val="000000" w:themeColor="text1"/>
                <w:sz w:val="24"/>
                <w:u w:val="single"/>
                <w14:textFill>
                  <w14:solidFill>
                    <w14:schemeClr w14:val="tx1"/>
                  </w14:solidFill>
                </w14:textFill>
              </w:rPr>
              <w:t xml:space="preserve">    </w:t>
            </w:r>
            <w:r>
              <w:rPr>
                <w:rFonts w:eastAsia="黑体"/>
                <w:color w:val="000000" w:themeColor="text1"/>
                <w:sz w:val="24"/>
                <w14:textFill>
                  <w14:solidFill>
                    <w14:schemeClr w14:val="tx1"/>
                  </w14:solidFill>
                </w14:textFill>
              </w:rPr>
              <w:t>月</w:t>
            </w:r>
            <w:r>
              <w:rPr>
                <w:rFonts w:eastAsia="黑体"/>
                <w:color w:val="000000" w:themeColor="text1"/>
                <w:sz w:val="24"/>
                <w:u w:val="single"/>
                <w14:textFill>
                  <w14:solidFill>
                    <w14:schemeClr w14:val="tx1"/>
                  </w14:solidFill>
                </w14:textFill>
              </w:rPr>
              <w:t xml:space="preserve">    </w:t>
            </w:r>
            <w:r>
              <w:rPr>
                <w:rFonts w:eastAsia="黑体"/>
                <w:color w:val="000000" w:themeColor="text1"/>
                <w:sz w:val="24"/>
                <w14:textFill>
                  <w14:solidFill>
                    <w14:schemeClr w14:val="tx1"/>
                  </w14:solidFill>
                </w14:textFill>
              </w:rPr>
              <w:t>日</w:t>
            </w:r>
          </w:p>
        </w:tc>
      </w:tr>
    </w:tbl>
    <w:p>
      <w:pPr>
        <w:rPr>
          <w:color w:val="000000" w:themeColor="text1"/>
          <w:kern w:val="11"/>
          <w:sz w:val="24"/>
          <w14:textFill>
            <w14:solidFill>
              <w14:schemeClr w14:val="tx1"/>
            </w14:solidFill>
          </w14:textFill>
        </w:rPr>
      </w:pPr>
    </w:p>
    <w:p>
      <w:pPr>
        <w:widowControl/>
        <w:jc w:val="left"/>
        <w:rPr>
          <w:color w:val="000000" w:themeColor="text1"/>
          <w14:textFill>
            <w14:solidFill>
              <w14:schemeClr w14:val="tx1"/>
            </w14:solidFill>
          </w14:textFill>
        </w:rPr>
      </w:pPr>
    </w:p>
    <w:p>
      <w:pPr>
        <w:widowControl/>
        <w:spacing w:line="360" w:lineRule="auto"/>
        <w:jc w:val="left"/>
        <w:rPr>
          <w:color w:val="000000" w:themeColor="text1"/>
          <w:kern w:val="11"/>
          <w:sz w:val="24"/>
          <w14:textFill>
            <w14:solidFill>
              <w14:schemeClr w14:val="tx1"/>
            </w14:solidFill>
          </w14:textFill>
        </w:rPr>
      </w:pPr>
    </w:p>
    <w:p>
      <w:pPr>
        <w:widowControl/>
        <w:spacing w:line="360" w:lineRule="auto"/>
        <w:jc w:val="left"/>
        <w:rPr>
          <w:color w:val="000000" w:themeColor="text1"/>
          <w:sz w:val="24"/>
          <w14:textFill>
            <w14:solidFill>
              <w14:schemeClr w14:val="tx1"/>
            </w14:solidFill>
          </w14:textFill>
        </w:rPr>
      </w:pPr>
      <w:r>
        <w:rPr>
          <w:rFonts w:hint="eastAsia"/>
          <w:color w:val="000000" w:themeColor="text1"/>
          <w:kern w:val="11"/>
          <w:sz w:val="24"/>
          <w14:textFill>
            <w14:solidFill>
              <w14:schemeClr w14:val="tx1"/>
            </w14:solidFill>
          </w14:textFill>
        </w:rPr>
        <w:t>响应文件电子版</w:t>
      </w:r>
      <w:r>
        <w:rPr>
          <w:color w:val="000000" w:themeColor="text1"/>
          <w:kern w:val="11"/>
          <w:sz w:val="24"/>
          <w14:textFill>
            <w14:solidFill>
              <w14:schemeClr w14:val="tx1"/>
            </w14:solidFill>
          </w14:textFill>
        </w:rPr>
        <w:t>封套格式</w:t>
      </w:r>
      <w:r>
        <w:rPr>
          <w:color w:val="000000" w:themeColor="text1"/>
          <w:sz w:val="24"/>
          <w14:textFill>
            <w14:solidFill>
              <w14:schemeClr w14:val="tx1"/>
            </w14:solidFill>
          </w14:textFill>
        </w:rPr>
        <w:t>如下：</w:t>
      </w:r>
    </w:p>
    <w:tbl>
      <w:tblPr>
        <w:tblStyle w:val="53"/>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tcPr>
          <w:p>
            <w:pPr>
              <w:spacing w:before="156" w:beforeLines="50" w:after="312" w:afterLines="100"/>
              <w:jc w:val="center"/>
              <w:rPr>
                <w:rFonts w:eastAsia="黑体"/>
                <w:color w:val="000000" w:themeColor="text1"/>
                <w:sz w:val="32"/>
                <w:szCs w:val="32"/>
                <w:u w:val="single"/>
                <w14:textFill>
                  <w14:solidFill>
                    <w14:schemeClr w14:val="tx1"/>
                  </w14:solidFill>
                </w14:textFill>
              </w:rPr>
            </w:pPr>
          </w:p>
          <w:p>
            <w:pPr>
              <w:jc w:val="center"/>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江苏省广电有线信息网络股份有限公司</w:t>
            </w:r>
          </w:p>
          <w:p>
            <w:pPr>
              <w:jc w:val="center"/>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XXX项目</w:t>
            </w:r>
          </w:p>
          <w:p>
            <w:pPr>
              <w:jc w:val="center"/>
              <w:rPr>
                <w:rFonts w:eastAsia="黑体"/>
                <w:color w:val="000000" w:themeColor="text1"/>
                <w:sz w:val="28"/>
                <w:szCs w:val="28"/>
                <w14:textFill>
                  <w14:solidFill>
                    <w14:schemeClr w14:val="tx1"/>
                  </w14:solidFill>
                </w14:textFill>
              </w:rPr>
            </w:pPr>
          </w:p>
          <w:p>
            <w:pPr>
              <w:pStyle w:val="2"/>
              <w:jc w:val="center"/>
              <w:rPr>
                <w:rFonts w:eastAsia="黑体"/>
                <w:color w:val="000000" w:themeColor="text1"/>
                <w:szCs w:val="28"/>
                <w:u w:val="single"/>
                <w14:textFill>
                  <w14:solidFill>
                    <w14:schemeClr w14:val="tx1"/>
                  </w14:solidFill>
                </w14:textFill>
              </w:rPr>
            </w:pPr>
          </w:p>
          <w:p>
            <w:pPr>
              <w:spacing w:before="312" w:beforeLines="100" w:after="312" w:afterLines="100"/>
              <w:jc w:val="center"/>
              <w:rPr>
                <w:rFonts w:eastAsia="黑体"/>
                <w:color w:val="000000" w:themeColor="text1"/>
                <w:sz w:val="52"/>
                <w:szCs w:val="36"/>
                <w14:textFill>
                  <w14:solidFill>
                    <w14:schemeClr w14:val="tx1"/>
                  </w14:solidFill>
                </w14:textFill>
              </w:rPr>
            </w:pPr>
          </w:p>
          <w:p>
            <w:pPr>
              <w:jc w:val="center"/>
              <w:rPr>
                <w:rFonts w:eastAsia="黑体"/>
                <w:color w:val="000000" w:themeColor="text1"/>
                <w:sz w:val="52"/>
                <w:szCs w:val="36"/>
                <w14:textFill>
                  <w14:solidFill>
                    <w14:schemeClr w14:val="tx1"/>
                  </w14:solidFill>
                </w14:textFill>
              </w:rPr>
            </w:pPr>
            <w:r>
              <w:rPr>
                <w:rFonts w:hint="eastAsia" w:eastAsia="黑体"/>
                <w:color w:val="000000" w:themeColor="text1"/>
                <w:sz w:val="52"/>
                <w:szCs w:val="36"/>
                <w14:textFill>
                  <w14:solidFill>
                    <w14:schemeClr w14:val="tx1"/>
                  </w14:solidFill>
                </w14:textFill>
              </w:rPr>
              <w:t>响应文件电子版</w:t>
            </w:r>
          </w:p>
          <w:p>
            <w:pPr>
              <w:spacing w:after="120"/>
              <w:jc w:val="center"/>
              <w:rPr>
                <w:rFonts w:eastAsia="PMingLiU"/>
                <w:color w:val="000000" w:themeColor="text1"/>
                <w:sz w:val="36"/>
                <w:szCs w:val="36"/>
                <w:lang w:val="zh-TW" w:eastAsia="zh-TW"/>
                <w14:textFill>
                  <w14:solidFill>
                    <w14:schemeClr w14:val="tx1"/>
                  </w14:solidFill>
                </w14:textFill>
              </w:rPr>
            </w:pPr>
            <w:r>
              <w:rPr>
                <w:rFonts w:hint="eastAsia" w:eastAsia="黑体"/>
                <w:color w:val="000000" w:themeColor="text1"/>
                <w:sz w:val="28"/>
                <w:szCs w:val="28"/>
                <w14:textFill>
                  <w14:solidFill>
                    <w14:schemeClr w14:val="tx1"/>
                  </w14:solidFill>
                </w14:textFill>
              </w:rPr>
              <w:t>（开标时间以前不得开封）</w:t>
            </w:r>
          </w:p>
          <w:p>
            <w:pPr>
              <w:jc w:val="center"/>
              <w:rPr>
                <w:rFonts w:eastAsia="黑体"/>
                <w:b/>
                <w:bCs/>
                <w:color w:val="000000" w:themeColor="text1"/>
                <w:sz w:val="44"/>
                <w:szCs w:val="44"/>
                <w:lang w:eastAsia="zh-TW"/>
                <w14:textFill>
                  <w14:solidFill>
                    <w14:schemeClr w14:val="tx1"/>
                  </w14:solidFill>
                </w14:textFill>
              </w:rPr>
            </w:pPr>
          </w:p>
          <w:p>
            <w:pPr>
              <w:spacing w:before="312" w:beforeLines="100" w:after="312" w:afterLines="100"/>
              <w:jc w:val="center"/>
              <w:rPr>
                <w:rFonts w:eastAsia="黑体"/>
                <w:color w:val="000000" w:themeColor="text1"/>
                <w:sz w:val="52"/>
                <w:szCs w:val="36"/>
                <w14:textFill>
                  <w14:solidFill>
                    <w14:schemeClr w14:val="tx1"/>
                  </w14:solidFill>
                </w14:textFill>
              </w:rPr>
            </w:pPr>
          </w:p>
          <w:p>
            <w:pPr>
              <w:spacing w:line="360" w:lineRule="auto"/>
              <w:jc w:val="center"/>
              <w:rPr>
                <w:rFonts w:eastAsia="黑体"/>
                <w:color w:val="000000" w:themeColor="text1"/>
                <w:sz w:val="24"/>
                <w14:textFill>
                  <w14:solidFill>
                    <w14:schemeClr w14:val="tx1"/>
                  </w14:solidFill>
                </w14:textFill>
              </w:rPr>
            </w:pPr>
            <w:r>
              <w:rPr>
                <w:rFonts w:hint="eastAsia" w:eastAsia="黑体"/>
                <w:color w:val="000000" w:themeColor="text1"/>
                <w:sz w:val="24"/>
                <w14:textFill>
                  <w14:solidFill>
                    <w14:schemeClr w14:val="tx1"/>
                  </w14:solidFill>
                </w14:textFill>
              </w:rPr>
              <w:t>供应商</w:t>
            </w:r>
            <w:r>
              <w:rPr>
                <w:rFonts w:eastAsia="黑体"/>
                <w:color w:val="000000" w:themeColor="text1"/>
                <w:sz w:val="24"/>
                <w14:textFill>
                  <w14:solidFill>
                    <w14:schemeClr w14:val="tx1"/>
                  </w14:solidFill>
                </w14:textFill>
              </w:rPr>
              <w:t>：</w:t>
            </w:r>
            <w:r>
              <w:rPr>
                <w:rFonts w:eastAsia="黑体"/>
                <w:color w:val="000000" w:themeColor="text1"/>
                <w:sz w:val="24"/>
                <w:u w:val="single"/>
                <w14:textFill>
                  <w14:solidFill>
                    <w14:schemeClr w14:val="tx1"/>
                  </w14:solidFill>
                </w14:textFill>
              </w:rPr>
              <w:t xml:space="preserve">                         </w:t>
            </w:r>
            <w:r>
              <w:rPr>
                <w:rFonts w:eastAsia="黑体"/>
                <w:color w:val="000000" w:themeColor="text1"/>
                <w:sz w:val="24"/>
                <w14:textFill>
                  <w14:solidFill>
                    <w14:schemeClr w14:val="tx1"/>
                  </w14:solidFill>
                </w14:textFill>
              </w:rPr>
              <w:t>（盖单位章）</w:t>
            </w:r>
          </w:p>
          <w:p>
            <w:pPr>
              <w:spacing w:line="360" w:lineRule="auto"/>
              <w:jc w:val="center"/>
              <w:rPr>
                <w:rFonts w:eastAsia="黑体"/>
                <w:color w:val="000000" w:themeColor="text1"/>
                <w:sz w:val="24"/>
                <w14:textFill>
                  <w14:solidFill>
                    <w14:schemeClr w14:val="tx1"/>
                  </w14:solidFill>
                </w14:textFill>
              </w:rPr>
            </w:pPr>
            <w:r>
              <w:rPr>
                <w:rFonts w:eastAsia="黑体"/>
                <w:color w:val="000000" w:themeColor="text1"/>
                <w:sz w:val="24"/>
                <w14:textFill>
                  <w14:solidFill>
                    <w14:schemeClr w14:val="tx1"/>
                  </w14:solidFill>
                </w14:textFill>
              </w:rPr>
              <w:t>法定代表人或其委托的代理人：</w:t>
            </w:r>
            <w:r>
              <w:rPr>
                <w:rFonts w:eastAsia="黑体"/>
                <w:color w:val="000000" w:themeColor="text1"/>
                <w:sz w:val="24"/>
                <w:u w:val="single"/>
                <w14:textFill>
                  <w14:solidFill>
                    <w14:schemeClr w14:val="tx1"/>
                  </w14:solidFill>
                </w14:textFill>
              </w:rPr>
              <w:t xml:space="preserve">             </w:t>
            </w:r>
            <w:r>
              <w:rPr>
                <w:rFonts w:eastAsia="黑体"/>
                <w:color w:val="000000" w:themeColor="text1"/>
                <w:sz w:val="24"/>
                <w14:textFill>
                  <w14:solidFill>
                    <w14:schemeClr w14:val="tx1"/>
                  </w14:solidFill>
                </w14:textFill>
              </w:rPr>
              <w:t>（签字）</w:t>
            </w:r>
          </w:p>
          <w:p>
            <w:pPr>
              <w:spacing w:line="360" w:lineRule="auto"/>
              <w:ind w:firstLine="1440" w:firstLineChars="600"/>
              <w:rPr>
                <w:rFonts w:eastAsia="黑体"/>
                <w:color w:val="000000" w:themeColor="text1"/>
                <w:sz w:val="24"/>
                <w:u w:val="single"/>
                <w14:textFill>
                  <w14:solidFill>
                    <w14:schemeClr w14:val="tx1"/>
                  </w14:solidFill>
                </w14:textFill>
              </w:rPr>
            </w:pPr>
            <w:r>
              <w:rPr>
                <w:rFonts w:hint="eastAsia" w:eastAsia="黑体"/>
                <w:color w:val="000000" w:themeColor="text1"/>
                <w:sz w:val="24"/>
                <w14:textFill>
                  <w14:solidFill>
                    <w14:schemeClr w14:val="tx1"/>
                  </w14:solidFill>
                </w14:textFill>
              </w:rPr>
              <w:t>供应商</w:t>
            </w:r>
            <w:r>
              <w:rPr>
                <w:rFonts w:eastAsia="黑体"/>
                <w:color w:val="000000" w:themeColor="text1"/>
                <w:sz w:val="24"/>
                <w14:textFill>
                  <w14:solidFill>
                    <w14:schemeClr w14:val="tx1"/>
                  </w14:solidFill>
                </w14:textFill>
              </w:rPr>
              <w:t>地址：</w:t>
            </w:r>
            <w:r>
              <w:rPr>
                <w:rFonts w:eastAsia="黑体"/>
                <w:color w:val="000000" w:themeColor="text1"/>
                <w:sz w:val="24"/>
                <w:u w:val="single"/>
                <w14:textFill>
                  <w14:solidFill>
                    <w14:schemeClr w14:val="tx1"/>
                  </w14:solidFill>
                </w14:textFill>
              </w:rPr>
              <w:t xml:space="preserve">                            </w:t>
            </w:r>
          </w:p>
          <w:p>
            <w:pPr>
              <w:spacing w:after="624" w:afterLines="200"/>
              <w:ind w:firstLine="3000" w:firstLineChars="1250"/>
              <w:rPr>
                <w:color w:val="000000" w:themeColor="text1"/>
                <w:kern w:val="11"/>
                <w14:textFill>
                  <w14:solidFill>
                    <w14:schemeClr w14:val="tx1"/>
                  </w14:solidFill>
                </w14:textFill>
              </w:rPr>
            </w:pPr>
            <w:r>
              <w:rPr>
                <w:rFonts w:hint="eastAsia" w:eastAsia="黑体"/>
                <w:color w:val="000000" w:themeColor="text1"/>
                <w:sz w:val="24"/>
                <w14:textFill>
                  <w14:solidFill>
                    <w14:schemeClr w14:val="tx1"/>
                  </w14:solidFill>
                </w14:textFill>
              </w:rPr>
              <w:t xml:space="preserve"> </w:t>
            </w:r>
            <w:r>
              <w:rPr>
                <w:rFonts w:hint="eastAsia" w:eastAsia="黑体"/>
                <w:color w:val="000000" w:themeColor="text1"/>
                <w:sz w:val="24"/>
                <w:u w:val="single"/>
                <w14:textFill>
                  <w14:solidFill>
                    <w14:schemeClr w14:val="tx1"/>
                  </w14:solidFill>
                </w14:textFill>
              </w:rPr>
              <w:t xml:space="preserve">       </w:t>
            </w:r>
            <w:r>
              <w:rPr>
                <w:rFonts w:eastAsia="黑体"/>
                <w:color w:val="000000" w:themeColor="text1"/>
                <w:sz w:val="24"/>
                <w14:textFill>
                  <w14:solidFill>
                    <w14:schemeClr w14:val="tx1"/>
                  </w14:solidFill>
                </w14:textFill>
              </w:rPr>
              <w:t>年</w:t>
            </w:r>
            <w:r>
              <w:rPr>
                <w:rFonts w:eastAsia="黑体"/>
                <w:color w:val="000000" w:themeColor="text1"/>
                <w:sz w:val="24"/>
                <w:u w:val="single"/>
                <w14:textFill>
                  <w14:solidFill>
                    <w14:schemeClr w14:val="tx1"/>
                  </w14:solidFill>
                </w14:textFill>
              </w:rPr>
              <w:t xml:space="preserve">    </w:t>
            </w:r>
            <w:r>
              <w:rPr>
                <w:rFonts w:eastAsia="黑体"/>
                <w:color w:val="000000" w:themeColor="text1"/>
                <w:sz w:val="24"/>
                <w14:textFill>
                  <w14:solidFill>
                    <w14:schemeClr w14:val="tx1"/>
                  </w14:solidFill>
                </w14:textFill>
              </w:rPr>
              <w:t>月</w:t>
            </w:r>
            <w:r>
              <w:rPr>
                <w:rFonts w:eastAsia="黑体"/>
                <w:color w:val="000000" w:themeColor="text1"/>
                <w:sz w:val="24"/>
                <w:u w:val="single"/>
                <w14:textFill>
                  <w14:solidFill>
                    <w14:schemeClr w14:val="tx1"/>
                  </w14:solidFill>
                </w14:textFill>
              </w:rPr>
              <w:t xml:space="preserve">    </w:t>
            </w:r>
            <w:r>
              <w:rPr>
                <w:rFonts w:eastAsia="黑体"/>
                <w:color w:val="000000" w:themeColor="text1"/>
                <w:sz w:val="24"/>
                <w14:textFill>
                  <w14:solidFill>
                    <w14:schemeClr w14:val="tx1"/>
                  </w14:solidFill>
                </w14:textFill>
              </w:rPr>
              <w:t>日</w:t>
            </w:r>
          </w:p>
        </w:tc>
      </w:tr>
    </w:tbl>
    <w:p>
      <w:pPr>
        <w:rPr>
          <w:color w:val="000000" w:themeColor="text1"/>
          <w:kern w:val="11"/>
          <w:sz w:val="24"/>
          <w14:textFill>
            <w14:solidFill>
              <w14:schemeClr w14:val="tx1"/>
            </w14:solidFill>
          </w14:textFill>
        </w:rPr>
      </w:pPr>
    </w:p>
    <w:p>
      <w:pPr>
        <w:widowControl/>
        <w:jc w:val="left"/>
        <w:rPr>
          <w:color w:val="000000" w:themeColor="text1"/>
          <w:kern w:val="11"/>
          <w:sz w:val="24"/>
          <w14:textFill>
            <w14:solidFill>
              <w14:schemeClr w14:val="tx1"/>
            </w14:solidFill>
          </w14:textFill>
        </w:rPr>
      </w:pPr>
      <w:r>
        <w:rPr>
          <w:color w:val="000000" w:themeColor="text1"/>
          <w:kern w:val="11"/>
          <w:sz w:val="24"/>
          <w14:textFill>
            <w14:solidFill>
              <w14:schemeClr w14:val="tx1"/>
            </w14:solidFill>
          </w14:textFill>
        </w:rPr>
        <w:br w:type="page"/>
      </w:r>
    </w:p>
    <w:p>
      <w:pPr>
        <w:widowControl/>
        <w:jc w:val="left"/>
        <w:rPr>
          <w:rFonts w:eastAsia="黑体"/>
          <w:bCs/>
          <w:color w:val="000000" w:themeColor="text1"/>
          <w:kern w:val="44"/>
          <w:sz w:val="30"/>
          <w:szCs w:val="44"/>
          <w14:textFill>
            <w14:solidFill>
              <w14:schemeClr w14:val="tx1"/>
            </w14:solidFill>
          </w14:textFill>
        </w:rPr>
      </w:pPr>
      <w:r>
        <w:rPr>
          <w:rFonts w:hint="eastAsia"/>
          <w:color w:val="000000" w:themeColor="text1"/>
          <w:kern w:val="11"/>
          <w:sz w:val="24"/>
          <w14:textFill>
            <w14:solidFill>
              <w14:schemeClr w14:val="tx1"/>
            </w14:solidFill>
          </w14:textFill>
        </w:rPr>
        <w:t>响应</w:t>
      </w:r>
      <w:r>
        <w:rPr>
          <w:color w:val="000000" w:themeColor="text1"/>
          <w:kern w:val="11"/>
          <w:sz w:val="24"/>
          <w14:textFill>
            <w14:solidFill>
              <w14:schemeClr w14:val="tx1"/>
            </w14:solidFill>
          </w14:textFill>
        </w:rPr>
        <w:t>文件</w:t>
      </w:r>
      <w:r>
        <w:rPr>
          <w:rFonts w:hint="eastAsia"/>
          <w:color w:val="000000" w:themeColor="text1"/>
          <w:kern w:val="11"/>
          <w:sz w:val="24"/>
          <w14:textFill>
            <w14:solidFill>
              <w14:schemeClr w14:val="tx1"/>
            </w14:solidFill>
          </w14:textFill>
        </w:rPr>
        <w:t>封口格式</w:t>
      </w:r>
    </w:p>
    <w:tbl>
      <w:tblPr>
        <w:tblStyle w:val="5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8522" w:type="dxa"/>
            <w:shd w:val="clear" w:color="auto" w:fill="auto"/>
            <w:vAlign w:val="center"/>
          </w:tcPr>
          <w:p>
            <w:pPr>
              <w:spacing w:line="360" w:lineRule="auto"/>
              <w:jc w:val="center"/>
              <w:rPr>
                <w:color w:val="000000" w:themeColor="text1"/>
                <w14:textFill>
                  <w14:solidFill>
                    <w14:schemeClr w14:val="tx1"/>
                  </w14:solidFill>
                </w14:textFill>
              </w:rPr>
            </w:pPr>
            <w:r>
              <w:rPr>
                <w:b/>
                <w:bCs/>
                <w:color w:val="000000" w:themeColor="text1"/>
                <w:kern w:val="11"/>
                <w:sz w:val="24"/>
                <w14:textFill>
                  <w14:solidFill>
                    <w14:schemeClr w14:val="tx1"/>
                  </w14:solidFill>
                </w14:textFill>
              </w:rPr>
              <w:t>--------------</w:t>
            </w:r>
            <w:r>
              <w:rPr>
                <w:rFonts w:ascii="黑体" w:hAnsi="黑体" w:eastAsia="黑体"/>
                <w:bCs/>
                <w:color w:val="000000" w:themeColor="text1"/>
                <w:kern w:val="11"/>
                <w:sz w:val="24"/>
                <w14:textFill>
                  <w14:solidFill>
                    <w14:schemeClr w14:val="tx1"/>
                  </w14:solidFill>
                </w14:textFill>
              </w:rPr>
              <w:t xml:space="preserve">于    年  月  日  </w:t>
            </w:r>
            <w:r>
              <w:rPr>
                <w:rFonts w:hint="eastAsia" w:ascii="黑体" w:hAnsi="黑体" w:eastAsia="黑体"/>
                <w:bCs/>
                <w:color w:val="000000" w:themeColor="text1"/>
                <w:kern w:val="11"/>
                <w:sz w:val="24"/>
                <w14:textFill>
                  <w14:solidFill>
                    <w14:schemeClr w14:val="tx1"/>
                  </w14:solidFill>
                </w14:textFill>
              </w:rPr>
              <w:t>时  分</w:t>
            </w:r>
            <w:r>
              <w:rPr>
                <w:rFonts w:ascii="黑体" w:hAnsi="黑体" w:eastAsia="黑体"/>
                <w:bCs/>
                <w:color w:val="000000" w:themeColor="text1"/>
                <w:kern w:val="11"/>
                <w:sz w:val="24"/>
                <w14:textFill>
                  <w14:solidFill>
                    <w14:schemeClr w14:val="tx1"/>
                  </w14:solidFill>
                </w14:textFill>
              </w:rPr>
              <w:t>之前不准启封（公章）</w:t>
            </w:r>
            <w:r>
              <w:rPr>
                <w:b/>
                <w:bCs/>
                <w:color w:val="000000" w:themeColor="text1"/>
                <w:kern w:val="11"/>
                <w:sz w:val="24"/>
                <w14:textFill>
                  <w14:solidFill>
                    <w14:schemeClr w14:val="tx1"/>
                  </w14:solidFill>
                </w14:textFill>
              </w:rPr>
              <w:t>----------------</w:t>
            </w:r>
          </w:p>
        </w:tc>
      </w:tr>
    </w:tbl>
    <w:p>
      <w:pPr>
        <w:rPr>
          <w:color w:val="000000" w:themeColor="text1"/>
          <w14:textFill>
            <w14:solidFill>
              <w14:schemeClr w14:val="tx1"/>
            </w14:solidFill>
          </w14:textFill>
        </w:rPr>
      </w:pPr>
    </w:p>
    <w:p>
      <w:pPr>
        <w:pStyle w:val="2"/>
        <w:jc w:val="cente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2"/>
        <w:jc w:val="center"/>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响应确认信息表</w:t>
      </w:r>
    </w:p>
    <w:p>
      <w:pPr>
        <w:widowControl/>
        <w:jc w:val="left"/>
        <w:rPr>
          <w:rFonts w:ascii="Arial" w:hAnsi="Arial" w:eastAsia="黑体"/>
          <w:bCs/>
          <w:color w:val="000000" w:themeColor="text1"/>
          <w:sz w:val="28"/>
          <w:szCs w:val="32"/>
          <w14:textFill>
            <w14:solidFill>
              <w14:schemeClr w14:val="tx1"/>
            </w14:solidFill>
          </w14:textFill>
        </w:rPr>
      </w:pPr>
    </w:p>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江苏省广电有线信息网络股份有限公司：</w:t>
      </w:r>
    </w:p>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我单位申请参与贵单位</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项目。</w:t>
      </w:r>
    </w:p>
    <w:p>
      <w:pPr>
        <w:pStyle w:val="2"/>
        <w:ind w:firstLine="56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现委派我单位</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姓名</w:t>
      </w:r>
      <w:r>
        <w:rPr>
          <w:rFonts w:hint="eastAsia"/>
          <w:color w:val="000000" w:themeColor="text1"/>
          <w:u w:val="single"/>
          <w14:textFill>
            <w14:solidFill>
              <w14:schemeClr w14:val="tx1"/>
            </w14:solidFill>
          </w14:textFill>
        </w:rPr>
        <w:t>)</w:t>
      </w:r>
      <w:r>
        <w:rPr>
          <w:rFonts w:hint="eastAsia"/>
          <w:color w:val="000000" w:themeColor="text1"/>
          <w14:textFill>
            <w14:solidFill>
              <w14:schemeClr w14:val="tx1"/>
            </w14:solidFill>
          </w14:textFill>
        </w:rPr>
        <w:t>负责本项目报名和正式采购前的联系工作，详细信息如下（以下信息均为必填项）：</w:t>
      </w:r>
    </w:p>
    <w:p>
      <w:pPr>
        <w:pStyle w:val="2"/>
        <w:ind w:firstLine="420" w:firstLineChars="15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1.姓名：</w:t>
      </w:r>
    </w:p>
    <w:p>
      <w:pPr>
        <w:pStyle w:val="2"/>
        <w:ind w:firstLine="420" w:firstLineChars="15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2.身份证号：</w:t>
      </w:r>
    </w:p>
    <w:p>
      <w:pPr>
        <w:pStyle w:val="2"/>
        <w:ind w:firstLine="420" w:firstLineChars="15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3.职位：</w:t>
      </w:r>
    </w:p>
    <w:p>
      <w:pPr>
        <w:pStyle w:val="2"/>
        <w:ind w:firstLine="420" w:firstLineChars="15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4.联系电话（手机）：</w:t>
      </w:r>
    </w:p>
    <w:p>
      <w:pPr>
        <w:pStyle w:val="2"/>
        <w:ind w:firstLine="420" w:firstLineChars="15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5.联系电子邮箱：</w:t>
      </w:r>
    </w:p>
    <w:p>
      <w:pPr>
        <w:pStyle w:val="2"/>
        <w:ind w:firstLine="420" w:firstLineChars="15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6.微信号:</w:t>
      </w:r>
    </w:p>
    <w:p>
      <w:pPr>
        <w:pStyle w:val="2"/>
        <w:ind w:firstLine="420" w:firstLineChars="15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7.响应文件递送方式：</w:t>
      </w:r>
    </w:p>
    <w:p>
      <w:pPr>
        <w:pStyle w:val="26"/>
        <w:ind w:firstLine="200"/>
        <w:rPr>
          <w:color w:val="000000" w:themeColor="text1"/>
          <w14:textFill>
            <w14:solidFill>
              <w14:schemeClr w14:val="tx1"/>
            </w14:solidFill>
          </w14:textFill>
        </w:rPr>
      </w:pPr>
    </w:p>
    <w:p>
      <w:pPr>
        <w:pStyle w:val="26"/>
        <w:ind w:firstLine="200"/>
        <w:rPr>
          <w:color w:val="000000" w:themeColor="text1"/>
          <w14:textFill>
            <w14:solidFill>
              <w14:schemeClr w14:val="tx1"/>
            </w14:solidFill>
          </w14:textFill>
        </w:rPr>
      </w:pPr>
    </w:p>
    <w:p>
      <w:pPr>
        <w:pStyle w:val="26"/>
        <w:ind w:firstLine="200"/>
        <w:rPr>
          <w:color w:val="000000" w:themeColor="text1"/>
          <w14:textFill>
            <w14:solidFill>
              <w14:schemeClr w14:val="tx1"/>
            </w14:solidFill>
          </w14:textFill>
        </w:rPr>
      </w:pPr>
    </w:p>
    <w:p>
      <w:pPr>
        <w:pStyle w:val="2"/>
        <w:ind w:firstLine="56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供应商：</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（盖章）</w:t>
      </w:r>
    </w:p>
    <w:p>
      <w:pPr>
        <w:pStyle w:val="2"/>
        <w:ind w:firstLine="56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日期：</w:t>
      </w:r>
    </w:p>
    <w:p>
      <w:pPr>
        <w:pStyle w:val="26"/>
        <w:ind w:firstLine="2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p>
      <w:pPr>
        <w:pStyle w:val="2"/>
        <w:adjustRightInd w:val="0"/>
        <w:snapToGrid w:val="0"/>
        <w:spacing w:line="440" w:lineRule="exact"/>
        <w:jc w:val="center"/>
        <w:rPr>
          <w:rFonts w:ascii="宋体" w:hAnsi="宋体"/>
          <w:color w:val="000000" w:themeColor="text1"/>
          <w:sz w:val="44"/>
          <w:szCs w:val="44"/>
          <w14:textFill>
            <w14:solidFill>
              <w14:schemeClr w14:val="tx1"/>
            </w14:solidFill>
          </w14:textFill>
        </w:rPr>
      </w:pPr>
      <w:r>
        <w:rPr>
          <w:color w:val="000000" w:themeColor="text1"/>
          <w14:textFill>
            <w14:solidFill>
              <w14:schemeClr w14:val="tx1"/>
            </w14:solidFill>
          </w14:textFill>
        </w:rPr>
        <w:br w:type="page"/>
      </w:r>
    </w:p>
    <w:p>
      <w:pPr>
        <w:pStyle w:val="26"/>
        <w:snapToGrid w:val="0"/>
        <w:spacing w:line="520" w:lineRule="exact"/>
        <w:ind w:firstLine="206" w:firstLineChars="47"/>
        <w:jc w:val="center"/>
        <w:rPr>
          <w:rFonts w:ascii="宋体" w:hAnsi="宋体"/>
          <w:color w:val="000000" w:themeColor="text1"/>
          <w:sz w:val="44"/>
          <w:szCs w:val="44"/>
          <w14:textFill>
            <w14:solidFill>
              <w14:schemeClr w14:val="tx1"/>
            </w14:solidFill>
          </w14:textFill>
        </w:rPr>
      </w:pPr>
      <w:r>
        <w:rPr>
          <w:rFonts w:hint="eastAsia" w:ascii="宋体" w:hAnsi="宋体"/>
          <w:color w:val="000000" w:themeColor="text1"/>
          <w:sz w:val="44"/>
          <w:szCs w:val="44"/>
          <w14:textFill>
            <w14:solidFill>
              <w14:schemeClr w14:val="tx1"/>
            </w14:solidFill>
          </w14:textFill>
        </w:rPr>
        <w:t>承诺函（含最终报价）</w:t>
      </w:r>
    </w:p>
    <w:p>
      <w:pPr>
        <w:pStyle w:val="26"/>
        <w:snapToGrid w:val="0"/>
        <w:spacing w:line="520" w:lineRule="exact"/>
        <w:ind w:firstLine="1100" w:firstLineChars="250"/>
        <w:jc w:val="center"/>
        <w:rPr>
          <w:rFonts w:ascii="宋体" w:hAnsi="宋体"/>
          <w:color w:val="000000" w:themeColor="text1"/>
          <w:sz w:val="44"/>
          <w:szCs w:val="44"/>
          <w14:textFill>
            <w14:solidFill>
              <w14:schemeClr w14:val="tx1"/>
            </w14:solidFill>
          </w14:textFill>
        </w:rPr>
      </w:pPr>
    </w:p>
    <w:p>
      <w:pPr>
        <w:pStyle w:val="26"/>
        <w:snapToGrid w:val="0"/>
        <w:spacing w:line="520" w:lineRule="exact"/>
        <w:ind w:firstLine="150" w:firstLineChars="47"/>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江苏省广电有线信息网络股份有限公司：</w:t>
      </w:r>
    </w:p>
    <w:p>
      <w:pPr>
        <w:pStyle w:val="26"/>
        <w:snapToGrid w:val="0"/>
        <w:spacing w:line="520" w:lineRule="exact"/>
        <w:ind w:left="6" w:leftChars="3" w:firstLine="800" w:firstLineChars="250"/>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我单位于</w:t>
      </w:r>
      <w:r>
        <w:rPr>
          <w:rFonts w:hint="eastAsia" w:ascii="宋体" w:hAnsi="宋体"/>
          <w:color w:val="000000" w:themeColor="text1"/>
          <w:sz w:val="32"/>
          <w:szCs w:val="32"/>
          <w:u w:val="single"/>
          <w14:textFill>
            <w14:solidFill>
              <w14:schemeClr w14:val="tx1"/>
            </w14:solidFill>
          </w14:textFill>
        </w:rPr>
        <w:t xml:space="preserve">     </w:t>
      </w:r>
      <w:r>
        <w:rPr>
          <w:rFonts w:hint="eastAsia" w:ascii="宋体" w:hAnsi="宋体"/>
          <w:color w:val="000000" w:themeColor="text1"/>
          <w:sz w:val="32"/>
          <w:szCs w:val="32"/>
          <w14:textFill>
            <w14:solidFill>
              <w14:schemeClr w14:val="tx1"/>
            </w14:solidFill>
          </w14:textFill>
        </w:rPr>
        <w:t>年</w:t>
      </w:r>
      <w:r>
        <w:rPr>
          <w:rFonts w:hint="eastAsia" w:ascii="宋体" w:hAnsi="宋体"/>
          <w:color w:val="000000" w:themeColor="text1"/>
          <w:sz w:val="32"/>
          <w:szCs w:val="32"/>
          <w:u w:val="single"/>
          <w14:textFill>
            <w14:solidFill>
              <w14:schemeClr w14:val="tx1"/>
            </w14:solidFill>
          </w14:textFill>
        </w:rPr>
        <w:t xml:space="preserve">    </w:t>
      </w:r>
      <w:r>
        <w:rPr>
          <w:rFonts w:hint="eastAsia" w:ascii="宋体" w:hAnsi="宋体"/>
          <w:color w:val="000000" w:themeColor="text1"/>
          <w:sz w:val="32"/>
          <w:szCs w:val="32"/>
          <w14:textFill>
            <w14:solidFill>
              <w14:schemeClr w14:val="tx1"/>
            </w14:solidFill>
          </w14:textFill>
        </w:rPr>
        <w:t>月</w:t>
      </w:r>
      <w:r>
        <w:rPr>
          <w:rFonts w:hint="eastAsia" w:ascii="宋体" w:hAnsi="宋体"/>
          <w:color w:val="000000" w:themeColor="text1"/>
          <w:sz w:val="32"/>
          <w:szCs w:val="32"/>
          <w:u w:val="single"/>
          <w14:textFill>
            <w14:solidFill>
              <w14:schemeClr w14:val="tx1"/>
            </w14:solidFill>
          </w14:textFill>
        </w:rPr>
        <w:t xml:space="preserve">    </w:t>
      </w:r>
      <w:r>
        <w:rPr>
          <w:rFonts w:hint="eastAsia" w:ascii="宋体" w:hAnsi="宋体"/>
          <w:color w:val="000000" w:themeColor="text1"/>
          <w:sz w:val="32"/>
          <w:szCs w:val="32"/>
          <w14:textFill>
            <w14:solidFill>
              <w14:schemeClr w14:val="tx1"/>
            </w14:solidFill>
          </w14:textFill>
        </w:rPr>
        <w:t>日参与贵司</w:t>
      </w:r>
      <w:r>
        <w:rPr>
          <w:rFonts w:hint="eastAsia" w:ascii="宋体" w:hAnsi="宋体"/>
          <w:color w:val="000000" w:themeColor="text1"/>
          <w:sz w:val="32"/>
          <w:szCs w:val="32"/>
          <w:u w:val="single"/>
          <w14:textFill>
            <w14:solidFill>
              <w14:schemeClr w14:val="tx1"/>
            </w14:solidFill>
          </w14:textFill>
        </w:rPr>
        <w:t xml:space="preserve">         </w:t>
      </w:r>
      <w:r>
        <w:rPr>
          <w:rFonts w:hint="eastAsia" w:ascii="宋体" w:hAnsi="宋体"/>
          <w:color w:val="000000" w:themeColor="text1"/>
          <w:sz w:val="32"/>
          <w:szCs w:val="32"/>
          <w14:textFill>
            <w14:solidFill>
              <w14:schemeClr w14:val="tx1"/>
            </w14:solidFill>
          </w14:textFill>
        </w:rPr>
        <w:t>（项目名称）的采购工作，根据双方谈判，我司愿作如下承诺：</w:t>
      </w:r>
    </w:p>
    <w:p>
      <w:pPr>
        <w:pStyle w:val="26"/>
        <w:snapToGrid w:val="0"/>
        <w:spacing w:line="520" w:lineRule="exact"/>
        <w:ind w:left="6" w:leftChars="3" w:firstLine="800" w:firstLineChars="250"/>
        <w:rPr>
          <w:rFonts w:ascii="宋体" w:hAnsi="宋体"/>
          <w:color w:val="000000" w:themeColor="text1"/>
          <w:sz w:val="32"/>
          <w:szCs w:val="32"/>
          <w:u w:val="single"/>
          <w14:textFill>
            <w14:solidFill>
              <w14:schemeClr w14:val="tx1"/>
            </w14:solidFill>
          </w14:textFill>
        </w:rPr>
      </w:pPr>
      <w:r>
        <w:rPr>
          <w:rFonts w:hint="eastAsia" w:ascii="宋体" w:hAnsi="宋体"/>
          <w:color w:val="000000" w:themeColor="text1"/>
          <w:sz w:val="32"/>
          <w:szCs w:val="32"/>
          <w14:textFill>
            <w14:solidFill>
              <w14:schemeClr w14:val="tx1"/>
            </w14:solidFill>
          </w14:textFill>
        </w:rPr>
        <w:t>1.本项目最终报价为人民币</w:t>
      </w:r>
      <w:r>
        <w:rPr>
          <w:rFonts w:hint="eastAsia" w:ascii="宋体" w:hAnsi="宋体"/>
          <w:color w:val="000000" w:themeColor="text1"/>
          <w:sz w:val="32"/>
          <w:szCs w:val="32"/>
          <w:u w:val="single"/>
          <w14:textFill>
            <w14:solidFill>
              <w14:schemeClr w14:val="tx1"/>
            </w14:solidFill>
          </w14:textFill>
        </w:rPr>
        <w:t xml:space="preserve">         </w:t>
      </w:r>
      <w:r>
        <w:rPr>
          <w:rFonts w:hint="eastAsia" w:ascii="宋体" w:hAnsi="宋体"/>
          <w:color w:val="000000" w:themeColor="text1"/>
          <w:sz w:val="32"/>
          <w:szCs w:val="32"/>
          <w14:textFill>
            <w14:solidFill>
              <w14:schemeClr w14:val="tx1"/>
            </w14:solidFill>
          </w14:textFill>
        </w:rPr>
        <w:t>元（大写：</w:t>
      </w:r>
      <w:r>
        <w:rPr>
          <w:rFonts w:hint="eastAsia" w:ascii="宋体" w:hAnsi="宋体"/>
          <w:color w:val="000000" w:themeColor="text1"/>
          <w:sz w:val="32"/>
          <w:szCs w:val="32"/>
          <w:u w:val="single"/>
          <w14:textFill>
            <w14:solidFill>
              <w14:schemeClr w14:val="tx1"/>
            </w14:solidFill>
          </w14:textFill>
        </w:rPr>
        <w:t xml:space="preserve">   </w:t>
      </w:r>
      <w:r>
        <w:rPr>
          <w:rFonts w:hint="eastAsia" w:ascii="宋体" w:hAnsi="宋体"/>
          <w:color w:val="000000" w:themeColor="text1"/>
          <w:sz w:val="32"/>
          <w:szCs w:val="32"/>
          <w14:textFill>
            <w14:solidFill>
              <w14:schemeClr w14:val="tx1"/>
            </w14:solidFill>
          </w14:textFill>
        </w:rPr>
        <w:t>）</w:t>
      </w:r>
    </w:p>
    <w:p>
      <w:pPr>
        <w:pStyle w:val="26"/>
        <w:snapToGrid w:val="0"/>
        <w:spacing w:line="520" w:lineRule="exact"/>
        <w:ind w:firstLine="320"/>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 xml:space="preserve">     2．</w:t>
      </w:r>
    </w:p>
    <w:p>
      <w:pPr>
        <w:pStyle w:val="26"/>
        <w:snapToGrid w:val="0"/>
        <w:spacing w:line="520" w:lineRule="exact"/>
        <w:ind w:firstLine="320"/>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 xml:space="preserve">     </w:t>
      </w:r>
      <w:r>
        <w:rPr>
          <w:rFonts w:ascii="宋体" w:hAnsi="宋体"/>
          <w:color w:val="000000" w:themeColor="text1"/>
          <w:sz w:val="32"/>
          <w:szCs w:val="32"/>
          <w14:textFill>
            <w14:solidFill>
              <w14:schemeClr w14:val="tx1"/>
            </w14:solidFill>
          </w14:textFill>
        </w:rPr>
        <w:t>……</w:t>
      </w:r>
    </w:p>
    <w:p>
      <w:pPr>
        <w:pStyle w:val="26"/>
        <w:snapToGrid w:val="0"/>
        <w:spacing w:line="520" w:lineRule="exact"/>
        <w:ind w:firstLine="320"/>
        <w:rPr>
          <w:rFonts w:ascii="宋体" w:hAnsi="宋体"/>
          <w:color w:val="000000" w:themeColor="text1"/>
          <w:sz w:val="32"/>
          <w:szCs w:val="32"/>
          <w14:textFill>
            <w14:solidFill>
              <w14:schemeClr w14:val="tx1"/>
            </w14:solidFill>
          </w14:textFill>
        </w:rPr>
      </w:pPr>
    </w:p>
    <w:p>
      <w:pPr>
        <w:pStyle w:val="26"/>
        <w:snapToGrid w:val="0"/>
        <w:spacing w:line="520" w:lineRule="exact"/>
        <w:ind w:firstLine="320"/>
        <w:rPr>
          <w:rFonts w:ascii="宋体" w:hAnsi="宋体"/>
          <w:color w:val="000000" w:themeColor="text1"/>
          <w:sz w:val="32"/>
          <w:szCs w:val="32"/>
          <w14:textFill>
            <w14:solidFill>
              <w14:schemeClr w14:val="tx1"/>
            </w14:solidFill>
          </w14:textFill>
        </w:rPr>
      </w:pPr>
    </w:p>
    <w:p>
      <w:pPr>
        <w:pStyle w:val="26"/>
        <w:snapToGrid w:val="0"/>
        <w:spacing w:line="520" w:lineRule="exact"/>
        <w:ind w:firstLine="320"/>
        <w:rPr>
          <w:rFonts w:ascii="宋体" w:hAnsi="宋体"/>
          <w:color w:val="000000" w:themeColor="text1"/>
          <w:sz w:val="32"/>
          <w:szCs w:val="32"/>
          <w14:textFill>
            <w14:solidFill>
              <w14:schemeClr w14:val="tx1"/>
            </w14:solidFill>
          </w14:textFill>
        </w:rPr>
      </w:pPr>
    </w:p>
    <w:p>
      <w:pPr>
        <w:pStyle w:val="26"/>
        <w:snapToGrid w:val="0"/>
        <w:spacing w:line="520" w:lineRule="exact"/>
        <w:ind w:firstLine="320"/>
        <w:rPr>
          <w:rFonts w:ascii="宋体" w:hAnsi="宋体"/>
          <w:color w:val="000000" w:themeColor="text1"/>
          <w:sz w:val="32"/>
          <w:szCs w:val="32"/>
          <w14:textFill>
            <w14:solidFill>
              <w14:schemeClr w14:val="tx1"/>
            </w14:solidFill>
          </w14:textFill>
        </w:rPr>
      </w:pPr>
    </w:p>
    <w:p>
      <w:pPr>
        <w:pStyle w:val="26"/>
        <w:snapToGrid w:val="0"/>
        <w:spacing w:line="520" w:lineRule="exact"/>
        <w:ind w:firstLine="320"/>
        <w:rPr>
          <w:rFonts w:ascii="宋体" w:hAnsi="宋体"/>
          <w:color w:val="000000" w:themeColor="text1"/>
          <w:sz w:val="32"/>
          <w:szCs w:val="32"/>
          <w14:textFill>
            <w14:solidFill>
              <w14:schemeClr w14:val="tx1"/>
            </w14:solidFill>
          </w14:textFill>
        </w:rPr>
      </w:pPr>
    </w:p>
    <w:p>
      <w:pPr>
        <w:pStyle w:val="26"/>
        <w:snapToGrid w:val="0"/>
        <w:spacing w:line="520" w:lineRule="exact"/>
        <w:ind w:firstLine="320"/>
        <w:rPr>
          <w:rFonts w:ascii="宋体" w:hAnsi="宋体"/>
          <w:color w:val="000000" w:themeColor="text1"/>
          <w:sz w:val="32"/>
          <w:szCs w:val="32"/>
          <w14:textFill>
            <w14:solidFill>
              <w14:schemeClr w14:val="tx1"/>
            </w14:solidFill>
          </w14:textFill>
        </w:rPr>
      </w:pPr>
    </w:p>
    <w:p>
      <w:pPr>
        <w:pStyle w:val="26"/>
        <w:snapToGrid w:val="0"/>
        <w:spacing w:line="520" w:lineRule="exact"/>
        <w:ind w:firstLine="320"/>
        <w:rPr>
          <w:rFonts w:ascii="宋体" w:hAnsi="宋体"/>
          <w:color w:val="000000" w:themeColor="text1"/>
          <w:sz w:val="32"/>
          <w:szCs w:val="32"/>
          <w:u w:val="single"/>
          <w14:textFill>
            <w14:solidFill>
              <w14:schemeClr w14:val="tx1"/>
            </w14:solidFill>
          </w14:textFill>
        </w:rPr>
      </w:pPr>
      <w:r>
        <w:rPr>
          <w:rFonts w:hint="eastAsia" w:ascii="宋体" w:hAnsi="宋体"/>
          <w:color w:val="000000" w:themeColor="text1"/>
          <w:sz w:val="32"/>
          <w:szCs w:val="32"/>
          <w14:textFill>
            <w14:solidFill>
              <w14:schemeClr w14:val="tx1"/>
            </w14:solidFill>
          </w14:textFill>
        </w:rPr>
        <w:t>供应商名称：</w:t>
      </w:r>
      <w:r>
        <w:rPr>
          <w:rFonts w:hint="eastAsia" w:ascii="宋体" w:hAnsi="宋体"/>
          <w:color w:val="000000" w:themeColor="text1"/>
          <w:sz w:val="32"/>
          <w:szCs w:val="32"/>
          <w:u w:val="single"/>
          <w14:textFill>
            <w14:solidFill>
              <w14:schemeClr w14:val="tx1"/>
            </w14:solidFill>
          </w14:textFill>
        </w:rPr>
        <w:t xml:space="preserve">             </w:t>
      </w:r>
    </w:p>
    <w:p>
      <w:pPr>
        <w:pStyle w:val="26"/>
        <w:snapToGrid w:val="0"/>
        <w:spacing w:line="520" w:lineRule="exact"/>
        <w:ind w:firstLine="320"/>
        <w:rPr>
          <w:rFonts w:ascii="宋体" w:hAnsi="宋体"/>
          <w:color w:val="000000" w:themeColor="text1"/>
          <w:sz w:val="32"/>
          <w:szCs w:val="32"/>
          <w:u w:val="single"/>
          <w14:textFill>
            <w14:solidFill>
              <w14:schemeClr w14:val="tx1"/>
            </w14:solidFill>
          </w14:textFill>
        </w:rPr>
      </w:pPr>
      <w:r>
        <w:rPr>
          <w:rFonts w:hint="eastAsia" w:ascii="宋体" w:hAnsi="宋体"/>
          <w:color w:val="000000" w:themeColor="text1"/>
          <w:sz w:val="32"/>
          <w:szCs w:val="32"/>
          <w14:textFill>
            <w14:solidFill>
              <w14:schemeClr w14:val="tx1"/>
            </w14:solidFill>
          </w14:textFill>
        </w:rPr>
        <w:t>授权代表签字：</w:t>
      </w:r>
      <w:r>
        <w:rPr>
          <w:rFonts w:hint="eastAsia" w:ascii="宋体" w:hAnsi="宋体"/>
          <w:color w:val="000000" w:themeColor="text1"/>
          <w:sz w:val="32"/>
          <w:szCs w:val="32"/>
          <w:u w:val="single"/>
          <w14:textFill>
            <w14:solidFill>
              <w14:schemeClr w14:val="tx1"/>
            </w14:solidFill>
          </w14:textFill>
        </w:rPr>
        <w:t xml:space="preserve">           </w:t>
      </w:r>
    </w:p>
    <w:p>
      <w:pPr>
        <w:rPr>
          <w:color w:val="000000" w:themeColor="text1"/>
          <w14:textFill>
            <w14:solidFill>
              <w14:schemeClr w14:val="tx1"/>
            </w14:solidFill>
          </w14:textFill>
        </w:rPr>
      </w:pPr>
      <w:r>
        <w:rPr>
          <w:rFonts w:hint="eastAsia" w:ascii="宋体" w:hAnsi="宋体"/>
          <w:color w:val="000000" w:themeColor="text1"/>
          <w:sz w:val="32"/>
          <w:szCs w:val="32"/>
          <w14:textFill>
            <w14:solidFill>
              <w14:schemeClr w14:val="tx1"/>
            </w14:solidFill>
          </w14:textFill>
        </w:rPr>
        <w:t>日期：</w:t>
      </w:r>
      <w:r>
        <w:rPr>
          <w:rFonts w:hint="eastAsia" w:ascii="宋体" w:hAnsi="宋体"/>
          <w:color w:val="000000" w:themeColor="text1"/>
          <w:sz w:val="32"/>
          <w:szCs w:val="32"/>
          <w:u w:val="single"/>
          <w14:textFill>
            <w14:solidFill>
              <w14:schemeClr w14:val="tx1"/>
            </w14:solidFill>
          </w14:textFill>
        </w:rPr>
        <w:t xml:space="preserve">                   </w:t>
      </w:r>
    </w:p>
    <w:p>
      <w:pPr>
        <w:rPr>
          <w:color w:val="000000" w:themeColor="text1"/>
          <w14:textFill>
            <w14:solidFill>
              <w14:schemeClr w14:val="tx1"/>
            </w14:solidFill>
          </w14:textFill>
        </w:rPr>
      </w:pPr>
    </w:p>
    <w:bookmarkEnd w:id="96"/>
    <w:p>
      <w:pPr>
        <w:rPr>
          <w:color w:val="000000" w:themeColor="text1"/>
          <w14:textFill>
            <w14:solidFill>
              <w14:schemeClr w14:val="tx1"/>
            </w14:solidFill>
          </w14:textFill>
        </w:rPr>
      </w:pPr>
    </w:p>
    <w:sectPr>
      <w:headerReference r:id="rId11" w:type="default"/>
      <w:footerReference r:id="rId12"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黑体简体">
    <w:altName w:val="微软雅黑"/>
    <w:panose1 w:val="00000000000000000000"/>
    <w:charset w:val="86"/>
    <w:family w:val="auto"/>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Arial Narrow">
    <w:altName w:val="Arial"/>
    <w:panose1 w:val="020B0606020202030204"/>
    <w:charset w:val="00"/>
    <w:family w:val="swiss"/>
    <w:pitch w:val="default"/>
    <w:sig w:usb0="00000000" w:usb1="00000000" w:usb2="00000000" w:usb3="00000000" w:csb0="0000009F" w:csb1="00000000"/>
  </w:font>
  <w:font w:name="全真中明體">
    <w:altName w:val="MingLiU-ExtB"/>
    <w:panose1 w:val="00000000000000000000"/>
    <w:charset w:val="88"/>
    <w:family w:val="modern"/>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长城仿宋">
    <w:altName w:val="仿宋"/>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Century Gothic">
    <w:altName w:val="Century"/>
    <w:panose1 w:val="020B0502020202020204"/>
    <w:charset w:val="00"/>
    <w:family w:val="swiss"/>
    <w:pitch w:val="default"/>
    <w:sig w:usb0="00000000" w:usb1="00000000" w:usb2="00000000" w:usb3="00000000" w:csb0="0000009F" w:csb1="00000000"/>
  </w:font>
  <w:font w:name="Century">
    <w:panose1 w:val="02040604050505020304"/>
    <w:charset w:val="00"/>
    <w:family w:val="auto"/>
    <w:pitch w:val="default"/>
    <w:sig w:usb0="00000287" w:usb1="00000000" w:usb2="00000000" w:usb3="00000000" w:csb0="2000009F" w:csb1="DFD70000"/>
  </w:font>
  <w:font w:name="Microsoft Sans Serif">
    <w:panose1 w:val="020B0604020202020204"/>
    <w:charset w:val="00"/>
    <w:family w:val="swiss"/>
    <w:pitch w:val="default"/>
    <w:sig w:usb0="E1002AFF" w:usb1="C0000002" w:usb2="00000008" w:usb3="00000000" w:csb0="200101FF" w:csb1="20280000"/>
  </w:font>
  <w:font w:name="MS Mincho">
    <w:panose1 w:val="02020609040205080304"/>
    <w:charset w:val="80"/>
    <w:family w:val="modern"/>
    <w:pitch w:val="default"/>
    <w:sig w:usb0="E00002FF" w:usb1="6AC7FDFB" w:usb2="00000012" w:usb3="00000000" w:csb0="4002009F" w:csb1="DFD70000"/>
  </w:font>
  <w:font w:name="等线">
    <w:altName w:val="Arial Unicode MS"/>
    <w:panose1 w:val="02010600030101010101"/>
    <w:charset w:val="86"/>
    <w:family w:val="auto"/>
    <w:pitch w:val="default"/>
    <w:sig w:usb0="00000000" w:usb1="00000000" w:usb2="00000016" w:usb3="00000000" w:csb0="0004000F" w:csb1="00000000"/>
  </w:font>
  <w:font w:name="Segoe UI Symbol">
    <w:panose1 w:val="020B0502040204020203"/>
    <w:charset w:val="00"/>
    <w:family w:val="swiss"/>
    <w:pitch w:val="default"/>
    <w:sig w:usb0="8000006F" w:usb1="1200FBEF" w:usb2="0064C000" w:usb3="00000002" w:csb0="00000001" w:csb1="4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roma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w:fldChar w:fldCharType="begin"/>
    </w:r>
    <w:r>
      <w:instrText xml:space="preserve">PAGE   \* MERGEFORMAT</w:instrText>
    </w:r>
    <w:r>
      <w:fldChar w:fldCharType="separate"/>
    </w:r>
    <w:r>
      <w:rPr>
        <w:lang w:val="zh-CN"/>
      </w:rPr>
      <w:t>47</w:t>
    </w:r>
    <w:r>
      <w:rPr>
        <w:lang w:val="zh-CN"/>
      </w:rPr>
      <w:fldChar w:fldCharType="end"/>
    </w:r>
  </w:p>
  <w:p>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w:fldChar w:fldCharType="begin"/>
    </w:r>
    <w:r>
      <w:rPr>
        <w:rStyle w:val="57"/>
      </w:rPr>
      <w:instrText xml:space="preserve"> PAGE </w:instrText>
    </w:r>
    <w:r>
      <w:fldChar w:fldCharType="separate"/>
    </w:r>
    <w:r>
      <w:rPr>
        <w:rStyle w:val="57"/>
      </w:rPr>
      <w:t>47</w:t>
    </w:r>
    <w:r>
      <w:fldChar w:fldCharType="end"/>
    </w:r>
  </w:p>
  <w:p>
    <w:pPr>
      <w:pStyle w:val="36"/>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w:fldChar w:fldCharType="begin"/>
    </w:r>
    <w:r>
      <w:rPr>
        <w:rStyle w:val="57"/>
      </w:rPr>
      <w:instrText xml:space="preserve"> PAGE </w:instrText>
    </w:r>
    <w:r>
      <w:fldChar w:fldCharType="separate"/>
    </w:r>
    <w:r>
      <w:rPr>
        <w:rStyle w:val="57"/>
      </w:rPr>
      <w:t>70</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C341CB"/>
    <w:multiLevelType w:val="multilevel"/>
    <w:tmpl w:val="AEC341CB"/>
    <w:lvl w:ilvl="0" w:tentative="0">
      <w:start w:val="1"/>
      <w:numFmt w:val="decimal"/>
      <w:lvlText w:val="%1."/>
      <w:lvlJc w:val="left"/>
      <w:pPr>
        <w:tabs>
          <w:tab w:val="left" w:pos="735"/>
        </w:tabs>
        <w:ind w:left="735" w:hanging="735"/>
      </w:pPr>
      <w:rPr>
        <w:rFonts w:hint="default" w:ascii="Times New Roman" w:hAnsi="Times New Roman" w:eastAsia="宋体" w:cs="Times New Roman"/>
        <w:b w:val="0"/>
        <w:sz w:val="21"/>
        <w:szCs w:val="21"/>
      </w:rPr>
    </w:lvl>
    <w:lvl w:ilvl="1" w:tentative="0">
      <w:start w:val="1"/>
      <w:numFmt w:val="lowerLetter"/>
      <w:lvlText w:val="%2)"/>
      <w:lvlJc w:val="left"/>
      <w:pPr>
        <w:tabs>
          <w:tab w:val="left" w:pos="420"/>
        </w:tabs>
        <w:ind w:left="420" w:hanging="420"/>
      </w:p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
    <w:nsid w:val="B9A6CDEF"/>
    <w:multiLevelType w:val="multilevel"/>
    <w:tmpl w:val="B9A6CDEF"/>
    <w:lvl w:ilvl="0" w:tentative="0">
      <w:start w:val="1"/>
      <w:numFmt w:val="decimal"/>
      <w:lvlText w:val="%1."/>
      <w:lvlJc w:val="left"/>
      <w:pPr>
        <w:tabs>
          <w:tab w:val="left" w:pos="1155"/>
        </w:tabs>
        <w:ind w:left="1155" w:hanging="735"/>
      </w:pPr>
      <w:rPr>
        <w:rFonts w:hint="default" w:ascii="Times New Roman" w:hAnsi="Times New Roman" w:eastAsia="宋体" w:cs="Times New Roman"/>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F91A59FC"/>
    <w:multiLevelType w:val="singleLevel"/>
    <w:tmpl w:val="F91A59FC"/>
    <w:lvl w:ilvl="0" w:tentative="0">
      <w:start w:val="1"/>
      <w:numFmt w:val="decimal"/>
      <w:lvlText w:val="%1."/>
      <w:lvlJc w:val="left"/>
      <w:pPr>
        <w:ind w:left="425" w:hanging="425"/>
      </w:pPr>
      <w:rPr>
        <w:rFonts w:hint="default"/>
      </w:rPr>
    </w:lvl>
  </w:abstractNum>
  <w:abstractNum w:abstractNumId="3">
    <w:nsid w:val="00000010"/>
    <w:multiLevelType w:val="multilevel"/>
    <w:tmpl w:val="00000010"/>
    <w:lvl w:ilvl="0" w:tentative="0">
      <w:start w:val="1"/>
      <w:numFmt w:val="bullet"/>
      <w:pStyle w:val="370"/>
      <w:lvlText w:val=""/>
      <w:lvlJc w:val="left"/>
      <w:pPr>
        <w:tabs>
          <w:tab w:val="left" w:pos="360"/>
        </w:tabs>
        <w:ind w:left="360" w:hanging="360"/>
      </w:pPr>
      <w:rPr>
        <w:rFonts w:hint="default" w:ascii="Symbol" w:hAnsi="Symbol"/>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0000018"/>
    <w:multiLevelType w:val="multilevel"/>
    <w:tmpl w:val="00000018"/>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0000001F"/>
    <w:multiLevelType w:val="multilevel"/>
    <w:tmpl w:val="0000001F"/>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0000002F"/>
    <w:multiLevelType w:val="multilevel"/>
    <w:tmpl w:val="0000002F"/>
    <w:lvl w:ilvl="0" w:tentative="0">
      <w:start w:val="1"/>
      <w:numFmt w:val="decimal"/>
      <w:lvlText w:val="%1"/>
      <w:lvlJc w:val="left"/>
      <w:pPr>
        <w:tabs>
          <w:tab w:val="left" w:pos="390"/>
        </w:tabs>
        <w:ind w:left="390" w:hanging="390"/>
      </w:pPr>
      <w:rPr>
        <w:rFonts w:hint="default"/>
      </w:rPr>
    </w:lvl>
    <w:lvl w:ilvl="1" w:tentative="0">
      <w:start w:val="1"/>
      <w:numFmt w:val="decimal"/>
      <w:pStyle w:val="367"/>
      <w:lvlText w:val="%1.%2"/>
      <w:lvlJc w:val="left"/>
      <w:pPr>
        <w:tabs>
          <w:tab w:val="left" w:pos="390"/>
        </w:tabs>
        <w:ind w:left="390" w:hanging="39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7">
    <w:nsid w:val="00000045"/>
    <w:multiLevelType w:val="multilevel"/>
    <w:tmpl w:val="00000045"/>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8">
    <w:nsid w:val="0000005B"/>
    <w:multiLevelType w:val="multilevel"/>
    <w:tmpl w:val="0000005B"/>
    <w:lvl w:ilvl="0" w:tentative="0">
      <w:start w:val="1"/>
      <w:numFmt w:val="decimal"/>
      <w:lvlText w:val="%1."/>
      <w:lvlJc w:val="left"/>
      <w:pPr>
        <w:tabs>
          <w:tab w:val="left" w:pos="420"/>
        </w:tabs>
        <w:ind w:left="420" w:hanging="420"/>
      </w:pPr>
      <w:rPr>
        <w:rFonts w:cs="Times New Roman"/>
      </w:rPr>
    </w:lvl>
    <w:lvl w:ilvl="1" w:tentative="0">
      <w:start w:val="2"/>
      <w:numFmt w:val="decimal"/>
      <w:isLgl/>
      <w:lvlText w:val="%1.%2"/>
      <w:lvlJc w:val="left"/>
      <w:pPr>
        <w:ind w:left="435" w:hanging="435"/>
      </w:pPr>
      <w:rPr>
        <w:rFonts w:hint="eastAsia" w:cs="Times New Roman"/>
      </w:rPr>
    </w:lvl>
    <w:lvl w:ilvl="2" w:tentative="0">
      <w:start w:val="4"/>
      <w:numFmt w:val="decimal"/>
      <w:isLgl/>
      <w:lvlText w:val="%1.%2.%3"/>
      <w:lvlJc w:val="left"/>
      <w:pPr>
        <w:ind w:left="720" w:hanging="720"/>
      </w:pPr>
      <w:rPr>
        <w:rFonts w:hint="eastAsia" w:cs="Times New Roman"/>
      </w:rPr>
    </w:lvl>
    <w:lvl w:ilvl="3" w:tentative="0">
      <w:start w:val="1"/>
      <w:numFmt w:val="decimal"/>
      <w:isLgl/>
      <w:lvlText w:val="%1.%2.%3.%4"/>
      <w:lvlJc w:val="left"/>
      <w:pPr>
        <w:ind w:left="1080" w:hanging="1080"/>
      </w:pPr>
      <w:rPr>
        <w:rFonts w:hint="eastAsia" w:cs="Times New Roman"/>
      </w:rPr>
    </w:lvl>
    <w:lvl w:ilvl="4" w:tentative="0">
      <w:start w:val="1"/>
      <w:numFmt w:val="decimal"/>
      <w:isLgl/>
      <w:lvlText w:val="%1.%2.%3.%4.%5"/>
      <w:lvlJc w:val="left"/>
      <w:pPr>
        <w:ind w:left="1080" w:hanging="1080"/>
      </w:pPr>
      <w:rPr>
        <w:rFonts w:hint="eastAsia" w:cs="Times New Roman"/>
      </w:rPr>
    </w:lvl>
    <w:lvl w:ilvl="5" w:tentative="0">
      <w:start w:val="1"/>
      <w:numFmt w:val="decimal"/>
      <w:isLgl/>
      <w:lvlText w:val="%1.%2.%3.%4.%5.%6"/>
      <w:lvlJc w:val="left"/>
      <w:pPr>
        <w:ind w:left="1440" w:hanging="1440"/>
      </w:pPr>
      <w:rPr>
        <w:rFonts w:hint="eastAsia" w:cs="Times New Roman"/>
      </w:rPr>
    </w:lvl>
    <w:lvl w:ilvl="6" w:tentative="0">
      <w:start w:val="1"/>
      <w:numFmt w:val="decimal"/>
      <w:isLgl/>
      <w:lvlText w:val="%1.%2.%3.%4.%5.%6.%7"/>
      <w:lvlJc w:val="left"/>
      <w:pPr>
        <w:ind w:left="1440" w:hanging="1440"/>
      </w:pPr>
      <w:rPr>
        <w:rFonts w:hint="eastAsia" w:cs="Times New Roman"/>
      </w:rPr>
    </w:lvl>
    <w:lvl w:ilvl="7" w:tentative="0">
      <w:start w:val="1"/>
      <w:numFmt w:val="decimal"/>
      <w:isLgl/>
      <w:lvlText w:val="%1.%2.%3.%4.%5.%6.%7.%8"/>
      <w:lvlJc w:val="left"/>
      <w:pPr>
        <w:ind w:left="1800" w:hanging="1800"/>
      </w:pPr>
      <w:rPr>
        <w:rFonts w:hint="eastAsia" w:cs="Times New Roman"/>
      </w:rPr>
    </w:lvl>
    <w:lvl w:ilvl="8" w:tentative="0">
      <w:start w:val="1"/>
      <w:numFmt w:val="decimal"/>
      <w:isLgl/>
      <w:lvlText w:val="%1.%2.%3.%4.%5.%6.%7.%8.%9"/>
      <w:lvlJc w:val="left"/>
      <w:pPr>
        <w:ind w:left="1800" w:hanging="1800"/>
      </w:pPr>
      <w:rPr>
        <w:rFonts w:hint="eastAsia" w:cs="Times New Roman"/>
      </w:rPr>
    </w:lvl>
  </w:abstractNum>
  <w:abstractNum w:abstractNumId="9">
    <w:nsid w:val="00000069"/>
    <w:multiLevelType w:val="multilevel"/>
    <w:tmpl w:val="00000069"/>
    <w:lvl w:ilvl="0" w:tentative="0">
      <w:start w:val="1"/>
      <w:numFmt w:val="decimal"/>
      <w:lvlText w:val="%1."/>
      <w:lvlJc w:val="left"/>
      <w:pPr>
        <w:tabs>
          <w:tab w:val="left" w:pos="420"/>
        </w:tabs>
        <w:ind w:left="420" w:hanging="420"/>
      </w:pPr>
      <w:rPr>
        <w:rFonts w:cs="Times New Roman"/>
      </w:rPr>
    </w:lvl>
    <w:lvl w:ilvl="1" w:tentative="0">
      <w:start w:val="3"/>
      <w:numFmt w:val="decimal"/>
      <w:isLgl/>
      <w:lvlText w:val="%1.%2"/>
      <w:lvlJc w:val="left"/>
      <w:pPr>
        <w:ind w:left="360" w:hanging="360"/>
      </w:pPr>
      <w:rPr>
        <w:rFonts w:hint="eastAsia" w:cs="Times New Roman"/>
      </w:rPr>
    </w:lvl>
    <w:lvl w:ilvl="2" w:tentative="0">
      <w:start w:val="1"/>
      <w:numFmt w:val="decimal"/>
      <w:isLgl/>
      <w:lvlText w:val="%1.%2.%3"/>
      <w:lvlJc w:val="left"/>
      <w:pPr>
        <w:ind w:left="720" w:hanging="720"/>
      </w:pPr>
      <w:rPr>
        <w:rFonts w:hint="eastAsia" w:cs="Times New Roman"/>
      </w:rPr>
    </w:lvl>
    <w:lvl w:ilvl="3" w:tentative="0">
      <w:start w:val="1"/>
      <w:numFmt w:val="decimal"/>
      <w:isLgl/>
      <w:lvlText w:val="%1.%2.%3.%4"/>
      <w:lvlJc w:val="left"/>
      <w:pPr>
        <w:ind w:left="720" w:hanging="720"/>
      </w:pPr>
      <w:rPr>
        <w:rFonts w:hint="eastAsia" w:cs="Times New Roman"/>
      </w:rPr>
    </w:lvl>
    <w:lvl w:ilvl="4" w:tentative="0">
      <w:start w:val="1"/>
      <w:numFmt w:val="decimal"/>
      <w:isLgl/>
      <w:lvlText w:val="%1.%2.%3.%4.%5"/>
      <w:lvlJc w:val="left"/>
      <w:pPr>
        <w:ind w:left="1080" w:hanging="1080"/>
      </w:pPr>
      <w:rPr>
        <w:rFonts w:hint="eastAsia" w:cs="Times New Roman"/>
      </w:rPr>
    </w:lvl>
    <w:lvl w:ilvl="5" w:tentative="0">
      <w:start w:val="1"/>
      <w:numFmt w:val="decimal"/>
      <w:isLgl/>
      <w:lvlText w:val="%1.%2.%3.%4.%5.%6"/>
      <w:lvlJc w:val="left"/>
      <w:pPr>
        <w:ind w:left="1080" w:hanging="1080"/>
      </w:pPr>
      <w:rPr>
        <w:rFonts w:hint="eastAsia" w:cs="Times New Roman"/>
      </w:rPr>
    </w:lvl>
    <w:lvl w:ilvl="6" w:tentative="0">
      <w:start w:val="1"/>
      <w:numFmt w:val="decimal"/>
      <w:isLgl/>
      <w:lvlText w:val="%1.%2.%3.%4.%5.%6.%7"/>
      <w:lvlJc w:val="left"/>
      <w:pPr>
        <w:ind w:left="1080" w:hanging="1080"/>
      </w:pPr>
      <w:rPr>
        <w:rFonts w:hint="eastAsia" w:cs="Times New Roman"/>
      </w:rPr>
    </w:lvl>
    <w:lvl w:ilvl="7" w:tentative="0">
      <w:start w:val="1"/>
      <w:numFmt w:val="decimal"/>
      <w:isLgl/>
      <w:lvlText w:val="%1.%2.%3.%4.%5.%6.%7.%8"/>
      <w:lvlJc w:val="left"/>
      <w:pPr>
        <w:ind w:left="1440" w:hanging="1440"/>
      </w:pPr>
      <w:rPr>
        <w:rFonts w:hint="eastAsia" w:cs="Times New Roman"/>
      </w:rPr>
    </w:lvl>
    <w:lvl w:ilvl="8" w:tentative="0">
      <w:start w:val="1"/>
      <w:numFmt w:val="decimal"/>
      <w:isLgl/>
      <w:lvlText w:val="%1.%2.%3.%4.%5.%6.%7.%8.%9"/>
      <w:lvlJc w:val="left"/>
      <w:pPr>
        <w:ind w:left="1440" w:hanging="1440"/>
      </w:pPr>
      <w:rPr>
        <w:rFonts w:hint="eastAsia" w:cs="Times New Roman"/>
      </w:rPr>
    </w:lvl>
  </w:abstractNum>
  <w:abstractNum w:abstractNumId="10">
    <w:nsid w:val="00000077"/>
    <w:multiLevelType w:val="multilevel"/>
    <w:tmpl w:val="00000077"/>
    <w:lvl w:ilvl="0" w:tentative="0">
      <w:start w:val="1"/>
      <w:numFmt w:val="decimal"/>
      <w:lvlText w:val="%1."/>
      <w:lvlJc w:val="left"/>
      <w:pPr>
        <w:tabs>
          <w:tab w:val="left" w:pos="420"/>
        </w:tabs>
        <w:ind w:left="420" w:hanging="420"/>
      </w:pPr>
      <w:rPr>
        <w:rFonts w:cs="Times New Roman"/>
      </w:rPr>
    </w:lvl>
    <w:lvl w:ilvl="1" w:tentative="0">
      <w:start w:val="2"/>
      <w:numFmt w:val="decimal"/>
      <w:isLgl/>
      <w:lvlText w:val="%1.%2"/>
      <w:lvlJc w:val="left"/>
      <w:pPr>
        <w:ind w:left="819" w:hanging="630"/>
      </w:pPr>
      <w:rPr>
        <w:rFonts w:hint="eastAsia" w:ascii="宋体" w:eastAsia="宋体" w:cs="Times New Roman"/>
      </w:rPr>
    </w:lvl>
    <w:lvl w:ilvl="2" w:tentative="0">
      <w:start w:val="11"/>
      <w:numFmt w:val="decimal"/>
      <w:isLgl/>
      <w:lvlText w:val="%1.%2.%3"/>
      <w:lvlJc w:val="left"/>
      <w:pPr>
        <w:ind w:left="1098" w:hanging="720"/>
      </w:pPr>
      <w:rPr>
        <w:rFonts w:hint="eastAsia" w:ascii="宋体" w:eastAsia="宋体" w:cs="Times New Roman"/>
      </w:rPr>
    </w:lvl>
    <w:lvl w:ilvl="3" w:tentative="0">
      <w:start w:val="1"/>
      <w:numFmt w:val="decimal"/>
      <w:isLgl/>
      <w:lvlText w:val="%1.%2.%3.%4"/>
      <w:lvlJc w:val="left"/>
      <w:pPr>
        <w:ind w:left="1287" w:hanging="720"/>
      </w:pPr>
      <w:rPr>
        <w:rFonts w:hint="eastAsia" w:ascii="宋体" w:eastAsia="宋体" w:cs="Times New Roman"/>
      </w:rPr>
    </w:lvl>
    <w:lvl w:ilvl="4" w:tentative="0">
      <w:start w:val="1"/>
      <w:numFmt w:val="decimal"/>
      <w:isLgl/>
      <w:lvlText w:val="%1.%2.%3.%4.%5"/>
      <w:lvlJc w:val="left"/>
      <w:pPr>
        <w:ind w:left="1836" w:hanging="1080"/>
      </w:pPr>
      <w:rPr>
        <w:rFonts w:hint="eastAsia" w:ascii="宋体" w:eastAsia="宋体" w:cs="Times New Roman"/>
      </w:rPr>
    </w:lvl>
    <w:lvl w:ilvl="5" w:tentative="0">
      <w:start w:val="1"/>
      <w:numFmt w:val="decimal"/>
      <w:isLgl/>
      <w:lvlText w:val="%1.%2.%3.%4.%5.%6"/>
      <w:lvlJc w:val="left"/>
      <w:pPr>
        <w:ind w:left="2025" w:hanging="1080"/>
      </w:pPr>
      <w:rPr>
        <w:rFonts w:hint="eastAsia" w:ascii="宋体" w:eastAsia="宋体" w:cs="Times New Roman"/>
      </w:rPr>
    </w:lvl>
    <w:lvl w:ilvl="6" w:tentative="0">
      <w:start w:val="1"/>
      <w:numFmt w:val="decimal"/>
      <w:isLgl/>
      <w:lvlText w:val="%1.%2.%3.%4.%5.%6.%7"/>
      <w:lvlJc w:val="left"/>
      <w:pPr>
        <w:ind w:left="2214" w:hanging="1080"/>
      </w:pPr>
      <w:rPr>
        <w:rFonts w:hint="eastAsia" w:ascii="宋体" w:eastAsia="宋体" w:cs="Times New Roman"/>
      </w:rPr>
    </w:lvl>
    <w:lvl w:ilvl="7" w:tentative="0">
      <w:start w:val="1"/>
      <w:numFmt w:val="decimal"/>
      <w:isLgl/>
      <w:lvlText w:val="%1.%2.%3.%4.%5.%6.%7.%8"/>
      <w:lvlJc w:val="left"/>
      <w:pPr>
        <w:ind w:left="2763" w:hanging="1440"/>
      </w:pPr>
      <w:rPr>
        <w:rFonts w:hint="eastAsia" w:ascii="宋体" w:eastAsia="宋体" w:cs="Times New Roman"/>
      </w:rPr>
    </w:lvl>
    <w:lvl w:ilvl="8" w:tentative="0">
      <w:start w:val="1"/>
      <w:numFmt w:val="decimal"/>
      <w:isLgl/>
      <w:lvlText w:val="%1.%2.%3.%4.%5.%6.%7.%8.%9"/>
      <w:lvlJc w:val="left"/>
      <w:pPr>
        <w:ind w:left="2952" w:hanging="1440"/>
      </w:pPr>
      <w:rPr>
        <w:rFonts w:hint="eastAsia" w:ascii="宋体" w:eastAsia="宋体" w:cs="Times New Roman"/>
      </w:rPr>
    </w:lvl>
  </w:abstractNum>
  <w:abstractNum w:abstractNumId="11">
    <w:nsid w:val="00000083"/>
    <w:multiLevelType w:val="multilevel"/>
    <w:tmpl w:val="00000083"/>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2">
    <w:nsid w:val="0000008C"/>
    <w:multiLevelType w:val="multilevel"/>
    <w:tmpl w:val="0000008C"/>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3">
    <w:nsid w:val="059A0368"/>
    <w:multiLevelType w:val="multilevel"/>
    <w:tmpl w:val="059A0368"/>
    <w:lvl w:ilvl="0" w:tentative="0">
      <w:start w:val="2"/>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DDF6299"/>
    <w:multiLevelType w:val="multilevel"/>
    <w:tmpl w:val="0DDF6299"/>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0FFE4791"/>
    <w:multiLevelType w:val="singleLevel"/>
    <w:tmpl w:val="0FFE4791"/>
    <w:lvl w:ilvl="0" w:tentative="0">
      <w:start w:val="1"/>
      <w:numFmt w:val="decimal"/>
      <w:lvlText w:val="%1)"/>
      <w:lvlJc w:val="left"/>
      <w:pPr>
        <w:tabs>
          <w:tab w:val="left" w:pos="397"/>
        </w:tabs>
        <w:ind w:left="397" w:hanging="397"/>
      </w:pPr>
      <w:rPr>
        <w:rFonts w:hint="eastAsia" w:cs="Times New Roman"/>
      </w:rPr>
    </w:lvl>
  </w:abstractNum>
  <w:abstractNum w:abstractNumId="16">
    <w:nsid w:val="1CC862B7"/>
    <w:multiLevelType w:val="singleLevel"/>
    <w:tmpl w:val="1CC862B7"/>
    <w:lvl w:ilvl="0" w:tentative="0">
      <w:start w:val="1"/>
      <w:numFmt w:val="decimal"/>
      <w:lvlText w:val="(%1)"/>
      <w:lvlJc w:val="left"/>
      <w:pPr>
        <w:tabs>
          <w:tab w:val="left" w:pos="454"/>
        </w:tabs>
        <w:ind w:left="454" w:hanging="454"/>
      </w:pPr>
      <w:rPr>
        <w:rFonts w:hint="eastAsia" w:cs="Times New Roman"/>
      </w:rPr>
    </w:lvl>
  </w:abstractNum>
  <w:abstractNum w:abstractNumId="17">
    <w:nsid w:val="22F70D17"/>
    <w:multiLevelType w:val="multilevel"/>
    <w:tmpl w:val="22F70D17"/>
    <w:lvl w:ilvl="0" w:tentative="0">
      <w:start w:val="2"/>
      <w:numFmt w:val="decimal"/>
      <w:lvlText w:val="%1."/>
      <w:lvlJc w:val="left"/>
      <w:pPr>
        <w:ind w:left="880" w:hanging="880"/>
      </w:pPr>
      <w:rPr>
        <w:rFonts w:hint="default"/>
      </w:rPr>
    </w:lvl>
    <w:lvl w:ilvl="1" w:tentative="0">
      <w:start w:val="7"/>
      <w:numFmt w:val="decimal"/>
      <w:lvlText w:val="%1.%2."/>
      <w:lvlJc w:val="left"/>
      <w:pPr>
        <w:ind w:left="880" w:hanging="880"/>
      </w:pPr>
      <w:rPr>
        <w:rFonts w:hint="default"/>
      </w:rPr>
    </w:lvl>
    <w:lvl w:ilvl="2" w:tentative="0">
      <w:start w:val="3"/>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18">
    <w:nsid w:val="3F316DE4"/>
    <w:multiLevelType w:val="multilevel"/>
    <w:tmpl w:val="3F316DE4"/>
    <w:lvl w:ilvl="0" w:tentative="0">
      <w:start w:val="1"/>
      <w:numFmt w:val="decimal"/>
      <w:pStyle w:val="104"/>
      <w:lvlText w:val="2.1.%1"/>
      <w:lvlJc w:val="left"/>
      <w:pPr>
        <w:tabs>
          <w:tab w:val="left" w:pos="0"/>
        </w:tabs>
        <w:ind w:left="425" w:hanging="425"/>
      </w:pPr>
      <w:rPr>
        <w:rFonts w:hint="eastAsia"/>
      </w:rPr>
    </w:lvl>
    <w:lvl w:ilvl="1" w:tentative="0">
      <w:start w:val="1"/>
      <w:numFmt w:val="decimal"/>
      <w:lvlText w:val="2.%2 "/>
      <w:lvlJc w:val="left"/>
      <w:pPr>
        <w:tabs>
          <w:tab w:val="left" w:pos="0"/>
        </w:tabs>
        <w:ind w:left="567" w:hanging="567"/>
      </w:pPr>
      <w:rPr>
        <w:rFonts w:hint="eastAsia"/>
      </w:rPr>
    </w:lvl>
    <w:lvl w:ilvl="2" w:tentative="0">
      <w:start w:val="1"/>
      <w:numFmt w:val="decimal"/>
      <w:lvlText w:val="%1.%2.%3."/>
      <w:lvlJc w:val="left"/>
      <w:pPr>
        <w:tabs>
          <w:tab w:val="left" w:pos="0"/>
        </w:tabs>
        <w:ind w:left="709" w:hanging="709"/>
      </w:pPr>
      <w:rPr>
        <w:rFonts w:hint="eastAsia"/>
      </w:rPr>
    </w:lvl>
    <w:lvl w:ilvl="3" w:tentative="0">
      <w:start w:val="1"/>
      <w:numFmt w:val="decimal"/>
      <w:lvlText w:val="%1.%2.%3.%4."/>
      <w:lvlJc w:val="left"/>
      <w:pPr>
        <w:tabs>
          <w:tab w:val="left" w:pos="0"/>
        </w:tabs>
        <w:ind w:left="851" w:hanging="851"/>
      </w:pPr>
      <w:rPr>
        <w:rFonts w:hint="eastAsia"/>
      </w:rPr>
    </w:lvl>
    <w:lvl w:ilvl="4" w:tentative="0">
      <w:start w:val="1"/>
      <w:numFmt w:val="decimal"/>
      <w:lvlText w:val="%1.%2.%3.%4.%5."/>
      <w:lvlJc w:val="left"/>
      <w:pPr>
        <w:tabs>
          <w:tab w:val="left" w:pos="0"/>
        </w:tabs>
        <w:ind w:left="992" w:hanging="992"/>
      </w:pPr>
      <w:rPr>
        <w:rFonts w:hint="eastAsia"/>
      </w:rPr>
    </w:lvl>
    <w:lvl w:ilvl="5" w:tentative="0">
      <w:start w:val="1"/>
      <w:numFmt w:val="decimal"/>
      <w:lvlText w:val="%1.%2.%3.%4.%5.%6."/>
      <w:lvlJc w:val="left"/>
      <w:pPr>
        <w:tabs>
          <w:tab w:val="left" w:pos="0"/>
        </w:tabs>
        <w:ind w:left="1134" w:hanging="1134"/>
      </w:pPr>
      <w:rPr>
        <w:rFonts w:hint="eastAsia"/>
      </w:rPr>
    </w:lvl>
    <w:lvl w:ilvl="6" w:tentative="0">
      <w:start w:val="1"/>
      <w:numFmt w:val="decimal"/>
      <w:lvlText w:val="%1.%2.%3.%4.%5.%6.%7."/>
      <w:lvlJc w:val="left"/>
      <w:pPr>
        <w:tabs>
          <w:tab w:val="left" w:pos="0"/>
        </w:tabs>
        <w:ind w:left="1276" w:hanging="1276"/>
      </w:pPr>
      <w:rPr>
        <w:rFonts w:hint="eastAsia"/>
      </w:rPr>
    </w:lvl>
    <w:lvl w:ilvl="7" w:tentative="0">
      <w:start w:val="1"/>
      <w:numFmt w:val="decimal"/>
      <w:lvlText w:val="%1.%2.%3.%4.%5.%6.%7.%8."/>
      <w:lvlJc w:val="left"/>
      <w:pPr>
        <w:tabs>
          <w:tab w:val="left" w:pos="0"/>
        </w:tabs>
        <w:ind w:left="1418" w:hanging="1418"/>
      </w:pPr>
      <w:rPr>
        <w:rFonts w:hint="eastAsia"/>
      </w:rPr>
    </w:lvl>
    <w:lvl w:ilvl="8" w:tentative="0">
      <w:start w:val="1"/>
      <w:numFmt w:val="decimal"/>
      <w:lvlText w:val="%1.%2.%3.%4.%5.%6.%7.%8.%9."/>
      <w:lvlJc w:val="left"/>
      <w:pPr>
        <w:tabs>
          <w:tab w:val="left" w:pos="0"/>
        </w:tabs>
        <w:ind w:left="1559" w:hanging="1559"/>
      </w:pPr>
      <w:rPr>
        <w:rFonts w:hint="eastAsia"/>
      </w:rPr>
    </w:lvl>
  </w:abstractNum>
  <w:abstractNum w:abstractNumId="19">
    <w:nsid w:val="46F026C8"/>
    <w:multiLevelType w:val="multilevel"/>
    <w:tmpl w:val="46F026C8"/>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0">
    <w:nsid w:val="4DAC762D"/>
    <w:multiLevelType w:val="multilevel"/>
    <w:tmpl w:val="4DAC762D"/>
    <w:lvl w:ilvl="0" w:tentative="0">
      <w:start w:val="1"/>
      <w:numFmt w:val="chineseCountingThousand"/>
      <w:pStyle w:val="3"/>
      <w:suff w:val="space"/>
      <w:lvlText w:val="第%1章"/>
      <w:lvlJc w:val="center"/>
      <w:pPr>
        <w:ind w:left="4815" w:firstLine="288"/>
      </w:pPr>
      <w:rPr>
        <w:rFonts w:hint="eastAsia"/>
        <w:b/>
        <w:sz w:val="36"/>
        <w:szCs w:val="36"/>
      </w:rPr>
    </w:lvl>
    <w:lvl w:ilvl="1" w:tentative="0">
      <w:start w:val="1"/>
      <w:numFmt w:val="decimal"/>
      <w:pStyle w:val="4"/>
      <w:isLgl/>
      <w:suff w:val="space"/>
      <w:lvlText w:val="%1.%2"/>
      <w:lvlJc w:val="left"/>
      <w:pPr>
        <w:ind w:left="0" w:firstLine="0"/>
      </w:pPr>
      <w:rPr>
        <w:rFonts w:hint="eastAsia"/>
        <w:b w:val="0"/>
      </w:rPr>
    </w:lvl>
    <w:lvl w:ilvl="2" w:tentative="0">
      <w:start w:val="1"/>
      <w:numFmt w:val="decimal"/>
      <w:lvlText w:val="%1.%2.%3"/>
      <w:lvlJc w:val="left"/>
      <w:pPr>
        <w:tabs>
          <w:tab w:val="left" w:pos="-839"/>
        </w:tabs>
        <w:ind w:left="-839" w:hanging="720"/>
      </w:pPr>
      <w:rPr>
        <w:rFonts w:hint="eastAsia"/>
      </w:rPr>
    </w:lvl>
    <w:lvl w:ilvl="3" w:tentative="0">
      <w:start w:val="1"/>
      <w:numFmt w:val="decimal"/>
      <w:lvlText w:val="%1.%2.%3.%4"/>
      <w:lvlJc w:val="left"/>
      <w:pPr>
        <w:tabs>
          <w:tab w:val="left" w:pos="-695"/>
        </w:tabs>
        <w:ind w:left="-695" w:hanging="864"/>
      </w:pPr>
      <w:rPr>
        <w:rFonts w:hint="eastAsia"/>
      </w:rPr>
    </w:lvl>
    <w:lvl w:ilvl="4" w:tentative="0">
      <w:start w:val="1"/>
      <w:numFmt w:val="decimal"/>
      <w:lvlText w:val="%1.%2.%3.%4.%5"/>
      <w:lvlJc w:val="left"/>
      <w:pPr>
        <w:tabs>
          <w:tab w:val="left" w:pos="-551"/>
        </w:tabs>
        <w:ind w:left="-551" w:hanging="1008"/>
      </w:pPr>
      <w:rPr>
        <w:rFonts w:hint="eastAsia"/>
      </w:rPr>
    </w:lvl>
    <w:lvl w:ilvl="5" w:tentative="0">
      <w:start w:val="1"/>
      <w:numFmt w:val="decimal"/>
      <w:lvlText w:val="%1.%2.%3.%4.%5.%6"/>
      <w:lvlJc w:val="left"/>
      <w:pPr>
        <w:tabs>
          <w:tab w:val="left" w:pos="-407"/>
        </w:tabs>
        <w:ind w:left="-407" w:hanging="1152"/>
      </w:pPr>
      <w:rPr>
        <w:rFonts w:hint="eastAsia"/>
      </w:rPr>
    </w:lvl>
    <w:lvl w:ilvl="6" w:tentative="0">
      <w:start w:val="1"/>
      <w:numFmt w:val="decimal"/>
      <w:lvlText w:val="%1.%2.%3.%4.%5.%6.%7"/>
      <w:lvlJc w:val="left"/>
      <w:pPr>
        <w:tabs>
          <w:tab w:val="left" w:pos="-263"/>
        </w:tabs>
        <w:ind w:left="-263" w:hanging="1296"/>
      </w:pPr>
      <w:rPr>
        <w:rFonts w:hint="eastAsia"/>
      </w:rPr>
    </w:lvl>
    <w:lvl w:ilvl="7" w:tentative="0">
      <w:start w:val="1"/>
      <w:numFmt w:val="decimal"/>
      <w:lvlText w:val="%1.%2.%3.%4.%5.%6.%7.%8"/>
      <w:lvlJc w:val="left"/>
      <w:pPr>
        <w:tabs>
          <w:tab w:val="left" w:pos="-119"/>
        </w:tabs>
        <w:ind w:left="-119" w:hanging="1440"/>
      </w:pPr>
      <w:rPr>
        <w:rFonts w:hint="eastAsia"/>
      </w:rPr>
    </w:lvl>
    <w:lvl w:ilvl="8" w:tentative="0">
      <w:start w:val="1"/>
      <w:numFmt w:val="decimal"/>
      <w:lvlText w:val="%1.%2.%3.%4.%5.%6.%7.%8.%9"/>
      <w:lvlJc w:val="left"/>
      <w:pPr>
        <w:tabs>
          <w:tab w:val="left" w:pos="25"/>
        </w:tabs>
        <w:ind w:left="25" w:hanging="1584"/>
      </w:pPr>
      <w:rPr>
        <w:rFonts w:hint="eastAsia"/>
      </w:rPr>
    </w:lvl>
  </w:abstractNum>
  <w:abstractNum w:abstractNumId="21">
    <w:nsid w:val="523D2E30"/>
    <w:multiLevelType w:val="multilevel"/>
    <w:tmpl w:val="523D2E3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56751210"/>
    <w:multiLevelType w:val="multilevel"/>
    <w:tmpl w:val="56751210"/>
    <w:lvl w:ilvl="0" w:tentative="0">
      <w:start w:val="1"/>
      <w:numFmt w:val="bullet"/>
      <w:lvlText w:val="–"/>
      <w:lvlJc w:val="left"/>
      <w:pPr>
        <w:ind w:left="900" w:hanging="420"/>
      </w:pPr>
      <w:rPr>
        <w:rFonts w:hint="eastAsia" w:ascii="宋体" w:hAnsi="宋体" w:eastAsia="宋体"/>
        <w:lang w:val="en-U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3">
    <w:nsid w:val="5C58604A"/>
    <w:multiLevelType w:val="multilevel"/>
    <w:tmpl w:val="5C58604A"/>
    <w:lvl w:ilvl="0" w:tentative="0">
      <w:start w:val="1"/>
      <w:numFmt w:val="decimal"/>
      <w:lvlText w:val="(%1)"/>
      <w:lvlJc w:val="left"/>
      <w:pPr>
        <w:tabs>
          <w:tab w:val="left" w:pos="907"/>
        </w:tabs>
        <w:ind w:left="907" w:hanging="482"/>
      </w:pPr>
      <w:rPr>
        <w:rFonts w:hint="default" w:ascii="Times New Roman" w:hAnsi="Times New Roman" w:cs="Times New Roman"/>
        <w:b w:val="0"/>
        <w:i w:val="0"/>
        <w:u w:val="none"/>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4">
    <w:nsid w:val="69D83F70"/>
    <w:multiLevelType w:val="multilevel"/>
    <w:tmpl w:val="69D83F70"/>
    <w:lvl w:ilvl="0" w:tentative="0">
      <w:start w:val="1"/>
      <w:numFmt w:val="decimal"/>
      <w:lvlText w:val="%1)"/>
      <w:lvlJc w:val="left"/>
      <w:pPr>
        <w:ind w:left="420" w:hanging="420"/>
      </w:pPr>
      <w:rPr>
        <w:rFonts w:hint="eastAsia"/>
        <w:lang w:val="en-U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5">
    <w:nsid w:val="6F462474"/>
    <w:multiLevelType w:val="multilevel"/>
    <w:tmpl w:val="6F462474"/>
    <w:lvl w:ilvl="0" w:tentative="0">
      <w:start w:val="2"/>
      <w:numFmt w:val="decimal"/>
      <w:lvlText w:val="%1."/>
      <w:lvlJc w:val="left"/>
      <w:pPr>
        <w:ind w:left="880" w:hanging="880"/>
      </w:pPr>
      <w:rPr>
        <w:rFonts w:hint="default"/>
      </w:rPr>
    </w:lvl>
    <w:lvl w:ilvl="1" w:tentative="0">
      <w:start w:val="6"/>
      <w:numFmt w:val="decimal"/>
      <w:lvlText w:val="%1.%2."/>
      <w:lvlJc w:val="left"/>
      <w:pPr>
        <w:ind w:left="880" w:hanging="88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440" w:hanging="144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26">
    <w:nsid w:val="703A3EE7"/>
    <w:multiLevelType w:val="multilevel"/>
    <w:tmpl w:val="703A3EE7"/>
    <w:lvl w:ilvl="0" w:tentative="0">
      <w:start w:val="2"/>
      <w:numFmt w:val="decimal"/>
      <w:lvlText w:val="%1."/>
      <w:lvlJc w:val="left"/>
      <w:pPr>
        <w:ind w:left="630" w:hanging="63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440" w:hanging="144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27">
    <w:nsid w:val="726269D6"/>
    <w:multiLevelType w:val="multilevel"/>
    <w:tmpl w:val="726269D6"/>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8">
    <w:nsid w:val="784E2006"/>
    <w:multiLevelType w:val="multilevel"/>
    <w:tmpl w:val="784E20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7E7F15AB"/>
    <w:multiLevelType w:val="multilevel"/>
    <w:tmpl w:val="7E7F15AB"/>
    <w:lvl w:ilvl="0" w:tentative="0">
      <w:start w:val="1"/>
      <w:numFmt w:val="decimal"/>
      <w:lvlText w:val="（%1）"/>
      <w:lvlJc w:val="left"/>
      <w:pPr>
        <w:ind w:left="1600" w:hanging="720"/>
      </w:pPr>
      <w:rPr>
        <w:rFonts w:hint="default"/>
      </w:rPr>
    </w:lvl>
    <w:lvl w:ilvl="1" w:tentative="0">
      <w:start w:val="1"/>
      <w:numFmt w:val="lowerLetter"/>
      <w:lvlText w:val="%2)"/>
      <w:lvlJc w:val="left"/>
      <w:pPr>
        <w:ind w:left="1720" w:hanging="420"/>
      </w:pPr>
    </w:lvl>
    <w:lvl w:ilvl="2" w:tentative="0">
      <w:start w:val="1"/>
      <w:numFmt w:val="lowerRoman"/>
      <w:lvlText w:val="%3."/>
      <w:lvlJc w:val="right"/>
      <w:pPr>
        <w:ind w:left="2140" w:hanging="420"/>
      </w:pPr>
    </w:lvl>
    <w:lvl w:ilvl="3" w:tentative="0">
      <w:start w:val="1"/>
      <w:numFmt w:val="decimal"/>
      <w:lvlText w:val="%4."/>
      <w:lvlJc w:val="left"/>
      <w:pPr>
        <w:ind w:left="2560" w:hanging="420"/>
      </w:pPr>
    </w:lvl>
    <w:lvl w:ilvl="4" w:tentative="0">
      <w:start w:val="1"/>
      <w:numFmt w:val="lowerLetter"/>
      <w:lvlText w:val="%5)"/>
      <w:lvlJc w:val="left"/>
      <w:pPr>
        <w:ind w:left="2980" w:hanging="420"/>
      </w:pPr>
    </w:lvl>
    <w:lvl w:ilvl="5" w:tentative="0">
      <w:start w:val="1"/>
      <w:numFmt w:val="lowerRoman"/>
      <w:lvlText w:val="%6."/>
      <w:lvlJc w:val="right"/>
      <w:pPr>
        <w:ind w:left="3400" w:hanging="420"/>
      </w:pPr>
    </w:lvl>
    <w:lvl w:ilvl="6" w:tentative="0">
      <w:start w:val="1"/>
      <w:numFmt w:val="decimal"/>
      <w:lvlText w:val="%7."/>
      <w:lvlJc w:val="left"/>
      <w:pPr>
        <w:ind w:left="3820" w:hanging="420"/>
      </w:pPr>
    </w:lvl>
    <w:lvl w:ilvl="7" w:tentative="0">
      <w:start w:val="1"/>
      <w:numFmt w:val="lowerLetter"/>
      <w:lvlText w:val="%8)"/>
      <w:lvlJc w:val="left"/>
      <w:pPr>
        <w:ind w:left="4240" w:hanging="420"/>
      </w:pPr>
    </w:lvl>
    <w:lvl w:ilvl="8" w:tentative="0">
      <w:start w:val="1"/>
      <w:numFmt w:val="lowerRoman"/>
      <w:lvlText w:val="%9."/>
      <w:lvlJc w:val="right"/>
      <w:pPr>
        <w:ind w:left="4660" w:hanging="420"/>
      </w:pPr>
    </w:lvl>
  </w:abstractNum>
  <w:num w:numId="1">
    <w:abstractNumId w:val="20"/>
  </w:num>
  <w:num w:numId="2">
    <w:abstractNumId w:val="18"/>
  </w:num>
  <w:num w:numId="3">
    <w:abstractNumId w:val="6"/>
  </w:num>
  <w:num w:numId="4">
    <w:abstractNumId w:val="3"/>
  </w:num>
  <w:num w:numId="5">
    <w:abstractNumId w:val="21"/>
  </w:num>
  <w:num w:numId="6">
    <w:abstractNumId w:val="28"/>
  </w:num>
  <w:num w:numId="7">
    <w:abstractNumId w:val="1"/>
  </w:num>
  <w:num w:numId="8">
    <w:abstractNumId w:val="0"/>
  </w:num>
  <w:num w:numId="9">
    <w:abstractNumId w:val="5"/>
  </w:num>
  <w:num w:numId="10">
    <w:abstractNumId w:val="2"/>
  </w:num>
  <w:num w:numId="11">
    <w:abstractNumId w:val="4"/>
  </w:num>
  <w:num w:numId="12">
    <w:abstractNumId w:val="19"/>
  </w:num>
  <w:num w:numId="13">
    <w:abstractNumId w:val="7"/>
  </w:num>
  <w:num w:numId="14">
    <w:abstractNumId w:val="11"/>
  </w:num>
  <w:num w:numId="15">
    <w:abstractNumId w:val="9"/>
  </w:num>
  <w:num w:numId="16">
    <w:abstractNumId w:val="10"/>
  </w:num>
  <w:num w:numId="17">
    <w:abstractNumId w:val="8"/>
  </w:num>
  <w:num w:numId="18">
    <w:abstractNumId w:val="12"/>
  </w:num>
  <w:num w:numId="19">
    <w:abstractNumId w:val="14"/>
  </w:num>
  <w:num w:numId="20">
    <w:abstractNumId w:val="13"/>
  </w:num>
  <w:num w:numId="21">
    <w:abstractNumId w:val="26"/>
  </w:num>
  <w:num w:numId="22">
    <w:abstractNumId w:val="25"/>
  </w:num>
  <w:num w:numId="23">
    <w:abstractNumId w:val="24"/>
  </w:num>
  <w:num w:numId="24">
    <w:abstractNumId w:val="22"/>
  </w:num>
  <w:num w:numId="25">
    <w:abstractNumId w:val="29"/>
  </w:num>
  <w:num w:numId="26">
    <w:abstractNumId w:val="27"/>
  </w:num>
  <w:num w:numId="27">
    <w:abstractNumId w:val="17"/>
  </w:num>
  <w:num w:numId="28">
    <w:abstractNumId w:val="15"/>
  </w:num>
  <w:num w:numId="29">
    <w:abstractNumId w:val="16"/>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zZGUwYzA5YmFhNzc2MDgwNDA5OTAyZjNlZTk4OWMifQ=="/>
  </w:docVars>
  <w:rsids>
    <w:rsidRoot w:val="00C31D55"/>
    <w:rsid w:val="0000165B"/>
    <w:rsid w:val="00002668"/>
    <w:rsid w:val="00002D14"/>
    <w:rsid w:val="00003996"/>
    <w:rsid w:val="00003F25"/>
    <w:rsid w:val="000046DE"/>
    <w:rsid w:val="000047B6"/>
    <w:rsid w:val="000055AC"/>
    <w:rsid w:val="00006DBC"/>
    <w:rsid w:val="00011CD2"/>
    <w:rsid w:val="00011D7E"/>
    <w:rsid w:val="00011F58"/>
    <w:rsid w:val="00013E96"/>
    <w:rsid w:val="00014171"/>
    <w:rsid w:val="0001524B"/>
    <w:rsid w:val="0001551E"/>
    <w:rsid w:val="00015EFF"/>
    <w:rsid w:val="000164B0"/>
    <w:rsid w:val="00016CEA"/>
    <w:rsid w:val="00016E68"/>
    <w:rsid w:val="00017171"/>
    <w:rsid w:val="0001725C"/>
    <w:rsid w:val="00017A4D"/>
    <w:rsid w:val="00020A4E"/>
    <w:rsid w:val="00020E6D"/>
    <w:rsid w:val="000224F7"/>
    <w:rsid w:val="000227C5"/>
    <w:rsid w:val="00022A8A"/>
    <w:rsid w:val="00023E93"/>
    <w:rsid w:val="00023EF5"/>
    <w:rsid w:val="000249DD"/>
    <w:rsid w:val="00024C77"/>
    <w:rsid w:val="0003066C"/>
    <w:rsid w:val="00030A9D"/>
    <w:rsid w:val="00031B2F"/>
    <w:rsid w:val="00031DEF"/>
    <w:rsid w:val="00033EFE"/>
    <w:rsid w:val="00034705"/>
    <w:rsid w:val="0003496A"/>
    <w:rsid w:val="00035296"/>
    <w:rsid w:val="000352DD"/>
    <w:rsid w:val="000365EA"/>
    <w:rsid w:val="00037097"/>
    <w:rsid w:val="00037954"/>
    <w:rsid w:val="00040598"/>
    <w:rsid w:val="00040F17"/>
    <w:rsid w:val="00041779"/>
    <w:rsid w:val="00042043"/>
    <w:rsid w:val="00042584"/>
    <w:rsid w:val="00045A14"/>
    <w:rsid w:val="000469F0"/>
    <w:rsid w:val="0005189A"/>
    <w:rsid w:val="00053058"/>
    <w:rsid w:val="00053514"/>
    <w:rsid w:val="00053A52"/>
    <w:rsid w:val="00053E94"/>
    <w:rsid w:val="0005497F"/>
    <w:rsid w:val="00055911"/>
    <w:rsid w:val="00056D8B"/>
    <w:rsid w:val="00056FD5"/>
    <w:rsid w:val="000577B3"/>
    <w:rsid w:val="000578CD"/>
    <w:rsid w:val="0005799E"/>
    <w:rsid w:val="000618EA"/>
    <w:rsid w:val="000619DA"/>
    <w:rsid w:val="00061F51"/>
    <w:rsid w:val="00062477"/>
    <w:rsid w:val="00062489"/>
    <w:rsid w:val="00064583"/>
    <w:rsid w:val="00064913"/>
    <w:rsid w:val="00066324"/>
    <w:rsid w:val="000665F9"/>
    <w:rsid w:val="00067FDF"/>
    <w:rsid w:val="00070964"/>
    <w:rsid w:val="00071A93"/>
    <w:rsid w:val="00071DBA"/>
    <w:rsid w:val="00072029"/>
    <w:rsid w:val="0007287E"/>
    <w:rsid w:val="000728EA"/>
    <w:rsid w:val="0007389F"/>
    <w:rsid w:val="0007445B"/>
    <w:rsid w:val="000749D9"/>
    <w:rsid w:val="00074C62"/>
    <w:rsid w:val="000760C6"/>
    <w:rsid w:val="0007666E"/>
    <w:rsid w:val="00076700"/>
    <w:rsid w:val="00076D4E"/>
    <w:rsid w:val="00080C1A"/>
    <w:rsid w:val="00081F06"/>
    <w:rsid w:val="00082069"/>
    <w:rsid w:val="00082160"/>
    <w:rsid w:val="00082D5D"/>
    <w:rsid w:val="00083045"/>
    <w:rsid w:val="000839DD"/>
    <w:rsid w:val="00084999"/>
    <w:rsid w:val="00084E3F"/>
    <w:rsid w:val="00084FFD"/>
    <w:rsid w:val="00085413"/>
    <w:rsid w:val="00087E73"/>
    <w:rsid w:val="00090871"/>
    <w:rsid w:val="00091477"/>
    <w:rsid w:val="00092C2E"/>
    <w:rsid w:val="00093016"/>
    <w:rsid w:val="0009308E"/>
    <w:rsid w:val="0009447A"/>
    <w:rsid w:val="000959B3"/>
    <w:rsid w:val="00096080"/>
    <w:rsid w:val="00096339"/>
    <w:rsid w:val="000A28DA"/>
    <w:rsid w:val="000A299C"/>
    <w:rsid w:val="000A3669"/>
    <w:rsid w:val="000A5155"/>
    <w:rsid w:val="000A688C"/>
    <w:rsid w:val="000A7250"/>
    <w:rsid w:val="000A7D58"/>
    <w:rsid w:val="000B02BC"/>
    <w:rsid w:val="000B0776"/>
    <w:rsid w:val="000B11A0"/>
    <w:rsid w:val="000B15B5"/>
    <w:rsid w:val="000B4FAD"/>
    <w:rsid w:val="000B5410"/>
    <w:rsid w:val="000B55EC"/>
    <w:rsid w:val="000B5724"/>
    <w:rsid w:val="000B6D7B"/>
    <w:rsid w:val="000B785C"/>
    <w:rsid w:val="000B7C99"/>
    <w:rsid w:val="000C17AA"/>
    <w:rsid w:val="000C22C4"/>
    <w:rsid w:val="000C29FA"/>
    <w:rsid w:val="000C3334"/>
    <w:rsid w:val="000C3B31"/>
    <w:rsid w:val="000C3D44"/>
    <w:rsid w:val="000C489F"/>
    <w:rsid w:val="000C5934"/>
    <w:rsid w:val="000C5FD8"/>
    <w:rsid w:val="000C6EF4"/>
    <w:rsid w:val="000C70D2"/>
    <w:rsid w:val="000D02BB"/>
    <w:rsid w:val="000D3662"/>
    <w:rsid w:val="000D399D"/>
    <w:rsid w:val="000D54F8"/>
    <w:rsid w:val="000D64AF"/>
    <w:rsid w:val="000D66A3"/>
    <w:rsid w:val="000D6E29"/>
    <w:rsid w:val="000D6FBE"/>
    <w:rsid w:val="000E41E7"/>
    <w:rsid w:val="000E4A0F"/>
    <w:rsid w:val="000E5C95"/>
    <w:rsid w:val="000E6277"/>
    <w:rsid w:val="000E6BC2"/>
    <w:rsid w:val="000E7497"/>
    <w:rsid w:val="000F1443"/>
    <w:rsid w:val="000F2031"/>
    <w:rsid w:val="000F2D35"/>
    <w:rsid w:val="000F38BD"/>
    <w:rsid w:val="000F53CB"/>
    <w:rsid w:val="000F5FE5"/>
    <w:rsid w:val="000F6FE1"/>
    <w:rsid w:val="00100B22"/>
    <w:rsid w:val="001014D5"/>
    <w:rsid w:val="001015D1"/>
    <w:rsid w:val="00105AA5"/>
    <w:rsid w:val="00105B57"/>
    <w:rsid w:val="001060EC"/>
    <w:rsid w:val="00106A2A"/>
    <w:rsid w:val="001077D6"/>
    <w:rsid w:val="00110461"/>
    <w:rsid w:val="001120EA"/>
    <w:rsid w:val="0011219E"/>
    <w:rsid w:val="00112460"/>
    <w:rsid w:val="00112D23"/>
    <w:rsid w:val="00113255"/>
    <w:rsid w:val="00113435"/>
    <w:rsid w:val="001135CE"/>
    <w:rsid w:val="0011461E"/>
    <w:rsid w:val="0011471E"/>
    <w:rsid w:val="00117CA9"/>
    <w:rsid w:val="00123B7D"/>
    <w:rsid w:val="00124678"/>
    <w:rsid w:val="0012786A"/>
    <w:rsid w:val="0013034C"/>
    <w:rsid w:val="0013044D"/>
    <w:rsid w:val="0013062F"/>
    <w:rsid w:val="00130F8C"/>
    <w:rsid w:val="00131658"/>
    <w:rsid w:val="001324EB"/>
    <w:rsid w:val="00133D00"/>
    <w:rsid w:val="00133D94"/>
    <w:rsid w:val="0013411C"/>
    <w:rsid w:val="001345BD"/>
    <w:rsid w:val="00136B87"/>
    <w:rsid w:val="0013763D"/>
    <w:rsid w:val="001404C4"/>
    <w:rsid w:val="001424F4"/>
    <w:rsid w:val="001437EE"/>
    <w:rsid w:val="001453C5"/>
    <w:rsid w:val="00147621"/>
    <w:rsid w:val="00147FB5"/>
    <w:rsid w:val="00150FE4"/>
    <w:rsid w:val="00151447"/>
    <w:rsid w:val="00151FAB"/>
    <w:rsid w:val="0015329D"/>
    <w:rsid w:val="0015341B"/>
    <w:rsid w:val="00154B29"/>
    <w:rsid w:val="00154B3A"/>
    <w:rsid w:val="00154BF3"/>
    <w:rsid w:val="00154CBB"/>
    <w:rsid w:val="0015708F"/>
    <w:rsid w:val="00157313"/>
    <w:rsid w:val="001609CF"/>
    <w:rsid w:val="00161FB9"/>
    <w:rsid w:val="00162672"/>
    <w:rsid w:val="00162D92"/>
    <w:rsid w:val="00163258"/>
    <w:rsid w:val="001636DE"/>
    <w:rsid w:val="0016388E"/>
    <w:rsid w:val="00163E91"/>
    <w:rsid w:val="001659CD"/>
    <w:rsid w:val="00167A90"/>
    <w:rsid w:val="001708C4"/>
    <w:rsid w:val="0017182A"/>
    <w:rsid w:val="00171FDA"/>
    <w:rsid w:val="0017213E"/>
    <w:rsid w:val="00172446"/>
    <w:rsid w:val="001730DF"/>
    <w:rsid w:val="001738F1"/>
    <w:rsid w:val="001759B2"/>
    <w:rsid w:val="00175A52"/>
    <w:rsid w:val="00176D2C"/>
    <w:rsid w:val="00177676"/>
    <w:rsid w:val="00177E3C"/>
    <w:rsid w:val="00181462"/>
    <w:rsid w:val="0018189F"/>
    <w:rsid w:val="0018438A"/>
    <w:rsid w:val="00187F26"/>
    <w:rsid w:val="00190285"/>
    <w:rsid w:val="001904CE"/>
    <w:rsid w:val="00191298"/>
    <w:rsid w:val="001920C1"/>
    <w:rsid w:val="00193181"/>
    <w:rsid w:val="00193956"/>
    <w:rsid w:val="00193B89"/>
    <w:rsid w:val="00193D2E"/>
    <w:rsid w:val="0019533E"/>
    <w:rsid w:val="001959D9"/>
    <w:rsid w:val="00195AC0"/>
    <w:rsid w:val="00195E9D"/>
    <w:rsid w:val="001962C0"/>
    <w:rsid w:val="00196E74"/>
    <w:rsid w:val="001A116E"/>
    <w:rsid w:val="001A1846"/>
    <w:rsid w:val="001A1988"/>
    <w:rsid w:val="001A3E12"/>
    <w:rsid w:val="001A5077"/>
    <w:rsid w:val="001A55B3"/>
    <w:rsid w:val="001A59E4"/>
    <w:rsid w:val="001A5F66"/>
    <w:rsid w:val="001A60DB"/>
    <w:rsid w:val="001A66B5"/>
    <w:rsid w:val="001A74D8"/>
    <w:rsid w:val="001A780A"/>
    <w:rsid w:val="001B1B6F"/>
    <w:rsid w:val="001B23FD"/>
    <w:rsid w:val="001B31A4"/>
    <w:rsid w:val="001B33FB"/>
    <w:rsid w:val="001B3C75"/>
    <w:rsid w:val="001B4146"/>
    <w:rsid w:val="001B5F1D"/>
    <w:rsid w:val="001B761F"/>
    <w:rsid w:val="001B7957"/>
    <w:rsid w:val="001C00DC"/>
    <w:rsid w:val="001C02DF"/>
    <w:rsid w:val="001C100F"/>
    <w:rsid w:val="001C32A3"/>
    <w:rsid w:val="001C3919"/>
    <w:rsid w:val="001C5180"/>
    <w:rsid w:val="001C5E80"/>
    <w:rsid w:val="001C6E87"/>
    <w:rsid w:val="001C71DD"/>
    <w:rsid w:val="001C7286"/>
    <w:rsid w:val="001D0C7B"/>
    <w:rsid w:val="001D1377"/>
    <w:rsid w:val="001D23D9"/>
    <w:rsid w:val="001D2705"/>
    <w:rsid w:val="001D34DC"/>
    <w:rsid w:val="001D375F"/>
    <w:rsid w:val="001D384F"/>
    <w:rsid w:val="001D463B"/>
    <w:rsid w:val="001D496A"/>
    <w:rsid w:val="001D6C53"/>
    <w:rsid w:val="001D73F4"/>
    <w:rsid w:val="001E16C1"/>
    <w:rsid w:val="001E371B"/>
    <w:rsid w:val="001E56B6"/>
    <w:rsid w:val="001E653F"/>
    <w:rsid w:val="001E7DEA"/>
    <w:rsid w:val="001E7EBA"/>
    <w:rsid w:val="001F19AA"/>
    <w:rsid w:val="001F1C2F"/>
    <w:rsid w:val="001F259E"/>
    <w:rsid w:val="001F292B"/>
    <w:rsid w:val="001F2993"/>
    <w:rsid w:val="001F36D2"/>
    <w:rsid w:val="001F3B74"/>
    <w:rsid w:val="001F3D3C"/>
    <w:rsid w:val="001F48E2"/>
    <w:rsid w:val="001F4E78"/>
    <w:rsid w:val="001F504F"/>
    <w:rsid w:val="001F7409"/>
    <w:rsid w:val="001F7C0B"/>
    <w:rsid w:val="001F7E03"/>
    <w:rsid w:val="00200232"/>
    <w:rsid w:val="00200818"/>
    <w:rsid w:val="00200890"/>
    <w:rsid w:val="00200BEA"/>
    <w:rsid w:val="00200E77"/>
    <w:rsid w:val="00204763"/>
    <w:rsid w:val="00206250"/>
    <w:rsid w:val="002065EB"/>
    <w:rsid w:val="00207266"/>
    <w:rsid w:val="00207358"/>
    <w:rsid w:val="00210532"/>
    <w:rsid w:val="00211523"/>
    <w:rsid w:val="00211874"/>
    <w:rsid w:val="00212106"/>
    <w:rsid w:val="002133FD"/>
    <w:rsid w:val="00213817"/>
    <w:rsid w:val="00213B1C"/>
    <w:rsid w:val="0021459D"/>
    <w:rsid w:val="00214AD6"/>
    <w:rsid w:val="00215E61"/>
    <w:rsid w:val="002166B5"/>
    <w:rsid w:val="002173D2"/>
    <w:rsid w:val="00217FE0"/>
    <w:rsid w:val="00220C69"/>
    <w:rsid w:val="00221053"/>
    <w:rsid w:val="0022136D"/>
    <w:rsid w:val="00222412"/>
    <w:rsid w:val="002225AD"/>
    <w:rsid w:val="00223BB5"/>
    <w:rsid w:val="00224456"/>
    <w:rsid w:val="00224C81"/>
    <w:rsid w:val="0022501D"/>
    <w:rsid w:val="00225226"/>
    <w:rsid w:val="00225478"/>
    <w:rsid w:val="00226F02"/>
    <w:rsid w:val="00227DB7"/>
    <w:rsid w:val="002322AB"/>
    <w:rsid w:val="00233899"/>
    <w:rsid w:val="002338C7"/>
    <w:rsid w:val="00233997"/>
    <w:rsid w:val="00233F18"/>
    <w:rsid w:val="0023456B"/>
    <w:rsid w:val="002347CA"/>
    <w:rsid w:val="00235732"/>
    <w:rsid w:val="00235961"/>
    <w:rsid w:val="00236180"/>
    <w:rsid w:val="00237DAF"/>
    <w:rsid w:val="00240411"/>
    <w:rsid w:val="00240D7C"/>
    <w:rsid w:val="00240F58"/>
    <w:rsid w:val="00242355"/>
    <w:rsid w:val="00242D72"/>
    <w:rsid w:val="0024300F"/>
    <w:rsid w:val="002430DE"/>
    <w:rsid w:val="002438C1"/>
    <w:rsid w:val="00243C9E"/>
    <w:rsid w:val="0024425A"/>
    <w:rsid w:val="00244D52"/>
    <w:rsid w:val="0024521A"/>
    <w:rsid w:val="00247321"/>
    <w:rsid w:val="00247884"/>
    <w:rsid w:val="00247E4F"/>
    <w:rsid w:val="002500E7"/>
    <w:rsid w:val="0025019D"/>
    <w:rsid w:val="002506EA"/>
    <w:rsid w:val="00251229"/>
    <w:rsid w:val="002517FA"/>
    <w:rsid w:val="00253691"/>
    <w:rsid w:val="002542CF"/>
    <w:rsid w:val="002556C1"/>
    <w:rsid w:val="00255DC9"/>
    <w:rsid w:val="00256494"/>
    <w:rsid w:val="00257DF0"/>
    <w:rsid w:val="002614BF"/>
    <w:rsid w:val="00262084"/>
    <w:rsid w:val="002624E4"/>
    <w:rsid w:val="00263946"/>
    <w:rsid w:val="00263ECA"/>
    <w:rsid w:val="00265008"/>
    <w:rsid w:val="00266973"/>
    <w:rsid w:val="00266B29"/>
    <w:rsid w:val="00267B75"/>
    <w:rsid w:val="00267CA7"/>
    <w:rsid w:val="00270E79"/>
    <w:rsid w:val="00273181"/>
    <w:rsid w:val="002735D8"/>
    <w:rsid w:val="00273970"/>
    <w:rsid w:val="0027507D"/>
    <w:rsid w:val="002753B6"/>
    <w:rsid w:val="00275488"/>
    <w:rsid w:val="00275636"/>
    <w:rsid w:val="00276170"/>
    <w:rsid w:val="002769E4"/>
    <w:rsid w:val="00277361"/>
    <w:rsid w:val="00277E0F"/>
    <w:rsid w:val="00277F18"/>
    <w:rsid w:val="00280046"/>
    <w:rsid w:val="002808C2"/>
    <w:rsid w:val="002816DE"/>
    <w:rsid w:val="00281895"/>
    <w:rsid w:val="00282C00"/>
    <w:rsid w:val="002848E8"/>
    <w:rsid w:val="00285002"/>
    <w:rsid w:val="00287865"/>
    <w:rsid w:val="0028791B"/>
    <w:rsid w:val="002912E5"/>
    <w:rsid w:val="00293EF5"/>
    <w:rsid w:val="00295292"/>
    <w:rsid w:val="00296281"/>
    <w:rsid w:val="0029653C"/>
    <w:rsid w:val="00296B05"/>
    <w:rsid w:val="00296FB0"/>
    <w:rsid w:val="002977C3"/>
    <w:rsid w:val="002A0051"/>
    <w:rsid w:val="002A09B2"/>
    <w:rsid w:val="002A18B6"/>
    <w:rsid w:val="002A20BE"/>
    <w:rsid w:val="002A31A6"/>
    <w:rsid w:val="002A398F"/>
    <w:rsid w:val="002A4A0D"/>
    <w:rsid w:val="002A57B4"/>
    <w:rsid w:val="002A5B00"/>
    <w:rsid w:val="002A63D6"/>
    <w:rsid w:val="002A7123"/>
    <w:rsid w:val="002A77CF"/>
    <w:rsid w:val="002B07CB"/>
    <w:rsid w:val="002B1713"/>
    <w:rsid w:val="002B271D"/>
    <w:rsid w:val="002B274E"/>
    <w:rsid w:val="002B486C"/>
    <w:rsid w:val="002B5F3B"/>
    <w:rsid w:val="002B625C"/>
    <w:rsid w:val="002C0317"/>
    <w:rsid w:val="002C1436"/>
    <w:rsid w:val="002C1A9F"/>
    <w:rsid w:val="002C1C8B"/>
    <w:rsid w:val="002C1F7C"/>
    <w:rsid w:val="002C4538"/>
    <w:rsid w:val="002C4DE8"/>
    <w:rsid w:val="002C607F"/>
    <w:rsid w:val="002C6F2C"/>
    <w:rsid w:val="002C7F8D"/>
    <w:rsid w:val="002D0673"/>
    <w:rsid w:val="002D0A8D"/>
    <w:rsid w:val="002D24AE"/>
    <w:rsid w:val="002D3C6B"/>
    <w:rsid w:val="002D3F7C"/>
    <w:rsid w:val="002D5AC3"/>
    <w:rsid w:val="002D706B"/>
    <w:rsid w:val="002E0999"/>
    <w:rsid w:val="002E4AAE"/>
    <w:rsid w:val="002E4EED"/>
    <w:rsid w:val="002E5A36"/>
    <w:rsid w:val="002E7F6B"/>
    <w:rsid w:val="002F140F"/>
    <w:rsid w:val="002F3ECC"/>
    <w:rsid w:val="002F4C62"/>
    <w:rsid w:val="002F54D3"/>
    <w:rsid w:val="002F5548"/>
    <w:rsid w:val="002F56CC"/>
    <w:rsid w:val="002F5C10"/>
    <w:rsid w:val="002F6505"/>
    <w:rsid w:val="002F65C2"/>
    <w:rsid w:val="00300063"/>
    <w:rsid w:val="00300124"/>
    <w:rsid w:val="00300CA0"/>
    <w:rsid w:val="003018A3"/>
    <w:rsid w:val="003020BC"/>
    <w:rsid w:val="00302EBB"/>
    <w:rsid w:val="003035C2"/>
    <w:rsid w:val="003044CF"/>
    <w:rsid w:val="0030460F"/>
    <w:rsid w:val="00304BAC"/>
    <w:rsid w:val="00304D7F"/>
    <w:rsid w:val="0030539C"/>
    <w:rsid w:val="00305E4C"/>
    <w:rsid w:val="003066EF"/>
    <w:rsid w:val="003109D7"/>
    <w:rsid w:val="00311B3A"/>
    <w:rsid w:val="00311FBD"/>
    <w:rsid w:val="00312C46"/>
    <w:rsid w:val="00312EC3"/>
    <w:rsid w:val="0031392C"/>
    <w:rsid w:val="00313FAA"/>
    <w:rsid w:val="00315403"/>
    <w:rsid w:val="0031567C"/>
    <w:rsid w:val="003171D7"/>
    <w:rsid w:val="003179F8"/>
    <w:rsid w:val="00317C08"/>
    <w:rsid w:val="0032052D"/>
    <w:rsid w:val="003222C8"/>
    <w:rsid w:val="003225E3"/>
    <w:rsid w:val="00322601"/>
    <w:rsid w:val="00323914"/>
    <w:rsid w:val="00324A2F"/>
    <w:rsid w:val="00325CE2"/>
    <w:rsid w:val="00326EA0"/>
    <w:rsid w:val="003305F0"/>
    <w:rsid w:val="00331D34"/>
    <w:rsid w:val="00332EBF"/>
    <w:rsid w:val="003336F4"/>
    <w:rsid w:val="0033591B"/>
    <w:rsid w:val="00340248"/>
    <w:rsid w:val="00340AEA"/>
    <w:rsid w:val="003411C2"/>
    <w:rsid w:val="00341BB4"/>
    <w:rsid w:val="00342CA6"/>
    <w:rsid w:val="00343793"/>
    <w:rsid w:val="00344009"/>
    <w:rsid w:val="0034452F"/>
    <w:rsid w:val="00344A08"/>
    <w:rsid w:val="00345331"/>
    <w:rsid w:val="0034648C"/>
    <w:rsid w:val="0034674C"/>
    <w:rsid w:val="0034677A"/>
    <w:rsid w:val="00347DAF"/>
    <w:rsid w:val="00347DE3"/>
    <w:rsid w:val="00350958"/>
    <w:rsid w:val="003528F8"/>
    <w:rsid w:val="00352C45"/>
    <w:rsid w:val="00352D6D"/>
    <w:rsid w:val="00352DC2"/>
    <w:rsid w:val="003541FD"/>
    <w:rsid w:val="00354782"/>
    <w:rsid w:val="00355411"/>
    <w:rsid w:val="00355E15"/>
    <w:rsid w:val="0035600E"/>
    <w:rsid w:val="00356959"/>
    <w:rsid w:val="003569C7"/>
    <w:rsid w:val="00356B6A"/>
    <w:rsid w:val="003574EF"/>
    <w:rsid w:val="00360CC8"/>
    <w:rsid w:val="0036138A"/>
    <w:rsid w:val="00361CD2"/>
    <w:rsid w:val="00363BAE"/>
    <w:rsid w:val="0036480C"/>
    <w:rsid w:val="003653EE"/>
    <w:rsid w:val="0036572F"/>
    <w:rsid w:val="00367C42"/>
    <w:rsid w:val="00370088"/>
    <w:rsid w:val="00372E2F"/>
    <w:rsid w:val="00374FD7"/>
    <w:rsid w:val="00375173"/>
    <w:rsid w:val="00375782"/>
    <w:rsid w:val="00377BF9"/>
    <w:rsid w:val="00380A80"/>
    <w:rsid w:val="0038135C"/>
    <w:rsid w:val="00381F8E"/>
    <w:rsid w:val="003825FC"/>
    <w:rsid w:val="003827BD"/>
    <w:rsid w:val="0038337F"/>
    <w:rsid w:val="00384CFA"/>
    <w:rsid w:val="00385258"/>
    <w:rsid w:val="00385698"/>
    <w:rsid w:val="0038661B"/>
    <w:rsid w:val="003866A3"/>
    <w:rsid w:val="00387110"/>
    <w:rsid w:val="00387449"/>
    <w:rsid w:val="00387BE1"/>
    <w:rsid w:val="003949FF"/>
    <w:rsid w:val="003953E6"/>
    <w:rsid w:val="00395628"/>
    <w:rsid w:val="003966A4"/>
    <w:rsid w:val="003A0269"/>
    <w:rsid w:val="003A22F2"/>
    <w:rsid w:val="003A4129"/>
    <w:rsid w:val="003A5999"/>
    <w:rsid w:val="003A5B77"/>
    <w:rsid w:val="003A61A5"/>
    <w:rsid w:val="003A635B"/>
    <w:rsid w:val="003A7B17"/>
    <w:rsid w:val="003B0E45"/>
    <w:rsid w:val="003B185A"/>
    <w:rsid w:val="003B2C64"/>
    <w:rsid w:val="003B3BED"/>
    <w:rsid w:val="003B3D55"/>
    <w:rsid w:val="003B4431"/>
    <w:rsid w:val="003B5210"/>
    <w:rsid w:val="003B541C"/>
    <w:rsid w:val="003B5605"/>
    <w:rsid w:val="003B5EB6"/>
    <w:rsid w:val="003B6D44"/>
    <w:rsid w:val="003B6E60"/>
    <w:rsid w:val="003B7A81"/>
    <w:rsid w:val="003C04AD"/>
    <w:rsid w:val="003C0643"/>
    <w:rsid w:val="003C16C9"/>
    <w:rsid w:val="003C1A34"/>
    <w:rsid w:val="003C1CA7"/>
    <w:rsid w:val="003C58D8"/>
    <w:rsid w:val="003C61E9"/>
    <w:rsid w:val="003C7561"/>
    <w:rsid w:val="003C7928"/>
    <w:rsid w:val="003C7C54"/>
    <w:rsid w:val="003D063B"/>
    <w:rsid w:val="003D0945"/>
    <w:rsid w:val="003D1E0B"/>
    <w:rsid w:val="003D1EFA"/>
    <w:rsid w:val="003D2EF6"/>
    <w:rsid w:val="003D3DA9"/>
    <w:rsid w:val="003D41C8"/>
    <w:rsid w:val="003D59E0"/>
    <w:rsid w:val="003D7647"/>
    <w:rsid w:val="003E10C1"/>
    <w:rsid w:val="003E183C"/>
    <w:rsid w:val="003E1EB1"/>
    <w:rsid w:val="003E2686"/>
    <w:rsid w:val="003E30F0"/>
    <w:rsid w:val="003E3225"/>
    <w:rsid w:val="003E5F22"/>
    <w:rsid w:val="003E794B"/>
    <w:rsid w:val="003E7A69"/>
    <w:rsid w:val="003F0D93"/>
    <w:rsid w:val="003F216D"/>
    <w:rsid w:val="003F360C"/>
    <w:rsid w:val="003F60F1"/>
    <w:rsid w:val="00400138"/>
    <w:rsid w:val="00400873"/>
    <w:rsid w:val="004011D2"/>
    <w:rsid w:val="00404FF9"/>
    <w:rsid w:val="004055F1"/>
    <w:rsid w:val="00405B38"/>
    <w:rsid w:val="00407BD1"/>
    <w:rsid w:val="00407EEE"/>
    <w:rsid w:val="0041267C"/>
    <w:rsid w:val="00412855"/>
    <w:rsid w:val="0041299D"/>
    <w:rsid w:val="00414098"/>
    <w:rsid w:val="00414C51"/>
    <w:rsid w:val="004151B4"/>
    <w:rsid w:val="004166D8"/>
    <w:rsid w:val="004177BB"/>
    <w:rsid w:val="00421886"/>
    <w:rsid w:val="004223E1"/>
    <w:rsid w:val="004226C7"/>
    <w:rsid w:val="00423970"/>
    <w:rsid w:val="00423ADE"/>
    <w:rsid w:val="00424449"/>
    <w:rsid w:val="00426010"/>
    <w:rsid w:val="00426B96"/>
    <w:rsid w:val="00427AF2"/>
    <w:rsid w:val="00427AFA"/>
    <w:rsid w:val="0043002B"/>
    <w:rsid w:val="004309B6"/>
    <w:rsid w:val="00433F5D"/>
    <w:rsid w:val="00435477"/>
    <w:rsid w:val="00435B2D"/>
    <w:rsid w:val="00436153"/>
    <w:rsid w:val="004369D4"/>
    <w:rsid w:val="00436D27"/>
    <w:rsid w:val="00440AA3"/>
    <w:rsid w:val="004416B7"/>
    <w:rsid w:val="00441BA6"/>
    <w:rsid w:val="004447F8"/>
    <w:rsid w:val="004454EF"/>
    <w:rsid w:val="00445BE7"/>
    <w:rsid w:val="00445CDA"/>
    <w:rsid w:val="004463F2"/>
    <w:rsid w:val="00446B22"/>
    <w:rsid w:val="004472C3"/>
    <w:rsid w:val="00447F01"/>
    <w:rsid w:val="00452A3F"/>
    <w:rsid w:val="00453075"/>
    <w:rsid w:val="00454707"/>
    <w:rsid w:val="00457347"/>
    <w:rsid w:val="00457459"/>
    <w:rsid w:val="00460059"/>
    <w:rsid w:val="00460414"/>
    <w:rsid w:val="00460838"/>
    <w:rsid w:val="004611AD"/>
    <w:rsid w:val="00462B72"/>
    <w:rsid w:val="00463598"/>
    <w:rsid w:val="00463914"/>
    <w:rsid w:val="0046498B"/>
    <w:rsid w:val="004663B1"/>
    <w:rsid w:val="0046653D"/>
    <w:rsid w:val="004668DF"/>
    <w:rsid w:val="00466DB6"/>
    <w:rsid w:val="00467E2B"/>
    <w:rsid w:val="00467FDA"/>
    <w:rsid w:val="00470024"/>
    <w:rsid w:val="00470730"/>
    <w:rsid w:val="00473658"/>
    <w:rsid w:val="00477EF6"/>
    <w:rsid w:val="004809A0"/>
    <w:rsid w:val="004821CC"/>
    <w:rsid w:val="00482693"/>
    <w:rsid w:val="00483653"/>
    <w:rsid w:val="00484086"/>
    <w:rsid w:val="004854F3"/>
    <w:rsid w:val="0048633B"/>
    <w:rsid w:val="0048667A"/>
    <w:rsid w:val="004874E7"/>
    <w:rsid w:val="00487D08"/>
    <w:rsid w:val="00490BA9"/>
    <w:rsid w:val="004917CD"/>
    <w:rsid w:val="0049216E"/>
    <w:rsid w:val="00492A51"/>
    <w:rsid w:val="00492CA0"/>
    <w:rsid w:val="00493168"/>
    <w:rsid w:val="0049373E"/>
    <w:rsid w:val="00494435"/>
    <w:rsid w:val="00494AEA"/>
    <w:rsid w:val="0049501E"/>
    <w:rsid w:val="00495459"/>
    <w:rsid w:val="00495B1D"/>
    <w:rsid w:val="0049606A"/>
    <w:rsid w:val="0049659C"/>
    <w:rsid w:val="004A085F"/>
    <w:rsid w:val="004A0AAD"/>
    <w:rsid w:val="004A2717"/>
    <w:rsid w:val="004A2DF6"/>
    <w:rsid w:val="004A47C0"/>
    <w:rsid w:val="004A4E12"/>
    <w:rsid w:val="004A51B2"/>
    <w:rsid w:val="004A5E4E"/>
    <w:rsid w:val="004A68B0"/>
    <w:rsid w:val="004A6A4D"/>
    <w:rsid w:val="004A6F10"/>
    <w:rsid w:val="004A7E79"/>
    <w:rsid w:val="004B00FD"/>
    <w:rsid w:val="004B19C9"/>
    <w:rsid w:val="004B1AF0"/>
    <w:rsid w:val="004B2E97"/>
    <w:rsid w:val="004B3224"/>
    <w:rsid w:val="004B3E69"/>
    <w:rsid w:val="004B4126"/>
    <w:rsid w:val="004B4B2C"/>
    <w:rsid w:val="004B598A"/>
    <w:rsid w:val="004B5BF2"/>
    <w:rsid w:val="004C04FC"/>
    <w:rsid w:val="004C0A14"/>
    <w:rsid w:val="004C0BA5"/>
    <w:rsid w:val="004C180A"/>
    <w:rsid w:val="004C1CB1"/>
    <w:rsid w:val="004C3243"/>
    <w:rsid w:val="004C48F0"/>
    <w:rsid w:val="004C5137"/>
    <w:rsid w:val="004C63D4"/>
    <w:rsid w:val="004C6542"/>
    <w:rsid w:val="004D03C0"/>
    <w:rsid w:val="004D0B16"/>
    <w:rsid w:val="004D0C03"/>
    <w:rsid w:val="004D0FD1"/>
    <w:rsid w:val="004D1790"/>
    <w:rsid w:val="004D1F26"/>
    <w:rsid w:val="004D2528"/>
    <w:rsid w:val="004D28EA"/>
    <w:rsid w:val="004D35B0"/>
    <w:rsid w:val="004D39FE"/>
    <w:rsid w:val="004D3A64"/>
    <w:rsid w:val="004D46CB"/>
    <w:rsid w:val="004D4E05"/>
    <w:rsid w:val="004D5644"/>
    <w:rsid w:val="004D5899"/>
    <w:rsid w:val="004D6E01"/>
    <w:rsid w:val="004D7389"/>
    <w:rsid w:val="004D7421"/>
    <w:rsid w:val="004E486F"/>
    <w:rsid w:val="004E5746"/>
    <w:rsid w:val="004E645E"/>
    <w:rsid w:val="004E75CF"/>
    <w:rsid w:val="004E761C"/>
    <w:rsid w:val="004F0360"/>
    <w:rsid w:val="004F0C54"/>
    <w:rsid w:val="004F14FA"/>
    <w:rsid w:val="004F1E70"/>
    <w:rsid w:val="004F2CA5"/>
    <w:rsid w:val="004F3C3B"/>
    <w:rsid w:val="004F3DD9"/>
    <w:rsid w:val="004F6FE5"/>
    <w:rsid w:val="005018B4"/>
    <w:rsid w:val="00501BCD"/>
    <w:rsid w:val="00502E90"/>
    <w:rsid w:val="005043A5"/>
    <w:rsid w:val="00504D98"/>
    <w:rsid w:val="00505677"/>
    <w:rsid w:val="005058EC"/>
    <w:rsid w:val="0050609C"/>
    <w:rsid w:val="00506423"/>
    <w:rsid w:val="005064F3"/>
    <w:rsid w:val="00507B82"/>
    <w:rsid w:val="00510D2F"/>
    <w:rsid w:val="00511842"/>
    <w:rsid w:val="00511F5D"/>
    <w:rsid w:val="00512533"/>
    <w:rsid w:val="00512BEF"/>
    <w:rsid w:val="00513F36"/>
    <w:rsid w:val="00515427"/>
    <w:rsid w:val="00516300"/>
    <w:rsid w:val="00516A5B"/>
    <w:rsid w:val="00516F8D"/>
    <w:rsid w:val="00516F9D"/>
    <w:rsid w:val="00517D26"/>
    <w:rsid w:val="00520B2D"/>
    <w:rsid w:val="00522632"/>
    <w:rsid w:val="0052284F"/>
    <w:rsid w:val="00523030"/>
    <w:rsid w:val="00524463"/>
    <w:rsid w:val="00524DA0"/>
    <w:rsid w:val="005253A2"/>
    <w:rsid w:val="00525620"/>
    <w:rsid w:val="00525AB8"/>
    <w:rsid w:val="00527238"/>
    <w:rsid w:val="005311D5"/>
    <w:rsid w:val="00531FB3"/>
    <w:rsid w:val="00532A82"/>
    <w:rsid w:val="00532CA9"/>
    <w:rsid w:val="00532F29"/>
    <w:rsid w:val="00533254"/>
    <w:rsid w:val="0053395D"/>
    <w:rsid w:val="0053413A"/>
    <w:rsid w:val="00534811"/>
    <w:rsid w:val="005350AF"/>
    <w:rsid w:val="0053541D"/>
    <w:rsid w:val="00535BF7"/>
    <w:rsid w:val="005374CA"/>
    <w:rsid w:val="00537B8E"/>
    <w:rsid w:val="005406C5"/>
    <w:rsid w:val="005410CB"/>
    <w:rsid w:val="00541901"/>
    <w:rsid w:val="00541945"/>
    <w:rsid w:val="00543370"/>
    <w:rsid w:val="00544133"/>
    <w:rsid w:val="005441BD"/>
    <w:rsid w:val="005444AC"/>
    <w:rsid w:val="0054467D"/>
    <w:rsid w:val="00544C4B"/>
    <w:rsid w:val="005465E7"/>
    <w:rsid w:val="00546886"/>
    <w:rsid w:val="00550136"/>
    <w:rsid w:val="005505A9"/>
    <w:rsid w:val="00550949"/>
    <w:rsid w:val="00551676"/>
    <w:rsid w:val="00553F1D"/>
    <w:rsid w:val="00554143"/>
    <w:rsid w:val="0055501B"/>
    <w:rsid w:val="00555AB6"/>
    <w:rsid w:val="00557C2D"/>
    <w:rsid w:val="0056014B"/>
    <w:rsid w:val="00560349"/>
    <w:rsid w:val="005609B7"/>
    <w:rsid w:val="00561407"/>
    <w:rsid w:val="0056155F"/>
    <w:rsid w:val="00562135"/>
    <w:rsid w:val="005628ED"/>
    <w:rsid w:val="005630C9"/>
    <w:rsid w:val="00563240"/>
    <w:rsid w:val="005637E0"/>
    <w:rsid w:val="00565707"/>
    <w:rsid w:val="00565B63"/>
    <w:rsid w:val="00566416"/>
    <w:rsid w:val="0056716D"/>
    <w:rsid w:val="0057081A"/>
    <w:rsid w:val="0057148D"/>
    <w:rsid w:val="00571A6D"/>
    <w:rsid w:val="00571F7D"/>
    <w:rsid w:val="00573B44"/>
    <w:rsid w:val="00573DFD"/>
    <w:rsid w:val="00575725"/>
    <w:rsid w:val="00575A46"/>
    <w:rsid w:val="005763C8"/>
    <w:rsid w:val="00576E20"/>
    <w:rsid w:val="005774B5"/>
    <w:rsid w:val="00581791"/>
    <w:rsid w:val="00581B38"/>
    <w:rsid w:val="0058264A"/>
    <w:rsid w:val="00585F0B"/>
    <w:rsid w:val="00586787"/>
    <w:rsid w:val="00587B7E"/>
    <w:rsid w:val="00590348"/>
    <w:rsid w:val="00590759"/>
    <w:rsid w:val="00591493"/>
    <w:rsid w:val="0059276D"/>
    <w:rsid w:val="00592E90"/>
    <w:rsid w:val="0059301D"/>
    <w:rsid w:val="0059326F"/>
    <w:rsid w:val="005943C3"/>
    <w:rsid w:val="005956FD"/>
    <w:rsid w:val="00596569"/>
    <w:rsid w:val="0059660B"/>
    <w:rsid w:val="00596695"/>
    <w:rsid w:val="00596A81"/>
    <w:rsid w:val="005A0EB9"/>
    <w:rsid w:val="005A1CD7"/>
    <w:rsid w:val="005A23AE"/>
    <w:rsid w:val="005A32DF"/>
    <w:rsid w:val="005A3404"/>
    <w:rsid w:val="005A39CD"/>
    <w:rsid w:val="005A53F6"/>
    <w:rsid w:val="005A66CB"/>
    <w:rsid w:val="005A732E"/>
    <w:rsid w:val="005B0C52"/>
    <w:rsid w:val="005B1A74"/>
    <w:rsid w:val="005B2074"/>
    <w:rsid w:val="005B2427"/>
    <w:rsid w:val="005B2833"/>
    <w:rsid w:val="005B2BAC"/>
    <w:rsid w:val="005B2D76"/>
    <w:rsid w:val="005B33DF"/>
    <w:rsid w:val="005B5E53"/>
    <w:rsid w:val="005B7080"/>
    <w:rsid w:val="005B729A"/>
    <w:rsid w:val="005B7341"/>
    <w:rsid w:val="005B7B3C"/>
    <w:rsid w:val="005C0188"/>
    <w:rsid w:val="005C1A0E"/>
    <w:rsid w:val="005C2992"/>
    <w:rsid w:val="005C33AD"/>
    <w:rsid w:val="005C3F69"/>
    <w:rsid w:val="005D0D2A"/>
    <w:rsid w:val="005D25EE"/>
    <w:rsid w:val="005D3C71"/>
    <w:rsid w:val="005D6B95"/>
    <w:rsid w:val="005D7540"/>
    <w:rsid w:val="005D7701"/>
    <w:rsid w:val="005D7D9C"/>
    <w:rsid w:val="005E0D66"/>
    <w:rsid w:val="005E1371"/>
    <w:rsid w:val="005E1417"/>
    <w:rsid w:val="005E1FD8"/>
    <w:rsid w:val="005E30A9"/>
    <w:rsid w:val="005E42DC"/>
    <w:rsid w:val="005E447F"/>
    <w:rsid w:val="005E480E"/>
    <w:rsid w:val="005E4B3B"/>
    <w:rsid w:val="005E53ED"/>
    <w:rsid w:val="005E66F2"/>
    <w:rsid w:val="005E69F1"/>
    <w:rsid w:val="005E739F"/>
    <w:rsid w:val="005F0CAB"/>
    <w:rsid w:val="005F0D66"/>
    <w:rsid w:val="005F0E61"/>
    <w:rsid w:val="005F1B8A"/>
    <w:rsid w:val="005F2B9A"/>
    <w:rsid w:val="005F2BD7"/>
    <w:rsid w:val="005F4CE4"/>
    <w:rsid w:val="005F7CC2"/>
    <w:rsid w:val="005F7F4E"/>
    <w:rsid w:val="006000DA"/>
    <w:rsid w:val="00600577"/>
    <w:rsid w:val="00601605"/>
    <w:rsid w:val="00603B48"/>
    <w:rsid w:val="00603DB7"/>
    <w:rsid w:val="00604197"/>
    <w:rsid w:val="00604E93"/>
    <w:rsid w:val="00605734"/>
    <w:rsid w:val="00606721"/>
    <w:rsid w:val="00606B8F"/>
    <w:rsid w:val="00607A56"/>
    <w:rsid w:val="00610CDC"/>
    <w:rsid w:val="0061130D"/>
    <w:rsid w:val="00611644"/>
    <w:rsid w:val="00611704"/>
    <w:rsid w:val="00612445"/>
    <w:rsid w:val="006124B3"/>
    <w:rsid w:val="0061368D"/>
    <w:rsid w:val="00613AF8"/>
    <w:rsid w:val="00613BB9"/>
    <w:rsid w:val="00614B61"/>
    <w:rsid w:val="0061556D"/>
    <w:rsid w:val="00616317"/>
    <w:rsid w:val="00616D44"/>
    <w:rsid w:val="00616F6D"/>
    <w:rsid w:val="00620370"/>
    <w:rsid w:val="00620ABA"/>
    <w:rsid w:val="0062180D"/>
    <w:rsid w:val="00621A2C"/>
    <w:rsid w:val="00621AE0"/>
    <w:rsid w:val="0062236E"/>
    <w:rsid w:val="00622D0E"/>
    <w:rsid w:val="00624CD7"/>
    <w:rsid w:val="006256BF"/>
    <w:rsid w:val="0062665F"/>
    <w:rsid w:val="006272D3"/>
    <w:rsid w:val="00627729"/>
    <w:rsid w:val="006277CE"/>
    <w:rsid w:val="00627906"/>
    <w:rsid w:val="00627A32"/>
    <w:rsid w:val="00627C51"/>
    <w:rsid w:val="00630099"/>
    <w:rsid w:val="00630BBC"/>
    <w:rsid w:val="00631D27"/>
    <w:rsid w:val="00632E9C"/>
    <w:rsid w:val="006334C8"/>
    <w:rsid w:val="006336BB"/>
    <w:rsid w:val="00633F49"/>
    <w:rsid w:val="00634607"/>
    <w:rsid w:val="00634CE0"/>
    <w:rsid w:val="00635FEF"/>
    <w:rsid w:val="0063608D"/>
    <w:rsid w:val="00636808"/>
    <w:rsid w:val="00636CFC"/>
    <w:rsid w:val="006416E7"/>
    <w:rsid w:val="00641D37"/>
    <w:rsid w:val="006432A5"/>
    <w:rsid w:val="00644070"/>
    <w:rsid w:val="00644D6E"/>
    <w:rsid w:val="00646026"/>
    <w:rsid w:val="00646477"/>
    <w:rsid w:val="006469B1"/>
    <w:rsid w:val="00647FA0"/>
    <w:rsid w:val="00650384"/>
    <w:rsid w:val="00652091"/>
    <w:rsid w:val="00652DE7"/>
    <w:rsid w:val="006534DB"/>
    <w:rsid w:val="00655CF6"/>
    <w:rsid w:val="0065606C"/>
    <w:rsid w:val="00656628"/>
    <w:rsid w:val="006609AE"/>
    <w:rsid w:val="006617C2"/>
    <w:rsid w:val="006620D5"/>
    <w:rsid w:val="00662A9F"/>
    <w:rsid w:val="00662C91"/>
    <w:rsid w:val="00663485"/>
    <w:rsid w:val="006634E5"/>
    <w:rsid w:val="00664E16"/>
    <w:rsid w:val="00665858"/>
    <w:rsid w:val="00665C66"/>
    <w:rsid w:val="006663B5"/>
    <w:rsid w:val="006670A6"/>
    <w:rsid w:val="00671145"/>
    <w:rsid w:val="006732E4"/>
    <w:rsid w:val="00674D19"/>
    <w:rsid w:val="006753BA"/>
    <w:rsid w:val="006755DF"/>
    <w:rsid w:val="00676697"/>
    <w:rsid w:val="00676907"/>
    <w:rsid w:val="00676D41"/>
    <w:rsid w:val="00676DE5"/>
    <w:rsid w:val="00676FA1"/>
    <w:rsid w:val="00677C88"/>
    <w:rsid w:val="006803D5"/>
    <w:rsid w:val="00680A2A"/>
    <w:rsid w:val="00681090"/>
    <w:rsid w:val="006818AA"/>
    <w:rsid w:val="006820E0"/>
    <w:rsid w:val="00682901"/>
    <w:rsid w:val="006829BB"/>
    <w:rsid w:val="006834D0"/>
    <w:rsid w:val="00685F82"/>
    <w:rsid w:val="00687D68"/>
    <w:rsid w:val="006906EF"/>
    <w:rsid w:val="00690B82"/>
    <w:rsid w:val="00693B14"/>
    <w:rsid w:val="00695D8D"/>
    <w:rsid w:val="00696195"/>
    <w:rsid w:val="00696420"/>
    <w:rsid w:val="00696B7F"/>
    <w:rsid w:val="0069737B"/>
    <w:rsid w:val="0069750C"/>
    <w:rsid w:val="006A00AF"/>
    <w:rsid w:val="006A0495"/>
    <w:rsid w:val="006A0780"/>
    <w:rsid w:val="006A0950"/>
    <w:rsid w:val="006A0B45"/>
    <w:rsid w:val="006A30FA"/>
    <w:rsid w:val="006A3295"/>
    <w:rsid w:val="006A3DFE"/>
    <w:rsid w:val="006A5AE4"/>
    <w:rsid w:val="006A5CCA"/>
    <w:rsid w:val="006A70F0"/>
    <w:rsid w:val="006A7278"/>
    <w:rsid w:val="006A76DE"/>
    <w:rsid w:val="006A799F"/>
    <w:rsid w:val="006B0BCF"/>
    <w:rsid w:val="006B17CB"/>
    <w:rsid w:val="006B1F4B"/>
    <w:rsid w:val="006B201B"/>
    <w:rsid w:val="006B2380"/>
    <w:rsid w:val="006B2EB5"/>
    <w:rsid w:val="006B43BB"/>
    <w:rsid w:val="006B4DE5"/>
    <w:rsid w:val="006B4E69"/>
    <w:rsid w:val="006B4F22"/>
    <w:rsid w:val="006B7742"/>
    <w:rsid w:val="006B77A7"/>
    <w:rsid w:val="006C236D"/>
    <w:rsid w:val="006C28CE"/>
    <w:rsid w:val="006C3531"/>
    <w:rsid w:val="006C5446"/>
    <w:rsid w:val="006C5828"/>
    <w:rsid w:val="006C6482"/>
    <w:rsid w:val="006C65C2"/>
    <w:rsid w:val="006C727B"/>
    <w:rsid w:val="006C75C7"/>
    <w:rsid w:val="006C7D48"/>
    <w:rsid w:val="006D0F80"/>
    <w:rsid w:val="006D10CF"/>
    <w:rsid w:val="006D11FE"/>
    <w:rsid w:val="006D13F8"/>
    <w:rsid w:val="006D15BA"/>
    <w:rsid w:val="006D16E4"/>
    <w:rsid w:val="006D19BC"/>
    <w:rsid w:val="006D22B8"/>
    <w:rsid w:val="006D410F"/>
    <w:rsid w:val="006D4DDD"/>
    <w:rsid w:val="006D66F4"/>
    <w:rsid w:val="006D7210"/>
    <w:rsid w:val="006D7E1A"/>
    <w:rsid w:val="006E06C0"/>
    <w:rsid w:val="006E230F"/>
    <w:rsid w:val="006E32DB"/>
    <w:rsid w:val="006E43A2"/>
    <w:rsid w:val="006E4B41"/>
    <w:rsid w:val="006E6EC9"/>
    <w:rsid w:val="006E7D5D"/>
    <w:rsid w:val="006F0197"/>
    <w:rsid w:val="006F0B9C"/>
    <w:rsid w:val="006F0D0A"/>
    <w:rsid w:val="006F34DE"/>
    <w:rsid w:val="006F7226"/>
    <w:rsid w:val="006F7AB0"/>
    <w:rsid w:val="00700BFB"/>
    <w:rsid w:val="0070141E"/>
    <w:rsid w:val="00701C14"/>
    <w:rsid w:val="007021A9"/>
    <w:rsid w:val="007037F9"/>
    <w:rsid w:val="00703FD6"/>
    <w:rsid w:val="0070439D"/>
    <w:rsid w:val="007043F7"/>
    <w:rsid w:val="00704623"/>
    <w:rsid w:val="007051C7"/>
    <w:rsid w:val="007066C6"/>
    <w:rsid w:val="00706B3A"/>
    <w:rsid w:val="00707598"/>
    <w:rsid w:val="007100DB"/>
    <w:rsid w:val="00710285"/>
    <w:rsid w:val="007107C6"/>
    <w:rsid w:val="007116E6"/>
    <w:rsid w:val="00711CFB"/>
    <w:rsid w:val="007129BF"/>
    <w:rsid w:val="00712EF0"/>
    <w:rsid w:val="007130C3"/>
    <w:rsid w:val="00713172"/>
    <w:rsid w:val="007132E7"/>
    <w:rsid w:val="007135DE"/>
    <w:rsid w:val="00714276"/>
    <w:rsid w:val="007150CD"/>
    <w:rsid w:val="0071650C"/>
    <w:rsid w:val="00716A94"/>
    <w:rsid w:val="00716D73"/>
    <w:rsid w:val="00721317"/>
    <w:rsid w:val="00721429"/>
    <w:rsid w:val="00721848"/>
    <w:rsid w:val="00721AFA"/>
    <w:rsid w:val="007221F1"/>
    <w:rsid w:val="007238D5"/>
    <w:rsid w:val="007244BC"/>
    <w:rsid w:val="00726076"/>
    <w:rsid w:val="00726C3A"/>
    <w:rsid w:val="007275F8"/>
    <w:rsid w:val="00727962"/>
    <w:rsid w:val="00727BC4"/>
    <w:rsid w:val="00727BFE"/>
    <w:rsid w:val="0073257C"/>
    <w:rsid w:val="007333EB"/>
    <w:rsid w:val="007349E8"/>
    <w:rsid w:val="00735E97"/>
    <w:rsid w:val="007365B8"/>
    <w:rsid w:val="00736CC6"/>
    <w:rsid w:val="00736D87"/>
    <w:rsid w:val="0073718A"/>
    <w:rsid w:val="0073777B"/>
    <w:rsid w:val="00737C7F"/>
    <w:rsid w:val="00737CB1"/>
    <w:rsid w:val="00740DA3"/>
    <w:rsid w:val="0074209F"/>
    <w:rsid w:val="0074255B"/>
    <w:rsid w:val="00742826"/>
    <w:rsid w:val="00742DF0"/>
    <w:rsid w:val="007431B7"/>
    <w:rsid w:val="00743514"/>
    <w:rsid w:val="00744917"/>
    <w:rsid w:val="00747804"/>
    <w:rsid w:val="007522AE"/>
    <w:rsid w:val="007537A3"/>
    <w:rsid w:val="00753B98"/>
    <w:rsid w:val="00753E12"/>
    <w:rsid w:val="007554FA"/>
    <w:rsid w:val="00755A5D"/>
    <w:rsid w:val="00756159"/>
    <w:rsid w:val="007571D2"/>
    <w:rsid w:val="00761197"/>
    <w:rsid w:val="00762DA6"/>
    <w:rsid w:val="007632BA"/>
    <w:rsid w:val="00764923"/>
    <w:rsid w:val="00764AE9"/>
    <w:rsid w:val="00765DD7"/>
    <w:rsid w:val="00765FD8"/>
    <w:rsid w:val="00767AAC"/>
    <w:rsid w:val="0077014F"/>
    <w:rsid w:val="00770312"/>
    <w:rsid w:val="007707C0"/>
    <w:rsid w:val="00770E3A"/>
    <w:rsid w:val="007719F6"/>
    <w:rsid w:val="00772E19"/>
    <w:rsid w:val="0077374B"/>
    <w:rsid w:val="00774A4B"/>
    <w:rsid w:val="00775C64"/>
    <w:rsid w:val="007766B9"/>
    <w:rsid w:val="00776B76"/>
    <w:rsid w:val="007801B9"/>
    <w:rsid w:val="0078061D"/>
    <w:rsid w:val="007819BB"/>
    <w:rsid w:val="00782301"/>
    <w:rsid w:val="00783925"/>
    <w:rsid w:val="007842B2"/>
    <w:rsid w:val="007853CA"/>
    <w:rsid w:val="00786CF4"/>
    <w:rsid w:val="00786E0B"/>
    <w:rsid w:val="00787E47"/>
    <w:rsid w:val="00787F31"/>
    <w:rsid w:val="00790301"/>
    <w:rsid w:val="007917A5"/>
    <w:rsid w:val="00791934"/>
    <w:rsid w:val="00791C53"/>
    <w:rsid w:val="007924EF"/>
    <w:rsid w:val="00793ADF"/>
    <w:rsid w:val="00793EA0"/>
    <w:rsid w:val="00793ECA"/>
    <w:rsid w:val="00794700"/>
    <w:rsid w:val="00794E01"/>
    <w:rsid w:val="00795A88"/>
    <w:rsid w:val="00796145"/>
    <w:rsid w:val="007977A5"/>
    <w:rsid w:val="00797849"/>
    <w:rsid w:val="007A064D"/>
    <w:rsid w:val="007A0B2F"/>
    <w:rsid w:val="007A1017"/>
    <w:rsid w:val="007A1357"/>
    <w:rsid w:val="007A1F68"/>
    <w:rsid w:val="007A23B5"/>
    <w:rsid w:val="007A29EC"/>
    <w:rsid w:val="007A415D"/>
    <w:rsid w:val="007A420C"/>
    <w:rsid w:val="007A4915"/>
    <w:rsid w:val="007B0CB5"/>
    <w:rsid w:val="007B3937"/>
    <w:rsid w:val="007B3C00"/>
    <w:rsid w:val="007C12AF"/>
    <w:rsid w:val="007C2A0A"/>
    <w:rsid w:val="007C32B1"/>
    <w:rsid w:val="007C33BF"/>
    <w:rsid w:val="007C489B"/>
    <w:rsid w:val="007C4B99"/>
    <w:rsid w:val="007C5342"/>
    <w:rsid w:val="007C5B87"/>
    <w:rsid w:val="007C6B4E"/>
    <w:rsid w:val="007C7387"/>
    <w:rsid w:val="007C73A6"/>
    <w:rsid w:val="007C7554"/>
    <w:rsid w:val="007C7834"/>
    <w:rsid w:val="007D1B11"/>
    <w:rsid w:val="007D2A8B"/>
    <w:rsid w:val="007D4A9B"/>
    <w:rsid w:val="007D5BCD"/>
    <w:rsid w:val="007D67FF"/>
    <w:rsid w:val="007D6890"/>
    <w:rsid w:val="007E0CD5"/>
    <w:rsid w:val="007E0E71"/>
    <w:rsid w:val="007E1C82"/>
    <w:rsid w:val="007E1CAC"/>
    <w:rsid w:val="007E1D38"/>
    <w:rsid w:val="007E2972"/>
    <w:rsid w:val="007E3E8D"/>
    <w:rsid w:val="007E6C3D"/>
    <w:rsid w:val="007E7526"/>
    <w:rsid w:val="007E7DC1"/>
    <w:rsid w:val="007F10CC"/>
    <w:rsid w:val="007F1E33"/>
    <w:rsid w:val="007F219C"/>
    <w:rsid w:val="007F3FB7"/>
    <w:rsid w:val="007F46C4"/>
    <w:rsid w:val="007F4BE5"/>
    <w:rsid w:val="007F4C50"/>
    <w:rsid w:val="007F4CA1"/>
    <w:rsid w:val="007F572A"/>
    <w:rsid w:val="007F619A"/>
    <w:rsid w:val="007F64F5"/>
    <w:rsid w:val="007F68CE"/>
    <w:rsid w:val="007F6A3D"/>
    <w:rsid w:val="007F75F7"/>
    <w:rsid w:val="007F7BFC"/>
    <w:rsid w:val="007F7D95"/>
    <w:rsid w:val="007F7E91"/>
    <w:rsid w:val="00800EE5"/>
    <w:rsid w:val="00801CFD"/>
    <w:rsid w:val="00802070"/>
    <w:rsid w:val="00804A8F"/>
    <w:rsid w:val="00804E62"/>
    <w:rsid w:val="008054E6"/>
    <w:rsid w:val="00806E79"/>
    <w:rsid w:val="008070FF"/>
    <w:rsid w:val="00807EC0"/>
    <w:rsid w:val="0081060F"/>
    <w:rsid w:val="008128A7"/>
    <w:rsid w:val="00812920"/>
    <w:rsid w:val="008131CD"/>
    <w:rsid w:val="00813548"/>
    <w:rsid w:val="00813801"/>
    <w:rsid w:val="008144DF"/>
    <w:rsid w:val="00815478"/>
    <w:rsid w:val="0082056C"/>
    <w:rsid w:val="00820819"/>
    <w:rsid w:val="008208E5"/>
    <w:rsid w:val="00820E95"/>
    <w:rsid w:val="0082104F"/>
    <w:rsid w:val="00821191"/>
    <w:rsid w:val="00821445"/>
    <w:rsid w:val="00821D94"/>
    <w:rsid w:val="00826875"/>
    <w:rsid w:val="00826F7D"/>
    <w:rsid w:val="0083009A"/>
    <w:rsid w:val="00830949"/>
    <w:rsid w:val="00831721"/>
    <w:rsid w:val="00831D23"/>
    <w:rsid w:val="00831F41"/>
    <w:rsid w:val="008324F1"/>
    <w:rsid w:val="00832831"/>
    <w:rsid w:val="008333E3"/>
    <w:rsid w:val="00833841"/>
    <w:rsid w:val="00834E70"/>
    <w:rsid w:val="00835214"/>
    <w:rsid w:val="008356FD"/>
    <w:rsid w:val="00836263"/>
    <w:rsid w:val="008366A6"/>
    <w:rsid w:val="008403F7"/>
    <w:rsid w:val="00841963"/>
    <w:rsid w:val="008436EC"/>
    <w:rsid w:val="00843D33"/>
    <w:rsid w:val="00844BE9"/>
    <w:rsid w:val="00845EAA"/>
    <w:rsid w:val="00846CEF"/>
    <w:rsid w:val="00846F3A"/>
    <w:rsid w:val="00850E67"/>
    <w:rsid w:val="008512C3"/>
    <w:rsid w:val="00852D1F"/>
    <w:rsid w:val="0085322B"/>
    <w:rsid w:val="00855112"/>
    <w:rsid w:val="00855542"/>
    <w:rsid w:val="00860306"/>
    <w:rsid w:val="00860871"/>
    <w:rsid w:val="00860FBE"/>
    <w:rsid w:val="008612F0"/>
    <w:rsid w:val="00861937"/>
    <w:rsid w:val="00862F88"/>
    <w:rsid w:val="008638A2"/>
    <w:rsid w:val="008660A5"/>
    <w:rsid w:val="0086649F"/>
    <w:rsid w:val="00866679"/>
    <w:rsid w:val="00866B6D"/>
    <w:rsid w:val="00870253"/>
    <w:rsid w:val="008703F6"/>
    <w:rsid w:val="008714DF"/>
    <w:rsid w:val="00871AB9"/>
    <w:rsid w:val="00871EA3"/>
    <w:rsid w:val="00874CD3"/>
    <w:rsid w:val="008759DE"/>
    <w:rsid w:val="00875C4B"/>
    <w:rsid w:val="00877089"/>
    <w:rsid w:val="008845F6"/>
    <w:rsid w:val="0088504D"/>
    <w:rsid w:val="0088577C"/>
    <w:rsid w:val="008860AA"/>
    <w:rsid w:val="008862AB"/>
    <w:rsid w:val="00892833"/>
    <w:rsid w:val="00892B6D"/>
    <w:rsid w:val="0089322E"/>
    <w:rsid w:val="00893D17"/>
    <w:rsid w:val="00893DF8"/>
    <w:rsid w:val="008947A2"/>
    <w:rsid w:val="008956E0"/>
    <w:rsid w:val="008968CC"/>
    <w:rsid w:val="00896CDF"/>
    <w:rsid w:val="008974DB"/>
    <w:rsid w:val="008A0212"/>
    <w:rsid w:val="008A3020"/>
    <w:rsid w:val="008A315D"/>
    <w:rsid w:val="008A354E"/>
    <w:rsid w:val="008A4346"/>
    <w:rsid w:val="008A4A45"/>
    <w:rsid w:val="008A5CCB"/>
    <w:rsid w:val="008A63DF"/>
    <w:rsid w:val="008A64FB"/>
    <w:rsid w:val="008A6678"/>
    <w:rsid w:val="008A687B"/>
    <w:rsid w:val="008A776D"/>
    <w:rsid w:val="008A78FF"/>
    <w:rsid w:val="008B016E"/>
    <w:rsid w:val="008B081C"/>
    <w:rsid w:val="008B16A1"/>
    <w:rsid w:val="008B1FE0"/>
    <w:rsid w:val="008B240E"/>
    <w:rsid w:val="008B3C50"/>
    <w:rsid w:val="008B3E16"/>
    <w:rsid w:val="008B791B"/>
    <w:rsid w:val="008C02A0"/>
    <w:rsid w:val="008C0C2F"/>
    <w:rsid w:val="008C0F60"/>
    <w:rsid w:val="008C2482"/>
    <w:rsid w:val="008C2A0C"/>
    <w:rsid w:val="008C41AE"/>
    <w:rsid w:val="008C7458"/>
    <w:rsid w:val="008D1089"/>
    <w:rsid w:val="008D123E"/>
    <w:rsid w:val="008D1D1D"/>
    <w:rsid w:val="008D32F6"/>
    <w:rsid w:val="008D532F"/>
    <w:rsid w:val="008D5892"/>
    <w:rsid w:val="008D68B3"/>
    <w:rsid w:val="008D6BF3"/>
    <w:rsid w:val="008D7264"/>
    <w:rsid w:val="008D79B8"/>
    <w:rsid w:val="008E0285"/>
    <w:rsid w:val="008E18CA"/>
    <w:rsid w:val="008E22E5"/>
    <w:rsid w:val="008E40DA"/>
    <w:rsid w:val="008E4215"/>
    <w:rsid w:val="008E5067"/>
    <w:rsid w:val="008E65A4"/>
    <w:rsid w:val="008E7B85"/>
    <w:rsid w:val="008F1C28"/>
    <w:rsid w:val="008F1C58"/>
    <w:rsid w:val="008F2B66"/>
    <w:rsid w:val="008F3460"/>
    <w:rsid w:val="008F3771"/>
    <w:rsid w:val="008F3F97"/>
    <w:rsid w:val="008F49E2"/>
    <w:rsid w:val="008F6F63"/>
    <w:rsid w:val="0090066A"/>
    <w:rsid w:val="00900E57"/>
    <w:rsid w:val="00900FD8"/>
    <w:rsid w:val="0090118F"/>
    <w:rsid w:val="00901489"/>
    <w:rsid w:val="00903353"/>
    <w:rsid w:val="00903A91"/>
    <w:rsid w:val="00903AE3"/>
    <w:rsid w:val="009046D8"/>
    <w:rsid w:val="00904E8A"/>
    <w:rsid w:val="0090784E"/>
    <w:rsid w:val="00907876"/>
    <w:rsid w:val="0091169B"/>
    <w:rsid w:val="009140F3"/>
    <w:rsid w:val="0091504C"/>
    <w:rsid w:val="00915FF9"/>
    <w:rsid w:val="00916C72"/>
    <w:rsid w:val="009176A5"/>
    <w:rsid w:val="00917C14"/>
    <w:rsid w:val="00917F72"/>
    <w:rsid w:val="009205A1"/>
    <w:rsid w:val="00920676"/>
    <w:rsid w:val="00920899"/>
    <w:rsid w:val="009212B4"/>
    <w:rsid w:val="00922AD8"/>
    <w:rsid w:val="0092483B"/>
    <w:rsid w:val="00925670"/>
    <w:rsid w:val="009262AA"/>
    <w:rsid w:val="0092654B"/>
    <w:rsid w:val="009273D6"/>
    <w:rsid w:val="00927495"/>
    <w:rsid w:val="0092762C"/>
    <w:rsid w:val="00930082"/>
    <w:rsid w:val="0093012C"/>
    <w:rsid w:val="009301A1"/>
    <w:rsid w:val="00930974"/>
    <w:rsid w:val="009312CF"/>
    <w:rsid w:val="00931D8A"/>
    <w:rsid w:val="009320C1"/>
    <w:rsid w:val="009323C2"/>
    <w:rsid w:val="009325B2"/>
    <w:rsid w:val="0093280B"/>
    <w:rsid w:val="00933946"/>
    <w:rsid w:val="00935613"/>
    <w:rsid w:val="009357AA"/>
    <w:rsid w:val="00936E90"/>
    <w:rsid w:val="00937316"/>
    <w:rsid w:val="00937F9C"/>
    <w:rsid w:val="009413E9"/>
    <w:rsid w:val="00941771"/>
    <w:rsid w:val="00941966"/>
    <w:rsid w:val="00941E41"/>
    <w:rsid w:val="00942A0B"/>
    <w:rsid w:val="009430D5"/>
    <w:rsid w:val="00943675"/>
    <w:rsid w:val="009440A6"/>
    <w:rsid w:val="009442CC"/>
    <w:rsid w:val="00944AF3"/>
    <w:rsid w:val="00944B37"/>
    <w:rsid w:val="00945997"/>
    <w:rsid w:val="00946CFA"/>
    <w:rsid w:val="00947D8F"/>
    <w:rsid w:val="009505BC"/>
    <w:rsid w:val="009540B2"/>
    <w:rsid w:val="0095523A"/>
    <w:rsid w:val="00955636"/>
    <w:rsid w:val="009565F7"/>
    <w:rsid w:val="009577FB"/>
    <w:rsid w:val="00960216"/>
    <w:rsid w:val="00960257"/>
    <w:rsid w:val="009603FE"/>
    <w:rsid w:val="00961795"/>
    <w:rsid w:val="009617A7"/>
    <w:rsid w:val="00962378"/>
    <w:rsid w:val="0096244C"/>
    <w:rsid w:val="00963201"/>
    <w:rsid w:val="00963DEF"/>
    <w:rsid w:val="00964591"/>
    <w:rsid w:val="009645C6"/>
    <w:rsid w:val="0096591F"/>
    <w:rsid w:val="0096693D"/>
    <w:rsid w:val="0097009D"/>
    <w:rsid w:val="0097036E"/>
    <w:rsid w:val="0097126D"/>
    <w:rsid w:val="00971644"/>
    <w:rsid w:val="009732CC"/>
    <w:rsid w:val="0097335B"/>
    <w:rsid w:val="00973A50"/>
    <w:rsid w:val="00974A07"/>
    <w:rsid w:val="00975F28"/>
    <w:rsid w:val="009770E2"/>
    <w:rsid w:val="0097735E"/>
    <w:rsid w:val="0098194E"/>
    <w:rsid w:val="0098288F"/>
    <w:rsid w:val="009832FC"/>
    <w:rsid w:val="00984AFC"/>
    <w:rsid w:val="00986761"/>
    <w:rsid w:val="00987083"/>
    <w:rsid w:val="00987456"/>
    <w:rsid w:val="009907B1"/>
    <w:rsid w:val="00991B5D"/>
    <w:rsid w:val="00993093"/>
    <w:rsid w:val="00993130"/>
    <w:rsid w:val="009933A4"/>
    <w:rsid w:val="00994BC6"/>
    <w:rsid w:val="009952A4"/>
    <w:rsid w:val="00995CC5"/>
    <w:rsid w:val="00996E52"/>
    <w:rsid w:val="00997D2F"/>
    <w:rsid w:val="00997EB4"/>
    <w:rsid w:val="009A1670"/>
    <w:rsid w:val="009A1B40"/>
    <w:rsid w:val="009A2077"/>
    <w:rsid w:val="009A256B"/>
    <w:rsid w:val="009A3C5C"/>
    <w:rsid w:val="009A4828"/>
    <w:rsid w:val="009A486D"/>
    <w:rsid w:val="009A4E50"/>
    <w:rsid w:val="009A519A"/>
    <w:rsid w:val="009A57D9"/>
    <w:rsid w:val="009B0BC3"/>
    <w:rsid w:val="009B1AA2"/>
    <w:rsid w:val="009B2E27"/>
    <w:rsid w:val="009B51CC"/>
    <w:rsid w:val="009C01D5"/>
    <w:rsid w:val="009C02FA"/>
    <w:rsid w:val="009C0F6A"/>
    <w:rsid w:val="009C1100"/>
    <w:rsid w:val="009C1119"/>
    <w:rsid w:val="009C183F"/>
    <w:rsid w:val="009C1A8B"/>
    <w:rsid w:val="009C1EAD"/>
    <w:rsid w:val="009C3607"/>
    <w:rsid w:val="009C36DF"/>
    <w:rsid w:val="009C3D7A"/>
    <w:rsid w:val="009C4EAE"/>
    <w:rsid w:val="009C4F5A"/>
    <w:rsid w:val="009C5219"/>
    <w:rsid w:val="009C5D02"/>
    <w:rsid w:val="009C60B7"/>
    <w:rsid w:val="009C6B36"/>
    <w:rsid w:val="009D2126"/>
    <w:rsid w:val="009D23A2"/>
    <w:rsid w:val="009D28C8"/>
    <w:rsid w:val="009D30D8"/>
    <w:rsid w:val="009D39E8"/>
    <w:rsid w:val="009D6A68"/>
    <w:rsid w:val="009D7CF9"/>
    <w:rsid w:val="009D7D0A"/>
    <w:rsid w:val="009E013E"/>
    <w:rsid w:val="009E116B"/>
    <w:rsid w:val="009E19FE"/>
    <w:rsid w:val="009E28EC"/>
    <w:rsid w:val="009E29A7"/>
    <w:rsid w:val="009E2B3B"/>
    <w:rsid w:val="009E2F42"/>
    <w:rsid w:val="009E5409"/>
    <w:rsid w:val="009E6FBC"/>
    <w:rsid w:val="009E731F"/>
    <w:rsid w:val="009E7AC5"/>
    <w:rsid w:val="009F076F"/>
    <w:rsid w:val="009F0A77"/>
    <w:rsid w:val="009F116E"/>
    <w:rsid w:val="009F3A67"/>
    <w:rsid w:val="009F509A"/>
    <w:rsid w:val="009F658C"/>
    <w:rsid w:val="009F6C22"/>
    <w:rsid w:val="009F6D84"/>
    <w:rsid w:val="009F6F02"/>
    <w:rsid w:val="009F7966"/>
    <w:rsid w:val="00A01341"/>
    <w:rsid w:val="00A02C8E"/>
    <w:rsid w:val="00A03185"/>
    <w:rsid w:val="00A0349B"/>
    <w:rsid w:val="00A03B76"/>
    <w:rsid w:val="00A03EDC"/>
    <w:rsid w:val="00A04242"/>
    <w:rsid w:val="00A05147"/>
    <w:rsid w:val="00A05A77"/>
    <w:rsid w:val="00A06AF7"/>
    <w:rsid w:val="00A10167"/>
    <w:rsid w:val="00A104A6"/>
    <w:rsid w:val="00A12A9D"/>
    <w:rsid w:val="00A14670"/>
    <w:rsid w:val="00A15149"/>
    <w:rsid w:val="00A1588D"/>
    <w:rsid w:val="00A17446"/>
    <w:rsid w:val="00A2162A"/>
    <w:rsid w:val="00A221CB"/>
    <w:rsid w:val="00A222DA"/>
    <w:rsid w:val="00A223D3"/>
    <w:rsid w:val="00A2305E"/>
    <w:rsid w:val="00A24522"/>
    <w:rsid w:val="00A24F8D"/>
    <w:rsid w:val="00A275A6"/>
    <w:rsid w:val="00A305E5"/>
    <w:rsid w:val="00A320B6"/>
    <w:rsid w:val="00A32ABB"/>
    <w:rsid w:val="00A33D1D"/>
    <w:rsid w:val="00A379FF"/>
    <w:rsid w:val="00A40251"/>
    <w:rsid w:val="00A41AB3"/>
    <w:rsid w:val="00A4235A"/>
    <w:rsid w:val="00A42EC4"/>
    <w:rsid w:val="00A43A60"/>
    <w:rsid w:val="00A448CA"/>
    <w:rsid w:val="00A44DA7"/>
    <w:rsid w:val="00A462A4"/>
    <w:rsid w:val="00A47703"/>
    <w:rsid w:val="00A50397"/>
    <w:rsid w:val="00A50D1D"/>
    <w:rsid w:val="00A51631"/>
    <w:rsid w:val="00A518D5"/>
    <w:rsid w:val="00A528D3"/>
    <w:rsid w:val="00A54521"/>
    <w:rsid w:val="00A54E9E"/>
    <w:rsid w:val="00A5683C"/>
    <w:rsid w:val="00A57914"/>
    <w:rsid w:val="00A60395"/>
    <w:rsid w:val="00A6086E"/>
    <w:rsid w:val="00A61B40"/>
    <w:rsid w:val="00A62733"/>
    <w:rsid w:val="00A62E39"/>
    <w:rsid w:val="00A63A54"/>
    <w:rsid w:val="00A6438F"/>
    <w:rsid w:val="00A65340"/>
    <w:rsid w:val="00A655D7"/>
    <w:rsid w:val="00A656CC"/>
    <w:rsid w:val="00A65FEE"/>
    <w:rsid w:val="00A6644B"/>
    <w:rsid w:val="00A66D95"/>
    <w:rsid w:val="00A67F8A"/>
    <w:rsid w:val="00A7000B"/>
    <w:rsid w:val="00A70A47"/>
    <w:rsid w:val="00A720E0"/>
    <w:rsid w:val="00A729CB"/>
    <w:rsid w:val="00A7458A"/>
    <w:rsid w:val="00A75BB6"/>
    <w:rsid w:val="00A75C4E"/>
    <w:rsid w:val="00A75E3C"/>
    <w:rsid w:val="00A76790"/>
    <w:rsid w:val="00A768C5"/>
    <w:rsid w:val="00A77142"/>
    <w:rsid w:val="00A7766D"/>
    <w:rsid w:val="00A77688"/>
    <w:rsid w:val="00A80D48"/>
    <w:rsid w:val="00A80E24"/>
    <w:rsid w:val="00A8109B"/>
    <w:rsid w:val="00A8161F"/>
    <w:rsid w:val="00A81F65"/>
    <w:rsid w:val="00A8386D"/>
    <w:rsid w:val="00A845D7"/>
    <w:rsid w:val="00A84AAE"/>
    <w:rsid w:val="00A8537F"/>
    <w:rsid w:val="00A87741"/>
    <w:rsid w:val="00A90116"/>
    <w:rsid w:val="00A91266"/>
    <w:rsid w:val="00A918E2"/>
    <w:rsid w:val="00A9230E"/>
    <w:rsid w:val="00A92FD3"/>
    <w:rsid w:val="00A93DD0"/>
    <w:rsid w:val="00A95655"/>
    <w:rsid w:val="00A95D80"/>
    <w:rsid w:val="00A96736"/>
    <w:rsid w:val="00A96C60"/>
    <w:rsid w:val="00A97216"/>
    <w:rsid w:val="00A97969"/>
    <w:rsid w:val="00AA1C85"/>
    <w:rsid w:val="00AA2E42"/>
    <w:rsid w:val="00AA4380"/>
    <w:rsid w:val="00AA4774"/>
    <w:rsid w:val="00AA4DD6"/>
    <w:rsid w:val="00AA5311"/>
    <w:rsid w:val="00AA64DA"/>
    <w:rsid w:val="00AA693B"/>
    <w:rsid w:val="00AA7BA6"/>
    <w:rsid w:val="00AA7FF7"/>
    <w:rsid w:val="00AB3874"/>
    <w:rsid w:val="00AB3E9A"/>
    <w:rsid w:val="00AB4640"/>
    <w:rsid w:val="00AB4EBB"/>
    <w:rsid w:val="00AB568A"/>
    <w:rsid w:val="00AB590F"/>
    <w:rsid w:val="00AB6417"/>
    <w:rsid w:val="00AB6E7D"/>
    <w:rsid w:val="00AB7849"/>
    <w:rsid w:val="00AC1D79"/>
    <w:rsid w:val="00AC294F"/>
    <w:rsid w:val="00AC2985"/>
    <w:rsid w:val="00AC52E0"/>
    <w:rsid w:val="00AC6A2F"/>
    <w:rsid w:val="00AC6A3E"/>
    <w:rsid w:val="00AD12F9"/>
    <w:rsid w:val="00AD1D21"/>
    <w:rsid w:val="00AD1E3B"/>
    <w:rsid w:val="00AD2E07"/>
    <w:rsid w:val="00AD347F"/>
    <w:rsid w:val="00AD362D"/>
    <w:rsid w:val="00AD4838"/>
    <w:rsid w:val="00AD648C"/>
    <w:rsid w:val="00AD6C2E"/>
    <w:rsid w:val="00AD6CA1"/>
    <w:rsid w:val="00AD73AD"/>
    <w:rsid w:val="00AD7C3E"/>
    <w:rsid w:val="00AE15DA"/>
    <w:rsid w:val="00AE1C08"/>
    <w:rsid w:val="00AE5086"/>
    <w:rsid w:val="00AE5BE2"/>
    <w:rsid w:val="00AE5EF2"/>
    <w:rsid w:val="00AE633D"/>
    <w:rsid w:val="00AE6AD7"/>
    <w:rsid w:val="00AE72AB"/>
    <w:rsid w:val="00AE74DF"/>
    <w:rsid w:val="00AE7976"/>
    <w:rsid w:val="00AF0425"/>
    <w:rsid w:val="00AF0F41"/>
    <w:rsid w:val="00AF1CFE"/>
    <w:rsid w:val="00AF221A"/>
    <w:rsid w:val="00AF2714"/>
    <w:rsid w:val="00AF2AD2"/>
    <w:rsid w:val="00AF3341"/>
    <w:rsid w:val="00AF340F"/>
    <w:rsid w:val="00AF4347"/>
    <w:rsid w:val="00AF46FC"/>
    <w:rsid w:val="00AF4A6E"/>
    <w:rsid w:val="00AF6727"/>
    <w:rsid w:val="00AF76EE"/>
    <w:rsid w:val="00AF7E7E"/>
    <w:rsid w:val="00B0091B"/>
    <w:rsid w:val="00B00D17"/>
    <w:rsid w:val="00B01D29"/>
    <w:rsid w:val="00B0250F"/>
    <w:rsid w:val="00B03147"/>
    <w:rsid w:val="00B03DC7"/>
    <w:rsid w:val="00B040A0"/>
    <w:rsid w:val="00B046F6"/>
    <w:rsid w:val="00B05276"/>
    <w:rsid w:val="00B05CCB"/>
    <w:rsid w:val="00B07369"/>
    <w:rsid w:val="00B07CF5"/>
    <w:rsid w:val="00B11143"/>
    <w:rsid w:val="00B11D22"/>
    <w:rsid w:val="00B11EF8"/>
    <w:rsid w:val="00B15AA1"/>
    <w:rsid w:val="00B1742F"/>
    <w:rsid w:val="00B17803"/>
    <w:rsid w:val="00B17968"/>
    <w:rsid w:val="00B203C6"/>
    <w:rsid w:val="00B209E0"/>
    <w:rsid w:val="00B209FE"/>
    <w:rsid w:val="00B20AFF"/>
    <w:rsid w:val="00B232C2"/>
    <w:rsid w:val="00B2443F"/>
    <w:rsid w:val="00B3059B"/>
    <w:rsid w:val="00B31E20"/>
    <w:rsid w:val="00B32C50"/>
    <w:rsid w:val="00B3314B"/>
    <w:rsid w:val="00B3331C"/>
    <w:rsid w:val="00B33CD8"/>
    <w:rsid w:val="00B36610"/>
    <w:rsid w:val="00B36880"/>
    <w:rsid w:val="00B36A21"/>
    <w:rsid w:val="00B37CF6"/>
    <w:rsid w:val="00B412A6"/>
    <w:rsid w:val="00B44F43"/>
    <w:rsid w:val="00B4510D"/>
    <w:rsid w:val="00B45887"/>
    <w:rsid w:val="00B47AAD"/>
    <w:rsid w:val="00B47E12"/>
    <w:rsid w:val="00B50D38"/>
    <w:rsid w:val="00B51CD7"/>
    <w:rsid w:val="00B51D10"/>
    <w:rsid w:val="00B51D89"/>
    <w:rsid w:val="00B51F3B"/>
    <w:rsid w:val="00B52EB5"/>
    <w:rsid w:val="00B53E0C"/>
    <w:rsid w:val="00B53EB2"/>
    <w:rsid w:val="00B540D6"/>
    <w:rsid w:val="00B54B12"/>
    <w:rsid w:val="00B553C3"/>
    <w:rsid w:val="00B55B59"/>
    <w:rsid w:val="00B55DFC"/>
    <w:rsid w:val="00B57450"/>
    <w:rsid w:val="00B63D30"/>
    <w:rsid w:val="00B6456C"/>
    <w:rsid w:val="00B6699F"/>
    <w:rsid w:val="00B6701C"/>
    <w:rsid w:val="00B6744E"/>
    <w:rsid w:val="00B67BC4"/>
    <w:rsid w:val="00B7003D"/>
    <w:rsid w:val="00B71668"/>
    <w:rsid w:val="00B71A2D"/>
    <w:rsid w:val="00B73931"/>
    <w:rsid w:val="00B74090"/>
    <w:rsid w:val="00B74885"/>
    <w:rsid w:val="00B74905"/>
    <w:rsid w:val="00B74B5F"/>
    <w:rsid w:val="00B76468"/>
    <w:rsid w:val="00B764D5"/>
    <w:rsid w:val="00B76C86"/>
    <w:rsid w:val="00B77704"/>
    <w:rsid w:val="00B80ED8"/>
    <w:rsid w:val="00B82CCF"/>
    <w:rsid w:val="00B836A4"/>
    <w:rsid w:val="00B8428C"/>
    <w:rsid w:val="00B85EB6"/>
    <w:rsid w:val="00B863BC"/>
    <w:rsid w:val="00B8656B"/>
    <w:rsid w:val="00B86E01"/>
    <w:rsid w:val="00B873A0"/>
    <w:rsid w:val="00B879F1"/>
    <w:rsid w:val="00B900BE"/>
    <w:rsid w:val="00B91B0D"/>
    <w:rsid w:val="00B9281A"/>
    <w:rsid w:val="00B9283A"/>
    <w:rsid w:val="00B92C50"/>
    <w:rsid w:val="00B94251"/>
    <w:rsid w:val="00B942FF"/>
    <w:rsid w:val="00B9479E"/>
    <w:rsid w:val="00B94A48"/>
    <w:rsid w:val="00B94D42"/>
    <w:rsid w:val="00B956F6"/>
    <w:rsid w:val="00B95DA9"/>
    <w:rsid w:val="00B96497"/>
    <w:rsid w:val="00B96F48"/>
    <w:rsid w:val="00B972CC"/>
    <w:rsid w:val="00BA0A62"/>
    <w:rsid w:val="00BA0DBC"/>
    <w:rsid w:val="00BA1F61"/>
    <w:rsid w:val="00BA264B"/>
    <w:rsid w:val="00BA35E5"/>
    <w:rsid w:val="00BA387B"/>
    <w:rsid w:val="00BA3B18"/>
    <w:rsid w:val="00BA41D2"/>
    <w:rsid w:val="00BA4E54"/>
    <w:rsid w:val="00BA553A"/>
    <w:rsid w:val="00BA588C"/>
    <w:rsid w:val="00BA5E52"/>
    <w:rsid w:val="00BA6504"/>
    <w:rsid w:val="00BA6704"/>
    <w:rsid w:val="00BA7E01"/>
    <w:rsid w:val="00BB0145"/>
    <w:rsid w:val="00BB0ADF"/>
    <w:rsid w:val="00BB0D18"/>
    <w:rsid w:val="00BB0E67"/>
    <w:rsid w:val="00BB0F2C"/>
    <w:rsid w:val="00BB2EB7"/>
    <w:rsid w:val="00BB31FD"/>
    <w:rsid w:val="00BB4751"/>
    <w:rsid w:val="00BB47D2"/>
    <w:rsid w:val="00BB4CA4"/>
    <w:rsid w:val="00BB7F10"/>
    <w:rsid w:val="00BC09E9"/>
    <w:rsid w:val="00BC1A5C"/>
    <w:rsid w:val="00BC4446"/>
    <w:rsid w:val="00BC466B"/>
    <w:rsid w:val="00BC49E8"/>
    <w:rsid w:val="00BC4AE2"/>
    <w:rsid w:val="00BC5C6F"/>
    <w:rsid w:val="00BC6A5E"/>
    <w:rsid w:val="00BC7C5E"/>
    <w:rsid w:val="00BD0F12"/>
    <w:rsid w:val="00BD191D"/>
    <w:rsid w:val="00BD1FFC"/>
    <w:rsid w:val="00BD2A29"/>
    <w:rsid w:val="00BD417A"/>
    <w:rsid w:val="00BD5182"/>
    <w:rsid w:val="00BD6268"/>
    <w:rsid w:val="00BE04FA"/>
    <w:rsid w:val="00BE0576"/>
    <w:rsid w:val="00BE2111"/>
    <w:rsid w:val="00BE30F7"/>
    <w:rsid w:val="00BE3108"/>
    <w:rsid w:val="00BE320A"/>
    <w:rsid w:val="00BE3B14"/>
    <w:rsid w:val="00BE3C86"/>
    <w:rsid w:val="00BE5398"/>
    <w:rsid w:val="00BE53C4"/>
    <w:rsid w:val="00BE6786"/>
    <w:rsid w:val="00BE7242"/>
    <w:rsid w:val="00BF1F53"/>
    <w:rsid w:val="00BF25AF"/>
    <w:rsid w:val="00BF2ABC"/>
    <w:rsid w:val="00BF55D9"/>
    <w:rsid w:val="00BF6253"/>
    <w:rsid w:val="00BF6277"/>
    <w:rsid w:val="00BF72E6"/>
    <w:rsid w:val="00BF77DD"/>
    <w:rsid w:val="00C00FB9"/>
    <w:rsid w:val="00C022FB"/>
    <w:rsid w:val="00C042B6"/>
    <w:rsid w:val="00C04EE3"/>
    <w:rsid w:val="00C05160"/>
    <w:rsid w:val="00C0615C"/>
    <w:rsid w:val="00C06549"/>
    <w:rsid w:val="00C06CB7"/>
    <w:rsid w:val="00C10FF1"/>
    <w:rsid w:val="00C111F9"/>
    <w:rsid w:val="00C1241A"/>
    <w:rsid w:val="00C1271D"/>
    <w:rsid w:val="00C12D5A"/>
    <w:rsid w:val="00C12DAC"/>
    <w:rsid w:val="00C138E9"/>
    <w:rsid w:val="00C14BF7"/>
    <w:rsid w:val="00C1524B"/>
    <w:rsid w:val="00C15465"/>
    <w:rsid w:val="00C15B7A"/>
    <w:rsid w:val="00C16A75"/>
    <w:rsid w:val="00C17333"/>
    <w:rsid w:val="00C17624"/>
    <w:rsid w:val="00C17849"/>
    <w:rsid w:val="00C22026"/>
    <w:rsid w:val="00C22079"/>
    <w:rsid w:val="00C22328"/>
    <w:rsid w:val="00C2384B"/>
    <w:rsid w:val="00C24064"/>
    <w:rsid w:val="00C24A21"/>
    <w:rsid w:val="00C24D92"/>
    <w:rsid w:val="00C24E3C"/>
    <w:rsid w:val="00C2521A"/>
    <w:rsid w:val="00C27EE7"/>
    <w:rsid w:val="00C27FA2"/>
    <w:rsid w:val="00C30495"/>
    <w:rsid w:val="00C312EE"/>
    <w:rsid w:val="00C31D55"/>
    <w:rsid w:val="00C31FBD"/>
    <w:rsid w:val="00C33275"/>
    <w:rsid w:val="00C349D3"/>
    <w:rsid w:val="00C35435"/>
    <w:rsid w:val="00C35578"/>
    <w:rsid w:val="00C36659"/>
    <w:rsid w:val="00C37080"/>
    <w:rsid w:val="00C37364"/>
    <w:rsid w:val="00C3740E"/>
    <w:rsid w:val="00C377A2"/>
    <w:rsid w:val="00C3799C"/>
    <w:rsid w:val="00C403E4"/>
    <w:rsid w:val="00C4048F"/>
    <w:rsid w:val="00C40669"/>
    <w:rsid w:val="00C41496"/>
    <w:rsid w:val="00C41848"/>
    <w:rsid w:val="00C43325"/>
    <w:rsid w:val="00C441A4"/>
    <w:rsid w:val="00C46EB3"/>
    <w:rsid w:val="00C50B98"/>
    <w:rsid w:val="00C52197"/>
    <w:rsid w:val="00C5222B"/>
    <w:rsid w:val="00C52471"/>
    <w:rsid w:val="00C527C1"/>
    <w:rsid w:val="00C53738"/>
    <w:rsid w:val="00C53915"/>
    <w:rsid w:val="00C5543A"/>
    <w:rsid w:val="00C55F2D"/>
    <w:rsid w:val="00C577AE"/>
    <w:rsid w:val="00C61B66"/>
    <w:rsid w:val="00C61CF0"/>
    <w:rsid w:val="00C625CB"/>
    <w:rsid w:val="00C654BF"/>
    <w:rsid w:val="00C67FD0"/>
    <w:rsid w:val="00C703FE"/>
    <w:rsid w:val="00C70483"/>
    <w:rsid w:val="00C7065B"/>
    <w:rsid w:val="00C70DBB"/>
    <w:rsid w:val="00C72176"/>
    <w:rsid w:val="00C72B19"/>
    <w:rsid w:val="00C745A7"/>
    <w:rsid w:val="00C74A0B"/>
    <w:rsid w:val="00C74BF9"/>
    <w:rsid w:val="00C75FD7"/>
    <w:rsid w:val="00C77881"/>
    <w:rsid w:val="00C77E1E"/>
    <w:rsid w:val="00C80BD4"/>
    <w:rsid w:val="00C82080"/>
    <w:rsid w:val="00C833BA"/>
    <w:rsid w:val="00C83A12"/>
    <w:rsid w:val="00C84C1D"/>
    <w:rsid w:val="00C85E2D"/>
    <w:rsid w:val="00C85F38"/>
    <w:rsid w:val="00C86304"/>
    <w:rsid w:val="00C90494"/>
    <w:rsid w:val="00C9053F"/>
    <w:rsid w:val="00C919D4"/>
    <w:rsid w:val="00C91AFD"/>
    <w:rsid w:val="00C927E2"/>
    <w:rsid w:val="00C93141"/>
    <w:rsid w:val="00C9460D"/>
    <w:rsid w:val="00C948C3"/>
    <w:rsid w:val="00C9497A"/>
    <w:rsid w:val="00C94C28"/>
    <w:rsid w:val="00C94F97"/>
    <w:rsid w:val="00C95162"/>
    <w:rsid w:val="00C95379"/>
    <w:rsid w:val="00C953EE"/>
    <w:rsid w:val="00C977CB"/>
    <w:rsid w:val="00C97D21"/>
    <w:rsid w:val="00CA1125"/>
    <w:rsid w:val="00CA12EE"/>
    <w:rsid w:val="00CA1727"/>
    <w:rsid w:val="00CA18CC"/>
    <w:rsid w:val="00CA1F2E"/>
    <w:rsid w:val="00CA2A0E"/>
    <w:rsid w:val="00CA3199"/>
    <w:rsid w:val="00CA38E6"/>
    <w:rsid w:val="00CA4A09"/>
    <w:rsid w:val="00CA5910"/>
    <w:rsid w:val="00CA5EAD"/>
    <w:rsid w:val="00CA6026"/>
    <w:rsid w:val="00CA63EE"/>
    <w:rsid w:val="00CB1BA9"/>
    <w:rsid w:val="00CB286E"/>
    <w:rsid w:val="00CB4F3D"/>
    <w:rsid w:val="00CB5A1D"/>
    <w:rsid w:val="00CB677D"/>
    <w:rsid w:val="00CB7FF6"/>
    <w:rsid w:val="00CC093F"/>
    <w:rsid w:val="00CC1578"/>
    <w:rsid w:val="00CC2048"/>
    <w:rsid w:val="00CC2C14"/>
    <w:rsid w:val="00CC2E48"/>
    <w:rsid w:val="00CC3168"/>
    <w:rsid w:val="00CC42C8"/>
    <w:rsid w:val="00CC463F"/>
    <w:rsid w:val="00CC49FD"/>
    <w:rsid w:val="00CC4B7B"/>
    <w:rsid w:val="00CC51A6"/>
    <w:rsid w:val="00CC5F44"/>
    <w:rsid w:val="00CC6B9A"/>
    <w:rsid w:val="00CC6EE0"/>
    <w:rsid w:val="00CC7818"/>
    <w:rsid w:val="00CD00E5"/>
    <w:rsid w:val="00CD06F8"/>
    <w:rsid w:val="00CD1496"/>
    <w:rsid w:val="00CD2309"/>
    <w:rsid w:val="00CD250D"/>
    <w:rsid w:val="00CD25DC"/>
    <w:rsid w:val="00CD40F3"/>
    <w:rsid w:val="00CD41B4"/>
    <w:rsid w:val="00CD46EC"/>
    <w:rsid w:val="00CD4C3F"/>
    <w:rsid w:val="00CD53E3"/>
    <w:rsid w:val="00CD568B"/>
    <w:rsid w:val="00CD6169"/>
    <w:rsid w:val="00CD7192"/>
    <w:rsid w:val="00CE1DC1"/>
    <w:rsid w:val="00CE2706"/>
    <w:rsid w:val="00CE4BF6"/>
    <w:rsid w:val="00CE6037"/>
    <w:rsid w:val="00CE7AFD"/>
    <w:rsid w:val="00CE7C99"/>
    <w:rsid w:val="00CE7CF5"/>
    <w:rsid w:val="00CF0C6F"/>
    <w:rsid w:val="00CF14DD"/>
    <w:rsid w:val="00CF1EC5"/>
    <w:rsid w:val="00CF20CE"/>
    <w:rsid w:val="00CF3811"/>
    <w:rsid w:val="00CF4298"/>
    <w:rsid w:val="00CF72EF"/>
    <w:rsid w:val="00CF7939"/>
    <w:rsid w:val="00D025BD"/>
    <w:rsid w:val="00D02603"/>
    <w:rsid w:val="00D02C3D"/>
    <w:rsid w:val="00D0309F"/>
    <w:rsid w:val="00D03278"/>
    <w:rsid w:val="00D03FDD"/>
    <w:rsid w:val="00D047EA"/>
    <w:rsid w:val="00D04C3C"/>
    <w:rsid w:val="00D052EF"/>
    <w:rsid w:val="00D053D1"/>
    <w:rsid w:val="00D074A9"/>
    <w:rsid w:val="00D07829"/>
    <w:rsid w:val="00D07AE0"/>
    <w:rsid w:val="00D105A9"/>
    <w:rsid w:val="00D10A29"/>
    <w:rsid w:val="00D117CD"/>
    <w:rsid w:val="00D11A91"/>
    <w:rsid w:val="00D1299D"/>
    <w:rsid w:val="00D138B5"/>
    <w:rsid w:val="00D16CE6"/>
    <w:rsid w:val="00D173B5"/>
    <w:rsid w:val="00D17DDB"/>
    <w:rsid w:val="00D218A5"/>
    <w:rsid w:val="00D21C45"/>
    <w:rsid w:val="00D21C60"/>
    <w:rsid w:val="00D222D5"/>
    <w:rsid w:val="00D224F1"/>
    <w:rsid w:val="00D22BC7"/>
    <w:rsid w:val="00D243E7"/>
    <w:rsid w:val="00D25888"/>
    <w:rsid w:val="00D25C84"/>
    <w:rsid w:val="00D265EA"/>
    <w:rsid w:val="00D27163"/>
    <w:rsid w:val="00D27234"/>
    <w:rsid w:val="00D30FD0"/>
    <w:rsid w:val="00D31255"/>
    <w:rsid w:val="00D312F9"/>
    <w:rsid w:val="00D31621"/>
    <w:rsid w:val="00D31762"/>
    <w:rsid w:val="00D32800"/>
    <w:rsid w:val="00D32FCF"/>
    <w:rsid w:val="00D330BF"/>
    <w:rsid w:val="00D33F5A"/>
    <w:rsid w:val="00D355AC"/>
    <w:rsid w:val="00D3580C"/>
    <w:rsid w:val="00D365FA"/>
    <w:rsid w:val="00D36935"/>
    <w:rsid w:val="00D37AD1"/>
    <w:rsid w:val="00D37C30"/>
    <w:rsid w:val="00D37EA4"/>
    <w:rsid w:val="00D408BE"/>
    <w:rsid w:val="00D40D1E"/>
    <w:rsid w:val="00D4298C"/>
    <w:rsid w:val="00D43B98"/>
    <w:rsid w:val="00D44113"/>
    <w:rsid w:val="00D44E72"/>
    <w:rsid w:val="00D459AB"/>
    <w:rsid w:val="00D45DB5"/>
    <w:rsid w:val="00D462BE"/>
    <w:rsid w:val="00D463CB"/>
    <w:rsid w:val="00D464B4"/>
    <w:rsid w:val="00D46D54"/>
    <w:rsid w:val="00D4771C"/>
    <w:rsid w:val="00D510B0"/>
    <w:rsid w:val="00D52934"/>
    <w:rsid w:val="00D5366F"/>
    <w:rsid w:val="00D5367F"/>
    <w:rsid w:val="00D53759"/>
    <w:rsid w:val="00D54BB0"/>
    <w:rsid w:val="00D558A8"/>
    <w:rsid w:val="00D56B38"/>
    <w:rsid w:val="00D56E99"/>
    <w:rsid w:val="00D57037"/>
    <w:rsid w:val="00D57369"/>
    <w:rsid w:val="00D6018C"/>
    <w:rsid w:val="00D6117B"/>
    <w:rsid w:val="00D615DB"/>
    <w:rsid w:val="00D63548"/>
    <w:rsid w:val="00D6391A"/>
    <w:rsid w:val="00D63C2F"/>
    <w:rsid w:val="00D644A2"/>
    <w:rsid w:val="00D64F9C"/>
    <w:rsid w:val="00D65A9D"/>
    <w:rsid w:val="00D66A6A"/>
    <w:rsid w:val="00D6740E"/>
    <w:rsid w:val="00D70334"/>
    <w:rsid w:val="00D71243"/>
    <w:rsid w:val="00D717AD"/>
    <w:rsid w:val="00D71EA3"/>
    <w:rsid w:val="00D7291E"/>
    <w:rsid w:val="00D72C36"/>
    <w:rsid w:val="00D73CA4"/>
    <w:rsid w:val="00D74B74"/>
    <w:rsid w:val="00D753B9"/>
    <w:rsid w:val="00D75500"/>
    <w:rsid w:val="00D75587"/>
    <w:rsid w:val="00D755AE"/>
    <w:rsid w:val="00D77668"/>
    <w:rsid w:val="00D80026"/>
    <w:rsid w:val="00D8044A"/>
    <w:rsid w:val="00D8067C"/>
    <w:rsid w:val="00D827EF"/>
    <w:rsid w:val="00D83E47"/>
    <w:rsid w:val="00D85ECE"/>
    <w:rsid w:val="00D86A7E"/>
    <w:rsid w:val="00D86EB9"/>
    <w:rsid w:val="00D87450"/>
    <w:rsid w:val="00D87A3B"/>
    <w:rsid w:val="00D914A9"/>
    <w:rsid w:val="00D91AD5"/>
    <w:rsid w:val="00D9292B"/>
    <w:rsid w:val="00D92BB1"/>
    <w:rsid w:val="00D92CDF"/>
    <w:rsid w:val="00D93431"/>
    <w:rsid w:val="00D93F9F"/>
    <w:rsid w:val="00D94AC3"/>
    <w:rsid w:val="00D95F7A"/>
    <w:rsid w:val="00D968E9"/>
    <w:rsid w:val="00D96AE9"/>
    <w:rsid w:val="00D96D65"/>
    <w:rsid w:val="00D97308"/>
    <w:rsid w:val="00DA0308"/>
    <w:rsid w:val="00DA06C2"/>
    <w:rsid w:val="00DA0999"/>
    <w:rsid w:val="00DA2E3B"/>
    <w:rsid w:val="00DA3CAD"/>
    <w:rsid w:val="00DA6A64"/>
    <w:rsid w:val="00DA7003"/>
    <w:rsid w:val="00DA78A1"/>
    <w:rsid w:val="00DA7920"/>
    <w:rsid w:val="00DB02F5"/>
    <w:rsid w:val="00DB090B"/>
    <w:rsid w:val="00DB0BC6"/>
    <w:rsid w:val="00DB16AC"/>
    <w:rsid w:val="00DB27CE"/>
    <w:rsid w:val="00DB35C9"/>
    <w:rsid w:val="00DB4858"/>
    <w:rsid w:val="00DB486F"/>
    <w:rsid w:val="00DB7734"/>
    <w:rsid w:val="00DB7F30"/>
    <w:rsid w:val="00DB7FEE"/>
    <w:rsid w:val="00DC0377"/>
    <w:rsid w:val="00DC0991"/>
    <w:rsid w:val="00DC2336"/>
    <w:rsid w:val="00DC4387"/>
    <w:rsid w:val="00DC44E4"/>
    <w:rsid w:val="00DC46C7"/>
    <w:rsid w:val="00DC6922"/>
    <w:rsid w:val="00DC7CE2"/>
    <w:rsid w:val="00DD06DB"/>
    <w:rsid w:val="00DD245F"/>
    <w:rsid w:val="00DD2CAA"/>
    <w:rsid w:val="00DD3214"/>
    <w:rsid w:val="00DD46B7"/>
    <w:rsid w:val="00DD4B2B"/>
    <w:rsid w:val="00DD4C53"/>
    <w:rsid w:val="00DD6D50"/>
    <w:rsid w:val="00DE031C"/>
    <w:rsid w:val="00DE089E"/>
    <w:rsid w:val="00DE29DE"/>
    <w:rsid w:val="00DE32BB"/>
    <w:rsid w:val="00DE33CC"/>
    <w:rsid w:val="00DE362D"/>
    <w:rsid w:val="00DE48E7"/>
    <w:rsid w:val="00DE7E55"/>
    <w:rsid w:val="00DF0382"/>
    <w:rsid w:val="00DF058D"/>
    <w:rsid w:val="00DF1072"/>
    <w:rsid w:val="00DF1E16"/>
    <w:rsid w:val="00DF225D"/>
    <w:rsid w:val="00DF2D6F"/>
    <w:rsid w:val="00DF44A0"/>
    <w:rsid w:val="00DF464C"/>
    <w:rsid w:val="00DF4831"/>
    <w:rsid w:val="00DF48A0"/>
    <w:rsid w:val="00DF492D"/>
    <w:rsid w:val="00DF5778"/>
    <w:rsid w:val="00DF60A6"/>
    <w:rsid w:val="00DF641A"/>
    <w:rsid w:val="00DF7006"/>
    <w:rsid w:val="00E0027D"/>
    <w:rsid w:val="00E008AF"/>
    <w:rsid w:val="00E00DC3"/>
    <w:rsid w:val="00E0111C"/>
    <w:rsid w:val="00E01973"/>
    <w:rsid w:val="00E03B30"/>
    <w:rsid w:val="00E04413"/>
    <w:rsid w:val="00E05BD4"/>
    <w:rsid w:val="00E05E79"/>
    <w:rsid w:val="00E067E5"/>
    <w:rsid w:val="00E0771B"/>
    <w:rsid w:val="00E07C23"/>
    <w:rsid w:val="00E07D76"/>
    <w:rsid w:val="00E10D0A"/>
    <w:rsid w:val="00E1125B"/>
    <w:rsid w:val="00E1166D"/>
    <w:rsid w:val="00E1430C"/>
    <w:rsid w:val="00E146ED"/>
    <w:rsid w:val="00E14AD1"/>
    <w:rsid w:val="00E15550"/>
    <w:rsid w:val="00E170FE"/>
    <w:rsid w:val="00E17B85"/>
    <w:rsid w:val="00E17DA9"/>
    <w:rsid w:val="00E2250E"/>
    <w:rsid w:val="00E22DA1"/>
    <w:rsid w:val="00E23018"/>
    <w:rsid w:val="00E235F5"/>
    <w:rsid w:val="00E24A83"/>
    <w:rsid w:val="00E25E95"/>
    <w:rsid w:val="00E26369"/>
    <w:rsid w:val="00E2655D"/>
    <w:rsid w:val="00E2658D"/>
    <w:rsid w:val="00E2674B"/>
    <w:rsid w:val="00E2699F"/>
    <w:rsid w:val="00E26B54"/>
    <w:rsid w:val="00E27233"/>
    <w:rsid w:val="00E303DD"/>
    <w:rsid w:val="00E33830"/>
    <w:rsid w:val="00E33FF5"/>
    <w:rsid w:val="00E3407F"/>
    <w:rsid w:val="00E34C21"/>
    <w:rsid w:val="00E35AB8"/>
    <w:rsid w:val="00E35BD2"/>
    <w:rsid w:val="00E35FCC"/>
    <w:rsid w:val="00E3624B"/>
    <w:rsid w:val="00E36E69"/>
    <w:rsid w:val="00E375F6"/>
    <w:rsid w:val="00E37704"/>
    <w:rsid w:val="00E42C6A"/>
    <w:rsid w:val="00E4367B"/>
    <w:rsid w:val="00E43DCF"/>
    <w:rsid w:val="00E43DE1"/>
    <w:rsid w:val="00E45573"/>
    <w:rsid w:val="00E45E63"/>
    <w:rsid w:val="00E46A32"/>
    <w:rsid w:val="00E46F8F"/>
    <w:rsid w:val="00E50E8E"/>
    <w:rsid w:val="00E516B3"/>
    <w:rsid w:val="00E525D7"/>
    <w:rsid w:val="00E52B33"/>
    <w:rsid w:val="00E52B56"/>
    <w:rsid w:val="00E535AF"/>
    <w:rsid w:val="00E54AA8"/>
    <w:rsid w:val="00E55E07"/>
    <w:rsid w:val="00E56755"/>
    <w:rsid w:val="00E56A61"/>
    <w:rsid w:val="00E56AE2"/>
    <w:rsid w:val="00E5738A"/>
    <w:rsid w:val="00E57ADB"/>
    <w:rsid w:val="00E6188E"/>
    <w:rsid w:val="00E61CF3"/>
    <w:rsid w:val="00E6204E"/>
    <w:rsid w:val="00E63619"/>
    <w:rsid w:val="00E64D91"/>
    <w:rsid w:val="00E654F9"/>
    <w:rsid w:val="00E66AF8"/>
    <w:rsid w:val="00E66B82"/>
    <w:rsid w:val="00E722D9"/>
    <w:rsid w:val="00E733CB"/>
    <w:rsid w:val="00E73A1F"/>
    <w:rsid w:val="00E741B3"/>
    <w:rsid w:val="00E74A3D"/>
    <w:rsid w:val="00E74BA8"/>
    <w:rsid w:val="00E7560C"/>
    <w:rsid w:val="00E80DBD"/>
    <w:rsid w:val="00E80F8D"/>
    <w:rsid w:val="00E812AD"/>
    <w:rsid w:val="00E8141E"/>
    <w:rsid w:val="00E82482"/>
    <w:rsid w:val="00E82926"/>
    <w:rsid w:val="00E83509"/>
    <w:rsid w:val="00E8395E"/>
    <w:rsid w:val="00E83F34"/>
    <w:rsid w:val="00E85390"/>
    <w:rsid w:val="00E855AA"/>
    <w:rsid w:val="00E87323"/>
    <w:rsid w:val="00E91A5B"/>
    <w:rsid w:val="00E91B4B"/>
    <w:rsid w:val="00E93F11"/>
    <w:rsid w:val="00E94D41"/>
    <w:rsid w:val="00E96818"/>
    <w:rsid w:val="00E96969"/>
    <w:rsid w:val="00E96AB6"/>
    <w:rsid w:val="00E96B92"/>
    <w:rsid w:val="00E96E81"/>
    <w:rsid w:val="00E97B2C"/>
    <w:rsid w:val="00E97D4B"/>
    <w:rsid w:val="00EA0A39"/>
    <w:rsid w:val="00EA2D80"/>
    <w:rsid w:val="00EA3D8F"/>
    <w:rsid w:val="00EA43C9"/>
    <w:rsid w:val="00EA4D4A"/>
    <w:rsid w:val="00EA5073"/>
    <w:rsid w:val="00EA561A"/>
    <w:rsid w:val="00EA6825"/>
    <w:rsid w:val="00EA710C"/>
    <w:rsid w:val="00EA7789"/>
    <w:rsid w:val="00EB078B"/>
    <w:rsid w:val="00EB1DE7"/>
    <w:rsid w:val="00EB2CF2"/>
    <w:rsid w:val="00EB3206"/>
    <w:rsid w:val="00EB3F26"/>
    <w:rsid w:val="00EB3FE9"/>
    <w:rsid w:val="00EB41CF"/>
    <w:rsid w:val="00EB4252"/>
    <w:rsid w:val="00EB461F"/>
    <w:rsid w:val="00EB4F66"/>
    <w:rsid w:val="00EB5BA1"/>
    <w:rsid w:val="00EB5C9D"/>
    <w:rsid w:val="00EB6B05"/>
    <w:rsid w:val="00EC0CE4"/>
    <w:rsid w:val="00EC0FDB"/>
    <w:rsid w:val="00EC17A7"/>
    <w:rsid w:val="00EC3AF0"/>
    <w:rsid w:val="00EC52DB"/>
    <w:rsid w:val="00EC6324"/>
    <w:rsid w:val="00EC6646"/>
    <w:rsid w:val="00EC7634"/>
    <w:rsid w:val="00EC77D4"/>
    <w:rsid w:val="00ED0D82"/>
    <w:rsid w:val="00ED0F26"/>
    <w:rsid w:val="00ED1B0C"/>
    <w:rsid w:val="00ED1D17"/>
    <w:rsid w:val="00ED1D3A"/>
    <w:rsid w:val="00ED2A44"/>
    <w:rsid w:val="00ED6F0B"/>
    <w:rsid w:val="00EE0996"/>
    <w:rsid w:val="00EE0EFD"/>
    <w:rsid w:val="00EE13DE"/>
    <w:rsid w:val="00EE1743"/>
    <w:rsid w:val="00EE1809"/>
    <w:rsid w:val="00EE1D0B"/>
    <w:rsid w:val="00EE21B0"/>
    <w:rsid w:val="00EE2C34"/>
    <w:rsid w:val="00EE30DF"/>
    <w:rsid w:val="00EE39D5"/>
    <w:rsid w:val="00EE3D6E"/>
    <w:rsid w:val="00EE408E"/>
    <w:rsid w:val="00EE42A7"/>
    <w:rsid w:val="00EE6DEF"/>
    <w:rsid w:val="00EE6E7D"/>
    <w:rsid w:val="00EE7A62"/>
    <w:rsid w:val="00EF240A"/>
    <w:rsid w:val="00EF55FF"/>
    <w:rsid w:val="00EF730B"/>
    <w:rsid w:val="00EF7CCB"/>
    <w:rsid w:val="00F01F59"/>
    <w:rsid w:val="00F027C7"/>
    <w:rsid w:val="00F02D4A"/>
    <w:rsid w:val="00F0520D"/>
    <w:rsid w:val="00F05382"/>
    <w:rsid w:val="00F061EE"/>
    <w:rsid w:val="00F06EC0"/>
    <w:rsid w:val="00F071B5"/>
    <w:rsid w:val="00F07870"/>
    <w:rsid w:val="00F07A56"/>
    <w:rsid w:val="00F11ABF"/>
    <w:rsid w:val="00F1214A"/>
    <w:rsid w:val="00F12320"/>
    <w:rsid w:val="00F139BE"/>
    <w:rsid w:val="00F145CA"/>
    <w:rsid w:val="00F153DF"/>
    <w:rsid w:val="00F156CA"/>
    <w:rsid w:val="00F15F34"/>
    <w:rsid w:val="00F1711B"/>
    <w:rsid w:val="00F17645"/>
    <w:rsid w:val="00F17D57"/>
    <w:rsid w:val="00F21662"/>
    <w:rsid w:val="00F2181D"/>
    <w:rsid w:val="00F22E26"/>
    <w:rsid w:val="00F240C7"/>
    <w:rsid w:val="00F249BF"/>
    <w:rsid w:val="00F24B3D"/>
    <w:rsid w:val="00F25613"/>
    <w:rsid w:val="00F25AE6"/>
    <w:rsid w:val="00F27D43"/>
    <w:rsid w:val="00F308EB"/>
    <w:rsid w:val="00F30966"/>
    <w:rsid w:val="00F30BAE"/>
    <w:rsid w:val="00F31777"/>
    <w:rsid w:val="00F31C86"/>
    <w:rsid w:val="00F3224A"/>
    <w:rsid w:val="00F3377A"/>
    <w:rsid w:val="00F348CA"/>
    <w:rsid w:val="00F35217"/>
    <w:rsid w:val="00F3567F"/>
    <w:rsid w:val="00F3594E"/>
    <w:rsid w:val="00F363A3"/>
    <w:rsid w:val="00F36602"/>
    <w:rsid w:val="00F403BA"/>
    <w:rsid w:val="00F410A7"/>
    <w:rsid w:val="00F4185A"/>
    <w:rsid w:val="00F42AE8"/>
    <w:rsid w:val="00F42E25"/>
    <w:rsid w:val="00F448AE"/>
    <w:rsid w:val="00F45016"/>
    <w:rsid w:val="00F459F6"/>
    <w:rsid w:val="00F45FBB"/>
    <w:rsid w:val="00F47DE8"/>
    <w:rsid w:val="00F47EA3"/>
    <w:rsid w:val="00F50015"/>
    <w:rsid w:val="00F50753"/>
    <w:rsid w:val="00F52DBF"/>
    <w:rsid w:val="00F536FA"/>
    <w:rsid w:val="00F53A17"/>
    <w:rsid w:val="00F53DCD"/>
    <w:rsid w:val="00F54937"/>
    <w:rsid w:val="00F55965"/>
    <w:rsid w:val="00F55ECB"/>
    <w:rsid w:val="00F56591"/>
    <w:rsid w:val="00F567A2"/>
    <w:rsid w:val="00F56AA2"/>
    <w:rsid w:val="00F57CA9"/>
    <w:rsid w:val="00F6016A"/>
    <w:rsid w:val="00F60BB8"/>
    <w:rsid w:val="00F610A3"/>
    <w:rsid w:val="00F6202F"/>
    <w:rsid w:val="00F6237D"/>
    <w:rsid w:val="00F62834"/>
    <w:rsid w:val="00F644EC"/>
    <w:rsid w:val="00F645E8"/>
    <w:rsid w:val="00F645F7"/>
    <w:rsid w:val="00F646C5"/>
    <w:rsid w:val="00F648B2"/>
    <w:rsid w:val="00F64ABD"/>
    <w:rsid w:val="00F64B60"/>
    <w:rsid w:val="00F65CC2"/>
    <w:rsid w:val="00F66111"/>
    <w:rsid w:val="00F66F10"/>
    <w:rsid w:val="00F700D6"/>
    <w:rsid w:val="00F71905"/>
    <w:rsid w:val="00F71F8F"/>
    <w:rsid w:val="00F72335"/>
    <w:rsid w:val="00F727DF"/>
    <w:rsid w:val="00F72AE7"/>
    <w:rsid w:val="00F733A7"/>
    <w:rsid w:val="00F73E63"/>
    <w:rsid w:val="00F74852"/>
    <w:rsid w:val="00F7512B"/>
    <w:rsid w:val="00F7594A"/>
    <w:rsid w:val="00F76A45"/>
    <w:rsid w:val="00F76CAA"/>
    <w:rsid w:val="00F76E95"/>
    <w:rsid w:val="00F77FC8"/>
    <w:rsid w:val="00F80261"/>
    <w:rsid w:val="00F8107C"/>
    <w:rsid w:val="00F813E2"/>
    <w:rsid w:val="00F8151A"/>
    <w:rsid w:val="00F82E42"/>
    <w:rsid w:val="00F84B59"/>
    <w:rsid w:val="00F84F8C"/>
    <w:rsid w:val="00F8539C"/>
    <w:rsid w:val="00F85DBB"/>
    <w:rsid w:val="00F909A0"/>
    <w:rsid w:val="00F90DAF"/>
    <w:rsid w:val="00F91A09"/>
    <w:rsid w:val="00F92830"/>
    <w:rsid w:val="00F932D5"/>
    <w:rsid w:val="00F94372"/>
    <w:rsid w:val="00F9473C"/>
    <w:rsid w:val="00F9509E"/>
    <w:rsid w:val="00F9511C"/>
    <w:rsid w:val="00F96563"/>
    <w:rsid w:val="00F972C1"/>
    <w:rsid w:val="00FA0074"/>
    <w:rsid w:val="00FA1553"/>
    <w:rsid w:val="00FA55E5"/>
    <w:rsid w:val="00FA7232"/>
    <w:rsid w:val="00FA7B9B"/>
    <w:rsid w:val="00FB0122"/>
    <w:rsid w:val="00FB09D2"/>
    <w:rsid w:val="00FB29A7"/>
    <w:rsid w:val="00FB2E48"/>
    <w:rsid w:val="00FB3C11"/>
    <w:rsid w:val="00FB5510"/>
    <w:rsid w:val="00FB61C8"/>
    <w:rsid w:val="00FB635A"/>
    <w:rsid w:val="00FB64F3"/>
    <w:rsid w:val="00FB7CF8"/>
    <w:rsid w:val="00FC08EC"/>
    <w:rsid w:val="00FC10C9"/>
    <w:rsid w:val="00FC19CE"/>
    <w:rsid w:val="00FC2236"/>
    <w:rsid w:val="00FC26CF"/>
    <w:rsid w:val="00FC3085"/>
    <w:rsid w:val="00FC4999"/>
    <w:rsid w:val="00FC572B"/>
    <w:rsid w:val="00FC6352"/>
    <w:rsid w:val="00FC6743"/>
    <w:rsid w:val="00FC6786"/>
    <w:rsid w:val="00FC6E2A"/>
    <w:rsid w:val="00FC7E62"/>
    <w:rsid w:val="00FD1D90"/>
    <w:rsid w:val="00FD3D5C"/>
    <w:rsid w:val="00FD50A0"/>
    <w:rsid w:val="00FD5EF3"/>
    <w:rsid w:val="00FD5F9F"/>
    <w:rsid w:val="00FD68C2"/>
    <w:rsid w:val="00FD7AE2"/>
    <w:rsid w:val="00FE1761"/>
    <w:rsid w:val="00FE2225"/>
    <w:rsid w:val="00FE2E59"/>
    <w:rsid w:val="00FE3332"/>
    <w:rsid w:val="00FE34C9"/>
    <w:rsid w:val="00FE3A19"/>
    <w:rsid w:val="00FE3C13"/>
    <w:rsid w:val="00FE455A"/>
    <w:rsid w:val="00FE4EB5"/>
    <w:rsid w:val="00FF3AC0"/>
    <w:rsid w:val="00FF3D93"/>
    <w:rsid w:val="00FF4562"/>
    <w:rsid w:val="00FF5BEE"/>
    <w:rsid w:val="00FF6C26"/>
    <w:rsid w:val="00FF6E9B"/>
    <w:rsid w:val="00FF7AC6"/>
    <w:rsid w:val="033F683B"/>
    <w:rsid w:val="043013E0"/>
    <w:rsid w:val="05765502"/>
    <w:rsid w:val="05BF23EE"/>
    <w:rsid w:val="061C0CA8"/>
    <w:rsid w:val="062C280A"/>
    <w:rsid w:val="07285B25"/>
    <w:rsid w:val="07C0798B"/>
    <w:rsid w:val="08417FA7"/>
    <w:rsid w:val="0942292F"/>
    <w:rsid w:val="0A4D5C46"/>
    <w:rsid w:val="0AAE62EE"/>
    <w:rsid w:val="0B306A87"/>
    <w:rsid w:val="0C2627C8"/>
    <w:rsid w:val="0D2701B4"/>
    <w:rsid w:val="0DDC3A66"/>
    <w:rsid w:val="0DFE385A"/>
    <w:rsid w:val="0F202505"/>
    <w:rsid w:val="0F4933A8"/>
    <w:rsid w:val="101F3294"/>
    <w:rsid w:val="10554E67"/>
    <w:rsid w:val="10756CB1"/>
    <w:rsid w:val="11F62ADD"/>
    <w:rsid w:val="121438CE"/>
    <w:rsid w:val="136F5E09"/>
    <w:rsid w:val="14135CE9"/>
    <w:rsid w:val="143F7994"/>
    <w:rsid w:val="14556E24"/>
    <w:rsid w:val="145C09B6"/>
    <w:rsid w:val="152B03C4"/>
    <w:rsid w:val="15445FB3"/>
    <w:rsid w:val="15AC68D1"/>
    <w:rsid w:val="15E564DA"/>
    <w:rsid w:val="19107E5B"/>
    <w:rsid w:val="1A09059C"/>
    <w:rsid w:val="1A595A62"/>
    <w:rsid w:val="1B574A59"/>
    <w:rsid w:val="1C8C3FCD"/>
    <w:rsid w:val="1E4578B6"/>
    <w:rsid w:val="200D34F7"/>
    <w:rsid w:val="22BD3DDC"/>
    <w:rsid w:val="2368442E"/>
    <w:rsid w:val="237A6685"/>
    <w:rsid w:val="24180599"/>
    <w:rsid w:val="25F25922"/>
    <w:rsid w:val="26D959CA"/>
    <w:rsid w:val="277245D4"/>
    <w:rsid w:val="28114720"/>
    <w:rsid w:val="28CF63F4"/>
    <w:rsid w:val="29326DC7"/>
    <w:rsid w:val="296A57B2"/>
    <w:rsid w:val="29F26F2A"/>
    <w:rsid w:val="2B4179B6"/>
    <w:rsid w:val="2BC16C32"/>
    <w:rsid w:val="2C85746B"/>
    <w:rsid w:val="2CC855D1"/>
    <w:rsid w:val="2DDD422B"/>
    <w:rsid w:val="2E84548B"/>
    <w:rsid w:val="2F2B1A5B"/>
    <w:rsid w:val="2FC9681B"/>
    <w:rsid w:val="30942540"/>
    <w:rsid w:val="31014D28"/>
    <w:rsid w:val="34E62D8C"/>
    <w:rsid w:val="35CE256D"/>
    <w:rsid w:val="35FB623F"/>
    <w:rsid w:val="365A0B84"/>
    <w:rsid w:val="366E3B3C"/>
    <w:rsid w:val="370F0BCD"/>
    <w:rsid w:val="3715098A"/>
    <w:rsid w:val="377C6EFA"/>
    <w:rsid w:val="38551FBE"/>
    <w:rsid w:val="38A715E3"/>
    <w:rsid w:val="39157688"/>
    <w:rsid w:val="39E14100"/>
    <w:rsid w:val="3A1844F4"/>
    <w:rsid w:val="3A315C33"/>
    <w:rsid w:val="3B1209F3"/>
    <w:rsid w:val="3B5878C5"/>
    <w:rsid w:val="3BA011E5"/>
    <w:rsid w:val="3BE22C01"/>
    <w:rsid w:val="3C5C5F5C"/>
    <w:rsid w:val="3E596370"/>
    <w:rsid w:val="3FBC6BAA"/>
    <w:rsid w:val="40865941"/>
    <w:rsid w:val="416318D4"/>
    <w:rsid w:val="417F239B"/>
    <w:rsid w:val="41DA2129"/>
    <w:rsid w:val="41F25792"/>
    <w:rsid w:val="42974085"/>
    <w:rsid w:val="447D727E"/>
    <w:rsid w:val="452B5932"/>
    <w:rsid w:val="45497D2B"/>
    <w:rsid w:val="45820476"/>
    <w:rsid w:val="45C11FF3"/>
    <w:rsid w:val="47775AD7"/>
    <w:rsid w:val="4A1F4764"/>
    <w:rsid w:val="4AD273C7"/>
    <w:rsid w:val="4B0D67DA"/>
    <w:rsid w:val="4B104729"/>
    <w:rsid w:val="4B561588"/>
    <w:rsid w:val="4C556343"/>
    <w:rsid w:val="4CBA6D83"/>
    <w:rsid w:val="4EBF1908"/>
    <w:rsid w:val="50BE485B"/>
    <w:rsid w:val="50EF21DE"/>
    <w:rsid w:val="51CE7479"/>
    <w:rsid w:val="52FE5AB1"/>
    <w:rsid w:val="53216EB7"/>
    <w:rsid w:val="53DA317B"/>
    <w:rsid w:val="54103AAC"/>
    <w:rsid w:val="54455AEF"/>
    <w:rsid w:val="5482205B"/>
    <w:rsid w:val="549A5B63"/>
    <w:rsid w:val="55190490"/>
    <w:rsid w:val="554C03ED"/>
    <w:rsid w:val="56A01764"/>
    <w:rsid w:val="57096E9F"/>
    <w:rsid w:val="57CD7FAB"/>
    <w:rsid w:val="57D5394B"/>
    <w:rsid w:val="58825DCC"/>
    <w:rsid w:val="59125B5B"/>
    <w:rsid w:val="5A5B099B"/>
    <w:rsid w:val="5B5D3146"/>
    <w:rsid w:val="5E653E57"/>
    <w:rsid w:val="5E8F43B9"/>
    <w:rsid w:val="5EDC31F2"/>
    <w:rsid w:val="5FD63230"/>
    <w:rsid w:val="5FD6799D"/>
    <w:rsid w:val="60915A2A"/>
    <w:rsid w:val="60F8252D"/>
    <w:rsid w:val="621E6BB3"/>
    <w:rsid w:val="629F59D2"/>
    <w:rsid w:val="63C64EB3"/>
    <w:rsid w:val="648D0D03"/>
    <w:rsid w:val="65D26A48"/>
    <w:rsid w:val="66C24EF1"/>
    <w:rsid w:val="66CC0AAD"/>
    <w:rsid w:val="689A3E47"/>
    <w:rsid w:val="68AE5B14"/>
    <w:rsid w:val="697A70E8"/>
    <w:rsid w:val="6A4B47BB"/>
    <w:rsid w:val="6AB96073"/>
    <w:rsid w:val="6B912F3A"/>
    <w:rsid w:val="6BC463C1"/>
    <w:rsid w:val="6BCC359A"/>
    <w:rsid w:val="6D870C0C"/>
    <w:rsid w:val="6EA339BF"/>
    <w:rsid w:val="6F207AEE"/>
    <w:rsid w:val="70550787"/>
    <w:rsid w:val="7086429A"/>
    <w:rsid w:val="70C03EA1"/>
    <w:rsid w:val="710A6D7C"/>
    <w:rsid w:val="715C118F"/>
    <w:rsid w:val="72147D8C"/>
    <w:rsid w:val="72684F31"/>
    <w:rsid w:val="72C735DA"/>
    <w:rsid w:val="74171020"/>
    <w:rsid w:val="74344CDF"/>
    <w:rsid w:val="7461635C"/>
    <w:rsid w:val="748F4CB2"/>
    <w:rsid w:val="74FF083E"/>
    <w:rsid w:val="75033A86"/>
    <w:rsid w:val="75AD133B"/>
    <w:rsid w:val="760333B2"/>
    <w:rsid w:val="765D5AB9"/>
    <w:rsid w:val="77106AAF"/>
    <w:rsid w:val="7722680D"/>
    <w:rsid w:val="777D0D1B"/>
    <w:rsid w:val="78204054"/>
    <w:rsid w:val="78254F2C"/>
    <w:rsid w:val="789E1E5D"/>
    <w:rsid w:val="7A1B4C2D"/>
    <w:rsid w:val="7AE24C58"/>
    <w:rsid w:val="7BC62B6D"/>
    <w:rsid w:val="7CF56221"/>
    <w:rsid w:val="7CF76FC3"/>
    <w:rsid w:val="7D353CCF"/>
    <w:rsid w:val="7EB65FCC"/>
    <w:rsid w:val="7FCC2B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iPriority="99"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99" w:semiHidden="0" w:name="toc 4"/>
    <w:lsdException w:qFormat="1" w:uiPriority="99" w:semiHidden="0" w:name="toc 5"/>
    <w:lsdException w:qFormat="1" w:uiPriority="99" w:semiHidden="0" w:name="toc 6"/>
    <w:lsdException w:qFormat="1" w:uiPriority="99" w:semiHidden="0" w:name="toc 7"/>
    <w:lsdException w:qFormat="1" w:uiPriority="99" w:semiHidden="0" w:name="toc 8"/>
    <w:lsdException w:qFormat="1" w:uiPriority="99"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99" w:semiHidden="0" w:name="List Bullet"/>
    <w:lsdException w:qFormat="1" w:unhideWhenUsed="0" w:uiPriority="99" w:semiHidden="0" w:name="List Number"/>
    <w:lsdException w:qFormat="1" w:unhideWhenUsed="0" w:uiPriority="0" w:semiHidden="0" w:name="List 2"/>
    <w:lsdException w:uiPriority="0" w:name="List 3"/>
    <w:lsdException w:uiPriority="0" w:name="List 4"/>
    <w:lsdException w:uiPriority="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99" w:semiHidden="0" w:name="Body Text First Indent"/>
    <w:lsdException w:qFormat="1" w:uiPriority="99" w:semiHidden="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0" w:name="Block Text"/>
    <w:lsdException w:qFormat="1"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nhideWhenUsed="0" w:uiPriority="99"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2"/>
    <w:qFormat/>
    <w:uiPriority w:val="0"/>
    <w:pPr>
      <w:keepNext/>
      <w:keepLines/>
      <w:numPr>
        <w:ilvl w:val="0"/>
        <w:numId w:val="1"/>
      </w:numPr>
      <w:spacing w:before="340" w:after="330" w:line="578" w:lineRule="auto"/>
      <w:jc w:val="center"/>
      <w:outlineLvl w:val="0"/>
    </w:pPr>
    <w:rPr>
      <w:rFonts w:eastAsia="黑体"/>
      <w:bCs/>
      <w:kern w:val="44"/>
      <w:sz w:val="30"/>
      <w:szCs w:val="44"/>
    </w:rPr>
  </w:style>
  <w:style w:type="paragraph" w:styleId="4">
    <w:name w:val="heading 2"/>
    <w:basedOn w:val="1"/>
    <w:next w:val="1"/>
    <w:link w:val="63"/>
    <w:qFormat/>
    <w:uiPriority w:val="99"/>
    <w:pPr>
      <w:keepNext/>
      <w:keepLines/>
      <w:numPr>
        <w:ilvl w:val="1"/>
        <w:numId w:val="1"/>
      </w:numPr>
      <w:spacing w:before="260" w:after="260" w:line="416" w:lineRule="auto"/>
      <w:outlineLvl w:val="1"/>
    </w:pPr>
    <w:rPr>
      <w:rFonts w:ascii="Arial" w:hAnsi="Arial" w:eastAsia="黑体"/>
      <w:bCs/>
      <w:sz w:val="28"/>
      <w:szCs w:val="32"/>
    </w:rPr>
  </w:style>
  <w:style w:type="paragraph" w:styleId="5">
    <w:name w:val="heading 3"/>
    <w:basedOn w:val="1"/>
    <w:next w:val="6"/>
    <w:link w:val="64"/>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2">
    <w:name w:val="heading 4"/>
    <w:basedOn w:val="1"/>
    <w:next w:val="1"/>
    <w:qFormat/>
    <w:uiPriority w:val="0"/>
    <w:pPr>
      <w:keepNext/>
      <w:outlineLvl w:val="3"/>
    </w:pPr>
    <w:rPr>
      <w:sz w:val="28"/>
      <w:szCs w:val="20"/>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qFormat/>
    <w:uiPriority w:val="99"/>
    <w:pPr>
      <w:keepNext/>
      <w:keepLines/>
      <w:spacing w:before="240" w:after="64" w:line="320" w:lineRule="auto"/>
      <w:outlineLvl w:val="6"/>
    </w:pPr>
    <w:rPr>
      <w:b/>
      <w:bCs/>
      <w:sz w:val="24"/>
    </w:rPr>
  </w:style>
  <w:style w:type="paragraph" w:styleId="10">
    <w:name w:val="heading 8"/>
    <w:basedOn w:val="1"/>
    <w:next w:val="1"/>
    <w:qFormat/>
    <w:uiPriority w:val="99"/>
    <w:pPr>
      <w:keepNext/>
      <w:keepLines/>
      <w:spacing w:before="240" w:after="64" w:line="320" w:lineRule="auto"/>
      <w:outlineLvl w:val="7"/>
    </w:pPr>
    <w:rPr>
      <w:rFonts w:ascii="Arial" w:hAnsi="Arial" w:eastAsia="黑体"/>
      <w:sz w:val="24"/>
    </w:rPr>
  </w:style>
  <w:style w:type="paragraph" w:styleId="11">
    <w:name w:val="heading 9"/>
    <w:basedOn w:val="1"/>
    <w:next w:val="1"/>
    <w:qFormat/>
    <w:uiPriority w:val="99"/>
    <w:pPr>
      <w:keepNext/>
      <w:keepLines/>
      <w:spacing w:before="240" w:after="64" w:line="320" w:lineRule="auto"/>
      <w:outlineLvl w:val="8"/>
    </w:pPr>
    <w:rPr>
      <w:rFonts w:ascii="Arial" w:hAnsi="Arial" w:eastAsia="黑体"/>
      <w:szCs w:val="21"/>
    </w:rPr>
  </w:style>
  <w:style w:type="character" w:default="1" w:styleId="55">
    <w:name w:val="Default Paragraph Font"/>
    <w:semiHidden/>
    <w:unhideWhenUsed/>
    <w:uiPriority w:val="1"/>
  </w:style>
  <w:style w:type="table" w:default="1" w:styleId="53">
    <w:name w:val="Normal Table"/>
    <w:semiHidden/>
    <w:unhideWhenUsed/>
    <w:uiPriority w:val="99"/>
    <w:tblPr>
      <w:tblCellMar>
        <w:top w:w="0" w:type="dxa"/>
        <w:left w:w="108" w:type="dxa"/>
        <w:bottom w:w="0" w:type="dxa"/>
        <w:right w:w="108" w:type="dxa"/>
      </w:tblCellMar>
    </w:tblPr>
  </w:style>
  <w:style w:type="paragraph" w:styleId="6">
    <w:name w:val="Normal Indent"/>
    <w:basedOn w:val="1"/>
    <w:link w:val="67"/>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2">
    <w:name w:val="toc 7"/>
    <w:basedOn w:val="1"/>
    <w:next w:val="1"/>
    <w:unhideWhenUsed/>
    <w:qFormat/>
    <w:uiPriority w:val="99"/>
    <w:pPr>
      <w:ind w:left="2520" w:leftChars="1200"/>
    </w:pPr>
    <w:rPr>
      <w:rFonts w:ascii="Calibri" w:hAnsi="Calibri"/>
      <w:szCs w:val="22"/>
    </w:rPr>
  </w:style>
  <w:style w:type="paragraph" w:styleId="13">
    <w:name w:val="List Number 2"/>
    <w:basedOn w:val="1"/>
    <w:qFormat/>
    <w:uiPriority w:val="99"/>
    <w:pPr>
      <w:widowControl/>
      <w:tabs>
        <w:tab w:val="left" w:pos="720"/>
      </w:tabs>
      <w:ind w:left="720" w:hanging="360"/>
    </w:pPr>
    <w:rPr>
      <w:rFonts w:ascii="Arial" w:hAnsi="Arial"/>
      <w:kern w:val="0"/>
      <w:sz w:val="20"/>
      <w:szCs w:val="20"/>
      <w:lang w:eastAsia="en-US"/>
    </w:rPr>
  </w:style>
  <w:style w:type="paragraph" w:styleId="14">
    <w:name w:val="List Bullet 4"/>
    <w:basedOn w:val="1"/>
    <w:qFormat/>
    <w:uiPriority w:val="99"/>
    <w:pPr>
      <w:widowControl/>
      <w:tabs>
        <w:tab w:val="left" w:pos="1440"/>
      </w:tabs>
      <w:ind w:left="1440" w:hanging="360"/>
    </w:pPr>
    <w:rPr>
      <w:rFonts w:ascii="Arial" w:hAnsi="Arial"/>
      <w:kern w:val="0"/>
      <w:sz w:val="20"/>
      <w:szCs w:val="20"/>
      <w:lang w:eastAsia="en-US"/>
    </w:rPr>
  </w:style>
  <w:style w:type="paragraph" w:styleId="15">
    <w:name w:val="List Number"/>
    <w:basedOn w:val="1"/>
    <w:qFormat/>
    <w:uiPriority w:val="99"/>
    <w:pPr>
      <w:tabs>
        <w:tab w:val="left" w:pos="360"/>
      </w:tabs>
      <w:ind w:left="360" w:hanging="200" w:hangingChars="200"/>
    </w:pPr>
  </w:style>
  <w:style w:type="paragraph" w:styleId="16">
    <w:name w:val="List Bullet"/>
    <w:basedOn w:val="1"/>
    <w:qFormat/>
    <w:uiPriority w:val="99"/>
    <w:pPr>
      <w:tabs>
        <w:tab w:val="left" w:pos="360"/>
      </w:tabs>
      <w:ind w:left="360" w:hanging="360"/>
    </w:pPr>
    <w:rPr>
      <w:sz w:val="24"/>
    </w:rPr>
  </w:style>
  <w:style w:type="paragraph" w:styleId="17">
    <w:name w:val="Document Map"/>
    <w:basedOn w:val="1"/>
    <w:link w:val="68"/>
    <w:semiHidden/>
    <w:qFormat/>
    <w:uiPriority w:val="99"/>
    <w:rPr>
      <w:rFonts w:ascii="宋体"/>
      <w:sz w:val="18"/>
      <w:szCs w:val="18"/>
    </w:rPr>
  </w:style>
  <w:style w:type="paragraph" w:styleId="18">
    <w:name w:val="annotation text"/>
    <w:basedOn w:val="1"/>
    <w:link w:val="69"/>
    <w:qFormat/>
    <w:uiPriority w:val="99"/>
    <w:pPr>
      <w:jc w:val="left"/>
    </w:pPr>
    <w:rPr>
      <w:szCs w:val="20"/>
    </w:rPr>
  </w:style>
  <w:style w:type="paragraph" w:styleId="19">
    <w:name w:val="Body Text 3"/>
    <w:basedOn w:val="1"/>
    <w:link w:val="70"/>
    <w:qFormat/>
    <w:uiPriority w:val="99"/>
    <w:pPr>
      <w:spacing w:after="120"/>
    </w:pPr>
    <w:rPr>
      <w:sz w:val="16"/>
      <w:szCs w:val="16"/>
    </w:rPr>
  </w:style>
  <w:style w:type="paragraph" w:styleId="20">
    <w:name w:val="List Bullet 3"/>
    <w:basedOn w:val="1"/>
    <w:qFormat/>
    <w:uiPriority w:val="99"/>
    <w:pPr>
      <w:widowControl/>
      <w:tabs>
        <w:tab w:val="left" w:pos="1080"/>
      </w:tabs>
      <w:ind w:left="1080" w:hanging="360"/>
    </w:pPr>
    <w:rPr>
      <w:rFonts w:ascii="Arial" w:hAnsi="Arial"/>
      <w:kern w:val="0"/>
      <w:sz w:val="20"/>
      <w:szCs w:val="20"/>
      <w:lang w:eastAsia="en-US"/>
    </w:rPr>
  </w:style>
  <w:style w:type="paragraph" w:styleId="21">
    <w:name w:val="Body Text"/>
    <w:basedOn w:val="1"/>
    <w:link w:val="71"/>
    <w:qFormat/>
    <w:uiPriority w:val="99"/>
    <w:rPr>
      <w:sz w:val="28"/>
      <w:szCs w:val="20"/>
    </w:rPr>
  </w:style>
  <w:style w:type="paragraph" w:styleId="22">
    <w:name w:val="Body Text Indent"/>
    <w:basedOn w:val="1"/>
    <w:link w:val="65"/>
    <w:qFormat/>
    <w:uiPriority w:val="99"/>
    <w:pPr>
      <w:autoSpaceDE w:val="0"/>
      <w:autoSpaceDN w:val="0"/>
      <w:adjustRightInd w:val="0"/>
      <w:spacing w:after="120" w:line="360" w:lineRule="atLeast"/>
      <w:ind w:left="900"/>
    </w:pPr>
    <w:rPr>
      <w:rFonts w:ascii="楷体_GB2312" w:eastAsia="楷体_GB2312"/>
      <w:kern w:val="0"/>
      <w:sz w:val="28"/>
      <w:szCs w:val="20"/>
    </w:rPr>
  </w:style>
  <w:style w:type="paragraph" w:styleId="23">
    <w:name w:val="List Number 3"/>
    <w:basedOn w:val="1"/>
    <w:qFormat/>
    <w:uiPriority w:val="99"/>
    <w:pPr>
      <w:widowControl/>
      <w:tabs>
        <w:tab w:val="left" w:pos="1080"/>
      </w:tabs>
      <w:ind w:left="1080" w:hanging="360"/>
    </w:pPr>
    <w:rPr>
      <w:rFonts w:ascii="Arial" w:hAnsi="Arial"/>
      <w:kern w:val="0"/>
      <w:sz w:val="20"/>
      <w:szCs w:val="20"/>
      <w:lang w:eastAsia="en-US"/>
    </w:rPr>
  </w:style>
  <w:style w:type="paragraph" w:styleId="24">
    <w:name w:val="List 2"/>
    <w:basedOn w:val="1"/>
    <w:qFormat/>
    <w:uiPriority w:val="0"/>
    <w:pPr>
      <w:ind w:left="100" w:leftChars="200" w:hanging="200" w:hangingChars="200"/>
    </w:pPr>
  </w:style>
  <w:style w:type="paragraph" w:styleId="25">
    <w:name w:val="List Bullet 2"/>
    <w:basedOn w:val="1"/>
    <w:next w:val="26"/>
    <w:qFormat/>
    <w:uiPriority w:val="99"/>
    <w:pPr>
      <w:keepLines/>
      <w:tabs>
        <w:tab w:val="left" w:pos="780"/>
      </w:tabs>
      <w:spacing w:afterLines="20" w:line="264" w:lineRule="auto"/>
      <w:ind w:left="780" w:hanging="360"/>
    </w:pPr>
    <w:rPr>
      <w:rFonts w:ascii="宋体"/>
      <w:sz w:val="24"/>
      <w:szCs w:val="21"/>
    </w:rPr>
  </w:style>
  <w:style w:type="paragraph" w:styleId="26">
    <w:name w:val="Body Text First Indent"/>
    <w:basedOn w:val="21"/>
    <w:link w:val="72"/>
    <w:qFormat/>
    <w:uiPriority w:val="99"/>
    <w:pPr>
      <w:spacing w:after="120"/>
      <w:ind w:firstLine="210" w:firstLineChars="100"/>
    </w:pPr>
    <w:rPr>
      <w:kern w:val="0"/>
      <w:sz w:val="20"/>
    </w:rPr>
  </w:style>
  <w:style w:type="paragraph" w:styleId="27">
    <w:name w:val="toc 5"/>
    <w:basedOn w:val="1"/>
    <w:next w:val="1"/>
    <w:unhideWhenUsed/>
    <w:qFormat/>
    <w:uiPriority w:val="99"/>
    <w:pPr>
      <w:ind w:left="1680" w:leftChars="800"/>
    </w:pPr>
    <w:rPr>
      <w:rFonts w:ascii="Calibri" w:hAnsi="Calibri"/>
      <w:szCs w:val="22"/>
    </w:rPr>
  </w:style>
  <w:style w:type="paragraph" w:styleId="28">
    <w:name w:val="toc 3"/>
    <w:basedOn w:val="1"/>
    <w:next w:val="1"/>
    <w:qFormat/>
    <w:uiPriority w:val="39"/>
    <w:pPr>
      <w:tabs>
        <w:tab w:val="left" w:pos="1400"/>
        <w:tab w:val="right" w:leader="dot" w:pos="9060"/>
      </w:tabs>
      <w:autoSpaceDE w:val="0"/>
      <w:autoSpaceDN w:val="0"/>
      <w:adjustRightInd w:val="0"/>
      <w:spacing w:line="315" w:lineRule="atLeast"/>
      <w:ind w:left="800"/>
      <w:jc w:val="left"/>
    </w:pPr>
    <w:rPr>
      <w:rFonts w:ascii="宋体" w:hAnsi="宋体"/>
      <w:bCs/>
      <w:kern w:val="0"/>
      <w:sz w:val="20"/>
      <w:szCs w:val="20"/>
    </w:rPr>
  </w:style>
  <w:style w:type="paragraph" w:styleId="29">
    <w:name w:val="Plain Text"/>
    <w:basedOn w:val="1"/>
    <w:qFormat/>
    <w:uiPriority w:val="0"/>
    <w:rPr>
      <w:rFonts w:ascii="宋体" w:hAnsi="Courier New"/>
      <w:szCs w:val="20"/>
    </w:rPr>
  </w:style>
  <w:style w:type="paragraph" w:styleId="30">
    <w:name w:val="List Bullet 5"/>
    <w:basedOn w:val="1"/>
    <w:qFormat/>
    <w:uiPriority w:val="99"/>
    <w:pPr>
      <w:widowControl/>
      <w:tabs>
        <w:tab w:val="left" w:pos="1800"/>
      </w:tabs>
      <w:ind w:left="1800" w:hanging="360"/>
    </w:pPr>
    <w:rPr>
      <w:rFonts w:ascii="Arial" w:hAnsi="Arial"/>
      <w:kern w:val="0"/>
      <w:sz w:val="20"/>
      <w:szCs w:val="20"/>
      <w:lang w:eastAsia="en-US"/>
    </w:rPr>
  </w:style>
  <w:style w:type="paragraph" w:styleId="31">
    <w:name w:val="List Number 4"/>
    <w:basedOn w:val="1"/>
    <w:qFormat/>
    <w:uiPriority w:val="99"/>
    <w:pPr>
      <w:widowControl/>
      <w:tabs>
        <w:tab w:val="left" w:pos="1440"/>
      </w:tabs>
      <w:ind w:left="1440" w:hanging="360"/>
    </w:pPr>
    <w:rPr>
      <w:rFonts w:ascii="Arial" w:hAnsi="Arial"/>
      <w:kern w:val="0"/>
      <w:sz w:val="20"/>
      <w:szCs w:val="20"/>
      <w:lang w:eastAsia="en-US"/>
    </w:rPr>
  </w:style>
  <w:style w:type="paragraph" w:styleId="32">
    <w:name w:val="toc 8"/>
    <w:basedOn w:val="1"/>
    <w:next w:val="1"/>
    <w:unhideWhenUsed/>
    <w:qFormat/>
    <w:uiPriority w:val="99"/>
    <w:pPr>
      <w:ind w:left="2940" w:leftChars="1400"/>
    </w:pPr>
    <w:rPr>
      <w:rFonts w:ascii="Calibri" w:hAnsi="Calibri"/>
      <w:szCs w:val="22"/>
    </w:rPr>
  </w:style>
  <w:style w:type="paragraph" w:styleId="33">
    <w:name w:val="Date"/>
    <w:basedOn w:val="1"/>
    <w:next w:val="1"/>
    <w:link w:val="73"/>
    <w:qFormat/>
    <w:uiPriority w:val="99"/>
    <w:pPr>
      <w:ind w:left="100" w:leftChars="2500"/>
    </w:pPr>
    <w:rPr>
      <w:szCs w:val="20"/>
    </w:rPr>
  </w:style>
  <w:style w:type="paragraph" w:styleId="34">
    <w:name w:val="Body Text Indent 2"/>
    <w:basedOn w:val="1"/>
    <w:qFormat/>
    <w:uiPriority w:val="99"/>
    <w:pPr>
      <w:spacing w:line="480" w:lineRule="auto"/>
      <w:ind w:firstLine="480" w:firstLineChars="200"/>
    </w:pPr>
    <w:rPr>
      <w:rFonts w:ascii="仿宋_GB2312" w:hAnsi="宋体" w:eastAsia="仿宋_GB2312"/>
      <w:sz w:val="24"/>
    </w:rPr>
  </w:style>
  <w:style w:type="paragraph" w:styleId="35">
    <w:name w:val="Balloon Text"/>
    <w:basedOn w:val="1"/>
    <w:link w:val="74"/>
    <w:qFormat/>
    <w:uiPriority w:val="99"/>
    <w:rPr>
      <w:sz w:val="18"/>
      <w:szCs w:val="18"/>
    </w:rPr>
  </w:style>
  <w:style w:type="paragraph" w:styleId="36">
    <w:name w:val="footer"/>
    <w:basedOn w:val="1"/>
    <w:link w:val="75"/>
    <w:qFormat/>
    <w:uiPriority w:val="99"/>
    <w:pPr>
      <w:tabs>
        <w:tab w:val="center" w:pos="4153"/>
        <w:tab w:val="right" w:pos="8306"/>
      </w:tabs>
      <w:snapToGrid w:val="0"/>
      <w:jc w:val="left"/>
    </w:pPr>
    <w:rPr>
      <w:sz w:val="18"/>
      <w:szCs w:val="18"/>
    </w:rPr>
  </w:style>
  <w:style w:type="paragraph" w:styleId="37">
    <w:name w:val="header"/>
    <w:basedOn w:val="1"/>
    <w:link w:val="76"/>
    <w:qFormat/>
    <w:uiPriority w:val="99"/>
    <w:pPr>
      <w:pBdr>
        <w:bottom w:val="single" w:color="auto" w:sz="6" w:space="1"/>
      </w:pBdr>
      <w:tabs>
        <w:tab w:val="center" w:pos="4153"/>
        <w:tab w:val="right" w:pos="8306"/>
      </w:tabs>
      <w:snapToGrid w:val="0"/>
      <w:jc w:val="center"/>
    </w:pPr>
    <w:rPr>
      <w:sz w:val="18"/>
      <w:szCs w:val="18"/>
    </w:rPr>
  </w:style>
  <w:style w:type="paragraph" w:styleId="38">
    <w:name w:val="toc 1"/>
    <w:basedOn w:val="1"/>
    <w:next w:val="1"/>
    <w:qFormat/>
    <w:uiPriority w:val="39"/>
    <w:pPr>
      <w:tabs>
        <w:tab w:val="left" w:pos="851"/>
        <w:tab w:val="right" w:leader="dot" w:pos="9072"/>
      </w:tabs>
      <w:autoSpaceDE w:val="0"/>
      <w:autoSpaceDN w:val="0"/>
      <w:adjustRightInd w:val="0"/>
      <w:spacing w:before="120" w:after="120" w:line="315" w:lineRule="atLeast"/>
      <w:ind w:right="120"/>
      <w:jc w:val="right"/>
    </w:pPr>
    <w:rPr>
      <w:rFonts w:eastAsia="黑体"/>
      <w:caps/>
      <w:kern w:val="0"/>
      <w:szCs w:val="21"/>
    </w:rPr>
  </w:style>
  <w:style w:type="paragraph" w:styleId="39">
    <w:name w:val="toc 4"/>
    <w:basedOn w:val="1"/>
    <w:next w:val="1"/>
    <w:unhideWhenUsed/>
    <w:qFormat/>
    <w:uiPriority w:val="99"/>
    <w:pPr>
      <w:ind w:left="1260" w:leftChars="600"/>
    </w:pPr>
    <w:rPr>
      <w:rFonts w:ascii="Calibri" w:hAnsi="Calibri"/>
      <w:szCs w:val="22"/>
    </w:rPr>
  </w:style>
  <w:style w:type="paragraph" w:styleId="40">
    <w:name w:val="index heading"/>
    <w:basedOn w:val="1"/>
    <w:next w:val="41"/>
    <w:qFormat/>
    <w:uiPriority w:val="0"/>
    <w:pPr>
      <w:adjustRightInd w:val="0"/>
      <w:spacing w:line="312" w:lineRule="atLeast"/>
      <w:textAlignment w:val="baseline"/>
    </w:pPr>
    <w:rPr>
      <w:kern w:val="0"/>
      <w:szCs w:val="20"/>
    </w:rPr>
  </w:style>
  <w:style w:type="paragraph" w:styleId="41">
    <w:name w:val="index 1"/>
    <w:basedOn w:val="1"/>
    <w:next w:val="1"/>
    <w:unhideWhenUsed/>
    <w:qFormat/>
    <w:uiPriority w:val="99"/>
  </w:style>
  <w:style w:type="paragraph" w:styleId="42">
    <w:name w:val="Subtitle"/>
    <w:basedOn w:val="1"/>
    <w:next w:val="1"/>
    <w:link w:val="77"/>
    <w:qFormat/>
    <w:uiPriority w:val="0"/>
    <w:pPr>
      <w:spacing w:before="240" w:after="60" w:line="312" w:lineRule="auto"/>
      <w:jc w:val="center"/>
      <w:outlineLvl w:val="1"/>
    </w:pPr>
    <w:rPr>
      <w:rFonts w:ascii="Cambria" w:hAnsi="Cambria" w:cs="黑体"/>
      <w:b/>
      <w:bCs/>
      <w:kern w:val="28"/>
      <w:sz w:val="32"/>
      <w:szCs w:val="32"/>
    </w:rPr>
  </w:style>
  <w:style w:type="paragraph" w:styleId="43">
    <w:name w:val="List Number 5"/>
    <w:basedOn w:val="1"/>
    <w:qFormat/>
    <w:uiPriority w:val="99"/>
    <w:pPr>
      <w:widowControl/>
      <w:tabs>
        <w:tab w:val="left" w:pos="1800"/>
      </w:tabs>
      <w:ind w:left="1800" w:hanging="360"/>
    </w:pPr>
    <w:rPr>
      <w:rFonts w:ascii="Arial" w:hAnsi="Arial"/>
      <w:kern w:val="0"/>
      <w:sz w:val="20"/>
      <w:szCs w:val="20"/>
      <w:lang w:eastAsia="en-US"/>
    </w:rPr>
  </w:style>
  <w:style w:type="paragraph" w:styleId="44">
    <w:name w:val="toc 6"/>
    <w:basedOn w:val="1"/>
    <w:next w:val="1"/>
    <w:unhideWhenUsed/>
    <w:qFormat/>
    <w:uiPriority w:val="99"/>
    <w:pPr>
      <w:ind w:left="2100" w:leftChars="1000"/>
    </w:pPr>
    <w:rPr>
      <w:rFonts w:ascii="Calibri" w:hAnsi="Calibri"/>
      <w:szCs w:val="22"/>
    </w:rPr>
  </w:style>
  <w:style w:type="paragraph" w:styleId="45">
    <w:name w:val="Body Text Indent 3"/>
    <w:basedOn w:val="1"/>
    <w:qFormat/>
    <w:uiPriority w:val="99"/>
    <w:pPr>
      <w:spacing w:after="120" w:line="360" w:lineRule="atLeast"/>
      <w:ind w:firstLine="720" w:firstLineChars="300"/>
    </w:pPr>
    <w:rPr>
      <w:sz w:val="24"/>
      <w:szCs w:val="20"/>
    </w:rPr>
  </w:style>
  <w:style w:type="paragraph" w:styleId="46">
    <w:name w:val="toc 2"/>
    <w:basedOn w:val="1"/>
    <w:next w:val="1"/>
    <w:qFormat/>
    <w:uiPriority w:val="39"/>
    <w:pPr>
      <w:tabs>
        <w:tab w:val="right" w:leader="dot" w:pos="9540"/>
      </w:tabs>
      <w:autoSpaceDE w:val="0"/>
      <w:autoSpaceDN w:val="0"/>
      <w:adjustRightInd w:val="0"/>
      <w:spacing w:line="315" w:lineRule="atLeast"/>
      <w:ind w:left="900"/>
      <w:jc w:val="left"/>
    </w:pPr>
    <w:rPr>
      <w:rFonts w:ascii="宋体" w:hAnsi="宋体"/>
      <w:smallCaps/>
      <w:color w:val="000000"/>
      <w:kern w:val="0"/>
      <w:sz w:val="20"/>
      <w:szCs w:val="20"/>
    </w:rPr>
  </w:style>
  <w:style w:type="paragraph" w:styleId="47">
    <w:name w:val="toc 9"/>
    <w:basedOn w:val="1"/>
    <w:next w:val="1"/>
    <w:unhideWhenUsed/>
    <w:qFormat/>
    <w:uiPriority w:val="99"/>
    <w:pPr>
      <w:ind w:left="3360" w:leftChars="1600"/>
    </w:pPr>
    <w:rPr>
      <w:rFonts w:ascii="Calibri" w:hAnsi="Calibri"/>
      <w:szCs w:val="22"/>
    </w:rPr>
  </w:style>
  <w:style w:type="paragraph" w:styleId="48">
    <w:name w:val="Body Text 2"/>
    <w:basedOn w:val="1"/>
    <w:link w:val="78"/>
    <w:qFormat/>
    <w:uiPriority w:val="99"/>
    <w:rPr>
      <w:color w:val="FF0000"/>
      <w:kern w:val="0"/>
      <w:sz w:val="20"/>
      <w:szCs w:val="20"/>
    </w:rPr>
  </w:style>
  <w:style w:type="paragraph" w:styleId="49">
    <w:name w:val="Normal (Web)"/>
    <w:basedOn w:val="1"/>
    <w:qFormat/>
    <w:uiPriority w:val="99"/>
    <w:rPr>
      <w:sz w:val="24"/>
    </w:rPr>
  </w:style>
  <w:style w:type="paragraph" w:styleId="50">
    <w:name w:val="Title"/>
    <w:basedOn w:val="1"/>
    <w:next w:val="1"/>
    <w:qFormat/>
    <w:uiPriority w:val="0"/>
    <w:pPr>
      <w:spacing w:before="240" w:after="60"/>
      <w:jc w:val="center"/>
      <w:outlineLvl w:val="0"/>
    </w:pPr>
    <w:rPr>
      <w:rFonts w:ascii="Cambria" w:hAnsi="Cambria"/>
      <w:b/>
      <w:bCs/>
      <w:sz w:val="32"/>
      <w:szCs w:val="32"/>
    </w:rPr>
  </w:style>
  <w:style w:type="paragraph" w:styleId="51">
    <w:name w:val="annotation subject"/>
    <w:basedOn w:val="18"/>
    <w:next w:val="18"/>
    <w:link w:val="79"/>
    <w:semiHidden/>
    <w:qFormat/>
    <w:uiPriority w:val="99"/>
    <w:rPr>
      <w:b/>
      <w:bCs/>
    </w:rPr>
  </w:style>
  <w:style w:type="paragraph" w:styleId="52">
    <w:name w:val="Body Text First Indent 2"/>
    <w:basedOn w:val="22"/>
    <w:link w:val="66"/>
    <w:unhideWhenUsed/>
    <w:qFormat/>
    <w:uiPriority w:val="99"/>
    <w:pPr>
      <w:ind w:firstLine="420" w:firstLineChars="200"/>
    </w:pPr>
  </w:style>
  <w:style w:type="table" w:styleId="54">
    <w:name w:val="Table Grid"/>
    <w:basedOn w:val="5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qFormat/>
    <w:uiPriority w:val="99"/>
    <w:rPr>
      <w:b/>
      <w:bCs/>
    </w:rPr>
  </w:style>
  <w:style w:type="character" w:styleId="57">
    <w:name w:val="page number"/>
    <w:qFormat/>
    <w:uiPriority w:val="99"/>
  </w:style>
  <w:style w:type="character" w:styleId="58">
    <w:name w:val="FollowedHyperlink"/>
    <w:qFormat/>
    <w:uiPriority w:val="99"/>
    <w:rPr>
      <w:color w:val="800080"/>
      <w:u w:val="single"/>
    </w:rPr>
  </w:style>
  <w:style w:type="character" w:styleId="59">
    <w:name w:val="Emphasis"/>
    <w:qFormat/>
    <w:uiPriority w:val="20"/>
    <w:rPr>
      <w:i/>
      <w:iCs/>
    </w:rPr>
  </w:style>
  <w:style w:type="character" w:styleId="60">
    <w:name w:val="Hyperlink"/>
    <w:unhideWhenUsed/>
    <w:qFormat/>
    <w:uiPriority w:val="99"/>
    <w:rPr>
      <w:color w:val="0000FF"/>
      <w:u w:val="single"/>
    </w:rPr>
  </w:style>
  <w:style w:type="character" w:styleId="61">
    <w:name w:val="annotation reference"/>
    <w:qFormat/>
    <w:uiPriority w:val="99"/>
    <w:rPr>
      <w:sz w:val="21"/>
      <w:szCs w:val="21"/>
    </w:rPr>
  </w:style>
  <w:style w:type="character" w:customStyle="1" w:styleId="62">
    <w:name w:val="标题 1 字符"/>
    <w:link w:val="3"/>
    <w:qFormat/>
    <w:uiPriority w:val="0"/>
    <w:rPr>
      <w:rFonts w:eastAsia="黑体"/>
      <w:bCs/>
      <w:kern w:val="44"/>
      <w:sz w:val="30"/>
      <w:szCs w:val="44"/>
    </w:rPr>
  </w:style>
  <w:style w:type="character" w:customStyle="1" w:styleId="63">
    <w:name w:val="标题 2 字符"/>
    <w:link w:val="4"/>
    <w:qFormat/>
    <w:uiPriority w:val="99"/>
    <w:rPr>
      <w:rFonts w:ascii="Arial" w:hAnsi="Arial" w:eastAsia="黑体"/>
      <w:bCs/>
      <w:kern w:val="2"/>
      <w:sz w:val="28"/>
      <w:szCs w:val="32"/>
    </w:rPr>
  </w:style>
  <w:style w:type="character" w:customStyle="1" w:styleId="64">
    <w:name w:val="标题 3 字符"/>
    <w:link w:val="5"/>
    <w:qFormat/>
    <w:uiPriority w:val="99"/>
    <w:rPr>
      <w:rFonts w:ascii="黑体" w:eastAsia="黑体"/>
      <w:sz w:val="28"/>
    </w:rPr>
  </w:style>
  <w:style w:type="character" w:customStyle="1" w:styleId="65">
    <w:name w:val="正文文本缩进 字符"/>
    <w:link w:val="22"/>
    <w:qFormat/>
    <w:uiPriority w:val="0"/>
    <w:rPr>
      <w:rFonts w:ascii="楷体_GB2312" w:eastAsia="楷体_GB2312"/>
      <w:sz w:val="28"/>
    </w:rPr>
  </w:style>
  <w:style w:type="character" w:customStyle="1" w:styleId="66">
    <w:name w:val="正文文本首行缩进 2 字符"/>
    <w:link w:val="52"/>
    <w:qFormat/>
    <w:uiPriority w:val="99"/>
    <w:rPr>
      <w:rFonts w:ascii="楷体_GB2312" w:eastAsia="楷体_GB2312"/>
      <w:sz w:val="28"/>
    </w:rPr>
  </w:style>
  <w:style w:type="character" w:customStyle="1" w:styleId="67">
    <w:name w:val="正文缩进 字符"/>
    <w:link w:val="6"/>
    <w:qFormat/>
    <w:uiPriority w:val="0"/>
    <w:rPr>
      <w:rFonts w:ascii="楷体_GB2312" w:eastAsia="楷体_GB2312"/>
      <w:sz w:val="28"/>
    </w:rPr>
  </w:style>
  <w:style w:type="character" w:customStyle="1" w:styleId="68">
    <w:name w:val="文档结构图 字符"/>
    <w:link w:val="17"/>
    <w:semiHidden/>
    <w:qFormat/>
    <w:uiPriority w:val="99"/>
    <w:rPr>
      <w:rFonts w:ascii="宋体"/>
      <w:kern w:val="2"/>
      <w:sz w:val="18"/>
      <w:szCs w:val="18"/>
    </w:rPr>
  </w:style>
  <w:style w:type="character" w:customStyle="1" w:styleId="69">
    <w:name w:val="批注文字 字符"/>
    <w:link w:val="18"/>
    <w:qFormat/>
    <w:uiPriority w:val="99"/>
    <w:rPr>
      <w:rFonts w:eastAsia="宋体"/>
      <w:kern w:val="2"/>
      <w:sz w:val="21"/>
      <w:lang w:val="en-US" w:eastAsia="zh-CN" w:bidi="ar-SA"/>
    </w:rPr>
  </w:style>
  <w:style w:type="character" w:customStyle="1" w:styleId="70">
    <w:name w:val="正文文本 3 字符"/>
    <w:link w:val="19"/>
    <w:qFormat/>
    <w:uiPriority w:val="99"/>
    <w:rPr>
      <w:kern w:val="2"/>
      <w:sz w:val="16"/>
      <w:szCs w:val="16"/>
    </w:rPr>
  </w:style>
  <w:style w:type="character" w:customStyle="1" w:styleId="71">
    <w:name w:val="正文文本 字符"/>
    <w:link w:val="21"/>
    <w:qFormat/>
    <w:uiPriority w:val="0"/>
    <w:rPr>
      <w:kern w:val="2"/>
      <w:sz w:val="28"/>
    </w:rPr>
  </w:style>
  <w:style w:type="character" w:customStyle="1" w:styleId="72">
    <w:name w:val="正文文本首行缩进 字符"/>
    <w:link w:val="26"/>
    <w:qFormat/>
    <w:locked/>
    <w:uiPriority w:val="99"/>
  </w:style>
  <w:style w:type="character" w:customStyle="1" w:styleId="73">
    <w:name w:val="日期 字符"/>
    <w:link w:val="33"/>
    <w:qFormat/>
    <w:uiPriority w:val="99"/>
    <w:rPr>
      <w:kern w:val="2"/>
      <w:sz w:val="21"/>
    </w:rPr>
  </w:style>
  <w:style w:type="character" w:customStyle="1" w:styleId="74">
    <w:name w:val="批注框文本 字符"/>
    <w:link w:val="35"/>
    <w:semiHidden/>
    <w:qFormat/>
    <w:uiPriority w:val="99"/>
    <w:rPr>
      <w:kern w:val="2"/>
      <w:sz w:val="18"/>
      <w:szCs w:val="18"/>
    </w:rPr>
  </w:style>
  <w:style w:type="character" w:customStyle="1" w:styleId="75">
    <w:name w:val="页脚 字符"/>
    <w:link w:val="36"/>
    <w:qFormat/>
    <w:uiPriority w:val="99"/>
    <w:rPr>
      <w:kern w:val="2"/>
      <w:sz w:val="18"/>
      <w:szCs w:val="18"/>
    </w:rPr>
  </w:style>
  <w:style w:type="character" w:customStyle="1" w:styleId="76">
    <w:name w:val="页眉 字符"/>
    <w:link w:val="37"/>
    <w:qFormat/>
    <w:uiPriority w:val="99"/>
    <w:rPr>
      <w:kern w:val="2"/>
      <w:sz w:val="18"/>
      <w:szCs w:val="18"/>
    </w:rPr>
  </w:style>
  <w:style w:type="character" w:customStyle="1" w:styleId="77">
    <w:name w:val="副标题 字符"/>
    <w:link w:val="42"/>
    <w:qFormat/>
    <w:uiPriority w:val="0"/>
    <w:rPr>
      <w:rFonts w:ascii="Cambria" w:hAnsi="Cambria" w:cs="黑体"/>
      <w:b/>
      <w:bCs/>
      <w:kern w:val="28"/>
      <w:sz w:val="32"/>
      <w:szCs w:val="32"/>
    </w:rPr>
  </w:style>
  <w:style w:type="character" w:customStyle="1" w:styleId="78">
    <w:name w:val="正文文本 2 字符"/>
    <w:link w:val="48"/>
    <w:qFormat/>
    <w:locked/>
    <w:uiPriority w:val="99"/>
    <w:rPr>
      <w:color w:val="FF0000"/>
    </w:rPr>
  </w:style>
  <w:style w:type="character" w:customStyle="1" w:styleId="79">
    <w:name w:val="批注主题 字符"/>
    <w:link w:val="51"/>
    <w:qFormat/>
    <w:uiPriority w:val="99"/>
    <w:rPr>
      <w:rFonts w:eastAsia="宋体"/>
      <w:b/>
      <w:bCs/>
      <w:kern w:val="2"/>
      <w:sz w:val="21"/>
      <w:lang w:val="en-US" w:eastAsia="zh-CN" w:bidi="ar-SA"/>
    </w:rPr>
  </w:style>
  <w:style w:type="character" w:customStyle="1" w:styleId="80">
    <w:name w:val="标题 1 Char"/>
    <w:qFormat/>
    <w:uiPriority w:val="0"/>
    <w:rPr>
      <w:rFonts w:ascii="黑体"/>
      <w:b/>
      <w:kern w:val="44"/>
      <w:sz w:val="32"/>
    </w:rPr>
  </w:style>
  <w:style w:type="character" w:customStyle="1" w:styleId="81">
    <w:name w:val="纯文本 Char"/>
    <w:qFormat/>
    <w:uiPriority w:val="0"/>
    <w:rPr>
      <w:rFonts w:ascii="宋体" w:hAnsi="Courier New" w:eastAsia="宋体" w:cs="Times New Roman"/>
      <w:szCs w:val="20"/>
    </w:rPr>
  </w:style>
  <w:style w:type="character" w:customStyle="1" w:styleId="82">
    <w:name w:val="正文文本 Char"/>
    <w:qFormat/>
    <w:uiPriority w:val="99"/>
    <w:rPr>
      <w:rFonts w:ascii="Times New Roman" w:hAnsi="Times New Roman" w:eastAsia="宋体" w:cs="Times New Roman"/>
      <w:sz w:val="28"/>
      <w:szCs w:val="20"/>
    </w:rPr>
  </w:style>
  <w:style w:type="character" w:customStyle="1" w:styleId="83">
    <w:name w:val="访问过的超链接1"/>
    <w:qFormat/>
    <w:uiPriority w:val="0"/>
    <w:rPr>
      <w:color w:val="800080"/>
      <w:u w:val="single"/>
    </w:rPr>
  </w:style>
  <w:style w:type="character" w:customStyle="1" w:styleId="84">
    <w:name w:val="href"/>
    <w:qFormat/>
    <w:uiPriority w:val="0"/>
    <w:rPr>
      <w:color w:val="0000FF"/>
      <w:u w:val="single"/>
    </w:rPr>
  </w:style>
  <w:style w:type="character" w:customStyle="1" w:styleId="85">
    <w:name w:val="first-child"/>
    <w:qFormat/>
    <w:uiPriority w:val="0"/>
    <w:rPr>
      <w:vanish/>
    </w:rPr>
  </w:style>
  <w:style w:type="character" w:customStyle="1" w:styleId="86">
    <w:name w:val="标题 9 Char"/>
    <w:qFormat/>
    <w:uiPriority w:val="99"/>
    <w:rPr>
      <w:rFonts w:ascii="Arial" w:hAnsi="Arial" w:eastAsia="黑体" w:cs="Times New Roman"/>
      <w:szCs w:val="21"/>
    </w:rPr>
  </w:style>
  <w:style w:type="character" w:customStyle="1" w:styleId="87">
    <w:name w:val="正文文本缩进 2 Char"/>
    <w:qFormat/>
    <w:uiPriority w:val="99"/>
    <w:rPr>
      <w:rFonts w:ascii="仿宋_GB2312" w:hAnsi="宋体" w:eastAsia="仿宋_GB2312" w:cs="Times New Roman"/>
      <w:sz w:val="24"/>
      <w:szCs w:val="24"/>
    </w:rPr>
  </w:style>
  <w:style w:type="character" w:customStyle="1" w:styleId="88">
    <w:name w:val="列表段落 字符"/>
    <w:link w:val="89"/>
    <w:qFormat/>
    <w:uiPriority w:val="34"/>
    <w:rPr>
      <w:kern w:val="2"/>
      <w:sz w:val="21"/>
    </w:rPr>
  </w:style>
  <w:style w:type="paragraph" w:styleId="89">
    <w:name w:val="List Paragraph"/>
    <w:basedOn w:val="90"/>
    <w:link w:val="88"/>
    <w:qFormat/>
    <w:uiPriority w:val="99"/>
    <w:pPr>
      <w:ind w:firstLine="420" w:firstLineChars="200"/>
    </w:pPr>
  </w:style>
  <w:style w:type="paragraph" w:customStyle="1" w:styleId="90">
    <w:name w:val="正文1"/>
    <w:qFormat/>
    <w:uiPriority w:val="0"/>
    <w:pPr>
      <w:widowControl w:val="0"/>
      <w:jc w:val="both"/>
    </w:pPr>
    <w:rPr>
      <w:rFonts w:ascii="Times New Roman" w:hAnsi="Times New Roman" w:eastAsia="Times New Roman" w:cs="Times New Roman"/>
      <w:lang w:val="en-US" w:eastAsia="zh-CN" w:bidi="ar-SA"/>
    </w:rPr>
  </w:style>
  <w:style w:type="character" w:customStyle="1" w:styleId="91">
    <w:name w:val="批注文字 Char1"/>
    <w:qFormat/>
    <w:uiPriority w:val="99"/>
    <w:rPr>
      <w:kern w:val="2"/>
      <w:sz w:val="21"/>
    </w:rPr>
  </w:style>
  <w:style w:type="character" w:customStyle="1" w:styleId="92">
    <w:name w:val="标题 8 Char"/>
    <w:qFormat/>
    <w:uiPriority w:val="99"/>
    <w:rPr>
      <w:rFonts w:ascii="Arial" w:hAnsi="Arial" w:eastAsia="黑体" w:cs="Times New Roman"/>
      <w:sz w:val="24"/>
      <w:szCs w:val="24"/>
    </w:rPr>
  </w:style>
  <w:style w:type="character" w:customStyle="1" w:styleId="93">
    <w:name w:val="列出段落 Char1"/>
    <w:qFormat/>
    <w:uiPriority w:val="99"/>
    <w:rPr>
      <w:kern w:val="2"/>
      <w:sz w:val="21"/>
      <w:szCs w:val="24"/>
    </w:rPr>
  </w:style>
  <w:style w:type="character" w:customStyle="1" w:styleId="94">
    <w:name w:val="正文文本缩进 3 Char"/>
    <w:qFormat/>
    <w:uiPriority w:val="99"/>
    <w:rPr>
      <w:rFonts w:ascii="Times New Roman" w:hAnsi="Times New Roman" w:eastAsia="宋体" w:cs="Times New Roman"/>
      <w:sz w:val="24"/>
      <w:szCs w:val="20"/>
    </w:rPr>
  </w:style>
  <w:style w:type="character" w:customStyle="1" w:styleId="95">
    <w:name w:val="标题 6 Char"/>
    <w:qFormat/>
    <w:uiPriority w:val="99"/>
    <w:rPr>
      <w:rFonts w:ascii="Arial" w:hAnsi="Arial" w:eastAsia="黑体" w:cs="Times New Roman"/>
      <w:b/>
      <w:bCs/>
      <w:sz w:val="24"/>
      <w:szCs w:val="24"/>
    </w:rPr>
  </w:style>
  <w:style w:type="character" w:customStyle="1" w:styleId="96">
    <w:name w:val="正文文本缩进 Char"/>
    <w:qFormat/>
    <w:uiPriority w:val="99"/>
    <w:rPr>
      <w:rFonts w:ascii="楷体_GB2312" w:eastAsia="楷体_GB2312"/>
      <w:sz w:val="28"/>
    </w:rPr>
  </w:style>
  <w:style w:type="character" w:customStyle="1" w:styleId="97">
    <w:name w:val="标题 Char"/>
    <w:qFormat/>
    <w:uiPriority w:val="0"/>
    <w:rPr>
      <w:rFonts w:ascii="Cambria" w:hAnsi="Cambria" w:cs="Times New Roman"/>
      <w:b/>
      <w:bCs/>
      <w:kern w:val="2"/>
      <w:sz w:val="32"/>
      <w:szCs w:val="32"/>
    </w:rPr>
  </w:style>
  <w:style w:type="character" w:customStyle="1" w:styleId="98">
    <w:name w:val="标题 4 Char"/>
    <w:qFormat/>
    <w:uiPriority w:val="99"/>
    <w:rPr>
      <w:rFonts w:ascii="Times New Roman" w:hAnsi="Times New Roman" w:eastAsia="宋体" w:cs="Times New Roman"/>
      <w:sz w:val="28"/>
      <w:szCs w:val="20"/>
    </w:rPr>
  </w:style>
  <w:style w:type="character" w:customStyle="1" w:styleId="99">
    <w:name w:val="蓝色显示 Char"/>
    <w:link w:val="100"/>
    <w:qFormat/>
    <w:uiPriority w:val="0"/>
    <w:rPr>
      <w:b/>
      <w:color w:val="0070C0"/>
      <w:kern w:val="2"/>
      <w:sz w:val="21"/>
      <w:szCs w:val="24"/>
    </w:rPr>
  </w:style>
  <w:style w:type="paragraph" w:customStyle="1" w:styleId="100">
    <w:name w:val="蓝色显示"/>
    <w:basedOn w:val="1"/>
    <w:link w:val="99"/>
    <w:qFormat/>
    <w:uiPriority w:val="0"/>
    <w:pPr>
      <w:spacing w:before="340" w:after="330" w:line="400" w:lineRule="exact"/>
    </w:pPr>
    <w:rPr>
      <w:b/>
      <w:color w:val="0070C0"/>
    </w:rPr>
  </w:style>
  <w:style w:type="character" w:customStyle="1" w:styleId="101">
    <w:name w:val="标题 5 Char"/>
    <w:qFormat/>
    <w:uiPriority w:val="99"/>
    <w:rPr>
      <w:rFonts w:ascii="Times New Roman" w:hAnsi="Times New Roman" w:eastAsia="宋体" w:cs="Times New Roman"/>
      <w:b/>
      <w:bCs/>
      <w:sz w:val="28"/>
      <w:szCs w:val="28"/>
    </w:rPr>
  </w:style>
  <w:style w:type="character" w:customStyle="1" w:styleId="102">
    <w:name w:val="Char Char1"/>
    <w:qFormat/>
    <w:uiPriority w:val="0"/>
    <w:rPr>
      <w:rFonts w:ascii="楷体_GB2312" w:eastAsia="楷体_GB2312"/>
      <w:sz w:val="28"/>
    </w:rPr>
  </w:style>
  <w:style w:type="character" w:customStyle="1" w:styleId="103">
    <w:name w:val="标题3 Char"/>
    <w:link w:val="104"/>
    <w:qFormat/>
    <w:uiPriority w:val="0"/>
    <w:rPr>
      <w:rFonts w:ascii="宋体" w:hAnsi="宋体"/>
      <w:color w:val="000000"/>
      <w:sz w:val="21"/>
      <w:szCs w:val="21"/>
    </w:rPr>
  </w:style>
  <w:style w:type="paragraph" w:customStyle="1" w:styleId="104">
    <w:name w:val="标题3"/>
    <w:basedOn w:val="6"/>
    <w:link w:val="103"/>
    <w:qFormat/>
    <w:uiPriority w:val="0"/>
    <w:pPr>
      <w:numPr>
        <w:ilvl w:val="0"/>
        <w:numId w:val="2"/>
      </w:numPr>
      <w:spacing w:line="240" w:lineRule="auto"/>
    </w:pPr>
    <w:rPr>
      <w:rFonts w:ascii="宋体" w:hAnsi="宋体" w:eastAsia="宋体"/>
      <w:color w:val="000000"/>
      <w:sz w:val="21"/>
      <w:szCs w:val="21"/>
    </w:rPr>
  </w:style>
  <w:style w:type="character" w:customStyle="1" w:styleId="105">
    <w:name w:val="Char Char"/>
    <w:qFormat/>
    <w:uiPriority w:val="0"/>
    <w:rPr>
      <w:rFonts w:ascii="宋体"/>
      <w:kern w:val="2"/>
      <w:sz w:val="18"/>
      <w:szCs w:val="18"/>
    </w:rPr>
  </w:style>
  <w:style w:type="character" w:customStyle="1" w:styleId="106">
    <w:name w:val="标题 2 Char Char Char"/>
    <w:qFormat/>
    <w:uiPriority w:val="0"/>
    <w:rPr>
      <w:rFonts w:ascii="Arial" w:hAnsi="Arial" w:eastAsia="黑体" w:cs="Times New Roman"/>
      <w:b/>
      <w:bCs/>
      <w:kern w:val="2"/>
      <w:sz w:val="32"/>
      <w:szCs w:val="32"/>
      <w:lang w:val="en-US" w:eastAsia="zh-CN" w:bidi="ar-SA"/>
    </w:rPr>
  </w:style>
  <w:style w:type="character" w:customStyle="1" w:styleId="107">
    <w:name w:val="标题 7 Char"/>
    <w:qFormat/>
    <w:uiPriority w:val="99"/>
    <w:rPr>
      <w:rFonts w:ascii="Times New Roman" w:hAnsi="Times New Roman" w:eastAsia="宋体" w:cs="Times New Roman"/>
      <w:b/>
      <w:bCs/>
      <w:sz w:val="24"/>
      <w:szCs w:val="24"/>
    </w:rPr>
  </w:style>
  <w:style w:type="paragraph" w:customStyle="1" w:styleId="108">
    <w:name w:val="修订2"/>
    <w:unhideWhenUsed/>
    <w:qFormat/>
    <w:uiPriority w:val="0"/>
    <w:rPr>
      <w:rFonts w:ascii="Times New Roman" w:hAnsi="Times New Roman" w:eastAsia="宋体" w:cs="Times New Roman"/>
      <w:kern w:val="2"/>
      <w:sz w:val="21"/>
      <w:szCs w:val="24"/>
      <w:lang w:val="en-US" w:eastAsia="zh-CN" w:bidi="ar-SA"/>
    </w:rPr>
  </w:style>
  <w:style w:type="paragraph" w:customStyle="1" w:styleId="109">
    <w:name w:val="Normal_0"/>
    <w:qFormat/>
    <w:uiPriority w:val="0"/>
    <w:pPr>
      <w:widowControl w:val="0"/>
      <w:jc w:val="both"/>
    </w:pPr>
    <w:rPr>
      <w:rFonts w:ascii="Calibri" w:hAnsi="Calibri" w:eastAsia="宋体" w:cs="Times New Roman"/>
      <w:lang w:val="en-US" w:eastAsia="zh-CN" w:bidi="ar-SA"/>
    </w:rPr>
  </w:style>
  <w:style w:type="paragraph" w:customStyle="1" w:styleId="110">
    <w:name w:val="正文0"/>
    <w:basedOn w:val="1"/>
    <w:qFormat/>
    <w:uiPriority w:val="0"/>
    <w:pPr>
      <w:adjustRightInd w:val="0"/>
      <w:snapToGrid w:val="0"/>
      <w:spacing w:line="440" w:lineRule="exact"/>
      <w:ind w:left="420" w:leftChars="200" w:firstLine="428" w:firstLineChars="200"/>
    </w:pPr>
    <w:rPr>
      <w:spacing w:val="2"/>
      <w:szCs w:val="21"/>
      <w:u w:val="single"/>
    </w:rPr>
  </w:style>
  <w:style w:type="paragraph" w:customStyle="1" w:styleId="111">
    <w:name w:val="样式 标题 2 + Times New Roman 四号 非加粗 段前: 5 磅 段后: 0 磅 行距: 固定值 20..._0"/>
    <w:basedOn w:val="112"/>
    <w:qFormat/>
    <w:uiPriority w:val="0"/>
    <w:pPr>
      <w:spacing w:before="100" w:after="0" w:line="360" w:lineRule="auto"/>
    </w:pPr>
    <w:rPr>
      <w:rFonts w:ascii="Times New Roman" w:hAnsi="Times New Roman" w:eastAsia="Times New Roman" w:cs="宋体"/>
      <w:b w:val="0"/>
      <w:bCs w:val="0"/>
      <w:sz w:val="28"/>
      <w:szCs w:val="20"/>
    </w:rPr>
  </w:style>
  <w:style w:type="paragraph" w:customStyle="1" w:styleId="112">
    <w:name w:val="标题 2_0"/>
    <w:basedOn w:val="113"/>
    <w:next w:val="113"/>
    <w:unhideWhenUsed/>
    <w:qFormat/>
    <w:uiPriority w:val="0"/>
    <w:pPr>
      <w:keepNext/>
      <w:keepLines/>
      <w:spacing w:before="260" w:after="260" w:line="416" w:lineRule="auto"/>
      <w:outlineLvl w:val="1"/>
    </w:pPr>
    <w:rPr>
      <w:rFonts w:ascii="Cambria" w:hAnsi="Cambria"/>
      <w:b/>
      <w:bCs/>
      <w:sz w:val="32"/>
      <w:szCs w:val="32"/>
    </w:rPr>
  </w:style>
  <w:style w:type="paragraph" w:customStyle="1" w:styleId="113">
    <w:name w:val="正文_0_0"/>
    <w:qFormat/>
    <w:uiPriority w:val="0"/>
    <w:pPr>
      <w:widowControl w:val="0"/>
      <w:jc w:val="both"/>
    </w:pPr>
    <w:rPr>
      <w:rFonts w:ascii="Times New Roman" w:hAnsi="Times New Roman" w:eastAsia="宋体" w:cs="Times New Roman"/>
      <w:szCs w:val="24"/>
      <w:lang w:val="en-US" w:eastAsia="zh-CN" w:bidi="ar-SA"/>
    </w:rPr>
  </w:style>
  <w:style w:type="paragraph" w:customStyle="1" w:styleId="114">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5">
    <w:name w:val="Blockquote_0_0"/>
    <w:basedOn w:val="113"/>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16">
    <w:name w:val="正文_1"/>
    <w:qFormat/>
    <w:uiPriority w:val="0"/>
    <w:pPr>
      <w:widowControl w:val="0"/>
      <w:jc w:val="both"/>
    </w:pPr>
    <w:rPr>
      <w:rFonts w:ascii="Times New Roman" w:hAnsi="Times New Roman" w:eastAsia="宋体" w:cs="Times New Roman"/>
      <w:szCs w:val="24"/>
      <w:lang w:val="en-US" w:eastAsia="zh-CN" w:bidi="ar-SA"/>
    </w:rPr>
  </w:style>
  <w:style w:type="paragraph" w:customStyle="1" w:styleId="117">
    <w:name w:val="Comment Text"/>
    <w:basedOn w:val="109"/>
    <w:unhideWhenUsed/>
    <w:qFormat/>
    <w:uiPriority w:val="0"/>
    <w:pPr>
      <w:jc w:val="left"/>
    </w:pPr>
    <w:rPr>
      <w:rFonts w:eastAsia="Times New Roman"/>
    </w:rPr>
  </w:style>
  <w:style w:type="paragraph" w:customStyle="1" w:styleId="118">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19">
    <w:name w:val="标题 55"/>
    <w:basedOn w:val="7"/>
    <w:qFormat/>
    <w:uiPriority w:val="0"/>
    <w:rPr>
      <w:rFonts w:ascii="方正黑体简体" w:eastAsia="方正黑体简体"/>
      <w:b w:val="0"/>
      <w:bCs w:val="0"/>
    </w:rPr>
  </w:style>
  <w:style w:type="paragraph" w:customStyle="1" w:styleId="120">
    <w:name w:val="ml2"/>
    <w:basedOn w:val="38"/>
    <w:qFormat/>
    <w:uiPriority w:val="0"/>
    <w:pPr>
      <w:tabs>
        <w:tab w:val="clear" w:pos="851"/>
        <w:tab w:val="clear" w:pos="9072"/>
      </w:tabs>
      <w:autoSpaceDE/>
      <w:autoSpaceDN/>
      <w:adjustRightInd/>
      <w:spacing w:line="240" w:lineRule="auto"/>
      <w:ind w:left="420" w:leftChars="200" w:right="0"/>
      <w:jc w:val="left"/>
    </w:pPr>
    <w:rPr>
      <w:rFonts w:ascii="Calibri" w:hAnsi="Calibri" w:eastAsia="宋体" w:cs="Calibri"/>
      <w:b/>
      <w:bCs/>
      <w:kern w:val="2"/>
      <w:sz w:val="24"/>
      <w:szCs w:val="20"/>
    </w:rPr>
  </w:style>
  <w:style w:type="paragraph" w:customStyle="1" w:styleId="121">
    <w:name w:val="样式 标题 3 + (中文) 黑体 小四 非加粗 段前: 7.8 磅 段后: 0 磅 行距: 固定值 20 磅"/>
    <w:basedOn w:val="5"/>
    <w:qFormat/>
    <w:uiPriority w:val="0"/>
    <w:pPr>
      <w:autoSpaceDE/>
      <w:autoSpaceDN/>
      <w:adjustRightInd/>
      <w:spacing w:before="0" w:after="0" w:line="400" w:lineRule="exact"/>
      <w:ind w:firstLine="480" w:firstLineChars="200"/>
    </w:pPr>
    <w:rPr>
      <w:rFonts w:ascii="Times New Roman" w:hAnsi="Arial" w:cs="宋体"/>
      <w:kern w:val="2"/>
      <w:sz w:val="24"/>
      <w:szCs w:val="24"/>
    </w:rPr>
  </w:style>
  <w:style w:type="paragraph" w:customStyle="1" w:styleId="122">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23">
    <w:name w:val="Blockquote_0"/>
    <w:basedOn w:val="116"/>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24">
    <w:name w:val="修订1"/>
    <w:unhideWhenUsed/>
    <w:qFormat/>
    <w:uiPriority w:val="0"/>
    <w:rPr>
      <w:rFonts w:ascii="Times New Roman" w:hAnsi="Times New Roman" w:eastAsia="宋体" w:cs="Times New Roman"/>
      <w:kern w:val="2"/>
      <w:sz w:val="21"/>
      <w:szCs w:val="24"/>
      <w:lang w:val="en-US" w:eastAsia="zh-CN" w:bidi="ar-SA"/>
    </w:rPr>
  </w:style>
  <w:style w:type="paragraph" w:customStyle="1" w:styleId="125">
    <w:name w:val="正文_0"/>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26">
    <w:name w:val="正文_1_0"/>
    <w:qFormat/>
    <w:uiPriority w:val="0"/>
    <w:pPr>
      <w:widowControl w:val="0"/>
      <w:jc w:val="both"/>
    </w:pPr>
    <w:rPr>
      <w:rFonts w:ascii="Times New Roman" w:hAnsi="Times New Roman" w:eastAsia="宋体" w:cs="Times New Roman"/>
      <w:szCs w:val="24"/>
      <w:lang w:val="en-US" w:eastAsia="zh-CN" w:bidi="ar-SA"/>
    </w:rPr>
  </w:style>
  <w:style w:type="paragraph" w:customStyle="1" w:styleId="127">
    <w:name w:val="列出段落2"/>
    <w:basedOn w:val="1"/>
    <w:qFormat/>
    <w:uiPriority w:val="34"/>
    <w:pPr>
      <w:ind w:firstLine="420" w:firstLineChars="200"/>
    </w:pPr>
    <w:rPr>
      <w:szCs w:val="20"/>
    </w:rPr>
  </w:style>
  <w:style w:type="paragraph" w:customStyle="1" w:styleId="128">
    <w:name w:val="Blockquote_1"/>
    <w:basedOn w:val="126"/>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29">
    <w:name w:val="bt1bt1"/>
    <w:basedOn w:val="3"/>
    <w:qFormat/>
    <w:uiPriority w:val="0"/>
    <w:pPr>
      <w:spacing w:line="240" w:lineRule="auto"/>
    </w:pPr>
    <w:rPr>
      <w:rFonts w:ascii="黑体"/>
      <w:sz w:val="36"/>
      <w:szCs w:val="36"/>
    </w:rPr>
  </w:style>
  <w:style w:type="paragraph" w:customStyle="1" w:styleId="130">
    <w:name w:val="TOC 标题111"/>
    <w:basedOn w:val="3"/>
    <w:next w:val="1"/>
    <w:qFormat/>
    <w:uiPriority w:val="0"/>
    <w:pPr>
      <w:widowControl/>
      <w:numPr>
        <w:numId w:val="0"/>
      </w:numPr>
      <w:spacing w:before="480" w:after="0" w:line="276" w:lineRule="auto"/>
      <w:jc w:val="left"/>
      <w:outlineLvl w:val="9"/>
    </w:pPr>
    <w:rPr>
      <w:rFonts w:ascii="Cambria" w:hAnsi="Cambria" w:eastAsia="宋体"/>
      <w:b/>
      <w:bCs w:val="0"/>
      <w:color w:val="365F91"/>
      <w:kern w:val="0"/>
      <w:sz w:val="28"/>
      <w:szCs w:val="28"/>
    </w:rPr>
  </w:style>
  <w:style w:type="paragraph" w:customStyle="1" w:styleId="131">
    <w:name w:val="正文11"/>
    <w:qFormat/>
    <w:uiPriority w:val="99"/>
    <w:pPr>
      <w:widowControl w:val="0"/>
      <w:jc w:val="both"/>
    </w:pPr>
    <w:rPr>
      <w:rFonts w:hint="eastAsia" w:ascii="Arial Unicode MS" w:hAnsi="Arial Unicode MS" w:eastAsia="Times New Roman" w:cs="Arial Unicode MS"/>
      <w:color w:val="000000"/>
      <w:kern w:val="2"/>
      <w:sz w:val="21"/>
      <w:szCs w:val="21"/>
      <w:lang w:val="en-US" w:eastAsia="zh-CN" w:bidi="ar-SA"/>
    </w:rPr>
  </w:style>
  <w:style w:type="paragraph" w:customStyle="1" w:styleId="132">
    <w:name w:val="标题 60"/>
    <w:basedOn w:val="8"/>
    <w:qFormat/>
    <w:uiPriority w:val="0"/>
    <w:pPr>
      <w:spacing w:line="319" w:lineRule="auto"/>
      <w:ind w:firstLine="200" w:firstLineChars="200"/>
    </w:pPr>
    <w:rPr>
      <w:b w:val="0"/>
      <w:bCs w:val="0"/>
    </w:rPr>
  </w:style>
  <w:style w:type="paragraph" w:customStyle="1" w:styleId="133">
    <w:name w:val="列出段落11"/>
    <w:basedOn w:val="1"/>
    <w:qFormat/>
    <w:uiPriority w:val="99"/>
    <w:pPr>
      <w:ind w:firstLine="420" w:firstLineChars="200"/>
    </w:pPr>
    <w:rPr>
      <w:szCs w:val="20"/>
    </w:rPr>
  </w:style>
  <w:style w:type="paragraph" w:customStyle="1" w:styleId="134">
    <w:name w:val="TOC 标题2"/>
    <w:basedOn w:val="3"/>
    <w:next w:val="1"/>
    <w:unhideWhenUsed/>
    <w:qFormat/>
    <w:uiPriority w:val="0"/>
    <w:pPr>
      <w:widowControl/>
      <w:numPr>
        <w:numId w:val="0"/>
      </w:numPr>
      <w:spacing w:before="480" w:after="0" w:line="276" w:lineRule="auto"/>
      <w:jc w:val="left"/>
      <w:outlineLvl w:val="9"/>
    </w:pPr>
    <w:rPr>
      <w:rFonts w:ascii="Cambria" w:hAnsi="Cambria" w:eastAsia="方正黑体简体" w:cs="黑体"/>
      <w:b/>
      <w:bCs w:val="0"/>
      <w:color w:val="365F90"/>
      <w:kern w:val="0"/>
      <w:sz w:val="28"/>
      <w:szCs w:val="28"/>
    </w:rPr>
  </w:style>
  <w:style w:type="paragraph" w:customStyle="1" w:styleId="135">
    <w:name w:val="ml"/>
    <w:basedOn w:val="38"/>
    <w:qFormat/>
    <w:uiPriority w:val="0"/>
    <w:pPr>
      <w:tabs>
        <w:tab w:val="clear" w:pos="851"/>
        <w:tab w:val="clear" w:pos="9072"/>
      </w:tabs>
      <w:autoSpaceDE/>
      <w:autoSpaceDN/>
      <w:adjustRightInd/>
      <w:spacing w:line="240" w:lineRule="auto"/>
      <w:ind w:right="0"/>
      <w:jc w:val="left"/>
    </w:pPr>
    <w:rPr>
      <w:rFonts w:ascii="Calibri" w:hAnsi="Calibri" w:eastAsia="宋体" w:cs="Calibri"/>
      <w:b/>
      <w:sz w:val="24"/>
      <w:szCs w:val="20"/>
    </w:rPr>
  </w:style>
  <w:style w:type="paragraph" w:customStyle="1" w:styleId="136">
    <w:name w:val="_Style 36"/>
    <w:basedOn w:val="1"/>
    <w:qFormat/>
    <w:uiPriority w:val="0"/>
    <w:pPr>
      <w:ind w:firstLine="420" w:firstLineChars="200"/>
    </w:pPr>
    <w:rPr>
      <w:szCs w:val="20"/>
    </w:rPr>
  </w:style>
  <w:style w:type="paragraph" w:customStyle="1" w:styleId="137">
    <w:name w:val="正文00"/>
    <w:basedOn w:val="1"/>
    <w:qFormat/>
    <w:uiPriority w:val="0"/>
    <w:pPr>
      <w:topLinePunct/>
      <w:spacing w:line="360" w:lineRule="auto"/>
      <w:ind w:firstLine="200" w:firstLineChars="200"/>
    </w:pPr>
    <w:rPr>
      <w:sz w:val="24"/>
      <w:szCs w:val="21"/>
    </w:rPr>
  </w:style>
  <w:style w:type="paragraph" w:customStyle="1" w:styleId="138">
    <w:name w:val="TOC 标题11"/>
    <w:basedOn w:val="3"/>
    <w:next w:val="1"/>
    <w:qFormat/>
    <w:uiPriority w:val="0"/>
    <w:pPr>
      <w:widowControl/>
      <w:numPr>
        <w:numId w:val="0"/>
      </w:numPr>
      <w:spacing w:before="480" w:after="0" w:line="276" w:lineRule="auto"/>
      <w:jc w:val="left"/>
      <w:outlineLvl w:val="9"/>
    </w:pPr>
    <w:rPr>
      <w:rFonts w:ascii="Cambria" w:hAnsi="Cambria" w:eastAsia="方正黑体简体"/>
      <w:b/>
      <w:bCs w:val="0"/>
      <w:color w:val="365F91"/>
      <w:kern w:val="0"/>
      <w:sz w:val="28"/>
      <w:szCs w:val="28"/>
    </w:rPr>
  </w:style>
  <w:style w:type="paragraph" w:customStyle="1" w:styleId="139">
    <w:name w:val="列出段落1"/>
    <w:basedOn w:val="1"/>
    <w:qFormat/>
    <w:uiPriority w:val="0"/>
    <w:pPr>
      <w:ind w:firstLine="420" w:firstLineChars="200"/>
    </w:pPr>
  </w:style>
  <w:style w:type="paragraph" w:customStyle="1" w:styleId="140">
    <w:name w:val="ml3"/>
    <w:basedOn w:val="38"/>
    <w:qFormat/>
    <w:uiPriority w:val="0"/>
    <w:pPr>
      <w:tabs>
        <w:tab w:val="clear" w:pos="851"/>
        <w:tab w:val="clear" w:pos="9072"/>
      </w:tabs>
      <w:autoSpaceDE/>
      <w:autoSpaceDN/>
      <w:adjustRightInd/>
      <w:spacing w:line="240" w:lineRule="auto"/>
      <w:ind w:left="840" w:leftChars="400" w:right="0"/>
      <w:jc w:val="left"/>
    </w:pPr>
    <w:rPr>
      <w:rFonts w:ascii="Calibri" w:hAnsi="Calibri" w:eastAsia="宋体" w:cs="Calibri"/>
      <w:b/>
      <w:bCs/>
      <w:kern w:val="2"/>
      <w:sz w:val="24"/>
      <w:szCs w:val="20"/>
    </w:rPr>
  </w:style>
  <w:style w:type="paragraph" w:customStyle="1" w:styleId="141">
    <w:name w:val="正文_0_1"/>
    <w:qFormat/>
    <w:uiPriority w:val="0"/>
    <w:pPr>
      <w:widowControl w:val="0"/>
      <w:jc w:val="both"/>
    </w:pPr>
    <w:rPr>
      <w:rFonts w:ascii="Calibri" w:hAnsi="Calibri" w:eastAsia="宋体" w:cs="Times New Roman"/>
      <w:lang w:val="en-US" w:eastAsia="zh-CN" w:bidi="ar-SA"/>
    </w:rPr>
  </w:style>
  <w:style w:type="paragraph" w:customStyle="1" w:styleId="142">
    <w:name w:val="节"/>
    <w:basedOn w:val="4"/>
    <w:qFormat/>
    <w:uiPriority w:val="0"/>
    <w:pPr>
      <w:spacing w:line="240" w:lineRule="auto"/>
    </w:pPr>
    <w:rPr>
      <w:rFonts w:ascii="黑体"/>
      <w:szCs w:val="28"/>
    </w:rPr>
  </w:style>
  <w:style w:type="paragraph" w:customStyle="1" w:styleId="143">
    <w:name w:val="新定义正文"/>
    <w:basedOn w:val="1"/>
    <w:qFormat/>
    <w:uiPriority w:val="0"/>
    <w:pPr>
      <w:widowControl/>
    </w:pPr>
    <w:rPr>
      <w:color w:val="000000"/>
      <w:szCs w:val="21"/>
    </w:rPr>
  </w:style>
  <w:style w:type="paragraph" w:customStyle="1" w:styleId="144">
    <w:name w:val="纯文本1"/>
    <w:basedOn w:val="1"/>
    <w:qFormat/>
    <w:uiPriority w:val="0"/>
    <w:rPr>
      <w:rFonts w:ascii="宋体" w:hAnsi="Courier New"/>
      <w:szCs w:val="20"/>
    </w:rPr>
  </w:style>
  <w:style w:type="paragraph" w:customStyle="1" w:styleId="145">
    <w:name w:val="Char Char Char Char Char Char Char Char Char Char Char Char Char"/>
    <w:basedOn w:val="17"/>
    <w:qFormat/>
    <w:uiPriority w:val="0"/>
    <w:pPr>
      <w:shd w:val="clear" w:color="auto" w:fill="000080"/>
    </w:pPr>
    <w:rPr>
      <w:rFonts w:ascii="Tahoma" w:hAnsi="Tahoma"/>
      <w:sz w:val="24"/>
      <w:szCs w:val="24"/>
    </w:rPr>
  </w:style>
  <w:style w:type="paragraph" w:customStyle="1" w:styleId="146">
    <w:name w:val="标题 10"/>
    <w:basedOn w:val="4"/>
    <w:qFormat/>
    <w:uiPriority w:val="0"/>
    <w:pPr>
      <w:numPr>
        <w:ilvl w:val="0"/>
        <w:numId w:val="0"/>
      </w:numPr>
      <w:spacing w:before="280" w:after="290" w:line="377" w:lineRule="auto"/>
      <w:jc w:val="center"/>
    </w:pPr>
    <w:rPr>
      <w:rFonts w:ascii="方正黑体简体" w:hAnsi="Times New Roman" w:eastAsia="方正黑体简体"/>
      <w:b/>
      <w:bCs w:val="0"/>
      <w:kern w:val="0"/>
      <w:szCs w:val="28"/>
    </w:rPr>
  </w:style>
  <w:style w:type="character" w:customStyle="1" w:styleId="147">
    <w:name w:val="Heading 9 Char"/>
    <w:semiHidden/>
    <w:qFormat/>
    <w:locked/>
    <w:uiPriority w:val="99"/>
    <w:rPr>
      <w:rFonts w:ascii="Cambria" w:hAnsi="Cambria" w:eastAsia="宋体" w:cs="Times New Roman"/>
      <w:kern w:val="2"/>
    </w:rPr>
  </w:style>
  <w:style w:type="character" w:customStyle="1" w:styleId="148">
    <w:name w:val="Style Heading A + (Latin) Times New Roman (Asian) 楷体_GB2312 Char"/>
    <w:qFormat/>
    <w:uiPriority w:val="99"/>
    <w:rPr>
      <w:rFonts w:ascii="Arial" w:hAnsi="Arial" w:eastAsia="楷体_GB2312" w:cs="Arial"/>
      <w:b/>
      <w:kern w:val="28"/>
      <w:sz w:val="36"/>
      <w:lang w:val="en-US" w:eastAsia="zh-CN" w:bidi="ar-SA"/>
    </w:rPr>
  </w:style>
  <w:style w:type="character" w:customStyle="1" w:styleId="149">
    <w:name w:val="项目 1 Char Char Char"/>
    <w:qFormat/>
    <w:uiPriority w:val="99"/>
    <w:rPr>
      <w:rFonts w:ascii="Tahoma" w:hAnsi="Tahoma" w:eastAsia="宋体" w:cs="Times New Roman"/>
      <w:kern w:val="2"/>
      <w:sz w:val="24"/>
      <w:szCs w:val="24"/>
      <w:lang w:val="en-US" w:eastAsia="zh-CN" w:bidi="ar-SA"/>
    </w:rPr>
  </w:style>
  <w:style w:type="character" w:customStyle="1" w:styleId="150">
    <w:name w:val="p131"/>
    <w:qFormat/>
    <w:uiPriority w:val="99"/>
    <w:rPr>
      <w:rFonts w:cs="Times New Roman"/>
      <w:sz w:val="22"/>
      <w:szCs w:val="22"/>
      <w:u w:val="none"/>
    </w:rPr>
  </w:style>
  <w:style w:type="character" w:customStyle="1" w:styleId="151">
    <w:name w:val="样式 标题 3h3H3l3CTheading 3Level 3 Headlevel_3PIM 3sect1.2... Char"/>
    <w:link w:val="152"/>
    <w:qFormat/>
    <w:uiPriority w:val="0"/>
    <w:rPr>
      <w:rFonts w:ascii="Arial" w:hAnsi="Arial" w:eastAsia="黑体"/>
      <w:bCs/>
      <w:kern w:val="2"/>
      <w:sz w:val="24"/>
      <w:szCs w:val="32"/>
    </w:rPr>
  </w:style>
  <w:style w:type="paragraph" w:customStyle="1" w:styleId="152">
    <w:name w:val="样式 标题 3h3H3l3CTheading 3Level 3 Headlevel_3PIM 3sect1.2..."/>
    <w:basedOn w:val="5"/>
    <w:link w:val="151"/>
    <w:qFormat/>
    <w:uiPriority w:val="0"/>
    <w:pPr>
      <w:autoSpaceDE/>
      <w:autoSpaceDN/>
      <w:adjustRightInd/>
      <w:spacing w:beforeLines="50" w:afterLines="50" w:line="360" w:lineRule="auto"/>
    </w:pPr>
    <w:rPr>
      <w:rFonts w:ascii="Arial" w:hAnsi="Arial"/>
      <w:bCs/>
      <w:kern w:val="2"/>
      <w:sz w:val="24"/>
      <w:szCs w:val="32"/>
    </w:rPr>
  </w:style>
  <w:style w:type="character" w:customStyle="1" w:styleId="153">
    <w:name w:val="Heading 3 Char"/>
    <w:semiHidden/>
    <w:qFormat/>
    <w:uiPriority w:val="9"/>
    <w:rPr>
      <w:rFonts w:ascii="Cambria" w:hAnsi="Cambria" w:eastAsia="宋体" w:cs="Times New Roman"/>
      <w:b/>
      <w:bCs/>
      <w:kern w:val="2"/>
      <w:sz w:val="26"/>
      <w:szCs w:val="26"/>
    </w:rPr>
  </w:style>
  <w:style w:type="character" w:customStyle="1" w:styleId="154">
    <w:name w:val="无间距字符"/>
    <w:link w:val="155"/>
    <w:qFormat/>
    <w:uiPriority w:val="1"/>
    <w:rPr>
      <w:sz w:val="22"/>
      <w:szCs w:val="22"/>
    </w:rPr>
  </w:style>
  <w:style w:type="paragraph" w:customStyle="1" w:styleId="155">
    <w:name w:val="无间距"/>
    <w:link w:val="154"/>
    <w:qFormat/>
    <w:uiPriority w:val="1"/>
    <w:rPr>
      <w:rFonts w:ascii="Times New Roman" w:hAnsi="Times New Roman" w:eastAsia="宋体" w:cs="Times New Roman"/>
      <w:sz w:val="22"/>
      <w:szCs w:val="22"/>
      <w:lang w:val="en-US" w:eastAsia="zh-CN" w:bidi="ar-SA"/>
    </w:rPr>
  </w:style>
  <w:style w:type="character" w:customStyle="1" w:styleId="156">
    <w:name w:val="5级标题nbm Char"/>
    <w:link w:val="157"/>
    <w:qFormat/>
    <w:uiPriority w:val="0"/>
    <w:rPr>
      <w:rFonts w:ascii="宋体" w:hAnsi="宋体"/>
      <w:kern w:val="2"/>
      <w:sz w:val="21"/>
      <w:szCs w:val="21"/>
    </w:rPr>
  </w:style>
  <w:style w:type="paragraph" w:customStyle="1" w:styleId="157">
    <w:name w:val="5级标题nbm"/>
    <w:basedOn w:val="4"/>
    <w:link w:val="156"/>
    <w:qFormat/>
    <w:uiPriority w:val="0"/>
    <w:pPr>
      <w:numPr>
        <w:ilvl w:val="0"/>
        <w:numId w:val="0"/>
      </w:numPr>
      <w:tabs>
        <w:tab w:val="left" w:pos="1008"/>
      </w:tabs>
      <w:spacing w:before="0" w:after="0" w:line="360" w:lineRule="auto"/>
      <w:ind w:left="1008" w:hanging="1008"/>
      <w:outlineLvl w:val="4"/>
    </w:pPr>
    <w:rPr>
      <w:rFonts w:ascii="宋体" w:hAnsi="宋体" w:eastAsia="宋体"/>
      <w:bCs w:val="0"/>
      <w:sz w:val="21"/>
      <w:szCs w:val="21"/>
    </w:rPr>
  </w:style>
  <w:style w:type="character" w:customStyle="1" w:styleId="158">
    <w:name w:val="Heading 6 Char"/>
    <w:semiHidden/>
    <w:qFormat/>
    <w:locked/>
    <w:uiPriority w:val="99"/>
    <w:rPr>
      <w:rFonts w:ascii="Calibri" w:hAnsi="Calibri" w:eastAsia="宋体" w:cs="Times New Roman"/>
      <w:b/>
      <w:bCs/>
      <w:kern w:val="2"/>
    </w:rPr>
  </w:style>
  <w:style w:type="character" w:customStyle="1" w:styleId="159">
    <w:name w:val="Heading 3 Char2"/>
    <w:qFormat/>
    <w:locked/>
    <w:uiPriority w:val="99"/>
    <w:rPr>
      <w:rFonts w:eastAsia="宋体" w:cs="Times New Roman"/>
      <w:b/>
      <w:bCs/>
      <w:kern w:val="2"/>
      <w:sz w:val="32"/>
      <w:szCs w:val="32"/>
      <w:lang w:val="en-US" w:eastAsia="zh-CN" w:bidi="ar-SA"/>
    </w:rPr>
  </w:style>
  <w:style w:type="character" w:customStyle="1" w:styleId="160">
    <w:name w:val="2级标题nbm Char"/>
    <w:link w:val="161"/>
    <w:qFormat/>
    <w:uiPriority w:val="0"/>
    <w:rPr>
      <w:rFonts w:ascii="宋体" w:hAnsi="宋体"/>
      <w:bCs/>
      <w:kern w:val="2"/>
      <w:sz w:val="21"/>
      <w:szCs w:val="21"/>
    </w:rPr>
  </w:style>
  <w:style w:type="paragraph" w:customStyle="1" w:styleId="161">
    <w:name w:val="2级标题nbm"/>
    <w:basedOn w:val="4"/>
    <w:link w:val="160"/>
    <w:qFormat/>
    <w:uiPriority w:val="0"/>
    <w:pPr>
      <w:numPr>
        <w:ilvl w:val="0"/>
        <w:numId w:val="0"/>
      </w:numPr>
      <w:tabs>
        <w:tab w:val="left" w:pos="756"/>
      </w:tabs>
      <w:spacing w:before="0" w:after="0" w:line="360" w:lineRule="auto"/>
      <w:ind w:left="756" w:hanging="576"/>
    </w:pPr>
    <w:rPr>
      <w:rFonts w:ascii="宋体" w:hAnsi="宋体" w:eastAsia="宋体"/>
      <w:sz w:val="21"/>
      <w:szCs w:val="21"/>
    </w:rPr>
  </w:style>
  <w:style w:type="character" w:customStyle="1" w:styleId="162">
    <w:name w:val="3级标题nbm Char"/>
    <w:link w:val="163"/>
    <w:qFormat/>
    <w:uiPriority w:val="0"/>
    <w:rPr>
      <w:rFonts w:ascii="宋体" w:hAnsi="宋体"/>
      <w:bCs/>
      <w:kern w:val="2"/>
      <w:sz w:val="21"/>
      <w:szCs w:val="21"/>
    </w:rPr>
  </w:style>
  <w:style w:type="paragraph" w:customStyle="1" w:styleId="163">
    <w:name w:val="3级标题nbm"/>
    <w:basedOn w:val="161"/>
    <w:link w:val="162"/>
    <w:qFormat/>
    <w:uiPriority w:val="0"/>
    <w:pPr>
      <w:tabs>
        <w:tab w:val="left" w:pos="720"/>
        <w:tab w:val="clear" w:pos="756"/>
      </w:tabs>
      <w:ind w:left="720" w:hanging="720"/>
      <w:outlineLvl w:val="2"/>
    </w:pPr>
  </w:style>
  <w:style w:type="character" w:customStyle="1" w:styleId="164">
    <w:name w:val="font1"/>
    <w:qFormat/>
    <w:uiPriority w:val="99"/>
    <w:rPr>
      <w:rFonts w:cs="Times New Roman"/>
      <w:color w:val="000000"/>
      <w:sz w:val="18"/>
      <w:szCs w:val="18"/>
    </w:rPr>
  </w:style>
  <w:style w:type="character" w:customStyle="1" w:styleId="165">
    <w:name w:val="t181"/>
    <w:qFormat/>
    <w:uiPriority w:val="99"/>
    <w:rPr>
      <w:rFonts w:cs="Times New Roman"/>
      <w:color w:val="000000"/>
      <w:sz w:val="21"/>
      <w:szCs w:val="21"/>
    </w:rPr>
  </w:style>
  <w:style w:type="character" w:customStyle="1" w:styleId="166">
    <w:name w:val="标题 4 Char1"/>
    <w:qFormat/>
    <w:uiPriority w:val="99"/>
    <w:rPr>
      <w:rFonts w:eastAsia="宋体" w:cs="Times New Roman"/>
      <w:b/>
      <w:bCs/>
      <w:kern w:val="2"/>
      <w:sz w:val="28"/>
      <w:szCs w:val="28"/>
      <w:lang w:val="en-US" w:eastAsia="zh-CN" w:bidi="ar-SA"/>
    </w:rPr>
  </w:style>
  <w:style w:type="character" w:customStyle="1" w:styleId="167">
    <w:name w:val="标题 2 Char1"/>
    <w:qFormat/>
    <w:uiPriority w:val="99"/>
    <w:rPr>
      <w:rFonts w:ascii="Arial" w:hAnsi="Arial" w:eastAsia="黑体" w:cs="Times New Roman"/>
      <w:b/>
      <w:bCs/>
      <w:kern w:val="2"/>
      <w:sz w:val="32"/>
      <w:szCs w:val="32"/>
      <w:lang w:val="en-US" w:eastAsia="zh-CN" w:bidi="ar-SA"/>
    </w:rPr>
  </w:style>
  <w:style w:type="character" w:customStyle="1" w:styleId="168">
    <w:name w:val="Heading 2 Char"/>
    <w:semiHidden/>
    <w:qFormat/>
    <w:locked/>
    <w:uiPriority w:val="99"/>
    <w:rPr>
      <w:rFonts w:ascii="Cambria" w:hAnsi="Cambria" w:eastAsia="宋体" w:cs="Times New Roman"/>
      <w:b/>
      <w:bCs/>
      <w:i/>
      <w:iCs/>
      <w:kern w:val="2"/>
      <w:sz w:val="28"/>
      <w:szCs w:val="28"/>
    </w:rPr>
  </w:style>
  <w:style w:type="character" w:customStyle="1" w:styleId="169">
    <w:name w:val="4级标题nbm Char"/>
    <w:link w:val="170"/>
    <w:qFormat/>
    <w:uiPriority w:val="0"/>
    <w:rPr>
      <w:rFonts w:ascii="宋体" w:hAnsi="宋体"/>
      <w:kern w:val="2"/>
      <w:sz w:val="21"/>
      <w:szCs w:val="21"/>
    </w:rPr>
  </w:style>
  <w:style w:type="paragraph" w:customStyle="1" w:styleId="170">
    <w:name w:val="4级标题nbm"/>
    <w:basedOn w:val="4"/>
    <w:link w:val="169"/>
    <w:qFormat/>
    <w:uiPriority w:val="0"/>
    <w:pPr>
      <w:numPr>
        <w:ilvl w:val="0"/>
        <w:numId w:val="0"/>
      </w:numPr>
      <w:tabs>
        <w:tab w:val="left" w:pos="864"/>
      </w:tabs>
      <w:spacing w:before="0" w:after="0" w:line="360" w:lineRule="auto"/>
      <w:ind w:left="864" w:hanging="864"/>
      <w:outlineLvl w:val="3"/>
    </w:pPr>
    <w:rPr>
      <w:rFonts w:ascii="宋体" w:hAnsi="宋体" w:eastAsia="宋体"/>
      <w:bCs w:val="0"/>
      <w:sz w:val="21"/>
      <w:szCs w:val="21"/>
    </w:rPr>
  </w:style>
  <w:style w:type="character" w:customStyle="1" w:styleId="171">
    <w:name w:val="Heading 8 Char"/>
    <w:semiHidden/>
    <w:qFormat/>
    <w:locked/>
    <w:uiPriority w:val="99"/>
    <w:rPr>
      <w:rFonts w:ascii="Calibri" w:hAnsi="Calibri" w:eastAsia="宋体" w:cs="Times New Roman"/>
      <w:i/>
      <w:iCs/>
      <w:kern w:val="2"/>
      <w:sz w:val="24"/>
      <w:szCs w:val="24"/>
    </w:rPr>
  </w:style>
  <w:style w:type="character" w:customStyle="1" w:styleId="172">
    <w:name w:val="表正文 Char1"/>
    <w:qFormat/>
    <w:uiPriority w:val="99"/>
    <w:rPr>
      <w:rFonts w:eastAsia="宋体" w:cs="Times New Roman"/>
      <w:kern w:val="2"/>
      <w:sz w:val="24"/>
      <w:szCs w:val="24"/>
      <w:lang w:val="en-US" w:eastAsia="zh-CN" w:bidi="ar-SA"/>
    </w:rPr>
  </w:style>
  <w:style w:type="character" w:customStyle="1" w:styleId="173">
    <w:name w:val="样式3 Char"/>
    <w:qFormat/>
    <w:uiPriority w:val="99"/>
    <w:rPr>
      <w:rFonts w:eastAsia="宋体" w:cs="Times New Roman"/>
      <w:kern w:val="2"/>
      <w:sz w:val="24"/>
      <w:szCs w:val="24"/>
      <w:lang w:val="en-US" w:eastAsia="zh-CN" w:bidi="ar-SA"/>
    </w:rPr>
  </w:style>
  <w:style w:type="character" w:customStyle="1" w:styleId="174">
    <w:name w:val="Heading 3 Char3"/>
    <w:semiHidden/>
    <w:qFormat/>
    <w:locked/>
    <w:uiPriority w:val="99"/>
    <w:rPr>
      <w:rFonts w:ascii="Cambria" w:hAnsi="Cambria" w:eastAsia="宋体" w:cs="Times New Roman"/>
      <w:b/>
      <w:bCs/>
      <w:kern w:val="2"/>
      <w:sz w:val="26"/>
      <w:szCs w:val="26"/>
    </w:rPr>
  </w:style>
  <w:style w:type="character" w:customStyle="1" w:styleId="175">
    <w:name w:val="Style Heading A + (Latin) 楷体_GB2312 (Asian) 楷体_GB2312 Char"/>
    <w:qFormat/>
    <w:uiPriority w:val="99"/>
    <w:rPr>
      <w:rFonts w:ascii="楷体_GB2312" w:hAnsi="楷体_GB2312" w:eastAsia="楷体_GB2312" w:cs="Arial"/>
      <w:b/>
      <w:kern w:val="28"/>
      <w:sz w:val="36"/>
      <w:lang w:val="en-US" w:eastAsia="zh-CN" w:bidi="ar-SA"/>
    </w:rPr>
  </w:style>
  <w:style w:type="character" w:customStyle="1" w:styleId="176">
    <w:name w:val="编号列表 Char"/>
    <w:qFormat/>
    <w:uiPriority w:val="99"/>
    <w:rPr>
      <w:rFonts w:ascii="Verdana" w:hAnsi="Verdana" w:eastAsia="宋体" w:cs="Times New Roman"/>
      <w:kern w:val="2"/>
      <w:sz w:val="24"/>
      <w:szCs w:val="24"/>
      <w:lang w:val="en-US" w:eastAsia="zh-CN" w:bidi="ar-SA"/>
    </w:rPr>
  </w:style>
  <w:style w:type="character" w:customStyle="1" w:styleId="177">
    <w:name w:val="二级条标题 Char"/>
    <w:link w:val="178"/>
    <w:qFormat/>
    <w:locked/>
    <w:uiPriority w:val="99"/>
    <w:rPr>
      <w:rFonts w:ascii="宋体"/>
    </w:rPr>
  </w:style>
  <w:style w:type="paragraph" w:customStyle="1" w:styleId="178">
    <w:name w:val="二级条标题"/>
    <w:basedOn w:val="1"/>
    <w:next w:val="1"/>
    <w:link w:val="177"/>
    <w:qFormat/>
    <w:uiPriority w:val="99"/>
    <w:pPr>
      <w:widowControl/>
      <w:spacing w:beforeLines="50" w:afterLines="50"/>
      <w:outlineLvl w:val="3"/>
    </w:pPr>
    <w:rPr>
      <w:rFonts w:ascii="宋体"/>
      <w:kern w:val="0"/>
      <w:sz w:val="20"/>
      <w:szCs w:val="20"/>
    </w:rPr>
  </w:style>
  <w:style w:type="character" w:customStyle="1" w:styleId="179">
    <w:name w:val="Heading 4 Char"/>
    <w:semiHidden/>
    <w:qFormat/>
    <w:locked/>
    <w:uiPriority w:val="99"/>
    <w:rPr>
      <w:rFonts w:ascii="Calibri" w:hAnsi="Calibri" w:eastAsia="宋体" w:cs="Times New Roman"/>
      <w:b/>
      <w:bCs/>
      <w:kern w:val="2"/>
      <w:sz w:val="28"/>
      <w:szCs w:val="28"/>
    </w:rPr>
  </w:style>
  <w:style w:type="character" w:customStyle="1" w:styleId="180">
    <w:name w:val="Heading 5 Char"/>
    <w:semiHidden/>
    <w:qFormat/>
    <w:locked/>
    <w:uiPriority w:val="99"/>
    <w:rPr>
      <w:rFonts w:ascii="Calibri" w:hAnsi="Calibri" w:eastAsia="宋体" w:cs="Times New Roman"/>
      <w:b/>
      <w:bCs/>
      <w:i/>
      <w:iCs/>
      <w:kern w:val="2"/>
      <w:sz w:val="26"/>
      <w:szCs w:val="26"/>
    </w:rPr>
  </w:style>
  <w:style w:type="character" w:customStyle="1" w:styleId="181">
    <w:name w:val="title_emph1"/>
    <w:qFormat/>
    <w:uiPriority w:val="99"/>
    <w:rPr>
      <w:rFonts w:ascii="Arial" w:hAnsi="Arial" w:cs="Arial"/>
      <w:b/>
      <w:bCs/>
      <w:sz w:val="20"/>
      <w:szCs w:val="20"/>
    </w:rPr>
  </w:style>
  <w:style w:type="paragraph" w:customStyle="1" w:styleId="182">
    <w:name w:val="样式 正文缩进正文（首行缩进两字）表正文正文非缩进特点标题4段1 + 首行缩进:  2 字符"/>
    <w:basedOn w:val="6"/>
    <w:qFormat/>
    <w:uiPriority w:val="99"/>
    <w:pPr>
      <w:autoSpaceDE/>
      <w:autoSpaceDN/>
      <w:snapToGrid w:val="0"/>
      <w:spacing w:line="360" w:lineRule="auto"/>
      <w:ind w:firstLine="480" w:firstLineChars="200"/>
      <w:jc w:val="both"/>
    </w:pPr>
    <w:rPr>
      <w:rFonts w:ascii="Times New Roman" w:eastAsia="宋体"/>
      <w:kern w:val="2"/>
      <w:sz w:val="24"/>
    </w:rPr>
  </w:style>
  <w:style w:type="paragraph" w:customStyle="1" w:styleId="183">
    <w:name w:val="项目 1"/>
    <w:basedOn w:val="1"/>
    <w:qFormat/>
    <w:uiPriority w:val="99"/>
    <w:pPr>
      <w:tabs>
        <w:tab w:val="left" w:pos="1446"/>
      </w:tabs>
      <w:adjustRightInd w:val="0"/>
      <w:snapToGrid w:val="0"/>
      <w:spacing w:afterLines="50"/>
      <w:ind w:left="1446" w:hanging="488"/>
    </w:pPr>
    <w:rPr>
      <w:rFonts w:ascii="Tahoma" w:hAnsi="Tahoma"/>
      <w:sz w:val="24"/>
    </w:rPr>
  </w:style>
  <w:style w:type="character" w:customStyle="1" w:styleId="184">
    <w:name w:val="正文首行缩进 Char1"/>
    <w:qFormat/>
    <w:uiPriority w:val="0"/>
    <w:rPr>
      <w:kern w:val="2"/>
      <w:sz w:val="21"/>
      <w:szCs w:val="24"/>
    </w:rPr>
  </w:style>
  <w:style w:type="paragraph" w:customStyle="1" w:styleId="185">
    <w:name w:val="2"/>
    <w:basedOn w:val="1"/>
    <w:next w:val="22"/>
    <w:qFormat/>
    <w:uiPriority w:val="99"/>
    <w:pPr>
      <w:spacing w:line="440" w:lineRule="exact"/>
      <w:ind w:firstLine="420"/>
    </w:pPr>
    <w:rPr>
      <w:sz w:val="28"/>
      <w:szCs w:val="20"/>
    </w:rPr>
  </w:style>
  <w:style w:type="paragraph" w:customStyle="1" w:styleId="186">
    <w:name w:val="Char1 Char Char Char"/>
    <w:basedOn w:val="1"/>
    <w:qFormat/>
    <w:uiPriority w:val="0"/>
    <w:pPr>
      <w:tabs>
        <w:tab w:val="left" w:pos="420"/>
      </w:tabs>
      <w:ind w:left="420" w:hanging="420"/>
    </w:pPr>
    <w:rPr>
      <w:rFonts w:ascii="Tahoma" w:hAnsi="Tahoma"/>
      <w:sz w:val="24"/>
      <w:szCs w:val="20"/>
    </w:rPr>
  </w:style>
  <w:style w:type="paragraph" w:customStyle="1" w:styleId="187">
    <w:name w:val="font10"/>
    <w:basedOn w:val="1"/>
    <w:qFormat/>
    <w:uiPriority w:val="99"/>
    <w:pPr>
      <w:widowControl/>
      <w:spacing w:before="100" w:beforeAutospacing="1" w:after="100" w:afterAutospacing="1"/>
      <w:jc w:val="left"/>
    </w:pPr>
    <w:rPr>
      <w:kern w:val="0"/>
      <w:sz w:val="20"/>
      <w:szCs w:val="20"/>
    </w:rPr>
  </w:style>
  <w:style w:type="paragraph" w:customStyle="1" w:styleId="188">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b/>
      <w:bCs/>
      <w:kern w:val="0"/>
      <w:sz w:val="20"/>
      <w:szCs w:val="20"/>
    </w:rPr>
  </w:style>
  <w:style w:type="paragraph" w:customStyle="1" w:styleId="189">
    <w:name w:val="xl42"/>
    <w:basedOn w:val="1"/>
    <w:qFormat/>
    <w:uiPriority w:val="99"/>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cs="Arial"/>
      <w:b/>
      <w:bCs/>
      <w:kern w:val="0"/>
      <w:sz w:val="20"/>
      <w:szCs w:val="20"/>
    </w:rPr>
  </w:style>
  <w:style w:type="paragraph" w:customStyle="1" w:styleId="190">
    <w:name w:val="正文文字（缩进2字）"/>
    <w:basedOn w:val="21"/>
    <w:qFormat/>
    <w:uiPriority w:val="99"/>
    <w:pPr>
      <w:spacing w:beforeLines="50" w:afterLines="50"/>
      <w:ind w:firstLine="200" w:firstLineChars="200"/>
    </w:pPr>
    <w:rPr>
      <w:kern w:val="0"/>
      <w:sz w:val="20"/>
    </w:rPr>
  </w:style>
  <w:style w:type="paragraph" w:customStyle="1" w:styleId="191">
    <w:name w:val="Char Char2"/>
    <w:basedOn w:val="1"/>
    <w:qFormat/>
    <w:uiPriority w:val="99"/>
    <w:rPr>
      <w:rFonts w:ascii="Tahoma" w:hAnsi="Tahoma"/>
      <w:sz w:val="24"/>
      <w:szCs w:val="20"/>
    </w:rPr>
  </w:style>
  <w:style w:type="paragraph" w:customStyle="1" w:styleId="192">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Arial Unicode MS"/>
      <w:kern w:val="0"/>
      <w:sz w:val="24"/>
    </w:rPr>
  </w:style>
  <w:style w:type="paragraph" w:customStyle="1" w:styleId="193">
    <w:name w:val="Char Char Char"/>
    <w:basedOn w:val="17"/>
    <w:qFormat/>
    <w:uiPriority w:val="0"/>
    <w:pPr>
      <w:shd w:val="clear" w:color="auto" w:fill="000080"/>
    </w:pPr>
    <w:rPr>
      <w:rFonts w:ascii="Tahoma" w:hAnsi="Tahoma"/>
      <w:kern w:val="0"/>
      <w:sz w:val="24"/>
      <w:szCs w:val="24"/>
    </w:rPr>
  </w:style>
  <w:style w:type="paragraph" w:customStyle="1" w:styleId="194">
    <w:name w:val="默认段落字体 Para Char Char Char Char Char Char Char"/>
    <w:basedOn w:val="1"/>
    <w:qFormat/>
    <w:uiPriority w:val="99"/>
    <w:rPr>
      <w:rFonts w:ascii="Tahoma" w:hAnsi="Tahoma"/>
      <w:sz w:val="24"/>
      <w:szCs w:val="20"/>
    </w:rPr>
  </w:style>
  <w:style w:type="paragraph" w:customStyle="1" w:styleId="195">
    <w:name w:val="文章标题"/>
    <w:basedOn w:val="1"/>
    <w:qFormat/>
    <w:uiPriority w:val="99"/>
    <w:pPr>
      <w:spacing w:beforeLines="200" w:afterLines="200"/>
      <w:jc w:val="center"/>
    </w:pPr>
    <w:rPr>
      <w:b/>
      <w:sz w:val="44"/>
    </w:rPr>
  </w:style>
  <w:style w:type="paragraph" w:customStyle="1" w:styleId="196">
    <w:name w:val="文档正文 Char Char Char Char Char"/>
    <w:basedOn w:val="1"/>
    <w:qFormat/>
    <w:uiPriority w:val="99"/>
    <w:pPr>
      <w:adjustRightInd w:val="0"/>
      <w:spacing w:line="440" w:lineRule="exact"/>
      <w:ind w:left="100" w:leftChars="100" w:right="210" w:rightChars="100" w:firstLine="420"/>
      <w:textAlignment w:val="baseline"/>
    </w:pPr>
    <w:rPr>
      <w:rFonts w:ascii="Arial Narrow" w:hAnsi="Arial Narrow"/>
      <w:kern w:val="0"/>
      <w:sz w:val="24"/>
    </w:rPr>
  </w:style>
  <w:style w:type="paragraph" w:customStyle="1" w:styleId="197">
    <w:name w:val="List Bullet1"/>
    <w:basedOn w:val="1"/>
    <w:qFormat/>
    <w:uiPriority w:val="99"/>
    <w:pPr>
      <w:widowControl/>
      <w:tabs>
        <w:tab w:val="left" w:pos="987"/>
      </w:tabs>
      <w:adjustRightInd w:val="0"/>
      <w:snapToGrid w:val="0"/>
      <w:spacing w:line="360" w:lineRule="auto"/>
      <w:ind w:left="987" w:right="57" w:hanging="420"/>
      <w:jc w:val="left"/>
    </w:pPr>
    <w:rPr>
      <w:kern w:val="0"/>
      <w:sz w:val="24"/>
    </w:rPr>
  </w:style>
  <w:style w:type="paragraph" w:customStyle="1" w:styleId="198">
    <w:name w:val="P6"/>
    <w:qFormat/>
    <w:uiPriority w:val="99"/>
    <w:pPr>
      <w:widowControl w:val="0"/>
      <w:adjustRightInd w:val="0"/>
      <w:spacing w:after="240" w:line="240" w:lineRule="atLeast"/>
      <w:ind w:left="3456"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199">
    <w:name w:val="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200">
    <w:name w:val="Centered"/>
    <w:basedOn w:val="1"/>
    <w:next w:val="21"/>
    <w:qFormat/>
    <w:uiPriority w:val="99"/>
    <w:pPr>
      <w:widowControl/>
      <w:spacing w:after="240" w:line="240" w:lineRule="exact"/>
      <w:jc w:val="center"/>
    </w:pPr>
    <w:rPr>
      <w:kern w:val="0"/>
      <w:sz w:val="24"/>
      <w:lang w:val="en-GB"/>
    </w:rPr>
  </w:style>
  <w:style w:type="paragraph" w:customStyle="1" w:styleId="201">
    <w:name w:val="样式3"/>
    <w:basedOn w:val="4"/>
    <w:qFormat/>
    <w:uiPriority w:val="99"/>
    <w:pPr>
      <w:keepNext w:val="0"/>
      <w:keepLines w:val="0"/>
      <w:numPr>
        <w:ilvl w:val="0"/>
        <w:numId w:val="0"/>
      </w:numPr>
      <w:tabs>
        <w:tab w:val="left" w:pos="576"/>
      </w:tabs>
      <w:spacing w:before="0" w:after="0" w:line="360" w:lineRule="auto"/>
      <w:ind w:left="576" w:hanging="576"/>
    </w:pPr>
    <w:rPr>
      <w:rFonts w:ascii="宋体" w:hAnsi="宋体" w:eastAsia="宋体"/>
      <w:b/>
      <w:kern w:val="0"/>
      <w:szCs w:val="28"/>
    </w:rPr>
  </w:style>
  <w:style w:type="paragraph" w:customStyle="1" w:styleId="202">
    <w:name w:val="xl34"/>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03">
    <w:name w:val="样式4"/>
    <w:qFormat/>
    <w:uiPriority w:val="99"/>
    <w:rPr>
      <w:rFonts w:ascii="宋体" w:hAnsi="宋体" w:eastAsia="宋体" w:cs="Times New Roman"/>
      <w:b/>
      <w:bCs/>
      <w:kern w:val="2"/>
      <w:sz w:val="28"/>
      <w:szCs w:val="28"/>
      <w:lang w:val="en-US" w:eastAsia="zh-CN" w:bidi="ar-SA"/>
    </w:rPr>
  </w:style>
  <w:style w:type="paragraph" w:customStyle="1" w:styleId="204">
    <w:name w:val="文档正文"/>
    <w:basedOn w:val="1"/>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205">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206">
    <w:name w:val="Char Char21"/>
    <w:basedOn w:val="1"/>
    <w:qFormat/>
    <w:uiPriority w:val="99"/>
    <w:rPr>
      <w:rFonts w:ascii="Tahoma" w:hAnsi="Tahoma"/>
      <w:sz w:val="24"/>
      <w:szCs w:val="20"/>
    </w:rPr>
  </w:style>
  <w:style w:type="paragraph" w:customStyle="1" w:styleId="207">
    <w:name w:val="样式 普通(网站) + 仿宋_GB2312 段前: 自动 段后: 自动 行距: 1.5 倍行距1"/>
    <w:basedOn w:val="1"/>
    <w:qFormat/>
    <w:uiPriority w:val="99"/>
    <w:pPr>
      <w:widowControl/>
      <w:tabs>
        <w:tab w:val="left" w:pos="1134"/>
      </w:tabs>
      <w:spacing w:after="120"/>
      <w:ind w:left="1134" w:hanging="294"/>
      <w:jc w:val="left"/>
    </w:pPr>
    <w:rPr>
      <w:rFonts w:ascii="Arial" w:hAnsi="Arial"/>
      <w:kern w:val="0"/>
      <w:sz w:val="20"/>
      <w:szCs w:val="20"/>
      <w:lang w:val="en-GB"/>
    </w:rPr>
  </w:style>
  <w:style w:type="paragraph" w:customStyle="1" w:styleId="208">
    <w:name w:val="附件小标题"/>
    <w:basedOn w:val="2"/>
    <w:qFormat/>
    <w:uiPriority w:val="99"/>
    <w:pPr>
      <w:keepLines/>
      <w:tabs>
        <w:tab w:val="left" w:pos="720"/>
      </w:tabs>
      <w:spacing w:before="120" w:after="120" w:line="240" w:lineRule="atLeast"/>
      <w:ind w:left="720" w:hanging="720"/>
      <w:jc w:val="left"/>
    </w:pPr>
    <w:rPr>
      <w:rFonts w:ascii="Verdana" w:hAnsi="Verdana"/>
      <w:b/>
      <w:bCs/>
      <w:sz w:val="20"/>
      <w:szCs w:val="28"/>
    </w:rPr>
  </w:style>
  <w:style w:type="paragraph" w:customStyle="1" w:styleId="209">
    <w:name w:val="P8"/>
    <w:basedOn w:val="198"/>
    <w:qFormat/>
    <w:uiPriority w:val="99"/>
    <w:pPr>
      <w:ind w:left="4032"/>
    </w:pPr>
  </w:style>
  <w:style w:type="paragraph" w:customStyle="1" w:styleId="210">
    <w:name w:val="xl23"/>
    <w:basedOn w:val="1"/>
    <w:qFormat/>
    <w:uiPriority w:val="99"/>
    <w:pPr>
      <w:widowControl/>
      <w:spacing w:beforeAutospacing="1" w:afterAutospacing="1"/>
    </w:pPr>
    <w:rPr>
      <w:rFonts w:eastAsia="Arial Unicode MS"/>
      <w:kern w:val="0"/>
      <w:szCs w:val="20"/>
    </w:rPr>
  </w:style>
  <w:style w:type="paragraph" w:customStyle="1" w:styleId="211">
    <w:name w:val="项目2"/>
    <w:qFormat/>
    <w:uiPriority w:val="99"/>
    <w:pPr>
      <w:tabs>
        <w:tab w:val="left" w:pos="425"/>
      </w:tabs>
      <w:spacing w:before="120" w:after="120" w:line="360" w:lineRule="auto"/>
      <w:ind w:left="425" w:hanging="425"/>
    </w:pPr>
    <w:rPr>
      <w:rFonts w:ascii="Times New Roman" w:hAnsi="Times New Roman" w:eastAsia="仿宋_GB2312" w:cs="Times New Roman"/>
      <w:sz w:val="24"/>
      <w:lang w:val="en-US" w:eastAsia="zh-CN" w:bidi="ar-SA"/>
    </w:rPr>
  </w:style>
  <w:style w:type="paragraph" w:customStyle="1" w:styleId="212">
    <w:name w:val="6"/>
    <w:basedOn w:val="1"/>
    <w:next w:val="49"/>
    <w:qFormat/>
    <w:uiPriority w:val="99"/>
    <w:pPr>
      <w:adjustRightInd w:val="0"/>
      <w:snapToGrid w:val="0"/>
    </w:pPr>
    <w:rPr>
      <w:sz w:val="24"/>
    </w:rPr>
  </w:style>
  <w:style w:type="paragraph" w:customStyle="1" w:styleId="213">
    <w:name w:val="正文表格"/>
    <w:basedOn w:val="1"/>
    <w:qFormat/>
    <w:uiPriority w:val="99"/>
    <w:pPr>
      <w:ind w:left="10" w:leftChars="10" w:right="10" w:rightChars="10"/>
    </w:pPr>
    <w:rPr>
      <w:bCs/>
    </w:rPr>
  </w:style>
  <w:style w:type="paragraph" w:customStyle="1" w:styleId="214">
    <w:name w:val="图中文字"/>
    <w:basedOn w:val="1"/>
    <w:qFormat/>
    <w:uiPriority w:val="99"/>
    <w:pPr>
      <w:adjustRightInd w:val="0"/>
      <w:snapToGrid w:val="0"/>
      <w:spacing w:line="240" w:lineRule="atLeast"/>
      <w:jc w:val="center"/>
    </w:pPr>
    <w:rPr>
      <w:szCs w:val="20"/>
    </w:rPr>
  </w:style>
  <w:style w:type="paragraph" w:customStyle="1" w:styleId="215">
    <w:name w:val="正文（首行缩进）"/>
    <w:basedOn w:val="1"/>
    <w:qFormat/>
    <w:uiPriority w:val="99"/>
    <w:pPr>
      <w:spacing w:line="360" w:lineRule="auto"/>
      <w:ind w:firstLine="420"/>
    </w:pPr>
    <w:rPr>
      <w:sz w:val="24"/>
      <w:szCs w:val="20"/>
    </w:rPr>
  </w:style>
  <w:style w:type="paragraph" w:customStyle="1" w:styleId="216">
    <w:name w:val="font6"/>
    <w:basedOn w:val="1"/>
    <w:qFormat/>
    <w:uiPriority w:val="99"/>
    <w:pPr>
      <w:widowControl/>
      <w:spacing w:before="100" w:beforeAutospacing="1" w:after="100" w:afterAutospacing="1"/>
      <w:jc w:val="left"/>
    </w:pPr>
    <w:rPr>
      <w:rFonts w:ascii="Arial" w:hAnsi="Arial" w:cs="Arial"/>
      <w:kern w:val="0"/>
      <w:sz w:val="16"/>
      <w:szCs w:val="16"/>
    </w:rPr>
  </w:style>
  <w:style w:type="paragraph" w:customStyle="1" w:styleId="217">
    <w:name w:val="样式 Tahoma 行距: 单倍行距"/>
    <w:basedOn w:val="1"/>
    <w:qFormat/>
    <w:uiPriority w:val="0"/>
    <w:pPr>
      <w:ind w:firstLine="420" w:firstLineChars="200"/>
    </w:pPr>
    <w:rPr>
      <w:rFonts w:ascii="Tahoma" w:hAnsi="Tahoma" w:cs="宋体"/>
      <w:szCs w:val="21"/>
    </w:rPr>
  </w:style>
  <w:style w:type="paragraph" w:customStyle="1" w:styleId="218">
    <w:name w:val="Char Char 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219">
    <w:name w:val="操作步骤"/>
    <w:basedOn w:val="1"/>
    <w:qFormat/>
    <w:uiPriority w:val="99"/>
    <w:pPr>
      <w:tabs>
        <w:tab w:val="left" w:pos="840"/>
      </w:tabs>
      <w:autoSpaceDE w:val="0"/>
      <w:autoSpaceDN w:val="0"/>
      <w:adjustRightInd w:val="0"/>
      <w:snapToGrid w:val="0"/>
      <w:spacing w:line="40" w:lineRule="atLeast"/>
      <w:ind w:left="840" w:hanging="420"/>
      <w:textAlignment w:val="bottom"/>
    </w:pPr>
    <w:rPr>
      <w:rFonts w:ascii="昆仑楷体" w:eastAsia="楷体_GB2312"/>
      <w:kern w:val="0"/>
      <w:szCs w:val="20"/>
    </w:rPr>
  </w:style>
  <w:style w:type="paragraph" w:customStyle="1" w:styleId="220">
    <w:name w:val="彩色列表 - 强调文字颜色 11"/>
    <w:basedOn w:val="1"/>
    <w:qFormat/>
    <w:uiPriority w:val="99"/>
    <w:pPr>
      <w:ind w:firstLine="420" w:firstLineChars="200"/>
    </w:pPr>
  </w:style>
  <w:style w:type="paragraph" w:customStyle="1" w:styleId="221">
    <w:name w:val="xl4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kern w:val="0"/>
      <w:sz w:val="18"/>
      <w:szCs w:val="18"/>
    </w:rPr>
  </w:style>
  <w:style w:type="paragraph" w:customStyle="1" w:styleId="222">
    <w:name w:val="招标文件1.1.1.1"/>
    <w:basedOn w:val="1"/>
    <w:qFormat/>
    <w:uiPriority w:val="99"/>
    <w:pPr>
      <w:spacing w:before="120" w:after="120" w:line="480" w:lineRule="exact"/>
      <w:ind w:left="200"/>
      <w:jc w:val="left"/>
      <w:outlineLvl w:val="4"/>
    </w:pPr>
    <w:rPr>
      <w:rFonts w:ascii="宋体"/>
      <w:b/>
      <w:spacing w:val="10"/>
      <w:w w:val="95"/>
    </w:rPr>
  </w:style>
  <w:style w:type="paragraph" w:customStyle="1" w:styleId="223">
    <w:name w:val="Normal Cenered"/>
    <w:basedOn w:val="1"/>
    <w:qFormat/>
    <w:uiPriority w:val="99"/>
    <w:pPr>
      <w:widowControl/>
      <w:tabs>
        <w:tab w:val="left" w:pos="6660"/>
      </w:tabs>
      <w:spacing w:before="240" w:after="120" w:line="288" w:lineRule="auto"/>
      <w:jc w:val="center"/>
    </w:pPr>
    <w:rPr>
      <w:kern w:val="0"/>
    </w:rPr>
  </w:style>
  <w:style w:type="paragraph" w:customStyle="1" w:styleId="224">
    <w:name w:val="xl41"/>
    <w:basedOn w:val="1"/>
    <w:qFormat/>
    <w:uiPriority w:val="99"/>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cs="Arial"/>
      <w:kern w:val="0"/>
      <w:sz w:val="20"/>
      <w:szCs w:val="20"/>
    </w:rPr>
  </w:style>
  <w:style w:type="paragraph" w:customStyle="1" w:styleId="225">
    <w:name w:val="Table Text"/>
    <w:basedOn w:val="1"/>
    <w:qFormat/>
    <w:uiPriority w:val="99"/>
    <w:pPr>
      <w:widowControl/>
      <w:autoSpaceDE w:val="0"/>
      <w:autoSpaceDN w:val="0"/>
      <w:spacing w:before="60" w:after="60"/>
      <w:jc w:val="left"/>
    </w:pPr>
    <w:rPr>
      <w:kern w:val="0"/>
      <w:szCs w:val="20"/>
    </w:rPr>
  </w:style>
  <w:style w:type="paragraph" w:customStyle="1" w:styleId="226">
    <w:name w:val="项目 1 Char Char"/>
    <w:basedOn w:val="1"/>
    <w:qFormat/>
    <w:uiPriority w:val="99"/>
    <w:pPr>
      <w:tabs>
        <w:tab w:val="left" w:pos="907"/>
      </w:tabs>
      <w:adjustRightInd w:val="0"/>
      <w:snapToGrid w:val="0"/>
      <w:spacing w:afterLines="50"/>
      <w:ind w:left="902" w:hanging="420"/>
    </w:pPr>
    <w:rPr>
      <w:rFonts w:ascii="Tahoma" w:hAnsi="Tahoma"/>
      <w:sz w:val="24"/>
    </w:rPr>
  </w:style>
  <w:style w:type="paragraph" w:customStyle="1" w:styleId="227">
    <w:name w:val="强调列表"/>
    <w:basedOn w:val="1"/>
    <w:qFormat/>
    <w:uiPriority w:val="99"/>
    <w:pPr>
      <w:tabs>
        <w:tab w:val="left" w:pos="1742"/>
      </w:tabs>
      <w:ind w:left="1742" w:hanging="420"/>
    </w:pPr>
    <w:rPr>
      <w:sz w:val="24"/>
      <w:szCs w:val="20"/>
    </w:rPr>
  </w:style>
  <w:style w:type="paragraph" w:customStyle="1" w:styleId="228">
    <w:name w:val="Char"/>
    <w:basedOn w:val="1"/>
    <w:qFormat/>
    <w:uiPriority w:val="99"/>
    <w:pPr>
      <w:tabs>
        <w:tab w:val="left" w:pos="360"/>
      </w:tabs>
      <w:ind w:left="360" w:hanging="360" w:hangingChars="200"/>
    </w:pPr>
    <w:rPr>
      <w:sz w:val="24"/>
    </w:rPr>
  </w:style>
  <w:style w:type="character" w:customStyle="1" w:styleId="229">
    <w:name w:val="正文文本 2 Char1"/>
    <w:semiHidden/>
    <w:qFormat/>
    <w:uiPriority w:val="0"/>
    <w:rPr>
      <w:kern w:val="2"/>
      <w:sz w:val="21"/>
      <w:szCs w:val="24"/>
    </w:rPr>
  </w:style>
  <w:style w:type="paragraph" w:customStyle="1" w:styleId="230">
    <w:name w:val="招标文件正文"/>
    <w:qFormat/>
    <w:uiPriority w:val="99"/>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231">
    <w:name w:val="P1"/>
    <w:qFormat/>
    <w:uiPriority w:val="99"/>
    <w:pPr>
      <w:widowControl w:val="0"/>
      <w:adjustRightInd w:val="0"/>
      <w:spacing w:after="240" w:line="240" w:lineRule="atLeast"/>
      <w:ind w:left="2304"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232">
    <w:name w:val="编号列表"/>
    <w:basedOn w:val="1"/>
    <w:qFormat/>
    <w:uiPriority w:val="99"/>
    <w:pPr>
      <w:tabs>
        <w:tab w:val="left" w:pos="992"/>
      </w:tabs>
      <w:adjustRightInd w:val="0"/>
      <w:snapToGrid w:val="0"/>
      <w:spacing w:beforeLines="50" w:afterLines="50" w:line="360" w:lineRule="auto"/>
      <w:ind w:left="992" w:hanging="572"/>
    </w:pPr>
    <w:rPr>
      <w:rFonts w:ascii="Verdana" w:hAnsi="Verdana"/>
      <w:sz w:val="24"/>
    </w:rPr>
  </w:style>
  <w:style w:type="paragraph" w:customStyle="1" w:styleId="233">
    <w:name w:val="xl45"/>
    <w:basedOn w:val="1"/>
    <w:qFormat/>
    <w:uiPriority w:val="99"/>
    <w:pPr>
      <w:widowControl/>
      <w:pBdr>
        <w:top w:val="single" w:color="auto" w:sz="4" w:space="0"/>
        <w:bottom w:val="single" w:color="auto" w:sz="4" w:space="0"/>
      </w:pBdr>
      <w:spacing w:before="100" w:beforeAutospacing="1" w:after="100" w:afterAutospacing="1"/>
      <w:jc w:val="left"/>
    </w:pPr>
    <w:rPr>
      <w:rFonts w:ascii="Arial" w:hAnsi="Arial" w:cs="Arial"/>
      <w:kern w:val="0"/>
      <w:sz w:val="20"/>
      <w:szCs w:val="20"/>
    </w:rPr>
  </w:style>
  <w:style w:type="paragraph" w:customStyle="1" w:styleId="234">
    <w:name w:val="表格项目符号 2"/>
    <w:basedOn w:val="25"/>
    <w:qFormat/>
    <w:uiPriority w:val="99"/>
    <w:pPr>
      <w:keepLines w:val="0"/>
      <w:tabs>
        <w:tab w:val="left" w:pos="624"/>
        <w:tab w:val="left" w:pos="720"/>
        <w:tab w:val="clear" w:pos="780"/>
      </w:tabs>
      <w:snapToGrid w:val="0"/>
      <w:spacing w:line="300" w:lineRule="auto"/>
      <w:ind w:left="623" w:hanging="374"/>
    </w:pPr>
    <w:rPr>
      <w:rFonts w:ascii="Times New Roman"/>
      <w:sz w:val="21"/>
      <w:szCs w:val="24"/>
    </w:rPr>
  </w:style>
  <w:style w:type="paragraph" w:customStyle="1" w:styleId="235">
    <w:name w:val="招标文件1.1"/>
    <w:qFormat/>
    <w:uiPriority w:val="99"/>
    <w:pPr>
      <w:tabs>
        <w:tab w:val="left" w:pos="630"/>
      </w:tabs>
      <w:spacing w:before="120" w:after="120" w:line="480" w:lineRule="exact"/>
      <w:ind w:left="200"/>
      <w:outlineLvl w:val="2"/>
    </w:pPr>
    <w:rPr>
      <w:rFonts w:ascii="宋体" w:hAnsi="Times New Roman" w:eastAsia="宋体" w:cs="Times New Roman"/>
      <w:b/>
      <w:spacing w:val="10"/>
      <w:w w:val="95"/>
      <w:sz w:val="24"/>
      <w:lang w:val="en-US" w:eastAsia="zh-CN" w:bidi="ar-SA"/>
    </w:rPr>
  </w:style>
  <w:style w:type="paragraph" w:customStyle="1" w:styleId="236">
    <w:name w:val="Heading B"/>
    <w:basedOn w:val="4"/>
    <w:next w:val="21"/>
    <w:qFormat/>
    <w:uiPriority w:val="99"/>
    <w:pPr>
      <w:keepLines w:val="0"/>
      <w:widowControl/>
      <w:numPr>
        <w:ilvl w:val="0"/>
        <w:numId w:val="0"/>
      </w:numPr>
      <w:pBdr>
        <w:top w:val="single" w:color="auto" w:sz="6" w:space="1"/>
      </w:pBdr>
      <w:tabs>
        <w:tab w:val="left" w:pos="435"/>
      </w:tabs>
      <w:overflowPunct w:val="0"/>
      <w:autoSpaceDE w:val="0"/>
      <w:autoSpaceDN w:val="0"/>
      <w:adjustRightInd w:val="0"/>
      <w:spacing w:before="425" w:after="113" w:line="240" w:lineRule="auto"/>
      <w:jc w:val="left"/>
      <w:textAlignment w:val="baseline"/>
      <w:outlineLvl w:val="9"/>
    </w:pPr>
    <w:rPr>
      <w:rFonts w:eastAsia="仿宋_GB2312" w:cs="Arial"/>
      <w:b/>
      <w:bCs w:val="0"/>
      <w:kern w:val="0"/>
      <w:sz w:val="24"/>
      <w:szCs w:val="20"/>
    </w:rPr>
  </w:style>
  <w:style w:type="paragraph" w:customStyle="1" w:styleId="237">
    <w:name w:val="Table Heading"/>
    <w:basedOn w:val="225"/>
    <w:qFormat/>
    <w:uiPriority w:val="0"/>
    <w:pPr>
      <w:autoSpaceDE/>
      <w:autoSpaceDN/>
      <w:spacing w:line="288" w:lineRule="auto"/>
      <w:jc w:val="center"/>
    </w:pPr>
    <w:rPr>
      <w:rFonts w:ascii="宋体" w:hAnsi="宋体"/>
      <w:b/>
    </w:rPr>
  </w:style>
  <w:style w:type="paragraph" w:customStyle="1" w:styleId="238">
    <w:name w:val="Heading A"/>
    <w:basedOn w:val="3"/>
    <w:next w:val="21"/>
    <w:qFormat/>
    <w:uiPriority w:val="99"/>
    <w:pPr>
      <w:widowControl/>
      <w:numPr>
        <w:numId w:val="0"/>
      </w:numPr>
      <w:tabs>
        <w:tab w:val="left" w:pos="435"/>
      </w:tabs>
      <w:overflowPunct w:val="0"/>
      <w:autoSpaceDE w:val="0"/>
      <w:autoSpaceDN w:val="0"/>
      <w:adjustRightInd w:val="0"/>
      <w:spacing w:before="142" w:after="113"/>
      <w:jc w:val="left"/>
      <w:textAlignment w:val="baseline"/>
      <w:outlineLvl w:val="9"/>
    </w:pPr>
    <w:rPr>
      <w:rFonts w:ascii="Arial" w:hAnsi="Arial" w:eastAsia="仿宋_GB2312" w:cs="Arial"/>
      <w:b/>
      <w:bCs w:val="0"/>
      <w:kern w:val="28"/>
      <w:sz w:val="36"/>
      <w:szCs w:val="20"/>
    </w:rPr>
  </w:style>
  <w:style w:type="paragraph" w:customStyle="1" w:styleId="239">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240">
    <w:name w:val="标题5"/>
    <w:basedOn w:val="1"/>
    <w:qFormat/>
    <w:uiPriority w:val="99"/>
    <w:pPr>
      <w:tabs>
        <w:tab w:val="left" w:pos="0"/>
      </w:tabs>
      <w:autoSpaceDE w:val="0"/>
      <w:autoSpaceDN w:val="0"/>
      <w:adjustRightInd w:val="0"/>
      <w:snapToGrid w:val="0"/>
      <w:spacing w:line="320" w:lineRule="atLeast"/>
    </w:pPr>
    <w:rPr>
      <w:rFonts w:ascii="宋体"/>
      <w:kern w:val="0"/>
      <w:szCs w:val="21"/>
    </w:rPr>
  </w:style>
  <w:style w:type="paragraph" w:customStyle="1" w:styleId="241">
    <w:name w:val="xl53"/>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42">
    <w:name w:val="prop1"/>
    <w:basedOn w:val="2"/>
    <w:qFormat/>
    <w:uiPriority w:val="99"/>
    <w:pPr>
      <w:keepLines/>
      <w:tabs>
        <w:tab w:val="left" w:pos="540"/>
      </w:tabs>
      <w:spacing w:before="280" w:after="290" w:line="360" w:lineRule="auto"/>
      <w:ind w:left="540" w:hanging="540"/>
    </w:pPr>
    <w:rPr>
      <w:rFonts w:ascii="Arial" w:hAnsi="Arial" w:eastAsia="黑体"/>
      <w:b/>
      <w:sz w:val="20"/>
    </w:rPr>
  </w:style>
  <w:style w:type="paragraph" w:customStyle="1" w:styleId="243">
    <w:name w:val="Char1 Char Char Char Char Char Char"/>
    <w:basedOn w:val="1"/>
    <w:qFormat/>
    <w:uiPriority w:val="99"/>
    <w:rPr>
      <w:rFonts w:ascii="Tahoma" w:hAnsi="Tahoma"/>
      <w:sz w:val="24"/>
      <w:szCs w:val="20"/>
    </w:rPr>
  </w:style>
  <w:style w:type="paragraph" w:customStyle="1" w:styleId="244">
    <w:name w:val="Char Char2 Char Char Char Char Char Char"/>
    <w:basedOn w:val="1"/>
    <w:qFormat/>
    <w:uiPriority w:val="99"/>
    <w:pPr>
      <w:tabs>
        <w:tab w:val="left" w:pos="360"/>
      </w:tabs>
      <w:ind w:firstLine="420" w:firstLineChars="150"/>
    </w:pPr>
    <w:rPr>
      <w:rFonts w:ascii="Arial" w:hAnsi="Arial" w:cs="Arial"/>
      <w:sz w:val="20"/>
      <w:szCs w:val="20"/>
    </w:rPr>
  </w:style>
  <w:style w:type="paragraph" w:customStyle="1" w:styleId="245">
    <w:name w:val="招标文件1"/>
    <w:basedOn w:val="1"/>
    <w:qFormat/>
    <w:uiPriority w:val="99"/>
    <w:pPr>
      <w:tabs>
        <w:tab w:val="left" w:pos="420"/>
      </w:tabs>
      <w:spacing w:before="120" w:after="120" w:line="480" w:lineRule="exact"/>
      <w:ind w:left="200"/>
      <w:jc w:val="left"/>
      <w:outlineLvl w:val="1"/>
    </w:pPr>
    <w:rPr>
      <w:rFonts w:ascii="宋体"/>
      <w:b/>
      <w:spacing w:val="10"/>
      <w:w w:val="95"/>
      <w:kern w:val="0"/>
      <w:sz w:val="28"/>
    </w:rPr>
  </w:style>
  <w:style w:type="paragraph" w:customStyle="1" w:styleId="246">
    <w:name w:val="xl47"/>
    <w:basedOn w:val="1"/>
    <w:qFormat/>
    <w:uiPriority w:val="99"/>
    <w:pPr>
      <w:widowControl/>
      <w:pBdr>
        <w:top w:val="single" w:color="auto" w:sz="4" w:space="0"/>
        <w:bottom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47">
    <w:name w:val="c"/>
    <w:qFormat/>
    <w:uiPriority w:val="99"/>
    <w:pPr>
      <w:widowControl w:val="0"/>
      <w:autoSpaceDE w:val="0"/>
      <w:autoSpaceDN w:val="0"/>
      <w:adjustRightInd w:val="0"/>
      <w:jc w:val="both"/>
    </w:pPr>
    <w:rPr>
      <w:rFonts w:ascii="Arial" w:hAnsi="Arial" w:eastAsia="宋体" w:cs="Times New Roman"/>
      <w:sz w:val="24"/>
      <w:lang w:val="en-US" w:eastAsia="zh-CN" w:bidi="ar-SA"/>
    </w:rPr>
  </w:style>
  <w:style w:type="paragraph" w:customStyle="1" w:styleId="248">
    <w:name w:val="CN Title"/>
    <w:basedOn w:val="1"/>
    <w:qFormat/>
    <w:uiPriority w:val="99"/>
    <w:pPr>
      <w:widowControl/>
      <w:tabs>
        <w:tab w:val="left" w:pos="720"/>
      </w:tabs>
      <w:spacing w:before="144" w:after="72"/>
      <w:ind w:left="720" w:hanging="360"/>
      <w:jc w:val="center"/>
    </w:pPr>
    <w:rPr>
      <w:b/>
      <w:bCs/>
      <w:kern w:val="0"/>
      <w:sz w:val="28"/>
      <w:szCs w:val="28"/>
    </w:rPr>
  </w:style>
  <w:style w:type="paragraph" w:customStyle="1" w:styleId="249">
    <w:name w:val="P5"/>
    <w:qFormat/>
    <w:uiPriority w:val="99"/>
    <w:pPr>
      <w:widowControl w:val="0"/>
      <w:adjustRightInd w:val="0"/>
      <w:spacing w:after="240" w:line="240" w:lineRule="atLeast"/>
      <w:ind w:left="2304"/>
      <w:jc w:val="both"/>
      <w:textAlignment w:val="baseline"/>
    </w:pPr>
    <w:rPr>
      <w:rFonts w:ascii="Times New Roman" w:hAnsi="Times New Roman" w:eastAsia="全真中明體" w:cs="Times New Roman"/>
      <w:spacing w:val="30"/>
      <w:sz w:val="24"/>
      <w:lang w:val="en-GB" w:eastAsia="zh-TW" w:bidi="ar-SA"/>
    </w:rPr>
  </w:style>
  <w:style w:type="paragraph" w:customStyle="1" w:styleId="250">
    <w:name w:val="xl39"/>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251">
    <w:name w:val="空项目内容"/>
    <w:basedOn w:val="1"/>
    <w:qFormat/>
    <w:uiPriority w:val="99"/>
    <w:pPr>
      <w:tabs>
        <w:tab w:val="left" w:pos="720"/>
      </w:tabs>
      <w:spacing w:line="360" w:lineRule="auto"/>
      <w:ind w:left="720" w:hanging="720"/>
    </w:pPr>
    <w:rPr>
      <w:sz w:val="24"/>
    </w:rPr>
  </w:style>
  <w:style w:type="paragraph" w:customStyle="1" w:styleId="252">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253">
    <w:name w:val="Body"/>
    <w:basedOn w:val="1"/>
    <w:next w:val="1"/>
    <w:qFormat/>
    <w:uiPriority w:val="99"/>
    <w:pPr>
      <w:autoSpaceDE w:val="0"/>
      <w:autoSpaceDN w:val="0"/>
      <w:adjustRightInd w:val="0"/>
      <w:spacing w:after="140"/>
      <w:jc w:val="left"/>
    </w:pPr>
    <w:rPr>
      <w:rFonts w:ascii="Arial" w:hAnsi="Arial" w:cs="Arial"/>
      <w:kern w:val="0"/>
      <w:sz w:val="24"/>
    </w:rPr>
  </w:style>
  <w:style w:type="paragraph" w:customStyle="1" w:styleId="254">
    <w:name w:val="Char2"/>
    <w:basedOn w:val="1"/>
    <w:qFormat/>
    <w:uiPriority w:val="99"/>
    <w:pPr>
      <w:spacing w:line="360" w:lineRule="auto"/>
      <w:ind w:firstLine="200" w:firstLineChars="200"/>
    </w:pPr>
    <w:rPr>
      <w:rFonts w:ascii="Tahoma" w:hAnsi="Tahoma"/>
      <w:sz w:val="24"/>
      <w:szCs w:val="20"/>
    </w:rPr>
  </w:style>
  <w:style w:type="paragraph" w:customStyle="1" w:styleId="255">
    <w:name w:val="标题下列示"/>
    <w:basedOn w:val="256"/>
    <w:next w:val="257"/>
    <w:qFormat/>
    <w:uiPriority w:val="99"/>
    <w:pPr>
      <w:tabs>
        <w:tab w:val="left" w:pos="420"/>
        <w:tab w:val="left" w:pos="1680"/>
      </w:tabs>
      <w:ind w:left="1680"/>
    </w:pPr>
  </w:style>
  <w:style w:type="paragraph" w:customStyle="1" w:styleId="256">
    <w:name w:val="标题下顺序"/>
    <w:basedOn w:val="1"/>
    <w:qFormat/>
    <w:uiPriority w:val="99"/>
    <w:pPr>
      <w:tabs>
        <w:tab w:val="left" w:pos="420"/>
      </w:tabs>
      <w:spacing w:beforeLines="50" w:line="240" w:lineRule="atLeast"/>
      <w:ind w:left="420" w:hanging="420"/>
    </w:pPr>
    <w:rPr>
      <w:rFonts w:ascii="宋体" w:hAnsi="宋体"/>
      <w:sz w:val="28"/>
      <w:szCs w:val="20"/>
    </w:rPr>
  </w:style>
  <w:style w:type="paragraph" w:customStyle="1" w:styleId="257">
    <w:name w:val="标题下顺序正文"/>
    <w:basedOn w:val="1"/>
    <w:qFormat/>
    <w:uiPriority w:val="99"/>
    <w:pPr>
      <w:spacing w:beforeLines="50" w:line="240" w:lineRule="atLeast"/>
      <w:ind w:left="1049" w:leftChars="437" w:firstLine="1"/>
    </w:pPr>
    <w:rPr>
      <w:rFonts w:ascii="宋体"/>
      <w:sz w:val="24"/>
      <w:szCs w:val="20"/>
    </w:rPr>
  </w:style>
  <w:style w:type="paragraph" w:customStyle="1" w:styleId="258">
    <w:name w:val="图片"/>
    <w:basedOn w:val="1"/>
    <w:next w:val="259"/>
    <w:qFormat/>
    <w:uiPriority w:val="99"/>
    <w:pPr>
      <w:spacing w:beforeLines="50" w:afterLines="50"/>
      <w:jc w:val="center"/>
    </w:pPr>
  </w:style>
  <w:style w:type="paragraph" w:customStyle="1" w:styleId="259">
    <w:name w:val="图名"/>
    <w:basedOn w:val="1"/>
    <w:next w:val="6"/>
    <w:qFormat/>
    <w:uiPriority w:val="99"/>
    <w:pPr>
      <w:spacing w:line="360" w:lineRule="auto"/>
      <w:jc w:val="center"/>
    </w:pPr>
    <w:rPr>
      <w:rFonts w:ascii="Arial" w:hAnsi="Arial" w:eastAsia="黑体"/>
      <w:b/>
    </w:rPr>
  </w:style>
  <w:style w:type="paragraph" w:customStyle="1" w:styleId="260">
    <w:name w:val="日期1"/>
    <w:basedOn w:val="1"/>
    <w:next w:val="1"/>
    <w:qFormat/>
    <w:uiPriority w:val="99"/>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261">
    <w:name w:val="正文带点"/>
    <w:basedOn w:val="1"/>
    <w:qFormat/>
    <w:uiPriority w:val="99"/>
    <w:pPr>
      <w:tabs>
        <w:tab w:val="left" w:pos="927"/>
      </w:tabs>
      <w:spacing w:line="360" w:lineRule="auto"/>
      <w:ind w:left="567"/>
      <w:jc w:val="left"/>
    </w:pPr>
    <w:rPr>
      <w:rFonts w:ascii="楷体_GB2312" w:eastAsia="楷体_GB2312"/>
      <w:bCs/>
      <w:sz w:val="28"/>
    </w:rPr>
  </w:style>
  <w:style w:type="paragraph" w:customStyle="1" w:styleId="262">
    <w:name w:val="xl38"/>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63">
    <w:name w:val="一级标题"/>
    <w:basedOn w:val="17"/>
    <w:semiHidden/>
    <w:qFormat/>
    <w:uiPriority w:val="99"/>
    <w:pPr>
      <w:shd w:val="clear" w:color="auto" w:fill="000080"/>
      <w:adjustRightInd w:val="0"/>
      <w:spacing w:line="360" w:lineRule="auto"/>
      <w:ind w:left="1985" w:hanging="709"/>
      <w:jc w:val="center"/>
      <w:outlineLvl w:val="3"/>
    </w:pPr>
    <w:rPr>
      <w:rFonts w:ascii="Tahoma" w:hAnsi="Tahoma"/>
      <w:kern w:val="0"/>
      <w:sz w:val="24"/>
      <w:szCs w:val="24"/>
    </w:rPr>
  </w:style>
  <w:style w:type="paragraph" w:customStyle="1" w:styleId="264">
    <w:name w:val="xl24"/>
    <w:basedOn w:val="1"/>
    <w:qFormat/>
    <w:uiPriority w:val="99"/>
    <w:pPr>
      <w:widowControl/>
      <w:spacing w:before="100" w:beforeAutospacing="1" w:after="100" w:afterAutospacing="1"/>
      <w:jc w:val="left"/>
    </w:pPr>
    <w:rPr>
      <w:rFonts w:ascii="宋体" w:hAnsi="宋体" w:cs="Arial Unicode MS"/>
      <w:kern w:val="0"/>
      <w:sz w:val="24"/>
    </w:rPr>
  </w:style>
  <w:style w:type="paragraph" w:customStyle="1" w:styleId="265">
    <w:name w:val="P3"/>
    <w:qFormat/>
    <w:uiPriority w:val="99"/>
    <w:pPr>
      <w:widowControl w:val="0"/>
      <w:adjustRightInd w:val="0"/>
      <w:spacing w:after="240" w:line="240" w:lineRule="atLeast"/>
      <w:ind w:left="2880"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266">
    <w:name w:val="正文文字(ALT+W)"/>
    <w:basedOn w:val="1"/>
    <w:next w:val="6"/>
    <w:qFormat/>
    <w:uiPriority w:val="99"/>
    <w:pPr>
      <w:adjustRightInd w:val="0"/>
      <w:snapToGrid w:val="0"/>
      <w:spacing w:line="360" w:lineRule="auto"/>
      <w:ind w:firstLine="420"/>
    </w:pPr>
    <w:rPr>
      <w:sz w:val="24"/>
      <w:szCs w:val="20"/>
    </w:rPr>
  </w:style>
  <w:style w:type="paragraph" w:customStyle="1" w:styleId="267">
    <w:name w:val="黑列表"/>
    <w:basedOn w:val="1"/>
    <w:qFormat/>
    <w:uiPriority w:val="99"/>
    <w:pPr>
      <w:widowControl/>
      <w:tabs>
        <w:tab w:val="left" w:pos="420"/>
      </w:tabs>
      <w:adjustRightInd w:val="0"/>
      <w:spacing w:line="300" w:lineRule="auto"/>
      <w:ind w:left="300" w:leftChars="200" w:hanging="100" w:hangingChars="100"/>
      <w:jc w:val="left"/>
    </w:pPr>
    <w:rPr>
      <w:bCs/>
      <w:kern w:val="0"/>
      <w:sz w:val="24"/>
      <w:szCs w:val="20"/>
    </w:rPr>
  </w:style>
  <w:style w:type="paragraph" w:customStyle="1" w:styleId="268">
    <w:name w:val="项目"/>
    <w:basedOn w:val="22"/>
    <w:qFormat/>
    <w:uiPriority w:val="99"/>
    <w:pPr>
      <w:autoSpaceDE/>
      <w:autoSpaceDN/>
      <w:adjustRightInd/>
      <w:spacing w:line="240" w:lineRule="auto"/>
      <w:ind w:left="0"/>
      <w:jc w:val="center"/>
    </w:pPr>
    <w:rPr>
      <w:b/>
      <w:sz w:val="24"/>
    </w:rPr>
  </w:style>
  <w:style w:type="paragraph" w:customStyle="1" w:styleId="269">
    <w:name w:val="招标文件1.1.1"/>
    <w:qFormat/>
    <w:uiPriority w:val="99"/>
    <w:pPr>
      <w:spacing w:before="120" w:after="120" w:line="480" w:lineRule="exact"/>
      <w:ind w:left="200"/>
      <w:outlineLvl w:val="3"/>
    </w:pPr>
    <w:rPr>
      <w:rFonts w:ascii="宋体" w:hAnsi="Times New Roman" w:eastAsia="宋体" w:cs="Times New Roman"/>
      <w:b/>
      <w:spacing w:val="10"/>
      <w:w w:val="95"/>
      <w:sz w:val="21"/>
      <w:lang w:val="en-US" w:eastAsia="zh-CN" w:bidi="ar-SA"/>
    </w:rPr>
  </w:style>
  <w:style w:type="paragraph" w:customStyle="1" w:styleId="270">
    <w:name w:val="xl46"/>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71">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kern w:val="0"/>
      <w:sz w:val="20"/>
      <w:szCs w:val="20"/>
    </w:rPr>
  </w:style>
  <w:style w:type="paragraph" w:customStyle="1" w:styleId="272">
    <w:name w:val="Char Char Char Char Char Char1 Char Char Char Char Char Char"/>
    <w:basedOn w:val="1"/>
    <w:qFormat/>
    <w:uiPriority w:val="99"/>
    <w:rPr>
      <w:rFonts w:ascii="Tahoma" w:hAnsi="Tahoma"/>
      <w:sz w:val="24"/>
      <w:szCs w:val="20"/>
    </w:rPr>
  </w:style>
  <w:style w:type="paragraph" w:customStyle="1" w:styleId="273">
    <w:name w:val="xl48"/>
    <w:basedOn w:val="1"/>
    <w:qFormat/>
    <w:uiPriority w:val="99"/>
    <w:pPr>
      <w:widowControl/>
      <w:pBdr>
        <w:top w:val="single" w:color="auto" w:sz="4"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74">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75">
    <w:name w:val="MM Topic 3"/>
    <w:basedOn w:val="2"/>
    <w:qFormat/>
    <w:uiPriority w:val="0"/>
    <w:pPr>
      <w:keepLines/>
      <w:tabs>
        <w:tab w:val="left" w:pos="1418"/>
      </w:tabs>
      <w:adjustRightInd w:val="0"/>
      <w:spacing w:beforeLines="50" w:line="300" w:lineRule="auto"/>
      <w:ind w:left="1260" w:hanging="420"/>
    </w:pPr>
    <w:rPr>
      <w:rFonts w:hAnsi="Arial" w:eastAsia="黑体"/>
      <w:sz w:val="24"/>
    </w:rPr>
  </w:style>
  <w:style w:type="paragraph" w:customStyle="1" w:styleId="276">
    <w:name w:val="font5"/>
    <w:basedOn w:val="1"/>
    <w:qFormat/>
    <w:uiPriority w:val="99"/>
    <w:pPr>
      <w:widowControl/>
      <w:spacing w:before="100" w:beforeAutospacing="1" w:after="100" w:afterAutospacing="1"/>
      <w:jc w:val="left"/>
    </w:pPr>
    <w:rPr>
      <w:rFonts w:ascii="宋体" w:hAnsi="宋体"/>
      <w:kern w:val="0"/>
      <w:sz w:val="18"/>
      <w:szCs w:val="18"/>
    </w:rPr>
  </w:style>
  <w:style w:type="paragraph" w:customStyle="1" w:styleId="277">
    <w:name w:val="Bullet2"/>
    <w:basedOn w:val="1"/>
    <w:next w:val="1"/>
    <w:qFormat/>
    <w:uiPriority w:val="99"/>
    <w:pPr>
      <w:autoSpaceDE w:val="0"/>
      <w:autoSpaceDN w:val="0"/>
      <w:adjustRightInd w:val="0"/>
      <w:spacing w:after="60"/>
      <w:jc w:val="left"/>
    </w:pPr>
    <w:rPr>
      <w:rFonts w:ascii="Arial" w:hAnsi="Arial" w:cs="Arial"/>
      <w:kern w:val="0"/>
      <w:sz w:val="24"/>
    </w:rPr>
  </w:style>
  <w:style w:type="paragraph" w:customStyle="1" w:styleId="278">
    <w:name w:val="font8"/>
    <w:basedOn w:val="1"/>
    <w:qFormat/>
    <w:uiPriority w:val="99"/>
    <w:pPr>
      <w:widowControl/>
      <w:spacing w:before="100" w:beforeAutospacing="1" w:after="100" w:afterAutospacing="1"/>
      <w:jc w:val="left"/>
    </w:pPr>
    <w:rPr>
      <w:rFonts w:ascii="宋体" w:hAnsi="宋体"/>
      <w:b/>
      <w:bCs/>
      <w:kern w:val="0"/>
      <w:sz w:val="20"/>
      <w:szCs w:val="20"/>
    </w:rPr>
  </w:style>
  <w:style w:type="paragraph" w:customStyle="1" w:styleId="279">
    <w:name w:val="文本框样式1"/>
    <w:basedOn w:val="1"/>
    <w:qFormat/>
    <w:uiPriority w:val="99"/>
    <w:pPr>
      <w:adjustRightInd w:val="0"/>
      <w:snapToGrid w:val="0"/>
      <w:spacing w:before="60" w:line="180" w:lineRule="exact"/>
      <w:jc w:val="center"/>
    </w:pPr>
    <w:rPr>
      <w:szCs w:val="21"/>
    </w:rPr>
  </w:style>
  <w:style w:type="paragraph" w:customStyle="1" w:styleId="280">
    <w:name w:val="aria"/>
    <w:basedOn w:val="1"/>
    <w:qFormat/>
    <w:uiPriority w:val="99"/>
    <w:pPr>
      <w:spacing w:line="360" w:lineRule="auto"/>
    </w:pPr>
    <w:rPr>
      <w:b/>
      <w:sz w:val="24"/>
    </w:rPr>
  </w:style>
  <w:style w:type="paragraph" w:customStyle="1" w:styleId="281">
    <w:name w:val="首行缩进 1"/>
    <w:basedOn w:val="1"/>
    <w:qFormat/>
    <w:uiPriority w:val="99"/>
    <w:pPr>
      <w:spacing w:after="120" w:line="360" w:lineRule="auto"/>
      <w:ind w:firstLine="200" w:firstLineChars="200"/>
    </w:pPr>
    <w:rPr>
      <w:sz w:val="24"/>
    </w:rPr>
  </w:style>
  <w:style w:type="paragraph" w:customStyle="1" w:styleId="282">
    <w:name w:val="P2"/>
    <w:qFormat/>
    <w:uiPriority w:val="99"/>
    <w:pPr>
      <w:widowControl w:val="0"/>
      <w:adjustRightInd w:val="0"/>
      <w:spacing w:after="240" w:line="240" w:lineRule="atLeast"/>
      <w:ind w:left="1728"/>
      <w:jc w:val="both"/>
      <w:textAlignment w:val="baseline"/>
    </w:pPr>
    <w:rPr>
      <w:rFonts w:ascii="Times New Roman" w:hAnsi="Times New Roman" w:eastAsia="全真中明體" w:cs="Times New Roman"/>
      <w:spacing w:val="30"/>
      <w:sz w:val="24"/>
      <w:lang w:val="en-GB" w:eastAsia="zh-TW" w:bidi="ar-SA"/>
    </w:rPr>
  </w:style>
  <w:style w:type="paragraph" w:customStyle="1" w:styleId="283">
    <w:name w:val="表格"/>
    <w:basedOn w:val="1"/>
    <w:qFormat/>
    <w:uiPriority w:val="99"/>
    <w:pPr>
      <w:jc w:val="left"/>
    </w:pPr>
    <w:rPr>
      <w:bCs/>
      <w:color w:val="000000"/>
      <w:szCs w:val="21"/>
    </w:rPr>
  </w:style>
  <w:style w:type="paragraph" w:customStyle="1" w:styleId="284">
    <w:name w:val="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285">
    <w:name w:val="彩色底纹 - 强调文字颜色 11"/>
    <w:semiHidden/>
    <w:qFormat/>
    <w:uiPriority w:val="99"/>
    <w:rPr>
      <w:rFonts w:ascii="Times New Roman" w:hAnsi="Times New Roman" w:eastAsia="宋体" w:cs="Times New Roman"/>
      <w:kern w:val="2"/>
      <w:sz w:val="21"/>
      <w:lang w:val="en-US" w:eastAsia="zh-CN" w:bidi="ar-SA"/>
    </w:rPr>
  </w:style>
  <w:style w:type="paragraph" w:customStyle="1" w:styleId="286">
    <w:name w:val="缺省文本"/>
    <w:basedOn w:val="1"/>
    <w:qFormat/>
    <w:uiPriority w:val="99"/>
    <w:pPr>
      <w:autoSpaceDE w:val="0"/>
      <w:autoSpaceDN w:val="0"/>
      <w:adjustRightInd w:val="0"/>
      <w:jc w:val="left"/>
    </w:pPr>
    <w:rPr>
      <w:kern w:val="0"/>
      <w:sz w:val="24"/>
      <w:szCs w:val="20"/>
    </w:rPr>
  </w:style>
  <w:style w:type="paragraph" w:customStyle="1" w:styleId="287">
    <w:name w:val="序4"/>
    <w:basedOn w:val="1"/>
    <w:qFormat/>
    <w:uiPriority w:val="99"/>
    <w:pPr>
      <w:tabs>
        <w:tab w:val="left" w:pos="1680"/>
      </w:tabs>
      <w:spacing w:before="120"/>
      <w:ind w:left="1680" w:hanging="420"/>
      <w:jc w:val="left"/>
    </w:pPr>
    <w:rPr>
      <w:rFonts w:eastAsia="黑体"/>
      <w:b/>
      <w:bCs/>
      <w:caps/>
      <w:sz w:val="24"/>
    </w:rPr>
  </w:style>
  <w:style w:type="paragraph" w:customStyle="1" w:styleId="288">
    <w:name w:val="我的正文下级"/>
    <w:basedOn w:val="1"/>
    <w:qFormat/>
    <w:uiPriority w:val="99"/>
    <w:rPr>
      <w:rFonts w:ascii="仿宋_GB2312" w:hAnsi="宋体" w:eastAsia="仿宋_GB2312"/>
      <w:kern w:val="0"/>
      <w:sz w:val="28"/>
    </w:rPr>
  </w:style>
  <w:style w:type="paragraph" w:customStyle="1" w:styleId="289">
    <w:name w:val="黑正文"/>
    <w:basedOn w:val="1"/>
    <w:qFormat/>
    <w:uiPriority w:val="99"/>
    <w:pPr>
      <w:widowControl/>
      <w:tabs>
        <w:tab w:val="left" w:pos="625"/>
      </w:tabs>
      <w:overflowPunct w:val="0"/>
      <w:adjustRightInd w:val="0"/>
      <w:spacing w:line="300" w:lineRule="auto"/>
      <w:ind w:left="625" w:hanging="425"/>
      <w:jc w:val="left"/>
    </w:pPr>
    <w:rPr>
      <w:b/>
      <w:kern w:val="0"/>
      <w:sz w:val="24"/>
      <w:szCs w:val="20"/>
    </w:rPr>
  </w:style>
  <w:style w:type="paragraph" w:customStyle="1" w:styleId="290">
    <w:name w:val="序3"/>
    <w:basedOn w:val="1"/>
    <w:qFormat/>
    <w:uiPriority w:val="99"/>
    <w:pPr>
      <w:tabs>
        <w:tab w:val="left" w:pos="0"/>
        <w:tab w:val="left" w:pos="643"/>
      </w:tabs>
      <w:ind w:left="643" w:hanging="360"/>
    </w:pPr>
    <w:rPr>
      <w:rFonts w:eastAsia="楷体_GB2312"/>
      <w:b/>
      <w:bCs/>
      <w:sz w:val="32"/>
    </w:rPr>
  </w:style>
  <w:style w:type="paragraph" w:customStyle="1" w:styleId="291">
    <w:name w:val="Char Char1 Char Char Char Char1 Char Char Char Char Char Char Char Char Char Char Char Char"/>
    <w:basedOn w:val="1"/>
    <w:qFormat/>
    <w:uiPriority w:val="99"/>
    <w:rPr>
      <w:rFonts w:ascii="Tahoma" w:hAnsi="Tahoma"/>
      <w:sz w:val="24"/>
      <w:szCs w:val="20"/>
    </w:rPr>
  </w:style>
  <w:style w:type="paragraph" w:customStyle="1" w:styleId="292">
    <w:name w:val="xl43"/>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w:hAnsi="Arial" w:cs="Arial"/>
      <w:kern w:val="0"/>
      <w:sz w:val="16"/>
      <w:szCs w:val="16"/>
    </w:rPr>
  </w:style>
  <w:style w:type="paragraph" w:customStyle="1" w:styleId="293">
    <w:name w:val="EmailStyle2"/>
    <w:basedOn w:val="1"/>
    <w:next w:val="1"/>
    <w:qFormat/>
    <w:uiPriority w:val="0"/>
    <w:pPr>
      <w:keepNext/>
      <w:keepLines/>
      <w:adjustRightInd w:val="0"/>
      <w:spacing w:before="160" w:after="160" w:line="160" w:lineRule="atLeast"/>
      <w:ind w:left="851" w:hanging="851"/>
      <w:textAlignment w:val="baseline"/>
      <w:outlineLvl w:val="1"/>
    </w:pPr>
    <w:rPr>
      <w:rFonts w:ascii="黑体" w:hAnsi="Tahoma" w:eastAsia="黑体" w:cs="Tahoma"/>
      <w:b/>
      <w:sz w:val="28"/>
    </w:rPr>
  </w:style>
  <w:style w:type="paragraph" w:customStyle="1" w:styleId="294">
    <w:name w:val="Reader's comments"/>
    <w:basedOn w:val="1"/>
    <w:qFormat/>
    <w:uiPriority w:val="99"/>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295">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96">
    <w:name w:val="黑正文次级"/>
    <w:basedOn w:val="1"/>
    <w:qFormat/>
    <w:uiPriority w:val="99"/>
    <w:pPr>
      <w:widowControl/>
      <w:overflowPunct w:val="0"/>
      <w:autoSpaceDE w:val="0"/>
      <w:autoSpaceDN w:val="0"/>
      <w:adjustRightInd w:val="0"/>
      <w:spacing w:line="300" w:lineRule="auto"/>
      <w:ind w:left="400" w:leftChars="300" w:hanging="100" w:hangingChars="100"/>
      <w:jc w:val="left"/>
      <w:textAlignment w:val="baseline"/>
    </w:pPr>
    <w:rPr>
      <w:kern w:val="0"/>
      <w:sz w:val="24"/>
      <w:szCs w:val="20"/>
    </w:rPr>
  </w:style>
  <w:style w:type="paragraph" w:customStyle="1" w:styleId="297">
    <w:name w:val="*8. General Text"/>
    <w:basedOn w:val="114"/>
    <w:next w:val="114"/>
    <w:qFormat/>
    <w:uiPriority w:val="99"/>
    <w:pPr>
      <w:spacing w:after="120"/>
    </w:pPr>
    <w:rPr>
      <w:color w:val="auto"/>
    </w:rPr>
  </w:style>
  <w:style w:type="paragraph" w:customStyle="1" w:styleId="298">
    <w:name w:val="font9"/>
    <w:basedOn w:val="1"/>
    <w:qFormat/>
    <w:uiPriority w:val="99"/>
    <w:pPr>
      <w:widowControl/>
      <w:spacing w:before="100" w:beforeAutospacing="1" w:after="100" w:afterAutospacing="1"/>
      <w:jc w:val="left"/>
    </w:pPr>
    <w:rPr>
      <w:rFonts w:ascii="华文楷体" w:hAnsi="华文楷体" w:eastAsia="华文楷体"/>
      <w:b/>
      <w:bCs/>
      <w:kern w:val="0"/>
      <w:sz w:val="20"/>
      <w:szCs w:val="20"/>
    </w:rPr>
  </w:style>
  <w:style w:type="paragraph" w:customStyle="1" w:styleId="299">
    <w:name w:val="样式2"/>
    <w:basedOn w:val="3"/>
    <w:qFormat/>
    <w:uiPriority w:val="99"/>
    <w:pPr>
      <w:numPr>
        <w:numId w:val="0"/>
      </w:numPr>
      <w:tabs>
        <w:tab w:val="left" w:pos="840"/>
      </w:tabs>
      <w:adjustRightInd w:val="0"/>
      <w:snapToGrid w:val="0"/>
      <w:spacing w:before="240" w:after="240" w:line="360" w:lineRule="auto"/>
      <w:ind w:left="840" w:hanging="420"/>
      <w:jc w:val="both"/>
    </w:pPr>
    <w:rPr>
      <w:sz w:val="24"/>
      <w:szCs w:val="28"/>
    </w:rPr>
  </w:style>
  <w:style w:type="paragraph" w:customStyle="1" w:styleId="300">
    <w:name w:val="font0"/>
    <w:basedOn w:val="1"/>
    <w:qFormat/>
    <w:uiPriority w:val="99"/>
    <w:pPr>
      <w:widowControl/>
      <w:spacing w:before="100" w:beforeAutospacing="1" w:after="100" w:afterAutospacing="1"/>
      <w:jc w:val="left"/>
    </w:pPr>
    <w:rPr>
      <w:rFonts w:ascii="Arial" w:hAnsi="Arial" w:eastAsia="Arial Unicode MS" w:cs="Arial"/>
      <w:kern w:val="0"/>
      <w:sz w:val="20"/>
      <w:szCs w:val="20"/>
    </w:rPr>
  </w:style>
  <w:style w:type="paragraph" w:customStyle="1" w:styleId="301">
    <w:name w:val="section list2"/>
    <w:basedOn w:val="1"/>
    <w:qFormat/>
    <w:uiPriority w:val="99"/>
    <w:pPr>
      <w:widowControl/>
      <w:tabs>
        <w:tab w:val="left" w:pos="1680"/>
      </w:tabs>
      <w:autoSpaceDE w:val="0"/>
      <w:autoSpaceDN w:val="0"/>
      <w:spacing w:line="360" w:lineRule="auto"/>
      <w:ind w:left="1680" w:hanging="420"/>
      <w:jc w:val="left"/>
    </w:pPr>
    <w:rPr>
      <w:spacing w:val="20"/>
      <w:szCs w:val="20"/>
    </w:rPr>
  </w:style>
  <w:style w:type="paragraph" w:customStyle="1" w:styleId="302">
    <w:name w:val="注释文字"/>
    <w:basedOn w:val="1"/>
    <w:qFormat/>
    <w:uiPriority w:val="99"/>
    <w:pPr>
      <w:tabs>
        <w:tab w:val="left" w:pos="620"/>
        <w:tab w:val="left" w:pos="720"/>
      </w:tabs>
      <w:ind w:left="620" w:hanging="420"/>
      <w:jc w:val="left"/>
    </w:pPr>
    <w:rPr>
      <w:color w:val="008080"/>
      <w:sz w:val="24"/>
      <w:u w:val="words"/>
    </w:rPr>
  </w:style>
  <w:style w:type="paragraph" w:customStyle="1" w:styleId="303">
    <w:name w:val="可研正文"/>
    <w:basedOn w:val="21"/>
    <w:qFormat/>
    <w:uiPriority w:val="99"/>
    <w:pPr>
      <w:adjustRightInd w:val="0"/>
      <w:snapToGrid w:val="0"/>
      <w:spacing w:line="440" w:lineRule="exact"/>
      <w:ind w:firstLine="567"/>
    </w:pPr>
    <w:rPr>
      <w:rFonts w:ascii="仿宋_GB2312" w:eastAsia="仿宋_GB2312"/>
      <w:kern w:val="0"/>
    </w:rPr>
  </w:style>
  <w:style w:type="paragraph" w:customStyle="1" w:styleId="304">
    <w:name w:val="表格文字（大）"/>
    <w:basedOn w:val="1"/>
    <w:qFormat/>
    <w:uiPriority w:val="99"/>
    <w:pPr>
      <w:spacing w:before="20" w:after="20"/>
    </w:pPr>
    <w:rPr>
      <w:rFonts w:ascii="Century Gothic" w:hAnsi="Century Gothic"/>
      <w:sz w:val="24"/>
      <w:szCs w:val="20"/>
    </w:rPr>
  </w:style>
  <w:style w:type="paragraph" w:customStyle="1" w:styleId="305">
    <w:name w:val="Char1 Char Char Char Char Char Char Char Char Char Char Char Char Char"/>
    <w:basedOn w:val="1"/>
    <w:qFormat/>
    <w:uiPriority w:val="99"/>
    <w:pPr>
      <w:adjustRightInd w:val="0"/>
      <w:spacing w:line="360" w:lineRule="auto"/>
    </w:pPr>
    <w:rPr>
      <w:kern w:val="0"/>
      <w:sz w:val="24"/>
      <w:szCs w:val="20"/>
    </w:rPr>
  </w:style>
  <w:style w:type="paragraph" w:customStyle="1" w:styleId="306">
    <w:name w:val="xl27"/>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307">
    <w:name w:val="标题四"/>
    <w:basedOn w:val="5"/>
    <w:qFormat/>
    <w:uiPriority w:val="99"/>
    <w:pPr>
      <w:autoSpaceDE/>
      <w:autoSpaceDN/>
      <w:adjustRightInd/>
      <w:spacing w:before="260" w:after="260" w:line="416" w:lineRule="auto"/>
    </w:pPr>
    <w:rPr>
      <w:rFonts w:ascii="Times New Roman" w:eastAsia="宋体"/>
      <w:b/>
      <w:bCs/>
      <w:szCs w:val="32"/>
    </w:rPr>
  </w:style>
  <w:style w:type="paragraph" w:customStyle="1" w:styleId="308">
    <w:name w:val="xl40"/>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Arial Unicode MS" w:hAnsi="Arial Unicode MS"/>
      <w:b/>
      <w:bCs/>
      <w:kern w:val="0"/>
      <w:sz w:val="20"/>
      <w:szCs w:val="20"/>
    </w:rPr>
  </w:style>
  <w:style w:type="paragraph" w:customStyle="1" w:styleId="309">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310">
    <w:name w:val="正文样式1"/>
    <w:basedOn w:val="1"/>
    <w:qFormat/>
    <w:uiPriority w:val="99"/>
    <w:pPr>
      <w:spacing w:line="300" w:lineRule="auto"/>
      <w:ind w:firstLine="560" w:firstLineChars="200"/>
    </w:pPr>
    <w:rPr>
      <w:rFonts w:ascii="楷体_GB2312" w:eastAsia="楷体_GB2312"/>
      <w:kern w:val="0"/>
      <w:sz w:val="28"/>
    </w:rPr>
  </w:style>
  <w:style w:type="paragraph" w:customStyle="1" w:styleId="311">
    <w:name w:val="规范正文"/>
    <w:basedOn w:val="1"/>
    <w:qFormat/>
    <w:uiPriority w:val="99"/>
    <w:pPr>
      <w:tabs>
        <w:tab w:val="left" w:pos="900"/>
      </w:tabs>
      <w:adjustRightInd w:val="0"/>
      <w:spacing w:beforeLines="50" w:line="360" w:lineRule="auto"/>
      <w:ind w:left="900" w:hanging="420"/>
      <w:textAlignment w:val="baseline"/>
    </w:pPr>
    <w:rPr>
      <w:szCs w:val="20"/>
    </w:rPr>
  </w:style>
  <w:style w:type="paragraph" w:customStyle="1" w:styleId="312">
    <w:name w:val="xl49"/>
    <w:basedOn w:val="1"/>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313">
    <w:name w:val="gczx正文"/>
    <w:basedOn w:val="1"/>
    <w:qFormat/>
    <w:uiPriority w:val="99"/>
    <w:pPr>
      <w:spacing w:beforeLines="25" w:afterLines="25" w:line="440" w:lineRule="exact"/>
      <w:ind w:firstLine="200" w:firstLineChars="200"/>
    </w:pPr>
    <w:rPr>
      <w:sz w:val="24"/>
      <w:szCs w:val="20"/>
    </w:rPr>
  </w:style>
  <w:style w:type="paragraph" w:customStyle="1" w:styleId="314">
    <w:name w:val="Char1 Char Char Char Char Char"/>
    <w:basedOn w:val="1"/>
    <w:qFormat/>
    <w:uiPriority w:val="99"/>
    <w:pPr>
      <w:adjustRightInd w:val="0"/>
    </w:pPr>
    <w:rPr>
      <w:rFonts w:ascii="Tahoma" w:hAnsi="Tahoma"/>
      <w:sz w:val="24"/>
      <w:szCs w:val="20"/>
    </w:rPr>
  </w:style>
  <w:style w:type="paragraph" w:customStyle="1" w:styleId="315">
    <w:name w:val="序2"/>
    <w:basedOn w:val="1"/>
    <w:qFormat/>
    <w:uiPriority w:val="99"/>
    <w:pPr>
      <w:tabs>
        <w:tab w:val="left" w:pos="360"/>
        <w:tab w:val="left" w:pos="840"/>
      </w:tabs>
      <w:ind w:left="360" w:hanging="360"/>
    </w:pPr>
    <w:rPr>
      <w:rFonts w:eastAsia="黑体"/>
      <w:b/>
      <w:bCs/>
      <w:sz w:val="44"/>
    </w:rPr>
  </w:style>
  <w:style w:type="paragraph" w:customStyle="1" w:styleId="316">
    <w:name w:val="xl37"/>
    <w:basedOn w:val="1"/>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317">
    <w:name w:val="P4"/>
    <w:qFormat/>
    <w:uiPriority w:val="99"/>
    <w:pPr>
      <w:widowControl w:val="0"/>
      <w:adjustRightInd w:val="0"/>
      <w:spacing w:after="240" w:line="240" w:lineRule="atLeast"/>
      <w:ind w:left="2880"/>
      <w:jc w:val="both"/>
      <w:textAlignment w:val="baseline"/>
    </w:pPr>
    <w:rPr>
      <w:rFonts w:ascii="Times New Roman" w:hAnsi="Times New Roman" w:eastAsia="全真中明體" w:cs="Times New Roman"/>
      <w:spacing w:val="30"/>
      <w:sz w:val="24"/>
      <w:lang w:val="en-GB" w:eastAsia="zh-TW" w:bidi="ar-SA"/>
    </w:rPr>
  </w:style>
  <w:style w:type="paragraph" w:customStyle="1" w:styleId="318">
    <w:name w:val="段"/>
    <w:qFormat/>
    <w:uiPriority w:val="0"/>
    <w:pPr>
      <w:widowControl w:val="0"/>
      <w:autoSpaceDE w:val="0"/>
      <w:autoSpaceDN w:val="0"/>
      <w:adjustRightInd w:val="0"/>
      <w:spacing w:line="360" w:lineRule="atLeast"/>
      <w:ind w:firstLine="425"/>
      <w:jc w:val="both"/>
      <w:textAlignment w:val="baseline"/>
    </w:pPr>
    <w:rPr>
      <w:rFonts w:ascii="宋体" w:hAnsi="Times New Roman" w:eastAsia="宋体" w:cs="Times New Roman"/>
      <w:sz w:val="21"/>
      <w:lang w:val="en-US" w:eastAsia="zh-CN" w:bidi="ar-SA"/>
    </w:rPr>
  </w:style>
  <w:style w:type="paragraph" w:customStyle="1" w:styleId="319">
    <w:name w:val="附录 Heading 2"/>
    <w:basedOn w:val="4"/>
    <w:qFormat/>
    <w:uiPriority w:val="99"/>
    <w:pPr>
      <w:keepLines w:val="0"/>
      <w:widowControl/>
      <w:numPr>
        <w:ilvl w:val="0"/>
        <w:numId w:val="0"/>
      </w:numPr>
      <w:tabs>
        <w:tab w:val="left" w:pos="0"/>
        <w:tab w:val="left" w:pos="420"/>
      </w:tabs>
      <w:spacing w:before="480" w:after="120" w:line="288" w:lineRule="auto"/>
      <w:ind w:left="420" w:hanging="420"/>
      <w:jc w:val="left"/>
    </w:pPr>
    <w:rPr>
      <w:rFonts w:ascii="Microsoft Sans Serif" w:hAnsi="Microsoft Sans Serif" w:eastAsia="仿宋_GB2312" w:cs="Microsoft Sans Serif"/>
      <w:b/>
      <w:iCs/>
      <w:kern w:val="0"/>
      <w:sz w:val="24"/>
      <w:szCs w:val="28"/>
    </w:rPr>
  </w:style>
  <w:style w:type="paragraph" w:customStyle="1" w:styleId="320">
    <w:name w:val="编号正文"/>
    <w:basedOn w:val="204"/>
    <w:qFormat/>
    <w:uiPriority w:val="99"/>
    <w:pPr>
      <w:tabs>
        <w:tab w:val="left" w:pos="1407"/>
      </w:tabs>
      <w:spacing w:line="440" w:lineRule="exact"/>
      <w:ind w:left="1407" w:hanging="420"/>
      <w:jc w:val="left"/>
    </w:pPr>
    <w:rPr>
      <w:rFonts w:ascii="Arial Narrow" w:hAnsi="Arial Narrow" w:eastAsia="仿宋_GB2312"/>
      <w:sz w:val="24"/>
      <w:szCs w:val="24"/>
    </w:rPr>
  </w:style>
  <w:style w:type="paragraph" w:customStyle="1" w:styleId="321">
    <w:name w:val="楷体粗正文文字"/>
    <w:basedOn w:val="1"/>
    <w:next w:val="45"/>
    <w:qFormat/>
    <w:uiPriority w:val="99"/>
    <w:pPr>
      <w:snapToGrid w:val="0"/>
      <w:spacing w:line="480" w:lineRule="exact"/>
      <w:ind w:firstLine="560"/>
    </w:pPr>
    <w:rPr>
      <w:sz w:val="28"/>
      <w:szCs w:val="20"/>
    </w:rPr>
  </w:style>
  <w:style w:type="paragraph" w:customStyle="1" w:styleId="322">
    <w:name w:val="标题下列示顺序"/>
    <w:basedOn w:val="257"/>
    <w:qFormat/>
    <w:uiPriority w:val="99"/>
    <w:pPr>
      <w:tabs>
        <w:tab w:val="left" w:pos="1680"/>
      </w:tabs>
      <w:ind w:left="1680" w:leftChars="0" w:hanging="420"/>
    </w:pPr>
  </w:style>
  <w:style w:type="paragraph" w:customStyle="1" w:styleId="323">
    <w:name w:val="xl68"/>
    <w:basedOn w:val="1"/>
    <w:qFormat/>
    <w:uiPriority w:val="99"/>
    <w:pPr>
      <w:widowControl/>
      <w:spacing w:before="100" w:beforeAutospacing="1" w:after="100" w:afterAutospacing="1"/>
      <w:jc w:val="center"/>
    </w:pPr>
    <w:rPr>
      <w:rFonts w:ascii="Arial" w:hAnsi="Arial" w:cs="Arial"/>
      <w:kern w:val="0"/>
      <w:sz w:val="20"/>
      <w:szCs w:val="20"/>
    </w:rPr>
  </w:style>
  <w:style w:type="paragraph" w:customStyle="1" w:styleId="324">
    <w:name w:val="招标文件1）"/>
    <w:qFormat/>
    <w:uiPriority w:val="99"/>
    <w:pPr>
      <w:spacing w:before="120" w:after="120" w:line="300" w:lineRule="auto"/>
      <w:outlineLvl w:val="5"/>
    </w:pPr>
    <w:rPr>
      <w:rFonts w:ascii="宋体" w:hAnsi="Times New Roman" w:eastAsia="宋体" w:cs="Times New Roman"/>
      <w:spacing w:val="10"/>
      <w:w w:val="95"/>
      <w:sz w:val="21"/>
      <w:lang w:val="en-US" w:eastAsia="zh-CN" w:bidi="ar-SA"/>
    </w:rPr>
  </w:style>
  <w:style w:type="paragraph" w:customStyle="1" w:styleId="325">
    <w:name w:val="招标文件》"/>
    <w:basedOn w:val="230"/>
    <w:qFormat/>
    <w:uiPriority w:val="99"/>
    <w:pPr>
      <w:tabs>
        <w:tab w:val="left" w:pos="560"/>
      </w:tabs>
      <w:ind w:left="200" w:firstLine="0" w:firstLineChars="0"/>
    </w:pPr>
  </w:style>
  <w:style w:type="paragraph" w:customStyle="1" w:styleId="326">
    <w:name w:val="样式 样式 列项· + 段后: 0.5 行 + 段前: 0.5 行"/>
    <w:basedOn w:val="1"/>
    <w:qFormat/>
    <w:uiPriority w:val="99"/>
    <w:pPr>
      <w:widowControl/>
      <w:tabs>
        <w:tab w:val="left" w:pos="814"/>
      </w:tabs>
      <w:spacing w:beforeLines="50"/>
      <w:ind w:firstLine="454"/>
      <w:jc w:val="left"/>
    </w:pPr>
    <w:rPr>
      <w:rFonts w:ascii="宋体" w:cs="宋体"/>
      <w:kern w:val="0"/>
      <w:sz w:val="24"/>
      <w:szCs w:val="20"/>
    </w:rPr>
  </w:style>
  <w:style w:type="paragraph" w:customStyle="1" w:styleId="327">
    <w:name w:val="font7"/>
    <w:basedOn w:val="1"/>
    <w:qFormat/>
    <w:uiPriority w:val="99"/>
    <w:pPr>
      <w:widowControl/>
      <w:spacing w:before="100" w:beforeAutospacing="1" w:after="100" w:afterAutospacing="1"/>
      <w:jc w:val="left"/>
    </w:pPr>
    <w:rPr>
      <w:rFonts w:ascii="Arial" w:hAnsi="Arial" w:cs="Arial"/>
      <w:b/>
      <w:bCs/>
      <w:kern w:val="0"/>
      <w:sz w:val="20"/>
      <w:szCs w:val="20"/>
    </w:rPr>
  </w:style>
  <w:style w:type="paragraph" w:customStyle="1" w:styleId="328">
    <w:name w:val="1 Char"/>
    <w:basedOn w:val="1"/>
    <w:qFormat/>
    <w:uiPriority w:val="99"/>
    <w:rPr>
      <w:rFonts w:ascii="Tahoma" w:hAnsi="Tahoma"/>
      <w:sz w:val="24"/>
      <w:szCs w:val="20"/>
    </w:rPr>
  </w:style>
  <w:style w:type="paragraph" w:customStyle="1" w:styleId="329">
    <w:name w:val="*4. Head 1"/>
    <w:basedOn w:val="114"/>
    <w:next w:val="114"/>
    <w:qFormat/>
    <w:uiPriority w:val="99"/>
    <w:pPr>
      <w:spacing w:before="180" w:after="60"/>
    </w:pPr>
    <w:rPr>
      <w:rFonts w:ascii="Arial" w:hAnsi="Arial"/>
      <w:color w:val="auto"/>
    </w:rPr>
  </w:style>
  <w:style w:type="paragraph" w:customStyle="1" w:styleId="330">
    <w:name w:val="Default Text"/>
    <w:basedOn w:val="1"/>
    <w:qFormat/>
    <w:uiPriority w:val="99"/>
    <w:pPr>
      <w:autoSpaceDE w:val="0"/>
      <w:autoSpaceDN w:val="0"/>
      <w:adjustRightInd w:val="0"/>
      <w:spacing w:after="100"/>
      <w:jc w:val="left"/>
    </w:pPr>
    <w:rPr>
      <w:rFonts w:ascii="Arial" w:hAnsi="Arial" w:cs="Arial"/>
      <w:kern w:val="0"/>
      <w:sz w:val="20"/>
      <w:szCs w:val="20"/>
    </w:rPr>
  </w:style>
  <w:style w:type="paragraph" w:customStyle="1" w:styleId="331">
    <w:name w:val="xl5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332">
    <w:name w:val="Bullet 1"/>
    <w:basedOn w:val="1"/>
    <w:qFormat/>
    <w:uiPriority w:val="99"/>
    <w:pPr>
      <w:widowControl/>
      <w:tabs>
        <w:tab w:val="left" w:pos="420"/>
      </w:tabs>
      <w:autoSpaceDE w:val="0"/>
      <w:autoSpaceDN w:val="0"/>
      <w:spacing w:after="72"/>
      <w:ind w:left="420" w:hanging="420"/>
    </w:pPr>
    <w:rPr>
      <w:kern w:val="0"/>
      <w:sz w:val="24"/>
      <w:szCs w:val="20"/>
    </w:rPr>
  </w:style>
  <w:style w:type="paragraph" w:customStyle="1" w:styleId="333">
    <w:name w:val="Char1 Char Char Char Char Char Char Char Char Char Char Char Char Char Char Char"/>
    <w:basedOn w:val="1"/>
    <w:qFormat/>
    <w:uiPriority w:val="99"/>
    <w:pPr>
      <w:adjustRightInd w:val="0"/>
      <w:spacing w:line="360" w:lineRule="auto"/>
    </w:pPr>
    <w:rPr>
      <w:kern w:val="0"/>
      <w:sz w:val="24"/>
      <w:szCs w:val="20"/>
    </w:rPr>
  </w:style>
  <w:style w:type="paragraph" w:customStyle="1" w:styleId="334">
    <w:name w:val="Char Char Char Char"/>
    <w:basedOn w:val="1"/>
    <w:next w:val="1"/>
    <w:qFormat/>
    <w:uiPriority w:val="99"/>
    <w:pPr>
      <w:widowControl/>
      <w:tabs>
        <w:tab w:val="left" w:pos="360"/>
      </w:tabs>
      <w:ind w:left="360" w:hanging="360"/>
      <w:jc w:val="left"/>
    </w:pPr>
    <w:rPr>
      <w:rFonts w:eastAsia="MS Mincho"/>
      <w:kern w:val="0"/>
      <w:sz w:val="24"/>
      <w:lang w:eastAsia="ja-JP"/>
    </w:rPr>
  </w:style>
  <w:style w:type="paragraph" w:customStyle="1" w:styleId="335">
    <w:name w:val="xl51"/>
    <w:basedOn w:val="1"/>
    <w:qFormat/>
    <w:uiPriority w:val="99"/>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Unicode MS" w:hAnsi="Arial Unicode MS"/>
      <w:b/>
      <w:bCs/>
      <w:kern w:val="0"/>
      <w:sz w:val="20"/>
      <w:szCs w:val="20"/>
    </w:rPr>
  </w:style>
  <w:style w:type="paragraph" w:customStyle="1" w:styleId="336">
    <w:name w:val="默认段落字体 Para Char Char Char1 Char Char Char Char Char Char Char"/>
    <w:basedOn w:val="1"/>
    <w:qFormat/>
    <w:uiPriority w:val="99"/>
    <w:pPr>
      <w:adjustRightInd w:val="0"/>
      <w:spacing w:line="360" w:lineRule="auto"/>
    </w:pPr>
    <w:rPr>
      <w:kern w:val="0"/>
      <w:sz w:val="24"/>
      <w:szCs w:val="20"/>
    </w:rPr>
  </w:style>
  <w:style w:type="paragraph" w:customStyle="1" w:styleId="337">
    <w:name w:val="样式1"/>
    <w:basedOn w:val="1"/>
    <w:qFormat/>
    <w:uiPriority w:val="99"/>
    <w:pPr>
      <w:tabs>
        <w:tab w:val="left" w:pos="-210"/>
        <w:tab w:val="left" w:pos="1680"/>
      </w:tabs>
      <w:autoSpaceDE w:val="0"/>
      <w:autoSpaceDN w:val="0"/>
      <w:adjustRightInd w:val="0"/>
      <w:spacing w:beforeLines="50" w:line="360" w:lineRule="atLeast"/>
      <w:ind w:left="1680" w:right="-180" w:hanging="420" w:firstLineChars="200"/>
    </w:pPr>
    <w:rPr>
      <w:rFonts w:ascii="楷体_GB2312" w:hAnsi="Arial" w:eastAsia="楷体_GB2312"/>
      <w:spacing w:val="20"/>
      <w:sz w:val="24"/>
      <w:szCs w:val="20"/>
    </w:rPr>
  </w:style>
  <w:style w:type="paragraph" w:customStyle="1" w:styleId="338">
    <w:name w:val="xl52"/>
    <w:basedOn w:val="1"/>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339">
    <w:name w:val="xl54"/>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340">
    <w:name w:val="默认段落字体 Para Char"/>
    <w:basedOn w:val="1"/>
    <w:qFormat/>
    <w:uiPriority w:val="99"/>
    <w:rPr>
      <w:rFonts w:ascii="Tahoma" w:hAnsi="Tahoma"/>
      <w:sz w:val="24"/>
      <w:szCs w:val="20"/>
    </w:rPr>
  </w:style>
  <w:style w:type="paragraph" w:customStyle="1" w:styleId="341">
    <w:name w:val="Comment"/>
    <w:basedOn w:val="1"/>
    <w:qFormat/>
    <w:uiPriority w:val="99"/>
    <w:pPr>
      <w:widowControl/>
      <w:overflowPunct w:val="0"/>
      <w:autoSpaceDE w:val="0"/>
      <w:autoSpaceDN w:val="0"/>
      <w:adjustRightInd w:val="0"/>
      <w:spacing w:after="100"/>
      <w:jc w:val="left"/>
      <w:textAlignment w:val="baseline"/>
    </w:pPr>
    <w:rPr>
      <w:rFonts w:ascii="Arial" w:hAnsi="Arial" w:cs="Arial"/>
      <w:color w:val="0000FF"/>
      <w:kern w:val="0"/>
      <w:sz w:val="20"/>
      <w:szCs w:val="20"/>
    </w:rPr>
  </w:style>
  <w:style w:type="paragraph" w:customStyle="1" w:styleId="342">
    <w:name w:val="MM Topic 2"/>
    <w:basedOn w:val="4"/>
    <w:qFormat/>
    <w:uiPriority w:val="0"/>
    <w:pPr>
      <w:keepLines w:val="0"/>
      <w:widowControl/>
      <w:numPr>
        <w:ilvl w:val="0"/>
        <w:numId w:val="0"/>
      </w:numPr>
      <w:tabs>
        <w:tab w:val="left" w:pos="992"/>
        <w:tab w:val="left" w:pos="1440"/>
      </w:tabs>
      <w:spacing w:before="240" w:after="240" w:line="240" w:lineRule="auto"/>
      <w:ind w:hanging="1440"/>
    </w:pPr>
    <w:rPr>
      <w:bCs w:val="0"/>
      <w:kern w:val="0"/>
      <w:sz w:val="24"/>
      <w:szCs w:val="20"/>
    </w:rPr>
  </w:style>
  <w:style w:type="paragraph" w:customStyle="1" w:styleId="343">
    <w:name w:val="表格首行"/>
    <w:basedOn w:val="1"/>
    <w:qFormat/>
    <w:uiPriority w:val="99"/>
    <w:pPr>
      <w:jc w:val="center"/>
    </w:pPr>
    <w:rPr>
      <w:rFonts w:ascii="宋体" w:hAnsi="宋体"/>
    </w:rPr>
  </w:style>
  <w:style w:type="paragraph" w:customStyle="1" w:styleId="344">
    <w:name w:val="font11"/>
    <w:basedOn w:val="1"/>
    <w:qFormat/>
    <w:uiPriority w:val="99"/>
    <w:pPr>
      <w:widowControl/>
      <w:spacing w:before="100" w:beforeAutospacing="1" w:after="100" w:afterAutospacing="1"/>
      <w:jc w:val="left"/>
    </w:pPr>
    <w:rPr>
      <w:rFonts w:ascii="宋体" w:hAnsi="宋体" w:cs="Arial Unicode MS"/>
      <w:color w:val="FF0000"/>
      <w:kern w:val="0"/>
      <w:sz w:val="24"/>
    </w:rPr>
  </w:style>
  <w:style w:type="paragraph" w:customStyle="1" w:styleId="345">
    <w:name w:val="黑正体次次级"/>
    <w:basedOn w:val="296"/>
    <w:qFormat/>
    <w:uiPriority w:val="99"/>
    <w:pPr>
      <w:tabs>
        <w:tab w:val="left" w:pos="425"/>
      </w:tabs>
      <w:ind w:left="1417" w:hanging="425"/>
    </w:pPr>
    <w:rPr>
      <w:i/>
      <w:sz w:val="20"/>
    </w:rPr>
  </w:style>
  <w:style w:type="paragraph" w:customStyle="1" w:styleId="346">
    <w:name w:val="Char11"/>
    <w:basedOn w:val="1"/>
    <w:qFormat/>
    <w:uiPriority w:val="0"/>
    <w:rPr>
      <w:rFonts w:ascii="宋体" w:hAnsi="宋体"/>
      <w:sz w:val="24"/>
      <w:szCs w:val="20"/>
    </w:rPr>
  </w:style>
  <w:style w:type="paragraph" w:customStyle="1" w:styleId="347">
    <w:name w:val="xl29"/>
    <w:basedOn w:val="1"/>
    <w:qFormat/>
    <w:uiPriority w:val="99"/>
    <w:pPr>
      <w:widowControl/>
      <w:pBdr>
        <w:top w:val="single" w:color="auto" w:sz="4" w:space="0"/>
        <w:bottom w:val="single" w:color="auto" w:sz="4" w:space="0"/>
      </w:pBdr>
      <w:spacing w:before="100" w:beforeAutospacing="1" w:after="100" w:afterAutospacing="1"/>
      <w:jc w:val="left"/>
    </w:pPr>
    <w:rPr>
      <w:rFonts w:ascii="宋体" w:hAnsi="宋体" w:cs="Arial Unicode MS"/>
      <w:kern w:val="0"/>
      <w:sz w:val="24"/>
    </w:rPr>
  </w:style>
  <w:style w:type="paragraph" w:customStyle="1" w:styleId="348">
    <w:name w:val="注释"/>
    <w:basedOn w:val="1"/>
    <w:qFormat/>
    <w:uiPriority w:val="99"/>
    <w:pPr>
      <w:shd w:val="clear" w:color="auto" w:fill="E0E0E0"/>
      <w:spacing w:beforeLines="50" w:afterLines="50"/>
    </w:pPr>
    <w:rPr>
      <w:rFonts w:ascii="Arial" w:hAnsi="Arial" w:eastAsia="仿宋_GB2312"/>
    </w:rPr>
  </w:style>
  <w:style w:type="paragraph" w:customStyle="1" w:styleId="349">
    <w:name w:val="MM Topic 1"/>
    <w:basedOn w:val="3"/>
    <w:qFormat/>
    <w:uiPriority w:val="0"/>
    <w:pPr>
      <w:keepLines w:val="0"/>
      <w:widowControl/>
      <w:numPr>
        <w:numId w:val="0"/>
      </w:numPr>
      <w:tabs>
        <w:tab w:val="left" w:pos="425"/>
        <w:tab w:val="left" w:pos="1440"/>
      </w:tabs>
      <w:spacing w:before="240" w:after="240" w:line="240" w:lineRule="auto"/>
      <w:ind w:left="1440" w:hanging="1440"/>
      <w:jc w:val="both"/>
    </w:pPr>
    <w:rPr>
      <w:rFonts w:ascii="Arial" w:hAnsi="Arial"/>
      <w:b/>
      <w:bCs w:val="0"/>
      <w:kern w:val="0"/>
      <w:sz w:val="32"/>
      <w:szCs w:val="20"/>
    </w:rPr>
  </w:style>
  <w:style w:type="character" w:customStyle="1" w:styleId="350">
    <w:name w:val="apple-converted-space"/>
    <w:qFormat/>
    <w:uiPriority w:val="0"/>
  </w:style>
  <w:style w:type="paragraph" w:customStyle="1" w:styleId="351">
    <w:name w:val="Normal Paragraph"/>
    <w:basedOn w:val="1"/>
    <w:link w:val="363"/>
    <w:qFormat/>
    <w:uiPriority w:val="0"/>
    <w:pPr>
      <w:widowControl/>
      <w:spacing w:before="120" w:line="360" w:lineRule="auto"/>
      <w:ind w:firstLine="425"/>
    </w:pPr>
    <w:rPr>
      <w:kern w:val="0"/>
      <w:sz w:val="24"/>
    </w:rPr>
  </w:style>
  <w:style w:type="paragraph" w:customStyle="1" w:styleId="352">
    <w:name w:val="正文小四（首行缩进两字）"/>
    <w:qFormat/>
    <w:uiPriority w:val="0"/>
    <w:pPr>
      <w:spacing w:line="360" w:lineRule="auto"/>
      <w:ind w:firstLine="200" w:firstLineChars="200"/>
    </w:pPr>
    <w:rPr>
      <w:rFonts w:ascii="Times New Roman" w:hAnsi="Times New Roman" w:eastAsia="宋体" w:cs="Times New Roman"/>
      <w:sz w:val="24"/>
      <w:lang w:val="en-US" w:eastAsia="zh-CN" w:bidi="ar-SA"/>
    </w:rPr>
  </w:style>
  <w:style w:type="paragraph" w:customStyle="1" w:styleId="353">
    <w:name w:val="NeusoftPMS正文"/>
    <w:basedOn w:val="1"/>
    <w:link w:val="354"/>
    <w:qFormat/>
    <w:uiPriority w:val="0"/>
    <w:pPr>
      <w:widowControl/>
      <w:ind w:firstLine="200" w:firstLineChars="200"/>
      <w:jc w:val="left"/>
    </w:pPr>
    <w:rPr>
      <w:szCs w:val="20"/>
    </w:rPr>
  </w:style>
  <w:style w:type="character" w:customStyle="1" w:styleId="354">
    <w:name w:val="NeusoftPMS正文 Char"/>
    <w:link w:val="353"/>
    <w:qFormat/>
    <w:uiPriority w:val="0"/>
    <w:rPr>
      <w:kern w:val="2"/>
      <w:sz w:val="21"/>
    </w:rPr>
  </w:style>
  <w:style w:type="character" w:customStyle="1" w:styleId="355">
    <w:name w:val="明显参考1"/>
    <w:qFormat/>
    <w:uiPriority w:val="32"/>
    <w:rPr>
      <w:b/>
      <w:bCs/>
      <w:smallCaps/>
      <w:color w:val="4F81BD"/>
      <w:spacing w:val="5"/>
    </w:rPr>
  </w:style>
  <w:style w:type="paragraph" w:customStyle="1" w:styleId="356">
    <w:name w:val="QB正文"/>
    <w:basedOn w:val="1"/>
    <w:qFormat/>
    <w:uiPriority w:val="0"/>
    <w:pPr>
      <w:widowControl/>
      <w:autoSpaceDE w:val="0"/>
      <w:autoSpaceDN w:val="0"/>
      <w:ind w:firstLine="200" w:firstLineChars="200"/>
    </w:pPr>
    <w:rPr>
      <w:rFonts w:ascii="宋体"/>
      <w:kern w:val="0"/>
      <w:szCs w:val="20"/>
    </w:rPr>
  </w:style>
  <w:style w:type="paragraph" w:customStyle="1" w:styleId="357">
    <w:name w:val="TOC 标题3"/>
    <w:basedOn w:val="3"/>
    <w:next w:val="1"/>
    <w:qFormat/>
    <w:uiPriority w:val="39"/>
    <w:pPr>
      <w:widowControl/>
      <w:numPr>
        <w:numId w:val="0"/>
      </w:numPr>
      <w:spacing w:before="240" w:after="0" w:line="259" w:lineRule="auto"/>
      <w:jc w:val="left"/>
      <w:outlineLvl w:val="9"/>
    </w:pPr>
    <w:rPr>
      <w:rFonts w:ascii="Cambria" w:hAnsi="Cambria" w:eastAsia="宋体"/>
      <w:bCs w:val="0"/>
      <w:color w:val="365F91"/>
      <w:kern w:val="0"/>
      <w:sz w:val="32"/>
      <w:szCs w:val="32"/>
    </w:rPr>
  </w:style>
  <w:style w:type="paragraph" w:customStyle="1" w:styleId="358">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359">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360">
    <w:name w:val="样式 仿宋_GB2312 小四"/>
    <w:qFormat/>
    <w:uiPriority w:val="0"/>
    <w:rPr>
      <w:rFonts w:ascii="仿宋_GB2312" w:hAnsi="仿宋_GB2312" w:eastAsia="仿宋_GB2312"/>
      <w:sz w:val="24"/>
    </w:rPr>
  </w:style>
  <w:style w:type="paragraph" w:customStyle="1" w:styleId="361">
    <w:name w:val="kevin标题1"/>
    <w:basedOn w:val="1"/>
    <w:qFormat/>
    <w:uiPriority w:val="0"/>
    <w:pPr>
      <w:spacing w:afterLines="50"/>
      <w:ind w:left="1" w:firstLine="538" w:firstLineChars="192"/>
    </w:pPr>
    <w:rPr>
      <w:rFonts w:eastAsia="黑体"/>
      <w:sz w:val="24"/>
      <w:szCs w:val="20"/>
    </w:rPr>
  </w:style>
  <w:style w:type="character" w:customStyle="1" w:styleId="362">
    <w:name w:val="msonormal1"/>
    <w:qFormat/>
    <w:uiPriority w:val="0"/>
  </w:style>
  <w:style w:type="character" w:customStyle="1" w:styleId="363">
    <w:name w:val="Normal Paragraph Char1"/>
    <w:link w:val="351"/>
    <w:qFormat/>
    <w:locked/>
    <w:uiPriority w:val="0"/>
    <w:rPr>
      <w:sz w:val="24"/>
      <w:szCs w:val="24"/>
    </w:rPr>
  </w:style>
  <w:style w:type="character" w:customStyle="1" w:styleId="364">
    <w:name w:val="未处理的提及1"/>
    <w:basedOn w:val="55"/>
    <w:semiHidden/>
    <w:unhideWhenUsed/>
    <w:qFormat/>
    <w:uiPriority w:val="99"/>
    <w:rPr>
      <w:color w:val="605E5C"/>
      <w:shd w:val="clear" w:color="auto" w:fill="E1DFDD"/>
    </w:rPr>
  </w:style>
  <w:style w:type="character" w:customStyle="1" w:styleId="365">
    <w:name w:val="3级标题 Char"/>
    <w:link w:val="366"/>
    <w:qFormat/>
    <w:uiPriority w:val="0"/>
    <w:rPr>
      <w:b/>
    </w:rPr>
  </w:style>
  <w:style w:type="paragraph" w:customStyle="1" w:styleId="366">
    <w:name w:val="3级标题"/>
    <w:basedOn w:val="1"/>
    <w:link w:val="365"/>
    <w:qFormat/>
    <w:uiPriority w:val="0"/>
    <w:pPr>
      <w:spacing w:line="360" w:lineRule="auto"/>
      <w:outlineLvl w:val="1"/>
    </w:pPr>
    <w:rPr>
      <w:b/>
    </w:rPr>
  </w:style>
  <w:style w:type="paragraph" w:customStyle="1" w:styleId="367">
    <w:name w:val="4级标题"/>
    <w:basedOn w:val="1"/>
    <w:qFormat/>
    <w:uiPriority w:val="0"/>
    <w:pPr>
      <w:numPr>
        <w:ilvl w:val="1"/>
        <w:numId w:val="3"/>
      </w:numPr>
      <w:spacing w:line="360" w:lineRule="auto"/>
      <w:outlineLvl w:val="2"/>
    </w:pPr>
  </w:style>
  <w:style w:type="paragraph" w:customStyle="1" w:styleId="368">
    <w:name w:val="whh正文"/>
    <w:basedOn w:val="1"/>
    <w:qFormat/>
    <w:uiPriority w:val="0"/>
    <w:pPr>
      <w:adjustRightInd w:val="0"/>
      <w:snapToGrid w:val="0"/>
      <w:spacing w:line="360" w:lineRule="auto"/>
      <w:ind w:firstLine="420"/>
    </w:pPr>
    <w:rPr>
      <w:rFonts w:ascii="宋体" w:hAnsi="宋体"/>
      <w:szCs w:val="21"/>
    </w:rPr>
  </w:style>
  <w:style w:type="paragraph" w:customStyle="1" w:styleId="369">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370">
    <w:name w:val="项"/>
    <w:basedOn w:val="1"/>
    <w:qFormat/>
    <w:uiPriority w:val="0"/>
    <w:pPr>
      <w:numPr>
        <w:ilvl w:val="0"/>
        <w:numId w:val="4"/>
      </w:numPr>
      <w:spacing w:line="360" w:lineRule="auto"/>
    </w:pPr>
    <w:rPr>
      <w:sz w:val="24"/>
    </w:rPr>
  </w:style>
  <w:style w:type="paragraph" w:customStyle="1" w:styleId="371">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372">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373">
    <w:name w:val="列出段落3"/>
    <w:basedOn w:val="1"/>
    <w:qFormat/>
    <w:uiPriority w:val="0"/>
    <w:pPr>
      <w:ind w:firstLine="420" w:firstLineChars="200"/>
    </w:pPr>
    <w:rPr>
      <w:szCs w:val="21"/>
    </w:rPr>
  </w:style>
  <w:style w:type="paragraph" w:customStyle="1" w:styleId="374">
    <w:name w:val="正文2"/>
    <w:qFormat/>
    <w:uiPriority w:val="0"/>
    <w:pPr>
      <w:jc w:val="both"/>
    </w:pPr>
    <w:rPr>
      <w:rFonts w:ascii="等线" w:hAnsi="等线" w:eastAsia="宋体" w:cs="宋体"/>
      <w:kern w:val="2"/>
      <w:sz w:val="21"/>
      <w:szCs w:val="21"/>
      <w:lang w:val="en-US" w:eastAsia="zh-CN" w:bidi="ar-SA"/>
    </w:rPr>
  </w:style>
  <w:style w:type="character" w:customStyle="1" w:styleId="375">
    <w:name w:val="列出段落 Char2"/>
    <w:qFormat/>
    <w:uiPriority w:val="34"/>
    <w:rPr>
      <w:rFonts w:ascii="Calibri" w:hAnsi="Calibri" w:eastAsia="宋体" w:cs="Times New Roman"/>
      <w:lang w:val="zh-CN" w:eastAsia="zh-CN"/>
    </w:rPr>
  </w:style>
  <w:style w:type="character" w:customStyle="1" w:styleId="376">
    <w:name w:val="标题 1 字符2"/>
    <w:qFormat/>
    <w:uiPriority w:val="0"/>
    <w:rPr>
      <w:rFonts w:hint="default" w:ascii="Times New Roman" w:hAnsi="Times New Roman" w:eastAsia="宋体" w:cs="Times New Roman"/>
      <w:b/>
      <w:kern w:val="44"/>
      <w:sz w:val="44"/>
      <w:szCs w:val="44"/>
    </w:rPr>
  </w:style>
  <w:style w:type="paragraph" w:customStyle="1" w:styleId="377">
    <w:name w:val="List Paragraph11"/>
    <w:basedOn w:val="1"/>
    <w:qFormat/>
    <w:uiPriority w:val="0"/>
    <w:pPr>
      <w:ind w:firstLine="420" w:firstLineChars="200"/>
    </w:pPr>
    <w:rPr>
      <w:kern w:val="0"/>
      <w:sz w:val="24"/>
    </w:rPr>
  </w:style>
  <w:style w:type="paragraph" w:customStyle="1" w:styleId="378">
    <w:name w:val="List Paragraph1"/>
    <w:basedOn w:val="1"/>
    <w:qFormat/>
    <w:uiPriority w:val="0"/>
    <w:pPr>
      <w:ind w:firstLine="420" w:firstLineChars="200"/>
    </w:pPr>
    <w:rPr>
      <w:szCs w:val="21"/>
    </w:rPr>
  </w:style>
  <w:style w:type="paragraph" w:customStyle="1" w:styleId="379">
    <w:name w:val="正文3"/>
    <w:basedOn w:val="1"/>
    <w:qFormat/>
    <w:uiPriority w:val="0"/>
    <w:pPr>
      <w:widowControl/>
    </w:pPr>
    <w:rPr>
      <w:rFonts w:ascii="等线" w:hAnsi="等线" w:cs="宋体"/>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8546B9-C64E-467D-A3C3-4AF516098F4A}">
  <ds:schemaRefs/>
</ds:datastoreItem>
</file>

<file path=docProps/app.xml><?xml version="1.0" encoding="utf-8"?>
<Properties xmlns="http://schemas.openxmlformats.org/officeDocument/2006/extended-properties" xmlns:vt="http://schemas.openxmlformats.org/officeDocument/2006/docPropsVTypes">
  <Template>Normal</Template>
  <Company>miit</Company>
  <Pages>64</Pages>
  <Words>27180</Words>
  <Characters>29125</Characters>
  <Lines>259</Lines>
  <Paragraphs>73</Paragraphs>
  <TotalTime>2</TotalTime>
  <ScaleCrop>false</ScaleCrop>
  <LinksUpToDate>false</LinksUpToDate>
  <CharactersWithSpaces>30634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2022-08-17T01:03:00Z</dcterms:created>
  <dc:creator>Administrator</dc:creator>
  <cp:lastModifiedBy>胡静</cp:lastModifiedBy>
  <cp:lastPrinted>2017-04-10T13:36:00Z</cp:lastPrinted>
  <dcterms:modified xsi:type="dcterms:W3CDTF">2022-09-23T08:23:17Z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5176F8C9F83D4F7F8584ACC802D85006</vt:lpwstr>
  </property>
</Properties>
</file>