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bookmarkStart w:id="0" w:name="_Hlk97121947"/>
    </w:p>
    <w:p>
      <w:pPr>
        <w:spacing w:line="360" w:lineRule="auto"/>
        <w:ind w:firstLine="560"/>
        <w:rPr>
          <w:rFonts w:eastAsia="仿宋_GB2312"/>
          <w:sz w:val="28"/>
          <w:szCs w:val="28"/>
        </w:rPr>
      </w:pPr>
    </w:p>
    <w:p>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p>
    <w:p>
      <w:pPr>
        <w:spacing w:after="120" w:line="360" w:lineRule="auto"/>
        <w:jc w:val="center"/>
        <w:rPr>
          <w:rFonts w:ascii="黑体" w:hAnsi="宋体" w:eastAsia="黑体"/>
          <w:sz w:val="44"/>
          <w:szCs w:val="44"/>
        </w:rPr>
      </w:pPr>
      <w:bookmarkStart w:id="1" w:name="_Hlk100842668"/>
      <w:bookmarkStart w:id="2" w:name="_Hlk100843490"/>
      <w:bookmarkStart w:id="3" w:name="_Toc227057880"/>
      <w:r>
        <w:rPr>
          <w:rFonts w:hint="eastAsia" w:ascii="黑体" w:hAnsi="宋体" w:eastAsia="黑体"/>
          <w:sz w:val="44"/>
          <w:szCs w:val="44"/>
        </w:rPr>
        <w:t>WEB应用防火墙设备</w:t>
      </w:r>
      <w:bookmarkEnd w:id="1"/>
      <w:r>
        <w:rPr>
          <w:rFonts w:hint="eastAsia" w:ascii="黑体" w:hAnsi="宋体" w:eastAsia="黑体"/>
          <w:sz w:val="44"/>
          <w:szCs w:val="44"/>
        </w:rPr>
        <w:t>采购</w:t>
      </w:r>
    </w:p>
    <w:bookmarkEnd w:id="2"/>
    <w:p>
      <w:pPr>
        <w:spacing w:after="120" w:line="360" w:lineRule="auto"/>
        <w:jc w:val="center"/>
        <w:rPr>
          <w:rFonts w:ascii="黑体" w:hAnsi="宋体" w:eastAsia="黑体"/>
          <w:sz w:val="44"/>
          <w:szCs w:val="44"/>
        </w:rPr>
      </w:pPr>
      <w:r>
        <w:rPr>
          <w:rFonts w:hint="eastAsia" w:ascii="黑体" w:hAnsi="宋体" w:eastAsia="黑体"/>
          <w:sz w:val="44"/>
          <w:szCs w:val="44"/>
        </w:rPr>
        <w:t>竞争性磋商文件</w:t>
      </w:r>
    </w:p>
    <w:p>
      <w:pPr>
        <w:spacing w:after="120" w:line="360" w:lineRule="auto"/>
        <w:jc w:val="center"/>
        <w:rPr>
          <w:b/>
          <w:bCs/>
          <w:sz w:val="32"/>
          <w:szCs w:val="32"/>
        </w:rPr>
      </w:pPr>
      <w:bookmarkStart w:id="112" w:name="_GoBack"/>
      <w:bookmarkEnd w:id="112"/>
    </w:p>
    <w:p>
      <w:pPr>
        <w:jc w:val="center"/>
        <w:rPr>
          <w:rFonts w:ascii="仿宋_GB2312" w:hAnsi="宋体" w:eastAsia="仿宋_GB2312"/>
          <w:b/>
          <w:sz w:val="32"/>
          <w:szCs w:val="32"/>
        </w:rPr>
      </w:pPr>
    </w:p>
    <w:p>
      <w:pPr>
        <w:jc w:val="center"/>
        <w:rPr>
          <w:rFonts w:ascii="仿宋_GB2312" w:hAnsi="宋体" w:eastAsia="仿宋_GB2312"/>
          <w:b/>
          <w:sz w:val="32"/>
          <w:szCs w:val="32"/>
        </w:rPr>
      </w:pPr>
    </w:p>
    <w:p>
      <w:pPr>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pStyle w:val="22"/>
        <w:adjustRightInd w:val="0"/>
        <w:snapToGrid w:val="0"/>
        <w:spacing w:before="380" w:beforeLines="100" w:after="380" w:afterLines="100"/>
        <w:ind w:left="210" w:leftChars="100" w:right="210" w:rightChars="100" w:firstLine="562" w:firstLineChars="200"/>
        <w:jc w:val="center"/>
        <w:rPr>
          <w:b/>
          <w:bCs/>
          <w:szCs w:val="28"/>
        </w:rPr>
      </w:pPr>
      <w:r>
        <w:rPr>
          <w:rFonts w:hint="eastAsia"/>
          <w:b/>
          <w:szCs w:val="28"/>
        </w:rPr>
        <w:t>二〇二二年十二月</w:t>
      </w:r>
    </w:p>
    <w:p>
      <w:pPr>
        <w:spacing w:after="120" w:line="360" w:lineRule="auto"/>
        <w:ind w:firstLine="1405" w:firstLineChars="500"/>
        <w:rPr>
          <w:b/>
          <w:sz w:val="28"/>
          <w:szCs w:val="28"/>
        </w:rPr>
        <w:sectPr>
          <w:headerReference r:id="rId5" w:type="default"/>
          <w:footerReference r:id="rId6" w:type="default"/>
          <w:pgSz w:w="11906" w:h="16838"/>
          <w:pgMar w:top="1440" w:right="1826" w:bottom="1440" w:left="1797" w:header="851" w:footer="992" w:gutter="0"/>
          <w:cols w:space="720" w:num="1"/>
          <w:titlePg/>
          <w:docGrid w:type="lines" w:linePitch="380" w:charSpace="0"/>
        </w:sectPr>
      </w:pPr>
    </w:p>
    <w:p>
      <w:pPr>
        <w:spacing w:after="120" w:line="360" w:lineRule="atLeast"/>
        <w:jc w:val="center"/>
      </w:pPr>
    </w:p>
    <w:p>
      <w:pPr>
        <w:pStyle w:val="118"/>
        <w:numPr>
          <w:ilvl w:val="0"/>
          <w:numId w:val="0"/>
        </w:numPr>
        <w:ind w:left="288"/>
        <w:jc w:val="center"/>
      </w:pPr>
      <w:r>
        <w:rPr>
          <w:rFonts w:ascii="宋体" w:hAnsi="宋体" w:eastAsia="宋体"/>
          <w:color w:val="auto"/>
          <w:sz w:val="30"/>
          <w:szCs w:val="30"/>
          <w:lang w:val="zh-CN"/>
        </w:rPr>
        <w:t>目录</w:t>
      </w:r>
    </w:p>
    <w:p>
      <w:pPr>
        <w:pStyle w:val="39"/>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 竞争性磋商公告</w:t>
      </w:r>
      <w:r>
        <w:tab/>
      </w:r>
      <w:r>
        <w:fldChar w:fldCharType="begin"/>
      </w:r>
      <w:r>
        <w:instrText xml:space="preserve"> PAGEREF _Toc69378615 \h </w:instrText>
      </w:r>
      <w:r>
        <w:fldChar w:fldCharType="separate"/>
      </w:r>
      <w:r>
        <w:t>3</w:t>
      </w:r>
      <w:r>
        <w:fldChar w:fldCharType="end"/>
      </w:r>
      <w:r>
        <w:fldChar w:fldCharType="end"/>
      </w:r>
    </w:p>
    <w:p>
      <w:pPr>
        <w:pStyle w:val="39"/>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 竞争性磋商须知</w:t>
      </w:r>
      <w:r>
        <w:tab/>
      </w:r>
      <w:r>
        <w:fldChar w:fldCharType="end"/>
      </w:r>
      <w:r>
        <w:rPr>
          <w:rFonts w:hint="eastAsia"/>
        </w:rPr>
        <w:t>6</w:t>
      </w:r>
    </w:p>
    <w:p>
      <w:pPr>
        <w:pStyle w:val="39"/>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 评审办法</w:t>
      </w:r>
      <w:r>
        <w:tab/>
      </w:r>
      <w:r>
        <w:rPr>
          <w:rFonts w:hint="eastAsia"/>
        </w:rPr>
        <w:t>1</w:t>
      </w:r>
      <w:r>
        <w:rPr>
          <w:rFonts w:hint="eastAsia"/>
        </w:rPr>
        <w:fldChar w:fldCharType="end"/>
      </w:r>
      <w:r>
        <w:rPr>
          <w:rFonts w:hint="eastAsia"/>
        </w:rPr>
        <w:t>7</w:t>
      </w:r>
    </w:p>
    <w:p>
      <w:pPr>
        <w:pStyle w:val="39"/>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 合同格式</w:t>
      </w:r>
      <w:r>
        <w:tab/>
      </w:r>
      <w:r>
        <w:fldChar w:fldCharType="end"/>
      </w:r>
      <w:r>
        <w:rPr>
          <w:rFonts w:hint="eastAsia"/>
        </w:rPr>
        <w:t>20</w:t>
      </w:r>
    </w:p>
    <w:p>
      <w:pPr>
        <w:pStyle w:val="39"/>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 技术需求书</w:t>
      </w:r>
      <w:r>
        <w:tab/>
      </w:r>
      <w:r>
        <w:fldChar w:fldCharType="end"/>
      </w:r>
      <w:r>
        <w:rPr>
          <w:rFonts w:hint="eastAsia"/>
        </w:rPr>
        <w:t>3</w:t>
      </w:r>
      <w:r>
        <w:t>6</w:t>
      </w:r>
    </w:p>
    <w:p>
      <w:pPr>
        <w:pStyle w:val="39"/>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 竞争性磋商响应文件格式</w:t>
      </w:r>
      <w:r>
        <w:tab/>
      </w:r>
      <w:r>
        <w:rPr>
          <w:rFonts w:hint="eastAsia"/>
        </w:rPr>
        <w:t>3</w:t>
      </w:r>
      <w:r>
        <w:rPr>
          <w:rFonts w:hint="eastAsia"/>
        </w:rPr>
        <w:fldChar w:fldCharType="end"/>
      </w:r>
      <w:r>
        <w:rPr>
          <w:rFonts w:hint="eastAsia"/>
        </w:rPr>
        <w:t>8</w:t>
      </w:r>
    </w:p>
    <w:p>
      <w:pPr>
        <w:pStyle w:val="39"/>
        <w:rPr>
          <w:rFonts w:ascii="Calibri" w:hAnsi="Calibri" w:eastAsia="宋体"/>
          <w:caps w:val="0"/>
          <w:kern w:val="2"/>
          <w:szCs w:val="22"/>
        </w:rPr>
      </w:pPr>
      <w:r>
        <w:rPr>
          <w:rFonts w:ascii="宋体" w:hAnsi="宋体" w:eastAsia="宋体"/>
          <w:sz w:val="20"/>
          <w:szCs w:val="20"/>
        </w:rPr>
        <w:fldChar w:fldCharType="end"/>
      </w:r>
    </w:p>
    <w:p>
      <w:pPr>
        <w:widowControl/>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4" w:name="_Toc69378615"/>
      <w:r>
        <w:rPr>
          <w:rFonts w:hint="eastAsia"/>
          <w:b/>
          <w:sz w:val="36"/>
          <w:szCs w:val="36"/>
        </w:rPr>
        <w:t>第一章 竞争性磋商公告</w:t>
      </w:r>
      <w:bookmarkEnd w:id="4"/>
    </w:p>
    <w:bookmarkEnd w:id="3"/>
    <w:p>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江苏省广电有线信息网络股份有限公司就WEB应用防火墙设备采购项目组织竞争性磋商采购，现欢迎符合资格条件的供应商参加报价和磋商。</w:t>
      </w:r>
    </w:p>
    <w:p>
      <w:pPr>
        <w:spacing w:line="360" w:lineRule="auto"/>
        <w:ind w:firstLine="482" w:firstLineChars="200"/>
        <w:rPr>
          <w:rFonts w:ascii="宋体" w:hAnsi="宋体"/>
          <w:b/>
          <w:sz w:val="24"/>
        </w:rPr>
      </w:pPr>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r>
        <w:rPr>
          <w:rFonts w:hint="eastAsia" w:ascii="宋体" w:hAnsi="宋体"/>
          <w:sz w:val="24"/>
        </w:rPr>
        <w:t>江苏省广电有线信息网络股份有限公司WEB应用防火墙设备采购</w:t>
      </w:r>
      <w:r>
        <w:rPr>
          <w:rFonts w:hint="eastAsia" w:ascii="宋体" w:hAnsi="宋体" w:cs="宋体"/>
          <w:kern w:val="0"/>
          <w:sz w:val="24"/>
          <w:szCs w:val="22"/>
        </w:rPr>
        <w:t>。</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7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4321"/>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9" w:type="dxa"/>
            <w:vAlign w:val="center"/>
          </w:tcPr>
          <w:p>
            <w:pPr>
              <w:spacing w:line="400" w:lineRule="exact"/>
              <w:jc w:val="center"/>
              <w:rPr>
                <w:rFonts w:ascii="Calibri" w:hAnsi="Calibri"/>
                <w:b/>
                <w:color w:val="000000"/>
                <w:szCs w:val="21"/>
              </w:rPr>
            </w:pPr>
            <w:r>
              <w:rPr>
                <w:rFonts w:hint="eastAsia" w:ascii="Calibri" w:hAnsi="Calibri"/>
                <w:b/>
                <w:color w:val="262626"/>
                <w:szCs w:val="21"/>
              </w:rPr>
              <w:t>序号</w:t>
            </w:r>
          </w:p>
        </w:tc>
        <w:tc>
          <w:tcPr>
            <w:tcW w:w="4321" w:type="dxa"/>
            <w:vAlign w:val="center"/>
          </w:tcPr>
          <w:p>
            <w:pPr>
              <w:spacing w:line="400" w:lineRule="exact"/>
              <w:jc w:val="center"/>
              <w:rPr>
                <w:rFonts w:ascii="Calibri" w:hAnsi="Calibri"/>
                <w:b/>
                <w:color w:val="000000"/>
                <w:szCs w:val="21"/>
              </w:rPr>
            </w:pPr>
            <w:r>
              <w:rPr>
                <w:rFonts w:hint="eastAsia" w:ascii="Calibri" w:hAnsi="Calibri"/>
                <w:b/>
                <w:color w:val="000000"/>
                <w:szCs w:val="21"/>
              </w:rPr>
              <w:t>采购设备名称</w:t>
            </w:r>
          </w:p>
        </w:tc>
        <w:tc>
          <w:tcPr>
            <w:tcW w:w="2248" w:type="dxa"/>
            <w:vAlign w:val="center"/>
          </w:tcPr>
          <w:p>
            <w:pPr>
              <w:spacing w:line="400" w:lineRule="exact"/>
              <w:jc w:val="center"/>
              <w:rPr>
                <w:rFonts w:ascii="Calibri" w:hAnsi="Calibri"/>
                <w:b/>
                <w:color w:val="000000"/>
                <w:szCs w:val="21"/>
              </w:rPr>
            </w:pPr>
            <w:r>
              <w:rPr>
                <w:rFonts w:hint="eastAsia" w:ascii="Calibri" w:hAnsi="Calibri"/>
                <w:b/>
                <w:color w:val="00000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79" w:type="dxa"/>
            <w:vAlign w:val="center"/>
          </w:tcPr>
          <w:p>
            <w:pPr>
              <w:spacing w:line="400" w:lineRule="exact"/>
              <w:jc w:val="center"/>
              <w:rPr>
                <w:color w:val="000000"/>
                <w:szCs w:val="21"/>
              </w:rPr>
            </w:pPr>
            <w:r>
              <w:rPr>
                <w:color w:val="000000"/>
                <w:szCs w:val="21"/>
              </w:rPr>
              <w:t>1</w:t>
            </w:r>
          </w:p>
        </w:tc>
        <w:tc>
          <w:tcPr>
            <w:tcW w:w="4321" w:type="dxa"/>
            <w:vAlign w:val="center"/>
          </w:tcPr>
          <w:p>
            <w:pPr>
              <w:spacing w:line="400" w:lineRule="exact"/>
              <w:jc w:val="center"/>
              <w:rPr>
                <w:color w:val="000000"/>
                <w:szCs w:val="21"/>
              </w:rPr>
            </w:pPr>
            <w:r>
              <w:rPr>
                <w:rFonts w:hint="eastAsia" w:ascii="宋体" w:hAnsi="宋体"/>
                <w:sz w:val="24"/>
              </w:rPr>
              <w:t>WEB应用防火墙</w:t>
            </w:r>
          </w:p>
        </w:tc>
        <w:tc>
          <w:tcPr>
            <w:tcW w:w="2248" w:type="dxa"/>
            <w:vAlign w:val="center"/>
          </w:tcPr>
          <w:p>
            <w:pPr>
              <w:spacing w:line="400" w:lineRule="exact"/>
              <w:jc w:val="center"/>
              <w:rPr>
                <w:color w:val="000000"/>
                <w:szCs w:val="21"/>
              </w:rPr>
            </w:pPr>
            <w:r>
              <w:rPr>
                <w:color w:val="000000"/>
                <w:szCs w:val="21"/>
              </w:rPr>
              <w:t>2</w:t>
            </w:r>
            <w:r>
              <w:rPr>
                <w:rFonts w:hint="eastAsia"/>
                <w:color w:val="000000"/>
                <w:szCs w:val="21"/>
              </w:rPr>
              <w:t>台</w:t>
            </w:r>
          </w:p>
        </w:tc>
      </w:tr>
    </w:tbl>
    <w:p>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482" w:firstLineChars="2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5"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5"/>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2.供应商应答产品须具有良好的业绩和经验，自201</w:t>
      </w:r>
      <w:r>
        <w:rPr>
          <w:rFonts w:ascii="宋体" w:hAnsi="宋体" w:cs="宋体"/>
          <w:kern w:val="0"/>
          <w:sz w:val="24"/>
          <w:szCs w:val="22"/>
        </w:rPr>
        <w:t>9</w:t>
      </w:r>
      <w:r>
        <w:rPr>
          <w:rFonts w:hint="eastAsia" w:ascii="宋体" w:hAnsi="宋体" w:cs="宋体"/>
          <w:kern w:val="0"/>
          <w:sz w:val="24"/>
          <w:szCs w:val="22"/>
        </w:rPr>
        <w:t>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w:t>
      </w:r>
      <w:bookmarkStart w:id="6" w:name="_Hlk106270562"/>
      <w:r>
        <w:rPr>
          <w:rFonts w:hint="eastAsia" w:ascii="宋体" w:hAnsi="宋体" w:cs="宋体"/>
          <w:kern w:val="0"/>
          <w:sz w:val="24"/>
          <w:szCs w:val="22"/>
        </w:rPr>
        <w:t>供应商须是应答产品（</w:t>
      </w:r>
      <w:r>
        <w:rPr>
          <w:rFonts w:hint="eastAsia" w:ascii="宋体" w:hAnsi="宋体"/>
          <w:sz w:val="24"/>
        </w:rPr>
        <w:t>WEB应用防火墙设备）</w:t>
      </w:r>
      <w:r>
        <w:rPr>
          <w:rFonts w:hint="eastAsia" w:ascii="宋体" w:hAnsi="宋体" w:cs="宋体"/>
          <w:kern w:val="0"/>
          <w:sz w:val="24"/>
          <w:szCs w:val="22"/>
        </w:rPr>
        <w:t>的制造商或获得所投货物制造商针对本项目的唯一授权代理商，制造商和授权代理商不得同时参与本项目。（代理商提供授权书原件并加盖公章）</w:t>
      </w:r>
      <w:bookmarkEnd w:id="6"/>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rPr>
        <w:t>4.供应商须提供所投货物制造商对本项目直接保修和服务的承诺。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w:t>
      </w:r>
      <w:r>
        <w:rPr>
          <w:rFonts w:hint="eastAsia" w:ascii="宋体" w:hAnsi="宋体" w:cs="宋体"/>
          <w:color w:val="191919"/>
          <w:kern w:val="0"/>
          <w:sz w:val="24"/>
          <w:shd w:val="clear" w:color="auto" w:fill="FFFFFF"/>
        </w:rPr>
        <w:t>1</w:t>
      </w:r>
      <w:r>
        <w:rPr>
          <w:rFonts w:ascii="宋体" w:hAnsi="宋体" w:cs="宋体"/>
          <w:color w:val="191919"/>
          <w:kern w:val="0"/>
          <w:sz w:val="24"/>
          <w:shd w:val="clear" w:color="auto" w:fill="FFFFFF"/>
        </w:rPr>
        <w:t>2</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15日至202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年12</w:t>
      </w:r>
      <w:r>
        <w:rPr>
          <w:rFonts w:hint="eastAsia" w:ascii="宋体" w:hAnsi="宋体" w:cs="宋体"/>
          <w:color w:val="191919"/>
          <w:kern w:val="0"/>
          <w:sz w:val="24"/>
          <w:shd w:val="clear" w:color="auto" w:fill="FFFFFF"/>
        </w:rPr>
        <w:t>月2</w:t>
      </w:r>
      <w:r>
        <w:rPr>
          <w:rFonts w:ascii="宋体" w:hAnsi="宋体" w:cs="宋体"/>
          <w:color w:val="191919"/>
          <w:kern w:val="0"/>
          <w:sz w:val="24"/>
          <w:shd w:val="clear" w:color="auto" w:fill="FFFFFF"/>
        </w:rPr>
        <w:t>0日止，每日上午9：00-12：00，下午14：00-17：00（北京时间）。</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发放方式：竞争性磋商文件在报名后自行下载，请响应人联系采购人进行报名登记，具体报名方式为将响应函（详见第六章 竞争性磋商响应文件格式 附件1：响应函）加盖公司公章同时发至邮箱wangzhen</w:t>
      </w:r>
      <w:r>
        <w:rPr>
          <w:rFonts w:ascii="宋体" w:hAnsi="宋体" w:cs="宋体"/>
          <w:color w:val="191919"/>
          <w:kern w:val="0"/>
          <w:sz w:val="24"/>
          <w:shd w:val="clear" w:color="auto" w:fill="FFFFFF"/>
        </w:rPr>
        <w:t>@jscnnet.com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年12</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20日下午17:00再登记的视为无效。</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项目联系人：王真（025-8673</w:t>
      </w:r>
      <w:r>
        <w:rPr>
          <w:rFonts w:ascii="宋体" w:hAnsi="宋体" w:cs="宋体"/>
          <w:color w:val="191919"/>
          <w:kern w:val="0"/>
          <w:sz w:val="24"/>
          <w:shd w:val="clear" w:color="auto" w:fill="FFFFFF"/>
        </w:rPr>
        <w:t>1517</w:t>
      </w:r>
      <w:r>
        <w:rPr>
          <w:rFonts w:hint="eastAsia" w:ascii="宋体" w:hAnsi="宋体" w:cs="宋体"/>
          <w:color w:val="191919"/>
          <w:kern w:val="0"/>
          <w:sz w:val="24"/>
          <w:shd w:val="clear" w:color="auto" w:fill="FFFFFF"/>
        </w:rPr>
        <w:t>）</w:t>
      </w:r>
    </w:p>
    <w:p>
      <w:pPr>
        <w:widowControl/>
        <w:spacing w:line="360" w:lineRule="auto"/>
        <w:ind w:firstLine="482" w:firstLineChars="200"/>
        <w:jc w:val="left"/>
      </w:pPr>
      <w:r>
        <w:rPr>
          <w:rFonts w:hint="eastAsia" w:ascii="宋体" w:hAnsi="宋体" w:cs="宋体"/>
          <w:b/>
          <w:bCs/>
          <w:color w:val="191919"/>
          <w:kern w:val="0"/>
          <w:sz w:val="24"/>
          <w:shd w:val="clear" w:color="auto" w:fill="FFFFFF"/>
        </w:rPr>
        <w:t>五、响应文件的递交和磋商</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递交竞争性磋商响应文件截止时间：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2年</w:t>
      </w:r>
      <w:r>
        <w:rPr>
          <w:rFonts w:ascii="宋体" w:hAnsi="宋体" w:cs="宋体"/>
          <w:color w:val="191919"/>
          <w:kern w:val="0"/>
          <w:sz w:val="24"/>
          <w:shd w:val="clear" w:color="auto" w:fill="FFFFFF"/>
        </w:rPr>
        <w:t>12</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23</w:t>
      </w:r>
      <w:r>
        <w:rPr>
          <w:rFonts w:hint="eastAsia" w:ascii="宋体" w:hAnsi="宋体" w:cs="宋体"/>
          <w:color w:val="191919"/>
          <w:kern w:val="0"/>
          <w:sz w:val="24"/>
          <w:shd w:val="clear" w:color="auto" w:fill="FFFFFF"/>
        </w:rPr>
        <w:t>日上午</w:t>
      </w:r>
      <w:r>
        <w:rPr>
          <w:rFonts w:ascii="宋体" w:hAnsi="宋体" w:cs="宋体"/>
          <w:color w:val="191919"/>
          <w:kern w:val="0"/>
          <w:sz w:val="24"/>
          <w:shd w:val="clear" w:color="auto" w:fill="FFFFFF"/>
        </w:rPr>
        <w:t>9:30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王真，电话：</w:t>
      </w:r>
      <w:r>
        <w:rPr>
          <w:rFonts w:ascii="宋体" w:hAnsi="宋体" w:cs="宋体"/>
          <w:color w:val="191919"/>
          <w:kern w:val="0"/>
          <w:sz w:val="24"/>
        </w:rPr>
        <w:t>025-86731517。</w:t>
      </w:r>
    </w:p>
    <w:p>
      <w:pPr>
        <w:widowControl/>
        <w:spacing w:line="360" w:lineRule="auto"/>
        <w:ind w:firstLine="420"/>
        <w:jc w:val="left"/>
      </w:pPr>
      <w:r>
        <w:rPr>
          <w:rFonts w:hint="eastAsia" w:ascii="宋体" w:hAnsi="宋体" w:cs="宋体"/>
          <w:color w:val="191919"/>
          <w:kern w:val="0"/>
          <w:sz w:val="24"/>
          <w:shd w:val="clear" w:color="auto" w:fill="FFFFFF"/>
        </w:rPr>
        <w:t>竞争性磋商时间：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2年</w:t>
      </w:r>
      <w:r>
        <w:rPr>
          <w:rFonts w:ascii="宋体" w:hAnsi="宋体" w:cs="宋体"/>
          <w:color w:val="191919"/>
          <w:kern w:val="0"/>
          <w:sz w:val="24"/>
          <w:shd w:val="clear" w:color="auto" w:fill="FFFFFF"/>
        </w:rPr>
        <w:t>12</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23</w:t>
      </w:r>
      <w:r>
        <w:rPr>
          <w:rFonts w:hint="eastAsia" w:ascii="宋体" w:hAnsi="宋体" w:cs="宋体"/>
          <w:color w:val="191919"/>
          <w:kern w:val="0"/>
          <w:sz w:val="24"/>
          <w:shd w:val="clear" w:color="auto" w:fill="FFFFFF"/>
        </w:rPr>
        <w:t>日上午</w:t>
      </w:r>
      <w:r>
        <w:rPr>
          <w:rFonts w:ascii="宋体" w:hAnsi="宋体" w:cs="宋体"/>
          <w:color w:val="191919"/>
          <w:kern w:val="0"/>
          <w:sz w:val="24"/>
          <w:shd w:val="clear" w:color="auto" w:fill="FFFFFF"/>
        </w:rPr>
        <w:t>9:30</w:t>
      </w:r>
      <w:r>
        <w:rPr>
          <w:rFonts w:hint="eastAsia" w:ascii="宋体" w:hAnsi="宋体" w:cs="宋体"/>
          <w:color w:val="191919"/>
          <w:kern w:val="0"/>
          <w:sz w:val="24"/>
          <w:shd w:val="clear" w:color="auto" w:fill="FFFFFF"/>
        </w:rPr>
        <w:t>。</w:t>
      </w:r>
    </w:p>
    <w:p>
      <w:pPr>
        <w:widowControl/>
        <w:spacing w:line="360" w:lineRule="auto"/>
        <w:ind w:firstLine="420"/>
        <w:jc w:val="left"/>
      </w:pPr>
      <w:r>
        <w:rPr>
          <w:rFonts w:hint="eastAsia" w:ascii="宋体" w:hAnsi="宋体" w:cs="宋体"/>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号楼4楼会议室。</w:t>
      </w:r>
    </w:p>
    <w:p>
      <w:pPr>
        <w:widowControl/>
        <w:spacing w:line="360" w:lineRule="auto"/>
        <w:ind w:firstLine="482" w:firstLineChars="200"/>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ind w:firstLine="482" w:firstLineChars="200"/>
        <w:rPr>
          <w:rFonts w:ascii="宋体" w:hAnsi="宋体" w:cs="宋体"/>
          <w:b/>
          <w:kern w:val="0"/>
          <w:sz w:val="24"/>
        </w:rPr>
      </w:pPr>
      <w:r>
        <w:rPr>
          <w:rFonts w:hint="eastAsia" w:ascii="宋体" w:hAnsi="宋体" w:cs="宋体"/>
          <w:b/>
          <w:kern w:val="0"/>
          <w:sz w:val="24"/>
        </w:rPr>
        <w:t>七、其他说明事项</w:t>
      </w:r>
    </w:p>
    <w:p>
      <w:pPr>
        <w:widowControl/>
        <w:spacing w:line="360" w:lineRule="auto"/>
        <w:ind w:firstLine="480" w:firstLineChars="200"/>
        <w:jc w:val="left"/>
        <w:rPr>
          <w:rFonts w:ascii="宋体" w:hAnsi="宋体"/>
          <w:sz w:val="24"/>
        </w:rPr>
      </w:pPr>
      <w:r>
        <w:rPr>
          <w:rFonts w:hint="eastAsia" w:ascii="宋体" w:cs="宋体"/>
          <w:bCs/>
          <w:sz w:val="24"/>
        </w:rPr>
        <w:t>有关本次磋商的事项若存在变动或修改，敬请及时关注网上发布的信息更正公告</w:t>
      </w:r>
      <w:bookmarkStart w:id="7" w:name="bookmark1"/>
      <w:bookmarkEnd w:id="7"/>
      <w:r>
        <w:rPr>
          <w:rFonts w:hint="eastAsia" w:ascii="宋体" w:cs="宋体"/>
          <w:bCs/>
          <w:sz w:val="24"/>
        </w:rPr>
        <w:t>。</w:t>
      </w:r>
      <w:bookmarkEnd w:id="0"/>
      <w:r>
        <w:rPr>
          <w:rFonts w:ascii="宋体" w:hAnsi="宋体"/>
          <w:sz w:val="24"/>
        </w:rPr>
        <w:br w:type="page"/>
      </w:r>
    </w:p>
    <w:p>
      <w:pPr>
        <w:pStyle w:val="3"/>
        <w:numPr>
          <w:ilvl w:val="0"/>
          <w:numId w:val="0"/>
        </w:numPr>
        <w:spacing w:before="0" w:after="0" w:line="360" w:lineRule="auto"/>
        <w:rPr>
          <w:b/>
          <w:sz w:val="36"/>
          <w:szCs w:val="36"/>
        </w:rPr>
      </w:pPr>
      <w:bookmarkStart w:id="8" w:name="_Toc227057883"/>
      <w:bookmarkStart w:id="9" w:name="_Toc69378616"/>
      <w:bookmarkStart w:id="10" w:name="_Toc226969276"/>
      <w:bookmarkStart w:id="11" w:name="_Toc107822483"/>
      <w:r>
        <w:rPr>
          <w:rFonts w:hint="eastAsia"/>
          <w:b/>
          <w:sz w:val="36"/>
          <w:szCs w:val="36"/>
        </w:rPr>
        <w:t>第二章 竞争性磋商</w:t>
      </w:r>
      <w:r>
        <w:rPr>
          <w:b/>
          <w:sz w:val="36"/>
          <w:szCs w:val="36"/>
        </w:rPr>
        <w:t>须知</w:t>
      </w:r>
    </w:p>
    <w:p>
      <w:pPr>
        <w:jc w:val="center"/>
        <w:rPr>
          <w:sz w:val="28"/>
          <w:szCs w:val="28"/>
        </w:rPr>
      </w:pPr>
      <w:r>
        <w:rPr>
          <w:rFonts w:hint="eastAsia"/>
          <w:sz w:val="28"/>
          <w:szCs w:val="28"/>
        </w:rPr>
        <w:t>供应商须知前附表</w:t>
      </w:r>
    </w:p>
    <w:p>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pPr>
              <w:spacing w:line="320" w:lineRule="exact"/>
              <w:jc w:val="center"/>
              <w:rPr>
                <w:b/>
                <w:sz w:val="24"/>
              </w:rPr>
            </w:pPr>
            <w:r>
              <w:rPr>
                <w:rFonts w:hint="eastAsia"/>
                <w:b/>
                <w:sz w:val="24"/>
              </w:rPr>
              <w:t>序号</w:t>
            </w:r>
          </w:p>
        </w:tc>
        <w:tc>
          <w:tcPr>
            <w:tcW w:w="501" w:type="pct"/>
            <w:tcBorders>
              <w:top w:val="single" w:color="auto" w:sz="6" w:space="0"/>
            </w:tcBorders>
            <w:vAlign w:val="center"/>
          </w:tcPr>
          <w:p>
            <w:pPr>
              <w:spacing w:line="320" w:lineRule="exact"/>
              <w:jc w:val="center"/>
              <w:rPr>
                <w:b/>
                <w:sz w:val="24"/>
              </w:rPr>
            </w:pPr>
            <w:r>
              <w:rPr>
                <w:rFonts w:hint="eastAsia"/>
                <w:b/>
                <w:sz w:val="24"/>
              </w:rPr>
              <w:t>条款号</w:t>
            </w:r>
          </w:p>
        </w:tc>
        <w:tc>
          <w:tcPr>
            <w:tcW w:w="738" w:type="pct"/>
            <w:tcBorders>
              <w:top w:val="single" w:color="auto" w:sz="6" w:space="0"/>
            </w:tcBorders>
            <w:vAlign w:val="center"/>
          </w:tcPr>
          <w:p>
            <w:pPr>
              <w:spacing w:line="320" w:lineRule="exact"/>
              <w:jc w:val="center"/>
              <w:rPr>
                <w:b/>
                <w:sz w:val="24"/>
              </w:rPr>
            </w:pPr>
            <w:r>
              <w:rPr>
                <w:rFonts w:hint="eastAsia"/>
                <w:b/>
                <w:sz w:val="24"/>
              </w:rPr>
              <w:t>内容</w:t>
            </w:r>
          </w:p>
        </w:tc>
        <w:tc>
          <w:tcPr>
            <w:tcW w:w="3451" w:type="pct"/>
            <w:tcBorders>
              <w:top w:val="single" w:color="auto" w:sz="6" w:space="0"/>
            </w:tcBorders>
            <w:vAlign w:val="center"/>
          </w:tcPr>
          <w:p>
            <w:pPr>
              <w:spacing w:line="320" w:lineRule="exact"/>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w:t>
            </w:r>
          </w:p>
        </w:tc>
        <w:tc>
          <w:tcPr>
            <w:tcW w:w="501" w:type="pct"/>
            <w:vAlign w:val="center"/>
          </w:tcPr>
          <w:p>
            <w:pPr>
              <w:spacing w:line="320" w:lineRule="exact"/>
              <w:jc w:val="center"/>
              <w:rPr>
                <w:sz w:val="24"/>
              </w:rPr>
            </w:pPr>
            <w:r>
              <w:rPr>
                <w:sz w:val="24"/>
              </w:rPr>
              <w:t>1.1</w:t>
            </w:r>
          </w:p>
        </w:tc>
        <w:tc>
          <w:tcPr>
            <w:tcW w:w="738" w:type="pct"/>
            <w:vAlign w:val="center"/>
          </w:tcPr>
          <w:p>
            <w:pPr>
              <w:spacing w:line="320" w:lineRule="exact"/>
              <w:jc w:val="center"/>
              <w:rPr>
                <w:sz w:val="24"/>
              </w:rPr>
            </w:pPr>
            <w:r>
              <w:rPr>
                <w:rFonts w:hint="eastAsia"/>
                <w:sz w:val="24"/>
              </w:rPr>
              <w:t>采购人</w:t>
            </w:r>
          </w:p>
        </w:tc>
        <w:tc>
          <w:tcPr>
            <w:tcW w:w="3451" w:type="pct"/>
            <w:vAlign w:val="center"/>
          </w:tcPr>
          <w:p>
            <w:pPr>
              <w:spacing w:line="320" w:lineRule="exact"/>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2</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代理机构</w:t>
            </w:r>
          </w:p>
        </w:tc>
        <w:tc>
          <w:tcPr>
            <w:tcW w:w="3451" w:type="pct"/>
            <w:vAlign w:val="center"/>
          </w:tcPr>
          <w:p>
            <w:pPr>
              <w:spacing w:line="320" w:lineRule="exact"/>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pPr>
              <w:spacing w:line="320" w:lineRule="exact"/>
              <w:jc w:val="center"/>
              <w:rPr>
                <w:sz w:val="24"/>
              </w:rPr>
            </w:pPr>
            <w:r>
              <w:rPr>
                <w:sz w:val="24"/>
              </w:rPr>
              <w:t>3</w:t>
            </w:r>
          </w:p>
        </w:tc>
        <w:tc>
          <w:tcPr>
            <w:tcW w:w="501" w:type="pct"/>
            <w:vAlign w:val="center"/>
          </w:tcPr>
          <w:p>
            <w:pPr>
              <w:spacing w:line="320" w:lineRule="exact"/>
              <w:jc w:val="center"/>
              <w:rPr>
                <w:sz w:val="24"/>
              </w:rPr>
            </w:pPr>
            <w:r>
              <w:rPr>
                <w:sz w:val="24"/>
              </w:rPr>
              <w:t>1.2</w:t>
            </w:r>
          </w:p>
        </w:tc>
        <w:tc>
          <w:tcPr>
            <w:tcW w:w="738" w:type="pct"/>
            <w:vAlign w:val="center"/>
          </w:tcPr>
          <w:p>
            <w:pPr>
              <w:spacing w:line="320" w:lineRule="exact"/>
              <w:jc w:val="center"/>
              <w:rPr>
                <w:sz w:val="24"/>
              </w:rPr>
            </w:pPr>
            <w:r>
              <w:rPr>
                <w:rFonts w:hint="eastAsia"/>
                <w:sz w:val="24"/>
              </w:rPr>
              <w:t>合格的供应商</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4</w:t>
            </w:r>
          </w:p>
        </w:tc>
        <w:tc>
          <w:tcPr>
            <w:tcW w:w="501" w:type="pct"/>
            <w:vAlign w:val="center"/>
          </w:tcPr>
          <w:p>
            <w:pPr>
              <w:spacing w:line="320" w:lineRule="exact"/>
              <w:jc w:val="center"/>
              <w:rPr>
                <w:sz w:val="24"/>
              </w:rPr>
            </w:pPr>
            <w:r>
              <w:rPr>
                <w:sz w:val="24"/>
              </w:rPr>
              <w:t>20.1</w:t>
            </w:r>
          </w:p>
        </w:tc>
        <w:tc>
          <w:tcPr>
            <w:tcW w:w="738" w:type="pct"/>
            <w:vAlign w:val="center"/>
          </w:tcPr>
          <w:p>
            <w:pPr>
              <w:spacing w:line="320" w:lineRule="exact"/>
              <w:jc w:val="center"/>
              <w:rPr>
                <w:sz w:val="24"/>
              </w:rPr>
            </w:pPr>
            <w:r>
              <w:rPr>
                <w:rFonts w:hint="eastAsia"/>
                <w:sz w:val="24"/>
              </w:rPr>
              <w:t>保密</w:t>
            </w:r>
          </w:p>
        </w:tc>
        <w:tc>
          <w:tcPr>
            <w:tcW w:w="3451" w:type="pct"/>
            <w:vAlign w:val="center"/>
          </w:tcPr>
          <w:p>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5</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2）</w:t>
            </w:r>
          </w:p>
        </w:tc>
        <w:tc>
          <w:tcPr>
            <w:tcW w:w="738" w:type="pct"/>
            <w:vAlign w:val="center"/>
          </w:tcPr>
          <w:p>
            <w:pPr>
              <w:spacing w:line="320" w:lineRule="exact"/>
              <w:jc w:val="center"/>
              <w:rPr>
                <w:sz w:val="24"/>
              </w:rPr>
            </w:pPr>
            <w:r>
              <w:rPr>
                <w:rFonts w:hint="eastAsia" w:ascii="宋体" w:hAnsi="宋体"/>
                <w:sz w:val="24"/>
              </w:rPr>
              <w:t>资格证明文件</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6</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3）</w:t>
            </w:r>
          </w:p>
        </w:tc>
        <w:tc>
          <w:tcPr>
            <w:tcW w:w="738" w:type="pct"/>
            <w:vAlign w:val="center"/>
          </w:tcPr>
          <w:p>
            <w:pPr>
              <w:spacing w:line="320" w:lineRule="exact"/>
              <w:jc w:val="center"/>
              <w:rPr>
                <w:sz w:val="24"/>
              </w:rPr>
            </w:pPr>
            <w:r>
              <w:rPr>
                <w:rFonts w:hint="eastAsia"/>
                <w:sz w:val="24"/>
              </w:rPr>
              <w:t>响应文件的技术部分中必须包括的内容</w:t>
            </w:r>
          </w:p>
        </w:tc>
        <w:tc>
          <w:tcPr>
            <w:tcW w:w="3451" w:type="pct"/>
          </w:tcPr>
          <w:p>
            <w:pPr>
              <w:spacing w:line="320" w:lineRule="exact"/>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7</w:t>
            </w:r>
          </w:p>
        </w:tc>
        <w:tc>
          <w:tcPr>
            <w:tcW w:w="501" w:type="pct"/>
            <w:vAlign w:val="center"/>
          </w:tcPr>
          <w:p>
            <w:pPr>
              <w:spacing w:line="320" w:lineRule="exact"/>
              <w:jc w:val="center"/>
              <w:rPr>
                <w:sz w:val="24"/>
              </w:rPr>
            </w:pPr>
            <w:r>
              <w:rPr>
                <w:sz w:val="24"/>
              </w:rPr>
              <w:t>7.1</w:t>
            </w:r>
          </w:p>
          <w:p>
            <w:pPr>
              <w:spacing w:line="320" w:lineRule="exact"/>
              <w:jc w:val="center"/>
              <w:rPr>
                <w:sz w:val="24"/>
              </w:rPr>
            </w:pPr>
            <w:r>
              <w:rPr>
                <w:rFonts w:hint="eastAsia"/>
                <w:sz w:val="24"/>
              </w:rPr>
              <w:t>6）</w:t>
            </w:r>
          </w:p>
        </w:tc>
        <w:tc>
          <w:tcPr>
            <w:tcW w:w="738" w:type="pct"/>
            <w:vAlign w:val="center"/>
          </w:tcPr>
          <w:p>
            <w:pPr>
              <w:spacing w:line="320" w:lineRule="exact"/>
              <w:jc w:val="center"/>
              <w:rPr>
                <w:sz w:val="24"/>
              </w:rPr>
            </w:pPr>
            <w:r>
              <w:rPr>
                <w:rFonts w:hint="eastAsia"/>
                <w:sz w:val="24"/>
              </w:rPr>
              <w:t>合同文本的提供</w:t>
            </w:r>
          </w:p>
        </w:tc>
        <w:tc>
          <w:tcPr>
            <w:tcW w:w="3451" w:type="pct"/>
            <w:vAlign w:val="center"/>
          </w:tcPr>
          <w:p>
            <w:pPr>
              <w:spacing w:line="320" w:lineRule="exact"/>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8</w:t>
            </w:r>
          </w:p>
        </w:tc>
        <w:tc>
          <w:tcPr>
            <w:tcW w:w="501" w:type="pct"/>
            <w:vAlign w:val="center"/>
          </w:tcPr>
          <w:p>
            <w:pPr>
              <w:spacing w:line="320" w:lineRule="exact"/>
              <w:jc w:val="center"/>
              <w:rPr>
                <w:sz w:val="24"/>
              </w:rPr>
            </w:pPr>
            <w:r>
              <w:rPr>
                <w:sz w:val="24"/>
              </w:rPr>
              <w:t>8.1</w:t>
            </w:r>
          </w:p>
        </w:tc>
        <w:tc>
          <w:tcPr>
            <w:tcW w:w="738" w:type="pct"/>
            <w:vAlign w:val="center"/>
          </w:tcPr>
          <w:p>
            <w:pPr>
              <w:spacing w:line="320" w:lineRule="exact"/>
              <w:jc w:val="center"/>
              <w:rPr>
                <w:sz w:val="24"/>
              </w:rPr>
            </w:pPr>
            <w:r>
              <w:rPr>
                <w:rFonts w:hint="eastAsia"/>
                <w:sz w:val="24"/>
              </w:rPr>
              <w:t>响应文件的式样和签署</w:t>
            </w:r>
          </w:p>
        </w:tc>
        <w:tc>
          <w:tcPr>
            <w:tcW w:w="3451" w:type="pct"/>
            <w:vAlign w:val="center"/>
          </w:tcPr>
          <w:p>
            <w:pPr>
              <w:spacing w:line="320" w:lineRule="exact"/>
              <w:rPr>
                <w:sz w:val="24"/>
              </w:rPr>
            </w:pPr>
            <w:r>
              <w:rPr>
                <w:rFonts w:hint="eastAsia"/>
                <w:sz w:val="24"/>
              </w:rPr>
              <w:t>响应文件一式</w:t>
            </w:r>
            <w:r>
              <w:rPr>
                <w:sz w:val="24"/>
              </w:rPr>
              <w:t>3</w:t>
            </w:r>
            <w:r>
              <w:rPr>
                <w:rFonts w:hint="eastAsia"/>
                <w:sz w:val="24"/>
              </w:rPr>
              <w:t>份（</w:t>
            </w:r>
            <w:r>
              <w:rPr>
                <w:sz w:val="24"/>
              </w:rPr>
              <w:t>1</w:t>
            </w:r>
            <w:r>
              <w:rPr>
                <w:rFonts w:hint="eastAsia"/>
                <w:sz w:val="24"/>
              </w:rPr>
              <w:t>份正本、2份副本），电子版本一份（电子版文件内容必须可搜索，U盘形式）。</w:t>
            </w:r>
          </w:p>
          <w:p>
            <w:pPr>
              <w:pStyle w:val="7"/>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响应文件采用软面胶装，并编制目录及逐页编码。特别地，供应商须对第三章《评审办法》中的评分要求逐项说明在响应文件中装订页码，并将该页装订在响应文件的首页。评审办法中要求提供的业绩按照“附件</w:t>
            </w:r>
            <w:r>
              <w:rPr>
                <w:sz w:val="24"/>
                <w:szCs w:val="24"/>
              </w:rPr>
              <w:t>10</w:t>
            </w:r>
            <w:r>
              <w:rPr>
                <w:rFonts w:hint="eastAsia"/>
                <w:sz w:val="24"/>
                <w:szCs w:val="24"/>
              </w:rPr>
              <w:t>：项目业绩及证明文件”编排目录。</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9</w:t>
            </w:r>
          </w:p>
        </w:tc>
        <w:tc>
          <w:tcPr>
            <w:tcW w:w="501" w:type="pct"/>
            <w:vAlign w:val="center"/>
          </w:tcPr>
          <w:p>
            <w:pPr>
              <w:spacing w:line="320" w:lineRule="exact"/>
              <w:jc w:val="center"/>
              <w:rPr>
                <w:sz w:val="24"/>
              </w:rPr>
            </w:pPr>
            <w:r>
              <w:rPr>
                <w:sz w:val="24"/>
              </w:rPr>
              <w:t>9.1</w:t>
            </w:r>
          </w:p>
        </w:tc>
        <w:tc>
          <w:tcPr>
            <w:tcW w:w="738" w:type="pct"/>
            <w:vAlign w:val="center"/>
          </w:tcPr>
          <w:p>
            <w:pPr>
              <w:spacing w:line="320" w:lineRule="exact"/>
              <w:jc w:val="center"/>
              <w:rPr>
                <w:sz w:val="24"/>
              </w:rPr>
            </w:pPr>
            <w:r>
              <w:rPr>
                <w:rFonts w:hint="eastAsia"/>
                <w:sz w:val="24"/>
              </w:rPr>
              <w:t>报价</w:t>
            </w:r>
          </w:p>
        </w:tc>
        <w:tc>
          <w:tcPr>
            <w:tcW w:w="3451" w:type="pct"/>
            <w:vAlign w:val="center"/>
          </w:tcPr>
          <w:p>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spacing w:line="320" w:lineRule="exact"/>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10</w:t>
            </w:r>
          </w:p>
        </w:tc>
        <w:tc>
          <w:tcPr>
            <w:tcW w:w="501" w:type="pct"/>
            <w:vAlign w:val="center"/>
          </w:tcPr>
          <w:p>
            <w:pPr>
              <w:spacing w:line="320" w:lineRule="exact"/>
              <w:jc w:val="center"/>
              <w:rPr>
                <w:sz w:val="24"/>
              </w:rPr>
            </w:pPr>
          </w:p>
        </w:tc>
        <w:tc>
          <w:tcPr>
            <w:tcW w:w="738" w:type="pct"/>
            <w:vAlign w:val="center"/>
          </w:tcPr>
          <w:p>
            <w:pPr>
              <w:spacing w:line="320" w:lineRule="exact"/>
              <w:jc w:val="center"/>
              <w:rPr>
                <w:sz w:val="24"/>
              </w:rPr>
            </w:pPr>
            <w:r>
              <w:rPr>
                <w:rFonts w:hint="eastAsia"/>
                <w:sz w:val="24"/>
              </w:rPr>
              <w:t>响应文件的盖章或签字</w:t>
            </w:r>
          </w:p>
        </w:tc>
        <w:tc>
          <w:tcPr>
            <w:tcW w:w="3451" w:type="pct"/>
            <w:vAlign w:val="center"/>
          </w:tcPr>
          <w:p>
            <w:pPr>
              <w:spacing w:line="320" w:lineRule="exact"/>
              <w:rPr>
                <w:sz w:val="24"/>
              </w:rPr>
            </w:pPr>
            <w:r>
              <w:rPr>
                <w:rFonts w:hint="eastAsia"/>
                <w:sz w:val="24"/>
              </w:rPr>
              <w:t>本条款增加规定：</w:t>
            </w:r>
          </w:p>
          <w:p>
            <w:pPr>
              <w:spacing w:line="320" w:lineRule="exact"/>
              <w:rPr>
                <w:sz w:val="24"/>
              </w:rPr>
            </w:pPr>
            <w:r>
              <w:rPr>
                <w:rFonts w:hint="eastAsia"/>
                <w:sz w:val="24"/>
              </w:rPr>
              <w:t>1、竞争性磋商文件第六章“响应文件格式”中有单位名称和法定代表人或其委托代理人签字落款的响应文件必须加盖单位公章。</w:t>
            </w:r>
          </w:p>
          <w:p>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11</w:t>
            </w:r>
          </w:p>
        </w:tc>
        <w:tc>
          <w:tcPr>
            <w:tcW w:w="501" w:type="pct"/>
            <w:vAlign w:val="center"/>
          </w:tcPr>
          <w:p>
            <w:pPr>
              <w:spacing w:line="320" w:lineRule="exact"/>
              <w:jc w:val="center"/>
              <w:rPr>
                <w:sz w:val="24"/>
                <w:szCs w:val="32"/>
              </w:rPr>
            </w:pPr>
            <w:r>
              <w:rPr>
                <w:sz w:val="24"/>
                <w:szCs w:val="32"/>
              </w:rPr>
              <w:t>11.1</w:t>
            </w:r>
          </w:p>
        </w:tc>
        <w:tc>
          <w:tcPr>
            <w:tcW w:w="738" w:type="pct"/>
            <w:vAlign w:val="center"/>
          </w:tcPr>
          <w:p>
            <w:pPr>
              <w:spacing w:line="320" w:lineRule="exact"/>
              <w:jc w:val="center"/>
              <w:rPr>
                <w:sz w:val="24"/>
              </w:rPr>
            </w:pPr>
            <w:r>
              <w:rPr>
                <w:rFonts w:hint="eastAsia"/>
                <w:sz w:val="24"/>
              </w:rPr>
              <w:t>响应有效期</w:t>
            </w:r>
          </w:p>
        </w:tc>
        <w:tc>
          <w:tcPr>
            <w:tcW w:w="3451" w:type="pct"/>
            <w:vAlign w:val="center"/>
          </w:tcPr>
          <w:p>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pPr>
              <w:spacing w:line="320" w:lineRule="exact"/>
              <w:jc w:val="center"/>
              <w:rPr>
                <w:sz w:val="24"/>
              </w:rPr>
            </w:pPr>
            <w:r>
              <w:rPr>
                <w:sz w:val="24"/>
              </w:rPr>
              <w:t>12</w:t>
            </w:r>
          </w:p>
        </w:tc>
        <w:tc>
          <w:tcPr>
            <w:tcW w:w="501" w:type="pct"/>
            <w:vAlign w:val="center"/>
          </w:tcPr>
          <w:p>
            <w:pPr>
              <w:spacing w:line="320" w:lineRule="exact"/>
              <w:jc w:val="center"/>
              <w:rPr>
                <w:sz w:val="24"/>
                <w:szCs w:val="32"/>
              </w:rPr>
            </w:pPr>
            <w:r>
              <w:rPr>
                <w:sz w:val="24"/>
                <w:szCs w:val="32"/>
              </w:rPr>
              <w:t>13.1</w:t>
            </w:r>
          </w:p>
        </w:tc>
        <w:tc>
          <w:tcPr>
            <w:tcW w:w="738" w:type="pct"/>
            <w:vAlign w:val="center"/>
          </w:tcPr>
          <w:p>
            <w:pPr>
              <w:spacing w:line="320" w:lineRule="exact"/>
              <w:jc w:val="center"/>
              <w:rPr>
                <w:sz w:val="24"/>
              </w:rPr>
            </w:pPr>
            <w:r>
              <w:rPr>
                <w:rFonts w:hint="eastAsia"/>
                <w:sz w:val="24"/>
              </w:rPr>
              <w:t>递交响应文件截止时间</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pPr>
              <w:spacing w:line="320" w:lineRule="exact"/>
              <w:jc w:val="center"/>
              <w:rPr>
                <w:sz w:val="24"/>
              </w:rPr>
            </w:pPr>
            <w:r>
              <w:rPr>
                <w:sz w:val="24"/>
              </w:rPr>
              <w:t>13</w:t>
            </w:r>
          </w:p>
        </w:tc>
        <w:tc>
          <w:tcPr>
            <w:tcW w:w="501" w:type="pct"/>
            <w:vAlign w:val="center"/>
          </w:tcPr>
          <w:p>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pPr>
              <w:spacing w:line="320" w:lineRule="exact"/>
              <w:jc w:val="center"/>
              <w:rPr>
                <w:sz w:val="24"/>
              </w:rPr>
            </w:pPr>
            <w:r>
              <w:rPr>
                <w:rFonts w:hint="eastAsia"/>
                <w:sz w:val="24"/>
              </w:rPr>
              <w:t>递交响应文件地点</w:t>
            </w:r>
          </w:p>
        </w:tc>
        <w:tc>
          <w:tcPr>
            <w:tcW w:w="3451" w:type="pct"/>
            <w:vAlign w:val="center"/>
          </w:tcPr>
          <w:p>
            <w:pPr>
              <w:spacing w:line="320" w:lineRule="exact"/>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14</w:t>
            </w:r>
          </w:p>
        </w:tc>
        <w:tc>
          <w:tcPr>
            <w:tcW w:w="501" w:type="pct"/>
            <w:vAlign w:val="center"/>
          </w:tcPr>
          <w:p>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pPr>
              <w:spacing w:line="320" w:lineRule="exact"/>
              <w:jc w:val="center"/>
              <w:rPr>
                <w:sz w:val="24"/>
              </w:rPr>
            </w:pPr>
            <w:r>
              <w:rPr>
                <w:rFonts w:hint="eastAsia"/>
                <w:sz w:val="24"/>
              </w:rPr>
              <w:t>如发现下列情况之一的，其响应文件将可能被拒绝</w:t>
            </w:r>
          </w:p>
        </w:tc>
        <w:tc>
          <w:tcPr>
            <w:tcW w:w="3451" w:type="pct"/>
            <w:vAlign w:val="center"/>
          </w:tcPr>
          <w:p>
            <w:pPr>
              <w:spacing w:line="320" w:lineRule="exact"/>
              <w:rPr>
                <w:sz w:val="24"/>
              </w:rPr>
            </w:pPr>
            <w:r>
              <w:rPr>
                <w:sz w:val="24"/>
              </w:rPr>
              <w:t>1</w:t>
            </w:r>
            <w:r>
              <w:rPr>
                <w:rFonts w:hint="eastAsia"/>
                <w:sz w:val="24"/>
              </w:rPr>
              <w:t>、不满足竞争性磋商文件对合格供应商的基本资质要求的；</w:t>
            </w:r>
          </w:p>
          <w:p>
            <w:pPr>
              <w:spacing w:line="320" w:lineRule="exact"/>
              <w:rPr>
                <w:sz w:val="24"/>
              </w:rPr>
            </w:pPr>
            <w:r>
              <w:rPr>
                <w:rFonts w:hint="eastAsia"/>
                <w:sz w:val="24"/>
              </w:rPr>
              <w:t>2、供应商在响应文件中提供的服务内容及质量不能实质性满足竞争性磋商文件要求或不能提供实质性满足证明的；</w:t>
            </w:r>
          </w:p>
          <w:p>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”号条款）不能实质性满足</w:t>
            </w:r>
            <w:r>
              <w:rPr>
                <w:rFonts w:hint="eastAsia"/>
                <w:sz w:val="24"/>
              </w:rPr>
              <w:t>采购</w:t>
            </w:r>
            <w:r>
              <w:rPr>
                <w:sz w:val="24"/>
              </w:rPr>
              <w:t>文件要求或不能提供实质性满足证明的</w:t>
            </w:r>
            <w:r>
              <w:rPr>
                <w:rFonts w:hint="eastAsia"/>
                <w:sz w:val="24"/>
              </w:rPr>
              <w:t>；</w:t>
            </w:r>
          </w:p>
          <w:p>
            <w:pPr>
              <w:spacing w:line="320" w:lineRule="exact"/>
              <w:rPr>
                <w:sz w:val="24"/>
              </w:rPr>
            </w:pPr>
            <w:r>
              <w:rPr>
                <w:sz w:val="24"/>
              </w:rPr>
              <w:t>4</w:t>
            </w:r>
            <w:r>
              <w:rPr>
                <w:rFonts w:hint="eastAsia"/>
                <w:sz w:val="24"/>
              </w:rPr>
              <w:t>、供应商在响应文件中对于第四章《合同格式》有任何负偏离的；</w:t>
            </w:r>
          </w:p>
          <w:p>
            <w:pPr>
              <w:spacing w:line="320" w:lineRule="exact"/>
              <w:rPr>
                <w:sz w:val="24"/>
              </w:rPr>
            </w:pPr>
            <w:r>
              <w:rPr>
                <w:sz w:val="24"/>
              </w:rPr>
              <w:t>5</w:t>
            </w:r>
            <w:r>
              <w:rPr>
                <w:rFonts w:hint="eastAsia"/>
                <w:sz w:val="24"/>
              </w:rPr>
              <w:t>、响应函、法人代表授权书不按照第六章《附件》的格式提供的；</w:t>
            </w:r>
          </w:p>
          <w:p>
            <w:pPr>
              <w:spacing w:line="320" w:lineRule="exact"/>
              <w:rPr>
                <w:sz w:val="24"/>
              </w:rPr>
            </w:pPr>
            <w:r>
              <w:rPr>
                <w:sz w:val="24"/>
              </w:rPr>
              <w:t>6</w:t>
            </w:r>
            <w:r>
              <w:rPr>
                <w:rFonts w:hint="eastAsia"/>
                <w:sz w:val="24"/>
              </w:rPr>
              <w:t>、资格证明文件不全、失效或不符合竞争性磋商文件要求的；</w:t>
            </w:r>
          </w:p>
          <w:p>
            <w:pPr>
              <w:spacing w:line="320" w:lineRule="exact"/>
              <w:rPr>
                <w:sz w:val="24"/>
              </w:rPr>
            </w:pPr>
            <w:r>
              <w:rPr>
                <w:sz w:val="24"/>
              </w:rPr>
              <w:t>7</w:t>
            </w:r>
            <w:r>
              <w:rPr>
                <w:rFonts w:hint="eastAsia"/>
                <w:sz w:val="24"/>
              </w:rPr>
              <w:t>、响应文件无法定代表人签字，或签字人无法定代表人有效授权的；</w:t>
            </w:r>
          </w:p>
          <w:p>
            <w:pPr>
              <w:spacing w:line="320" w:lineRule="exact"/>
              <w:rPr>
                <w:sz w:val="24"/>
              </w:rPr>
            </w:pPr>
            <w:r>
              <w:rPr>
                <w:sz w:val="24"/>
              </w:rPr>
              <w:t>8</w:t>
            </w:r>
            <w:r>
              <w:rPr>
                <w:rFonts w:hint="eastAsia"/>
                <w:sz w:val="24"/>
              </w:rPr>
              <w:t>、响应文件或响应有效期不足的；</w:t>
            </w:r>
          </w:p>
          <w:p>
            <w:pPr>
              <w:spacing w:line="320" w:lineRule="exact"/>
              <w:rPr>
                <w:sz w:val="24"/>
              </w:rPr>
            </w:pPr>
            <w:r>
              <w:rPr>
                <w:sz w:val="24"/>
              </w:rPr>
              <w:t>9</w:t>
            </w:r>
            <w:r>
              <w:rPr>
                <w:rFonts w:hint="eastAsia"/>
                <w:sz w:val="24"/>
              </w:rPr>
              <w:t>、响应文件中提供虚假或失实资料的；</w:t>
            </w:r>
          </w:p>
          <w:p>
            <w:pPr>
              <w:spacing w:line="320" w:lineRule="exact"/>
              <w:rPr>
                <w:sz w:val="24"/>
              </w:rPr>
            </w:pPr>
            <w:r>
              <w:rPr>
                <w:sz w:val="24"/>
              </w:rPr>
              <w:t>10</w:t>
            </w:r>
            <w:r>
              <w:rPr>
                <w:rFonts w:hint="eastAsia"/>
                <w:sz w:val="24"/>
              </w:rPr>
              <w:t>、未按照竞争性磋商文件规定的方式领取竞争性磋商文件并按要求递交响应文件的；</w:t>
            </w:r>
          </w:p>
          <w:p>
            <w:pPr>
              <w:spacing w:line="320" w:lineRule="exact"/>
              <w:rPr>
                <w:sz w:val="24"/>
              </w:rPr>
            </w:pPr>
            <w:r>
              <w:rPr>
                <w:sz w:val="24"/>
              </w:rPr>
              <w:t>11</w:t>
            </w:r>
            <w:r>
              <w:rPr>
                <w:rFonts w:hint="eastAsia"/>
                <w:sz w:val="24"/>
              </w:rPr>
              <w:t>、评审委员会认为不能实质上满足竞争性磋商文件其它要求的。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pPr>
              <w:spacing w:line="320" w:lineRule="exact"/>
              <w:jc w:val="center"/>
              <w:rPr>
                <w:sz w:val="24"/>
              </w:rPr>
            </w:pPr>
            <w:r>
              <w:rPr>
                <w:sz w:val="24"/>
              </w:rPr>
              <w:t>15</w:t>
            </w:r>
          </w:p>
        </w:tc>
        <w:tc>
          <w:tcPr>
            <w:tcW w:w="501" w:type="pct"/>
            <w:vAlign w:val="center"/>
          </w:tcPr>
          <w:p>
            <w:pPr>
              <w:spacing w:line="320" w:lineRule="exact"/>
              <w:jc w:val="center"/>
              <w:rPr>
                <w:sz w:val="24"/>
                <w:szCs w:val="32"/>
              </w:rPr>
            </w:pPr>
            <w:r>
              <w:rPr>
                <w:rFonts w:hint="eastAsia"/>
                <w:sz w:val="24"/>
                <w:szCs w:val="32"/>
              </w:rPr>
              <w:t>20</w:t>
            </w:r>
          </w:p>
        </w:tc>
        <w:tc>
          <w:tcPr>
            <w:tcW w:w="738" w:type="pct"/>
            <w:vAlign w:val="center"/>
          </w:tcPr>
          <w:p>
            <w:pPr>
              <w:spacing w:line="320" w:lineRule="exact"/>
              <w:jc w:val="center"/>
              <w:rPr>
                <w:sz w:val="24"/>
              </w:rPr>
            </w:pPr>
            <w:r>
              <w:rPr>
                <w:rFonts w:hint="eastAsia"/>
                <w:sz w:val="24"/>
              </w:rPr>
              <w:t>评审</w:t>
            </w:r>
          </w:p>
        </w:tc>
        <w:tc>
          <w:tcPr>
            <w:tcW w:w="3451" w:type="pct"/>
            <w:vAlign w:val="center"/>
          </w:tcPr>
          <w:p>
            <w:pPr>
              <w:spacing w:line="320" w:lineRule="exact"/>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spacing w:line="320" w:lineRule="exact"/>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spacing w:line="320" w:lineRule="exact"/>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spacing w:line="320" w:lineRule="exact"/>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spacing w:line="320" w:lineRule="exact"/>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pPr>
              <w:spacing w:line="320" w:lineRule="exact"/>
              <w:jc w:val="center"/>
              <w:rPr>
                <w:sz w:val="24"/>
              </w:rPr>
            </w:pPr>
            <w:r>
              <w:rPr>
                <w:sz w:val="24"/>
              </w:rPr>
              <w:t>16</w:t>
            </w:r>
          </w:p>
        </w:tc>
        <w:tc>
          <w:tcPr>
            <w:tcW w:w="501" w:type="pct"/>
            <w:vAlign w:val="center"/>
          </w:tcPr>
          <w:p>
            <w:pPr>
              <w:spacing w:line="320" w:lineRule="exact"/>
              <w:jc w:val="center"/>
              <w:rPr>
                <w:sz w:val="24"/>
                <w:szCs w:val="32"/>
              </w:rPr>
            </w:pPr>
            <w:r>
              <w:rPr>
                <w:rFonts w:hint="eastAsia"/>
                <w:sz w:val="24"/>
                <w:szCs w:val="32"/>
              </w:rPr>
              <w:t>22.1</w:t>
            </w:r>
          </w:p>
        </w:tc>
        <w:tc>
          <w:tcPr>
            <w:tcW w:w="738" w:type="pct"/>
            <w:vAlign w:val="center"/>
          </w:tcPr>
          <w:p>
            <w:pPr>
              <w:spacing w:line="320" w:lineRule="exact"/>
              <w:jc w:val="center"/>
              <w:rPr>
                <w:sz w:val="24"/>
              </w:rPr>
            </w:pPr>
            <w:r>
              <w:rPr>
                <w:rFonts w:hint="eastAsia"/>
                <w:sz w:val="24"/>
              </w:rPr>
              <w:t>成交</w:t>
            </w:r>
          </w:p>
          <w:p>
            <w:pPr>
              <w:spacing w:line="320" w:lineRule="exact"/>
              <w:jc w:val="center"/>
              <w:rPr>
                <w:sz w:val="24"/>
              </w:rPr>
            </w:pPr>
            <w:r>
              <w:rPr>
                <w:rFonts w:hint="eastAsia"/>
                <w:sz w:val="24"/>
              </w:rPr>
              <w:t>供应商数量</w:t>
            </w:r>
          </w:p>
        </w:tc>
        <w:tc>
          <w:tcPr>
            <w:tcW w:w="3451" w:type="pct"/>
            <w:vAlign w:val="center"/>
          </w:tcPr>
          <w:p>
            <w:pPr>
              <w:spacing w:line="320" w:lineRule="exact"/>
              <w:rPr>
                <w:sz w:val="24"/>
              </w:rPr>
            </w:pPr>
            <w:r>
              <w:rPr>
                <w:rFonts w:hint="eastAsia"/>
                <w:sz w:val="24"/>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pPr>
              <w:spacing w:line="320" w:lineRule="exact"/>
              <w:jc w:val="center"/>
              <w:rPr>
                <w:sz w:val="24"/>
              </w:rPr>
            </w:pPr>
            <w:r>
              <w:rPr>
                <w:sz w:val="24"/>
              </w:rPr>
              <w:t>17</w:t>
            </w:r>
          </w:p>
        </w:tc>
        <w:tc>
          <w:tcPr>
            <w:tcW w:w="501" w:type="pct"/>
            <w:vAlign w:val="center"/>
          </w:tcPr>
          <w:p>
            <w:pPr>
              <w:spacing w:line="320" w:lineRule="exact"/>
              <w:jc w:val="center"/>
              <w:rPr>
                <w:sz w:val="24"/>
                <w:szCs w:val="32"/>
              </w:rPr>
            </w:pPr>
            <w:r>
              <w:rPr>
                <w:rFonts w:hint="eastAsia"/>
                <w:sz w:val="24"/>
                <w:szCs w:val="32"/>
              </w:rPr>
              <w:t>24</w:t>
            </w:r>
          </w:p>
        </w:tc>
        <w:tc>
          <w:tcPr>
            <w:tcW w:w="738" w:type="pct"/>
            <w:vAlign w:val="center"/>
          </w:tcPr>
          <w:p>
            <w:pPr>
              <w:spacing w:line="320" w:lineRule="exact"/>
              <w:jc w:val="center"/>
              <w:rPr>
                <w:sz w:val="24"/>
              </w:rPr>
            </w:pPr>
            <w:r>
              <w:rPr>
                <w:rFonts w:hint="eastAsia"/>
                <w:sz w:val="24"/>
              </w:rPr>
              <w:t>签约</w:t>
            </w:r>
          </w:p>
        </w:tc>
        <w:tc>
          <w:tcPr>
            <w:tcW w:w="3451" w:type="pct"/>
            <w:vAlign w:val="center"/>
          </w:tcPr>
          <w:p>
            <w:pPr>
              <w:spacing w:line="320" w:lineRule="exact"/>
              <w:rPr>
                <w:sz w:val="24"/>
              </w:rPr>
            </w:pPr>
            <w:r>
              <w:rPr>
                <w:rFonts w:hint="eastAsia"/>
                <w:sz w:val="24"/>
              </w:rPr>
              <w:t>采购人与本次成交供应商按本竞争性磋商文件第四章合同格式签订合同。</w:t>
            </w:r>
          </w:p>
        </w:tc>
      </w:tr>
    </w:tbl>
    <w:p>
      <w:pPr>
        <w:ind w:firstLine="484" w:firstLineChars="202"/>
        <w:rPr>
          <w:sz w:val="24"/>
        </w:rPr>
      </w:pPr>
    </w:p>
    <w:p>
      <w:pPr>
        <w:widowControl/>
        <w:jc w:val="left"/>
        <w:rPr>
          <w:sz w:val="24"/>
        </w:rPr>
      </w:pPr>
      <w:r>
        <w:rPr>
          <w:sz w:val="24"/>
        </w:rPr>
        <w:br w:type="page"/>
      </w:r>
    </w:p>
    <w:p>
      <w:pPr>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5</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4</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sz w:val="24"/>
        </w:rPr>
        <w:t>人。</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8"/>
      <w:bookmarkEnd w:id="9"/>
      <w:bookmarkEnd w:id="10"/>
      <w:bookmarkEnd w:id="11"/>
      <w:bookmarkStart w:id="12" w:name="_Toc107822520"/>
      <w:bookmarkStart w:id="13" w:name="_Toc226969316"/>
      <w:bookmarkStart w:id="14" w:name="_Toc227057922"/>
      <w:r>
        <w:br w:type="page"/>
      </w:r>
    </w:p>
    <w:bookmarkEnd w:id="12"/>
    <w:bookmarkEnd w:id="13"/>
    <w:bookmarkEnd w:id="14"/>
    <w:p>
      <w:pPr>
        <w:pStyle w:val="3"/>
        <w:numPr>
          <w:ilvl w:val="0"/>
          <w:numId w:val="0"/>
        </w:numPr>
        <w:spacing w:before="0" w:after="0" w:line="360" w:lineRule="auto"/>
        <w:rPr>
          <w:b/>
          <w:sz w:val="36"/>
          <w:szCs w:val="36"/>
        </w:rPr>
      </w:pPr>
      <w:bookmarkStart w:id="15" w:name="_Toc69378617"/>
      <w:bookmarkStart w:id="16" w:name="_Toc227057958"/>
      <w:bookmarkStart w:id="17" w:name="_Toc226969352"/>
      <w:bookmarkStart w:id="18" w:name="_Toc107822556"/>
      <w:r>
        <w:rPr>
          <w:rFonts w:hint="eastAsia"/>
          <w:b/>
          <w:sz w:val="36"/>
          <w:szCs w:val="36"/>
        </w:rPr>
        <w:t>第三章 评审办法</w:t>
      </w:r>
      <w:bookmarkEnd w:id="15"/>
    </w:p>
    <w:p>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rPr>
          <w:rFonts w:ascii="宋体" w:hAnsi="宋体"/>
          <w:sz w:val="24"/>
        </w:rPr>
      </w:pPr>
    </w:p>
    <w:p>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pPr>
        <w:spacing w:line="360" w:lineRule="auto"/>
        <w:jc w:val="center"/>
        <w:rPr>
          <w:rFonts w:ascii="黑体" w:hAnsi="黑体" w:eastAsia="黑体"/>
          <w:sz w:val="24"/>
        </w:rPr>
      </w:pPr>
      <w:r>
        <w:rPr>
          <w:rFonts w:ascii="黑体" w:hAnsi="黑体" w:eastAsia="黑体"/>
          <w:sz w:val="24"/>
        </w:rPr>
        <w:t>（满分100分）</w:t>
      </w:r>
    </w:p>
    <w:tbl>
      <w:tblPr>
        <w:tblStyle w:val="5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782"/>
        <w:gridCol w:w="8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b/>
                <w:kern w:val="0"/>
                <w:sz w:val="24"/>
              </w:rPr>
            </w:pPr>
            <w:r>
              <w:rPr>
                <w:b/>
                <w:kern w:val="0"/>
                <w:sz w:val="24"/>
              </w:rPr>
              <w:t>评标项目</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b/>
                <w:bCs/>
                <w:kern w:val="0"/>
                <w:sz w:val="24"/>
              </w:rPr>
            </w:pPr>
            <w:r>
              <w:rPr>
                <w:b/>
                <w:bCs/>
                <w:kern w:val="0"/>
                <w:sz w:val="24"/>
              </w:rPr>
              <w:t>分值</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cs="宋体"/>
                <w:b/>
                <w:color w:val="000000"/>
                <w:kern w:val="0"/>
                <w:sz w:val="24"/>
              </w:rPr>
            </w:pPr>
            <w:r>
              <w:rPr>
                <w:rFonts w:cs="宋体"/>
                <w:b/>
                <w:color w:val="000000"/>
                <w:kern w:val="0"/>
                <w:sz w:val="24"/>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价格</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hint="eastAsia" w:ascii="宋体" w:hAnsi="宋体"/>
                <w:b/>
                <w:bCs/>
                <w:sz w:val="24"/>
              </w:rPr>
              <w:t>40分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A、评审价的计算：</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1、供应商的响应价如有缺漏项，视为不实质性响应；</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2、不接受选择性报价或者具有附加条件的报价；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3、响应文件中如果申报了非采购文件所要求的服务和产品，评审时不予以折价降低评审价。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B、价格分的计算（保留小数点后2位）</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1、供应商评审价=经评审的该供应商含税总价。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2、</w:t>
            </w:r>
            <w:r>
              <w:rPr>
                <w:rFonts w:hint="eastAsia"/>
                <w:kern w:val="0"/>
                <w:sz w:val="24"/>
              </w:rPr>
              <w:t>评标基准价：将满足招标文件要求的所有投标人的最低价为评标基准价。</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3、计算价格得分：（评标基准价/评标价）×40。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ascii="宋体" w:hAnsi="宋体" w:cs="宋体"/>
                <w:b/>
                <w:bCs/>
                <w:color w:val="010101"/>
                <w:kern w:val="0"/>
                <w:sz w:val="24"/>
              </w:rPr>
              <w:t>投标文件的</w:t>
            </w:r>
            <w:r>
              <w:rPr>
                <w:rFonts w:hint="eastAsia" w:ascii="宋体" w:hAnsi="宋体" w:cs="宋体"/>
                <w:b/>
                <w:bCs/>
                <w:color w:val="010101"/>
                <w:kern w:val="0"/>
                <w:sz w:val="24"/>
              </w:rPr>
              <w:t>完整</w:t>
            </w:r>
            <w:r>
              <w:rPr>
                <w:rFonts w:ascii="宋体" w:hAnsi="宋体" w:cs="宋体"/>
                <w:b/>
                <w:bCs/>
                <w:color w:val="010101"/>
                <w:kern w:val="0"/>
                <w:sz w:val="24"/>
              </w:rPr>
              <w:t>有效性</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color w:val="010101"/>
                <w:kern w:val="0"/>
                <w:sz w:val="24"/>
              </w:rPr>
              <w:t>2</w:t>
            </w:r>
            <w:r>
              <w:rPr>
                <w:rFonts w:ascii="宋体" w:hAnsi="宋体" w:cs="宋体"/>
                <w:b/>
                <w:bCs/>
                <w:color w:val="010101"/>
                <w:kern w:val="0"/>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highlight w:val="yellow"/>
              </w:rPr>
            </w:pPr>
            <w:r>
              <w:rPr>
                <w:rFonts w:hint="eastAsia" w:ascii="宋体" w:hAnsi="宋体" w:cs="宋体"/>
                <w:color w:val="000000"/>
                <w:kern w:val="0"/>
                <w:sz w:val="24"/>
              </w:rPr>
              <w:t>供应商响应文件完全符合招标文件的形式要求，无缺、漏项；文字清晰、描述清楚得2分；如发现不符，酌情扣分；如果发现严重不符或任何弄虚作假的行为，则直接取消参评资格。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271"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综合实力</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根据供应商的企业规模、企业获奖情况、荣誉证书、财务状况（总资产、负债率、利润等）打分。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优良(3，5]分；较好[2，3]分；一般[0，2)分。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产品业绩经验</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hint="eastAsia" w:ascii="宋体" w:hAnsi="宋体"/>
                <w:b/>
                <w:bCs/>
                <w:sz w:val="24"/>
              </w:rPr>
              <w:t>12分</w:t>
            </w:r>
          </w:p>
        </w:tc>
        <w:tc>
          <w:tcPr>
            <w:tcW w:w="800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bookmarkStart w:id="19" w:name="_Hlk106270688"/>
            <w:r>
              <w:rPr>
                <w:rFonts w:hint="eastAsia" w:ascii="宋体" w:hAnsi="宋体" w:cs="宋体"/>
                <w:sz w:val="24"/>
              </w:rPr>
              <w:t>根据应答产品（</w:t>
            </w:r>
            <w:r>
              <w:rPr>
                <w:rFonts w:ascii="宋体" w:hAnsi="宋体" w:cs="宋体"/>
                <w:sz w:val="24"/>
              </w:rPr>
              <w:t>WEB应用防火墙设备）自2019</w:t>
            </w:r>
            <w:r>
              <w:rPr>
                <w:rFonts w:hint="eastAsia" w:ascii="宋体" w:hAnsi="宋体" w:cs="宋体"/>
                <w:sz w:val="24"/>
              </w:rPr>
              <w:t>年</w:t>
            </w:r>
            <w:r>
              <w:rPr>
                <w:rFonts w:ascii="宋体" w:hAnsi="宋体" w:cs="宋体"/>
                <w:sz w:val="24"/>
              </w:rPr>
              <w:t>1月1日以来（以合同签订时间为准</w:t>
            </w:r>
            <w:r>
              <w:rPr>
                <w:rFonts w:hint="eastAsia" w:ascii="宋体" w:hAnsi="宋体" w:cs="宋体"/>
                <w:sz w:val="24"/>
              </w:rPr>
              <w:t>，合同内容需包含“WEB应用防火墙”、“WAF”等关键字）在中国大陆地区类似项目的销售数量及金额打分。</w:t>
            </w:r>
          </w:p>
          <w:p>
            <w:pPr>
              <w:widowControl/>
              <w:rPr>
                <w:rFonts w:ascii="宋体" w:hAnsi="宋体" w:cs="宋体"/>
                <w:sz w:val="24"/>
              </w:rPr>
            </w:pPr>
            <w:r>
              <w:rPr>
                <w:rFonts w:hint="eastAsia" w:ascii="宋体" w:hAnsi="宋体" w:cs="宋体"/>
                <w:sz w:val="24"/>
              </w:rPr>
              <w:t>单份合同金额≥100万元的每份得2分，100万元&gt;单份合同金额≥50万元的每份得1分，单份合同金额小于</w:t>
            </w:r>
            <w:r>
              <w:rPr>
                <w:rFonts w:ascii="宋体" w:hAnsi="宋体" w:cs="宋体"/>
                <w:sz w:val="24"/>
              </w:rPr>
              <w:t>50</w:t>
            </w:r>
            <w:r>
              <w:rPr>
                <w:rFonts w:hint="eastAsia" w:ascii="宋体" w:hAnsi="宋体" w:cs="宋体"/>
                <w:sz w:val="24"/>
              </w:rPr>
              <w:t>万元的案例不得分，本项最高得12分，每个价格区间的有效案例最多6个。</w:t>
            </w:r>
          </w:p>
          <w:p>
            <w:pPr>
              <w:keepLines/>
              <w:widowControl/>
              <w:tabs>
                <w:tab w:val="left" w:pos="794"/>
                <w:tab w:val="left" w:pos="1191"/>
                <w:tab w:val="left" w:pos="1588"/>
                <w:tab w:val="left" w:pos="1985"/>
              </w:tabs>
              <w:autoSpaceDE w:val="0"/>
              <w:autoSpaceDN w:val="0"/>
              <w:adjustRightInd w:val="0"/>
              <w:spacing w:line="320" w:lineRule="exact"/>
              <w:jc w:val="left"/>
              <w:rPr>
                <w:kern w:val="0"/>
                <w:sz w:val="24"/>
              </w:rPr>
            </w:pPr>
            <w:r>
              <w:rPr>
                <w:rFonts w:hint="eastAsia" w:ascii="宋体" w:hAnsi="宋体" w:cs="宋体"/>
                <w:sz w:val="24"/>
              </w:rPr>
              <w:t>注：须提供合同文本关键页复印件，含合同首页、签章页（包含合同双方公章或合同专用章、法定代表人或其委托代理人签字或盖章、日期等信息）、合同金额和相关客户联系方式，时间以合同签署时间为准，原件备查。</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技术需求应答</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hint="eastAsia" w:ascii="宋体" w:hAnsi="宋体"/>
                <w:b/>
                <w:bCs/>
                <w:sz w:val="24"/>
              </w:rPr>
              <w:t>25分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根据供应商对采购文件第五章《技术需求书》的偏离情况打分，满分25分。</w:t>
            </w:r>
          </w:p>
          <w:p>
            <w:pPr>
              <w:spacing w:line="320" w:lineRule="exact"/>
              <w:rPr>
                <w:sz w:val="24"/>
              </w:rPr>
            </w:pPr>
            <w:r>
              <w:rPr>
                <w:rFonts w:hint="eastAsia" w:ascii="宋体" w:hAnsi="宋体"/>
                <w:sz w:val="24"/>
              </w:rPr>
              <w:t>关键条款（“</w:t>
            </w:r>
            <w:r>
              <w:rPr>
                <w:rFonts w:ascii="Segoe UI Symbol" w:hAnsi="Segoe UI Symbol" w:cs="Segoe UI Symbol"/>
                <w:sz w:val="24"/>
              </w:rPr>
              <w:t>★</w:t>
            </w:r>
            <w:r>
              <w:rPr>
                <w:rFonts w:hint="eastAsia" w:ascii="宋体" w:hAnsi="宋体"/>
                <w:sz w:val="24"/>
              </w:rPr>
              <w:t>”号条款）不满足的视为不实质性响应；每有1条非关键条款不满足扣</w:t>
            </w:r>
            <w:r>
              <w:rPr>
                <w:rFonts w:ascii="宋体" w:hAnsi="宋体"/>
                <w:sz w:val="24"/>
              </w:rPr>
              <w:t>5</w:t>
            </w:r>
            <w:r>
              <w:rPr>
                <w:rFonts w:hint="eastAsia" w:ascii="宋体" w:hAnsi="宋体"/>
                <w:sz w:val="24"/>
              </w:rPr>
              <w:t>分，本条分数扣完为止。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项目实施方案</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5</w:t>
            </w:r>
            <w:r>
              <w:rPr>
                <w:rFonts w:hint="eastAsia" w:ascii="宋体" w:hAnsi="宋体"/>
                <w:b/>
                <w:bCs/>
                <w:sz w:val="24"/>
              </w:rPr>
              <w:t>分</w:t>
            </w:r>
          </w:p>
        </w:tc>
        <w:tc>
          <w:tcPr>
            <w:tcW w:w="8007"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hint="eastAsia" w:ascii="宋体" w:hAnsi="宋体"/>
                <w:sz w:val="24"/>
              </w:rPr>
              <w:t>1、根据供应商提供的实施方案、施工进度及质量管理、应急管理方案打分。优良(2，3]分；较好[1，2]分；一般[0，1)分。</w:t>
            </w:r>
          </w:p>
          <w:p>
            <w:pPr>
              <w:keepLines/>
              <w:widowControl/>
              <w:tabs>
                <w:tab w:val="left" w:pos="794"/>
                <w:tab w:val="left" w:pos="1191"/>
                <w:tab w:val="left" w:pos="1588"/>
                <w:tab w:val="left" w:pos="1985"/>
              </w:tabs>
              <w:autoSpaceDE w:val="0"/>
              <w:autoSpaceDN w:val="0"/>
              <w:adjustRightInd w:val="0"/>
              <w:spacing w:line="320" w:lineRule="exact"/>
              <w:jc w:val="left"/>
              <w:rPr>
                <w:rFonts w:ascii="宋体" w:hAnsi="宋体"/>
                <w:sz w:val="24"/>
              </w:rPr>
            </w:pPr>
            <w:r>
              <w:rPr>
                <w:rFonts w:ascii="宋体" w:hAnsi="宋体"/>
                <w:sz w:val="24"/>
              </w:rPr>
              <w:t>2</w:t>
            </w:r>
            <w:r>
              <w:rPr>
                <w:rFonts w:hint="eastAsia" w:ascii="宋体" w:hAnsi="宋体"/>
                <w:sz w:val="24"/>
              </w:rPr>
              <w:t>、供应商项目团队成员具备有效期内高级网络（数通）方向认证证书（等同于CCIE、HCIE、H3CIE）的，得2分。</w:t>
            </w:r>
          </w:p>
          <w:p>
            <w:pPr>
              <w:spacing w:line="320" w:lineRule="exact"/>
              <w:rPr>
                <w:rFonts w:ascii="宋体" w:hAnsi="宋体"/>
                <w:sz w:val="24"/>
              </w:rPr>
            </w:pPr>
            <w:r>
              <w:rPr>
                <w:rFonts w:hint="eastAsia" w:ascii="宋体" w:hAnsi="宋体"/>
                <w:sz w:val="24"/>
              </w:rPr>
              <w:t>注：须同时提供认证证书复印件、证书持有人员自2</w:t>
            </w:r>
            <w:r>
              <w:rPr>
                <w:rFonts w:ascii="宋体" w:hAnsi="宋体"/>
                <w:sz w:val="24"/>
              </w:rPr>
              <w:t>021</w:t>
            </w:r>
            <w:r>
              <w:rPr>
                <w:rFonts w:hint="eastAsia" w:ascii="宋体" w:hAnsi="宋体"/>
                <w:sz w:val="24"/>
              </w:rPr>
              <w:t>年6月1日以来在供应商单位的社保缴纳证明。不提供则不得分。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b/>
                <w:bCs/>
                <w:sz w:val="24"/>
              </w:rPr>
            </w:pPr>
            <w:r>
              <w:rPr>
                <w:rFonts w:hint="eastAsia" w:ascii="宋体" w:hAnsi="宋体"/>
                <w:b/>
                <w:bCs/>
                <w:sz w:val="24"/>
              </w:rPr>
              <w:t>服务能力</w:t>
            </w:r>
          </w:p>
        </w:tc>
        <w:tc>
          <w:tcPr>
            <w:tcW w:w="782"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hint="eastAsia" w:ascii="宋体" w:hAnsi="宋体"/>
                <w:b/>
                <w:bCs/>
                <w:sz w:val="24"/>
              </w:rPr>
              <w:t>7分</w:t>
            </w:r>
          </w:p>
        </w:tc>
        <w:tc>
          <w:tcPr>
            <w:tcW w:w="8007" w:type="dxa"/>
            <w:tcBorders>
              <w:top w:val="single" w:color="auto" w:sz="4" w:space="0"/>
              <w:left w:val="single" w:color="auto" w:sz="4" w:space="0"/>
              <w:bottom w:val="single" w:color="auto" w:sz="4" w:space="0"/>
              <w:right w:val="single" w:color="auto" w:sz="4" w:space="0"/>
            </w:tcBorders>
            <w:vAlign w:val="center"/>
          </w:tcPr>
          <w:p>
            <w:pPr>
              <w:pStyle w:val="89"/>
              <w:keepLines/>
              <w:widowControl/>
              <w:tabs>
                <w:tab w:val="left" w:pos="794"/>
                <w:tab w:val="left" w:pos="1191"/>
                <w:tab w:val="left" w:pos="1588"/>
                <w:tab w:val="left" w:pos="1985"/>
              </w:tabs>
              <w:autoSpaceDE w:val="0"/>
              <w:autoSpaceDN w:val="0"/>
              <w:adjustRightInd w:val="0"/>
              <w:spacing w:line="320" w:lineRule="exact"/>
              <w:ind w:firstLine="0" w:firstLineChars="0"/>
              <w:jc w:val="left"/>
              <w:rPr>
                <w:sz w:val="24"/>
              </w:rPr>
            </w:pPr>
            <w:r>
              <w:rPr>
                <w:rFonts w:hint="eastAsia" w:ascii="宋体" w:hAnsi="宋体" w:eastAsia="宋体" w:cs="宋体"/>
                <w:sz w:val="24"/>
              </w:rPr>
              <w:t>1、根据供应商的本地化规模、售后服务机构的实力打分。</w:t>
            </w:r>
            <w:r>
              <w:rPr>
                <w:rFonts w:hint="eastAsia" w:ascii="宋体" w:hAnsi="宋体"/>
                <w:sz w:val="24"/>
              </w:rPr>
              <w:t>优良(2，3]分；较好[1，2]分；一般[0，1)分</w:t>
            </w:r>
          </w:p>
          <w:p>
            <w:pPr>
              <w:keepLines/>
              <w:widowControl/>
              <w:tabs>
                <w:tab w:val="left" w:pos="794"/>
                <w:tab w:val="left" w:pos="1191"/>
                <w:tab w:val="left" w:pos="1588"/>
                <w:tab w:val="left" w:pos="1985"/>
              </w:tabs>
              <w:autoSpaceDE w:val="0"/>
              <w:autoSpaceDN w:val="0"/>
              <w:adjustRightInd w:val="0"/>
              <w:spacing w:line="320" w:lineRule="exact"/>
              <w:jc w:val="left"/>
              <w:rPr>
                <w:kern w:val="0"/>
                <w:sz w:val="24"/>
              </w:rPr>
            </w:pPr>
            <w:r>
              <w:rPr>
                <w:rFonts w:hint="eastAsia"/>
                <w:kern w:val="0"/>
                <w:sz w:val="24"/>
              </w:rPr>
              <w:t>2、根据供应商售后服务方案、服务承诺以及服务响应时间横向比较打分。</w:t>
            </w:r>
          </w:p>
          <w:p>
            <w:pPr>
              <w:keepLines/>
              <w:widowControl/>
              <w:tabs>
                <w:tab w:val="left" w:pos="794"/>
                <w:tab w:val="left" w:pos="1191"/>
                <w:tab w:val="left" w:pos="1588"/>
                <w:tab w:val="left" w:pos="1985"/>
              </w:tabs>
              <w:autoSpaceDE w:val="0"/>
              <w:autoSpaceDN w:val="0"/>
              <w:adjustRightInd w:val="0"/>
              <w:spacing w:line="320" w:lineRule="exact"/>
              <w:jc w:val="left"/>
              <w:rPr>
                <w:sz w:val="24"/>
              </w:rPr>
            </w:pPr>
            <w:r>
              <w:rPr>
                <w:rFonts w:hint="eastAsia" w:ascii="宋体" w:hAnsi="宋体"/>
                <w:sz w:val="24"/>
              </w:rPr>
              <w:t>优良(3，4]分；较好[2，3]分；一般[0，2)分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271" w:type="dxa"/>
            <w:tcBorders>
              <w:top w:val="single" w:color="auto" w:sz="4" w:space="0"/>
              <w:left w:val="single" w:color="auto" w:sz="4" w:space="0"/>
              <w:right w:val="single" w:color="auto" w:sz="4" w:space="0"/>
            </w:tcBorders>
            <w:vAlign w:val="center"/>
          </w:tcPr>
          <w:p>
            <w:pPr>
              <w:widowControl/>
              <w:spacing w:line="320" w:lineRule="exact"/>
              <w:jc w:val="center"/>
              <w:rPr>
                <w:rFonts w:ascii="宋体" w:hAnsi="宋体"/>
                <w:b/>
                <w:bCs/>
                <w:sz w:val="24"/>
              </w:rPr>
            </w:pPr>
            <w:bookmarkStart w:id="20" w:name="_Hlk102052288"/>
            <w:r>
              <w:rPr>
                <w:rFonts w:hint="eastAsia" w:ascii="宋体" w:hAnsi="宋体"/>
                <w:b/>
                <w:bCs/>
                <w:sz w:val="24"/>
              </w:rPr>
              <w:t>免费包修期</w:t>
            </w:r>
            <w:bookmarkEnd w:id="20"/>
          </w:p>
        </w:tc>
        <w:tc>
          <w:tcPr>
            <w:tcW w:w="782"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center"/>
              <w:rPr>
                <w:rFonts w:ascii="宋体" w:hAnsi="宋体"/>
                <w:b/>
                <w:bCs/>
                <w:sz w:val="24"/>
              </w:rPr>
            </w:pPr>
            <w:r>
              <w:rPr>
                <w:rFonts w:ascii="宋体" w:hAnsi="宋体"/>
                <w:b/>
                <w:bCs/>
                <w:sz w:val="24"/>
              </w:rPr>
              <w:t>4</w:t>
            </w:r>
            <w:r>
              <w:rPr>
                <w:rFonts w:hint="eastAsia" w:ascii="宋体" w:hAnsi="宋体"/>
                <w:b/>
                <w:bCs/>
                <w:sz w:val="24"/>
              </w:rPr>
              <w:t>分</w:t>
            </w:r>
          </w:p>
        </w:tc>
        <w:tc>
          <w:tcPr>
            <w:tcW w:w="8007" w:type="dxa"/>
            <w:tcBorders>
              <w:top w:val="single" w:color="auto" w:sz="4" w:space="0"/>
              <w:left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spacing w:line="320" w:lineRule="exact"/>
              <w:jc w:val="left"/>
              <w:rPr>
                <w:kern w:val="0"/>
                <w:sz w:val="24"/>
              </w:rPr>
            </w:pPr>
            <w:bookmarkStart w:id="21" w:name="_Hlk106270857"/>
            <w:r>
              <w:rPr>
                <w:rFonts w:hint="eastAsia"/>
                <w:kern w:val="0"/>
                <w:sz w:val="24"/>
              </w:rPr>
              <w:t>在三年免费包修期基础上，</w:t>
            </w:r>
            <w:r>
              <w:rPr>
                <w:rFonts w:hint="eastAsia" w:ascii="宋体" w:hAnsi="宋体"/>
                <w:sz w:val="24"/>
              </w:rPr>
              <w:t>应答</w:t>
            </w:r>
            <w:r>
              <w:rPr>
                <w:rFonts w:hint="eastAsia"/>
                <w:kern w:val="0"/>
                <w:sz w:val="24"/>
              </w:rPr>
              <w:t>产品制造商提供的原厂包修期每增加0</w:t>
            </w:r>
            <w:r>
              <w:rPr>
                <w:kern w:val="0"/>
                <w:sz w:val="24"/>
              </w:rPr>
              <w:t>.5</w:t>
            </w:r>
            <w:r>
              <w:rPr>
                <w:rFonts w:hint="eastAsia"/>
                <w:kern w:val="0"/>
                <w:sz w:val="24"/>
              </w:rPr>
              <w:t>年，得</w:t>
            </w:r>
            <w:r>
              <w:rPr>
                <w:kern w:val="0"/>
                <w:sz w:val="24"/>
              </w:rPr>
              <w:t>1</w:t>
            </w:r>
            <w:r>
              <w:rPr>
                <w:rFonts w:hint="eastAsia"/>
                <w:kern w:val="0"/>
                <w:sz w:val="24"/>
              </w:rPr>
              <w:t>分，满分</w:t>
            </w:r>
            <w:r>
              <w:rPr>
                <w:kern w:val="0"/>
                <w:sz w:val="24"/>
              </w:rPr>
              <w:t>4</w:t>
            </w:r>
            <w:r>
              <w:rPr>
                <w:rFonts w:hint="eastAsia"/>
                <w:kern w:val="0"/>
                <w:sz w:val="24"/>
              </w:rPr>
              <w:t>分，不增加则不得分</w:t>
            </w:r>
            <w:bookmarkEnd w:id="21"/>
            <w:r>
              <w:rPr>
                <w:rFonts w:hint="eastAsia"/>
                <w:kern w:val="0"/>
                <w:sz w:val="24"/>
              </w:rPr>
              <w:t>。</w:t>
            </w:r>
          </w:p>
        </w:tc>
      </w:tr>
    </w:tbl>
    <w:p>
      <w:pPr>
        <w:spacing w:line="360" w:lineRule="auto"/>
        <w:rPr>
          <w:b/>
          <w:bCs/>
          <w:sz w:val="24"/>
        </w:rPr>
      </w:pPr>
    </w:p>
    <w:p>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pPr>
        <w:pStyle w:val="3"/>
        <w:numPr>
          <w:ilvl w:val="0"/>
          <w:numId w:val="0"/>
        </w:numPr>
        <w:spacing w:before="0" w:after="0" w:line="360" w:lineRule="auto"/>
        <w:rPr>
          <w:b/>
          <w:color w:val="000000"/>
          <w:sz w:val="36"/>
          <w:szCs w:val="36"/>
        </w:rPr>
      </w:pPr>
      <w:r>
        <w:br w:type="page"/>
      </w:r>
      <w:bookmarkStart w:id="22" w:name="_Toc69378618"/>
      <w:r>
        <w:rPr>
          <w:rFonts w:hint="eastAsia"/>
          <w:b/>
          <w:sz w:val="36"/>
          <w:szCs w:val="36"/>
        </w:rPr>
        <w:t xml:space="preserve">第四章 </w:t>
      </w:r>
      <w:r>
        <w:rPr>
          <w:b/>
          <w:sz w:val="36"/>
          <w:szCs w:val="36"/>
        </w:rPr>
        <w:t>合同格式</w:t>
      </w:r>
      <w:bookmarkEnd w:id="22"/>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w:t>
      </w:r>
      <w:r>
        <w:rPr>
          <w:rFonts w:hint="eastAsia"/>
          <w:sz w:val="24"/>
        </w:rPr>
        <w:t>视为不实质性响应</w:t>
      </w:r>
      <w:r>
        <w:rPr>
          <w:sz w:val="24"/>
        </w:rPr>
        <w:t>。</w:t>
      </w:r>
    </w:p>
    <w:p>
      <w:pPr>
        <w:widowControl/>
        <w:spacing w:line="300" w:lineRule="auto"/>
        <w:jc w:val="left"/>
        <w:rPr>
          <w:b/>
          <w:color w:val="000000"/>
        </w:rPr>
      </w:pPr>
      <w:r>
        <w:rPr>
          <w:rFonts w:eastAsia="黑体"/>
          <w:bCs/>
          <w:color w:val="000000"/>
          <w:sz w:val="52"/>
          <w:szCs w:val="52"/>
        </w:rPr>
        <w:br w:type="page"/>
      </w:r>
    </w:p>
    <w:p>
      <w:pPr>
        <w:spacing w:line="300" w:lineRule="auto"/>
        <w:jc w:val="center"/>
        <w:rPr>
          <w:rFonts w:ascii="黑体" w:hAnsi="宋体" w:eastAsia="黑体"/>
          <w:color w:val="000000"/>
          <w:kern w:val="0"/>
        </w:rPr>
      </w:pPr>
      <w:r>
        <w:rPr>
          <w:rFonts w:hint="eastAsia" w:eastAsia="黑体"/>
          <w:color w:val="000000"/>
          <w:sz w:val="37"/>
        </w:rPr>
        <w:t>合同格式</w:t>
      </w:r>
    </w:p>
    <w:p>
      <w:pPr>
        <w:spacing w:line="360" w:lineRule="auto"/>
        <w:ind w:firstLine="422" w:firstLineChars="200"/>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Pr>
          <w:rFonts w:hint="eastAsia" w:ascii="宋体" w:hAnsi="宋体"/>
          <w:b/>
          <w:bCs/>
          <w:color w:val="000000"/>
          <w:szCs w:val="21"/>
          <w:u w:val="single"/>
        </w:rPr>
        <w:t>WEB应用防火墙设备</w:t>
      </w:r>
      <w:r>
        <w:rPr>
          <w:rFonts w:ascii="宋体" w:hAnsi="宋体"/>
          <w:color w:val="000000"/>
          <w:szCs w:val="21"/>
        </w:rPr>
        <w:t>的采购及相关服务组织了</w:t>
      </w:r>
      <w:r>
        <w:rPr>
          <w:rFonts w:hint="eastAsia" w:ascii="宋体" w:hAnsi="宋体"/>
          <w:color w:val="000000"/>
          <w:szCs w:val="21"/>
        </w:rPr>
        <w:t>竞争性磋商</w:t>
      </w:r>
      <w:r>
        <w:rPr>
          <w:rFonts w:ascii="宋体" w:hAnsi="宋体"/>
          <w:color w:val="000000"/>
          <w:szCs w:val="21"/>
        </w:rPr>
        <w:t>，经评委会严格评审，本项目由</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b/>
          <w:color w:val="000000"/>
          <w:szCs w:val="21"/>
          <w:u w:val="single"/>
        </w:rPr>
        <w:t xml:space="preserve">  公司（以下简称“乙方”）</w:t>
      </w:r>
      <w:r>
        <w:rPr>
          <w:rFonts w:ascii="宋体" w:hAnsi="宋体"/>
          <w:color w:val="000000"/>
          <w:szCs w:val="21"/>
        </w:rPr>
        <w:t>中标。</w:t>
      </w:r>
    </w:p>
    <w:p>
      <w:pPr>
        <w:spacing w:line="360" w:lineRule="auto"/>
        <w:ind w:firstLine="420" w:firstLineChars="200"/>
        <w:rPr>
          <w:rFonts w:ascii="宋体" w:hAnsi="宋体"/>
          <w:color w:val="000000"/>
          <w:szCs w:val="21"/>
        </w:rPr>
      </w:pPr>
      <w:r>
        <w:rPr>
          <w:rFonts w:hint="eastAsia" w:ascii="宋体" w:hAnsi="宋体"/>
          <w:bCs/>
          <w:color w:val="000000"/>
          <w:szCs w:val="21"/>
        </w:rPr>
        <w:t>甲</w:t>
      </w:r>
      <w:r>
        <w:rPr>
          <w:rFonts w:ascii="宋体" w:hAnsi="宋体"/>
          <w:bCs/>
          <w:color w:val="000000"/>
          <w:szCs w:val="21"/>
        </w:rPr>
        <w:t>、</w:t>
      </w:r>
      <w:r>
        <w:rPr>
          <w:rFonts w:hint="eastAsia" w:ascii="宋体" w:hAnsi="宋体"/>
          <w:bCs/>
          <w:color w:val="000000"/>
          <w:szCs w:val="21"/>
        </w:rPr>
        <w:t>乙</w:t>
      </w:r>
      <w:r>
        <w:rPr>
          <w:rFonts w:ascii="宋体" w:hAnsi="宋体"/>
          <w:bCs/>
          <w:color w:val="000000"/>
          <w:szCs w:val="21"/>
        </w:rPr>
        <w:t>双方根据</w:t>
      </w:r>
      <w:r>
        <w:rPr>
          <w:rFonts w:hint="eastAsia" w:ascii="宋体" w:hAnsi="宋体"/>
          <w:color w:val="000000"/>
          <w:szCs w:val="21"/>
        </w:rPr>
        <w:t>竞争性磋商</w:t>
      </w:r>
      <w:r>
        <w:rPr>
          <w:rFonts w:ascii="宋体" w:hAnsi="宋体"/>
          <w:color w:val="000000"/>
          <w:szCs w:val="21"/>
        </w:rPr>
        <w:t>文件的规定、乙方</w:t>
      </w:r>
      <w:r>
        <w:rPr>
          <w:rFonts w:hint="eastAsia" w:ascii="宋体" w:hAnsi="宋体"/>
          <w:color w:val="000000"/>
          <w:szCs w:val="21"/>
        </w:rPr>
        <w:t>响应</w:t>
      </w:r>
      <w:r>
        <w:rPr>
          <w:rFonts w:ascii="宋体" w:hAnsi="宋体"/>
          <w:color w:val="000000"/>
          <w:szCs w:val="21"/>
        </w:rPr>
        <w:t>文件及</w:t>
      </w:r>
      <w:r>
        <w:rPr>
          <w:rFonts w:hint="eastAsia" w:ascii="宋体" w:hAnsi="宋体"/>
          <w:color w:val="000000"/>
          <w:szCs w:val="21"/>
        </w:rPr>
        <w:t>磋商</w:t>
      </w:r>
      <w:r>
        <w:rPr>
          <w:rFonts w:ascii="宋体" w:hAnsi="宋体"/>
          <w:color w:val="000000"/>
          <w:szCs w:val="21"/>
        </w:rPr>
        <w:t>时乙方做出的书面承诺，依法签订本合同。</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3" w:name="_Toc69378619"/>
      <w:r>
        <w:rPr>
          <w:rFonts w:ascii="宋体" w:hAnsi="宋体" w:eastAsia="宋体" w:cs="宋体"/>
          <w:b/>
          <w:bCs w:val="0"/>
          <w:sz w:val="21"/>
          <w:szCs w:val="21"/>
        </w:rPr>
        <w:t>一、项目标的和内容</w:t>
      </w:r>
      <w:bookmarkEnd w:id="23"/>
    </w:p>
    <w:p>
      <w:pPr>
        <w:spacing w:line="360" w:lineRule="auto"/>
        <w:ind w:firstLine="420" w:firstLineChars="200"/>
        <w:rPr>
          <w:color w:val="000000"/>
          <w:szCs w:val="21"/>
        </w:rPr>
      </w:pPr>
      <w:bookmarkStart w:id="24" w:name="_Toc69378620"/>
      <w:r>
        <w:rPr>
          <w:color w:val="262626"/>
          <w:szCs w:val="21"/>
        </w:rPr>
        <w:t>项目标的内容包括乙方按照甲方具体要求供应</w:t>
      </w:r>
      <w:r>
        <w:rPr>
          <w:rFonts w:hint="eastAsia" w:ascii="宋体" w:hAnsi="宋体"/>
          <w:color w:val="000000"/>
          <w:szCs w:val="21"/>
          <w:u w:val="single"/>
        </w:rPr>
        <w:t>WEB应用防火墙设备</w:t>
      </w:r>
      <w:r>
        <w:rPr>
          <w:color w:val="262626"/>
          <w:szCs w:val="21"/>
        </w:rPr>
        <w:t>相</w:t>
      </w:r>
      <w:r>
        <w:rPr>
          <w:color w:val="000000"/>
          <w:szCs w:val="21"/>
        </w:rPr>
        <w:t>关软</w:t>
      </w:r>
      <w:r>
        <w:rPr>
          <w:rFonts w:hint="eastAsia"/>
          <w:color w:val="000000"/>
          <w:szCs w:val="21"/>
        </w:rPr>
        <w:t>硬</w:t>
      </w:r>
      <w:r>
        <w:rPr>
          <w:color w:val="000000"/>
          <w:szCs w:val="21"/>
        </w:rPr>
        <w:t>件、</w:t>
      </w:r>
      <w:r>
        <w:rPr>
          <w:rFonts w:hint="eastAsia"/>
          <w:color w:val="000000"/>
          <w:szCs w:val="21"/>
        </w:rPr>
        <w:t>授权</w:t>
      </w:r>
      <w:r>
        <w:rPr>
          <w:color w:val="000000"/>
          <w:szCs w:val="21"/>
        </w:rPr>
        <w:t>，并完成所有软、硬件的安装、调试及操作培训工作，同时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方指定的厂商完成相关的系统集成。具体设备名称、规格型号、配置、数量、价格明细及总价等详见附件一：</w:t>
      </w:r>
      <w:r>
        <w:rPr>
          <w:rFonts w:hint="eastAsia"/>
          <w:color w:val="000000"/>
          <w:szCs w:val="21"/>
        </w:rPr>
        <w:t>价格表</w:t>
      </w:r>
      <w:r>
        <w:rPr>
          <w:color w:val="000000"/>
          <w:szCs w:val="21"/>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ascii="宋体" w:hAnsi="宋体" w:eastAsia="宋体" w:cs="宋体"/>
          <w:b/>
          <w:bCs w:val="0"/>
          <w:sz w:val="21"/>
          <w:szCs w:val="21"/>
        </w:rPr>
        <w:t>二、合同总价</w:t>
      </w:r>
      <w:bookmarkEnd w:id="24"/>
    </w:p>
    <w:p>
      <w:pPr>
        <w:numPr>
          <w:ilvl w:val="1"/>
          <w:numId w:val="6"/>
        </w:numPr>
        <w:tabs>
          <w:tab w:val="left" w:pos="0"/>
          <w:tab w:val="clear" w:pos="1155"/>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ascii="宋体" w:hAnsi="宋体"/>
          <w:b/>
          <w:color w:val="000000"/>
          <w:szCs w:val="21"/>
          <w:u w:val="single"/>
        </w:rPr>
        <w:t xml:space="preserve">                </w:t>
      </w:r>
      <w:r>
        <w:rPr>
          <w:rFonts w:ascii="宋体" w:hAnsi="宋体"/>
          <w:color w:val="000000"/>
          <w:szCs w:val="21"/>
        </w:rPr>
        <w:t>。</w:t>
      </w:r>
    </w:p>
    <w:p>
      <w:pPr>
        <w:spacing w:line="360" w:lineRule="auto"/>
        <w:ind w:firstLine="1265" w:firstLineChars="600"/>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hint="eastAsia" w:ascii="宋体" w:hAnsi="宋体"/>
          <w:b/>
          <w:color w:val="000000"/>
          <w:szCs w:val="21"/>
          <w:u w:val="single"/>
        </w:rPr>
        <w:t xml:space="preserve"> </w:t>
      </w:r>
      <w:r>
        <w:rPr>
          <w:rFonts w:ascii="宋体" w:hAnsi="宋体"/>
          <w:b/>
          <w:color w:val="000000"/>
          <w:szCs w:val="21"/>
          <w:u w:val="single"/>
        </w:rPr>
        <w:t xml:space="preserve">             </w:t>
      </w:r>
      <w:r>
        <w:rPr>
          <w:rFonts w:ascii="宋体" w:hAnsi="宋体"/>
          <w:color w:val="000000"/>
          <w:szCs w:val="21"/>
        </w:rPr>
        <w:t>。</w:t>
      </w:r>
    </w:p>
    <w:p>
      <w:pPr>
        <w:numPr>
          <w:ilvl w:val="1"/>
          <w:numId w:val="6"/>
        </w:numPr>
        <w:tabs>
          <w:tab w:val="left" w:pos="0"/>
          <w:tab w:val="clear" w:pos="1155"/>
        </w:tabs>
        <w:spacing w:line="360" w:lineRule="auto"/>
        <w:ind w:left="0" w:firstLine="0"/>
        <w:rPr>
          <w:szCs w:val="21"/>
        </w:rPr>
      </w:pPr>
      <w:bookmarkStart w:id="25"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pPr>
        <w:numPr>
          <w:ilvl w:val="1"/>
          <w:numId w:val="6"/>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25"/>
      <w:r>
        <w:rPr>
          <w:rFonts w:hint="eastAsia"/>
        </w:rPr>
        <w:t>。</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w:t>
      </w:r>
      <w:r>
        <w:rPr>
          <w:rFonts w:ascii="宋体" w:hAnsi="宋体" w:eastAsia="宋体" w:cs="宋体"/>
          <w:b/>
          <w:bCs w:val="0"/>
          <w:sz w:val="21"/>
          <w:szCs w:val="21"/>
        </w:rPr>
        <w:t>、付款方式及期限</w:t>
      </w:r>
    </w:p>
    <w:p>
      <w:pPr>
        <w:tabs>
          <w:tab w:val="left" w:pos="0"/>
        </w:tabs>
        <w:spacing w:line="360" w:lineRule="auto"/>
        <w:rPr>
          <w:color w:val="000000"/>
          <w:szCs w:val="21"/>
        </w:rPr>
      </w:pPr>
      <w:bookmarkStart w:id="26" w:name="_Toc69378621"/>
      <w:r>
        <w:rPr>
          <w:rFonts w:hint="eastAsia"/>
          <w:szCs w:val="21"/>
        </w:rPr>
        <w:t>1．</w:t>
      </w:r>
      <w:r>
        <w:rPr>
          <w:szCs w:val="21"/>
        </w:rPr>
        <w:t>付款方式：</w:t>
      </w:r>
      <w:r>
        <w:rPr>
          <w:rFonts w:ascii="宋体" w:hAnsi="宋体"/>
          <w:szCs w:val="21"/>
        </w:rPr>
        <w:t>全部货款以电汇方式汇入乙方账号，禁止将货款划入其他账号或支付现金</w:t>
      </w:r>
      <w:r>
        <w:rPr>
          <w:szCs w:val="21"/>
        </w:rPr>
        <w:t>。如收款方的账号和开户行变更，须及时以书面形式通知付款方，通知上必须同时盖有收款方的</w:t>
      </w:r>
      <w:r>
        <w:rPr>
          <w:rFonts w:hint="eastAsia"/>
          <w:szCs w:val="21"/>
        </w:rPr>
        <w:t>公</w:t>
      </w:r>
      <w:r>
        <w:rPr>
          <w:szCs w:val="21"/>
        </w:rPr>
        <w:t>章</w:t>
      </w:r>
      <w:r>
        <w:rPr>
          <w:rFonts w:hint="eastAsia"/>
          <w:szCs w:val="21"/>
        </w:rPr>
        <w:t>或</w:t>
      </w:r>
      <w:r>
        <w:rPr>
          <w:szCs w:val="21"/>
        </w:rPr>
        <w:t>财务</w:t>
      </w:r>
      <w:r>
        <w:rPr>
          <w:rFonts w:hint="eastAsia"/>
          <w:szCs w:val="21"/>
        </w:rPr>
        <w:t>专用</w:t>
      </w:r>
      <w:r>
        <w:rPr>
          <w:szCs w:val="21"/>
        </w:rPr>
        <w:t>章</w:t>
      </w:r>
      <w:r>
        <w:rPr>
          <w:rFonts w:hint="eastAsia"/>
          <w:szCs w:val="21"/>
        </w:rPr>
        <w:t>。</w:t>
      </w:r>
    </w:p>
    <w:p>
      <w:pPr>
        <w:tabs>
          <w:tab w:val="left" w:pos="0"/>
        </w:tabs>
        <w:spacing w:line="360" w:lineRule="auto"/>
        <w:rPr>
          <w:color w:val="000000"/>
          <w:szCs w:val="21"/>
        </w:rPr>
      </w:pPr>
      <w:r>
        <w:rPr>
          <w:rFonts w:hint="eastAsia"/>
          <w:color w:val="000000"/>
          <w:szCs w:val="21"/>
        </w:rPr>
        <w:t>2．</w:t>
      </w:r>
      <w:r>
        <w:rPr>
          <w:color w:val="000000"/>
          <w:szCs w:val="21"/>
        </w:rPr>
        <w:t>付款期限：设备到货安装完成后1个月内</w:t>
      </w:r>
      <w:r>
        <w:rPr>
          <w:rFonts w:hint="eastAsia"/>
          <w:color w:val="000000"/>
          <w:szCs w:val="21"/>
        </w:rPr>
        <w:t>，甲方电汇支</w:t>
      </w:r>
      <w:r>
        <w:rPr>
          <w:color w:val="000000"/>
          <w:szCs w:val="21"/>
        </w:rPr>
        <w:t>付</w:t>
      </w:r>
      <w:r>
        <w:rPr>
          <w:rFonts w:hint="eastAsia"/>
          <w:color w:val="000000"/>
          <w:szCs w:val="21"/>
        </w:rPr>
        <w:t>乙方</w:t>
      </w:r>
      <w:r>
        <w:rPr>
          <w:color w:val="000000"/>
          <w:szCs w:val="21"/>
        </w:rPr>
        <w:t>合同总额的30%</w:t>
      </w:r>
      <w:r>
        <w:rPr>
          <w:rFonts w:hint="eastAsia"/>
          <w:color w:val="000000"/>
          <w:szCs w:val="21"/>
        </w:rPr>
        <w:t>，即人民币</w:t>
      </w:r>
      <w:r>
        <w:rPr>
          <w:rFonts w:hint="eastAsia"/>
          <w:color w:val="000000"/>
          <w:szCs w:val="21"/>
          <w:u w:val="single"/>
        </w:rPr>
        <w:t xml:space="preserve">       ；</w:t>
      </w:r>
      <w:r>
        <w:rPr>
          <w:rFonts w:hint="eastAsia"/>
          <w:color w:val="000000"/>
          <w:szCs w:val="21"/>
        </w:rPr>
        <w:t>项目通过终验后1个月内，甲方电汇支</w:t>
      </w:r>
      <w:r>
        <w:rPr>
          <w:color w:val="000000"/>
          <w:szCs w:val="21"/>
        </w:rPr>
        <w:t>付</w:t>
      </w:r>
      <w:r>
        <w:rPr>
          <w:rFonts w:hint="eastAsia"/>
          <w:color w:val="000000"/>
          <w:szCs w:val="21"/>
        </w:rPr>
        <w:t>乙方合同总额的</w:t>
      </w:r>
      <w:r>
        <w:rPr>
          <w:color w:val="000000"/>
          <w:szCs w:val="21"/>
        </w:rPr>
        <w:t>60%</w:t>
      </w:r>
      <w:r>
        <w:rPr>
          <w:rFonts w:hint="eastAsia"/>
          <w:color w:val="000000"/>
          <w:szCs w:val="21"/>
        </w:rPr>
        <w:t>，即人民币</w:t>
      </w:r>
      <w:r>
        <w:rPr>
          <w:rFonts w:hint="eastAsia"/>
          <w:color w:val="000000"/>
          <w:szCs w:val="21"/>
          <w:u w:val="single"/>
        </w:rPr>
        <w:t xml:space="preserve">       ；</w:t>
      </w:r>
      <w:r>
        <w:rPr>
          <w:rFonts w:hint="eastAsia"/>
          <w:color w:val="000000"/>
          <w:szCs w:val="21"/>
        </w:rPr>
        <w:t>10%余款即人民币</w:t>
      </w:r>
      <w:r>
        <w:rPr>
          <w:rFonts w:hint="eastAsia"/>
          <w:color w:val="000000"/>
          <w:szCs w:val="21"/>
          <w:u w:val="single"/>
        </w:rPr>
        <w:t xml:space="preserve">      ，</w:t>
      </w:r>
      <w:r>
        <w:rPr>
          <w:rFonts w:hint="eastAsia"/>
          <w:color w:val="000000"/>
          <w:szCs w:val="21"/>
        </w:rPr>
        <w:t>作为质量保证金，在终验合格一年后的10个工作日之内支付。如乙方违反本合同第十五条廉洁条款第二点，甲方有权全部扣除合同总额的10%，若此时合同总额已经全部支付或余款不足10%的，甲方有权根据此合同向乙方进一步追诉。</w:t>
      </w:r>
    </w:p>
    <w:p>
      <w:pPr>
        <w:spacing w:line="360" w:lineRule="auto"/>
        <w:rPr>
          <w:color w:val="000000"/>
          <w:szCs w:val="21"/>
        </w:rPr>
      </w:pPr>
      <w:r>
        <w:rPr>
          <w:rFonts w:hint="eastAsia"/>
          <w:color w:val="000000"/>
        </w:rPr>
        <w:t>3．质量保证金：</w:t>
      </w:r>
      <w:r>
        <w:rPr>
          <w:color w:val="000000"/>
        </w:rPr>
        <w:t>质量保证金包含对履约的保证、对质量的保证和廉政的保证。在合同履行过程中，如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方应在五个工作日内补足，或由</w:t>
      </w:r>
      <w:r>
        <w:rPr>
          <w:rFonts w:hint="eastAsia"/>
          <w:color w:val="000000"/>
        </w:rPr>
        <w:t>甲</w:t>
      </w:r>
      <w:r>
        <w:rPr>
          <w:color w:val="000000"/>
        </w:rPr>
        <w:t>方直接在应付账款中扣除。</w:t>
      </w:r>
    </w:p>
    <w:p>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pPr>
        <w:tabs>
          <w:tab w:val="left" w:pos="0"/>
        </w:tabs>
        <w:spacing w:line="360" w:lineRule="auto"/>
        <w:rPr>
          <w:color w:val="000000"/>
          <w:szCs w:val="21"/>
        </w:rPr>
      </w:pPr>
      <w:r>
        <w:rPr>
          <w:rFonts w:hint="eastAsia"/>
          <w:color w:val="000000"/>
          <w:szCs w:val="21"/>
        </w:rPr>
        <w:t>5．扣款细则</w:t>
      </w:r>
    </w:p>
    <w:p>
      <w:pPr>
        <w:spacing w:line="360" w:lineRule="auto"/>
        <w:rPr>
          <w:color w:val="000000"/>
          <w:szCs w:val="21"/>
        </w:rPr>
      </w:pPr>
      <w:r>
        <w:rPr>
          <w:rFonts w:hint="eastAsia"/>
          <w:color w:val="000000"/>
          <w:szCs w:val="21"/>
        </w:rPr>
        <w:t>乙方履行义务期间，存在以下情况时，甲方可视情况进行相应的扣款。</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2126"/>
        <w:gridCol w:w="2126"/>
        <w:gridCol w:w="141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vAlign w:val="center"/>
          </w:tcPr>
          <w:p>
            <w:pPr>
              <w:jc w:val="center"/>
              <w:rPr>
                <w:rFonts w:ascii="宋体" w:hAnsi="宋体"/>
                <w:b/>
                <w:color w:val="000000"/>
                <w:szCs w:val="21"/>
              </w:rPr>
            </w:pPr>
            <w:r>
              <w:rPr>
                <w:rFonts w:hint="eastAsia" w:ascii="宋体" w:hAnsi="宋体"/>
                <w:b/>
                <w:color w:val="000000"/>
                <w:szCs w:val="21"/>
              </w:rPr>
              <w:t>序号</w:t>
            </w:r>
          </w:p>
        </w:tc>
        <w:tc>
          <w:tcPr>
            <w:tcW w:w="1276" w:type="dxa"/>
            <w:vAlign w:val="center"/>
          </w:tcPr>
          <w:p>
            <w:pPr>
              <w:jc w:val="center"/>
              <w:rPr>
                <w:rFonts w:ascii="宋体" w:hAnsi="宋体"/>
                <w:b/>
                <w:color w:val="000000"/>
                <w:szCs w:val="21"/>
              </w:rPr>
            </w:pPr>
            <w:r>
              <w:rPr>
                <w:rFonts w:hint="eastAsia" w:ascii="宋体" w:hAnsi="宋体"/>
                <w:b/>
                <w:color w:val="000000"/>
                <w:szCs w:val="21"/>
              </w:rPr>
              <w:t>费用类别</w:t>
            </w:r>
          </w:p>
        </w:tc>
        <w:tc>
          <w:tcPr>
            <w:tcW w:w="2126" w:type="dxa"/>
            <w:vAlign w:val="center"/>
          </w:tcPr>
          <w:p>
            <w:pPr>
              <w:jc w:val="center"/>
              <w:rPr>
                <w:rFonts w:ascii="宋体" w:hAnsi="宋体"/>
                <w:b/>
                <w:color w:val="000000"/>
                <w:szCs w:val="21"/>
              </w:rPr>
            </w:pPr>
            <w:r>
              <w:rPr>
                <w:rFonts w:hint="eastAsia" w:ascii="宋体" w:hAnsi="宋体"/>
                <w:b/>
                <w:color w:val="000000"/>
                <w:szCs w:val="21"/>
              </w:rPr>
              <w:t>适用状况</w:t>
            </w:r>
          </w:p>
        </w:tc>
        <w:tc>
          <w:tcPr>
            <w:tcW w:w="2126" w:type="dxa"/>
            <w:vAlign w:val="center"/>
          </w:tcPr>
          <w:p>
            <w:pPr>
              <w:jc w:val="center"/>
              <w:rPr>
                <w:rFonts w:ascii="宋体" w:hAnsi="宋体"/>
                <w:b/>
                <w:color w:val="000000"/>
                <w:szCs w:val="21"/>
              </w:rPr>
            </w:pPr>
            <w:r>
              <w:rPr>
                <w:rFonts w:hint="eastAsia" w:ascii="宋体" w:hAnsi="宋体"/>
                <w:b/>
                <w:color w:val="000000"/>
                <w:szCs w:val="21"/>
              </w:rPr>
              <w:t>执行方法</w:t>
            </w:r>
          </w:p>
        </w:tc>
        <w:tc>
          <w:tcPr>
            <w:tcW w:w="1418" w:type="dxa"/>
            <w:vAlign w:val="center"/>
          </w:tcPr>
          <w:p>
            <w:pPr>
              <w:jc w:val="center"/>
              <w:rPr>
                <w:rFonts w:ascii="宋体" w:hAnsi="宋体"/>
                <w:b/>
                <w:color w:val="000000"/>
                <w:szCs w:val="21"/>
              </w:rPr>
            </w:pPr>
            <w:r>
              <w:rPr>
                <w:rFonts w:hint="eastAsia" w:ascii="宋体" w:hAnsi="宋体"/>
                <w:b/>
                <w:color w:val="000000"/>
                <w:szCs w:val="21"/>
              </w:rPr>
              <w:t>罚款金额</w:t>
            </w:r>
          </w:p>
        </w:tc>
        <w:tc>
          <w:tcPr>
            <w:tcW w:w="1417" w:type="dxa"/>
            <w:vAlign w:val="center"/>
          </w:tcPr>
          <w:p>
            <w:pPr>
              <w:jc w:val="center"/>
              <w:rPr>
                <w:rFonts w:ascii="宋体" w:hAnsi="宋体"/>
                <w:b/>
                <w:color w:val="000000"/>
                <w:szCs w:val="21"/>
              </w:rPr>
            </w:pPr>
            <w:r>
              <w:rPr>
                <w:rFonts w:hint="eastAsia" w:ascii="宋体" w:hAnsi="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olor w:val="000000"/>
                <w:szCs w:val="21"/>
              </w:rPr>
            </w:pPr>
            <w:r>
              <w:rPr>
                <w:rFonts w:hint="eastAsia" w:ascii="宋体" w:hAnsi="宋体"/>
                <w:color w:val="000000"/>
                <w:szCs w:val="21"/>
              </w:rPr>
              <w:t>1</w:t>
            </w:r>
          </w:p>
        </w:tc>
        <w:tc>
          <w:tcPr>
            <w:tcW w:w="1276" w:type="dxa"/>
            <w:vAlign w:val="center"/>
          </w:tcPr>
          <w:p>
            <w:pPr>
              <w:rPr>
                <w:rFonts w:ascii="宋体" w:hAnsi="宋体"/>
                <w:color w:val="000000"/>
                <w:szCs w:val="21"/>
              </w:rPr>
            </w:pPr>
            <w:r>
              <w:rPr>
                <w:rFonts w:hint="eastAsia" w:ascii="宋体" w:hAnsi="宋体"/>
                <w:color w:val="000000"/>
                <w:szCs w:val="21"/>
              </w:rPr>
              <w:t>产品质量不合格</w:t>
            </w:r>
          </w:p>
        </w:tc>
        <w:tc>
          <w:tcPr>
            <w:tcW w:w="2126" w:type="dxa"/>
            <w:vAlign w:val="center"/>
          </w:tcPr>
          <w:p>
            <w:pPr>
              <w:rPr>
                <w:rFonts w:ascii="宋体" w:hAnsi="宋体"/>
                <w:color w:val="000000"/>
                <w:szCs w:val="21"/>
              </w:rPr>
            </w:pPr>
            <w:r>
              <w:rPr>
                <w:rFonts w:hint="eastAsia" w:ascii="宋体" w:hAnsi="宋体"/>
                <w:color w:val="000000"/>
                <w:szCs w:val="21"/>
              </w:rPr>
              <w:t>乙方提交的货物产品不满足事先约定的质量要求。</w:t>
            </w:r>
          </w:p>
        </w:tc>
        <w:tc>
          <w:tcPr>
            <w:tcW w:w="2126" w:type="dxa"/>
            <w:vAlign w:val="center"/>
          </w:tcPr>
          <w:p>
            <w:pPr>
              <w:rPr>
                <w:rFonts w:ascii="宋体" w:hAnsi="宋体"/>
                <w:color w:val="000000"/>
                <w:szCs w:val="21"/>
              </w:rPr>
            </w:pPr>
            <w:r>
              <w:rPr>
                <w:rFonts w:hint="eastAsia" w:ascii="宋体" w:hAnsi="宋体"/>
                <w:color w:val="000000"/>
                <w:szCs w:val="21"/>
              </w:rPr>
              <w:t>由甲方项目经理完成产品质量缺陷说明，提交财务部扣款</w:t>
            </w:r>
          </w:p>
        </w:tc>
        <w:tc>
          <w:tcPr>
            <w:tcW w:w="1418" w:type="dxa"/>
            <w:vAlign w:val="center"/>
          </w:tcPr>
          <w:p>
            <w:pPr>
              <w:rPr>
                <w:color w:val="000000"/>
                <w:szCs w:val="21"/>
              </w:rPr>
            </w:pPr>
            <w:r>
              <w:rPr>
                <w:rFonts w:hint="eastAsia" w:ascii="宋体" w:hAnsi="宋体"/>
                <w:color w:val="000000"/>
                <w:szCs w:val="21"/>
              </w:rPr>
              <w:t>合同款</w:t>
            </w:r>
            <w:r>
              <w:rPr>
                <w:rFonts w:hint="eastAsia"/>
                <w:color w:val="000000"/>
                <w:szCs w:val="21"/>
              </w:rPr>
              <w:t>*5%~10%</w:t>
            </w:r>
          </w:p>
        </w:tc>
        <w:tc>
          <w:tcPr>
            <w:tcW w:w="1417" w:type="dxa"/>
            <w:vAlign w:val="center"/>
          </w:tcPr>
          <w:p>
            <w:pPr>
              <w:rPr>
                <w:rFonts w:ascii="宋体" w:hAnsi="宋体"/>
                <w:color w:val="000000"/>
                <w:szCs w:val="21"/>
              </w:rPr>
            </w:pPr>
            <w:r>
              <w:rPr>
                <w:rFonts w:hint="eastAsia" w:ascii="宋体" w:hAnsi="宋体"/>
                <w:color w:val="000000"/>
                <w:szCs w:val="21"/>
              </w:rPr>
              <w:t>视问题严重程度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olor w:val="000000"/>
                <w:szCs w:val="21"/>
              </w:rPr>
            </w:pPr>
            <w:r>
              <w:rPr>
                <w:rFonts w:hint="eastAsia" w:ascii="宋体" w:hAnsi="宋体"/>
                <w:color w:val="000000"/>
                <w:szCs w:val="21"/>
              </w:rPr>
              <w:t>2</w:t>
            </w:r>
          </w:p>
        </w:tc>
        <w:tc>
          <w:tcPr>
            <w:tcW w:w="1276" w:type="dxa"/>
            <w:vAlign w:val="center"/>
          </w:tcPr>
          <w:p>
            <w:pPr>
              <w:rPr>
                <w:rFonts w:ascii="宋体" w:hAnsi="宋体"/>
                <w:color w:val="000000"/>
                <w:szCs w:val="21"/>
              </w:rPr>
            </w:pPr>
            <w:r>
              <w:rPr>
                <w:rFonts w:hint="eastAsia" w:ascii="宋体" w:hAnsi="宋体"/>
                <w:color w:val="000000"/>
                <w:szCs w:val="21"/>
              </w:rPr>
              <w:t>技术支持延迟或售后不合格</w:t>
            </w:r>
          </w:p>
        </w:tc>
        <w:tc>
          <w:tcPr>
            <w:tcW w:w="2126" w:type="dxa"/>
            <w:vAlign w:val="center"/>
          </w:tcPr>
          <w:p>
            <w:pPr>
              <w:rPr>
                <w:rFonts w:ascii="宋体" w:hAnsi="宋体"/>
                <w:color w:val="000000"/>
                <w:szCs w:val="21"/>
              </w:rPr>
            </w:pPr>
            <w:r>
              <w:rPr>
                <w:rFonts w:hint="eastAsia" w:ascii="宋体" w:hAnsi="宋体"/>
                <w:color w:val="000000"/>
                <w:szCs w:val="21"/>
              </w:rPr>
              <w:t>乙方未在要求的时间内解决甲方提出的符合包修或技术支持范围的问题</w:t>
            </w:r>
          </w:p>
        </w:tc>
        <w:tc>
          <w:tcPr>
            <w:tcW w:w="2126" w:type="dxa"/>
            <w:vAlign w:val="center"/>
          </w:tcPr>
          <w:p>
            <w:pPr>
              <w:rPr>
                <w:rFonts w:ascii="宋体" w:hAnsi="宋体"/>
                <w:color w:val="000000"/>
                <w:szCs w:val="21"/>
              </w:rPr>
            </w:pPr>
            <w:r>
              <w:rPr>
                <w:rFonts w:hint="eastAsia" w:ascii="宋体" w:hAnsi="宋体"/>
                <w:color w:val="000000"/>
                <w:szCs w:val="21"/>
              </w:rPr>
              <w:t>由甲方项目经理完成售后反馈表，提交财务部扣款</w:t>
            </w:r>
          </w:p>
        </w:tc>
        <w:tc>
          <w:tcPr>
            <w:tcW w:w="1418" w:type="dxa"/>
            <w:vAlign w:val="center"/>
          </w:tcPr>
          <w:p>
            <w:pPr>
              <w:rPr>
                <w:color w:val="000000"/>
                <w:szCs w:val="21"/>
              </w:rPr>
            </w:pPr>
            <w:r>
              <w:rPr>
                <w:color w:val="000000"/>
                <w:szCs w:val="21"/>
              </w:rPr>
              <w:t>5,000~50,000</w:t>
            </w:r>
            <w:r>
              <w:rPr>
                <w:rFonts w:hAnsi="宋体"/>
                <w:color w:val="000000"/>
                <w:szCs w:val="21"/>
              </w:rPr>
              <w:t>元</w:t>
            </w:r>
          </w:p>
        </w:tc>
        <w:tc>
          <w:tcPr>
            <w:tcW w:w="1417" w:type="dxa"/>
            <w:vAlign w:val="center"/>
          </w:tcPr>
          <w:p>
            <w:pPr>
              <w:rPr>
                <w:rFonts w:ascii="宋体" w:hAnsi="宋体"/>
                <w:color w:val="000000"/>
                <w:szCs w:val="21"/>
              </w:rPr>
            </w:pPr>
            <w:r>
              <w:rPr>
                <w:rFonts w:hint="eastAsia" w:ascii="宋体" w:hAnsi="宋体"/>
                <w:color w:val="000000"/>
                <w:szCs w:val="21"/>
              </w:rPr>
              <w:t>视问题严重程度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ascii="宋体" w:hAnsi="宋体"/>
                <w:color w:val="000000"/>
                <w:szCs w:val="21"/>
              </w:rPr>
            </w:pPr>
            <w:r>
              <w:rPr>
                <w:rFonts w:hint="eastAsia" w:ascii="宋体" w:hAnsi="宋体"/>
                <w:color w:val="000000"/>
                <w:szCs w:val="21"/>
              </w:rPr>
              <w:t>3</w:t>
            </w:r>
          </w:p>
        </w:tc>
        <w:tc>
          <w:tcPr>
            <w:tcW w:w="1276" w:type="dxa"/>
            <w:vAlign w:val="center"/>
          </w:tcPr>
          <w:p>
            <w:pPr>
              <w:rPr>
                <w:rFonts w:ascii="宋体" w:hAnsi="宋体"/>
                <w:color w:val="000000"/>
                <w:szCs w:val="21"/>
              </w:rPr>
            </w:pPr>
            <w:r>
              <w:rPr>
                <w:rFonts w:hint="eastAsia" w:ascii="宋体" w:hAnsi="宋体"/>
                <w:color w:val="000000"/>
                <w:szCs w:val="21"/>
              </w:rPr>
              <w:t>文档缺失或质量不合格</w:t>
            </w:r>
          </w:p>
        </w:tc>
        <w:tc>
          <w:tcPr>
            <w:tcW w:w="2126" w:type="dxa"/>
            <w:vAlign w:val="center"/>
          </w:tcPr>
          <w:p>
            <w:pPr>
              <w:rPr>
                <w:rFonts w:ascii="宋体" w:hAnsi="宋体"/>
                <w:color w:val="000000"/>
                <w:szCs w:val="21"/>
              </w:rPr>
            </w:pPr>
            <w:r>
              <w:rPr>
                <w:rFonts w:hint="eastAsia" w:ascii="宋体" w:hAnsi="宋体"/>
                <w:color w:val="000000"/>
                <w:szCs w:val="21"/>
              </w:rPr>
              <w:t>乙方未提供或提供的技术规范、培训材料等文档</w:t>
            </w:r>
          </w:p>
        </w:tc>
        <w:tc>
          <w:tcPr>
            <w:tcW w:w="2126" w:type="dxa"/>
            <w:vAlign w:val="center"/>
          </w:tcPr>
          <w:p>
            <w:pPr>
              <w:rPr>
                <w:rFonts w:ascii="宋体" w:hAnsi="宋体"/>
                <w:color w:val="000000"/>
                <w:szCs w:val="21"/>
              </w:rPr>
            </w:pPr>
            <w:r>
              <w:rPr>
                <w:rFonts w:hint="eastAsia" w:ascii="宋体" w:hAnsi="宋体"/>
                <w:color w:val="000000"/>
                <w:szCs w:val="21"/>
              </w:rPr>
              <w:t>由甲方项目经理确认文档条目，提交财务部扣款</w:t>
            </w:r>
          </w:p>
        </w:tc>
        <w:tc>
          <w:tcPr>
            <w:tcW w:w="1418" w:type="dxa"/>
            <w:vAlign w:val="center"/>
          </w:tcPr>
          <w:p>
            <w:pPr>
              <w:rPr>
                <w:color w:val="000000"/>
                <w:szCs w:val="21"/>
              </w:rPr>
            </w:pPr>
            <w:r>
              <w:rPr>
                <w:color w:val="000000"/>
                <w:szCs w:val="21"/>
              </w:rPr>
              <w:t>1,000~5,0000</w:t>
            </w:r>
            <w:r>
              <w:rPr>
                <w:rFonts w:hAnsi="宋体"/>
                <w:color w:val="000000"/>
                <w:szCs w:val="21"/>
              </w:rPr>
              <w:t>元</w:t>
            </w:r>
          </w:p>
        </w:tc>
        <w:tc>
          <w:tcPr>
            <w:tcW w:w="1417" w:type="dxa"/>
            <w:vAlign w:val="center"/>
          </w:tcPr>
          <w:p>
            <w:pPr>
              <w:rPr>
                <w:rFonts w:ascii="宋体" w:hAnsi="宋体"/>
                <w:color w:val="000000"/>
                <w:szCs w:val="21"/>
              </w:rPr>
            </w:pPr>
            <w:r>
              <w:rPr>
                <w:rFonts w:hint="eastAsia" w:ascii="宋体" w:hAnsi="宋体"/>
                <w:color w:val="000000"/>
                <w:szCs w:val="21"/>
              </w:rPr>
              <w:t>视文档重要性</w:t>
            </w:r>
          </w:p>
        </w:tc>
      </w:tr>
    </w:tbl>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w:t>
      </w:r>
      <w:r>
        <w:rPr>
          <w:rFonts w:ascii="宋体" w:hAnsi="宋体" w:eastAsia="宋体" w:cs="宋体"/>
          <w:b/>
          <w:bCs w:val="0"/>
          <w:sz w:val="21"/>
          <w:szCs w:val="21"/>
        </w:rPr>
        <w:t>、</w:t>
      </w:r>
      <w:r>
        <w:rPr>
          <w:rFonts w:hint="eastAsia" w:ascii="宋体" w:hAnsi="宋体" w:eastAsia="宋体" w:cs="宋体"/>
          <w:b/>
          <w:bCs w:val="0"/>
          <w:sz w:val="21"/>
          <w:szCs w:val="21"/>
        </w:rPr>
        <w:t>产品的质量要求</w:t>
      </w:r>
    </w:p>
    <w:p>
      <w:pPr>
        <w:spacing w:line="360" w:lineRule="auto"/>
        <w:ind w:firstLine="420" w:firstLineChars="200"/>
        <w:rPr>
          <w:rFonts w:ascii="宋体" w:hAnsi="宋体" w:cs="宋体"/>
          <w:szCs w:val="21"/>
        </w:rPr>
      </w:pPr>
      <w:r>
        <w:rPr>
          <w:rFonts w:hint="eastAsia" w:ascii="宋体" w:hAnsi="宋体" w:cs="宋体"/>
          <w:szCs w:val="21"/>
        </w:rPr>
        <w:t>乙方所提供产品的技术指标和生产工艺必须完全满足甲方在“</w:t>
      </w:r>
      <w:r>
        <w:rPr>
          <w:rFonts w:hint="eastAsia" w:ascii="宋体" w:hAnsi="宋体"/>
          <w:color w:val="000000"/>
          <w:szCs w:val="21"/>
          <w:u w:val="single"/>
        </w:rPr>
        <w:t>WEB应用防火墙设备采购</w:t>
      </w:r>
      <w:r>
        <w:rPr>
          <w:rFonts w:hint="eastAsia" w:ascii="宋体" w:hAnsi="宋体" w:cs="宋体"/>
          <w:szCs w:val="21"/>
        </w:rPr>
        <w:t>”竞争性磋商文件中提出的技术要求，乙方所提供产品的功能与服务实现必须完全遵守响应文件和磋商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26"/>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五</w:t>
      </w:r>
      <w:r>
        <w:rPr>
          <w:rFonts w:ascii="宋体" w:hAnsi="宋体" w:eastAsia="宋体" w:cs="宋体"/>
          <w:b/>
          <w:bCs w:val="0"/>
          <w:sz w:val="21"/>
          <w:szCs w:val="21"/>
        </w:rPr>
        <w:t>、</w:t>
      </w:r>
      <w:r>
        <w:rPr>
          <w:rFonts w:hint="eastAsia" w:ascii="宋体" w:hAnsi="宋体" w:eastAsia="宋体" w:cs="宋体"/>
          <w:b/>
          <w:bCs w:val="0"/>
          <w:sz w:val="21"/>
          <w:szCs w:val="21"/>
        </w:rPr>
        <w:t>产品的包装</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所有产品由乙方负责妥善包装，附件、清单完整齐全，注明储运标志，并适合于长途运输。由此不当而引起的所有损失和责任由乙方承担。</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每件包装外面应清楚地打上记号，这些记号或标志应在运单上说明。</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备品备件及专用工具应在箱内运送并与产品分别包装，所有备件应加上标签，以示区别。</w:t>
      </w:r>
    </w:p>
    <w:p>
      <w:pPr>
        <w:numPr>
          <w:ilvl w:val="0"/>
          <w:numId w:val="7"/>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乙方应提前3天通知甲方负责收货的联系人，告知产品运送到项目现场的具体日期。</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7" w:name="_Toc69378622"/>
      <w:r>
        <w:rPr>
          <w:rFonts w:hint="eastAsia" w:ascii="宋体" w:hAnsi="宋体" w:eastAsia="宋体" w:cs="宋体"/>
          <w:b/>
          <w:bCs w:val="0"/>
          <w:sz w:val="21"/>
          <w:szCs w:val="21"/>
        </w:rPr>
        <w:t>六、产品交付</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产品的交货地点为甲方指定地点、指定楼层。</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乙方交货时应提供下列技术资料：</w:t>
      </w:r>
    </w:p>
    <w:p>
      <w:pPr>
        <w:spacing w:line="360" w:lineRule="auto"/>
        <w:rPr>
          <w:rFonts w:ascii="宋体" w:hAnsi="宋体" w:cs="宋体"/>
          <w:szCs w:val="21"/>
        </w:rPr>
      </w:pPr>
      <w:r>
        <w:rPr>
          <w:rFonts w:hint="eastAsia" w:ascii="宋体" w:hAnsi="宋体" w:cs="宋体"/>
          <w:szCs w:val="21"/>
        </w:rPr>
        <w:t>（1）产品原厂或原产地证明；</w:t>
      </w:r>
    </w:p>
    <w:p>
      <w:pPr>
        <w:spacing w:line="360" w:lineRule="auto"/>
        <w:rPr>
          <w:rFonts w:ascii="宋体" w:hAnsi="宋体" w:cs="宋体"/>
          <w:szCs w:val="21"/>
        </w:rPr>
      </w:pPr>
      <w:r>
        <w:rPr>
          <w:rFonts w:hint="eastAsia" w:ascii="宋体" w:hAnsi="宋体" w:cs="宋体"/>
          <w:szCs w:val="21"/>
        </w:rPr>
        <w:t>（2）产品出厂检验报告和产品合格证；</w:t>
      </w:r>
    </w:p>
    <w:p>
      <w:pPr>
        <w:spacing w:line="360" w:lineRule="auto"/>
        <w:rPr>
          <w:rFonts w:ascii="宋体" w:hAnsi="宋体" w:cs="宋体"/>
          <w:szCs w:val="21"/>
        </w:rPr>
      </w:pPr>
      <w:r>
        <w:rPr>
          <w:rFonts w:hint="eastAsia" w:ascii="宋体" w:hAnsi="宋体" w:cs="宋体"/>
          <w:szCs w:val="21"/>
        </w:rPr>
        <w:t>（3）竞争性磋商文件中所要求提交的资料。</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设备到货后，甲方负责清点货物包装箱件数。在设备安装调试前，甲乙双方代表在施工现场共同开箱清点验收货物。若一方因故无法抵达施工现场，则无条件接受另一方开箱清点验收结果。</w:t>
      </w:r>
    </w:p>
    <w:p>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甲方有权拒收运抵现场的被损坏或有缺陷的或不符合竞争性磋商文件、乙方响应文件和磋商时乙方做出的书面承诺的任何产品。</w:t>
      </w:r>
    </w:p>
    <w:bookmarkEnd w:id="27"/>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8" w:name="_Toc69378629"/>
      <w:r>
        <w:rPr>
          <w:rFonts w:hint="eastAsia" w:ascii="宋体" w:hAnsi="宋体" w:eastAsia="宋体" w:cs="宋体"/>
          <w:b/>
          <w:bCs w:val="0"/>
          <w:sz w:val="21"/>
          <w:szCs w:val="21"/>
        </w:rPr>
        <w:t>七、</w:t>
      </w:r>
      <w:bookmarkEnd w:id="28"/>
      <w:bookmarkStart w:id="29" w:name="_Toc69378632"/>
      <w:r>
        <w:rPr>
          <w:rFonts w:hint="eastAsia" w:ascii="宋体" w:hAnsi="宋体" w:eastAsia="宋体" w:cs="宋体"/>
          <w:b/>
          <w:bCs w:val="0"/>
          <w:sz w:val="21"/>
          <w:szCs w:val="21"/>
        </w:rPr>
        <w:t>运输费用</w:t>
      </w:r>
    </w:p>
    <w:p>
      <w:pPr>
        <w:spacing w:line="360" w:lineRule="auto"/>
        <w:ind w:firstLine="420" w:firstLineChars="200"/>
        <w:rPr>
          <w:rFonts w:ascii="宋体" w:hAnsi="宋体" w:cs="宋体"/>
          <w:szCs w:val="21"/>
        </w:rPr>
      </w:pPr>
      <w:r>
        <w:rPr>
          <w:rFonts w:hint="eastAsia" w:ascii="宋体" w:hAnsi="宋体" w:cs="宋体"/>
          <w:szCs w:val="21"/>
        </w:rPr>
        <w:t>乙方承担所有产品的运输、装卸和保险等费用。</w:t>
      </w:r>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八、供货周期</w:t>
      </w:r>
    </w:p>
    <w:p>
      <w:pPr>
        <w:numPr>
          <w:ilvl w:val="255"/>
          <w:numId w:val="0"/>
        </w:numPr>
        <w:spacing w:line="360" w:lineRule="auto"/>
        <w:ind w:firstLine="420" w:firstLineChars="200"/>
        <w:rPr>
          <w:rFonts w:ascii="宋体" w:hAnsi="宋体" w:cs="宋体"/>
          <w:szCs w:val="21"/>
        </w:rPr>
      </w:pPr>
      <w:r>
        <w:rPr>
          <w:rFonts w:hint="eastAsia" w:ascii="宋体" w:hAnsi="宋体" w:cs="宋体"/>
          <w:szCs w:val="21"/>
        </w:rPr>
        <w:t>所有货物在合同生效后</w:t>
      </w:r>
      <w:r>
        <w:rPr>
          <w:rFonts w:ascii="宋体" w:hAnsi="宋体" w:cs="宋体"/>
          <w:szCs w:val="21"/>
          <w:u w:val="single"/>
        </w:rPr>
        <w:t xml:space="preserve">   </w:t>
      </w:r>
      <w:r>
        <w:rPr>
          <w:rFonts w:hint="eastAsia" w:ascii="宋体" w:hAnsi="宋体" w:cs="宋体"/>
          <w:szCs w:val="21"/>
        </w:rPr>
        <w:t>天内（不超过</w:t>
      </w:r>
      <w:r>
        <w:rPr>
          <w:rFonts w:ascii="宋体" w:hAnsi="宋体" w:cs="宋体"/>
          <w:szCs w:val="21"/>
        </w:rPr>
        <w:t>30</w:t>
      </w:r>
      <w:r>
        <w:rPr>
          <w:rFonts w:hint="eastAsia" w:ascii="宋体" w:hAnsi="宋体" w:cs="宋体"/>
          <w:szCs w:val="21"/>
        </w:rPr>
        <w:t>天）运抵甲方工地现场并安装、调试结束，验收合格。现场集成对接时间不得超过四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numPr>
          <w:ilvl w:val="255"/>
          <w:numId w:val="0"/>
        </w:numPr>
        <w:spacing w:line="360" w:lineRule="auto"/>
        <w:ind w:firstLine="420" w:firstLineChars="200"/>
        <w:rPr>
          <w:rFonts w:ascii="宋体" w:hAnsi="宋体"/>
          <w:color w:val="000000"/>
          <w:szCs w:val="21"/>
        </w:rPr>
      </w:pPr>
      <w:r>
        <w:rPr>
          <w:rFonts w:hint="eastAsia" w:ascii="宋体" w:hAnsi="宋体" w:cs="宋体"/>
          <w:szCs w:val="21"/>
        </w:rPr>
        <w:t>乙方逾期交货，甲方接受的，不影响甲方追究乙方逾期交货的违约责任。</w:t>
      </w:r>
      <w:bookmarkEnd w:id="29"/>
    </w:p>
    <w:p>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30" w:name="_Toc69378633"/>
      <w:r>
        <w:rPr>
          <w:rFonts w:hint="eastAsia" w:ascii="宋体" w:hAnsi="宋体" w:eastAsia="宋体" w:cs="宋体"/>
          <w:b/>
          <w:bCs w:val="0"/>
          <w:sz w:val="21"/>
          <w:szCs w:val="21"/>
        </w:rPr>
        <w:t>九、验收标准</w:t>
      </w:r>
    </w:p>
    <w:p>
      <w:pPr>
        <w:numPr>
          <w:ilvl w:val="0"/>
          <w:numId w:val="9"/>
        </w:numPr>
        <w:tabs>
          <w:tab w:val="left" w:pos="0"/>
        </w:tabs>
        <w:spacing w:line="360" w:lineRule="auto"/>
        <w:ind w:left="0" w:firstLine="0"/>
        <w:rPr>
          <w:color w:val="000000"/>
          <w:szCs w:val="21"/>
        </w:rPr>
      </w:pPr>
      <w:r>
        <w:rPr>
          <w:color w:val="000000"/>
          <w:szCs w:val="21"/>
        </w:rPr>
        <w:t>设备到货后，甲方对设备数量进行核对，并进行设备上架安装、开机试运行及配置验证，确定设备与合同内容无误后视为货到验收合格。</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竞争性磋商文件、乙方响应文件、磋商时乙方做出的书面承诺以及甲乙双方共同签订的补充协议的要求进行验收。乙方在货到安装调试完毕、系统达到技术要求规定的指标并开通业务后，向甲方提交“”系统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9"/>
        </w:numPr>
        <w:adjustRightInd w:val="0"/>
        <w:snapToGrid w:val="0"/>
        <w:spacing w:line="360" w:lineRule="auto"/>
        <w:rPr>
          <w:rFonts w:ascii="宋体"/>
          <w:szCs w:val="21"/>
        </w:rPr>
      </w:pPr>
      <w:r>
        <w:rPr>
          <w:rFonts w:hint="eastAsia" w:ascii="宋体" w:hAnsi="宋体"/>
          <w:szCs w:val="21"/>
        </w:rPr>
        <w:t>乙方满足验收条件、提交甲方验收的，甲方应及时组织验收。</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甲乙双方约定合同产品检验期自交货日起至初验通过之日止。甲乙双方约定合同产品免费包修期为</w:t>
      </w:r>
      <w:r>
        <w:rPr>
          <w:rFonts w:ascii="宋体" w:hAnsi="宋体"/>
          <w:szCs w:val="21"/>
          <w:u w:val="single"/>
        </w:rPr>
        <w:t xml:space="preserve">    </w:t>
      </w:r>
      <w:r>
        <w:rPr>
          <w:rFonts w:hint="eastAsia" w:ascii="宋体" w:hAnsi="宋体"/>
          <w:szCs w:val="21"/>
        </w:rPr>
        <w:t>年（不少于3年），自初验通过之日起计算。</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31" w:name="_Toc72326302"/>
      <w:r>
        <w:rPr>
          <w:rFonts w:hint="eastAsia" w:ascii="宋体" w:hAnsi="宋体" w:eastAsia="宋体"/>
          <w:b/>
          <w:kern w:val="2"/>
          <w:sz w:val="21"/>
          <w:szCs w:val="21"/>
        </w:rPr>
        <w:t>十、售后服务</w:t>
      </w:r>
      <w:bookmarkEnd w:id="31"/>
    </w:p>
    <w:p>
      <w:pPr>
        <w:numPr>
          <w:ilvl w:val="0"/>
          <w:numId w:val="10"/>
        </w:numPr>
        <w:adjustRightInd w:val="0"/>
        <w:snapToGrid w:val="0"/>
        <w:spacing w:line="360" w:lineRule="auto"/>
        <w:ind w:left="0" w:firstLine="0"/>
        <w:rPr>
          <w:rFonts w:ascii="宋体"/>
          <w:szCs w:val="21"/>
        </w:rPr>
      </w:pPr>
      <w:r>
        <w:rPr>
          <w:rFonts w:hint="eastAsia" w:ascii="宋体" w:hAnsi="宋体"/>
          <w:szCs w:val="21"/>
        </w:rPr>
        <w:t>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小时的技术支持和服务。如果出现技术问题或故障，乙方应按响应文件和磋商时做出的书面承诺提供相应的服务和技术支持。</w:t>
      </w:r>
      <w:r>
        <w:rPr>
          <w:rFonts w:ascii="宋体" w:hAnsi="宋体"/>
          <w:szCs w:val="21"/>
        </w:rPr>
        <w:t>乙方需在南京设立产品备件库，保证硬件设备的及时维修和更换。</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包修期：免费包修期</w:t>
      </w:r>
      <w:r>
        <w:rPr>
          <w:rFonts w:hint="eastAsia" w:ascii="宋体" w:hAnsi="宋体" w:cs="宋体"/>
          <w:szCs w:val="21"/>
        </w:rPr>
        <w:t>为</w:t>
      </w:r>
      <w:r>
        <w:rPr>
          <w:rFonts w:ascii="宋体" w:hAnsi="宋体" w:cs="宋体"/>
          <w:szCs w:val="21"/>
          <w:u w:val="single"/>
        </w:rPr>
        <w:t xml:space="preserve">   </w:t>
      </w:r>
      <w:r>
        <w:rPr>
          <w:rFonts w:hint="eastAsia" w:ascii="宋体" w:hAnsi="宋体" w:cs="宋体"/>
          <w:szCs w:val="21"/>
        </w:rPr>
        <w:t>年（不少于3年）</w:t>
      </w:r>
      <w:r>
        <w:rPr>
          <w:rFonts w:hint="eastAsia" w:ascii="宋体" w:hAnsi="宋体"/>
          <w:szCs w:val="21"/>
        </w:rPr>
        <w:t>，自初验通过之日起计算。免费包修期内</w:t>
      </w:r>
      <w:r>
        <w:rPr>
          <w:rFonts w:ascii="宋体" w:hAnsi="宋体"/>
          <w:szCs w:val="21"/>
        </w:rPr>
        <w:t>，故障设备</w:t>
      </w:r>
      <w:r>
        <w:rPr>
          <w:rFonts w:hint="eastAsia" w:ascii="宋体" w:hAnsi="宋体"/>
          <w:szCs w:val="21"/>
        </w:rPr>
        <w:t>乙方</w:t>
      </w:r>
      <w:r>
        <w:rPr>
          <w:rFonts w:ascii="宋体" w:hAnsi="宋体"/>
          <w:szCs w:val="21"/>
        </w:rPr>
        <w:t>应在6小时内予以更换，更换故障部件的</w:t>
      </w:r>
      <w:r>
        <w:rPr>
          <w:rFonts w:hint="eastAsia" w:ascii="宋体" w:hAnsi="宋体"/>
          <w:szCs w:val="21"/>
        </w:rPr>
        <w:t>免费包修期</w:t>
      </w:r>
      <w:r>
        <w:rPr>
          <w:rFonts w:ascii="宋体" w:hAnsi="宋体"/>
          <w:szCs w:val="21"/>
        </w:rPr>
        <w:t>从更换日期起重新计算。</w:t>
      </w:r>
      <w:r>
        <w:rPr>
          <w:rFonts w:hint="eastAsia" w:ascii="宋体" w:hAnsi="宋体"/>
          <w:szCs w:val="21"/>
        </w:rPr>
        <w:t>超过免费质保期后，乙方对其提供的产品在设备寿命期内提供有偿保修服务。每年</w:t>
      </w:r>
      <w:r>
        <w:rPr>
          <w:rFonts w:hint="eastAsia"/>
          <w:color w:val="000000"/>
          <w:szCs w:val="21"/>
        </w:rPr>
        <w:t>价格不得高于需要保修设备成交价的</w:t>
      </w:r>
      <w:r>
        <w:rPr>
          <w:color w:val="000000"/>
          <w:szCs w:val="21"/>
          <w:u w:val="single"/>
        </w:rPr>
        <w:t xml:space="preserve">   </w:t>
      </w:r>
      <w:r>
        <w:rPr>
          <w:rFonts w:hint="eastAsia"/>
          <w:color w:val="000000"/>
          <w:szCs w:val="21"/>
        </w:rPr>
        <w:t>%（不高于5%）。有偿保修服务的内容应包含免费包修期内的所有服务内容。</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培训：包括响应文件和磋商时做出的书面承诺的培训。乙方</w:t>
      </w:r>
      <w:r>
        <w:rPr>
          <w:rFonts w:ascii="宋体" w:hAnsi="宋体"/>
          <w:szCs w:val="21"/>
        </w:rPr>
        <w:t>应对</w:t>
      </w:r>
      <w:r>
        <w:rPr>
          <w:rFonts w:hint="eastAsia" w:ascii="宋体" w:hAnsi="宋体"/>
          <w:szCs w:val="21"/>
        </w:rPr>
        <w:t>甲方</w:t>
      </w:r>
      <w:r>
        <w:rPr>
          <w:rFonts w:ascii="宋体" w:hAnsi="宋体"/>
          <w:szCs w:val="21"/>
        </w:rPr>
        <w:t>人员进行技术培训，使</w:t>
      </w:r>
      <w:r>
        <w:rPr>
          <w:rFonts w:hint="eastAsia" w:ascii="宋体" w:hAnsi="宋体"/>
          <w:szCs w:val="21"/>
        </w:rPr>
        <w:t>甲方</w:t>
      </w:r>
      <w:r>
        <w:rPr>
          <w:rFonts w:ascii="宋体" w:hAnsi="宋体"/>
          <w:szCs w:val="21"/>
        </w:rPr>
        <w:t>人员具备独立管理、维护测试和故障处理等工作的能力，培训内容包含但不限于</w:t>
      </w:r>
      <w:r>
        <w:rPr>
          <w:rFonts w:hint="eastAsia" w:ascii="宋体" w:hAnsi="宋体"/>
          <w:szCs w:val="21"/>
        </w:rPr>
        <w:t>系统的</w:t>
      </w:r>
      <w:r>
        <w:rPr>
          <w:rFonts w:ascii="宋体" w:hAnsi="宋体"/>
          <w:szCs w:val="21"/>
        </w:rPr>
        <w:t>相关技术原理、性能、操作使用方法、维护管理的技术、实际的操作练习等。</w:t>
      </w:r>
      <w:r>
        <w:rPr>
          <w:rFonts w:hint="eastAsia" w:ascii="宋体" w:hAnsi="宋体"/>
          <w:szCs w:val="21"/>
        </w:rPr>
        <w:t>乙方另行提供的其它培训，往返路程费用、住宿及餐饮等费用由乙方承担。</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原厂服务：乙方所提供的技术服务都由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numPr>
          <w:ilvl w:val="0"/>
          <w:numId w:val="10"/>
        </w:numPr>
        <w:adjustRightInd w:val="0"/>
        <w:snapToGrid w:val="0"/>
        <w:spacing w:line="360" w:lineRule="auto"/>
        <w:ind w:left="0" w:firstLine="0"/>
        <w:rPr>
          <w:rFonts w:ascii="宋体" w:hAnsi="宋体"/>
          <w:szCs w:val="21"/>
        </w:rPr>
      </w:pPr>
      <w:r>
        <w:rPr>
          <w:rFonts w:ascii="宋体" w:hAnsi="宋体"/>
          <w:szCs w:val="21"/>
        </w:rPr>
        <w:t>现场服务：包修期（含系统软件维护服务）内提供免备件费、免人工费、免服务费的故障备件更换服务。由于乙方原因造成的各种硬件和软件故障（不论该硬件或软件是甲方通过本次直接购置、赠送还是随机附带方式获得），技术服务人员均须及时响应和解决。对于电话、邮件等各种渠道的技术咨询，要给予及时响应</w:t>
      </w:r>
      <w:r>
        <w:rPr>
          <w:rFonts w:hint="eastAsia" w:ascii="宋体" w:hAnsi="宋体"/>
          <w:szCs w:val="21"/>
        </w:rPr>
        <w:t>。</w:t>
      </w:r>
    </w:p>
    <w:p>
      <w:pPr>
        <w:numPr>
          <w:ilvl w:val="0"/>
          <w:numId w:val="10"/>
        </w:numPr>
        <w:tabs>
          <w:tab w:val="left" w:pos="0"/>
        </w:tabs>
        <w:spacing w:line="360" w:lineRule="auto"/>
        <w:ind w:left="0" w:firstLine="0"/>
        <w:rPr>
          <w:color w:val="000000"/>
          <w:szCs w:val="21"/>
        </w:rPr>
      </w:pPr>
      <w:r>
        <w:t>技术交流：乙方及原厂商应当针对本项目系统（软硬件）与甲方进行现场技术交流，以提高甲方操作和维护水平。</w:t>
      </w:r>
    </w:p>
    <w:p>
      <w:pPr>
        <w:numPr>
          <w:ilvl w:val="0"/>
          <w:numId w:val="10"/>
        </w:numPr>
        <w:tabs>
          <w:tab w:val="left" w:pos="0"/>
        </w:tabs>
        <w:spacing w:line="360" w:lineRule="auto"/>
        <w:ind w:left="0" w:firstLine="0"/>
      </w:pPr>
      <w:r>
        <w:t>软件支持：包修期内，原厂商免费为甲方提供软件维护和软件兼容性问题的技术支持服务，确保设备软件系统正常运行。乙方必须终身提供免费的软件维护和升级，对于不在此范围内的情况需列表说明。</w:t>
      </w:r>
    </w:p>
    <w:p>
      <w:pPr>
        <w:numPr>
          <w:ilvl w:val="0"/>
          <w:numId w:val="10"/>
        </w:numPr>
        <w:tabs>
          <w:tab w:val="left" w:pos="0"/>
        </w:tabs>
        <w:spacing w:line="360" w:lineRule="auto"/>
        <w:ind w:left="0" w:firstLine="0"/>
      </w:pPr>
      <w:r>
        <w:t>在甲方使用主流品牌的硬件、软件产品出现兼容性问题时，原厂商须积极配合，与有关硬件、软件厂商和甲方接洽，及时定位问题原因、寻求解决方案。</w:t>
      </w:r>
    </w:p>
    <w:p>
      <w:pPr>
        <w:numPr>
          <w:ilvl w:val="0"/>
          <w:numId w:val="10"/>
        </w:numPr>
        <w:tabs>
          <w:tab w:val="left" w:pos="0"/>
        </w:tabs>
        <w:spacing w:line="360" w:lineRule="auto"/>
        <w:ind w:left="0" w:firstLine="0"/>
      </w:pPr>
      <w:r>
        <w:t>在包修期内及包修期后，甲方在使用乙方设备中不论何种原因造成的故障，乙方在接到甲方要求修复的通知后：</w:t>
      </w:r>
    </w:p>
    <w:p>
      <w:pPr>
        <w:tabs>
          <w:tab w:val="left" w:pos="0"/>
          <w:tab w:val="left" w:pos="53"/>
        </w:tabs>
        <w:spacing w:line="360" w:lineRule="auto"/>
      </w:pPr>
      <w:r>
        <w:rPr>
          <w:rFonts w:hint="eastAsia"/>
        </w:rPr>
        <w:t>（1）</w:t>
      </w:r>
      <w:r>
        <w:t>电话支持：原厂商及</w:t>
      </w:r>
      <w:r>
        <w:rPr>
          <w:szCs w:val="21"/>
        </w:rPr>
        <w:t>乙方</w:t>
      </w:r>
      <w:r>
        <w:t>为甲方提供7</w:t>
      </w:r>
      <w:r>
        <w:rPr>
          <w:rFonts w:hint="eastAsia"/>
        </w:rPr>
        <w:t>*</w:t>
      </w:r>
      <w:r>
        <w:t>24（每周7天，每天24小时，下同）电话支持服务。</w:t>
      </w:r>
    </w:p>
    <w:p>
      <w:pPr>
        <w:spacing w:line="360" w:lineRule="auto"/>
      </w:pPr>
      <w:r>
        <w:rPr>
          <w:szCs w:val="21"/>
        </w:rPr>
        <w:t>乙方</w:t>
      </w:r>
      <w:r>
        <w:t>24小时故障报修电话：</w:t>
      </w:r>
      <w:r>
        <w:rPr>
          <w:u w:val="single"/>
        </w:rPr>
        <w:t xml:space="preserve">       </w:t>
      </w:r>
    </w:p>
    <w:p>
      <w:pPr>
        <w:spacing w:line="360" w:lineRule="auto"/>
      </w:pPr>
      <w:r>
        <w:t>原厂商24小时故障报修电话：</w:t>
      </w:r>
      <w:r>
        <w:rPr>
          <w:u w:val="single"/>
        </w:rPr>
        <w:t xml:space="preserve">      </w:t>
      </w:r>
    </w:p>
    <w:p>
      <w:pPr>
        <w:pStyle w:val="23"/>
        <w:tabs>
          <w:tab w:val="left" w:pos="417"/>
        </w:tabs>
        <w:spacing w:after="0" w:line="360" w:lineRule="auto"/>
        <w:ind w:left="0"/>
        <w:rPr>
          <w:rFonts w:ascii="Times New Roman" w:eastAsia="宋体"/>
          <w:kern w:val="2"/>
          <w:sz w:val="21"/>
          <w:szCs w:val="24"/>
        </w:rPr>
      </w:pPr>
      <w:r>
        <w:rPr>
          <w:rFonts w:ascii="Times New Roman" w:eastAsia="宋体"/>
          <w:kern w:val="2"/>
          <w:sz w:val="21"/>
          <w:szCs w:val="24"/>
        </w:rPr>
        <w:t>技术支持电话：</w:t>
      </w:r>
      <w:r>
        <w:rPr>
          <w:u w:val="single"/>
        </w:rPr>
        <w:t xml:space="preserve">      </w:t>
      </w:r>
    </w:p>
    <w:p>
      <w:pPr>
        <w:tabs>
          <w:tab w:val="left" w:pos="0"/>
        </w:tabs>
        <w:spacing w:line="360" w:lineRule="auto"/>
      </w:pPr>
      <w:r>
        <w:rPr>
          <w:rFonts w:hint="eastAsia"/>
          <w:szCs w:val="21"/>
        </w:rPr>
        <w:t>（2）</w:t>
      </w:r>
      <w:r>
        <w:t>备件备品：原厂商及乙方保证所提供的设备的备件库可以满足甲方日常使用、排除硬件故障、升级的需求，</w:t>
      </w:r>
      <w:r>
        <w:rPr>
          <w:szCs w:val="21"/>
        </w:rPr>
        <w:t>在华东地区必须有常设维修机构，提供终身维保服务及配件</w:t>
      </w:r>
      <w:r>
        <w:rPr>
          <w:bCs/>
          <w:szCs w:val="21"/>
        </w:rPr>
        <w:t>；</w:t>
      </w:r>
      <w:r>
        <w:t>原厂商及乙方</w:t>
      </w:r>
      <w:r>
        <w:rPr>
          <w:bCs/>
          <w:szCs w:val="21"/>
        </w:rPr>
        <w:t>在国内应配备满足</w:t>
      </w:r>
      <w:r>
        <w:rPr>
          <w:szCs w:val="21"/>
        </w:rPr>
        <w:t>甲方</w:t>
      </w:r>
      <w:r>
        <w:rPr>
          <w:bCs/>
          <w:szCs w:val="21"/>
          <w:u w:val="single"/>
        </w:rPr>
        <w:t>5年</w:t>
      </w:r>
      <w:r>
        <w:rPr>
          <w:bCs/>
          <w:szCs w:val="21"/>
        </w:rPr>
        <w:t>正常使用的所有设备易损件和备件，</w:t>
      </w:r>
      <w:r>
        <w:rPr>
          <w:szCs w:val="21"/>
        </w:rPr>
        <w:t>用以保障甲方应急替换。</w:t>
      </w:r>
    </w:p>
    <w:tbl>
      <w:tblPr>
        <w:tblStyle w:val="53"/>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323"/>
        <w:gridCol w:w="1726"/>
        <w:gridCol w:w="1251"/>
        <w:gridCol w:w="1598"/>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Align w:val="center"/>
          </w:tcPr>
          <w:p>
            <w:pPr>
              <w:pStyle w:val="351"/>
              <w:spacing w:before="0" w:line="240" w:lineRule="auto"/>
              <w:ind w:firstLine="0"/>
              <w:jc w:val="center"/>
              <w:rPr>
                <w:b/>
                <w:sz w:val="21"/>
                <w:szCs w:val="21"/>
              </w:rPr>
            </w:pPr>
            <w:r>
              <w:rPr>
                <w:b/>
                <w:sz w:val="21"/>
                <w:szCs w:val="21"/>
              </w:rPr>
              <w:t>故障级别</w:t>
            </w:r>
          </w:p>
        </w:tc>
        <w:tc>
          <w:tcPr>
            <w:tcW w:w="1323" w:type="dxa"/>
            <w:vAlign w:val="center"/>
          </w:tcPr>
          <w:p>
            <w:pPr>
              <w:pStyle w:val="351"/>
              <w:spacing w:before="0" w:line="240" w:lineRule="auto"/>
              <w:ind w:firstLine="0"/>
              <w:jc w:val="center"/>
              <w:rPr>
                <w:b/>
                <w:sz w:val="21"/>
                <w:szCs w:val="21"/>
              </w:rPr>
            </w:pPr>
            <w:r>
              <w:rPr>
                <w:b/>
                <w:sz w:val="21"/>
                <w:szCs w:val="21"/>
              </w:rPr>
              <w:t>故障描述</w:t>
            </w:r>
          </w:p>
        </w:tc>
        <w:tc>
          <w:tcPr>
            <w:tcW w:w="1726" w:type="dxa"/>
            <w:vAlign w:val="center"/>
          </w:tcPr>
          <w:p>
            <w:pPr>
              <w:pStyle w:val="351"/>
              <w:spacing w:before="0" w:line="240" w:lineRule="auto"/>
              <w:ind w:firstLine="0"/>
              <w:jc w:val="center"/>
              <w:rPr>
                <w:b/>
                <w:sz w:val="21"/>
                <w:szCs w:val="21"/>
              </w:rPr>
            </w:pPr>
            <w:r>
              <w:rPr>
                <w:b/>
                <w:sz w:val="21"/>
                <w:szCs w:val="21"/>
              </w:rPr>
              <w:t>发生时段</w:t>
            </w:r>
          </w:p>
        </w:tc>
        <w:tc>
          <w:tcPr>
            <w:tcW w:w="1251" w:type="dxa"/>
            <w:vAlign w:val="center"/>
          </w:tcPr>
          <w:p>
            <w:pPr>
              <w:pStyle w:val="351"/>
              <w:spacing w:before="0" w:line="240" w:lineRule="auto"/>
              <w:ind w:firstLine="0"/>
              <w:jc w:val="center"/>
              <w:rPr>
                <w:b/>
                <w:sz w:val="21"/>
                <w:szCs w:val="21"/>
              </w:rPr>
            </w:pPr>
            <w:r>
              <w:rPr>
                <w:b/>
                <w:sz w:val="21"/>
                <w:szCs w:val="21"/>
              </w:rPr>
              <w:t>电话</w:t>
            </w:r>
            <w:r>
              <w:rPr>
                <w:rFonts w:hint="eastAsia"/>
                <w:b/>
                <w:sz w:val="21"/>
                <w:szCs w:val="21"/>
              </w:rPr>
              <w:t>响应</w:t>
            </w:r>
          </w:p>
        </w:tc>
        <w:tc>
          <w:tcPr>
            <w:tcW w:w="1598" w:type="dxa"/>
            <w:vAlign w:val="center"/>
          </w:tcPr>
          <w:p>
            <w:pPr>
              <w:pStyle w:val="351"/>
              <w:spacing w:before="0" w:line="240" w:lineRule="auto"/>
              <w:ind w:firstLine="0"/>
              <w:jc w:val="center"/>
              <w:rPr>
                <w:b/>
                <w:sz w:val="21"/>
                <w:szCs w:val="21"/>
              </w:rPr>
            </w:pPr>
            <w:r>
              <w:rPr>
                <w:b/>
                <w:sz w:val="21"/>
                <w:szCs w:val="21"/>
              </w:rPr>
              <w:t>现场响应</w:t>
            </w:r>
          </w:p>
        </w:tc>
        <w:tc>
          <w:tcPr>
            <w:tcW w:w="1357" w:type="dxa"/>
            <w:vAlign w:val="center"/>
          </w:tcPr>
          <w:p>
            <w:pPr>
              <w:pStyle w:val="351"/>
              <w:spacing w:before="0" w:line="240" w:lineRule="auto"/>
              <w:ind w:firstLine="0"/>
              <w:jc w:val="center"/>
              <w:rPr>
                <w:b/>
                <w:sz w:val="21"/>
                <w:szCs w:val="21"/>
              </w:rPr>
            </w:pPr>
            <w:r>
              <w:rPr>
                <w:b/>
                <w:sz w:val="21"/>
                <w:szCs w:val="21"/>
              </w:rPr>
              <w:t>解决</w:t>
            </w:r>
            <w:r>
              <w:rPr>
                <w:rFonts w:hint="eastAsia"/>
                <w:b/>
                <w:sz w:val="21"/>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restart"/>
            <w:vAlign w:val="center"/>
          </w:tcPr>
          <w:p>
            <w:pPr>
              <w:pStyle w:val="351"/>
              <w:spacing w:before="0" w:line="240" w:lineRule="auto"/>
              <w:ind w:firstLine="0"/>
              <w:jc w:val="center"/>
              <w:rPr>
                <w:kern w:val="2"/>
                <w:sz w:val="21"/>
                <w:szCs w:val="21"/>
              </w:rPr>
            </w:pPr>
            <w:r>
              <w:rPr>
                <w:kern w:val="2"/>
                <w:sz w:val="21"/>
                <w:szCs w:val="21"/>
              </w:rPr>
              <w:t>紧急故障</w:t>
            </w:r>
          </w:p>
        </w:tc>
        <w:tc>
          <w:tcPr>
            <w:tcW w:w="1323" w:type="dxa"/>
            <w:vMerge w:val="restart"/>
            <w:vAlign w:val="center"/>
          </w:tcPr>
          <w:p>
            <w:pPr>
              <w:tabs>
                <w:tab w:val="left" w:pos="2412"/>
              </w:tabs>
              <w:jc w:val="center"/>
              <w:rPr>
                <w:szCs w:val="21"/>
              </w:rPr>
            </w:pPr>
            <w:r>
              <w:rPr>
                <w:szCs w:val="21"/>
              </w:rPr>
              <w:t>服务中断</w:t>
            </w:r>
          </w:p>
        </w:tc>
        <w:tc>
          <w:tcPr>
            <w:tcW w:w="1726" w:type="dxa"/>
            <w:vAlign w:val="center"/>
          </w:tcPr>
          <w:p>
            <w:pPr>
              <w:jc w:val="center"/>
              <w:rPr>
                <w:szCs w:val="21"/>
              </w:rPr>
            </w:pPr>
            <w:r>
              <w:rPr>
                <w:szCs w:val="21"/>
              </w:rPr>
              <w:t>正常工作时段</w:t>
            </w:r>
          </w:p>
        </w:tc>
        <w:tc>
          <w:tcPr>
            <w:tcW w:w="1251" w:type="dxa"/>
            <w:vAlign w:val="center"/>
          </w:tcPr>
          <w:p>
            <w:pPr>
              <w:jc w:val="center"/>
              <w:rPr>
                <w:szCs w:val="21"/>
              </w:rPr>
            </w:pPr>
            <w:r>
              <w:rPr>
                <w:szCs w:val="21"/>
              </w:rPr>
              <w:t>/</w:t>
            </w:r>
          </w:p>
        </w:tc>
        <w:tc>
          <w:tcPr>
            <w:tcW w:w="1598" w:type="dxa"/>
            <w:vAlign w:val="center"/>
          </w:tcPr>
          <w:p>
            <w:pPr>
              <w:jc w:val="center"/>
              <w:rPr>
                <w:szCs w:val="21"/>
              </w:rPr>
            </w:pPr>
            <w:r>
              <w:rPr>
                <w:szCs w:val="21"/>
              </w:rPr>
              <w:t>现场解决</w:t>
            </w:r>
          </w:p>
        </w:tc>
        <w:tc>
          <w:tcPr>
            <w:tcW w:w="1357" w:type="dxa"/>
            <w:vAlign w:val="center"/>
          </w:tcPr>
          <w:p>
            <w:pPr>
              <w:jc w:val="center"/>
              <w:rPr>
                <w:szCs w:val="21"/>
              </w:rPr>
            </w:pPr>
            <w:r>
              <w:rPr>
                <w:szCs w:val="21"/>
              </w:rPr>
              <w:t>10～15分钟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continue"/>
            <w:vAlign w:val="center"/>
          </w:tcPr>
          <w:p>
            <w:pPr>
              <w:pStyle w:val="351"/>
              <w:spacing w:before="0" w:line="240" w:lineRule="auto"/>
              <w:ind w:firstLine="420"/>
              <w:jc w:val="center"/>
              <w:rPr>
                <w:kern w:val="2"/>
                <w:sz w:val="21"/>
                <w:szCs w:val="21"/>
              </w:rPr>
            </w:pPr>
          </w:p>
        </w:tc>
        <w:tc>
          <w:tcPr>
            <w:tcW w:w="1323" w:type="dxa"/>
            <w:vMerge w:val="continue"/>
            <w:vAlign w:val="center"/>
          </w:tcPr>
          <w:p>
            <w:pPr>
              <w:tabs>
                <w:tab w:val="left" w:pos="2412"/>
              </w:tabs>
              <w:ind w:firstLine="157" w:firstLineChars="75"/>
              <w:jc w:val="center"/>
              <w:rPr>
                <w:szCs w:val="21"/>
              </w:rPr>
            </w:pPr>
          </w:p>
        </w:tc>
        <w:tc>
          <w:tcPr>
            <w:tcW w:w="1726" w:type="dxa"/>
            <w:vAlign w:val="center"/>
          </w:tcPr>
          <w:p>
            <w:pPr>
              <w:jc w:val="center"/>
              <w:rPr>
                <w:szCs w:val="21"/>
              </w:rPr>
            </w:pPr>
            <w:r>
              <w:rPr>
                <w:szCs w:val="21"/>
              </w:rPr>
              <w:t>非正常工作时段</w:t>
            </w:r>
          </w:p>
        </w:tc>
        <w:tc>
          <w:tcPr>
            <w:tcW w:w="1251" w:type="dxa"/>
            <w:vAlign w:val="center"/>
          </w:tcPr>
          <w:p>
            <w:pPr>
              <w:jc w:val="center"/>
              <w:rPr>
                <w:szCs w:val="21"/>
              </w:rPr>
            </w:pPr>
            <w:r>
              <w:rPr>
                <w:szCs w:val="21"/>
              </w:rPr>
              <w:t>立即响应</w:t>
            </w:r>
          </w:p>
        </w:tc>
        <w:tc>
          <w:tcPr>
            <w:tcW w:w="1598" w:type="dxa"/>
            <w:vAlign w:val="center"/>
          </w:tcPr>
          <w:p>
            <w:pPr>
              <w:jc w:val="center"/>
              <w:rPr>
                <w:szCs w:val="21"/>
              </w:rPr>
            </w:pPr>
            <w:r>
              <w:rPr>
                <w:szCs w:val="21"/>
              </w:rPr>
              <w:t>30分钟内</w:t>
            </w:r>
          </w:p>
        </w:tc>
        <w:tc>
          <w:tcPr>
            <w:tcW w:w="1357" w:type="dxa"/>
            <w:vAlign w:val="center"/>
          </w:tcPr>
          <w:p>
            <w:pPr>
              <w:jc w:val="center"/>
              <w:rPr>
                <w:szCs w:val="21"/>
              </w:rPr>
            </w:pPr>
            <w:r>
              <w:rPr>
                <w:szCs w:val="21"/>
              </w:rPr>
              <w:t>30分钟内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restart"/>
            <w:vAlign w:val="center"/>
          </w:tcPr>
          <w:p>
            <w:pPr>
              <w:pStyle w:val="351"/>
              <w:spacing w:before="0" w:line="240" w:lineRule="auto"/>
              <w:ind w:firstLine="0"/>
              <w:jc w:val="center"/>
              <w:rPr>
                <w:kern w:val="2"/>
                <w:sz w:val="21"/>
                <w:szCs w:val="21"/>
              </w:rPr>
            </w:pPr>
            <w:r>
              <w:rPr>
                <w:kern w:val="2"/>
                <w:sz w:val="21"/>
                <w:szCs w:val="21"/>
              </w:rPr>
              <w:t>严重故障</w:t>
            </w:r>
          </w:p>
        </w:tc>
        <w:tc>
          <w:tcPr>
            <w:tcW w:w="1323" w:type="dxa"/>
            <w:vMerge w:val="restart"/>
            <w:vAlign w:val="center"/>
          </w:tcPr>
          <w:p>
            <w:pPr>
              <w:jc w:val="center"/>
              <w:rPr>
                <w:szCs w:val="21"/>
              </w:rPr>
            </w:pPr>
            <w:r>
              <w:rPr>
                <w:szCs w:val="21"/>
              </w:rPr>
              <w:t>系统缓慢</w:t>
            </w:r>
          </w:p>
        </w:tc>
        <w:tc>
          <w:tcPr>
            <w:tcW w:w="1726" w:type="dxa"/>
            <w:vAlign w:val="center"/>
          </w:tcPr>
          <w:p>
            <w:pPr>
              <w:jc w:val="center"/>
              <w:rPr>
                <w:szCs w:val="21"/>
              </w:rPr>
            </w:pPr>
            <w:r>
              <w:rPr>
                <w:szCs w:val="21"/>
              </w:rPr>
              <w:t>正常工作时段</w:t>
            </w:r>
          </w:p>
        </w:tc>
        <w:tc>
          <w:tcPr>
            <w:tcW w:w="1251" w:type="dxa"/>
            <w:vAlign w:val="center"/>
          </w:tcPr>
          <w:p>
            <w:pPr>
              <w:jc w:val="center"/>
              <w:rPr>
                <w:szCs w:val="21"/>
              </w:rPr>
            </w:pPr>
          </w:p>
        </w:tc>
        <w:tc>
          <w:tcPr>
            <w:tcW w:w="1598" w:type="dxa"/>
            <w:vAlign w:val="center"/>
          </w:tcPr>
          <w:p>
            <w:pPr>
              <w:jc w:val="center"/>
              <w:rPr>
                <w:szCs w:val="21"/>
              </w:rPr>
            </w:pPr>
            <w:r>
              <w:rPr>
                <w:szCs w:val="21"/>
              </w:rPr>
              <w:t>现场解决</w:t>
            </w:r>
          </w:p>
        </w:tc>
        <w:tc>
          <w:tcPr>
            <w:tcW w:w="1357" w:type="dxa"/>
            <w:vAlign w:val="center"/>
          </w:tcPr>
          <w:p>
            <w:pPr>
              <w:jc w:val="center"/>
              <w:rPr>
                <w:szCs w:val="21"/>
              </w:rPr>
            </w:pPr>
            <w:r>
              <w:rPr>
                <w:szCs w:val="21"/>
              </w:rPr>
              <w:t>10～15分钟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continue"/>
            <w:vAlign w:val="center"/>
          </w:tcPr>
          <w:p>
            <w:pPr>
              <w:pStyle w:val="351"/>
              <w:spacing w:before="0" w:line="240" w:lineRule="auto"/>
              <w:ind w:firstLine="420"/>
              <w:jc w:val="center"/>
              <w:rPr>
                <w:kern w:val="2"/>
                <w:sz w:val="21"/>
                <w:szCs w:val="21"/>
              </w:rPr>
            </w:pPr>
          </w:p>
        </w:tc>
        <w:tc>
          <w:tcPr>
            <w:tcW w:w="1323" w:type="dxa"/>
            <w:vMerge w:val="continue"/>
            <w:vAlign w:val="center"/>
          </w:tcPr>
          <w:p>
            <w:pPr>
              <w:ind w:firstLine="157" w:firstLineChars="75"/>
              <w:jc w:val="center"/>
              <w:rPr>
                <w:szCs w:val="21"/>
              </w:rPr>
            </w:pPr>
          </w:p>
        </w:tc>
        <w:tc>
          <w:tcPr>
            <w:tcW w:w="1726" w:type="dxa"/>
            <w:vAlign w:val="center"/>
          </w:tcPr>
          <w:p>
            <w:pPr>
              <w:jc w:val="center"/>
              <w:rPr>
                <w:szCs w:val="21"/>
              </w:rPr>
            </w:pPr>
            <w:r>
              <w:rPr>
                <w:szCs w:val="21"/>
              </w:rPr>
              <w:t>非正常工作时段</w:t>
            </w:r>
          </w:p>
        </w:tc>
        <w:tc>
          <w:tcPr>
            <w:tcW w:w="1251" w:type="dxa"/>
            <w:vAlign w:val="center"/>
          </w:tcPr>
          <w:p>
            <w:pPr>
              <w:jc w:val="center"/>
              <w:rPr>
                <w:szCs w:val="21"/>
              </w:rPr>
            </w:pPr>
            <w:r>
              <w:rPr>
                <w:szCs w:val="21"/>
              </w:rPr>
              <w:t>立即响应</w:t>
            </w:r>
          </w:p>
        </w:tc>
        <w:tc>
          <w:tcPr>
            <w:tcW w:w="1598" w:type="dxa"/>
            <w:vAlign w:val="center"/>
          </w:tcPr>
          <w:p>
            <w:pPr>
              <w:jc w:val="center"/>
              <w:rPr>
                <w:szCs w:val="21"/>
              </w:rPr>
            </w:pPr>
            <w:r>
              <w:rPr>
                <w:szCs w:val="21"/>
              </w:rPr>
              <w:t>30分钟内</w:t>
            </w:r>
          </w:p>
        </w:tc>
        <w:tc>
          <w:tcPr>
            <w:tcW w:w="1357" w:type="dxa"/>
            <w:vAlign w:val="center"/>
          </w:tcPr>
          <w:p>
            <w:pPr>
              <w:jc w:val="center"/>
              <w:rPr>
                <w:szCs w:val="21"/>
              </w:rPr>
            </w:pPr>
            <w:r>
              <w:rPr>
                <w:szCs w:val="21"/>
              </w:rPr>
              <w:t>1小时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restart"/>
            <w:vAlign w:val="center"/>
          </w:tcPr>
          <w:p>
            <w:pPr>
              <w:pStyle w:val="351"/>
              <w:spacing w:before="0" w:line="240" w:lineRule="auto"/>
              <w:ind w:firstLine="0"/>
              <w:jc w:val="center"/>
              <w:rPr>
                <w:kern w:val="2"/>
                <w:sz w:val="21"/>
                <w:szCs w:val="21"/>
              </w:rPr>
            </w:pPr>
            <w:r>
              <w:rPr>
                <w:kern w:val="2"/>
                <w:sz w:val="21"/>
                <w:szCs w:val="21"/>
              </w:rPr>
              <w:t>中级故障</w:t>
            </w:r>
          </w:p>
        </w:tc>
        <w:tc>
          <w:tcPr>
            <w:tcW w:w="1323" w:type="dxa"/>
            <w:vMerge w:val="restart"/>
            <w:vAlign w:val="center"/>
          </w:tcPr>
          <w:p>
            <w:pPr>
              <w:jc w:val="center"/>
              <w:rPr>
                <w:szCs w:val="21"/>
              </w:rPr>
            </w:pPr>
            <w:r>
              <w:rPr>
                <w:szCs w:val="21"/>
              </w:rPr>
              <w:t>关键性bug</w:t>
            </w:r>
          </w:p>
        </w:tc>
        <w:tc>
          <w:tcPr>
            <w:tcW w:w="1726" w:type="dxa"/>
            <w:vAlign w:val="center"/>
          </w:tcPr>
          <w:p>
            <w:pPr>
              <w:jc w:val="center"/>
              <w:rPr>
                <w:szCs w:val="21"/>
              </w:rPr>
            </w:pPr>
            <w:r>
              <w:rPr>
                <w:szCs w:val="21"/>
              </w:rPr>
              <w:t>正常工作时段</w:t>
            </w:r>
          </w:p>
        </w:tc>
        <w:tc>
          <w:tcPr>
            <w:tcW w:w="1251" w:type="dxa"/>
            <w:vAlign w:val="center"/>
          </w:tcPr>
          <w:p>
            <w:pPr>
              <w:jc w:val="center"/>
              <w:rPr>
                <w:szCs w:val="21"/>
              </w:rPr>
            </w:pPr>
            <w:r>
              <w:rPr>
                <w:szCs w:val="21"/>
              </w:rPr>
              <w:t>/</w:t>
            </w:r>
          </w:p>
        </w:tc>
        <w:tc>
          <w:tcPr>
            <w:tcW w:w="1598" w:type="dxa"/>
            <w:vAlign w:val="center"/>
          </w:tcPr>
          <w:p>
            <w:pPr>
              <w:jc w:val="center"/>
              <w:rPr>
                <w:szCs w:val="21"/>
              </w:rPr>
            </w:pPr>
            <w:r>
              <w:rPr>
                <w:szCs w:val="21"/>
              </w:rPr>
              <w:t>现场响应</w:t>
            </w:r>
          </w:p>
        </w:tc>
        <w:tc>
          <w:tcPr>
            <w:tcW w:w="1357" w:type="dxa"/>
            <w:vMerge w:val="restart"/>
            <w:vAlign w:val="center"/>
          </w:tcPr>
          <w:p>
            <w:pPr>
              <w:pStyle w:val="351"/>
              <w:spacing w:before="0" w:line="240" w:lineRule="auto"/>
              <w:ind w:firstLine="0"/>
              <w:rPr>
                <w:kern w:val="2"/>
                <w:sz w:val="21"/>
                <w:szCs w:val="21"/>
              </w:rPr>
            </w:pPr>
            <w:r>
              <w:rPr>
                <w:kern w:val="2"/>
                <w:sz w:val="21"/>
                <w:szCs w:val="21"/>
              </w:rPr>
              <w:t>不超过1周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continue"/>
            <w:vAlign w:val="center"/>
          </w:tcPr>
          <w:p>
            <w:pPr>
              <w:pStyle w:val="351"/>
              <w:spacing w:before="0" w:line="240" w:lineRule="auto"/>
              <w:ind w:firstLine="420"/>
              <w:jc w:val="center"/>
              <w:rPr>
                <w:kern w:val="2"/>
                <w:sz w:val="21"/>
                <w:szCs w:val="21"/>
              </w:rPr>
            </w:pPr>
          </w:p>
        </w:tc>
        <w:tc>
          <w:tcPr>
            <w:tcW w:w="1323" w:type="dxa"/>
            <w:vMerge w:val="continue"/>
            <w:vAlign w:val="center"/>
          </w:tcPr>
          <w:p>
            <w:pPr>
              <w:ind w:firstLine="157" w:firstLineChars="75"/>
              <w:jc w:val="center"/>
              <w:rPr>
                <w:szCs w:val="21"/>
              </w:rPr>
            </w:pPr>
          </w:p>
        </w:tc>
        <w:tc>
          <w:tcPr>
            <w:tcW w:w="1726" w:type="dxa"/>
            <w:vAlign w:val="center"/>
          </w:tcPr>
          <w:p>
            <w:pPr>
              <w:jc w:val="center"/>
              <w:rPr>
                <w:szCs w:val="21"/>
              </w:rPr>
            </w:pPr>
            <w:r>
              <w:rPr>
                <w:szCs w:val="21"/>
              </w:rPr>
              <w:t>非正常工作时段</w:t>
            </w:r>
          </w:p>
        </w:tc>
        <w:tc>
          <w:tcPr>
            <w:tcW w:w="1251" w:type="dxa"/>
            <w:vAlign w:val="center"/>
          </w:tcPr>
          <w:p>
            <w:pPr>
              <w:jc w:val="center"/>
              <w:rPr>
                <w:szCs w:val="21"/>
              </w:rPr>
            </w:pPr>
            <w:r>
              <w:rPr>
                <w:szCs w:val="21"/>
              </w:rPr>
              <w:t>立即响应</w:t>
            </w:r>
          </w:p>
        </w:tc>
        <w:tc>
          <w:tcPr>
            <w:tcW w:w="1598" w:type="dxa"/>
            <w:vAlign w:val="center"/>
          </w:tcPr>
          <w:p>
            <w:pPr>
              <w:jc w:val="center"/>
              <w:rPr>
                <w:szCs w:val="21"/>
              </w:rPr>
            </w:pPr>
            <w:r>
              <w:rPr>
                <w:szCs w:val="21"/>
              </w:rPr>
              <w:t>一个工作日内</w:t>
            </w:r>
          </w:p>
        </w:tc>
        <w:tc>
          <w:tcPr>
            <w:tcW w:w="1357" w:type="dxa"/>
            <w:vMerge w:val="continue"/>
            <w:vAlign w:val="center"/>
          </w:tcPr>
          <w:p>
            <w:pPr>
              <w:pStyle w:val="351"/>
              <w:spacing w:before="0" w:line="240" w:lineRule="auto"/>
              <w:jc w:val="center"/>
              <w:rPr>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restart"/>
            <w:vAlign w:val="center"/>
          </w:tcPr>
          <w:p>
            <w:pPr>
              <w:jc w:val="center"/>
              <w:rPr>
                <w:szCs w:val="21"/>
              </w:rPr>
            </w:pPr>
            <w:r>
              <w:rPr>
                <w:szCs w:val="21"/>
              </w:rPr>
              <w:t>低级故障</w:t>
            </w:r>
          </w:p>
        </w:tc>
        <w:tc>
          <w:tcPr>
            <w:tcW w:w="1323" w:type="dxa"/>
            <w:vMerge w:val="restart"/>
            <w:vAlign w:val="center"/>
          </w:tcPr>
          <w:p>
            <w:pPr>
              <w:jc w:val="center"/>
              <w:rPr>
                <w:szCs w:val="21"/>
              </w:rPr>
            </w:pPr>
            <w:r>
              <w:rPr>
                <w:szCs w:val="21"/>
              </w:rPr>
              <w:t>非关键性bug</w:t>
            </w:r>
          </w:p>
        </w:tc>
        <w:tc>
          <w:tcPr>
            <w:tcW w:w="1726" w:type="dxa"/>
            <w:vAlign w:val="center"/>
          </w:tcPr>
          <w:p>
            <w:pPr>
              <w:jc w:val="center"/>
              <w:rPr>
                <w:szCs w:val="21"/>
              </w:rPr>
            </w:pPr>
            <w:r>
              <w:rPr>
                <w:szCs w:val="21"/>
              </w:rPr>
              <w:t>正常工作时</w:t>
            </w:r>
            <w:r>
              <w:rPr>
                <w:rFonts w:hint="eastAsia"/>
                <w:szCs w:val="21"/>
              </w:rPr>
              <w:t>段</w:t>
            </w:r>
          </w:p>
        </w:tc>
        <w:tc>
          <w:tcPr>
            <w:tcW w:w="1251" w:type="dxa"/>
            <w:vAlign w:val="center"/>
          </w:tcPr>
          <w:p>
            <w:pPr>
              <w:jc w:val="center"/>
              <w:rPr>
                <w:szCs w:val="21"/>
              </w:rPr>
            </w:pPr>
            <w:r>
              <w:rPr>
                <w:szCs w:val="21"/>
              </w:rPr>
              <w:t>/</w:t>
            </w:r>
          </w:p>
        </w:tc>
        <w:tc>
          <w:tcPr>
            <w:tcW w:w="1598" w:type="dxa"/>
            <w:vAlign w:val="center"/>
          </w:tcPr>
          <w:p>
            <w:pPr>
              <w:jc w:val="center"/>
              <w:rPr>
                <w:szCs w:val="21"/>
              </w:rPr>
            </w:pPr>
            <w:r>
              <w:rPr>
                <w:szCs w:val="21"/>
              </w:rPr>
              <w:t>现场解决</w:t>
            </w:r>
          </w:p>
        </w:tc>
        <w:tc>
          <w:tcPr>
            <w:tcW w:w="1357" w:type="dxa"/>
            <w:vMerge w:val="restart"/>
            <w:vAlign w:val="center"/>
          </w:tcPr>
          <w:p>
            <w:pPr>
              <w:pStyle w:val="351"/>
              <w:spacing w:before="0" w:line="240" w:lineRule="auto"/>
              <w:ind w:firstLine="0"/>
              <w:rPr>
                <w:kern w:val="2"/>
                <w:sz w:val="21"/>
                <w:szCs w:val="21"/>
              </w:rPr>
            </w:pPr>
            <w:r>
              <w:rPr>
                <w:kern w:val="2"/>
                <w:sz w:val="21"/>
                <w:szCs w:val="21"/>
              </w:rPr>
              <w:t>不超过2周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90" w:type="dxa"/>
            <w:vMerge w:val="continue"/>
            <w:vAlign w:val="center"/>
          </w:tcPr>
          <w:p>
            <w:pPr>
              <w:jc w:val="center"/>
              <w:rPr>
                <w:szCs w:val="21"/>
              </w:rPr>
            </w:pPr>
          </w:p>
        </w:tc>
        <w:tc>
          <w:tcPr>
            <w:tcW w:w="1323" w:type="dxa"/>
            <w:vMerge w:val="continue"/>
            <w:vAlign w:val="center"/>
          </w:tcPr>
          <w:p>
            <w:pPr>
              <w:jc w:val="center"/>
              <w:rPr>
                <w:szCs w:val="21"/>
              </w:rPr>
            </w:pPr>
          </w:p>
        </w:tc>
        <w:tc>
          <w:tcPr>
            <w:tcW w:w="1726" w:type="dxa"/>
            <w:vAlign w:val="center"/>
          </w:tcPr>
          <w:p>
            <w:pPr>
              <w:jc w:val="center"/>
              <w:rPr>
                <w:szCs w:val="21"/>
              </w:rPr>
            </w:pPr>
            <w:r>
              <w:rPr>
                <w:szCs w:val="21"/>
              </w:rPr>
              <w:t>非正常工作时段</w:t>
            </w:r>
          </w:p>
        </w:tc>
        <w:tc>
          <w:tcPr>
            <w:tcW w:w="1251" w:type="dxa"/>
            <w:vAlign w:val="center"/>
          </w:tcPr>
          <w:p>
            <w:pPr>
              <w:jc w:val="center"/>
              <w:rPr>
                <w:szCs w:val="21"/>
              </w:rPr>
            </w:pPr>
            <w:r>
              <w:rPr>
                <w:szCs w:val="21"/>
              </w:rPr>
              <w:t>立即响应</w:t>
            </w:r>
          </w:p>
        </w:tc>
        <w:tc>
          <w:tcPr>
            <w:tcW w:w="1598" w:type="dxa"/>
            <w:vAlign w:val="center"/>
          </w:tcPr>
          <w:p>
            <w:pPr>
              <w:jc w:val="center"/>
              <w:rPr>
                <w:szCs w:val="21"/>
              </w:rPr>
            </w:pPr>
            <w:r>
              <w:rPr>
                <w:szCs w:val="21"/>
              </w:rPr>
              <w:t>一个工作日内</w:t>
            </w:r>
          </w:p>
        </w:tc>
        <w:tc>
          <w:tcPr>
            <w:tcW w:w="1357" w:type="dxa"/>
            <w:vMerge w:val="continue"/>
            <w:vAlign w:val="center"/>
          </w:tcPr>
          <w:p>
            <w:pPr>
              <w:pStyle w:val="351"/>
              <w:spacing w:before="0" w:line="240" w:lineRule="auto"/>
              <w:jc w:val="center"/>
              <w:rPr>
                <w:kern w:val="2"/>
                <w:sz w:val="21"/>
                <w:szCs w:val="21"/>
              </w:rPr>
            </w:pPr>
          </w:p>
        </w:tc>
      </w:tr>
    </w:tbl>
    <w:p>
      <w:pPr>
        <w:spacing w:line="360" w:lineRule="auto"/>
        <w:ind w:firstLine="420" w:firstLineChars="200"/>
        <w:rPr>
          <w:szCs w:val="21"/>
        </w:rPr>
      </w:pPr>
      <w:r>
        <w:rPr>
          <w:szCs w:val="21"/>
        </w:rPr>
        <w:t>注：</w:t>
      </w:r>
      <w:r>
        <w:rPr>
          <w:rFonts w:hint="eastAsia"/>
          <w:szCs w:val="21"/>
        </w:rPr>
        <w:t>（1）</w:t>
      </w:r>
      <w:r>
        <w:rPr>
          <w:szCs w:val="21"/>
        </w:rPr>
        <w:t>正常工作时段是指营业厅营业期间（8:00～17：30），如有变更以实际营业时间为准。</w:t>
      </w:r>
    </w:p>
    <w:p>
      <w:pPr>
        <w:pStyle w:val="23"/>
        <w:tabs>
          <w:tab w:val="left" w:pos="417"/>
        </w:tabs>
        <w:spacing w:after="0" w:line="360" w:lineRule="auto"/>
        <w:ind w:left="10" w:leftChars="5" w:firstLine="735" w:firstLineChars="350"/>
        <w:rPr>
          <w:rFonts w:ascii="Times New Roman" w:eastAsia="宋体"/>
          <w:kern w:val="2"/>
          <w:sz w:val="21"/>
          <w:szCs w:val="21"/>
        </w:rPr>
      </w:pPr>
      <w:r>
        <w:rPr>
          <w:rFonts w:hint="eastAsia" w:ascii="Times New Roman" w:eastAsia="宋体"/>
          <w:kern w:val="2"/>
          <w:sz w:val="21"/>
          <w:szCs w:val="21"/>
        </w:rPr>
        <w:t>（2）</w:t>
      </w:r>
      <w:r>
        <w:rPr>
          <w:rFonts w:ascii="Times New Roman" w:eastAsia="宋体"/>
          <w:kern w:val="2"/>
          <w:sz w:val="21"/>
          <w:szCs w:val="21"/>
        </w:rPr>
        <w:t>中级故障和低级故障发生，甲方出具书面的故障情况通知单，双方技术人员签字确认</w:t>
      </w:r>
      <w:r>
        <w:rPr>
          <w:rFonts w:hint="eastAsia" w:ascii="Times New Roman" w:eastAsia="宋体"/>
          <w:kern w:val="2"/>
          <w:sz w:val="21"/>
          <w:szCs w:val="21"/>
        </w:rPr>
        <w:t>；</w:t>
      </w:r>
      <w:r>
        <w:rPr>
          <w:rFonts w:ascii="Times New Roman" w:eastAsia="宋体"/>
          <w:kern w:val="2"/>
          <w:sz w:val="21"/>
          <w:szCs w:val="21"/>
        </w:rPr>
        <w:t>对于紧急故障和严重故障，甲方以信函的形式通知乙方，乙方在接收到信函后3日内给予甲方书面确认，并详述故障原因和解决办法。</w:t>
      </w:r>
    </w:p>
    <w:p>
      <w:pPr>
        <w:numPr>
          <w:ilvl w:val="0"/>
          <w:numId w:val="10"/>
        </w:numPr>
        <w:tabs>
          <w:tab w:val="left" w:pos="0"/>
        </w:tabs>
        <w:spacing w:line="360" w:lineRule="auto"/>
        <w:ind w:left="0" w:firstLine="0"/>
      </w:pPr>
      <w:r>
        <w:t>定期巡访：乙方每月到甲方现场对机器进行检查，并在检测后两周内向甲方提供检测报告，乙方必须承诺升级后的软件没有版权及使用的其它问题，并且到下次升级时可保证正常使用。</w:t>
      </w:r>
    </w:p>
    <w:p>
      <w:pPr>
        <w:numPr>
          <w:ilvl w:val="0"/>
          <w:numId w:val="10"/>
        </w:numPr>
        <w:tabs>
          <w:tab w:val="left" w:pos="0"/>
        </w:tabs>
        <w:spacing w:line="360" w:lineRule="auto"/>
        <w:ind w:left="0" w:firstLine="0"/>
      </w:pPr>
      <w:r>
        <w:t>特殊时段现场支持服务：乙方及原厂商提供特殊时段</w:t>
      </w:r>
      <w:r>
        <w:rPr>
          <w:rFonts w:hint="eastAsia"/>
        </w:rPr>
        <w:t>（</w:t>
      </w:r>
      <w:r>
        <w:t>两会期间、法定节假日、系统停机服务等甲方认为必须的重要时段</w:t>
      </w:r>
      <w:r>
        <w:rPr>
          <w:rFonts w:hint="eastAsia"/>
        </w:rPr>
        <w:t>）</w:t>
      </w:r>
      <w:r>
        <w:t>的现场服务，包括产品安装和客户化，系统变更、系统升级。每次现场服务后乙方均须向甲方提交《维护技术服务工作报告》。现场技术支持服务后，对未完全解决的问题，乙方工程师须至少每周与甲方工程师联系，跟踪问题，分析协商处理方案，直至问题解决。</w:t>
      </w:r>
    </w:p>
    <w:p>
      <w:pPr>
        <w:numPr>
          <w:ilvl w:val="0"/>
          <w:numId w:val="10"/>
        </w:numPr>
        <w:tabs>
          <w:tab w:val="left" w:pos="0"/>
        </w:tabs>
        <w:spacing w:line="360" w:lineRule="auto"/>
        <w:ind w:left="0" w:firstLine="0"/>
      </w:pPr>
      <w:r>
        <w:t>如果在系统发生故障后，乙方未能按合同要求时间到达用户现场排除故障，甲方有权请第三方解决问题，由此产生的费用由乙方承担。造成甲方业务损失的，由乙方承担相应责任。</w:t>
      </w:r>
    </w:p>
    <w:p>
      <w:pPr>
        <w:numPr>
          <w:ilvl w:val="0"/>
          <w:numId w:val="10"/>
        </w:numPr>
        <w:tabs>
          <w:tab w:val="left" w:pos="0"/>
        </w:tabs>
        <w:spacing w:line="360" w:lineRule="auto"/>
        <w:ind w:left="0" w:firstLine="0"/>
      </w:pPr>
      <w:r>
        <w:t>用户档案：自系统安装之日起，乙方及原厂商共同为甲方建立档案，并由维护工程师更新、完善数据记录。在设备安装后和每一次故障排除之后，乙方都应做详细地记载，对每一次故障均做出详细故障原因分析报告，并由维护工程师更新、完善数据记录，以此为甲方提供设备维护资料和数据，及时给出适当的建议，使甲方通过档案可以有效地进行系统分析、追踪处理，安排预防维护计划。</w:t>
      </w:r>
    </w:p>
    <w:p>
      <w:pPr>
        <w:numPr>
          <w:ilvl w:val="0"/>
          <w:numId w:val="10"/>
        </w:numPr>
        <w:tabs>
          <w:tab w:val="left" w:pos="0"/>
          <w:tab w:val="left" w:pos="420"/>
        </w:tabs>
        <w:spacing w:line="360" w:lineRule="auto"/>
        <w:ind w:left="0" w:firstLine="0"/>
        <w:rPr>
          <w:color w:val="000000"/>
          <w:szCs w:val="21"/>
        </w:rPr>
      </w:pPr>
      <w:r>
        <w:rPr>
          <w:rFonts w:hint="eastAsia"/>
          <w:color w:val="000000"/>
          <w:szCs w:val="21"/>
        </w:rPr>
        <w:t>包修期内，乙方及原</w:t>
      </w:r>
      <w:r>
        <w:rPr>
          <w:color w:val="000000"/>
          <w:szCs w:val="21"/>
        </w:rPr>
        <w:t>厂商的现场施工人员需服从</w:t>
      </w:r>
      <w:r>
        <w:rPr>
          <w:rFonts w:hint="eastAsia"/>
          <w:color w:val="000000"/>
          <w:szCs w:val="21"/>
        </w:rPr>
        <w:t>甲方</w:t>
      </w:r>
      <w:r>
        <w:rPr>
          <w:color w:val="000000"/>
          <w:szCs w:val="21"/>
        </w:rPr>
        <w:t>的</w:t>
      </w:r>
      <w:r>
        <w:rPr>
          <w:rFonts w:hint="eastAsia"/>
          <w:color w:val="000000"/>
          <w:szCs w:val="21"/>
        </w:rPr>
        <w:t>机房</w:t>
      </w:r>
      <w:r>
        <w:rPr>
          <w:color w:val="000000"/>
          <w:szCs w:val="21"/>
        </w:rPr>
        <w:t>管理要求，</w:t>
      </w:r>
      <w:r>
        <w:rPr>
          <w:rFonts w:hint="eastAsia"/>
          <w:color w:val="000000"/>
          <w:szCs w:val="21"/>
        </w:rPr>
        <w:t>仅</w:t>
      </w:r>
      <w:r>
        <w:rPr>
          <w:color w:val="000000"/>
          <w:szCs w:val="21"/>
        </w:rPr>
        <w:t>能在指定区域内进行维护。</w:t>
      </w:r>
    </w:p>
    <w:p>
      <w:pPr>
        <w:numPr>
          <w:ilvl w:val="0"/>
          <w:numId w:val="10"/>
        </w:numPr>
        <w:tabs>
          <w:tab w:val="left" w:pos="0"/>
        </w:tabs>
        <w:spacing w:line="360" w:lineRule="auto"/>
        <w:ind w:left="0" w:firstLine="0"/>
      </w:pPr>
      <w:r>
        <w:t>包修期后服务：包修期满后，如设备出现故障，乙方应负责及时维修，若维修时间超过半个月，乙方应负责免费提供代替设备，保证系统正常运行。</w:t>
      </w:r>
    </w:p>
    <w:p>
      <w:pPr>
        <w:numPr>
          <w:ilvl w:val="0"/>
          <w:numId w:val="10"/>
        </w:numPr>
        <w:tabs>
          <w:tab w:val="left" w:pos="0"/>
        </w:tabs>
        <w:spacing w:line="360" w:lineRule="auto"/>
        <w:ind w:left="0" w:firstLine="0"/>
      </w:pPr>
      <w:r>
        <w:t>服务改进：乙方提供的项目服务人员态度与能力不符合项目要求，甲方提出改进要求，3个工作日内没有明显改进，乙方项目经理5</w:t>
      </w:r>
      <w:r>
        <w:rPr>
          <w:rFonts w:hint="eastAsia"/>
        </w:rPr>
        <w:t>*</w:t>
      </w:r>
      <w:r>
        <w:t>8（每周5天，每天8小时，下同）在现场监督改进，3个工作日仍然没有明显改进，乙方项目经理的上级领导5</w:t>
      </w:r>
      <w:r>
        <w:rPr>
          <w:rFonts w:hint="eastAsia"/>
        </w:rPr>
        <w:t>*</w:t>
      </w:r>
      <w:r>
        <w:t>8在现场监督改进，依次类推，直到大中华服务总经理（或同级别经理）5</w:t>
      </w:r>
      <w:r>
        <w:rPr>
          <w:rFonts w:hint="eastAsia"/>
        </w:rPr>
        <w:t>*</w:t>
      </w:r>
      <w:r>
        <w:t>8在现场监督，直到完全改进。</w:t>
      </w:r>
    </w:p>
    <w:p>
      <w:pPr>
        <w:numPr>
          <w:ilvl w:val="0"/>
          <w:numId w:val="10"/>
        </w:numPr>
        <w:adjustRightInd w:val="0"/>
        <w:snapToGrid w:val="0"/>
        <w:spacing w:line="360" w:lineRule="auto"/>
        <w:ind w:left="0" w:firstLine="0"/>
      </w:pPr>
      <w:r>
        <w:t>本售后服务要求必须视为保证系统运行所需的基本要求，如有遗漏，乙方应予以补充，否则将认为乙方认同遗漏部分并免费提供</w:t>
      </w:r>
      <w:r>
        <w:rPr>
          <w:rFonts w:hint="eastAsia"/>
        </w:rPr>
        <w:t>。</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2" w:name="_Toc72326303"/>
      <w:r>
        <w:rPr>
          <w:rFonts w:hint="eastAsia" w:ascii="宋体" w:hAnsi="宋体" w:eastAsia="宋体"/>
          <w:b/>
          <w:kern w:val="2"/>
          <w:sz w:val="21"/>
          <w:szCs w:val="21"/>
        </w:rPr>
        <w:t>十一、技术升级和优惠条件</w:t>
      </w:r>
      <w:bookmarkEnd w:id="32"/>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乙方对所开发软件在包修期内提供免费的不增加新功能的软件升级服务，并在该等升级后为甲方提供免费的培训。</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szCs w:val="21"/>
          <w:u w:val="single"/>
        </w:rPr>
        <w:t>WEB应用防火墙</w:t>
      </w:r>
      <w:r>
        <w:rPr>
          <w:rFonts w:hint="eastAsia" w:ascii="宋体" w:hAnsi="宋体"/>
          <w:color w:val="000000"/>
          <w:szCs w:val="21"/>
          <w:u w:val="single"/>
        </w:rPr>
        <w:t>设备采购</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pPr>
        <w:numPr>
          <w:ilvl w:val="0"/>
          <w:numId w:val="11"/>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提供的同类设备、配件、软件及相关服务等报价应不高于本</w:t>
      </w:r>
      <w:r>
        <w:rPr>
          <w:rFonts w:hint="eastAsia" w:ascii="宋体" w:hAnsi="宋体"/>
          <w:szCs w:val="21"/>
        </w:rPr>
        <w:t>WEB应用防火墙</w:t>
      </w:r>
      <w:r>
        <w:rPr>
          <w:rFonts w:hint="eastAsia" w:ascii="宋体" w:hAnsi="宋体"/>
          <w:color w:val="000000"/>
          <w:szCs w:val="21"/>
          <w:u w:val="single"/>
        </w:rPr>
        <w:t>设备采购</w:t>
      </w:r>
      <w:r>
        <w:rPr>
          <w:rFonts w:ascii="宋体" w:hAnsi="宋体"/>
          <w:szCs w:val="21"/>
        </w:rPr>
        <w:t>项目的中标价格、折扣，且不高于当时市场价格。</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3" w:name="_Toc47617116"/>
      <w:r>
        <w:rPr>
          <w:rFonts w:ascii="宋体" w:hAnsi="宋体" w:eastAsia="宋体"/>
          <w:b/>
          <w:kern w:val="2"/>
          <w:sz w:val="21"/>
          <w:szCs w:val="21"/>
        </w:rPr>
        <w:t>十</w:t>
      </w:r>
      <w:r>
        <w:rPr>
          <w:rFonts w:hint="eastAsia" w:ascii="宋体" w:hAnsi="宋体" w:eastAsia="宋体"/>
          <w:b/>
          <w:kern w:val="2"/>
          <w:sz w:val="21"/>
          <w:szCs w:val="21"/>
        </w:rPr>
        <w:t>二</w:t>
      </w:r>
      <w:r>
        <w:rPr>
          <w:rFonts w:ascii="宋体" w:hAnsi="宋体" w:eastAsia="宋体"/>
          <w:b/>
          <w:kern w:val="2"/>
          <w:sz w:val="21"/>
          <w:szCs w:val="21"/>
        </w:rPr>
        <w:t>、技术和资料的保密事项</w:t>
      </w:r>
      <w:bookmarkEnd w:id="33"/>
    </w:p>
    <w:p>
      <w:pPr>
        <w:numPr>
          <w:ilvl w:val="0"/>
          <w:numId w:val="12"/>
        </w:numPr>
        <w:tabs>
          <w:tab w:val="left" w:pos="0"/>
          <w:tab w:val="clear" w:pos="1155"/>
        </w:tabs>
        <w:spacing w:line="360" w:lineRule="auto"/>
        <w:ind w:left="0" w:firstLine="0"/>
        <w:rPr>
          <w:color w:val="000000"/>
          <w:szCs w:val="21"/>
        </w:rPr>
      </w:pPr>
      <w:r>
        <w:rPr>
          <w:color w:val="000000"/>
          <w:szCs w:val="21"/>
        </w:rPr>
        <w:t>甲、乙双方同意，在任何时候，不论是合同有效期内还是合同终止以后，对任何一方提供的秘密信息或双方共有的秘密信息均实行严格保密。</w:t>
      </w:r>
    </w:p>
    <w:p>
      <w:pPr>
        <w:numPr>
          <w:ilvl w:val="0"/>
          <w:numId w:val="12"/>
        </w:numPr>
        <w:tabs>
          <w:tab w:val="left" w:pos="0"/>
          <w:tab w:val="clear" w:pos="1155"/>
        </w:tabs>
        <w:spacing w:line="360" w:lineRule="auto"/>
        <w:ind w:left="0" w:firstLine="0"/>
        <w:rPr>
          <w:color w:val="000000"/>
          <w:szCs w:val="21"/>
        </w:rPr>
      </w:pPr>
      <w:r>
        <w:rPr>
          <w:color w:val="000000"/>
          <w:szCs w:val="21"/>
        </w:rPr>
        <w:t>甲方在未得到乙方许可前提下，不得向任何第三方透露乙方提供的软件及所附全部文档和资料的商业秘密和技术秘密。</w:t>
      </w:r>
    </w:p>
    <w:p>
      <w:pPr>
        <w:numPr>
          <w:ilvl w:val="0"/>
          <w:numId w:val="12"/>
        </w:numPr>
        <w:tabs>
          <w:tab w:val="left" w:pos="0"/>
          <w:tab w:val="clear" w:pos="1155"/>
        </w:tabs>
        <w:spacing w:line="360" w:lineRule="auto"/>
        <w:ind w:left="0" w:firstLine="0"/>
        <w:rPr>
          <w:color w:val="000000"/>
          <w:szCs w:val="21"/>
        </w:rPr>
      </w:pPr>
      <w:r>
        <w:rPr>
          <w:color w:val="000000"/>
          <w:szCs w:val="21"/>
        </w:rPr>
        <w:t>乙方有责任对技术开发中涉及的甲方商业情报、技术情报及相关文档资料保密。未得到甲方书面许可前提下，不得向任何第三方透露软件开发或使用过程中所涉及的甲方的商业秘密和技术秘密。</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4" w:name="_Toc72326304"/>
      <w:r>
        <w:rPr>
          <w:rFonts w:hint="eastAsia" w:ascii="宋体" w:hAnsi="宋体" w:eastAsia="宋体"/>
          <w:b/>
          <w:kern w:val="2"/>
          <w:sz w:val="21"/>
          <w:szCs w:val="21"/>
        </w:rPr>
        <w:t>十三、</w:t>
      </w:r>
      <w:bookmarkEnd w:id="34"/>
      <w:bookmarkStart w:id="35" w:name="_Toc72326305"/>
      <w:r>
        <w:rPr>
          <w:rFonts w:hint="eastAsia" w:ascii="宋体" w:hAnsi="宋体" w:eastAsia="宋体"/>
          <w:b/>
          <w:kern w:val="2"/>
          <w:sz w:val="21"/>
          <w:szCs w:val="21"/>
        </w:rPr>
        <w:t>双方责任</w:t>
      </w:r>
      <w:bookmarkEnd w:id="35"/>
    </w:p>
    <w:p>
      <w:pPr>
        <w:numPr>
          <w:ilvl w:val="255"/>
          <w:numId w:val="0"/>
        </w:numPr>
        <w:adjustRightInd w:val="0"/>
        <w:snapToGrid w:val="0"/>
        <w:spacing w:line="360" w:lineRule="auto"/>
        <w:rPr>
          <w:rFonts w:ascii="宋体" w:hAnsi="宋体"/>
          <w:szCs w:val="21"/>
        </w:rPr>
      </w:pPr>
      <w:r>
        <w:rPr>
          <w:rFonts w:hint="eastAsia" w:ascii="宋体" w:hAnsi="宋体"/>
          <w:szCs w:val="21"/>
        </w:rPr>
        <w:t>甲方责任</w:t>
      </w:r>
    </w:p>
    <w:p>
      <w:pPr>
        <w:numPr>
          <w:ilvl w:val="0"/>
          <w:numId w:val="13"/>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pPr>
        <w:numPr>
          <w:ilvl w:val="0"/>
          <w:numId w:val="13"/>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13"/>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rPr>
      </w:pPr>
      <w:r>
        <w:rPr>
          <w:rFonts w:hint="eastAsia" w:ascii="宋体" w:hAnsi="宋体"/>
          <w:szCs w:val="21"/>
        </w:rPr>
        <w:t>乙方责任</w:t>
      </w:r>
    </w:p>
    <w:p>
      <w:pPr>
        <w:numPr>
          <w:ilvl w:val="0"/>
          <w:numId w:val="14"/>
        </w:numPr>
        <w:tabs>
          <w:tab w:val="left" w:pos="0"/>
          <w:tab w:val="clear" w:pos="420"/>
        </w:tabs>
        <w:spacing w:line="360" w:lineRule="auto"/>
        <w:ind w:left="0" w:firstLine="0"/>
        <w:rPr>
          <w:color w:val="000000"/>
          <w:szCs w:val="21"/>
        </w:rPr>
      </w:pPr>
      <w:bookmarkStart w:id="36" w:name="_Toc72326306"/>
      <w:r>
        <w:rPr>
          <w:color w:val="000000"/>
          <w:szCs w:val="21"/>
        </w:rPr>
        <w:t>乙方承诺：除</w:t>
      </w:r>
      <w:r>
        <w:rPr>
          <w:rFonts w:hint="eastAsia"/>
          <w:color w:val="000000"/>
          <w:szCs w:val="21"/>
        </w:rPr>
        <w:t>响应</w:t>
      </w:r>
      <w:r>
        <w:rPr>
          <w:color w:val="000000"/>
          <w:szCs w:val="21"/>
        </w:rPr>
        <w:t>文件及后续书面承诺标明的偏离外，乙方提供的产品和服务均满足</w:t>
      </w:r>
      <w:r>
        <w:rPr>
          <w:rFonts w:hint="eastAsia"/>
          <w:color w:val="000000"/>
          <w:szCs w:val="21"/>
        </w:rPr>
        <w:t>采购</w:t>
      </w:r>
      <w:r>
        <w:rPr>
          <w:color w:val="000000"/>
          <w:szCs w:val="21"/>
        </w:rPr>
        <w:t>文件要求。</w:t>
      </w:r>
    </w:p>
    <w:p>
      <w:pPr>
        <w:numPr>
          <w:ilvl w:val="0"/>
          <w:numId w:val="14"/>
        </w:numPr>
        <w:tabs>
          <w:tab w:val="left" w:pos="0"/>
          <w:tab w:val="clear" w:pos="420"/>
        </w:tabs>
        <w:spacing w:line="360" w:lineRule="auto"/>
        <w:ind w:left="0" w:firstLine="0"/>
        <w:rPr>
          <w:color w:val="000000"/>
          <w:szCs w:val="21"/>
        </w:rPr>
      </w:pPr>
      <w:r>
        <w:rPr>
          <w:color w:val="000000"/>
          <w:szCs w:val="21"/>
        </w:rPr>
        <w:t>乙方应按照</w:t>
      </w:r>
      <w:r>
        <w:rPr>
          <w:rFonts w:hint="eastAsia"/>
          <w:color w:val="000000"/>
          <w:szCs w:val="21"/>
        </w:rPr>
        <w:t>采购</w:t>
      </w:r>
      <w:r>
        <w:rPr>
          <w:color w:val="000000"/>
          <w:szCs w:val="21"/>
        </w:rPr>
        <w:t>文件、</w:t>
      </w:r>
      <w:r>
        <w:rPr>
          <w:rFonts w:hint="eastAsia"/>
          <w:color w:val="000000"/>
          <w:szCs w:val="21"/>
        </w:rPr>
        <w:t>响应</w:t>
      </w:r>
      <w:r>
        <w:rPr>
          <w:color w:val="000000"/>
          <w:szCs w:val="21"/>
        </w:rPr>
        <w:t>文件、乙方后续书面承诺的技术要求以及甲、乙双方协定补充文件，提供合格的产品，并保证通过甲方的验收。</w:t>
      </w:r>
    </w:p>
    <w:p>
      <w:pPr>
        <w:numPr>
          <w:ilvl w:val="0"/>
          <w:numId w:val="14"/>
        </w:numPr>
        <w:tabs>
          <w:tab w:val="left" w:pos="0"/>
          <w:tab w:val="clear" w:pos="420"/>
        </w:tabs>
        <w:spacing w:line="360" w:lineRule="auto"/>
        <w:ind w:left="0" w:firstLine="0"/>
        <w:rPr>
          <w:color w:val="000000"/>
          <w:szCs w:val="21"/>
        </w:rPr>
      </w:pPr>
      <w:r>
        <w:rPr>
          <w:color w:val="000000"/>
          <w:szCs w:val="21"/>
        </w:rPr>
        <w:t>在系统安装、调试、开发过程中，乙方须保证不影响甲方现有系统的正常运行和现有业务的正常发展。</w:t>
      </w:r>
    </w:p>
    <w:p>
      <w:pPr>
        <w:numPr>
          <w:ilvl w:val="0"/>
          <w:numId w:val="14"/>
        </w:numPr>
        <w:tabs>
          <w:tab w:val="left" w:pos="0"/>
          <w:tab w:val="clear" w:pos="420"/>
        </w:tabs>
        <w:spacing w:line="360" w:lineRule="auto"/>
        <w:ind w:left="0" w:firstLine="0"/>
        <w:rPr>
          <w:color w:val="000000"/>
          <w:szCs w:val="21"/>
        </w:rPr>
      </w:pPr>
      <w:r>
        <w:rPr>
          <w:color w:val="000000"/>
          <w:szCs w:val="21"/>
        </w:rPr>
        <w:t>乙方保证在系统安装、调试、开发过程中不非法使用第三方软件</w:t>
      </w:r>
      <w:r>
        <w:rPr>
          <w:rFonts w:hint="eastAsia"/>
          <w:color w:val="000000"/>
          <w:szCs w:val="21"/>
        </w:rPr>
        <w:t>，</w:t>
      </w:r>
      <w:r>
        <w:rPr>
          <w:rFonts w:hint="eastAsia"/>
          <w:szCs w:val="21"/>
        </w:rPr>
        <w:t>不侵犯第三人含知识产权在内的任何合法权益。否则，甲方有权立即解除合同，乙方应承担甲方由此遭受的全部损失</w:t>
      </w:r>
      <w:r>
        <w:rPr>
          <w:color w:val="000000"/>
          <w:szCs w:val="21"/>
        </w:rPr>
        <w:t>。</w:t>
      </w:r>
    </w:p>
    <w:p>
      <w:pPr>
        <w:numPr>
          <w:ilvl w:val="0"/>
          <w:numId w:val="14"/>
        </w:numPr>
        <w:tabs>
          <w:tab w:val="left" w:pos="0"/>
          <w:tab w:val="clear" w:pos="420"/>
        </w:tabs>
        <w:spacing w:line="360" w:lineRule="auto"/>
        <w:ind w:left="0" w:firstLine="0"/>
        <w:rPr>
          <w:color w:val="000000"/>
          <w:szCs w:val="21"/>
        </w:rPr>
      </w:pPr>
      <w:r>
        <w:rPr>
          <w:color w:val="000000"/>
          <w:szCs w:val="21"/>
        </w:rPr>
        <w:t>乙方在产品安装、调试、开发过程中须派驻足够的有经验的工程技术人员到施工现场进行安装指导，在甲方的组织安排下负责完成系统调试、现场性能试验和验收，服从甲方的现场安排。</w:t>
      </w:r>
    </w:p>
    <w:p>
      <w:pPr>
        <w:numPr>
          <w:ilvl w:val="0"/>
          <w:numId w:val="14"/>
        </w:numPr>
        <w:tabs>
          <w:tab w:val="left" w:pos="0"/>
          <w:tab w:val="clear" w:pos="420"/>
        </w:tabs>
        <w:spacing w:line="360" w:lineRule="auto"/>
        <w:ind w:left="0" w:firstLine="0"/>
        <w:rPr>
          <w:color w:val="000000"/>
          <w:szCs w:val="21"/>
        </w:rPr>
      </w:pPr>
      <w:r>
        <w:rPr>
          <w:color w:val="000000"/>
          <w:szCs w:val="21"/>
        </w:rPr>
        <w:t>乙方按照要求提供产品合格证书、产品检测记录、调试记录等技术资料。</w:t>
      </w:r>
    </w:p>
    <w:p>
      <w:pPr>
        <w:numPr>
          <w:ilvl w:val="0"/>
          <w:numId w:val="14"/>
        </w:numPr>
        <w:tabs>
          <w:tab w:val="left" w:pos="0"/>
          <w:tab w:val="clear" w:pos="420"/>
        </w:tabs>
        <w:spacing w:line="360" w:lineRule="auto"/>
        <w:ind w:left="0" w:firstLine="0"/>
        <w:rPr>
          <w:color w:val="000000"/>
          <w:szCs w:val="21"/>
        </w:rPr>
      </w:pPr>
      <w:r>
        <w:rPr>
          <w:color w:val="000000"/>
          <w:szCs w:val="21"/>
        </w:rPr>
        <w:t>乙方负责与硬件设备相配套的软件厂家、其它设备的制造商、第三方软件厂家和售后服务部门等联系沟通，完成安装、调试，配置相关的产品。</w:t>
      </w:r>
    </w:p>
    <w:p>
      <w:pPr>
        <w:numPr>
          <w:ilvl w:val="0"/>
          <w:numId w:val="14"/>
        </w:numPr>
        <w:tabs>
          <w:tab w:val="left" w:pos="0"/>
          <w:tab w:val="clear" w:pos="420"/>
        </w:tabs>
        <w:spacing w:line="360" w:lineRule="auto"/>
        <w:ind w:left="0" w:firstLine="0"/>
        <w:rPr>
          <w:color w:val="000000"/>
          <w:szCs w:val="21"/>
        </w:rPr>
      </w:pPr>
      <w:r>
        <w:rPr>
          <w:color w:val="000000"/>
          <w:szCs w:val="21"/>
        </w:rPr>
        <w:t>乙方负责配合相关厂家，定期检查产品、及时排查硬件故障。</w:t>
      </w:r>
    </w:p>
    <w:p>
      <w:pPr>
        <w:numPr>
          <w:ilvl w:val="0"/>
          <w:numId w:val="14"/>
        </w:numPr>
        <w:tabs>
          <w:tab w:val="left" w:pos="0"/>
          <w:tab w:val="clear" w:pos="420"/>
        </w:tabs>
        <w:spacing w:line="360" w:lineRule="auto"/>
        <w:ind w:left="0" w:firstLine="0"/>
        <w:rPr>
          <w:color w:val="000000"/>
          <w:szCs w:val="21"/>
        </w:rPr>
      </w:pPr>
      <w:r>
        <w:rPr>
          <w:color w:val="000000"/>
          <w:szCs w:val="21"/>
        </w:rPr>
        <w:t>乙方未按合同规定的质量要求交付产品，甲方拒收时，乙方应承担合同的违约责任。</w:t>
      </w:r>
    </w:p>
    <w:p>
      <w:pPr>
        <w:numPr>
          <w:ilvl w:val="0"/>
          <w:numId w:val="14"/>
        </w:numPr>
        <w:tabs>
          <w:tab w:val="left" w:pos="0"/>
          <w:tab w:val="clear" w:pos="420"/>
        </w:tabs>
        <w:spacing w:line="360" w:lineRule="auto"/>
        <w:ind w:left="0" w:firstLine="0"/>
        <w:rPr>
          <w:color w:val="000000"/>
          <w:szCs w:val="21"/>
        </w:rPr>
      </w:pPr>
      <w:r>
        <w:rPr>
          <w:color w:val="000000"/>
          <w:szCs w:val="21"/>
        </w:rPr>
        <w:t>迟延履行，甲方书面确定一个合理的期限，如乙方仍不能履行，按乙方不履行合同处理。</w:t>
      </w:r>
    </w:p>
    <w:p>
      <w:pPr>
        <w:numPr>
          <w:ilvl w:val="0"/>
          <w:numId w:val="14"/>
        </w:numPr>
        <w:tabs>
          <w:tab w:val="left" w:pos="0"/>
          <w:tab w:val="clear" w:pos="420"/>
        </w:tabs>
        <w:spacing w:line="360" w:lineRule="auto"/>
        <w:ind w:left="0" w:firstLine="0"/>
        <w:rPr>
          <w:color w:val="000000"/>
          <w:szCs w:val="21"/>
        </w:rPr>
      </w:pPr>
      <w:r>
        <w:rPr>
          <w:color w:val="000000"/>
          <w:szCs w:val="21"/>
        </w:rPr>
        <w:t>本合同所有产品的制造，都必须由</w:t>
      </w:r>
      <w:r>
        <w:rPr>
          <w:rFonts w:hint="eastAsia"/>
          <w:color w:val="000000"/>
          <w:szCs w:val="21"/>
        </w:rPr>
        <w:t>采购</w:t>
      </w:r>
      <w:r>
        <w:rPr>
          <w:color w:val="000000"/>
          <w:szCs w:val="21"/>
        </w:rPr>
        <w:t>文件</w:t>
      </w:r>
      <w:r>
        <w:rPr>
          <w:rFonts w:hint="eastAsia"/>
          <w:color w:val="000000"/>
          <w:szCs w:val="21"/>
        </w:rPr>
        <w:t>、响应文件</w:t>
      </w:r>
      <w:r>
        <w:rPr>
          <w:color w:val="000000"/>
          <w:szCs w:val="21"/>
        </w:rPr>
        <w:t>和</w:t>
      </w:r>
      <w:r>
        <w:rPr>
          <w:rFonts w:hint="eastAsia"/>
          <w:color w:val="000000"/>
          <w:szCs w:val="21"/>
        </w:rPr>
        <w:t>磋商</w:t>
      </w:r>
      <w:r>
        <w:rPr>
          <w:color w:val="000000"/>
          <w:szCs w:val="21"/>
        </w:rPr>
        <w:t>时做出的书面承诺中明确的制造商承担，否则将按乙方不履行合同处理。</w:t>
      </w:r>
    </w:p>
    <w:p>
      <w:pPr>
        <w:numPr>
          <w:ilvl w:val="0"/>
          <w:numId w:val="14"/>
        </w:numPr>
        <w:tabs>
          <w:tab w:val="left" w:pos="0"/>
          <w:tab w:val="clear" w:pos="420"/>
        </w:tabs>
        <w:spacing w:line="360" w:lineRule="auto"/>
        <w:ind w:left="0" w:firstLine="0"/>
        <w:rPr>
          <w:color w:val="000000"/>
          <w:szCs w:val="21"/>
        </w:rPr>
      </w:pPr>
      <w:r>
        <w:rPr>
          <w:color w:val="000000"/>
          <w:szCs w:val="21"/>
        </w:rPr>
        <w:t>乙方保证不在软件中对功能、性能、容量进行人为限制，不得含有陷阱、逻辑炸弹、后门等非法程序代码。</w:t>
      </w:r>
    </w:p>
    <w:p>
      <w:pPr>
        <w:numPr>
          <w:ilvl w:val="0"/>
          <w:numId w:val="14"/>
        </w:numPr>
        <w:tabs>
          <w:tab w:val="left" w:pos="0"/>
          <w:tab w:val="clear" w:pos="420"/>
        </w:tabs>
        <w:spacing w:line="360" w:lineRule="auto"/>
        <w:ind w:left="0" w:right="44" w:rightChars="21" w:firstLine="0"/>
        <w:rPr>
          <w:rFonts w:ascii="宋体" w:hAnsi="宋体"/>
          <w:color w:val="000000"/>
          <w:szCs w:val="21"/>
        </w:rPr>
      </w:pPr>
      <w:r>
        <w:rPr>
          <w:color w:val="000000"/>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4"/>
        </w:numPr>
        <w:tabs>
          <w:tab w:val="left" w:pos="0"/>
          <w:tab w:val="clear" w:pos="420"/>
        </w:tabs>
        <w:spacing w:line="360" w:lineRule="auto"/>
        <w:ind w:left="0" w:right="44" w:rightChars="21" w:firstLine="0"/>
        <w:rPr>
          <w:rFonts w:ascii="宋体" w:hAnsi="宋体"/>
          <w:color w:val="000000"/>
          <w:szCs w:val="21"/>
        </w:rPr>
      </w:pPr>
      <w:r>
        <w:rPr>
          <w:rFonts w:hint="eastAsia" w:ascii="宋体" w:hAnsi="宋体"/>
          <w:color w:val="000000"/>
          <w:szCs w:val="21"/>
        </w:rPr>
        <w:t>乙方应为其人员（含派驻甲方的技术工程师）提供相应劳动保护，非因甲方原因，乙方人员遭受人身、财产损害，或乙方人员造成甲方、第三人人身财产损害的，由乙方承担全部责任。</w:t>
      </w:r>
    </w:p>
    <w:p>
      <w:pPr>
        <w:numPr>
          <w:ilvl w:val="0"/>
          <w:numId w:val="14"/>
        </w:numPr>
        <w:tabs>
          <w:tab w:val="left" w:pos="0"/>
          <w:tab w:val="clear" w:pos="420"/>
        </w:tabs>
        <w:spacing w:line="360" w:lineRule="auto"/>
        <w:ind w:left="0" w:firstLine="0"/>
        <w:rPr>
          <w:color w:val="000000"/>
          <w:szCs w:val="21"/>
        </w:rPr>
      </w:pPr>
      <w:r>
        <w:rPr>
          <w:rFonts w:hint="eastAsia"/>
          <w:szCs w:val="21"/>
        </w:rPr>
        <w:t>乙方应当按照合同约定履行义务，完成本项目。乙方不得向他人转让本项目，也不得将本项目肢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r>
        <w:rPr>
          <w:rFonts w:hint="eastAsia" w:ascii="宋体" w:hAnsi="宋体" w:eastAsia="宋体"/>
          <w:b/>
          <w:kern w:val="2"/>
          <w:sz w:val="21"/>
          <w:szCs w:val="21"/>
        </w:rPr>
        <w:t>十四、违约责任</w:t>
      </w:r>
      <w:bookmarkEnd w:id="36"/>
    </w:p>
    <w:p>
      <w:pPr>
        <w:numPr>
          <w:ilvl w:val="0"/>
          <w:numId w:val="15"/>
        </w:numPr>
        <w:adjustRightInd w:val="0"/>
        <w:snapToGrid w:val="0"/>
        <w:spacing w:line="360" w:lineRule="auto"/>
        <w:ind w:left="0" w:firstLine="0"/>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pPr>
        <w:numPr>
          <w:ilvl w:val="0"/>
          <w:numId w:val="15"/>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5"/>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5"/>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5"/>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5"/>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5"/>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5"/>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5"/>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5"/>
        </w:numPr>
        <w:tabs>
          <w:tab w:val="left" w:pos="0"/>
          <w:tab w:val="clear" w:pos="420"/>
        </w:tabs>
        <w:adjustRightInd w:val="0"/>
        <w:snapToGrid w:val="0"/>
        <w:spacing w:line="360" w:lineRule="auto"/>
        <w:ind w:left="0" w:firstLine="0"/>
        <w:rPr>
          <w:rFonts w:ascii="宋体" w:hAnsi="宋体"/>
          <w:szCs w:val="21"/>
        </w:rPr>
      </w:pPr>
      <w:bookmarkStart w:id="37" w:name="_Hlk74819798"/>
      <w:r>
        <w:rPr>
          <w:rFonts w:hint="eastAsia" w:ascii="宋体" w:hAnsi="宋体"/>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履约保证金（即合同总价的10%）</w:t>
      </w:r>
      <w:bookmarkEnd w:id="37"/>
      <w:r>
        <w:rPr>
          <w:rFonts w:hint="eastAsia" w:ascii="宋体" w:hAnsi="宋体"/>
          <w:szCs w:val="21"/>
        </w:rPr>
        <w:t>。</w:t>
      </w:r>
    </w:p>
    <w:p>
      <w:pPr>
        <w:numPr>
          <w:ilvl w:val="0"/>
          <w:numId w:val="15"/>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5"/>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w:t>
      </w:r>
      <w:bookmarkStart w:id="38" w:name="_Hlk100846870"/>
      <w:r>
        <w:rPr>
          <w:rFonts w:hint="eastAsia" w:ascii="宋体" w:hAnsi="宋体"/>
          <w:szCs w:val="21"/>
        </w:rPr>
        <w:t>；且乙方对甲方赔偿金的支付已被认为足额补偿采购人的全部损失</w:t>
      </w:r>
      <w:bookmarkEnd w:id="38"/>
      <w:r>
        <w:rPr>
          <w:rFonts w:hint="eastAsia" w:ascii="宋体" w:hAnsi="宋体"/>
          <w:szCs w:val="21"/>
        </w:rPr>
        <w:t>。</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39" w:name="_Toc72326307"/>
      <w:r>
        <w:rPr>
          <w:rFonts w:hint="eastAsia" w:ascii="宋体" w:hAnsi="宋体" w:eastAsia="宋体"/>
          <w:b/>
          <w:kern w:val="2"/>
          <w:sz w:val="21"/>
          <w:szCs w:val="21"/>
        </w:rPr>
        <w:t>十五、廉洁条款</w:t>
      </w:r>
      <w:bookmarkEnd w:id="39"/>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40" w:name="_Toc72326308"/>
      <w:r>
        <w:rPr>
          <w:rFonts w:hint="eastAsia" w:ascii="宋体" w:hAnsi="宋体" w:eastAsia="宋体"/>
          <w:b/>
          <w:kern w:val="2"/>
          <w:sz w:val="21"/>
          <w:szCs w:val="21"/>
        </w:rPr>
        <w:t>十六、不可抗力</w:t>
      </w:r>
      <w:bookmarkEnd w:id="40"/>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当不可抗力事故终止后，受影响一方应以书面形式通知对方，双方商定合同是否继续履行。</w:t>
      </w:r>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41" w:name="_Toc72326309"/>
      <w:r>
        <w:rPr>
          <w:rFonts w:hint="eastAsia" w:ascii="宋体" w:hAnsi="宋体" w:eastAsia="宋体"/>
          <w:b/>
          <w:kern w:val="2"/>
          <w:sz w:val="21"/>
          <w:szCs w:val="21"/>
        </w:rPr>
        <w:t>十七、解决纠纷的方式</w:t>
      </w:r>
      <w:bookmarkEnd w:id="41"/>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8"/>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8"/>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3"/>
        <w:numPr>
          <w:ilvl w:val="255"/>
          <w:numId w:val="0"/>
        </w:numPr>
        <w:adjustRightInd w:val="0"/>
        <w:snapToGrid w:val="0"/>
        <w:spacing w:before="0" w:after="0" w:line="360" w:lineRule="auto"/>
        <w:ind w:left="4"/>
        <w:jc w:val="both"/>
        <w:rPr>
          <w:rFonts w:ascii="宋体" w:hAnsi="宋体" w:eastAsia="宋体"/>
          <w:b/>
          <w:kern w:val="2"/>
          <w:sz w:val="21"/>
          <w:szCs w:val="21"/>
        </w:rPr>
      </w:pPr>
      <w:bookmarkStart w:id="42" w:name="_Toc72326310"/>
      <w:r>
        <w:rPr>
          <w:rFonts w:hint="eastAsia" w:ascii="宋体" w:hAnsi="宋体" w:eastAsia="宋体"/>
          <w:b/>
          <w:kern w:val="2"/>
          <w:sz w:val="21"/>
          <w:szCs w:val="21"/>
        </w:rPr>
        <w:t>十八、合同生效及其他</w:t>
      </w:r>
      <w:bookmarkEnd w:id="42"/>
    </w:p>
    <w:p>
      <w:pPr>
        <w:numPr>
          <w:ilvl w:val="0"/>
          <w:numId w:val="1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合同的生效期：本合同一式四份（甲乙双方各二份），每份均具有同等法律效力，自甲乙双方盖章时生效。</w:t>
      </w:r>
    </w:p>
    <w:p>
      <w:pPr>
        <w:numPr>
          <w:ilvl w:val="0"/>
          <w:numId w:val="1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（1）甲方的竞争性磋商文件、乙方的响应文件、乙方的</w:t>
      </w:r>
      <w:r>
        <w:rPr>
          <w:rFonts w:ascii="宋体" w:hAnsi="宋体"/>
          <w:szCs w:val="21"/>
        </w:rPr>
        <w:t>报价</w:t>
      </w:r>
      <w:r>
        <w:rPr>
          <w:rFonts w:hint="eastAsia" w:ascii="宋体" w:hAnsi="宋体"/>
          <w:szCs w:val="21"/>
        </w:rPr>
        <w:t>表、磋商时乙方做出的书面承诺及其它补充修改的部分；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（2）在执行本合同期间，甲乙双方的所有通知均应采用书面的方式。</w:t>
      </w:r>
    </w:p>
    <w:p>
      <w:pPr>
        <w:numPr>
          <w:ilvl w:val="0"/>
          <w:numId w:val="1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（1）合同条款优先于竞争性磋商文件和响应文件条款；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1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1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对本合同的任何修改和增补，以双方另行签订的补充文件为准。</w:t>
      </w:r>
    </w:p>
    <w:p>
      <w:pPr>
        <w:numPr>
          <w:ilvl w:val="0"/>
          <w:numId w:val="1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19"/>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3"/>
        <w:numPr>
          <w:ilvl w:val="255"/>
          <w:numId w:val="0"/>
        </w:numPr>
        <w:adjustRightInd w:val="0"/>
        <w:snapToGrid w:val="0"/>
        <w:spacing w:before="0" w:after="0" w:line="360" w:lineRule="auto"/>
        <w:ind w:left="4"/>
        <w:jc w:val="left"/>
        <w:rPr>
          <w:rFonts w:ascii="宋体" w:hAnsi="宋体" w:eastAsia="宋体"/>
          <w:b/>
          <w:kern w:val="2"/>
          <w:sz w:val="21"/>
          <w:szCs w:val="21"/>
        </w:rPr>
      </w:pPr>
      <w:bookmarkStart w:id="43" w:name="_Toc72326311"/>
      <w:r>
        <w:rPr>
          <w:rFonts w:hint="eastAsia" w:ascii="宋体" w:hAnsi="宋体" w:eastAsia="宋体"/>
          <w:b/>
          <w:kern w:val="2"/>
          <w:sz w:val="21"/>
          <w:szCs w:val="21"/>
        </w:rPr>
        <w:t>十九、附件列表</w:t>
      </w:r>
      <w:bookmarkEnd w:id="43"/>
    </w:p>
    <w:p>
      <w:pPr>
        <w:adjustRightInd w:val="0"/>
        <w:snapToGrid w:val="0"/>
        <w:spacing w:line="360" w:lineRule="auto"/>
        <w:rPr>
          <w:rFonts w:ascii="宋体"/>
          <w:szCs w:val="21"/>
        </w:rPr>
      </w:pPr>
      <w:r>
        <w:rPr>
          <w:rFonts w:hint="eastAsia" w:ascii="宋体" w:hAnsi="宋体"/>
          <w:szCs w:val="21"/>
        </w:rPr>
        <w:t>附件一：价格表</w:t>
      </w:r>
    </w:p>
    <w:p>
      <w:pPr>
        <w:adjustRightInd w:val="0"/>
        <w:snapToGrid w:val="0"/>
        <w:spacing w:line="360" w:lineRule="auto"/>
        <w:rPr>
          <w:rFonts w:ascii="宋体"/>
          <w:szCs w:val="21"/>
        </w:rPr>
      </w:pPr>
      <w:r>
        <w:rPr>
          <w:rFonts w:hint="eastAsia" w:ascii="宋体" w:hAnsi="宋体"/>
          <w:szCs w:val="21"/>
        </w:rPr>
        <w:t>附件二：分项报价表</w:t>
      </w:r>
    </w:p>
    <w:p>
      <w:pPr>
        <w:adjustRightInd w:val="0"/>
        <w:snapToGrid w:val="0"/>
        <w:spacing w:line="360" w:lineRule="auto"/>
        <w:ind w:left="210" w:hanging="210" w:hangingChars="100"/>
        <w:jc w:val="left"/>
        <w:rPr>
          <w:szCs w:val="21"/>
        </w:rPr>
      </w:pPr>
      <w:r>
        <w:rPr>
          <w:rFonts w:hint="eastAsia"/>
          <w:szCs w:val="21"/>
        </w:rPr>
        <w:t>（本页为合同签订页，本页无正文）</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ind w:firstLine="105" w:firstLineChars="50"/>
        <w:rPr>
          <w:szCs w:val="21"/>
        </w:rPr>
      </w:pPr>
      <w:r>
        <w:rPr>
          <w:szCs w:val="21"/>
        </w:rPr>
        <w:t>传真：</w:t>
      </w:r>
      <w:r>
        <w:rPr>
          <w:rFonts w:hint="eastAsia"/>
          <w:szCs w:val="21"/>
        </w:rPr>
        <w:t xml:space="preserve"> </w:t>
      </w:r>
      <w:r>
        <w:rPr>
          <w:szCs w:val="21"/>
          <w:u w:val="single"/>
        </w:rPr>
        <w:t xml:space="preserve">                </w:t>
      </w:r>
      <w:r>
        <w:rPr>
          <w:szCs w:val="21"/>
        </w:rPr>
        <w:t xml:space="preserve">                    传真：___________________</w:t>
      </w:r>
    </w:p>
    <w:p>
      <w:pPr>
        <w:adjustRightInd w:val="0"/>
        <w:snapToGrid w:val="0"/>
        <w:spacing w:line="360" w:lineRule="auto"/>
        <w:ind w:firstLine="105" w:firstLineChars="50"/>
        <w:rPr>
          <w:szCs w:val="21"/>
        </w:rPr>
      </w:pPr>
      <w:r>
        <w:rPr>
          <w:szCs w:val="21"/>
        </w:rPr>
        <w:t>邮编：</w:t>
      </w:r>
      <w:r>
        <w:rPr>
          <w:rFonts w:hint="eastAsia"/>
          <w:szCs w:val="21"/>
        </w:rPr>
        <w:t xml:space="preserve"> </w:t>
      </w:r>
      <w:r>
        <w:rPr>
          <w:szCs w:val="21"/>
          <w:u w:val="single"/>
        </w:rPr>
        <w:t xml:space="preserve">                  </w:t>
      </w:r>
      <w:r>
        <w:rPr>
          <w:szCs w:val="21"/>
        </w:rPr>
        <w:t xml:space="preserve">                 邮编：___________________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w:t>
      </w:r>
      <w:r>
        <w:rPr>
          <w:szCs w:val="21"/>
          <w:u w:val="single"/>
        </w:rPr>
        <w:t xml:space="preserve">                      </w:t>
      </w:r>
      <w:r>
        <w:rPr>
          <w:szCs w:val="21"/>
        </w:rPr>
        <w:t xml:space="preserve">           银行账号：___________________</w:t>
      </w:r>
    </w:p>
    <w:p>
      <w:pPr>
        <w:spacing w:line="300" w:lineRule="auto"/>
        <w:ind w:firstLine="5040" w:firstLineChars="2400"/>
        <w:rPr>
          <w:szCs w:val="21"/>
        </w:rPr>
      </w:pPr>
    </w:p>
    <w:p>
      <w:pPr>
        <w:spacing w:line="300" w:lineRule="auto"/>
        <w:ind w:firstLine="5040" w:firstLineChars="2400"/>
        <w:rPr>
          <w:szCs w:val="21"/>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30"/>
    </w:p>
    <w:p>
      <w:pPr>
        <w:spacing w:line="300" w:lineRule="auto"/>
        <w:ind w:firstLine="5040" w:firstLineChars="2400"/>
        <w:rPr>
          <w:szCs w:val="21"/>
        </w:rPr>
      </w:pPr>
      <w:r>
        <w:rPr>
          <w:szCs w:val="21"/>
        </w:rPr>
        <w:br w:type="page"/>
      </w:r>
    </w:p>
    <w:p>
      <w:pPr>
        <w:spacing w:line="300" w:lineRule="auto"/>
        <w:jc w:val="left"/>
        <w:rPr>
          <w:rFonts w:ascii="宋体" w:hAnsi="宋体" w:cs="宋体"/>
          <w:b/>
          <w:bCs/>
          <w:color w:val="000000"/>
        </w:rPr>
      </w:pPr>
      <w:r>
        <w:rPr>
          <w:rFonts w:hint="eastAsia" w:ascii="宋体" w:hAnsi="宋体" w:cs="宋体"/>
          <w:b/>
          <w:bCs/>
          <w:color w:val="000000"/>
        </w:rPr>
        <w:t>附件一：价格表</w:t>
      </w: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p>
    <w:p>
      <w:pPr>
        <w:spacing w:line="300" w:lineRule="auto"/>
        <w:jc w:val="left"/>
        <w:rPr>
          <w:rFonts w:ascii="宋体" w:hAnsi="宋体" w:cs="宋体"/>
          <w:b/>
          <w:bCs/>
          <w:color w:val="000000"/>
        </w:rPr>
      </w:pPr>
      <w:r>
        <w:rPr>
          <w:rFonts w:hint="eastAsia" w:ascii="宋体" w:hAnsi="宋体" w:cs="宋体"/>
          <w:b/>
          <w:bCs/>
          <w:color w:val="000000"/>
        </w:rPr>
        <w:t>附件二：分项报价表</w:t>
      </w:r>
    </w:p>
    <w:p>
      <w:pPr>
        <w:spacing w:line="300" w:lineRule="auto"/>
        <w:ind w:firstLine="5040" w:firstLineChars="2400"/>
        <w:rPr>
          <w:rFonts w:ascii="宋体" w:hAnsi="宋体" w:cs="宋体"/>
          <w:color w:val="000000"/>
        </w:rPr>
      </w:pPr>
      <w:r>
        <w:rPr>
          <w:rFonts w:ascii="宋体" w:hAnsi="宋体" w:cs="宋体"/>
          <w:color w:val="000000"/>
        </w:rPr>
        <w:br w:type="page"/>
      </w:r>
    </w:p>
    <w:p>
      <w:pPr>
        <w:pStyle w:val="3"/>
        <w:numPr>
          <w:ilvl w:val="0"/>
          <w:numId w:val="0"/>
        </w:numPr>
        <w:spacing w:before="0" w:after="0" w:line="360" w:lineRule="auto"/>
        <w:rPr>
          <w:b/>
          <w:color w:val="000000"/>
          <w:sz w:val="36"/>
          <w:szCs w:val="36"/>
        </w:rPr>
      </w:pPr>
      <w:bookmarkStart w:id="44" w:name="_Toc69378637"/>
      <w:r>
        <w:rPr>
          <w:rFonts w:hint="eastAsia"/>
          <w:b/>
          <w:sz w:val="36"/>
          <w:szCs w:val="36"/>
        </w:rPr>
        <w:t>第五章 技术需求书</w:t>
      </w:r>
      <w:bookmarkEnd w:id="44"/>
    </w:p>
    <w:p>
      <w:pPr>
        <w:pStyle w:val="89"/>
        <w:numPr>
          <w:ilvl w:val="0"/>
          <w:numId w:val="20"/>
        </w:numPr>
        <w:spacing w:line="300" w:lineRule="auto"/>
        <w:ind w:left="0" w:firstLine="426" w:firstLineChars="0"/>
        <w:rPr>
          <w:rFonts w:ascii="宋体" w:hAnsi="宋体"/>
          <w:color w:val="000000"/>
          <w:sz w:val="21"/>
          <w:szCs w:val="21"/>
        </w:rPr>
      </w:pPr>
      <w:r>
        <w:rPr>
          <w:rFonts w:ascii="宋体" w:hAnsi="宋体"/>
          <w:color w:val="000000"/>
          <w:sz w:val="21"/>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20"/>
        </w:numPr>
        <w:spacing w:line="300" w:lineRule="auto"/>
        <w:ind w:left="0" w:firstLine="426" w:firstLineChars="0"/>
        <w:rPr>
          <w:rFonts w:ascii="宋体" w:hAnsi="宋体"/>
          <w:color w:val="000000"/>
          <w:sz w:val="21"/>
          <w:szCs w:val="21"/>
        </w:rPr>
      </w:pPr>
      <w:r>
        <w:rPr>
          <w:rFonts w:hint="eastAsia" w:ascii="宋体" w:hAnsi="宋体"/>
          <w:color w:val="000000"/>
          <w:sz w:val="21"/>
          <w:szCs w:val="21"/>
        </w:rPr>
        <w:t>竞争性磋商文件技术要求中</w:t>
      </w:r>
      <w:r>
        <w:rPr>
          <w:rFonts w:ascii="宋体" w:hAnsi="宋体"/>
          <w:color w:val="000000"/>
          <w:sz w:val="21"/>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20"/>
        </w:numPr>
        <w:spacing w:line="300" w:lineRule="auto"/>
        <w:ind w:left="0" w:firstLine="426" w:firstLineChars="0"/>
        <w:rPr>
          <w:rFonts w:ascii="宋体" w:hAnsi="宋体"/>
          <w:color w:val="000000"/>
          <w:sz w:val="21"/>
          <w:szCs w:val="21"/>
        </w:rPr>
      </w:pPr>
      <w:r>
        <w:rPr>
          <w:rFonts w:hint="eastAsia" w:ascii="宋体" w:hAnsi="宋体" w:eastAsia="宋体" w:cs="宋体"/>
          <w:color w:val="000000"/>
          <w:sz w:val="21"/>
          <w:szCs w:val="21"/>
        </w:rPr>
        <w:t>技术需求书中</w:t>
      </w:r>
      <w:r>
        <w:rPr>
          <w:rFonts w:ascii="宋体" w:hAnsi="宋体"/>
          <w:color w:val="000000"/>
          <w:sz w:val="21"/>
          <w:szCs w:val="21"/>
        </w:rPr>
        <w:t>带“</w:t>
      </w:r>
      <w:r>
        <w:rPr>
          <w:rFonts w:ascii="宋体" w:hAnsi="宋体" w:cs="宋体"/>
          <w:color w:val="000000" w:themeColor="text1"/>
          <w:szCs w:val="21"/>
          <w14:textFill>
            <w14:solidFill>
              <w14:schemeClr w14:val="tx1"/>
            </w14:solidFill>
          </w14:textFill>
        </w:rPr>
        <w:t>★</w:t>
      </w:r>
      <w:r>
        <w:rPr>
          <w:rFonts w:hint="eastAsia" w:ascii="宋体" w:hAnsi="宋体"/>
          <w:color w:val="000000"/>
          <w:sz w:val="21"/>
          <w:szCs w:val="21"/>
        </w:rPr>
        <w:t>”</w:t>
      </w:r>
      <w:r>
        <w:rPr>
          <w:rFonts w:ascii="宋体" w:hAnsi="宋体"/>
          <w:color w:val="000000"/>
          <w:sz w:val="21"/>
          <w:szCs w:val="21"/>
        </w:rPr>
        <w:t>部分为必须保证满足要求的条款。</w:t>
      </w:r>
    </w:p>
    <w:p>
      <w:pPr>
        <w:pStyle w:val="89"/>
        <w:numPr>
          <w:ilvl w:val="0"/>
          <w:numId w:val="20"/>
        </w:numPr>
        <w:spacing w:line="360" w:lineRule="auto"/>
        <w:ind w:left="0" w:firstLine="426" w:firstLineChars="0"/>
        <w:rPr>
          <w:rFonts w:ascii="宋体" w:hAnsi="宋体"/>
          <w:sz w:val="21"/>
          <w:szCs w:val="21"/>
        </w:rPr>
      </w:pPr>
      <w:r>
        <w:rPr>
          <w:rFonts w:ascii="宋体" w:hAnsi="宋体"/>
          <w:sz w:val="21"/>
          <w:szCs w:val="21"/>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7" w:type="default"/>
          <w:footerReference r:id="rId8" w:type="default"/>
          <w:pgSz w:w="11906" w:h="16838"/>
          <w:pgMar w:top="1440" w:right="1800" w:bottom="1440" w:left="1800" w:header="851" w:footer="992" w:gutter="0"/>
          <w:cols w:space="720" w:num="1"/>
          <w:docGrid w:type="lines" w:linePitch="312" w:charSpace="0"/>
        </w:sectPr>
      </w:pPr>
      <w:bookmarkStart w:id="45" w:name="_Toc51053569"/>
      <w:bookmarkStart w:id="46" w:name="_Toc30212"/>
      <w:bookmarkStart w:id="47" w:name="_Toc76856250"/>
      <w:bookmarkStart w:id="48" w:name="_Toc76996580"/>
      <w:bookmarkStart w:id="49" w:name="_Toc31826"/>
    </w:p>
    <w:bookmarkEnd w:id="45"/>
    <w:bookmarkEnd w:id="46"/>
    <w:bookmarkEnd w:id="47"/>
    <w:bookmarkEnd w:id="48"/>
    <w:bookmarkEnd w:id="49"/>
    <w:p>
      <w:pPr>
        <w:pStyle w:val="89"/>
        <w:numPr>
          <w:ilvl w:val="0"/>
          <w:numId w:val="21"/>
        </w:numPr>
        <w:spacing w:line="360" w:lineRule="auto"/>
        <w:ind w:left="0" w:firstLine="442"/>
        <w:outlineLvl w:val="1"/>
        <w:rPr>
          <w:rStyle w:val="365"/>
          <w:rFonts w:ascii="宋体" w:hAnsi="宋体" w:eastAsia="宋体" w:cs="宋体"/>
        </w:rPr>
      </w:pPr>
      <w:bookmarkStart w:id="50" w:name="_Toc76996584"/>
      <w:bookmarkStart w:id="51" w:name="_Toc76856254"/>
      <w:bookmarkStart w:id="52" w:name="_Toc8937"/>
      <w:bookmarkStart w:id="53" w:name="_Toc51053573"/>
      <w:r>
        <w:rPr>
          <w:rStyle w:val="365"/>
          <w:rFonts w:eastAsia="宋体" w:cs="宋体"/>
          <w:sz w:val="22"/>
          <w:szCs w:val="22"/>
        </w:rPr>
        <w:t>建设目标</w:t>
      </w:r>
    </w:p>
    <w:p>
      <w:pPr>
        <w:snapToGrid w:val="0"/>
        <w:spacing w:line="360" w:lineRule="auto"/>
        <w:ind w:firstLine="420" w:firstLineChars="200"/>
        <w:jc w:val="left"/>
      </w:pPr>
      <w:r>
        <w:t>部署2台WEB应用防火墙，用于5G电子支付等互联网系统的WEB应用服务和网页内容进行防护，屏蔽对网站的恶意攻击。</w:t>
      </w:r>
    </w:p>
    <w:p>
      <w:pPr>
        <w:pStyle w:val="89"/>
        <w:numPr>
          <w:ilvl w:val="0"/>
          <w:numId w:val="21"/>
        </w:numPr>
        <w:spacing w:line="360" w:lineRule="auto"/>
        <w:ind w:left="0" w:firstLine="442"/>
        <w:outlineLvl w:val="1"/>
        <w:rPr>
          <w:rStyle w:val="365"/>
          <w:rFonts w:ascii="宋体" w:hAnsi="宋体" w:eastAsia="宋体" w:cs="宋体"/>
        </w:rPr>
      </w:pPr>
      <w:r>
        <w:rPr>
          <w:rStyle w:val="365"/>
          <w:rFonts w:eastAsia="宋体" w:cs="宋体"/>
          <w:sz w:val="22"/>
          <w:szCs w:val="22"/>
        </w:rPr>
        <w:t>建设内容</w:t>
      </w:r>
    </w:p>
    <w:p>
      <w:pPr>
        <w:tabs>
          <w:tab w:val="left" w:pos="2385"/>
        </w:tabs>
        <w:spacing w:line="360" w:lineRule="auto"/>
        <w:ind w:firstLine="420" w:firstLineChars="200"/>
        <w:rPr>
          <w:rFonts w:ascii="宋体" w:hAnsi="宋体" w:cs="宋体"/>
          <w:szCs w:val="21"/>
        </w:rPr>
      </w:pPr>
      <w:r>
        <w:rPr>
          <w:rFonts w:hint="eastAsia" w:ascii="宋体" w:hAnsi="宋体" w:cs="宋体"/>
          <w:szCs w:val="21"/>
        </w:rPr>
        <w:t xml:space="preserve">WEB应用防火墙系统采用主备方式进行部署，两台新购WEB防火墙分别旁挂在IT支撑系统网络中的两台DMZ域核心交换机上，具体部署方式如下图所示： </w:t>
      </w:r>
    </w:p>
    <w:p>
      <w:pPr>
        <w:pStyle w:val="7"/>
        <w:jc w:val="center"/>
      </w:pPr>
      <w:r>
        <w:rPr>
          <w:rFonts w:ascii="仿宋" w:hAnsi="仿宋" w:eastAsia="仿宋"/>
          <w:sz w:val="24"/>
        </w:rPr>
        <w:object>
          <v:shape id="_x0000_i1025" o:spt="75" type="#_x0000_t75" style="height:225.75pt;width:254.5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bookmarkEnd w:id="50"/>
    <w:p>
      <w:pPr>
        <w:pStyle w:val="89"/>
        <w:numPr>
          <w:ilvl w:val="0"/>
          <w:numId w:val="21"/>
        </w:numPr>
        <w:spacing w:line="360" w:lineRule="auto"/>
        <w:ind w:left="0" w:firstLine="442"/>
        <w:outlineLvl w:val="1"/>
        <w:rPr>
          <w:rStyle w:val="365"/>
          <w:sz w:val="22"/>
          <w:szCs w:val="22"/>
        </w:rPr>
      </w:pPr>
      <w:r>
        <w:rPr>
          <w:rStyle w:val="365"/>
          <w:rFonts w:hint="eastAsia" w:ascii="宋体" w:hAnsi="宋体" w:eastAsia="宋体" w:cs="宋体"/>
          <w:sz w:val="22"/>
          <w:szCs w:val="22"/>
        </w:rPr>
        <w:t>技术要求</w:t>
      </w:r>
    </w:p>
    <w:tbl>
      <w:tblPr>
        <w:tblStyle w:val="53"/>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技术指标</w:t>
            </w:r>
          </w:p>
        </w:tc>
        <w:tc>
          <w:tcPr>
            <w:tcW w:w="63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38" w:type="dxa"/>
            <w:vMerge w:val="restart"/>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硬件要求</w:t>
            </w: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专业</w:t>
            </w:r>
            <w:r>
              <w:rPr>
                <w:rFonts w:ascii="宋体" w:hAnsi="宋体" w:cs="宋体"/>
                <w:kern w:val="0"/>
                <w:sz w:val="18"/>
                <w:szCs w:val="18"/>
              </w:rPr>
              <w:t>WEB应用防火墙设备，基于高性能硬件平台和专业安全操作系统，系统硬件为全内置封闭式结构</w:t>
            </w: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38" w:type="dxa"/>
            <w:vMerge w:val="continue"/>
            <w:tcBorders>
              <w:left w:val="single" w:color="auto" w:sz="4" w:space="0"/>
              <w:bottom w:val="single" w:color="auto" w:sz="4" w:space="0"/>
              <w:right w:val="single" w:color="auto" w:sz="4" w:space="0"/>
            </w:tcBorders>
            <w:vAlign w:val="center"/>
          </w:tcPr>
          <w:p>
            <w:pPr>
              <w:jc w:val="center"/>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hint="eastAsia" w:ascii="宋体" w:hAnsi="宋体" w:cs="宋体"/>
                <w:kern w:val="0"/>
                <w:sz w:val="18"/>
                <w:szCs w:val="18"/>
              </w:rPr>
              <w:t>标准</w:t>
            </w:r>
            <w:r>
              <w:rPr>
                <w:rFonts w:ascii="宋体" w:hAnsi="宋体" w:cs="宋体"/>
                <w:kern w:val="0"/>
                <w:sz w:val="18"/>
                <w:szCs w:val="18"/>
              </w:rPr>
              <w:t>1U机架式硬件设备,2*USB接口,1*RJ45串口,</w:t>
            </w:r>
            <w:r>
              <w:t xml:space="preserve"> </w:t>
            </w:r>
            <w:r>
              <w:rPr>
                <w:rFonts w:ascii="宋体" w:hAnsi="宋体" w:cs="宋体"/>
                <w:kern w:val="0"/>
                <w:sz w:val="18"/>
                <w:szCs w:val="18"/>
              </w:rPr>
              <w:t>1个管理接口，1个HA接口</w:t>
            </w:r>
            <w:r>
              <w:rPr>
                <w:rFonts w:hint="eastAsia" w:ascii="宋体" w:hAnsi="宋体" w:cs="宋体"/>
                <w:kern w:val="0"/>
                <w:sz w:val="18"/>
                <w:szCs w:val="18"/>
              </w:rPr>
              <w:t>，</w:t>
            </w:r>
            <w:r>
              <w:rPr>
                <w:rFonts w:ascii="宋体" w:hAnsi="宋体" w:cs="宋体"/>
                <w:kern w:val="0"/>
                <w:sz w:val="18"/>
                <w:szCs w:val="18"/>
              </w:rPr>
              <w:t>16个10/100/1000MBase-T电口(包含2</w:t>
            </w:r>
            <w:r>
              <w:rPr>
                <w:rFonts w:hint="eastAsia" w:ascii="宋体" w:hAnsi="宋体" w:cs="宋体"/>
                <w:kern w:val="0"/>
                <w:sz w:val="18"/>
                <w:szCs w:val="18"/>
              </w:rPr>
              <w:t>对</w:t>
            </w:r>
            <w:r>
              <w:rPr>
                <w:rFonts w:ascii="宋体" w:hAnsi="宋体" w:cs="宋体"/>
                <w:kern w:val="0"/>
                <w:sz w:val="18"/>
                <w:szCs w:val="18"/>
              </w:rPr>
              <w:t>Bypass接口)，</w:t>
            </w:r>
            <w:r>
              <w:rPr>
                <w:rFonts w:hint="eastAsia" w:ascii="宋体" w:hAnsi="宋体" w:cs="宋体"/>
                <w:kern w:val="0"/>
                <w:sz w:val="18"/>
                <w:szCs w:val="18"/>
              </w:rPr>
              <w:t>2个S</w:t>
            </w:r>
            <w:r>
              <w:rPr>
                <w:rFonts w:ascii="宋体" w:hAnsi="宋体" w:cs="宋体"/>
                <w:kern w:val="0"/>
                <w:sz w:val="18"/>
                <w:szCs w:val="18"/>
              </w:rPr>
              <w:t>FP+</w:t>
            </w:r>
            <w:r>
              <w:rPr>
                <w:rFonts w:hint="eastAsia" w:ascii="宋体" w:hAnsi="宋体" w:cs="宋体"/>
                <w:kern w:val="0"/>
                <w:sz w:val="18"/>
                <w:szCs w:val="18"/>
              </w:rPr>
              <w:t>接口，配置</w:t>
            </w:r>
            <w:r>
              <w:rPr>
                <w:rFonts w:ascii="宋体" w:hAnsi="宋体" w:cs="宋体"/>
                <w:kern w:val="0"/>
                <w:sz w:val="18"/>
                <w:szCs w:val="18"/>
              </w:rPr>
              <w:t>480GB  SSD</w:t>
            </w:r>
            <w:r>
              <w:rPr>
                <w:rFonts w:hint="eastAsia" w:ascii="宋体" w:hAnsi="宋体" w:cs="宋体"/>
                <w:kern w:val="0"/>
                <w:sz w:val="18"/>
                <w:szCs w:val="18"/>
              </w:rPr>
              <w:t>硬盘存储空间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性能要求</w:t>
            </w: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整机网络层吞吐量≥12</w:t>
            </w:r>
            <w:r>
              <w:rPr>
                <w:rFonts w:ascii="宋体" w:hAnsi="宋体" w:cs="宋体"/>
                <w:kern w:val="0"/>
                <w:sz w:val="18"/>
                <w:szCs w:val="18"/>
              </w:rPr>
              <w:t>G,</w:t>
            </w:r>
            <w:r>
              <w:rPr>
                <w:rFonts w:hint="eastAsia" w:ascii="宋体" w:hAnsi="宋体" w:cs="宋体"/>
                <w:kern w:val="0"/>
                <w:sz w:val="18"/>
                <w:szCs w:val="18"/>
              </w:rPr>
              <w:t>最大并发数连接数≥60</w:t>
            </w:r>
            <w:r>
              <w:rPr>
                <w:rFonts w:ascii="宋体" w:hAnsi="宋体" w:cs="宋体"/>
                <w:kern w:val="0"/>
                <w:sz w:val="18"/>
                <w:szCs w:val="18"/>
              </w:rPr>
              <w:t xml:space="preserve">W; </w:t>
            </w:r>
            <w:r>
              <w:rPr>
                <w:rFonts w:hint="eastAsia" w:ascii="宋体" w:hAnsi="宋体" w:cs="宋体"/>
                <w:kern w:val="0"/>
                <w:sz w:val="18"/>
                <w:szCs w:val="18"/>
              </w:rPr>
              <w:t>应用层吞吐≥1.5</w:t>
            </w:r>
            <w:r>
              <w:rPr>
                <w:rFonts w:ascii="宋体" w:hAnsi="宋体" w:cs="宋体"/>
                <w:kern w:val="0"/>
                <w:sz w:val="18"/>
                <w:szCs w:val="18"/>
              </w:rPr>
              <w:t>G;</w:t>
            </w:r>
            <w:r>
              <w:rPr>
                <w:rFonts w:hint="eastAsia" w:ascii="宋体" w:hAnsi="宋体" w:cs="宋体"/>
                <w:kern w:val="0"/>
                <w:sz w:val="18"/>
                <w:szCs w:val="18"/>
              </w:rPr>
              <w:t>H</w:t>
            </w:r>
            <w:r>
              <w:rPr>
                <w:rFonts w:ascii="宋体" w:hAnsi="宋体" w:cs="宋体"/>
                <w:kern w:val="0"/>
                <w:sz w:val="18"/>
                <w:szCs w:val="18"/>
              </w:rPr>
              <w:t>TTP</w:t>
            </w:r>
            <w:r>
              <w:rPr>
                <w:rFonts w:hint="eastAsia" w:ascii="宋体" w:hAnsi="宋体" w:cs="宋体"/>
                <w:kern w:val="0"/>
                <w:sz w:val="18"/>
                <w:szCs w:val="18"/>
              </w:rPr>
              <w:t>新建连接≥</w:t>
            </w:r>
            <w:r>
              <w:rPr>
                <w:rFonts w:ascii="宋体" w:hAnsi="宋体" w:cs="宋体"/>
                <w:kern w:val="0"/>
                <w:sz w:val="18"/>
                <w:szCs w:val="18"/>
              </w:rPr>
              <w:t>35000</w:t>
            </w: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网络层攻击防护</w:t>
            </w: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bookmarkStart w:id="54" w:name="_Hlk80516442"/>
            <w:r>
              <w:rPr>
                <w:rFonts w:hint="eastAsia" w:ascii="宋体" w:hAnsi="宋体" w:cs="宋体"/>
                <w:kern w:val="0"/>
                <w:sz w:val="18"/>
                <w:szCs w:val="18"/>
              </w:rPr>
              <w:t>支持按照国家地理位置设置安全过滤策略，内置国家地理地址库信息</w:t>
            </w:r>
            <w:r>
              <w:rPr>
                <w:rFonts w:ascii="宋体" w:hAnsi="宋体" w:cs="宋体"/>
                <w:kern w:val="0"/>
                <w:sz w:val="18"/>
                <w:szCs w:val="18"/>
              </w:rPr>
              <w:t>，支持限制国外地区的访问</w:t>
            </w:r>
            <w:bookmarkEnd w:id="5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支持各类拒绝服务攻击，包括：</w:t>
            </w:r>
            <w:r>
              <w:rPr>
                <w:rFonts w:ascii="宋体" w:hAnsi="宋体" w:cs="宋体"/>
                <w:kern w:val="0"/>
                <w:sz w:val="18"/>
                <w:szCs w:val="18"/>
              </w:rPr>
              <w:t>Ping of Death、Teardrop、IP分片、Land、ICMP大包、WinNuke等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支持各类</w:t>
            </w:r>
            <w:r>
              <w:rPr>
                <w:rFonts w:ascii="宋体" w:hAnsi="宋体" w:cs="宋体"/>
                <w:kern w:val="0"/>
                <w:sz w:val="18"/>
                <w:szCs w:val="18"/>
              </w:rPr>
              <w:t>Flood攻击，包括ICMP Flood、UDP Flood、TCP-SYN Flood、ARP欺骗、DNS查询洪泛等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38" w:type="dxa"/>
            <w:vMerge w:val="restart"/>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ascii="宋体" w:hAnsi="宋体"/>
                <w:b/>
                <w:bCs/>
                <w:szCs w:val="21"/>
              </w:rPr>
              <w:t>W</w:t>
            </w:r>
            <w:r>
              <w:rPr>
                <w:rFonts w:hint="eastAsia" w:ascii="宋体" w:hAnsi="宋体"/>
                <w:b/>
                <w:bCs/>
                <w:szCs w:val="21"/>
              </w:rPr>
              <w:t>eb应用层攻击防护</w:t>
            </w: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★系统具备注入攻击防御能力，可以对</w:t>
            </w:r>
            <w:r>
              <w:rPr>
                <w:rFonts w:ascii="宋体" w:hAnsi="宋体" w:cs="宋体"/>
                <w:kern w:val="0"/>
                <w:sz w:val="18"/>
                <w:szCs w:val="18"/>
              </w:rPr>
              <w:t>SQL注入、LDAP注入、SSI指令注入、Xpath注入、命令注入、邮件注入、远程文件包含、本地文件包含以及其他注入进行防御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38" w:type="dxa"/>
            <w:vMerge w:val="continue"/>
            <w:tcBorders>
              <w:top w:val="single" w:color="auto" w:sz="4" w:space="0"/>
              <w:left w:val="single" w:color="auto" w:sz="4" w:space="0"/>
              <w:right w:val="single" w:color="auto" w:sz="4" w:space="0"/>
            </w:tcBorders>
            <w:vAlign w:val="center"/>
          </w:tcPr>
          <w:p>
            <w:pPr>
              <w:jc w:val="center"/>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H</w:t>
            </w:r>
            <w:r>
              <w:rPr>
                <w:rFonts w:ascii="宋体" w:hAnsi="宋体" w:cs="宋体"/>
                <w:kern w:val="0"/>
                <w:sz w:val="18"/>
                <w:szCs w:val="18"/>
              </w:rPr>
              <w:t>TTPS</w:t>
            </w:r>
            <w:r>
              <w:rPr>
                <w:rFonts w:hint="eastAsia" w:ascii="宋体" w:hAnsi="宋体" w:cs="宋体"/>
                <w:kern w:val="0"/>
                <w:sz w:val="18"/>
                <w:szCs w:val="18"/>
              </w:rPr>
              <w:t>站点可以同时配置商密算法和国密算法（</w:t>
            </w:r>
            <w:r>
              <w:rPr>
                <w:rFonts w:hint="eastAsia" w:ascii="宋体" w:hAnsi="宋体" w:cs="Tahoma"/>
                <w:kern w:val="0"/>
                <w:sz w:val="18"/>
                <w:szCs w:val="18"/>
              </w:rPr>
              <w:t>提供产品界面截图有效</w:t>
            </w: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38" w:type="dxa"/>
            <w:vMerge w:val="continue"/>
            <w:tcBorders>
              <w:top w:val="single" w:color="auto" w:sz="4" w:space="0"/>
              <w:left w:val="single" w:color="auto" w:sz="4" w:space="0"/>
              <w:right w:val="single" w:color="auto" w:sz="4" w:space="0"/>
            </w:tcBorders>
            <w:vAlign w:val="center"/>
          </w:tcPr>
          <w:p>
            <w:pPr>
              <w:jc w:val="center"/>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具备默认站点功能，不需要配置</w:t>
            </w:r>
            <w:r>
              <w:rPr>
                <w:rFonts w:ascii="宋体" w:hAnsi="宋体" w:cs="宋体"/>
                <w:kern w:val="0"/>
                <w:sz w:val="18"/>
                <w:szCs w:val="18"/>
              </w:rPr>
              <w:t>IP和端口，自动防护网站</w:t>
            </w:r>
            <w:r>
              <w:rPr>
                <w:rFonts w:hint="eastAsia" w:ascii="宋体" w:hAnsi="宋体" w:cs="宋体"/>
                <w:kern w:val="0"/>
                <w:sz w:val="18"/>
                <w:szCs w:val="18"/>
              </w:rPr>
              <w:t>（</w:t>
            </w:r>
            <w:r>
              <w:rPr>
                <w:rFonts w:hint="eastAsia" w:ascii="宋体" w:hAnsi="宋体" w:cs="Tahoma"/>
                <w:kern w:val="0"/>
                <w:sz w:val="18"/>
                <w:szCs w:val="18"/>
              </w:rPr>
              <w:t>提供产品界面截图有效</w:t>
            </w: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38" w:type="dxa"/>
            <w:vMerge w:val="continue"/>
            <w:tcBorders>
              <w:top w:val="single" w:color="auto" w:sz="4" w:space="0"/>
              <w:left w:val="single" w:color="auto" w:sz="4" w:space="0"/>
              <w:right w:val="single" w:color="auto" w:sz="4" w:space="0"/>
            </w:tcBorders>
            <w:vAlign w:val="center"/>
          </w:tcPr>
          <w:p>
            <w:pPr>
              <w:jc w:val="center"/>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具有从</w:t>
            </w:r>
            <w:r>
              <w:rPr>
                <w:rFonts w:ascii="宋体" w:hAnsi="宋体" w:cs="宋体"/>
                <w:kern w:val="0"/>
                <w:sz w:val="18"/>
                <w:szCs w:val="18"/>
              </w:rPr>
              <w:t>TCP Option获取源IP地址（TOA）功能。</w:t>
            </w:r>
            <w:r>
              <w:rPr>
                <w:rFonts w:hint="eastAsia" w:ascii="宋体" w:hAnsi="宋体" w:cs="宋体"/>
                <w:kern w:val="0"/>
                <w:sz w:val="18"/>
                <w:szCs w:val="18"/>
              </w:rPr>
              <w:t>（提供第三方检测检验机构出具的检测报告加盖制造商公章的原件扫描件）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系统具备跨站攻击防御能力，可以对</w:t>
            </w:r>
            <w:r>
              <w:rPr>
                <w:rFonts w:ascii="宋体" w:hAnsi="宋体" w:cs="宋体"/>
                <w:kern w:val="0"/>
                <w:sz w:val="18"/>
                <w:szCs w:val="18"/>
              </w:rPr>
              <w:t>XSS和CSRF攻击进行防御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支持</w:t>
            </w:r>
            <w:r>
              <w:rPr>
                <w:rFonts w:ascii="宋体" w:hAnsi="宋体" w:cs="宋体"/>
                <w:kern w:val="0"/>
                <w:sz w:val="18"/>
                <w:szCs w:val="18"/>
              </w:rPr>
              <w:t>SSL透明代理，可以对HTTPS网站进行保护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针对</w:t>
            </w:r>
            <w:r>
              <w:rPr>
                <w:rFonts w:ascii="宋体" w:hAnsi="宋体" w:cs="宋体"/>
                <w:kern w:val="0"/>
                <w:sz w:val="18"/>
                <w:szCs w:val="18"/>
              </w:rPr>
              <w:t>HTTP快速Flood和慢速Flood攻击进行防护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系统具备信息泄露防御能力，可以防止服务器错误、数据库错误、</w:t>
            </w:r>
            <w:r>
              <w:rPr>
                <w:rFonts w:ascii="宋体" w:hAnsi="宋体" w:cs="宋体"/>
                <w:kern w:val="0"/>
                <w:sz w:val="18"/>
                <w:szCs w:val="18"/>
              </w:rPr>
              <w:t>Web目录内容、程序代码、关键字（支持中文）等信息的泄露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★具备个人敏感信息防泄漏功能，可以检测到个人身份信息（包括中国大陆身份证号、港澳台身份证号、美国社会安全号）、银行卡号、信用卡号、邮件账号的信息泄露，并支持脱敏处理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系统具备保护</w:t>
            </w:r>
            <w:r>
              <w:rPr>
                <w:rFonts w:ascii="宋体" w:hAnsi="宋体" w:cs="宋体"/>
                <w:kern w:val="0"/>
                <w:sz w:val="18"/>
                <w:szCs w:val="18"/>
              </w:rPr>
              <w:t>Cookie安全能力，可以防止Cookie被恶意篡改、Cookie被恶意劫持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系统具备</w:t>
            </w:r>
            <w:r>
              <w:rPr>
                <w:rFonts w:ascii="宋体" w:hAnsi="宋体" w:cs="宋体"/>
                <w:kern w:val="0"/>
                <w:sz w:val="18"/>
                <w:szCs w:val="18"/>
              </w:rPr>
              <w:t>Web访问控制能力，可以对扫描器的扫描行为、爬虫行为、目录遍历行为进行防御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★支持细粒度的</w:t>
            </w:r>
            <w:r>
              <w:rPr>
                <w:rFonts w:ascii="宋体" w:hAnsi="宋体" w:cs="宋体"/>
                <w:kern w:val="0"/>
                <w:sz w:val="18"/>
                <w:szCs w:val="18"/>
              </w:rPr>
              <w:t>HTTP命令级访问控制策略，可以根据客户端Host、User-Agent、Accept、Accept-Language、Accept-Encoding、Referer、Cookie等HTTP头部的策略控制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系统具备特殊漏洞攻击防御能力，可以对针对</w:t>
            </w:r>
            <w:r>
              <w:rPr>
                <w:rFonts w:ascii="宋体" w:hAnsi="宋体" w:cs="宋体"/>
                <w:kern w:val="0"/>
                <w:sz w:val="18"/>
                <w:szCs w:val="18"/>
              </w:rPr>
              <w:t>Web服务器、Web框架、Web应用程序的漏洞攻击进行防御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系统具备防御资源非法访问能力，可以对非法上传、非法下载和盗链攻击进行防御，支持根据文件大小、</w:t>
            </w:r>
            <w:r>
              <w:rPr>
                <w:rFonts w:ascii="宋体" w:hAnsi="宋体" w:cs="宋体"/>
                <w:kern w:val="0"/>
                <w:sz w:val="18"/>
                <w:szCs w:val="18"/>
              </w:rPr>
              <w:t>MIME文件类型进行非法下载控制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系统具备恶意软件防御能力，可以对</w:t>
            </w:r>
            <w:r>
              <w:rPr>
                <w:rFonts w:ascii="宋体" w:hAnsi="宋体" w:cs="宋体"/>
                <w:kern w:val="0"/>
                <w:sz w:val="18"/>
                <w:szCs w:val="18"/>
              </w:rPr>
              <w:t>Web Shell、木马攻击等进行防御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系统具备防暴力破解攻击能力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部署在负载均衡设备或代理服务器之后时，可以解析源</w:t>
            </w:r>
            <w:r>
              <w:rPr>
                <w:rFonts w:ascii="宋体" w:hAnsi="宋体" w:cs="宋体"/>
                <w:kern w:val="0"/>
                <w:sz w:val="18"/>
                <w:szCs w:val="18"/>
              </w:rPr>
              <w:t>IP地址，对客户端的真实IP进行阻断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支持</w:t>
            </w:r>
            <w:r>
              <w:rPr>
                <w:rFonts w:ascii="宋体" w:hAnsi="宋体" w:cs="宋体"/>
                <w:kern w:val="0"/>
                <w:sz w:val="18"/>
                <w:szCs w:val="18"/>
              </w:rPr>
              <w:t>API的安全检测和防护功能，可基于OpenAPI规范文档，实现合规性检测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838" w:type="dxa"/>
            <w:tcBorders>
              <w:left w:val="single" w:color="auto" w:sz="4" w:space="0"/>
              <w:right w:val="single" w:color="auto" w:sz="4" w:space="0"/>
            </w:tcBorders>
            <w:vAlign w:val="center"/>
          </w:tcPr>
          <w:p>
            <w:pPr>
              <w:widowControl/>
              <w:jc w:val="center"/>
              <w:rPr>
                <w:rFonts w:ascii="宋体" w:hAnsi="宋体"/>
                <w:b/>
                <w:bCs/>
                <w:szCs w:val="21"/>
              </w:rPr>
            </w:pPr>
            <w:r>
              <w:rPr>
                <w:rFonts w:hint="eastAsia" w:ascii="宋体" w:hAnsi="宋体"/>
                <w:b/>
                <w:bCs/>
                <w:szCs w:val="21"/>
              </w:rPr>
              <w:t>网页防篡改</w:t>
            </w: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支持静态网页缓存和篡改监控，在检测到篡改发生时，可以将篡改前的缓存页面返回给用户；支持对篡改内容的取证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38" w:type="dxa"/>
            <w:tcBorders>
              <w:left w:val="single" w:color="auto" w:sz="4" w:space="0"/>
              <w:right w:val="single" w:color="auto" w:sz="4" w:space="0"/>
            </w:tcBorders>
            <w:vAlign w:val="center"/>
          </w:tcPr>
          <w:p>
            <w:pPr>
              <w:widowControl/>
              <w:jc w:val="center"/>
              <w:rPr>
                <w:rFonts w:ascii="宋体" w:hAnsi="宋体"/>
                <w:b/>
                <w:bCs/>
                <w:szCs w:val="21"/>
              </w:rPr>
            </w:pPr>
            <w:r>
              <w:rPr>
                <w:rFonts w:hint="eastAsia" w:ascii="宋体" w:hAnsi="宋体"/>
                <w:b/>
                <w:bCs/>
                <w:szCs w:val="21"/>
              </w:rPr>
              <w:t>I</w:t>
            </w:r>
            <w:r>
              <w:rPr>
                <w:rFonts w:ascii="宋体" w:hAnsi="宋体"/>
                <w:b/>
                <w:bCs/>
                <w:szCs w:val="21"/>
              </w:rPr>
              <w:t>PV6</w:t>
            </w: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支持</w:t>
            </w:r>
            <w:r>
              <w:rPr>
                <w:rFonts w:ascii="宋体" w:hAnsi="宋体" w:cs="宋体"/>
                <w:kern w:val="0"/>
                <w:sz w:val="18"/>
                <w:szCs w:val="18"/>
              </w:rPr>
              <w:t>IPv4、IPv6双栈部署，可同时添加IPv4和IPv6地址为保护站点;</w:t>
            </w:r>
            <w:r>
              <w:rPr>
                <w:rFonts w:hint="eastAsia"/>
              </w:rPr>
              <w:t xml:space="preserve"> </w:t>
            </w:r>
            <w:r>
              <w:rPr>
                <w:rFonts w:hint="eastAsia" w:ascii="宋体" w:hAnsi="宋体" w:cs="宋体"/>
                <w:kern w:val="0"/>
                <w:sz w:val="18"/>
                <w:szCs w:val="18"/>
              </w:rPr>
              <w:t>支持对</w:t>
            </w:r>
            <w:r>
              <w:rPr>
                <w:rFonts w:ascii="宋体" w:hAnsi="宋体" w:cs="宋体"/>
                <w:kern w:val="0"/>
                <w:sz w:val="18"/>
                <w:szCs w:val="18"/>
              </w:rPr>
              <w:t>IPv6访问流量的检测和保护</w:t>
            </w:r>
            <w:r>
              <w:rPr>
                <w:rFonts w:hint="eastAsia" w:ascii="宋体" w:hAnsi="宋体" w:cs="宋体"/>
                <w:kern w:val="0"/>
                <w:sz w:val="18"/>
                <w:szCs w:val="18"/>
              </w:rPr>
              <w:t>;</w:t>
            </w:r>
            <w:r>
              <w:rPr>
                <w:rFonts w:hint="eastAsia"/>
              </w:rPr>
              <w:t xml:space="preserve"> </w:t>
            </w:r>
            <w:r>
              <w:rPr>
                <w:rFonts w:hint="eastAsia" w:ascii="宋体" w:hAnsi="宋体" w:cs="宋体"/>
                <w:kern w:val="0"/>
                <w:sz w:val="18"/>
                <w:szCs w:val="18"/>
              </w:rPr>
              <w:t>支持网站</w:t>
            </w:r>
            <w:r>
              <w:rPr>
                <w:rFonts w:ascii="宋体" w:hAnsi="宋体" w:cs="宋体"/>
                <w:kern w:val="0"/>
                <w:sz w:val="18"/>
                <w:szCs w:val="18"/>
              </w:rPr>
              <w:t>IPv6应用层改造</w:t>
            </w:r>
            <w:r>
              <w:rPr>
                <w:rFonts w:hint="eastAsia" w:ascii="宋体" w:hAnsi="宋体" w:cs="宋体"/>
                <w:kern w:val="0"/>
                <w:sz w:val="18"/>
                <w:szCs w:val="18"/>
              </w:rPr>
              <w:t>;</w:t>
            </w:r>
            <w:r>
              <w:rPr>
                <w:rFonts w:hint="eastAsia"/>
              </w:rPr>
              <w:t xml:space="preserve"> </w:t>
            </w:r>
            <w:r>
              <w:rPr>
                <w:rFonts w:hint="eastAsia" w:ascii="宋体" w:hAnsi="宋体" w:cs="宋体"/>
                <w:kern w:val="0"/>
                <w:sz w:val="18"/>
                <w:szCs w:val="18"/>
              </w:rPr>
              <w:t>支持</w:t>
            </w:r>
            <w:r>
              <w:rPr>
                <w:rFonts w:ascii="宋体" w:hAnsi="宋体" w:cs="宋体"/>
                <w:kern w:val="0"/>
                <w:sz w:val="18"/>
                <w:szCs w:val="18"/>
              </w:rPr>
              <w:t>IPv6改造首页标识</w:t>
            </w:r>
            <w:r>
              <w:rPr>
                <w:rFonts w:hint="eastAsia" w:ascii="宋体" w:hAnsi="宋体" w:cs="宋体"/>
                <w:kern w:val="0"/>
                <w:sz w:val="18"/>
                <w:szCs w:val="18"/>
              </w:rPr>
              <w:t>;</w:t>
            </w:r>
            <w:r>
              <w:rPr>
                <w:rFonts w:hint="eastAsia"/>
              </w:rPr>
              <w:t xml:space="preserve"> </w:t>
            </w:r>
            <w:r>
              <w:rPr>
                <w:rFonts w:hint="eastAsia" w:ascii="宋体" w:hAnsi="宋体" w:cs="宋体"/>
                <w:kern w:val="0"/>
                <w:sz w:val="18"/>
                <w:szCs w:val="18"/>
              </w:rPr>
              <w:t>支持</w:t>
            </w:r>
            <w:r>
              <w:rPr>
                <w:rFonts w:ascii="宋体" w:hAnsi="宋体" w:cs="宋体"/>
                <w:kern w:val="0"/>
                <w:sz w:val="18"/>
                <w:szCs w:val="18"/>
              </w:rPr>
              <w:t>IPv6改造自动外链改写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38" w:type="dxa"/>
            <w:vMerge w:val="restart"/>
            <w:tcBorders>
              <w:left w:val="single" w:color="auto" w:sz="4" w:space="0"/>
              <w:right w:val="single" w:color="auto" w:sz="4" w:space="0"/>
            </w:tcBorders>
            <w:vAlign w:val="center"/>
          </w:tcPr>
          <w:p>
            <w:pPr>
              <w:widowControl/>
              <w:jc w:val="center"/>
              <w:rPr>
                <w:rFonts w:ascii="宋体" w:hAnsi="宋体"/>
                <w:b/>
                <w:bCs/>
                <w:szCs w:val="21"/>
              </w:rPr>
            </w:pPr>
            <w:r>
              <w:rPr>
                <w:rFonts w:ascii="宋体" w:hAnsi="宋体"/>
                <w:b/>
                <w:bCs/>
                <w:szCs w:val="21"/>
              </w:rPr>
              <w:t>Web漏洞扫描及虚拟补丁</w:t>
            </w: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★产品支持</w:t>
            </w:r>
            <w:r>
              <w:rPr>
                <w:rFonts w:ascii="宋体" w:hAnsi="宋体" w:cs="宋体"/>
                <w:kern w:val="0"/>
                <w:sz w:val="18"/>
                <w:szCs w:val="18"/>
              </w:rPr>
              <w:t>Web应用漏扫，支持的扫描各种类型的Web漏洞包括：SQL注入漏洞、XSS攻击漏洞、Web服务漏洞、信息泄露漏洞、异常访问漏洞；扫描方式支持普通扫描和侵入式扫描；支持手动扫描和定期扫描，可以定期自动扫描。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38" w:type="dxa"/>
            <w:vMerge w:val="continue"/>
            <w:tcBorders>
              <w:left w:val="single" w:color="auto" w:sz="4" w:space="0"/>
              <w:right w:val="single" w:color="auto" w:sz="4" w:space="0"/>
            </w:tcBorders>
            <w:vAlign w:val="center"/>
          </w:tcPr>
          <w:p>
            <w:pPr>
              <w:widowControl/>
              <w:jc w:val="center"/>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★可以对</w:t>
            </w:r>
            <w:r>
              <w:rPr>
                <w:rFonts w:ascii="宋体" w:hAnsi="宋体" w:cs="宋体"/>
                <w:kern w:val="0"/>
                <w:sz w:val="18"/>
                <w:szCs w:val="18"/>
              </w:rPr>
              <w:t>URL扫描深度、链接总数、文件数进行限制</w:t>
            </w:r>
            <w:r>
              <w:rPr>
                <w:rFonts w:hint="eastAsia" w:ascii="宋体" w:hAnsi="宋体" w:cs="宋体"/>
                <w:kern w:val="0"/>
                <w:sz w:val="18"/>
                <w:szCs w:val="18"/>
              </w:rPr>
              <w:t>；扫描报告可以进行导出，支持</w:t>
            </w:r>
            <w:r>
              <w:rPr>
                <w:rFonts w:ascii="宋体" w:hAnsi="宋体" w:cs="宋体"/>
                <w:kern w:val="0"/>
                <w:sz w:val="18"/>
                <w:szCs w:val="18"/>
              </w:rPr>
              <w:t>PDF、XML文件报告</w:t>
            </w:r>
            <w:r>
              <w:rPr>
                <w:rFonts w:hint="eastAsia" w:ascii="宋体" w:hAnsi="宋体" w:cs="宋体"/>
                <w:kern w:val="0"/>
                <w:sz w:val="18"/>
                <w:szCs w:val="18"/>
              </w:rPr>
              <w:t>；可以根据扫描报告生成虚拟补丁，用户无需中断业务即可针对</w:t>
            </w:r>
            <w:r>
              <w:rPr>
                <w:rFonts w:ascii="宋体" w:hAnsi="宋体" w:cs="宋体"/>
                <w:kern w:val="0"/>
                <w:sz w:val="18"/>
                <w:szCs w:val="18"/>
              </w:rPr>
              <w:t>Web漏洞提供快速保护</w:t>
            </w: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38" w:type="dxa"/>
            <w:vMerge w:val="restart"/>
            <w:tcBorders>
              <w:left w:val="single" w:color="auto" w:sz="4" w:space="0"/>
              <w:right w:val="single" w:color="auto" w:sz="4" w:space="0"/>
            </w:tcBorders>
            <w:vAlign w:val="center"/>
          </w:tcPr>
          <w:p>
            <w:pPr>
              <w:widowControl/>
              <w:jc w:val="center"/>
              <w:rPr>
                <w:rFonts w:ascii="宋体" w:hAnsi="宋体"/>
                <w:b/>
                <w:bCs/>
                <w:szCs w:val="21"/>
              </w:rPr>
            </w:pPr>
            <w:r>
              <w:rPr>
                <w:rFonts w:hint="eastAsia" w:ascii="宋体" w:hAnsi="宋体"/>
                <w:b/>
                <w:bCs/>
                <w:szCs w:val="21"/>
              </w:rPr>
              <w:t>自学习策略</w:t>
            </w: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★支持对保护站点的流量进行智能学习，并根据学习结果生成针对性的防护策略；学习的内容包括：动态</w:t>
            </w:r>
            <w:r>
              <w:rPr>
                <w:rFonts w:ascii="宋体" w:hAnsi="宋体" w:cs="宋体"/>
                <w:kern w:val="0"/>
                <w:sz w:val="18"/>
                <w:szCs w:val="18"/>
              </w:rPr>
              <w:t>URL地址、URL参数、HTTP访问方法等信息。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38" w:type="dxa"/>
            <w:vMerge w:val="continue"/>
            <w:tcBorders>
              <w:left w:val="single" w:color="auto" w:sz="4" w:space="0"/>
              <w:right w:val="single" w:color="auto" w:sz="4" w:space="0"/>
            </w:tcBorders>
            <w:vAlign w:val="center"/>
          </w:tcPr>
          <w:p>
            <w:pPr>
              <w:widowControl/>
              <w:jc w:val="center"/>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支持学习模式和保护模式，学习完成后可以自动切换到保护模式；支持对特定</w:t>
            </w:r>
            <w:r>
              <w:rPr>
                <w:rFonts w:ascii="宋体" w:hAnsi="宋体" w:cs="宋体"/>
                <w:kern w:val="0"/>
                <w:sz w:val="18"/>
                <w:szCs w:val="18"/>
              </w:rPr>
              <w:t>URL进行学习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838" w:type="dxa"/>
            <w:tcBorders>
              <w:left w:val="single" w:color="auto" w:sz="4" w:space="0"/>
              <w:right w:val="single" w:color="auto" w:sz="4" w:space="0"/>
            </w:tcBorders>
            <w:vAlign w:val="center"/>
          </w:tcPr>
          <w:p>
            <w:pPr>
              <w:widowControl/>
              <w:jc w:val="center"/>
              <w:rPr>
                <w:rFonts w:ascii="宋体" w:hAnsi="宋体"/>
                <w:b/>
                <w:bCs/>
                <w:szCs w:val="21"/>
              </w:rPr>
            </w:pPr>
            <w:r>
              <w:rPr>
                <w:rFonts w:hint="eastAsia" w:ascii="宋体" w:hAnsi="宋体"/>
                <w:b/>
                <w:bCs/>
                <w:szCs w:val="21"/>
              </w:rPr>
              <w:t>防御动作</w:t>
            </w: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支持对触发规则行为仅告警、阻断并重定向到告警页面、添加到黑名单、添加为白名单等；告警页面支持客户自定义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部署及高可用性</w:t>
            </w: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支持透明串接、镜像监听、反向代理（串接及单臂）、牵引等部署方式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支持快速上线模式，支持默认站点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★支持站点自发现，能够发现网络中的</w:t>
            </w:r>
            <w:r>
              <w:rPr>
                <w:rFonts w:ascii="宋体" w:hAnsi="宋体" w:cs="宋体"/>
                <w:kern w:val="0"/>
                <w:sz w:val="18"/>
                <w:szCs w:val="18"/>
              </w:rPr>
              <w:t>Web网站，并一键添加为保护站点</w:t>
            </w:r>
            <w:r>
              <w:rPr>
                <w:rFonts w:hint="eastAsia" w:ascii="宋体" w:hAnsi="宋体" w:cs="宋体"/>
                <w:kern w:val="0"/>
                <w:sz w:val="18"/>
                <w:szCs w:val="18"/>
              </w:rPr>
              <w:t>（提供产品界面截图有效）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★支持图形化部署向导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hint="eastAsia" w:ascii="宋体" w:hAnsi="宋体" w:cs="宋体"/>
                <w:kern w:val="0"/>
                <w:sz w:val="18"/>
                <w:szCs w:val="18"/>
              </w:rPr>
              <w:t>支持</w:t>
            </w:r>
            <w:r>
              <w:rPr>
                <w:rFonts w:ascii="宋体" w:hAnsi="宋体" w:cs="宋体"/>
                <w:kern w:val="0"/>
                <w:sz w:val="18"/>
                <w:szCs w:val="18"/>
              </w:rPr>
              <w:t>HA-AP、HA-AA高可用性部署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支持硬件</w:t>
            </w:r>
            <w:r>
              <w:rPr>
                <w:rFonts w:ascii="宋体" w:hAnsi="宋体" w:cs="宋体"/>
                <w:kern w:val="0"/>
                <w:sz w:val="18"/>
                <w:szCs w:val="18"/>
              </w:rPr>
              <w:t>Bypass，</w:t>
            </w:r>
            <w:r>
              <w:rPr>
                <w:rFonts w:hint="eastAsia" w:ascii="宋体" w:hAnsi="宋体" w:cs="宋体"/>
                <w:kern w:val="0"/>
                <w:sz w:val="18"/>
                <w:szCs w:val="18"/>
              </w:rPr>
              <w:t>支持软件</w:t>
            </w:r>
            <w:r>
              <w:rPr>
                <w:rFonts w:ascii="宋体" w:hAnsi="宋体" w:cs="宋体"/>
                <w:kern w:val="0"/>
                <w:sz w:val="18"/>
                <w:szCs w:val="18"/>
              </w:rPr>
              <w:t>Bypass，透明模式下，在CPU、并发连接数超过阈值时，可优先确保业务连通性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hint="eastAsia" w:ascii="宋体" w:hAnsi="宋体" w:cs="宋体"/>
                <w:kern w:val="0"/>
                <w:sz w:val="18"/>
                <w:szCs w:val="18"/>
              </w:rPr>
              <w:t>支持旁路镜像流量分析（不影响业务），支持</w:t>
            </w:r>
            <w:r>
              <w:rPr>
                <w:rFonts w:ascii="宋体" w:hAnsi="宋体" w:cs="宋体"/>
                <w:kern w:val="0"/>
                <w:sz w:val="18"/>
                <w:szCs w:val="18"/>
              </w:rPr>
              <w:t>HTTP/HTTPS协议的IPv4/IPv6双栈版本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szCs w:val="21"/>
              </w:rPr>
            </w:pPr>
            <w:r>
              <w:rPr>
                <w:rFonts w:hint="eastAsia" w:ascii="宋体" w:hAnsi="宋体"/>
                <w:b/>
                <w:bCs/>
                <w:szCs w:val="21"/>
              </w:rPr>
              <w:t>应用加速及服务器负载分担</w:t>
            </w: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hint="eastAsia" w:ascii="宋体" w:hAnsi="宋体" w:cs="宋体"/>
                <w:kern w:val="0"/>
                <w:sz w:val="18"/>
                <w:szCs w:val="18"/>
              </w:rPr>
              <w:t>支持页面缓存及压缩、连接服用、</w:t>
            </w:r>
            <w:r>
              <w:rPr>
                <w:rFonts w:ascii="宋体" w:hAnsi="宋体" w:cs="宋体"/>
                <w:kern w:val="0"/>
                <w:sz w:val="18"/>
                <w:szCs w:val="18"/>
              </w:rPr>
              <w:t>SSL卸载</w:t>
            </w:r>
            <w:r>
              <w:rPr>
                <w:rFonts w:hint="eastAsia" w:ascii="宋体" w:hAnsi="宋体" w:cs="宋体"/>
                <w:kern w:val="0"/>
                <w:sz w:val="18"/>
                <w:szCs w:val="18"/>
              </w:rPr>
              <w:t>；支持服务器负载分担（反向代理模式下），支持加权轮询、最少连接以及</w:t>
            </w:r>
            <w:r>
              <w:rPr>
                <w:rFonts w:ascii="宋体" w:hAnsi="宋体" w:cs="宋体"/>
                <w:kern w:val="0"/>
                <w:sz w:val="18"/>
                <w:szCs w:val="18"/>
              </w:rPr>
              <w:t>IP Hash算法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jc w:val="center"/>
              <w:rPr>
                <w:rFonts w:ascii="宋体" w:hAnsi="宋体"/>
                <w:b/>
                <w:bCs/>
                <w:szCs w:val="21"/>
              </w:rPr>
            </w:pPr>
            <w:r>
              <w:rPr>
                <w:rFonts w:hint="eastAsia" w:ascii="宋体" w:hAnsi="宋体"/>
                <w:b/>
                <w:bCs/>
                <w:szCs w:val="21"/>
              </w:rPr>
              <w:t>日志、报表、告警</w:t>
            </w: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hint="eastAsia" w:ascii="宋体" w:hAnsi="宋体" w:cs="宋体"/>
                <w:kern w:val="0"/>
                <w:sz w:val="18"/>
                <w:szCs w:val="18"/>
              </w:rPr>
              <w:t>★提供丰富的日志信息，包括设备管理日志、网络安全日志、网页安全日志、防篡改日志、访问控制日志、自学习策略日志等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838" w:type="dxa"/>
            <w:vMerge w:val="continue"/>
            <w:tcBorders>
              <w:left w:val="single" w:color="auto" w:sz="4" w:space="0"/>
              <w:right w:val="single" w:color="auto" w:sz="4" w:space="0"/>
            </w:tcBorders>
            <w:vAlign w:val="center"/>
          </w:tcPr>
          <w:p>
            <w:pPr>
              <w:widowControl/>
              <w:jc w:val="center"/>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hint="eastAsia" w:ascii="宋体" w:hAnsi="宋体" w:cs="宋体"/>
                <w:kern w:val="0"/>
                <w:sz w:val="18"/>
                <w:szCs w:val="18"/>
              </w:rPr>
              <w:t>支持多级日志聚合，帮助管理员准确发现及定位威胁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838" w:type="dxa"/>
            <w:vMerge w:val="continue"/>
            <w:tcBorders>
              <w:left w:val="single" w:color="auto" w:sz="4" w:space="0"/>
              <w:right w:val="single" w:color="auto" w:sz="4" w:space="0"/>
            </w:tcBorders>
            <w:vAlign w:val="center"/>
          </w:tcPr>
          <w:p>
            <w:pPr>
              <w:widowControl/>
              <w:jc w:val="center"/>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hint="eastAsia" w:ascii="宋体" w:hAnsi="宋体" w:cs="宋体"/>
                <w:kern w:val="0"/>
                <w:sz w:val="18"/>
                <w:szCs w:val="18"/>
              </w:rPr>
              <w:t>★支持记录攻击事件的</w:t>
            </w:r>
            <w:r>
              <w:rPr>
                <w:rFonts w:ascii="宋体" w:hAnsi="宋体" w:cs="宋体"/>
                <w:kern w:val="0"/>
                <w:sz w:val="18"/>
                <w:szCs w:val="18"/>
              </w:rPr>
              <w:t>HTTP所有请求头信息，含请求的URL、UserAgent、POST内容，cookie等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838" w:type="dxa"/>
            <w:vMerge w:val="continue"/>
            <w:tcBorders>
              <w:left w:val="single" w:color="auto" w:sz="4" w:space="0"/>
              <w:right w:val="single" w:color="auto" w:sz="4" w:space="0"/>
            </w:tcBorders>
            <w:vAlign w:val="center"/>
          </w:tcPr>
          <w:p>
            <w:pPr>
              <w:widowControl/>
              <w:jc w:val="center"/>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bookmarkStart w:id="55" w:name="_Hlk80518446"/>
            <w:r>
              <w:rPr>
                <w:rFonts w:hint="eastAsia" w:ascii="宋体" w:hAnsi="宋体" w:cs="宋体"/>
                <w:kern w:val="0"/>
                <w:sz w:val="18"/>
                <w:szCs w:val="18"/>
              </w:rPr>
              <w:t>★支持大屏展示功能，通过大屏可以直观展示站点风险、站点请求数量、威胁事件类型、热点威胁事件等，并且可以自定义大屏显示名称</w:t>
            </w:r>
            <w:bookmarkEnd w:id="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838" w:type="dxa"/>
            <w:vMerge w:val="continue"/>
            <w:tcBorders>
              <w:left w:val="single" w:color="auto" w:sz="4" w:space="0"/>
              <w:right w:val="single" w:color="auto" w:sz="4" w:space="0"/>
            </w:tcBorders>
            <w:vAlign w:val="center"/>
          </w:tcPr>
          <w:p>
            <w:pPr>
              <w:widowControl/>
              <w:jc w:val="center"/>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支持通过电子邮件、</w:t>
            </w:r>
            <w:r>
              <w:rPr>
                <w:rFonts w:ascii="宋体" w:hAnsi="宋体" w:cs="宋体"/>
                <w:kern w:val="0"/>
                <w:sz w:val="18"/>
                <w:szCs w:val="18"/>
              </w:rPr>
              <w:t>SNMP、SYSLOG、短信等多种响应方式进行告警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838" w:type="dxa"/>
            <w:vMerge w:val="continue"/>
            <w:tcBorders>
              <w:left w:val="single" w:color="auto" w:sz="4" w:space="0"/>
              <w:right w:val="single" w:color="auto" w:sz="4" w:space="0"/>
            </w:tcBorders>
            <w:vAlign w:val="center"/>
          </w:tcPr>
          <w:p>
            <w:pPr>
              <w:widowControl/>
              <w:jc w:val="center"/>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hint="eastAsia" w:ascii="宋体" w:hAnsi="宋体" w:cs="宋体"/>
                <w:kern w:val="0"/>
                <w:sz w:val="18"/>
                <w:szCs w:val="18"/>
              </w:rPr>
              <w:t>支持报表，提供安全风险概览、站点风险详情、攻击类型详情、站点篡改分析、站点访问量、网络层攻击汇总、系统运行状况等多维度报表模板，支持用户自定义报表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838" w:type="dxa"/>
            <w:vMerge w:val="continue"/>
            <w:tcBorders>
              <w:left w:val="single" w:color="auto" w:sz="4" w:space="0"/>
              <w:right w:val="single" w:color="auto" w:sz="4" w:space="0"/>
            </w:tcBorders>
            <w:vAlign w:val="center"/>
          </w:tcPr>
          <w:p>
            <w:pPr>
              <w:widowControl/>
              <w:jc w:val="center"/>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hint="eastAsia" w:ascii="宋体" w:hAnsi="宋体" w:cs="宋体"/>
                <w:kern w:val="0"/>
                <w:sz w:val="18"/>
                <w:szCs w:val="18"/>
              </w:rPr>
              <w:t>支持云端联动，移动运维，提供手机</w:t>
            </w:r>
            <w:r>
              <w:rPr>
                <w:rFonts w:ascii="宋体" w:hAnsi="宋体" w:cs="宋体"/>
                <w:kern w:val="0"/>
                <w:sz w:val="18"/>
                <w:szCs w:val="18"/>
              </w:rPr>
              <w:t>APP的监控通告服务，服务内容至少包括：安全资讯、设备监控、告警信息、威胁日志等，支持APP基于域名方式的一键断网，网站跳转到自定义的“维护中页面”，而不是提示”404”错误，可在用户现场演示（提供手机APP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1838" w:type="dxa"/>
            <w:vMerge w:val="continue"/>
            <w:tcBorders>
              <w:left w:val="single" w:color="auto" w:sz="4" w:space="0"/>
              <w:right w:val="single" w:color="auto" w:sz="4" w:space="0"/>
            </w:tcBorders>
            <w:vAlign w:val="center"/>
          </w:tcPr>
          <w:p>
            <w:pPr>
              <w:widowControl/>
              <w:jc w:val="center"/>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hint="eastAsia" w:ascii="宋体" w:hAnsi="宋体" w:cs="宋体"/>
                <w:kern w:val="0"/>
                <w:sz w:val="18"/>
                <w:szCs w:val="18"/>
              </w:rPr>
              <w:t>支持攻击报文回放，协助管理员复现问题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szCs w:val="21"/>
              </w:rPr>
            </w:pPr>
            <w:r>
              <w:rPr>
                <w:rFonts w:hint="eastAsia" w:ascii="宋体" w:hAnsi="宋体"/>
                <w:b/>
                <w:bCs/>
                <w:szCs w:val="21"/>
              </w:rPr>
              <w:t>升级支持</w:t>
            </w:r>
          </w:p>
        </w:tc>
        <w:tc>
          <w:tcPr>
            <w:tcW w:w="6382" w:type="dxa"/>
            <w:tcBorders>
              <w:top w:val="single" w:color="auto" w:sz="4" w:space="0"/>
              <w:left w:val="single" w:color="auto" w:sz="4" w:space="0"/>
              <w:bottom w:val="single" w:color="auto" w:sz="4" w:space="0"/>
              <w:right w:val="single" w:color="auto" w:sz="4" w:space="0"/>
            </w:tcBorders>
          </w:tcPr>
          <w:p>
            <w:pPr>
              <w:rPr>
                <w:rFonts w:ascii="宋体" w:hAnsi="宋体" w:cs="宋体"/>
                <w:kern w:val="0"/>
                <w:sz w:val="18"/>
                <w:szCs w:val="18"/>
              </w:rPr>
            </w:pPr>
            <w:r>
              <w:rPr>
                <w:rFonts w:ascii="宋体" w:hAnsi="宋体" w:cs="宋体"/>
                <w:color w:val="000000" w:themeColor="text1"/>
                <w:szCs w:val="21"/>
                <w14:textFill>
                  <w14:solidFill>
                    <w14:schemeClr w14:val="tx1"/>
                  </w14:solidFill>
                </w14:textFill>
              </w:rPr>
              <w:t>★</w:t>
            </w:r>
            <w:r>
              <w:rPr>
                <w:rFonts w:hint="eastAsia" w:ascii="宋体" w:hAnsi="宋体" w:cs="宋体"/>
                <w:kern w:val="0"/>
                <w:sz w:val="18"/>
                <w:szCs w:val="18"/>
              </w:rPr>
              <w:t>特征库可以通过人工或者自动方式进行</w:t>
            </w:r>
            <w:r>
              <w:rPr>
                <w:rFonts w:ascii="宋体" w:hAnsi="宋体" w:cs="宋体"/>
                <w:kern w:val="0"/>
                <w:sz w:val="18"/>
                <w:szCs w:val="18"/>
              </w:rPr>
              <w:t>WEB应用防火墙设备的升级，升级过程中不需重启设备，并能保持原有会话连接不中断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vMerge w:val="restart"/>
            <w:tcBorders>
              <w:top w:val="single" w:color="auto" w:sz="4" w:space="0"/>
              <w:left w:val="single" w:color="auto" w:sz="4" w:space="0"/>
              <w:right w:val="single" w:color="auto" w:sz="4" w:space="0"/>
            </w:tcBorders>
            <w:vAlign w:val="center"/>
          </w:tcPr>
          <w:p>
            <w:pPr>
              <w:jc w:val="center"/>
              <w:rPr>
                <w:rFonts w:ascii="宋体" w:hAnsi="宋体"/>
                <w:b/>
                <w:bCs/>
                <w:szCs w:val="21"/>
              </w:rPr>
            </w:pPr>
            <w:r>
              <w:rPr>
                <w:rFonts w:hint="eastAsia" w:ascii="宋体" w:hAnsi="宋体" w:cs="宋体"/>
                <w:b/>
                <w:bCs/>
                <w:kern w:val="0"/>
                <w:szCs w:val="21"/>
              </w:rPr>
              <w:t>资质要求</w:t>
            </w: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具有中华人民共和国公安部颁发的《计算机信息系统安全专用产品销售许可证（增强级）》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具有中国信息安全认证中心颁发的《</w:t>
            </w:r>
            <w:r>
              <w:rPr>
                <w:rFonts w:ascii="宋体" w:hAnsi="宋体" w:cs="宋体"/>
                <w:kern w:val="0"/>
                <w:sz w:val="18"/>
                <w:szCs w:val="18"/>
              </w:rPr>
              <w:t>IT产品信息安全认证证书》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所投产品具有国家电子计算质量监督检验中心出具的《电磁兼容检测报告》</w:t>
            </w:r>
            <w:r>
              <w:rPr>
                <w:rFonts w:ascii="宋体" w:hAnsi="宋体" w:cs="宋体"/>
                <w:kern w:val="0"/>
                <w:sz w:val="18"/>
                <w:szCs w:val="18"/>
              </w:rPr>
              <w:t>(提供复印件并加盖原厂公章)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bookmarkStart w:id="56" w:name="_Hlk80518682"/>
            <w:r>
              <w:rPr>
                <w:rFonts w:hint="eastAsia" w:ascii="宋体" w:hAnsi="宋体" w:cs="宋体"/>
                <w:kern w:val="0"/>
                <w:sz w:val="18"/>
                <w:szCs w:val="18"/>
              </w:rPr>
              <w:t>产品具备中国泰尔实验室</w:t>
            </w:r>
            <w:r>
              <w:rPr>
                <w:rFonts w:ascii="宋体" w:hAnsi="宋体" w:cs="宋体"/>
                <w:kern w:val="0"/>
                <w:sz w:val="18"/>
                <w:szCs w:val="18"/>
              </w:rPr>
              <w:t>WEB应用防火墙检测证书，提供证书文件复印件</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vMerge w:val="continue"/>
            <w:tcBorders>
              <w:left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厂商应为微软</w:t>
            </w:r>
            <w:r>
              <w:rPr>
                <w:rFonts w:ascii="宋体" w:hAnsi="宋体" w:cs="宋体"/>
                <w:kern w:val="0"/>
                <w:sz w:val="18"/>
                <w:szCs w:val="18"/>
              </w:rPr>
              <w:t>MAPP计划合作伙伴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b/>
                <w:bCs/>
                <w:szCs w:val="21"/>
              </w:rPr>
            </w:pPr>
          </w:p>
        </w:tc>
        <w:tc>
          <w:tcPr>
            <w:tcW w:w="63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微软雅黑" w:cs="宋体"/>
                <w:kern w:val="0"/>
                <w:sz w:val="18"/>
                <w:szCs w:val="18"/>
              </w:rPr>
            </w:pPr>
            <w:r>
              <w:rPr>
                <w:rFonts w:hint="eastAsia" w:ascii="宋体" w:hAnsi="宋体" w:cs="宋体"/>
                <w:kern w:val="0"/>
                <w:sz w:val="18"/>
                <w:szCs w:val="18"/>
              </w:rPr>
              <w:t>厂商具备能源管理体系认证证书、知识产权管理体系认证证书、质量管理体系认证证书、环境管理体系认证证书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838" w:type="dxa"/>
            <w:vMerge w:val="restart"/>
            <w:vAlign w:val="center"/>
          </w:tcPr>
          <w:p>
            <w:pPr>
              <w:widowControl/>
              <w:jc w:val="center"/>
              <w:rPr>
                <w:rFonts w:ascii="宋体" w:hAnsi="宋体" w:cs="宋体"/>
                <w:b/>
                <w:bCs/>
                <w:kern w:val="0"/>
                <w:szCs w:val="21"/>
              </w:rPr>
            </w:pPr>
            <w:r>
              <w:rPr>
                <w:rFonts w:hint="eastAsia" w:ascii="宋体" w:hAnsi="宋体" w:cs="宋体"/>
                <w:b/>
                <w:bCs/>
                <w:kern w:val="0"/>
                <w:szCs w:val="21"/>
              </w:rPr>
              <w:t>质保授权</w:t>
            </w:r>
          </w:p>
        </w:tc>
        <w:tc>
          <w:tcPr>
            <w:tcW w:w="6382"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★提供原厂商对本项目的授权和售后服务承诺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38" w:type="dxa"/>
            <w:vMerge w:val="continue"/>
            <w:vAlign w:val="center"/>
          </w:tcPr>
          <w:p>
            <w:pPr>
              <w:widowControl/>
              <w:jc w:val="left"/>
              <w:rPr>
                <w:rFonts w:ascii="宋体" w:hAnsi="宋体" w:cs="宋体"/>
                <w:b/>
                <w:bCs/>
                <w:kern w:val="0"/>
                <w:szCs w:val="21"/>
              </w:rPr>
            </w:pPr>
          </w:p>
        </w:tc>
        <w:tc>
          <w:tcPr>
            <w:tcW w:w="6382" w:type="dxa"/>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★提供五年硬件及软件升级服务</w:t>
            </w:r>
          </w:p>
        </w:tc>
      </w:tr>
    </w:tbl>
    <w:p>
      <w:pPr>
        <w:pStyle w:val="89"/>
        <w:numPr>
          <w:ilvl w:val="0"/>
          <w:numId w:val="21"/>
        </w:numPr>
        <w:spacing w:line="360" w:lineRule="auto"/>
        <w:ind w:left="0" w:firstLine="442"/>
        <w:outlineLvl w:val="1"/>
        <w:rPr>
          <w:rStyle w:val="365"/>
          <w:rFonts w:ascii="宋体" w:hAnsi="宋体" w:eastAsia="宋体" w:cs="宋体"/>
          <w:sz w:val="22"/>
          <w:szCs w:val="22"/>
        </w:rPr>
      </w:pPr>
      <w:r>
        <w:rPr>
          <w:rStyle w:val="365"/>
          <w:rFonts w:hint="eastAsia" w:ascii="宋体" w:hAnsi="宋体" w:eastAsia="宋体" w:cs="宋体"/>
          <w:sz w:val="22"/>
          <w:szCs w:val="22"/>
        </w:rPr>
        <w:t>尾纤数量</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39"/>
        <w:gridCol w:w="2126"/>
        <w:gridCol w:w="2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3539" w:type="dxa"/>
            <w:vAlign w:val="center"/>
          </w:tcPr>
          <w:p>
            <w:pPr>
              <w:widowControl/>
              <w:jc w:val="center"/>
              <w:rPr>
                <w:rFonts w:ascii="等线" w:hAnsi="等线" w:eastAsia="等线" w:cs="宋体"/>
                <w:b/>
                <w:color w:val="000000"/>
                <w:kern w:val="0"/>
                <w:sz w:val="22"/>
                <w:szCs w:val="22"/>
              </w:rPr>
            </w:pPr>
            <w:r>
              <w:rPr>
                <w:rFonts w:hint="eastAsia" w:ascii="等线" w:hAnsi="等线" w:eastAsia="等线" w:cs="宋体"/>
                <w:b/>
                <w:color w:val="000000"/>
                <w:kern w:val="0"/>
                <w:sz w:val="22"/>
                <w:szCs w:val="22"/>
              </w:rPr>
              <w:t>种类</w:t>
            </w:r>
          </w:p>
        </w:tc>
        <w:tc>
          <w:tcPr>
            <w:tcW w:w="2126" w:type="dxa"/>
            <w:shd w:val="clear" w:color="auto" w:fill="auto"/>
            <w:noWrap/>
            <w:vAlign w:val="center"/>
          </w:tcPr>
          <w:p>
            <w:pPr>
              <w:widowControl/>
              <w:jc w:val="center"/>
              <w:rPr>
                <w:rFonts w:ascii="等线" w:hAnsi="等线" w:eastAsia="等线" w:cs="宋体"/>
                <w:b/>
                <w:color w:val="000000"/>
                <w:kern w:val="0"/>
                <w:sz w:val="22"/>
                <w:szCs w:val="22"/>
              </w:rPr>
            </w:pPr>
            <w:r>
              <w:rPr>
                <w:rFonts w:hint="eastAsia" w:ascii="等线" w:hAnsi="等线" w:eastAsia="等线" w:cs="宋体"/>
                <w:b/>
                <w:color w:val="000000"/>
                <w:kern w:val="0"/>
                <w:sz w:val="22"/>
                <w:szCs w:val="22"/>
              </w:rPr>
              <w:t>长度</w:t>
            </w:r>
          </w:p>
        </w:tc>
        <w:tc>
          <w:tcPr>
            <w:tcW w:w="2631" w:type="dxa"/>
            <w:shd w:val="clear" w:color="auto" w:fill="auto"/>
            <w:vAlign w:val="center"/>
          </w:tcPr>
          <w:p>
            <w:pPr>
              <w:widowControl/>
              <w:jc w:val="center"/>
              <w:rPr>
                <w:rFonts w:ascii="等线" w:hAnsi="等线" w:eastAsia="等线" w:cs="宋体"/>
                <w:b/>
                <w:color w:val="000000"/>
                <w:kern w:val="0"/>
                <w:sz w:val="22"/>
                <w:szCs w:val="22"/>
                <w:highlight w:val="yellow"/>
              </w:rPr>
            </w:pPr>
            <w:commentRangeStart w:id="0"/>
            <w:r>
              <w:rPr>
                <w:rFonts w:hint="eastAsia" w:ascii="等线" w:hAnsi="等线" w:eastAsia="等线" w:cs="宋体"/>
                <w:b/>
                <w:color w:val="000000"/>
                <w:kern w:val="0"/>
                <w:sz w:val="22"/>
                <w:szCs w:val="22"/>
                <w:highlight w:val="yellow"/>
              </w:rPr>
              <w:t>数量</w:t>
            </w:r>
            <w:commentRangeEnd w:id="0"/>
            <w:r>
              <w:rPr>
                <w:rStyle w:val="61"/>
              </w:rP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jc w:val="center"/>
              <w:rPr>
                <w:rFonts w:ascii="宋体" w:hAnsi="宋体"/>
                <w:szCs w:val="21"/>
              </w:rPr>
            </w:pPr>
            <w:r>
              <w:rPr>
                <w:rFonts w:hint="eastAsia" w:ascii="宋体" w:hAnsi="宋体"/>
                <w:szCs w:val="21"/>
              </w:rPr>
              <w:t>多模尾纤</w:t>
            </w:r>
          </w:p>
        </w:tc>
        <w:tc>
          <w:tcPr>
            <w:tcW w:w="2126" w:type="dxa"/>
            <w:shd w:val="clear" w:color="auto" w:fill="auto"/>
            <w:noWrap/>
            <w:vAlign w:val="center"/>
          </w:tcPr>
          <w:p>
            <w:pPr>
              <w:jc w:val="center"/>
              <w:rPr>
                <w:rFonts w:ascii="宋体" w:hAnsi="宋体"/>
                <w:szCs w:val="21"/>
              </w:rPr>
            </w:pPr>
            <w:r>
              <w:rPr>
                <w:rFonts w:hint="eastAsia" w:ascii="宋体" w:hAnsi="宋体"/>
                <w:szCs w:val="21"/>
              </w:rPr>
              <w:t>根据安装部署的实际需要确定</w:t>
            </w:r>
          </w:p>
        </w:tc>
        <w:tc>
          <w:tcPr>
            <w:tcW w:w="2631" w:type="dxa"/>
            <w:shd w:val="clear" w:color="auto" w:fill="auto"/>
            <w:vAlign w:val="center"/>
          </w:tcPr>
          <w:p>
            <w:pPr>
              <w:jc w:val="center"/>
              <w:rPr>
                <w:rFonts w:ascii="宋体" w:hAnsi="宋体"/>
                <w:szCs w:val="21"/>
                <w:highlight w:val="yellow"/>
              </w:rPr>
            </w:pPr>
            <w:r>
              <w:rPr>
                <w:rFonts w:hint="eastAsia" w:ascii="宋体" w:hAnsi="宋体"/>
                <w:szCs w:val="21"/>
              </w:rPr>
              <w:t>根据安装部署的实际需要确定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39" w:type="dxa"/>
            <w:vAlign w:val="center"/>
          </w:tcPr>
          <w:p>
            <w:pPr>
              <w:jc w:val="center"/>
              <w:rPr>
                <w:rFonts w:ascii="宋体" w:hAnsi="宋体"/>
                <w:szCs w:val="21"/>
              </w:rPr>
            </w:pPr>
            <w:r>
              <w:rPr>
                <w:rFonts w:hint="eastAsia" w:ascii="宋体" w:hAnsi="宋体"/>
                <w:szCs w:val="21"/>
              </w:rPr>
              <w:t>超六类网线</w:t>
            </w:r>
          </w:p>
        </w:tc>
        <w:tc>
          <w:tcPr>
            <w:tcW w:w="2126" w:type="dxa"/>
            <w:shd w:val="clear" w:color="auto" w:fill="auto"/>
            <w:noWrap/>
            <w:vAlign w:val="center"/>
          </w:tcPr>
          <w:p>
            <w:pPr>
              <w:jc w:val="center"/>
              <w:rPr>
                <w:rFonts w:ascii="宋体" w:hAnsi="宋体"/>
                <w:szCs w:val="21"/>
              </w:rPr>
            </w:pPr>
            <w:r>
              <w:rPr>
                <w:rFonts w:hint="eastAsia" w:ascii="宋体" w:hAnsi="宋体"/>
                <w:szCs w:val="21"/>
              </w:rPr>
              <w:t>根据安装部署的实际需要确定</w:t>
            </w:r>
          </w:p>
        </w:tc>
        <w:tc>
          <w:tcPr>
            <w:tcW w:w="2631" w:type="dxa"/>
            <w:shd w:val="clear" w:color="auto" w:fill="auto"/>
            <w:vAlign w:val="center"/>
          </w:tcPr>
          <w:p>
            <w:pPr>
              <w:jc w:val="center"/>
              <w:rPr>
                <w:rFonts w:ascii="宋体" w:hAnsi="宋体"/>
                <w:szCs w:val="21"/>
                <w:highlight w:val="yellow"/>
              </w:rPr>
            </w:pPr>
            <w:r>
              <w:rPr>
                <w:rFonts w:hint="eastAsia" w:ascii="宋体" w:hAnsi="宋体"/>
                <w:szCs w:val="21"/>
              </w:rPr>
              <w:t>根据安装部署的实际需要确定</w:t>
            </w:r>
          </w:p>
        </w:tc>
      </w:tr>
    </w:tbl>
    <w:p>
      <w:pPr>
        <w:pStyle w:val="89"/>
        <w:numPr>
          <w:ilvl w:val="0"/>
          <w:numId w:val="21"/>
        </w:numPr>
        <w:spacing w:line="360" w:lineRule="auto"/>
        <w:ind w:left="0" w:firstLine="442"/>
        <w:outlineLvl w:val="1"/>
        <w:rPr>
          <w:rStyle w:val="365"/>
          <w:rFonts w:ascii="宋体" w:hAnsi="宋体" w:eastAsia="宋体" w:cs="宋体"/>
          <w:sz w:val="22"/>
          <w:szCs w:val="22"/>
        </w:rPr>
      </w:pPr>
      <w:r>
        <w:rPr>
          <w:rStyle w:val="365"/>
          <w:rFonts w:hint="eastAsia" w:ascii="宋体" w:hAnsi="宋体" w:eastAsia="宋体" w:cs="宋体"/>
          <w:sz w:val="22"/>
          <w:szCs w:val="22"/>
        </w:rPr>
        <w:t>辅材与系统集成</w:t>
      </w:r>
    </w:p>
    <w:p>
      <w:pPr>
        <w:pStyle w:val="49"/>
        <w:ind w:firstLine="420" w:firstLineChars="200"/>
        <w:rPr>
          <w:color w:val="000000" w:themeColor="text1"/>
          <w:sz w:val="21"/>
          <w:szCs w:val="20"/>
          <w14:textFill>
            <w14:solidFill>
              <w14:schemeClr w14:val="tx1"/>
            </w14:solidFill>
          </w14:textFill>
        </w:rPr>
      </w:pPr>
      <w:r>
        <w:rPr>
          <w:rFonts w:hint="eastAsia"/>
          <w:color w:val="000000" w:themeColor="text1"/>
          <w:sz w:val="21"/>
          <w:szCs w:val="20"/>
          <w14:textFill>
            <w14:solidFill>
              <w14:schemeClr w14:val="tx1"/>
            </w14:solidFill>
          </w14:textFill>
        </w:rPr>
        <w:t>包含一套辅材与系统集成，具体辅材数量以项目实施现场需求为准。</w:t>
      </w:r>
    </w:p>
    <w:p>
      <w:pPr>
        <w:spacing w:line="360" w:lineRule="auto"/>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★（1）供应商应根据本技术需求书的要求，基于自己的</w:t>
      </w:r>
      <w:r>
        <w:rPr>
          <w:rFonts w:hint="eastAsia" w:ascii="宋体" w:hAnsi="宋体"/>
          <w:color w:val="000000" w:themeColor="text1"/>
          <w14:textFill>
            <w14:solidFill>
              <w14:schemeClr w14:val="tx1"/>
            </w14:solidFill>
          </w14:textFill>
        </w:rPr>
        <w:t>货物及/或服务</w:t>
      </w:r>
      <w:r>
        <w:rPr>
          <w:rFonts w:hint="eastAsia" w:ascii="宋体" w:hAnsi="宋体"/>
          <w:color w:val="000000" w:themeColor="text1"/>
          <w:szCs w:val="21"/>
          <w14:textFill>
            <w14:solidFill>
              <w14:schemeClr w14:val="tx1"/>
            </w14:solidFill>
          </w14:textFill>
        </w:rPr>
        <w:t>提供具体、完整的配置方案，供应商在响应文件中给出的集成服务，必须保证响应文件中各项性能和功能承诺指标的实现，在各种承诺业务功能同时启用时，不应影响性能和稳定性；</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应根据采购人的业务需求及相关的技术规范要求，在中标后合同签署前提出完整的项目管理、系统设计、工程培训、项目施工、项目验收、技术支持方案以及供应商人力资源供给方案并经采购人确认；</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（3）设备安装由供应商负责，系统内所有电缆及接头均由供应商提供并施工； </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（4）供应商负责对施工地点进行现场勘察，提供工程施工和相关安装资料，并负责指导采购人掌握和使用这些技术资料。供应商应提供下列各种详细资料：</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A、各种设备机架（柜）外型尺寸、重量、面板布置、进出线方式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B、所需电源种类、功耗、电压、地线要求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C、机房荷重、环境要求</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D、设备安装方式</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E、设备、线缆、端口等的实施维护标识办法</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（5）安装调测时使用的工具、设备由供应商提供。双方应协商制定工程进度表，供应商负责按工程进度表进行施工。</w:t>
      </w:r>
    </w:p>
    <w:p>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设备调试由供应商负责，供应商调试前应提出完整的调试计划并经采购人确认，包括设备调试的内容、项目、指标、方法和进度，并提供相应的仪器和工具。供应商有责任对采购人的技术人员提出的问题做出解答。调试应进行详细记录，系统调试结束后，由供应商技术人员签字后交给采购人验收。</w:t>
      </w:r>
    </w:p>
    <w:bookmarkEnd w:id="16"/>
    <w:bookmarkEnd w:id="17"/>
    <w:bookmarkEnd w:id="18"/>
    <w:bookmarkEnd w:id="51"/>
    <w:bookmarkEnd w:id="52"/>
    <w:bookmarkEnd w:id="53"/>
    <w:p>
      <w:pPr>
        <w:spacing w:line="360" w:lineRule="auto"/>
        <w:ind w:firstLine="420" w:firstLineChars="200"/>
        <w:rPr>
          <w:rFonts w:eastAsia="黑体"/>
          <w:b/>
          <w:bCs/>
          <w:kern w:val="44"/>
          <w:sz w:val="36"/>
          <w:szCs w:val="36"/>
        </w:rPr>
      </w:pPr>
      <w:bookmarkStart w:id="57" w:name="_Toc69378657"/>
      <w:bookmarkStart w:id="58" w:name="_Toc502914229"/>
      <w:r>
        <w:br w:type="page"/>
      </w:r>
    </w:p>
    <w:p>
      <w:pPr>
        <w:autoSpaceDE w:val="0"/>
        <w:autoSpaceDN w:val="0"/>
        <w:spacing w:line="240" w:lineRule="atLeast"/>
        <w:jc w:val="center"/>
        <w:outlineLvl w:val="0"/>
        <w:rPr>
          <w:rFonts w:eastAsia="黑体"/>
          <w:b/>
          <w:bCs/>
          <w:kern w:val="44"/>
          <w:sz w:val="36"/>
          <w:szCs w:val="36"/>
        </w:rPr>
      </w:pPr>
      <w:r>
        <w:rPr>
          <w:rFonts w:hint="eastAsia" w:eastAsia="黑体"/>
          <w:b/>
          <w:bCs/>
          <w:kern w:val="44"/>
          <w:sz w:val="36"/>
          <w:szCs w:val="36"/>
        </w:rPr>
        <w:t>第六章 竞争性磋商响应文件格式</w:t>
      </w:r>
      <w:bookmarkEnd w:id="57"/>
    </w:p>
    <w:p/>
    <w:p/>
    <w:p/>
    <w:p/>
    <w:p/>
    <w:p/>
    <w:p/>
    <w:p>
      <w:pPr>
        <w:jc w:val="center"/>
        <w:rPr>
          <w:rFonts w:ascii="宋体" w:hAnsi="宋体"/>
          <w:sz w:val="44"/>
          <w:szCs w:val="44"/>
        </w:rPr>
      </w:pPr>
      <w:bookmarkStart w:id="59" w:name="_Toc26259736"/>
      <w:r>
        <w:rPr>
          <w:rFonts w:hint="eastAsia" w:ascii="宋体" w:hAnsi="宋体"/>
          <w:sz w:val="44"/>
          <w:szCs w:val="44"/>
        </w:rPr>
        <w:t>江苏省广电有线信息网络股份有限公司</w:t>
      </w:r>
    </w:p>
    <w:bookmarkEnd w:id="59"/>
    <w:p>
      <w:pPr>
        <w:spacing w:after="120" w:line="360" w:lineRule="auto"/>
        <w:jc w:val="center"/>
        <w:rPr>
          <w:rFonts w:ascii="宋体" w:hAnsi="宋体"/>
          <w:sz w:val="44"/>
          <w:szCs w:val="44"/>
        </w:rPr>
      </w:pPr>
      <w:bookmarkStart w:id="60" w:name="_Hlk100847823"/>
      <w:r>
        <w:rPr>
          <w:rFonts w:hint="eastAsia" w:ascii="宋体" w:hAnsi="宋体"/>
          <w:sz w:val="44"/>
          <w:szCs w:val="44"/>
        </w:rPr>
        <w:t>WEB应用防火墙设备</w:t>
      </w:r>
      <w:bookmarkEnd w:id="60"/>
      <w:r>
        <w:rPr>
          <w:rFonts w:hint="eastAsia" w:ascii="宋体" w:hAnsi="宋体"/>
          <w:sz w:val="44"/>
          <w:szCs w:val="44"/>
        </w:rPr>
        <w:t>采购</w:t>
      </w:r>
    </w:p>
    <w:p>
      <w:pPr>
        <w:jc w:val="center"/>
        <w:rPr>
          <w:sz w:val="48"/>
          <w:szCs w:val="48"/>
        </w:rPr>
      </w:pPr>
    </w:p>
    <w:p/>
    <w:p>
      <w:pPr>
        <w:pStyle w:val="22"/>
        <w:kinsoku w:val="0"/>
        <w:overflowPunct w:val="0"/>
        <w:adjustRightInd w:val="0"/>
        <w:snapToGrid w:val="0"/>
        <w:spacing w:before="312" w:beforeLines="100" w:after="312" w:afterLines="100"/>
        <w:ind w:left="210" w:leftChars="100" w:right="210" w:rightChars="100" w:firstLine="400" w:firstLineChars="200"/>
        <w:jc w:val="left"/>
        <w:rPr>
          <w:sz w:val="20"/>
        </w:rPr>
      </w:pPr>
    </w:p>
    <w:p>
      <w:pPr>
        <w:pStyle w:val="22"/>
        <w:adjustRightInd w:val="0"/>
        <w:snapToGrid w:val="0"/>
        <w:spacing w:before="312" w:beforeLines="100" w:after="312" w:afterLines="100"/>
        <w:ind w:left="210" w:leftChars="100" w:right="210" w:rightChars="100" w:firstLine="1440" w:firstLineChars="300"/>
        <w:rPr>
          <w:sz w:val="48"/>
          <w:szCs w:val="48"/>
        </w:rPr>
      </w:pPr>
      <w:r>
        <w:rPr>
          <w:rFonts w:hint="eastAsia"/>
          <w:sz w:val="48"/>
          <w:szCs w:val="48"/>
        </w:rPr>
        <w:t>竞争性磋商响应文件</w:t>
      </w:r>
    </w:p>
    <w:p>
      <w:pPr>
        <w:pStyle w:val="22"/>
        <w:kinsoku w:val="0"/>
        <w:overflowPunct w:val="0"/>
        <w:adjustRightInd w:val="0"/>
        <w:snapToGrid w:val="0"/>
        <w:spacing w:before="312" w:beforeLines="100" w:after="312" w:afterLines="100"/>
        <w:ind w:left="210" w:leftChars="100" w:right="210" w:rightChars="100" w:firstLine="880" w:firstLineChars="2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right="210" w:rightChars="100"/>
        <w:jc w:val="left"/>
        <w:rPr>
          <w:sz w:val="44"/>
          <w:szCs w:val="44"/>
        </w:rPr>
      </w:pPr>
    </w:p>
    <w:p>
      <w:pPr>
        <w:pStyle w:val="22"/>
        <w:kinsoku w:val="0"/>
        <w:overflowPunct w:val="0"/>
        <w:adjustRightInd w:val="0"/>
        <w:snapToGrid w:val="0"/>
        <w:spacing w:before="312" w:beforeLines="100" w:after="312" w:afterLines="100"/>
        <w:ind w:left="210" w:leftChars="100" w:right="210" w:rightChars="100" w:firstLine="1220" w:firstLineChars="200"/>
        <w:jc w:val="left"/>
        <w:rPr>
          <w:sz w:val="61"/>
          <w:szCs w:val="61"/>
        </w:rPr>
      </w:pPr>
    </w:p>
    <w:p>
      <w:pPr>
        <w:pStyle w:val="2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供应商：（盖单位章）</w:t>
      </w:r>
    </w:p>
    <w:p>
      <w:pPr>
        <w:pStyle w:val="22"/>
        <w:adjustRightInd w:val="0"/>
        <w:snapToGrid w:val="0"/>
        <w:spacing w:before="312" w:beforeLines="100" w:after="312" w:afterLines="100"/>
        <w:ind w:left="210" w:leftChars="100" w:right="210" w:rightChars="100" w:firstLine="560" w:firstLineChars="200"/>
        <w:jc w:val="left"/>
        <w:rPr>
          <w:szCs w:val="28"/>
        </w:rPr>
      </w:pPr>
      <w:r>
        <w:rPr>
          <w:rFonts w:hint="eastAsia"/>
          <w:szCs w:val="28"/>
        </w:rPr>
        <w:t>法定代表人或其委托代理人：（签字）</w:t>
      </w:r>
    </w:p>
    <w:p>
      <w:pPr>
        <w:pStyle w:val="22"/>
        <w:adjustRightInd w:val="0"/>
        <w:snapToGrid w:val="0"/>
        <w:spacing w:before="312" w:beforeLines="100" w:after="312"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pPr>
        <w:pStyle w:val="4"/>
        <w:numPr>
          <w:ilvl w:val="0"/>
          <w:numId w:val="0"/>
        </w:numPr>
        <w:jc w:val="center"/>
      </w:pPr>
      <w:bookmarkStart w:id="61" w:name="_Toc26259737"/>
      <w:bookmarkStart w:id="62" w:name="_Toc69378658"/>
      <w:bookmarkStart w:id="63" w:name="_Toc529538374"/>
      <w:bookmarkStart w:id="64" w:name="_Toc472689687"/>
      <w:bookmarkStart w:id="65" w:name="_Toc26260030"/>
      <w:bookmarkStart w:id="66" w:name="_Toc438052118"/>
      <w:bookmarkStart w:id="67" w:name="_Toc447265317"/>
      <w:bookmarkStart w:id="68" w:name="_Toc447265603"/>
      <w:r>
        <w:rPr>
          <w:rFonts w:hint="eastAsia"/>
        </w:rPr>
        <w:t>评审索引表</w:t>
      </w:r>
      <w:bookmarkEnd w:id="61"/>
      <w:bookmarkEnd w:id="62"/>
      <w:bookmarkEnd w:id="63"/>
      <w:bookmarkEnd w:id="64"/>
      <w:bookmarkEnd w:id="65"/>
    </w:p>
    <w:p>
      <w:pPr>
        <w:spacing w:line="276"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6"/>
        <w:rPr>
          <w:rFonts w:ascii="宋体" w:hAnsi="宋体" w:eastAsia="宋体"/>
          <w:b/>
          <w:sz w:val="24"/>
        </w:rPr>
      </w:pPr>
      <w:bookmarkStart w:id="69" w:name="_Toc401216443"/>
      <w:bookmarkStart w:id="70" w:name="_Toc26260031"/>
      <w:bookmarkStart w:id="71" w:name="_Toc485737092"/>
      <w:bookmarkStart w:id="72" w:name="_Toc26259738"/>
      <w:bookmarkStart w:id="73" w:name="_Toc401151285"/>
      <w:bookmarkStart w:id="74" w:name="_Toc429954241"/>
      <w:bookmarkStart w:id="75" w:name="_Toc529538375"/>
      <w:bookmarkStart w:id="76" w:name="_Toc427071030"/>
      <w:bookmarkStart w:id="77" w:name="_Toc401133270"/>
    </w:p>
    <w:p>
      <w:pPr>
        <w:pStyle w:val="5"/>
        <w:spacing w:before="260" w:after="260" w:line="416" w:lineRule="auto"/>
        <w:jc w:val="center"/>
        <w:rPr>
          <w:rFonts w:ascii="宋体" w:hAnsi="宋体" w:eastAsia="宋体"/>
          <w:b/>
          <w:bCs/>
          <w:sz w:val="22"/>
          <w:szCs w:val="28"/>
        </w:rPr>
      </w:pPr>
      <w:bookmarkStart w:id="78" w:name="_Toc69378659"/>
      <w:r>
        <w:rPr>
          <w:rFonts w:hint="eastAsia" w:ascii="宋体" w:hAnsi="宋体" w:eastAsia="宋体"/>
          <w:b/>
          <w:bCs/>
          <w:sz w:val="22"/>
          <w:szCs w:val="28"/>
        </w:rPr>
        <w:t>初步</w:t>
      </w:r>
      <w:r>
        <w:rPr>
          <w:rFonts w:ascii="宋体" w:hAnsi="宋体" w:eastAsia="宋体"/>
          <w:b/>
          <w:bCs/>
          <w:sz w:val="22"/>
          <w:szCs w:val="28"/>
        </w:rPr>
        <w:t>评审索引表</w:t>
      </w:r>
      <w:bookmarkEnd w:id="69"/>
      <w:bookmarkEnd w:id="70"/>
      <w:bookmarkEnd w:id="71"/>
      <w:bookmarkEnd w:id="72"/>
      <w:bookmarkEnd w:id="73"/>
      <w:bookmarkEnd w:id="74"/>
      <w:bookmarkEnd w:id="75"/>
      <w:bookmarkEnd w:id="76"/>
      <w:bookmarkEnd w:id="77"/>
      <w:bookmarkEnd w:id="78"/>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2</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3</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4</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5</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6</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7</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8</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9</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10</w:t>
            </w:r>
          </w:p>
        </w:tc>
        <w:tc>
          <w:tcPr>
            <w:tcW w:w="3771" w:type="pct"/>
            <w:vAlign w:val="center"/>
          </w:tcPr>
          <w:p>
            <w:pPr>
              <w:widowControl/>
              <w:spacing w:line="300" w:lineRule="auto"/>
              <w:jc w:val="left"/>
              <w:rPr>
                <w:rFonts w:ascii="宋体" w:hAnsi="宋体"/>
                <w:color w:val="000000"/>
                <w:kern w:val="0"/>
                <w:highlight w:val="yellow"/>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11</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jc w:val="center"/>
              <w:rPr>
                <w:rFonts w:ascii="宋体" w:hAnsi="宋体"/>
              </w:rPr>
            </w:pPr>
          </w:p>
        </w:tc>
        <w:tc>
          <w:tcPr>
            <w:tcW w:w="3771" w:type="pct"/>
            <w:vAlign w:val="center"/>
          </w:tcPr>
          <w:p>
            <w:pPr>
              <w:widowControl/>
              <w:spacing w:line="300" w:lineRule="auto"/>
              <w:jc w:val="left"/>
              <w:rPr>
                <w:rFonts w:ascii="宋体" w:hAnsi="宋体"/>
                <w:color w:val="000000"/>
                <w:kern w:val="0"/>
              </w:rPr>
            </w:pPr>
          </w:p>
        </w:tc>
        <w:tc>
          <w:tcPr>
            <w:tcW w:w="650" w:type="pct"/>
            <w:vAlign w:val="center"/>
          </w:tcPr>
          <w:p>
            <w:pPr>
              <w:widowControl/>
              <w:rPr>
                <w:rFonts w:ascii="宋体" w:hAnsi="宋体" w:cs="宋体"/>
                <w:color w:val="000000"/>
                <w:kern w:val="0"/>
                <w:szCs w:val="21"/>
              </w:rPr>
            </w:pPr>
          </w:p>
        </w:tc>
      </w:tr>
    </w:tbl>
    <w:p/>
    <w:p>
      <w:pPr>
        <w:pStyle w:val="52"/>
        <w:ind w:firstLine="560"/>
      </w:pPr>
    </w:p>
    <w:p>
      <w:pPr>
        <w:pStyle w:val="52"/>
        <w:ind w:firstLine="560"/>
      </w:pPr>
    </w:p>
    <w:p>
      <w:pPr>
        <w:pStyle w:val="52"/>
        <w:ind w:firstLine="560"/>
      </w:pPr>
    </w:p>
    <w:p>
      <w:pPr>
        <w:pStyle w:val="5"/>
        <w:spacing w:before="260" w:after="260" w:line="416" w:lineRule="auto"/>
        <w:jc w:val="center"/>
        <w:rPr>
          <w:rFonts w:ascii="宋体" w:hAnsi="宋体" w:eastAsia="宋体"/>
          <w:b/>
          <w:bCs/>
          <w:sz w:val="22"/>
          <w:szCs w:val="28"/>
        </w:rPr>
      </w:pPr>
      <w:bookmarkStart w:id="79" w:name="_Toc26259739"/>
      <w:bookmarkStart w:id="80" w:name="_Toc69378660"/>
      <w:bookmarkStart w:id="81" w:name="_Toc26260032"/>
      <w:r>
        <w:rPr>
          <w:rFonts w:hint="eastAsia" w:ascii="宋体" w:hAnsi="宋体" w:eastAsia="宋体"/>
          <w:b/>
          <w:bCs/>
          <w:sz w:val="22"/>
          <w:szCs w:val="28"/>
        </w:rPr>
        <w:t>详细</w:t>
      </w:r>
      <w:r>
        <w:rPr>
          <w:rFonts w:ascii="宋体" w:hAnsi="宋体" w:eastAsia="宋体"/>
          <w:b/>
          <w:bCs/>
          <w:sz w:val="22"/>
          <w:szCs w:val="28"/>
        </w:rPr>
        <w:t>评审索引表</w:t>
      </w:r>
      <w:bookmarkEnd w:id="79"/>
      <w:bookmarkEnd w:id="80"/>
      <w:bookmarkEnd w:id="81"/>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center"/>
              <w:rPr>
                <w:b/>
                <w:kern w:val="0"/>
                <w:szCs w:val="21"/>
              </w:rPr>
            </w:pPr>
            <w:r>
              <w:rPr>
                <w:b/>
                <w:kern w:val="0"/>
                <w:szCs w:val="21"/>
              </w:rPr>
              <w:t>评标项目</w:t>
            </w:r>
          </w:p>
        </w:tc>
        <w:tc>
          <w:tcPr>
            <w:tcW w:w="6778" w:type="dxa"/>
            <w:vAlign w:val="center"/>
          </w:tcPr>
          <w:p>
            <w:pPr>
              <w:jc w:val="center"/>
              <w:rPr>
                <w:b/>
              </w:rPr>
            </w:pPr>
            <w:r>
              <w:rPr>
                <w:b/>
                <w:kern w:val="0"/>
                <w:szCs w:val="21"/>
              </w:rPr>
              <w:t>评分要求</w:t>
            </w:r>
          </w:p>
        </w:tc>
        <w:tc>
          <w:tcPr>
            <w:tcW w:w="1141" w:type="dxa"/>
            <w:vAlign w:val="center"/>
          </w:tcPr>
          <w:p>
            <w:pPr>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spacing w:line="300" w:lineRule="auto"/>
              <w:jc w:val="center"/>
              <w:rPr>
                <w:kern w:val="0"/>
                <w:szCs w:val="21"/>
              </w:rPr>
            </w:pPr>
            <w:r>
              <w:rPr>
                <w:kern w:val="0"/>
                <w:szCs w:val="21"/>
              </w:rPr>
              <w:t>1</w:t>
            </w:r>
          </w:p>
        </w:tc>
        <w:tc>
          <w:tcPr>
            <w:tcW w:w="1211" w:type="dxa"/>
            <w:vAlign w:val="center"/>
          </w:tcPr>
          <w:p>
            <w:pPr>
              <w:widowControl/>
              <w:spacing w:line="300" w:lineRule="auto"/>
              <w:jc w:val="center"/>
              <w:rPr>
                <w:kern w:val="0"/>
                <w:szCs w:val="21"/>
              </w:rPr>
            </w:pPr>
          </w:p>
        </w:tc>
        <w:tc>
          <w:tcPr>
            <w:tcW w:w="6778" w:type="dxa"/>
          </w:tcPr>
          <w:p>
            <w:pPr>
              <w:widowControl/>
              <w:tabs>
                <w:tab w:val="left" w:pos="402"/>
              </w:tabs>
              <w:ind w:left="420"/>
              <w:rPr>
                <w:kern w:val="0"/>
                <w:szCs w:val="21"/>
              </w:rPr>
            </w:pPr>
          </w:p>
        </w:tc>
        <w:tc>
          <w:tcPr>
            <w:tcW w:w="1141" w:type="dxa"/>
          </w:tcPr>
          <w:p>
            <w:pPr>
              <w:widowControl/>
              <w:tabs>
                <w:tab w:val="left" w:pos="0"/>
                <w:tab w:val="left" w:pos="402"/>
              </w:tabs>
              <w:spacing w:line="30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kern w:val="0"/>
                <w:szCs w:val="21"/>
              </w:rPr>
              <w:t>2</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3</w:t>
            </w:r>
          </w:p>
        </w:tc>
        <w:tc>
          <w:tcPr>
            <w:tcW w:w="1211" w:type="dxa"/>
            <w:vAlign w:val="center"/>
          </w:tcPr>
          <w:p>
            <w:pPr>
              <w:jc w:val="center"/>
              <w:rPr>
                <w:rFonts w:ascii="宋体" w:hAnsi="宋体"/>
                <w:b/>
              </w:rPr>
            </w:pPr>
          </w:p>
        </w:tc>
        <w:tc>
          <w:tcPr>
            <w:tcW w:w="6778" w:type="dxa"/>
            <w:vAlign w:val="center"/>
          </w:tcPr>
          <w:p>
            <w:pPr>
              <w:widowControl/>
              <w:jc w:val="left"/>
              <w:rPr>
                <w:rFonts w:ascii="宋体" w:hAnsi="宋体"/>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pPr>
            <w:r>
              <w:rPr>
                <w:rFonts w:hint="eastAsia"/>
              </w:rPr>
              <w:t>4</w:t>
            </w:r>
          </w:p>
        </w:tc>
        <w:tc>
          <w:tcPr>
            <w:tcW w:w="1211" w:type="dxa"/>
            <w:vAlign w:val="center"/>
          </w:tcPr>
          <w:p>
            <w:pPr>
              <w:jc w:val="center"/>
              <w:rPr>
                <w:kern w:val="0"/>
                <w:szCs w:val="21"/>
                <w:highlight w:val="yellow"/>
              </w:rPr>
            </w:pPr>
          </w:p>
        </w:tc>
        <w:tc>
          <w:tcPr>
            <w:tcW w:w="6778" w:type="dxa"/>
          </w:tcPr>
          <w:p>
            <w:pPr>
              <w:widowControl/>
              <w:jc w:val="left"/>
              <w:rPr>
                <w:kern w:val="0"/>
                <w:szCs w:val="21"/>
                <w:highlight w:val="yellow"/>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widowControl/>
              <w:jc w:val="center"/>
              <w:rPr>
                <w:kern w:val="0"/>
                <w:szCs w:val="21"/>
              </w:rPr>
            </w:pPr>
            <w:r>
              <w:rPr>
                <w:rFonts w:hint="eastAsia"/>
                <w:kern w:val="0"/>
                <w:szCs w:val="21"/>
              </w:rPr>
              <w:t>5</w:t>
            </w:r>
          </w:p>
        </w:tc>
        <w:tc>
          <w:tcPr>
            <w:tcW w:w="1211" w:type="dxa"/>
            <w:vAlign w:val="center"/>
          </w:tcPr>
          <w:p>
            <w:pPr>
              <w:jc w:val="center"/>
              <w:rPr>
                <w:kern w:val="0"/>
                <w:szCs w:val="21"/>
              </w:rPr>
            </w:pPr>
          </w:p>
        </w:tc>
        <w:tc>
          <w:tcPr>
            <w:tcW w:w="6778" w:type="dxa"/>
            <w:vAlign w:val="center"/>
          </w:tcPr>
          <w:p>
            <w:pPr>
              <w:widowControl/>
              <w:jc w:val="left"/>
              <w:rPr>
                <w:kern w:val="0"/>
                <w:szCs w:val="21"/>
              </w:rPr>
            </w:pPr>
          </w:p>
        </w:tc>
        <w:tc>
          <w:tcPr>
            <w:tcW w:w="1141" w:type="dxa"/>
          </w:tcPr>
          <w:p>
            <w:pPr>
              <w:widowControl/>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54" w:type="dxa"/>
            <w:vAlign w:val="center"/>
          </w:tcPr>
          <w:p>
            <w:pPr>
              <w:jc w:val="center"/>
              <w:rPr>
                <w:kern w:val="0"/>
                <w:szCs w:val="21"/>
              </w:rPr>
            </w:pPr>
            <w:r>
              <w:rPr>
                <w:rFonts w:hint="eastAsia"/>
                <w:kern w:val="0"/>
                <w:szCs w:val="21"/>
              </w:rPr>
              <w:t>6</w:t>
            </w:r>
          </w:p>
        </w:tc>
        <w:tc>
          <w:tcPr>
            <w:tcW w:w="1211" w:type="dxa"/>
            <w:vAlign w:val="center"/>
          </w:tcPr>
          <w:p>
            <w:pPr>
              <w:jc w:val="center"/>
              <w:rPr>
                <w:kern w:val="0"/>
                <w:szCs w:val="21"/>
              </w:rPr>
            </w:pPr>
          </w:p>
        </w:tc>
        <w:tc>
          <w:tcPr>
            <w:tcW w:w="6778" w:type="dxa"/>
            <w:vAlign w:val="center"/>
          </w:tcPr>
          <w:p>
            <w:pPr>
              <w:widowControl/>
              <w:rPr>
                <w:rFonts w:eastAsia="仿宋_GB2312"/>
                <w:b/>
                <w:bCs/>
                <w:kern w:val="0"/>
                <w:sz w:val="24"/>
              </w:rPr>
            </w:pPr>
          </w:p>
        </w:tc>
        <w:tc>
          <w:tcPr>
            <w:tcW w:w="1141" w:type="dxa"/>
            <w:vAlign w:val="center"/>
          </w:tcPr>
          <w:p>
            <w:pPr>
              <w:widowControl/>
              <w:jc w:val="left"/>
              <w:rPr>
                <w:rFonts w:eastAsia="仿宋_GB2312"/>
                <w:b/>
                <w:bCs/>
                <w:kern w:val="0"/>
                <w:sz w:val="24"/>
              </w:rPr>
            </w:pPr>
          </w:p>
        </w:tc>
      </w:tr>
    </w:tbl>
    <w:p>
      <w:pPr>
        <w:pStyle w:val="6"/>
      </w:pPr>
    </w:p>
    <w:bookmarkEnd w:id="66"/>
    <w:bookmarkEnd w:id="67"/>
    <w:bookmarkEnd w:id="68"/>
    <w:p/>
    <w:p>
      <w:pPr>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ind w:right="210" w:rightChars="100"/>
        <w:rPr>
          <w:rStyle w:val="106"/>
          <w:rFonts w:hAnsi="宋体"/>
          <w:b w:val="0"/>
          <w:bCs w:val="0"/>
          <w:sz w:val="24"/>
          <w:szCs w:val="24"/>
        </w:rPr>
      </w:pPr>
      <w:bookmarkStart w:id="82" w:name="_Toc135999006"/>
      <w:bookmarkStart w:id="83" w:name="_Toc161767428"/>
      <w:bookmarkStart w:id="84" w:name="_Toc69378663"/>
      <w:bookmarkStart w:id="85" w:name="_Toc26260033"/>
      <w:bookmarkStart w:id="86" w:name="_Toc472689688"/>
      <w:bookmarkStart w:id="87" w:name="_Toc529538377"/>
      <w:bookmarkStart w:id="88" w:name="_Toc438052120"/>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82"/>
      <w:bookmarkEnd w:id="83"/>
      <w:r>
        <w:rPr>
          <w:rStyle w:val="106"/>
          <w:rFonts w:hint="eastAsia" w:hAnsi="宋体"/>
          <w:b w:val="0"/>
          <w:bCs w:val="0"/>
          <w:sz w:val="24"/>
          <w:szCs w:val="24"/>
        </w:rPr>
        <w:t>响应函</w:t>
      </w:r>
      <w:bookmarkEnd w:id="84"/>
      <w:bookmarkEnd w:id="85"/>
    </w:p>
    <w:p>
      <w:pPr>
        <w:snapToGrid w:val="0"/>
        <w:spacing w:before="312" w:beforeLines="100" w:after="312"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pPr>
        <w:snapToGrid w:val="0"/>
        <w:spacing w:before="312" w:beforeLines="100" w:after="312" w:afterLines="100"/>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份、电子版</w:t>
      </w:r>
      <w:r>
        <w:rPr>
          <w:rFonts w:ascii="宋体" w:hAnsi="宋体"/>
          <w:sz w:val="24"/>
        </w:rPr>
        <w:t>[1]</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）我方</w:t>
      </w:r>
      <w:r>
        <w:rPr>
          <w:rFonts w:hint="eastAsia" w:ascii="宋体" w:hAnsi="宋体" w:cs="宋体"/>
          <w:kern w:val="0"/>
          <w:sz w:val="24"/>
          <w:szCs w:val="22"/>
        </w:rPr>
        <w:t>具备完整的售后服务体系、具有快速响应维护能力，</w:t>
      </w:r>
      <w:r>
        <w:rPr>
          <w:rFonts w:hint="eastAsia" w:ascii="宋体" w:hAnsi="宋体"/>
          <w:sz w:val="24"/>
        </w:rPr>
        <w:t>具有较大规模的销售和售后服务的组织机构及完善快捷的技术支持能力，</w:t>
      </w:r>
      <w:r>
        <w:rPr>
          <w:rFonts w:hint="eastAsia" w:ascii="宋体" w:hAnsi="宋体" w:cs="宋体"/>
          <w:kern w:val="0"/>
          <w:sz w:val="24"/>
          <w:szCs w:val="22"/>
        </w:rPr>
        <w:t>拥有固定可靠的有效服务网点，</w:t>
      </w:r>
      <w:r>
        <w:rPr>
          <w:rFonts w:hint="eastAsia" w:ascii="宋体" w:hAnsi="宋体"/>
          <w:sz w:val="24"/>
        </w:rPr>
        <w:t>承诺中选后3</w:t>
      </w:r>
      <w:r>
        <w:rPr>
          <w:rFonts w:ascii="宋体" w:hAnsi="宋体"/>
          <w:sz w:val="24"/>
        </w:rPr>
        <w:t>0</w:t>
      </w:r>
      <w:r>
        <w:rPr>
          <w:rFonts w:hint="eastAsia" w:ascii="宋体" w:hAnsi="宋体"/>
          <w:sz w:val="24"/>
        </w:rPr>
        <w:t>天内在江苏</w:t>
      </w:r>
      <w:r>
        <w:rPr>
          <w:rFonts w:hint="eastAsia" w:ascii="宋体" w:hAnsi="宋体" w:cs="宋体"/>
          <w:kern w:val="0"/>
          <w:sz w:val="24"/>
          <w:szCs w:val="22"/>
        </w:rPr>
        <w:t>设立售后服务机构（根据实际情况）</w:t>
      </w:r>
      <w:r>
        <w:rPr>
          <w:rFonts w:hint="eastAsia" w:ascii="宋体" w:hAnsi="宋体"/>
          <w:sz w:val="24"/>
        </w:rPr>
        <w:t>。</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ind w:left="210" w:leftChars="100" w:right="210" w:rightChars="100" w:firstLine="420" w:firstLineChars="200"/>
        <w:rPr>
          <w:u w:val="single"/>
        </w:rPr>
      </w:pPr>
    </w:p>
    <w:p>
      <w:pPr>
        <w:snapToGrid w:val="0"/>
        <w:spacing w:before="312" w:beforeLines="100" w:after="312" w:afterLines="100"/>
        <w:ind w:left="210" w:leftChars="100" w:right="210" w:rightChars="100" w:firstLine="420" w:firstLineChars="200"/>
        <w:rPr>
          <w:u w:val="single"/>
        </w:rPr>
      </w:pPr>
    </w:p>
    <w:p>
      <w:pPr>
        <w:pStyle w:val="4"/>
        <w:numPr>
          <w:ilvl w:val="0"/>
          <w:numId w:val="0"/>
        </w:numPr>
        <w:snapToGrid w:val="0"/>
        <w:spacing w:before="312" w:beforeLines="100" w:after="312" w:afterLines="100"/>
        <w:ind w:right="210" w:rightChars="100"/>
        <w:rPr>
          <w:szCs w:val="24"/>
        </w:rPr>
      </w:pPr>
      <w:r>
        <w:rPr>
          <w:szCs w:val="24"/>
        </w:rPr>
        <w:br w:type="page"/>
      </w:r>
      <w:bookmarkStart w:id="89" w:name="_Toc69378664"/>
      <w:bookmarkStart w:id="90" w:name="_Toc26260034"/>
      <w:bookmarkStart w:id="91" w:name="_Toc26259740"/>
    </w:p>
    <w:p>
      <w:pPr>
        <w:pStyle w:val="4"/>
        <w:numPr>
          <w:ilvl w:val="0"/>
          <w:numId w:val="0"/>
        </w:numPr>
        <w:snapToGrid w:val="0"/>
        <w:spacing w:before="312" w:beforeLines="100" w:after="312" w:afterLines="100"/>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4"/>
        <w:numPr>
          <w:ilvl w:val="0"/>
          <w:numId w:val="0"/>
        </w:numPr>
        <w:snapToGrid w:val="0"/>
        <w:spacing w:before="312" w:beforeLines="100" w:after="312" w:afterLines="100"/>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89"/>
      <w:bookmarkEnd w:id="90"/>
      <w:bookmarkEnd w:id="91"/>
    </w:p>
    <w:p>
      <w:pPr>
        <w:spacing w:line="360" w:lineRule="auto"/>
        <w:rPr>
          <w:szCs w:val="21"/>
        </w:rPr>
      </w:pPr>
      <w:r>
        <w:rPr>
          <w:szCs w:val="21"/>
        </w:rPr>
        <w:t xml:space="preserve">项目名称： </w:t>
      </w:r>
      <w:r>
        <w:rPr>
          <w:rFonts w:hint="eastAsia"/>
          <w:szCs w:val="21"/>
        </w:rPr>
        <w:t>WEB应用防火墙设备采购</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1701"/>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jc w:val="center"/>
              <w:rPr>
                <w:rFonts w:ascii="宋体" w:hAnsi="宋体" w:cs="宋体"/>
                <w:b/>
                <w:szCs w:val="21"/>
              </w:rPr>
            </w:pPr>
            <w:r>
              <w:rPr>
                <w:rFonts w:hint="eastAsia" w:ascii="宋体" w:hAnsi="宋体" w:cs="宋体"/>
                <w:b/>
                <w:szCs w:val="21"/>
              </w:rPr>
              <w:t>产品名称</w:t>
            </w:r>
          </w:p>
        </w:tc>
        <w:tc>
          <w:tcPr>
            <w:tcW w:w="2410" w:type="dxa"/>
            <w:vAlign w:val="center"/>
          </w:tcPr>
          <w:p>
            <w:pPr>
              <w:jc w:val="center"/>
              <w:rPr>
                <w:rFonts w:ascii="宋体" w:hAnsi="宋体" w:cs="宋体"/>
                <w:b/>
                <w:szCs w:val="21"/>
              </w:rPr>
            </w:pPr>
            <w:r>
              <w:rPr>
                <w:rFonts w:hint="eastAsia" w:ascii="宋体" w:hAnsi="宋体" w:cs="宋体"/>
                <w:b/>
                <w:szCs w:val="21"/>
              </w:rPr>
              <w:t>型号/配置</w:t>
            </w:r>
          </w:p>
        </w:tc>
        <w:tc>
          <w:tcPr>
            <w:tcW w:w="850" w:type="dxa"/>
            <w:vAlign w:val="center"/>
          </w:tcPr>
          <w:p>
            <w:pPr>
              <w:jc w:val="center"/>
              <w:rPr>
                <w:rFonts w:ascii="宋体" w:hAnsi="宋体" w:cs="宋体"/>
                <w:b/>
                <w:szCs w:val="21"/>
              </w:rPr>
            </w:pPr>
            <w:r>
              <w:rPr>
                <w:rFonts w:hint="eastAsia" w:ascii="宋体" w:hAnsi="宋体" w:cs="宋体"/>
                <w:b/>
                <w:szCs w:val="21"/>
              </w:rPr>
              <w:t>数量</w:t>
            </w:r>
          </w:p>
        </w:tc>
        <w:tc>
          <w:tcPr>
            <w:tcW w:w="1701" w:type="dxa"/>
            <w:vAlign w:val="center"/>
          </w:tcPr>
          <w:p>
            <w:pPr>
              <w:jc w:val="center"/>
              <w:rPr>
                <w:rFonts w:ascii="宋体" w:hAnsi="宋体" w:cs="宋体"/>
                <w:b/>
                <w:szCs w:val="21"/>
              </w:rPr>
            </w:pPr>
            <w:r>
              <w:rPr>
                <w:rFonts w:hint="eastAsia" w:ascii="宋体" w:hAnsi="宋体" w:cs="宋体"/>
                <w:b/>
                <w:szCs w:val="21"/>
              </w:rPr>
              <w:t>税率（%）</w:t>
            </w:r>
          </w:p>
        </w:tc>
        <w:tc>
          <w:tcPr>
            <w:tcW w:w="1701" w:type="dxa"/>
            <w:vAlign w:val="center"/>
          </w:tcPr>
          <w:p>
            <w:pPr>
              <w:jc w:val="center"/>
              <w:rPr>
                <w:rFonts w:ascii="宋体" w:hAnsi="宋体" w:cs="宋体"/>
                <w:b/>
                <w:szCs w:val="21"/>
              </w:rPr>
            </w:pPr>
            <w:r>
              <w:rPr>
                <w:rFonts w:hint="eastAsia" w:ascii="宋体" w:hAnsi="宋体" w:cs="宋体"/>
                <w:b/>
                <w:szCs w:val="21"/>
              </w:rPr>
              <w:t>含税单价（元）</w:t>
            </w:r>
          </w:p>
        </w:tc>
        <w:tc>
          <w:tcPr>
            <w:tcW w:w="1843" w:type="dxa"/>
            <w:vAlign w:val="center"/>
          </w:tcPr>
          <w:p>
            <w:pPr>
              <w:jc w:val="center"/>
              <w:rPr>
                <w:rFonts w:ascii="宋体" w:hAnsi="宋体" w:cs="宋体"/>
                <w:b/>
                <w:szCs w:val="21"/>
              </w:rPr>
            </w:pPr>
            <w:r>
              <w:rPr>
                <w:rFonts w:hint="eastAsia" w:ascii="宋体" w:hAnsi="宋体" w:cs="宋体"/>
                <w:b/>
                <w:szCs w:val="21"/>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jc w:val="center"/>
              <w:rPr>
                <w:rFonts w:ascii="宋体" w:hAnsi="宋体" w:cs="宋体"/>
                <w:kern w:val="0"/>
                <w:szCs w:val="21"/>
              </w:rPr>
            </w:pPr>
            <w:r>
              <w:rPr>
                <w:rFonts w:hint="eastAsia" w:ascii="宋体" w:hAnsi="宋体" w:cs="宋体"/>
                <w:kern w:val="0"/>
                <w:szCs w:val="21"/>
              </w:rPr>
              <w:t>WEB应用防火墙设备</w:t>
            </w:r>
          </w:p>
        </w:tc>
        <w:tc>
          <w:tcPr>
            <w:tcW w:w="2410" w:type="dxa"/>
            <w:vAlign w:val="center"/>
          </w:tcPr>
          <w:p>
            <w:pPr>
              <w:jc w:val="center"/>
              <w:rPr>
                <w:sz w:val="18"/>
                <w:szCs w:val="18"/>
              </w:rPr>
            </w:pPr>
          </w:p>
        </w:tc>
        <w:tc>
          <w:tcPr>
            <w:tcW w:w="850" w:type="dxa"/>
            <w:vAlign w:val="center"/>
          </w:tcPr>
          <w:p>
            <w:pPr>
              <w:jc w:val="center"/>
              <w:rPr>
                <w:szCs w:val="21"/>
              </w:rPr>
            </w:pPr>
            <w:r>
              <w:rPr>
                <w:szCs w:val="21"/>
              </w:rPr>
              <w:t>2</w:t>
            </w:r>
            <w:r>
              <w:rPr>
                <w:rFonts w:hint="eastAsia"/>
                <w:szCs w:val="21"/>
              </w:rPr>
              <w:t>台</w:t>
            </w:r>
          </w:p>
        </w:tc>
        <w:tc>
          <w:tcPr>
            <w:tcW w:w="1701" w:type="dxa"/>
            <w:vAlign w:val="center"/>
          </w:tcPr>
          <w:p>
            <w:pPr>
              <w:jc w:val="center"/>
              <w:rPr>
                <w:rFonts w:ascii="宋体" w:hAnsi="宋体" w:cs="宋体"/>
                <w:szCs w:val="21"/>
              </w:rPr>
            </w:pPr>
          </w:p>
        </w:tc>
        <w:tc>
          <w:tcPr>
            <w:tcW w:w="1701" w:type="dxa"/>
            <w:vAlign w:val="center"/>
          </w:tcPr>
          <w:p>
            <w:pPr>
              <w:jc w:val="center"/>
              <w:rPr>
                <w:rFonts w:ascii="宋体" w:hAnsi="宋体" w:cs="宋体"/>
                <w:szCs w:val="21"/>
              </w:rPr>
            </w:pPr>
          </w:p>
        </w:tc>
        <w:tc>
          <w:tcPr>
            <w:tcW w:w="1843"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交货期</w:t>
            </w:r>
          </w:p>
        </w:tc>
        <w:tc>
          <w:tcPr>
            <w:tcW w:w="8505" w:type="dxa"/>
            <w:gridSpan w:val="5"/>
            <w:vAlign w:val="center"/>
          </w:tcPr>
          <w:p>
            <w:pPr>
              <w:spacing w:line="360" w:lineRule="auto"/>
              <w:rPr>
                <w:rFonts w:ascii="宋体" w:hAnsi="宋体"/>
                <w:szCs w:val="21"/>
              </w:rPr>
            </w:pPr>
            <w:bookmarkStart w:id="92" w:name="_Hlk102052744"/>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天</w:t>
            </w:r>
            <w:r>
              <w:rPr>
                <w:rFonts w:hint="eastAsia" w:ascii="宋体" w:hAnsi="宋体" w:cs="宋体"/>
                <w:color w:val="000000" w:themeColor="text1"/>
                <w14:textFill>
                  <w14:solidFill>
                    <w14:schemeClr w14:val="tx1"/>
                  </w14:solidFill>
                </w14:textFill>
              </w:rPr>
              <w:t>）</w:t>
            </w:r>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交货地点</w:t>
            </w:r>
          </w:p>
        </w:tc>
        <w:tc>
          <w:tcPr>
            <w:tcW w:w="8505" w:type="dxa"/>
            <w:gridSpan w:val="5"/>
            <w:vAlign w:val="center"/>
          </w:tcPr>
          <w:p>
            <w:pPr>
              <w:spacing w:line="360" w:lineRule="auto"/>
              <w:rPr>
                <w:rFonts w:ascii="宋体" w:hAnsi="宋体"/>
                <w:szCs w:val="21"/>
              </w:rPr>
            </w:pPr>
            <w:r>
              <w:rPr>
                <w:rFonts w:hint="eastAsia" w:ascii="宋体" w:hAnsi="宋体" w:cs="宋体"/>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8505" w:type="dxa"/>
            <w:gridSpan w:val="5"/>
            <w:vAlign w:val="center"/>
          </w:tcPr>
          <w:p>
            <w:pPr>
              <w:spacing w:line="360" w:lineRule="auto"/>
              <w:rPr>
                <w:rFonts w:ascii="宋体" w:hAnsi="宋体"/>
                <w:szCs w:val="21"/>
              </w:rPr>
            </w:pPr>
            <w:r>
              <w:rPr>
                <w:rFonts w:hint="eastAsia" w:ascii="宋体" w:hAnsi="宋体" w:cs="宋体"/>
              </w:rPr>
              <w:t>初验通过后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505" w:type="dxa"/>
            <w:gridSpan w:val="5"/>
            <w:vAlign w:val="center"/>
          </w:tcPr>
          <w:p>
            <w:pPr>
              <w:spacing w:line="360" w:lineRule="auto"/>
              <w:rPr>
                <w:rFonts w:ascii="宋体" w:hAnsi="宋体" w:cs="宋体"/>
              </w:rPr>
            </w:pPr>
            <w:r>
              <w:rPr>
                <w:rFonts w:hint="eastAsia"/>
                <w:color w:val="000000"/>
              </w:rPr>
              <w:t>竞争性磋商文件</w:t>
            </w:r>
            <w:r>
              <w:rPr>
                <w:color w:val="000000"/>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400" w:lineRule="exact"/>
              <w:jc w:val="center"/>
              <w:rPr>
                <w:rFonts w:ascii="宋体" w:hAnsi="宋体" w:cs="宋体"/>
              </w:rPr>
            </w:pPr>
            <w:r>
              <w:rPr>
                <w:color w:val="000000"/>
              </w:rPr>
              <w:t>包修期满后的服务价格</w:t>
            </w:r>
          </w:p>
        </w:tc>
        <w:tc>
          <w:tcPr>
            <w:tcW w:w="8505" w:type="dxa"/>
            <w:gridSpan w:val="5"/>
            <w:vAlign w:val="center"/>
          </w:tcPr>
          <w:p>
            <w:pPr>
              <w:spacing w:line="400" w:lineRule="exact"/>
              <w:rPr>
                <w:color w:val="000000"/>
              </w:rPr>
            </w:pPr>
            <w:r>
              <w:rPr>
                <w:color w:val="000000"/>
              </w:rPr>
              <w:t>维保价格：</w:t>
            </w:r>
            <w:r>
              <w:rPr>
                <w:color w:val="000000"/>
                <w:u w:val="single"/>
              </w:rPr>
              <w:t xml:space="preserve">    </w:t>
            </w:r>
            <w:r>
              <w:rPr>
                <w:color w:val="000000"/>
              </w:rPr>
              <w:t>元/年（</w:t>
            </w:r>
            <w:r>
              <w:rPr>
                <w:color w:val="000000"/>
                <w:szCs w:val="21"/>
              </w:rPr>
              <w:t>年维保费用不得高于合同价格的</w:t>
            </w:r>
            <w:r>
              <w:rPr>
                <w:rFonts w:hint="eastAsia"/>
                <w:color w:val="000000"/>
                <w:szCs w:val="21"/>
              </w:rPr>
              <w:t>5</w:t>
            </w:r>
            <w:r>
              <w:rPr>
                <w:color w:val="000000"/>
                <w:szCs w:val="21"/>
              </w:rPr>
              <w:t>%</w:t>
            </w:r>
            <w:r>
              <w:rPr>
                <w:color w:val="000000"/>
              </w:rPr>
              <w:t>）</w:t>
            </w:r>
          </w:p>
          <w:p>
            <w:pPr>
              <w:spacing w:line="400" w:lineRule="exact"/>
              <w:rPr>
                <w:rFonts w:ascii="宋体" w:hAnsi="宋体" w:cs="宋体"/>
              </w:rPr>
            </w:pPr>
            <w:r>
              <w:rPr>
                <w:color w:val="000000"/>
              </w:rPr>
              <w:t>包含内容：</w:t>
            </w:r>
            <w:r>
              <w:rPr>
                <w:color w:val="000000"/>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jc w:val="center"/>
              <w:rPr>
                <w:rFonts w:ascii="宋体" w:hAnsi="宋体" w:cs="宋体"/>
              </w:rPr>
            </w:pPr>
            <w:r>
              <w:rPr>
                <w:rFonts w:hint="eastAsia" w:ascii="宋体" w:hAnsi="宋体" w:cs="宋体"/>
              </w:rPr>
              <w:t>备注</w:t>
            </w:r>
          </w:p>
        </w:tc>
        <w:tc>
          <w:tcPr>
            <w:tcW w:w="8505" w:type="dxa"/>
            <w:gridSpan w:val="5"/>
          </w:tcPr>
          <w:p>
            <w:pPr>
              <w:rPr>
                <w:rFonts w:ascii="宋体" w:hAnsi="宋体" w:cs="宋体"/>
              </w:rPr>
            </w:pPr>
          </w:p>
        </w:tc>
      </w:tr>
    </w:tbl>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2.报价时请仔细阅读竞争性磋商文件《竞争性磋商须知》中关于报价的要求。</w:t>
      </w:r>
    </w:p>
    <w:p>
      <w:pPr>
        <w:snapToGrid w:val="0"/>
        <w:spacing w:line="360" w:lineRule="auto"/>
        <w:rPr>
          <w:color w:val="000000"/>
          <w:szCs w:val="21"/>
        </w:rPr>
      </w:pPr>
      <w:r>
        <w:rPr>
          <w:rFonts w:hint="eastAsia"/>
          <w:color w:val="000000"/>
          <w:szCs w:val="21"/>
        </w:rPr>
        <w:t>3.供应商应按照竞争性磋商文件中要求提供的服务内容报价。未在表中明确列出的服务项，采购人将视作供应商免费提供。</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ind w:firstLine="630" w:firstLineChars="300"/>
      </w:pPr>
      <w:r>
        <w:rPr>
          <w:rFonts w:hint="eastAsia"/>
        </w:rPr>
        <w:t>日期：</w:t>
      </w:r>
    </w:p>
    <w:p>
      <w:pPr>
        <w:pStyle w:val="4"/>
        <w:numPr>
          <w:ilvl w:val="0"/>
          <w:numId w:val="0"/>
        </w:numPr>
        <w:snapToGrid w:val="0"/>
        <w:spacing w:before="312" w:beforeLines="100" w:after="312" w:afterLines="100"/>
        <w:ind w:right="210" w:rightChars="100"/>
      </w:pPr>
      <w:r>
        <w:rPr>
          <w:rFonts w:hint="eastAsia"/>
        </w:rPr>
        <w:br w:type="page"/>
      </w:r>
      <w:bookmarkStart w:id="93" w:name="_Toc135999010"/>
      <w:bookmarkStart w:id="94" w:name="_Toc161767431"/>
      <w:bookmarkStart w:id="95" w:name="_Toc26259742"/>
      <w:bookmarkStart w:id="96" w:name="_Toc26260036"/>
      <w:bookmarkStart w:id="97" w:name="_Toc69378666"/>
      <w:bookmarkStart w:id="98" w:name="_Toc69378665"/>
      <w:bookmarkStart w:id="99" w:name="_Toc26260035"/>
      <w:bookmarkStart w:id="100" w:name="_Toc26259741"/>
    </w:p>
    <w:p>
      <w:pPr>
        <w:pStyle w:val="4"/>
        <w:numPr>
          <w:ilvl w:val="0"/>
          <w:numId w:val="0"/>
        </w:numPr>
        <w:snapToGrid w:val="0"/>
        <w:spacing w:before="312" w:beforeLines="100" w:after="312" w:afterLines="100"/>
        <w:ind w:right="210" w:rightChars="100"/>
        <w:rPr>
          <w:szCs w:val="24"/>
          <w:u w:val="single"/>
        </w:rPr>
      </w:pPr>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93"/>
      <w:bookmarkEnd w:id="94"/>
      <w:bookmarkEnd w:id="95"/>
      <w:bookmarkEnd w:id="96"/>
      <w:bookmarkEnd w:id="97"/>
    </w:p>
    <w:p>
      <w:pPr>
        <w:spacing w:line="360" w:lineRule="auto"/>
        <w:rPr>
          <w:szCs w:val="21"/>
        </w:rPr>
      </w:pPr>
      <w:r>
        <w:rPr>
          <w:szCs w:val="21"/>
        </w:rPr>
        <w:t>项目名称：</w:t>
      </w:r>
      <w:r>
        <w:rPr>
          <w:rFonts w:hint="eastAsia" w:ascii="宋体" w:hAnsi="宋体"/>
          <w:szCs w:val="21"/>
        </w:rPr>
        <w:t xml:space="preserve"> </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041"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pPr>
              <w:snapToGrid w:val="0"/>
              <w:spacing w:before="312" w:beforeLines="100" w:after="312" w:afterLines="100"/>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98"/>
      <w:bookmarkEnd w:id="99"/>
      <w:bookmarkEnd w:id="100"/>
    </w:p>
    <w:p>
      <w:pPr>
        <w:topLinePunct/>
        <w:snapToGrid w:val="0"/>
        <w:spacing w:before="312" w:beforeLines="100" w:after="312" w:afterLines="100"/>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ind w:left="210" w:leftChars="100" w:right="210" w:rightChars="100" w:firstLine="420" w:firstLineChars="200"/>
        <w:rPr>
          <w:bCs/>
          <w:szCs w:val="21"/>
        </w:rPr>
      </w:pPr>
      <w:r>
        <w:rPr>
          <w:bCs/>
          <w:szCs w:val="21"/>
        </w:rPr>
        <w:t>单位性质：</w:t>
      </w:r>
    </w:p>
    <w:p>
      <w:pPr>
        <w:topLinePunct/>
        <w:snapToGrid w:val="0"/>
        <w:spacing w:before="312" w:beforeLines="100" w:after="312" w:afterLines="100"/>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ind w:left="210" w:leftChars="100" w:right="210" w:rightChars="100" w:firstLine="420" w:firstLineChars="200"/>
        <w:rPr>
          <w:bCs/>
          <w:szCs w:val="21"/>
        </w:rPr>
      </w:pPr>
      <w:r>
        <w:rPr>
          <w:bCs/>
          <w:szCs w:val="21"/>
        </w:rPr>
        <w:t>经营期限：</w:t>
      </w:r>
    </w:p>
    <w:p>
      <w:pPr>
        <w:topLinePunct/>
        <w:snapToGrid w:val="0"/>
        <w:spacing w:before="312" w:beforeLines="100" w:after="312" w:afterLines="100"/>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ind w:left="210" w:leftChars="100" w:right="210" w:rightChars="100" w:firstLine="420" w:firstLineChars="200"/>
        <w:rPr>
          <w:bCs/>
          <w:szCs w:val="21"/>
        </w:rPr>
      </w:pPr>
      <w:r>
        <w:rPr>
          <w:bCs/>
          <w:szCs w:val="21"/>
        </w:rPr>
        <w:t>特此证明。</w:t>
      </w:r>
    </w:p>
    <w:p>
      <w:pPr>
        <w:topLinePunct/>
        <w:snapToGrid w:val="0"/>
        <w:spacing w:before="312" w:beforeLines="100" w:after="312" w:afterLines="100"/>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0" t="0" r="17145" b="19685"/>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0" t="0" r="17145" b="19685"/>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right="210" w:rightChars="100"/>
        <w:rPr>
          <w:szCs w:val="21"/>
        </w:rPr>
      </w:pPr>
    </w:p>
    <w:p>
      <w:pPr>
        <w:snapToGrid w:val="0"/>
        <w:spacing w:before="312" w:beforeLines="100" w:after="312" w:afterLines="100"/>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ind w:left="210" w:leftChars="100" w:right="210" w:rightChars="100" w:firstLine="840" w:firstLineChars="400"/>
        <w:rPr>
          <w:szCs w:val="21"/>
        </w:rPr>
      </w:pPr>
      <w:r>
        <w:rPr>
          <w:szCs w:val="21"/>
        </w:rPr>
        <w:t>年月日</w:t>
      </w:r>
    </w:p>
    <w:p>
      <w:pPr>
        <w:snapToGrid w:val="0"/>
        <w:spacing w:before="312" w:beforeLines="100" w:after="312" w:afterLines="100"/>
        <w:ind w:left="210" w:leftChars="100" w:right="210" w:rightChars="100" w:firstLine="420" w:firstLineChars="200"/>
        <w:rPr>
          <w:rFonts w:eastAsia="黑体"/>
          <w:szCs w:val="21"/>
        </w:rPr>
      </w:pPr>
    </w:p>
    <w:p>
      <w:pPr>
        <w:snapToGrid w:val="0"/>
        <w:spacing w:before="312" w:beforeLines="100" w:after="312" w:afterLines="100"/>
        <w:ind w:left="210" w:leftChars="100" w:right="210" w:rightChars="100" w:firstLine="420" w:firstLineChars="200"/>
        <w:rPr>
          <w:rFonts w:eastAsia="黑体"/>
          <w:szCs w:val="21"/>
        </w:rPr>
      </w:pPr>
    </w:p>
    <w:p>
      <w:pPr>
        <w:widowControl/>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0" t="0" r="17145" b="19685"/>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0" t="0" r="17145" b="19685"/>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napToGrid w:val="0"/>
        <w:spacing w:before="312" w:beforeLines="100" w:after="312" w:afterLines="100"/>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ind w:right="210" w:rightChars="100"/>
        <w:rPr>
          <w:szCs w:val="21"/>
        </w:rPr>
      </w:pPr>
      <w:r>
        <w:rPr>
          <w:rFonts w:hint="eastAsia" w:ascii="宋体" w:hAnsi="宋体"/>
          <w:szCs w:val="21"/>
        </w:rPr>
        <w:t>被授权人签字：</w:t>
      </w:r>
    </w:p>
    <w:p>
      <w:pPr>
        <w:snapToGrid w:val="0"/>
        <w:spacing w:before="312" w:beforeLines="100" w:after="312" w:afterLines="100"/>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101" w:name="_Toc69378667"/>
      <w:bookmarkStart w:id="102" w:name="_Toc26259743"/>
      <w:bookmarkStart w:id="103" w:name="_Toc26260037"/>
    </w:p>
    <w:p>
      <w:pPr>
        <w:pStyle w:val="4"/>
        <w:numPr>
          <w:ilvl w:val="0"/>
          <w:numId w:val="0"/>
        </w:numPr>
        <w:snapToGrid w:val="0"/>
        <w:spacing w:before="312" w:beforeLines="100" w:after="312" w:afterLines="100"/>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101"/>
      <w:bookmarkEnd w:id="102"/>
      <w:bookmarkEnd w:id="103"/>
    </w:p>
    <w:p>
      <w:pPr>
        <w:spacing w:line="360" w:lineRule="auto"/>
        <w:rPr>
          <w:szCs w:val="21"/>
        </w:rPr>
      </w:pPr>
      <w:r>
        <w:rPr>
          <w:szCs w:val="21"/>
        </w:rPr>
        <w:t>项目名称：</w:t>
      </w:r>
      <w:r>
        <w:rPr>
          <w:rFonts w:hint="eastAsia" w:ascii="宋体" w:hAnsi="宋体"/>
          <w:szCs w:val="21"/>
        </w:rPr>
        <w:t xml:space="preserve"> </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序号</w:t>
            </w:r>
          </w:p>
        </w:tc>
        <w:tc>
          <w:tcPr>
            <w:tcW w:w="167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3"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67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553"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ind w:left="210" w:leftChars="100" w:right="210" w:rightChars="100" w:firstLine="420" w:firstLineChars="200"/>
        <w:rPr>
          <w:rFonts w:ascii="宋体" w:hAnsi="宋体"/>
          <w:i/>
          <w:szCs w:val="21"/>
        </w:rPr>
      </w:pPr>
      <w:r>
        <w:rPr>
          <w:rFonts w:hint="eastAsia" w:ascii="宋体" w:hAnsi="宋体"/>
          <w:szCs w:val="21"/>
        </w:rPr>
        <w:t>供应商代表签字：</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ind w:right="210" w:rightChars="100"/>
        <w:rPr>
          <w:rStyle w:val="106"/>
          <w:b w:val="0"/>
          <w:bCs w:val="0"/>
          <w:sz w:val="24"/>
          <w:szCs w:val="24"/>
        </w:rPr>
      </w:pPr>
      <w:r>
        <w:rPr>
          <w:szCs w:val="24"/>
        </w:rPr>
        <w:br w:type="page"/>
      </w:r>
      <w:bookmarkStart w:id="104" w:name="_Toc26259744"/>
      <w:bookmarkStart w:id="105" w:name="_Toc26260038"/>
      <w:bookmarkStart w:id="106" w:name="_Toc161767433"/>
      <w:bookmarkStart w:id="107" w:name="_Toc135999012"/>
      <w:bookmarkStart w:id="108" w:name="_Toc69378668"/>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104"/>
      <w:bookmarkEnd w:id="105"/>
      <w:bookmarkEnd w:id="106"/>
      <w:bookmarkEnd w:id="107"/>
      <w:bookmarkEnd w:id="108"/>
    </w:p>
    <w:p>
      <w:pPr>
        <w:snapToGrid w:val="0"/>
        <w:spacing w:before="312" w:beforeLines="100" w:after="312" w:afterLines="100"/>
        <w:ind w:left="210" w:leftChars="100" w:right="210" w:rightChars="100" w:firstLine="420" w:firstLineChars="200"/>
        <w:rPr>
          <w:rFonts w:ascii="宋体"/>
        </w:rPr>
      </w:pPr>
    </w:p>
    <w:p>
      <w:r>
        <w:rPr>
          <w:rFonts w:hint="eastAsia"/>
        </w:rPr>
        <w:t>填写须知</w:t>
      </w:r>
    </w:p>
    <w:p>
      <w:pPr>
        <w:numPr>
          <w:ilvl w:val="0"/>
          <w:numId w:val="22"/>
        </w:numPr>
        <w:spacing w:line="360" w:lineRule="auto"/>
        <w:rPr>
          <w:rFonts w:ascii="宋体"/>
          <w:szCs w:val="21"/>
        </w:rPr>
      </w:pPr>
      <w:r>
        <w:rPr>
          <w:rFonts w:hint="eastAsia" w:ascii="宋体"/>
          <w:szCs w:val="21"/>
        </w:rPr>
        <w:t>供应商应填写和提交下述规定的全部格式以及其它有关资料。</w:t>
      </w:r>
    </w:p>
    <w:p>
      <w:pPr>
        <w:numPr>
          <w:ilvl w:val="0"/>
          <w:numId w:val="22"/>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2"/>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2"/>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2"/>
        </w:numPr>
        <w:spacing w:line="360" w:lineRule="auto"/>
        <w:rPr>
          <w:rFonts w:ascii="宋体"/>
          <w:szCs w:val="21"/>
        </w:rPr>
      </w:pPr>
      <w:r>
        <w:rPr>
          <w:rFonts w:hint="eastAsia" w:ascii="宋体"/>
          <w:szCs w:val="21"/>
        </w:rPr>
        <w:t>供应商提交的材料将被保密，但不退还。</w:t>
      </w:r>
    </w:p>
    <w:p>
      <w:pPr>
        <w:numPr>
          <w:ilvl w:val="0"/>
          <w:numId w:val="22"/>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ind w:left="210" w:leftChars="100" w:right="210" w:rightChars="100" w:firstLine="420" w:firstLineChars="200"/>
        <w:rPr>
          <w:rFonts w:ascii="宋体"/>
        </w:rPr>
      </w:pPr>
    </w:p>
    <w:p>
      <w:pPr>
        <w:snapToGrid w:val="0"/>
        <w:spacing w:before="312" w:beforeLines="100" w:after="312" w:afterLines="100"/>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3"/>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3"/>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3"/>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ind w:left="210" w:leftChars="100" w:right="210" w:rightChars="100" w:firstLine="420" w:firstLineChars="200"/>
        <w:rPr>
          <w:rFonts w:ascii="宋体"/>
          <w:u w:val="single"/>
        </w:rPr>
      </w:pPr>
    </w:p>
    <w:p>
      <w:pPr>
        <w:snapToGrid w:val="0"/>
        <w:spacing w:before="312" w:beforeLines="100" w:after="312" w:afterLines="100"/>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24"/>
        </w:numPr>
        <w:spacing w:line="360" w:lineRule="auto"/>
        <w:rPr>
          <w:rFonts w:ascii="宋体" w:hAnsi="宋体"/>
          <w:szCs w:val="21"/>
          <w:u w:val="single"/>
        </w:rPr>
      </w:pPr>
      <w:r>
        <w:rPr>
          <w:rFonts w:hint="eastAsia" w:ascii="宋体" w:hAnsi="宋体"/>
          <w:szCs w:val="21"/>
        </w:rPr>
        <w:t>供应商名称：</w:t>
      </w:r>
    </w:p>
    <w:p>
      <w:pPr>
        <w:numPr>
          <w:ilvl w:val="0"/>
          <w:numId w:val="24"/>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24"/>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24"/>
        </w:numPr>
        <w:spacing w:line="360" w:lineRule="auto"/>
        <w:rPr>
          <w:rFonts w:ascii="宋体" w:hAnsi="宋体"/>
          <w:szCs w:val="21"/>
        </w:rPr>
      </w:pPr>
      <w:r>
        <w:rPr>
          <w:rFonts w:hint="eastAsia" w:ascii="宋体" w:hAnsi="宋体"/>
          <w:szCs w:val="21"/>
        </w:rPr>
        <w:t>实收资本：</w:t>
      </w:r>
    </w:p>
    <w:p>
      <w:pPr>
        <w:numPr>
          <w:ilvl w:val="0"/>
          <w:numId w:val="24"/>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24"/>
        </w:numPr>
        <w:spacing w:line="360" w:lineRule="auto"/>
        <w:rPr>
          <w:rFonts w:ascii="宋体" w:hAnsi="宋体"/>
          <w:szCs w:val="21"/>
          <w:u w:val="single"/>
        </w:rPr>
      </w:pPr>
      <w:r>
        <w:rPr>
          <w:rFonts w:hint="eastAsia" w:ascii="宋体" w:hAnsi="宋体"/>
          <w:szCs w:val="21"/>
        </w:rPr>
        <w:t>主要负责人名称：（可选填）</w:t>
      </w:r>
    </w:p>
    <w:p>
      <w:pPr>
        <w:numPr>
          <w:ilvl w:val="0"/>
          <w:numId w:val="24"/>
        </w:numPr>
        <w:spacing w:line="360" w:lineRule="auto"/>
        <w:rPr>
          <w:rFonts w:ascii="宋体" w:hAnsi="宋体"/>
          <w:szCs w:val="21"/>
        </w:rPr>
      </w:pPr>
      <w:r>
        <w:rPr>
          <w:rFonts w:hint="eastAsia" w:ascii="宋体" w:hAnsi="宋体"/>
          <w:szCs w:val="21"/>
        </w:rPr>
        <w:t>供应商在中国的代表的姓名和地址：（可选填）</w:t>
      </w:r>
    </w:p>
    <w:p>
      <w:pPr>
        <w:numPr>
          <w:ilvl w:val="0"/>
          <w:numId w:val="24"/>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24"/>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ind w:right="-58"/>
              <w:jc w:val="center"/>
              <w:rPr>
                <w:rFonts w:ascii="宋体" w:hAnsi="宋体"/>
                <w:spacing w:val="20"/>
                <w:szCs w:val="21"/>
              </w:rPr>
            </w:pPr>
          </w:p>
        </w:tc>
        <w:tc>
          <w:tcPr>
            <w:tcW w:w="1088" w:type="dxa"/>
          </w:tcPr>
          <w:p>
            <w:pPr>
              <w:tabs>
                <w:tab w:val="left" w:pos="930"/>
                <w:tab w:val="left" w:pos="8364"/>
              </w:tabs>
              <w:ind w:right="-58"/>
              <w:rPr>
                <w:rFonts w:ascii="宋体" w:hAnsi="宋体"/>
                <w:spacing w:val="20"/>
                <w:szCs w:val="21"/>
              </w:rPr>
            </w:pPr>
          </w:p>
        </w:tc>
        <w:tc>
          <w:tcPr>
            <w:tcW w:w="3978" w:type="dxa"/>
          </w:tcPr>
          <w:p>
            <w:pPr>
              <w:tabs>
                <w:tab w:val="left" w:pos="930"/>
                <w:tab w:val="left" w:pos="8364"/>
              </w:tabs>
              <w:ind w:right="-58"/>
              <w:rPr>
                <w:rFonts w:ascii="宋体" w:hAnsi="宋体"/>
                <w:spacing w:val="20"/>
                <w:szCs w:val="21"/>
              </w:rPr>
            </w:pPr>
          </w:p>
        </w:tc>
        <w:tc>
          <w:tcPr>
            <w:tcW w:w="1155" w:type="dxa"/>
          </w:tcPr>
          <w:p>
            <w:pPr>
              <w:tabs>
                <w:tab w:val="left" w:pos="930"/>
                <w:tab w:val="left" w:pos="8364"/>
              </w:tabs>
              <w:ind w:right="-58"/>
              <w:rPr>
                <w:rFonts w:ascii="宋体" w:hAnsi="宋体"/>
                <w:spacing w:val="20"/>
                <w:szCs w:val="21"/>
              </w:rPr>
            </w:pPr>
          </w:p>
        </w:tc>
        <w:tc>
          <w:tcPr>
            <w:tcW w:w="1072" w:type="dxa"/>
          </w:tcPr>
          <w:p>
            <w:pPr>
              <w:tabs>
                <w:tab w:val="left" w:pos="930"/>
                <w:tab w:val="left" w:pos="8364"/>
              </w:tabs>
              <w:ind w:right="-58"/>
              <w:rPr>
                <w:rFonts w:ascii="宋体" w:hAnsi="宋体"/>
                <w:spacing w:val="20"/>
                <w:szCs w:val="21"/>
              </w:rPr>
            </w:pPr>
          </w:p>
        </w:tc>
        <w:tc>
          <w:tcPr>
            <w:tcW w:w="1066" w:type="dxa"/>
          </w:tcPr>
          <w:p>
            <w:pPr>
              <w:tabs>
                <w:tab w:val="left" w:pos="930"/>
                <w:tab w:val="left" w:pos="8364"/>
              </w:tabs>
              <w:ind w:right="-58"/>
              <w:rPr>
                <w:rFonts w:ascii="宋体" w:hAnsi="宋体"/>
                <w:spacing w:val="20"/>
                <w:szCs w:val="21"/>
              </w:rPr>
            </w:pPr>
          </w:p>
        </w:tc>
      </w:tr>
    </w:tbl>
    <w:p>
      <w:pPr>
        <w:numPr>
          <w:ilvl w:val="0"/>
          <w:numId w:val="24"/>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ind w:right="210" w:rightChars="100"/>
        <w:rPr>
          <w:rStyle w:val="106"/>
          <w:rFonts w:hAnsi="宋体"/>
          <w:b w:val="0"/>
          <w:bCs/>
          <w:sz w:val="24"/>
          <w:szCs w:val="24"/>
        </w:rPr>
      </w:pPr>
      <w:r>
        <w:rPr>
          <w:szCs w:val="24"/>
          <w:u w:val="single"/>
        </w:rPr>
        <w:br w:type="page"/>
      </w:r>
      <w:bookmarkStart w:id="109" w:name="_Toc69378669"/>
      <w:bookmarkStart w:id="110" w:name="_Toc26260039"/>
      <w:bookmarkStart w:id="111" w:name="_Toc26259745"/>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109"/>
      <w:bookmarkEnd w:id="110"/>
      <w:bookmarkEnd w:id="111"/>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w:t>
            </w:r>
          </w:p>
          <w:p>
            <w:pPr>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项目规模</w:t>
            </w:r>
          </w:p>
          <w:p>
            <w:pPr>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c>
          <w:tcPr>
            <w:tcW w:w="1075" w:type="dxa"/>
            <w:tcBorders>
              <w:top w:val="nil"/>
              <w:left w:val="nil"/>
              <w:bottom w:val="single" w:color="auto" w:sz="4" w:space="0"/>
              <w:right w:val="single" w:color="auto" w:sz="4" w:space="0"/>
            </w:tcBorders>
            <w:shd w:val="clear" w:color="auto" w:fill="FFFFFF"/>
            <w:vAlign w:val="center"/>
          </w:tcPr>
          <w:p>
            <w:pPr>
              <w:jc w:val="center"/>
              <w:rPr>
                <w:rFonts w:ascii="宋体" w:hAnsi="宋体" w:cs="宋体"/>
                <w:b/>
                <w:bCs/>
                <w:color w:val="000000"/>
                <w:szCs w:val="21"/>
              </w:rPr>
            </w:pPr>
          </w:p>
        </w:tc>
      </w:tr>
    </w:tbl>
    <w:p>
      <w:pPr>
        <w:spacing w:line="480" w:lineRule="auto"/>
      </w:pPr>
    </w:p>
    <w:p>
      <w:pPr>
        <w:spacing w:line="480" w:lineRule="auto"/>
      </w:pPr>
      <w:r>
        <w:rPr>
          <w:rFonts w:hint="eastAsia"/>
        </w:rPr>
        <w:t>供应商</w:t>
      </w:r>
      <w:r>
        <w:t>名称（公章）：</w:t>
      </w:r>
    </w:p>
    <w:p>
      <w:pPr>
        <w:spacing w:line="480" w:lineRule="auto"/>
        <w:rPr>
          <w:i/>
        </w:rPr>
      </w:pPr>
      <w:r>
        <w:rPr>
          <w:rFonts w:hint="eastAsia"/>
        </w:rPr>
        <w:t>供应商</w:t>
      </w:r>
      <w:r>
        <w:t>代表签字</w:t>
      </w:r>
      <w:r>
        <w:rPr>
          <w:u w:val="single"/>
        </w:rPr>
        <w:t>：</w:t>
      </w:r>
      <w:r>
        <w:rPr>
          <w:rFonts w:hint="eastAsia"/>
          <w:u w:val="single"/>
        </w:rPr>
        <w:t xml:space="preserve"> </w:t>
      </w:r>
      <w:r>
        <w:rPr>
          <w:u w:val="single"/>
        </w:rPr>
        <w:t xml:space="preserve">       </w:t>
      </w:r>
    </w:p>
    <w:p>
      <w:pPr>
        <w:spacing w:line="360" w:lineRule="auto"/>
      </w:pPr>
      <w:r>
        <w:t>填表说明：1</w:t>
      </w:r>
      <w:r>
        <w:rPr>
          <w:rFonts w:hint="eastAsia"/>
        </w:rPr>
        <w:t>.供应商须根据合格供应商和评审办法关于业绩的要求，在响应文件中如实提供相应数量的合同复印件或其它证明文件。</w:t>
      </w:r>
    </w:p>
    <w:p>
      <w:pPr>
        <w:spacing w:line="360" w:lineRule="auto"/>
      </w:pPr>
      <w:r>
        <w:t>2</w:t>
      </w:r>
      <w:r>
        <w:rPr>
          <w:rFonts w:hint="eastAsia"/>
        </w:rPr>
        <w:t>．供应商需按照合同金额从大到小的顺序装订合同复印件，合同装订顺序须与表中所列项目顺序一致。</w:t>
      </w:r>
      <w:bookmarkEnd w:id="58"/>
      <w:bookmarkEnd w:id="86"/>
      <w:bookmarkEnd w:id="87"/>
      <w:bookmarkEnd w:id="88"/>
    </w:p>
    <w:p>
      <w:pPr>
        <w:spacing w:line="360" w:lineRule="auto"/>
      </w:pPr>
      <w:r>
        <w:rPr>
          <w:rFonts w:hint="eastAsia"/>
        </w:rPr>
        <w:t>3</w:t>
      </w:r>
      <w:r>
        <w:t xml:space="preserve">. </w:t>
      </w:r>
      <w:r>
        <w:rPr>
          <w:rFonts w:hint="eastAsia"/>
        </w:rPr>
        <w:t>响应文件中最多提供</w:t>
      </w:r>
      <w:r>
        <w:t>5</w:t>
      </w:r>
      <w:r>
        <w:rPr>
          <w:rFonts w:hint="eastAsia"/>
        </w:rPr>
        <w:t>份合同，响应文件中如提供超过</w:t>
      </w:r>
      <w:r>
        <w:t>5</w:t>
      </w:r>
      <w:r>
        <w:rPr>
          <w:rFonts w:hint="eastAsia"/>
        </w:rPr>
        <w:t>份合同，则按照合同金额从大到小统计前5份合同计算累计合同金额。</w:t>
      </w:r>
    </w:p>
    <w:sectPr>
      <w:headerReference r:id="rId9" w:type="default"/>
      <w:footerReference r:id="rId10" w:type="default"/>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王真" w:date="2022-12-12T15:15:00Z" w:initials="王真">
    <w:p w14:paraId="62A20B2C">
      <w:pPr>
        <w:pStyle w:val="19"/>
      </w:pPr>
      <w:r>
        <w:rPr>
          <w:rFonts w:hint="eastAsia"/>
        </w:rPr>
        <w:t>是否明确数量？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A20B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auto"/>
    <w:pitch w:val="default"/>
    <w:sig w:usb0="00000000" w:usb1="00000000" w:usb2="00000012"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
    <w:panose1 w:val="00000000000000000000"/>
    <w:charset w:val="88"/>
    <w:family w:val="auto"/>
    <w:pitch w:val="default"/>
    <w:sig w:usb0="00000000" w:usb1="00000000" w:usb2="00000010" w:usb3="00000000" w:csb0="00100000"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panose1 w:val="020206090402050803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instrText xml:space="preserve">PAGE   \* MERGEFORMAT</w:instrText>
    </w:r>
    <w:r>
      <w:fldChar w:fldCharType="separate"/>
    </w:r>
    <w:r>
      <w:rPr>
        <w:lang w:val="zh-CN"/>
      </w:rPr>
      <w:t>47</w:t>
    </w:r>
    <w:r>
      <w:rPr>
        <w:lang w:val="zh-CN"/>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rPr>
        <w:rStyle w:val="57"/>
      </w:rPr>
      <w:instrText xml:space="preserve"> PAGE </w:instrText>
    </w:r>
    <w:r>
      <w:fldChar w:fldCharType="separate"/>
    </w:r>
    <w:r>
      <w:rPr>
        <w:rStyle w:val="57"/>
      </w:rPr>
      <w:t>36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fldChar w:fldCharType="begin"/>
    </w:r>
    <w:r>
      <w:rPr>
        <w:rStyle w:val="57"/>
      </w:rPr>
      <w:instrText xml:space="preserve"> PAGE </w:instrText>
    </w:r>
    <w:r>
      <w:fldChar w:fldCharType="separate"/>
    </w:r>
    <w:r>
      <w:rPr>
        <w:rStyle w:val="57"/>
      </w:rPr>
      <w:t>44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91A59FC"/>
    <w:multiLevelType w:val="singleLevel"/>
    <w:tmpl w:val="F91A59FC"/>
    <w:lvl w:ilvl="0" w:tentative="0">
      <w:start w:val="1"/>
      <w:numFmt w:val="decimal"/>
      <w:lvlText w:val="%1."/>
      <w:lvlJc w:val="left"/>
      <w:pPr>
        <w:ind w:left="425" w:hanging="425"/>
      </w:pPr>
      <w:rPr>
        <w:rFonts w:hint="default"/>
      </w:r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9">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0">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1">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2">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6">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7">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9">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0">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1">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A866325"/>
    <w:multiLevelType w:val="multilevel"/>
    <w:tmpl w:val="6A8663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DC56E31"/>
    <w:multiLevelType w:val="multilevel"/>
    <w:tmpl w:val="6DC56E31"/>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20"/>
  </w:num>
  <w:num w:numId="2">
    <w:abstractNumId w:val="18"/>
  </w:num>
  <w:num w:numId="3">
    <w:abstractNumId w:val="8"/>
  </w:num>
  <w:num w:numId="4">
    <w:abstractNumId w:val="4"/>
  </w:num>
  <w:num w:numId="5">
    <w:abstractNumId w:val="17"/>
  </w:num>
  <w:num w:numId="6">
    <w:abstractNumId w:val="3"/>
  </w:num>
  <w:num w:numId="7">
    <w:abstractNumId w:val="1"/>
  </w:num>
  <w:num w:numId="8">
    <w:abstractNumId w:val="0"/>
  </w:num>
  <w:num w:numId="9">
    <w:abstractNumId w:val="6"/>
  </w:num>
  <w:num w:numId="10">
    <w:abstractNumId w:val="2"/>
  </w:num>
  <w:num w:numId="11">
    <w:abstractNumId w:val="5"/>
  </w:num>
  <w:num w:numId="12">
    <w:abstractNumId w:val="7"/>
  </w:num>
  <w:num w:numId="13">
    <w:abstractNumId w:val="19"/>
  </w:num>
  <w:num w:numId="14">
    <w:abstractNumId w:val="23"/>
  </w:num>
  <w:num w:numId="15">
    <w:abstractNumId w:val="12"/>
  </w:num>
  <w:num w:numId="16">
    <w:abstractNumId w:val="10"/>
  </w:num>
  <w:num w:numId="17">
    <w:abstractNumId w:val="11"/>
  </w:num>
  <w:num w:numId="18">
    <w:abstractNumId w:val="9"/>
  </w:num>
  <w:num w:numId="19">
    <w:abstractNumId w:val="13"/>
  </w:num>
  <w:num w:numId="20">
    <w:abstractNumId w:val="14"/>
  </w:num>
  <w:num w:numId="21">
    <w:abstractNumId w:val="22"/>
  </w:num>
  <w:num w:numId="22">
    <w:abstractNumId w:val="15"/>
  </w:num>
  <w:num w:numId="23">
    <w:abstractNumId w:val="16"/>
  </w:num>
  <w:num w:numId="24">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真">
    <w15:presenceInfo w15:providerId="None" w15:userId="王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ZjZhOTJiZTQ5ZGRiM2Y5NjdkNjlkOGIxMDUyYWUifQ=="/>
  </w:docVars>
  <w:rsids>
    <w:rsidRoot w:val="00C31D55"/>
    <w:rsid w:val="0000165B"/>
    <w:rsid w:val="00001D1B"/>
    <w:rsid w:val="00002668"/>
    <w:rsid w:val="00002D14"/>
    <w:rsid w:val="00003F25"/>
    <w:rsid w:val="000047B6"/>
    <w:rsid w:val="000055AC"/>
    <w:rsid w:val="00006DBC"/>
    <w:rsid w:val="00011064"/>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25EFB"/>
    <w:rsid w:val="00030A9D"/>
    <w:rsid w:val="00031B2F"/>
    <w:rsid w:val="00031DEF"/>
    <w:rsid w:val="00031E87"/>
    <w:rsid w:val="00033EFE"/>
    <w:rsid w:val="00034705"/>
    <w:rsid w:val="0003496A"/>
    <w:rsid w:val="00035296"/>
    <w:rsid w:val="000352DD"/>
    <w:rsid w:val="000365EA"/>
    <w:rsid w:val="00037097"/>
    <w:rsid w:val="00037954"/>
    <w:rsid w:val="00040F17"/>
    <w:rsid w:val="00041779"/>
    <w:rsid w:val="00042584"/>
    <w:rsid w:val="000438A5"/>
    <w:rsid w:val="00045744"/>
    <w:rsid w:val="00045A14"/>
    <w:rsid w:val="00050BFA"/>
    <w:rsid w:val="00051071"/>
    <w:rsid w:val="0005189A"/>
    <w:rsid w:val="00053058"/>
    <w:rsid w:val="00053A52"/>
    <w:rsid w:val="00053B14"/>
    <w:rsid w:val="00053E94"/>
    <w:rsid w:val="0005497F"/>
    <w:rsid w:val="0005620D"/>
    <w:rsid w:val="00056D8B"/>
    <w:rsid w:val="00056FD5"/>
    <w:rsid w:val="000577B3"/>
    <w:rsid w:val="000578CD"/>
    <w:rsid w:val="0005799E"/>
    <w:rsid w:val="000618EA"/>
    <w:rsid w:val="00061F51"/>
    <w:rsid w:val="00062477"/>
    <w:rsid w:val="00064583"/>
    <w:rsid w:val="00064913"/>
    <w:rsid w:val="00066324"/>
    <w:rsid w:val="00067FDF"/>
    <w:rsid w:val="00070964"/>
    <w:rsid w:val="00071DBA"/>
    <w:rsid w:val="00072029"/>
    <w:rsid w:val="000728EA"/>
    <w:rsid w:val="0007445B"/>
    <w:rsid w:val="000760C6"/>
    <w:rsid w:val="0007666E"/>
    <w:rsid w:val="00076700"/>
    <w:rsid w:val="00076D4E"/>
    <w:rsid w:val="00080C1A"/>
    <w:rsid w:val="00082069"/>
    <w:rsid w:val="00082160"/>
    <w:rsid w:val="00082D5D"/>
    <w:rsid w:val="00083045"/>
    <w:rsid w:val="00084999"/>
    <w:rsid w:val="00084E3F"/>
    <w:rsid w:val="00085413"/>
    <w:rsid w:val="00087025"/>
    <w:rsid w:val="00087E73"/>
    <w:rsid w:val="00090871"/>
    <w:rsid w:val="00091477"/>
    <w:rsid w:val="00092C2E"/>
    <w:rsid w:val="00093016"/>
    <w:rsid w:val="0009447A"/>
    <w:rsid w:val="00095F5C"/>
    <w:rsid w:val="00096080"/>
    <w:rsid w:val="00096339"/>
    <w:rsid w:val="000A28DA"/>
    <w:rsid w:val="000A3669"/>
    <w:rsid w:val="000A5155"/>
    <w:rsid w:val="000A688C"/>
    <w:rsid w:val="000A7250"/>
    <w:rsid w:val="000A72D9"/>
    <w:rsid w:val="000A7D58"/>
    <w:rsid w:val="000B02BC"/>
    <w:rsid w:val="000B11A0"/>
    <w:rsid w:val="000B43C7"/>
    <w:rsid w:val="000B4FAD"/>
    <w:rsid w:val="000B55EC"/>
    <w:rsid w:val="000B5724"/>
    <w:rsid w:val="000B6D7B"/>
    <w:rsid w:val="000C17AA"/>
    <w:rsid w:val="000C22C4"/>
    <w:rsid w:val="000C29FA"/>
    <w:rsid w:val="000C352F"/>
    <w:rsid w:val="000C3B31"/>
    <w:rsid w:val="000C3D44"/>
    <w:rsid w:val="000C489F"/>
    <w:rsid w:val="000C5934"/>
    <w:rsid w:val="000C6EF4"/>
    <w:rsid w:val="000C70D2"/>
    <w:rsid w:val="000D02BB"/>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971"/>
    <w:rsid w:val="000F7CED"/>
    <w:rsid w:val="00100B22"/>
    <w:rsid w:val="001014D5"/>
    <w:rsid w:val="00102ACF"/>
    <w:rsid w:val="00105AA5"/>
    <w:rsid w:val="00105B57"/>
    <w:rsid w:val="001060EC"/>
    <w:rsid w:val="00106A2A"/>
    <w:rsid w:val="00106F9D"/>
    <w:rsid w:val="001077D6"/>
    <w:rsid w:val="00107D09"/>
    <w:rsid w:val="00110461"/>
    <w:rsid w:val="0011219E"/>
    <w:rsid w:val="00112D23"/>
    <w:rsid w:val="00113255"/>
    <w:rsid w:val="00113435"/>
    <w:rsid w:val="001135CE"/>
    <w:rsid w:val="001136A7"/>
    <w:rsid w:val="0011471E"/>
    <w:rsid w:val="00115AC1"/>
    <w:rsid w:val="00117CA9"/>
    <w:rsid w:val="0012233A"/>
    <w:rsid w:val="00123B7D"/>
    <w:rsid w:val="00124678"/>
    <w:rsid w:val="001267E8"/>
    <w:rsid w:val="0012786A"/>
    <w:rsid w:val="0013034C"/>
    <w:rsid w:val="0013062F"/>
    <w:rsid w:val="001306F9"/>
    <w:rsid w:val="00130F8C"/>
    <w:rsid w:val="00131658"/>
    <w:rsid w:val="00133D00"/>
    <w:rsid w:val="00133D94"/>
    <w:rsid w:val="0013411C"/>
    <w:rsid w:val="001345BD"/>
    <w:rsid w:val="001354DA"/>
    <w:rsid w:val="00136B87"/>
    <w:rsid w:val="0013763D"/>
    <w:rsid w:val="001404C4"/>
    <w:rsid w:val="00141AE1"/>
    <w:rsid w:val="00141DEE"/>
    <w:rsid w:val="001424F4"/>
    <w:rsid w:val="001437EE"/>
    <w:rsid w:val="001453C5"/>
    <w:rsid w:val="00147621"/>
    <w:rsid w:val="00147FB5"/>
    <w:rsid w:val="00150FE4"/>
    <w:rsid w:val="00151447"/>
    <w:rsid w:val="00151FAB"/>
    <w:rsid w:val="0015329D"/>
    <w:rsid w:val="00154AE8"/>
    <w:rsid w:val="00154B29"/>
    <w:rsid w:val="00154BF3"/>
    <w:rsid w:val="00154CBB"/>
    <w:rsid w:val="00155F8E"/>
    <w:rsid w:val="00156879"/>
    <w:rsid w:val="0015708F"/>
    <w:rsid w:val="00157313"/>
    <w:rsid w:val="001609CF"/>
    <w:rsid w:val="001618E3"/>
    <w:rsid w:val="00161FB9"/>
    <w:rsid w:val="00162672"/>
    <w:rsid w:val="00162D92"/>
    <w:rsid w:val="00163258"/>
    <w:rsid w:val="001636DE"/>
    <w:rsid w:val="0016388E"/>
    <w:rsid w:val="00163E91"/>
    <w:rsid w:val="001659CD"/>
    <w:rsid w:val="00167496"/>
    <w:rsid w:val="00167A90"/>
    <w:rsid w:val="001708C4"/>
    <w:rsid w:val="00170BE5"/>
    <w:rsid w:val="00171FDA"/>
    <w:rsid w:val="00172446"/>
    <w:rsid w:val="00172B39"/>
    <w:rsid w:val="001730DF"/>
    <w:rsid w:val="001738F1"/>
    <w:rsid w:val="001759B2"/>
    <w:rsid w:val="00175A52"/>
    <w:rsid w:val="001764D0"/>
    <w:rsid w:val="00176D2C"/>
    <w:rsid w:val="00176FDB"/>
    <w:rsid w:val="00177676"/>
    <w:rsid w:val="00177E3C"/>
    <w:rsid w:val="00181462"/>
    <w:rsid w:val="0018189F"/>
    <w:rsid w:val="00182ED2"/>
    <w:rsid w:val="0018438A"/>
    <w:rsid w:val="00185166"/>
    <w:rsid w:val="001860A8"/>
    <w:rsid w:val="001904CE"/>
    <w:rsid w:val="00191298"/>
    <w:rsid w:val="001920C1"/>
    <w:rsid w:val="00193181"/>
    <w:rsid w:val="00193956"/>
    <w:rsid w:val="00193B89"/>
    <w:rsid w:val="00193D2E"/>
    <w:rsid w:val="0019533E"/>
    <w:rsid w:val="001959D9"/>
    <w:rsid w:val="00195AC0"/>
    <w:rsid w:val="00195E9D"/>
    <w:rsid w:val="001962C0"/>
    <w:rsid w:val="00196E74"/>
    <w:rsid w:val="00197DF3"/>
    <w:rsid w:val="001A116E"/>
    <w:rsid w:val="001A1846"/>
    <w:rsid w:val="001A1988"/>
    <w:rsid w:val="001A1B66"/>
    <w:rsid w:val="001A22AA"/>
    <w:rsid w:val="001A3E12"/>
    <w:rsid w:val="001A5077"/>
    <w:rsid w:val="001A55B3"/>
    <w:rsid w:val="001A59E4"/>
    <w:rsid w:val="001A5F66"/>
    <w:rsid w:val="001A60DB"/>
    <w:rsid w:val="001A74D8"/>
    <w:rsid w:val="001A780A"/>
    <w:rsid w:val="001A7E15"/>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32A3"/>
    <w:rsid w:val="001C3919"/>
    <w:rsid w:val="001C4283"/>
    <w:rsid w:val="001C5180"/>
    <w:rsid w:val="001C598B"/>
    <w:rsid w:val="001C6E87"/>
    <w:rsid w:val="001C71DD"/>
    <w:rsid w:val="001C7286"/>
    <w:rsid w:val="001C7EA2"/>
    <w:rsid w:val="001D0F65"/>
    <w:rsid w:val="001D1377"/>
    <w:rsid w:val="001D23D9"/>
    <w:rsid w:val="001D2705"/>
    <w:rsid w:val="001D34DC"/>
    <w:rsid w:val="001D375F"/>
    <w:rsid w:val="001D384F"/>
    <w:rsid w:val="001D415F"/>
    <w:rsid w:val="001D4EE6"/>
    <w:rsid w:val="001D6C53"/>
    <w:rsid w:val="001D73F4"/>
    <w:rsid w:val="001D7B98"/>
    <w:rsid w:val="001E16C1"/>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7409"/>
    <w:rsid w:val="001F7C0B"/>
    <w:rsid w:val="00200232"/>
    <w:rsid w:val="0020086F"/>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883"/>
    <w:rsid w:val="00217FE0"/>
    <w:rsid w:val="00220C69"/>
    <w:rsid w:val="0022136D"/>
    <w:rsid w:val="002225AD"/>
    <w:rsid w:val="00223502"/>
    <w:rsid w:val="00223BB5"/>
    <w:rsid w:val="00224456"/>
    <w:rsid w:val="0022501D"/>
    <w:rsid w:val="00226F02"/>
    <w:rsid w:val="0022732E"/>
    <w:rsid w:val="002273BE"/>
    <w:rsid w:val="00227953"/>
    <w:rsid w:val="00227DB7"/>
    <w:rsid w:val="002322AB"/>
    <w:rsid w:val="002322E3"/>
    <w:rsid w:val="002338C7"/>
    <w:rsid w:val="00233F18"/>
    <w:rsid w:val="0023456B"/>
    <w:rsid w:val="002347CA"/>
    <w:rsid w:val="00235732"/>
    <w:rsid w:val="00235961"/>
    <w:rsid w:val="00236180"/>
    <w:rsid w:val="00237DAF"/>
    <w:rsid w:val="00240411"/>
    <w:rsid w:val="00240D7C"/>
    <w:rsid w:val="00240F58"/>
    <w:rsid w:val="00241B08"/>
    <w:rsid w:val="00242D72"/>
    <w:rsid w:val="0024300F"/>
    <w:rsid w:val="002430DE"/>
    <w:rsid w:val="002438C1"/>
    <w:rsid w:val="00243C9E"/>
    <w:rsid w:val="0024425A"/>
    <w:rsid w:val="00244D52"/>
    <w:rsid w:val="0024521A"/>
    <w:rsid w:val="00246127"/>
    <w:rsid w:val="00247321"/>
    <w:rsid w:val="00247884"/>
    <w:rsid w:val="00247E4F"/>
    <w:rsid w:val="002500E7"/>
    <w:rsid w:val="002506EA"/>
    <w:rsid w:val="00251229"/>
    <w:rsid w:val="002517FA"/>
    <w:rsid w:val="002556C1"/>
    <w:rsid w:val="00255DC9"/>
    <w:rsid w:val="00255F47"/>
    <w:rsid w:val="00256494"/>
    <w:rsid w:val="00262084"/>
    <w:rsid w:val="00263946"/>
    <w:rsid w:val="00263ECA"/>
    <w:rsid w:val="0026496B"/>
    <w:rsid w:val="00265008"/>
    <w:rsid w:val="00266973"/>
    <w:rsid w:val="00267B75"/>
    <w:rsid w:val="00267C03"/>
    <w:rsid w:val="00270E79"/>
    <w:rsid w:val="00273181"/>
    <w:rsid w:val="002735D8"/>
    <w:rsid w:val="00273970"/>
    <w:rsid w:val="0027507D"/>
    <w:rsid w:val="00275488"/>
    <w:rsid w:val="00275636"/>
    <w:rsid w:val="00276170"/>
    <w:rsid w:val="002769E4"/>
    <w:rsid w:val="00277361"/>
    <w:rsid w:val="00277F18"/>
    <w:rsid w:val="00280046"/>
    <w:rsid w:val="002808C2"/>
    <w:rsid w:val="00281038"/>
    <w:rsid w:val="002816DE"/>
    <w:rsid w:val="00281895"/>
    <w:rsid w:val="00282C00"/>
    <w:rsid w:val="002848E8"/>
    <w:rsid w:val="00285002"/>
    <w:rsid w:val="0028542B"/>
    <w:rsid w:val="002871C9"/>
    <w:rsid w:val="0028791B"/>
    <w:rsid w:val="002912E5"/>
    <w:rsid w:val="00293B1A"/>
    <w:rsid w:val="00293EF5"/>
    <w:rsid w:val="00296281"/>
    <w:rsid w:val="00296FB0"/>
    <w:rsid w:val="002977C3"/>
    <w:rsid w:val="002A09B2"/>
    <w:rsid w:val="002A18B6"/>
    <w:rsid w:val="002A20BE"/>
    <w:rsid w:val="002A31A6"/>
    <w:rsid w:val="002A398F"/>
    <w:rsid w:val="002A51DC"/>
    <w:rsid w:val="002A57B4"/>
    <w:rsid w:val="002A63D6"/>
    <w:rsid w:val="002A6A43"/>
    <w:rsid w:val="002A6ADA"/>
    <w:rsid w:val="002A77CF"/>
    <w:rsid w:val="002B07CB"/>
    <w:rsid w:val="002B0F93"/>
    <w:rsid w:val="002B271D"/>
    <w:rsid w:val="002B274E"/>
    <w:rsid w:val="002B30A8"/>
    <w:rsid w:val="002B3E52"/>
    <w:rsid w:val="002C0317"/>
    <w:rsid w:val="002C1A9F"/>
    <w:rsid w:val="002C1F7C"/>
    <w:rsid w:val="002C3B37"/>
    <w:rsid w:val="002C4DE8"/>
    <w:rsid w:val="002C547D"/>
    <w:rsid w:val="002C607F"/>
    <w:rsid w:val="002C6F2C"/>
    <w:rsid w:val="002C7F8D"/>
    <w:rsid w:val="002D0673"/>
    <w:rsid w:val="002D0A8D"/>
    <w:rsid w:val="002D24AE"/>
    <w:rsid w:val="002D3C6B"/>
    <w:rsid w:val="002D3F7C"/>
    <w:rsid w:val="002D5AC3"/>
    <w:rsid w:val="002D706B"/>
    <w:rsid w:val="002E0999"/>
    <w:rsid w:val="002E1BA5"/>
    <w:rsid w:val="002E4AAE"/>
    <w:rsid w:val="002E5A36"/>
    <w:rsid w:val="002E7F6B"/>
    <w:rsid w:val="002F0F55"/>
    <w:rsid w:val="002F140F"/>
    <w:rsid w:val="002F24DB"/>
    <w:rsid w:val="002F30A4"/>
    <w:rsid w:val="002F3ECC"/>
    <w:rsid w:val="002F4C62"/>
    <w:rsid w:val="002F54D3"/>
    <w:rsid w:val="002F5548"/>
    <w:rsid w:val="002F5C10"/>
    <w:rsid w:val="002F65C2"/>
    <w:rsid w:val="00300124"/>
    <w:rsid w:val="00300CA0"/>
    <w:rsid w:val="003018A3"/>
    <w:rsid w:val="003020BC"/>
    <w:rsid w:val="00302EBB"/>
    <w:rsid w:val="0030349C"/>
    <w:rsid w:val="003035C2"/>
    <w:rsid w:val="003044CF"/>
    <w:rsid w:val="00304BAC"/>
    <w:rsid w:val="00304D7F"/>
    <w:rsid w:val="0030539C"/>
    <w:rsid w:val="003054B0"/>
    <w:rsid w:val="003066EF"/>
    <w:rsid w:val="0030688F"/>
    <w:rsid w:val="003109D7"/>
    <w:rsid w:val="00310C07"/>
    <w:rsid w:val="00311B3A"/>
    <w:rsid w:val="00311FBD"/>
    <w:rsid w:val="0031392C"/>
    <w:rsid w:val="003179F8"/>
    <w:rsid w:val="00317C08"/>
    <w:rsid w:val="0032052D"/>
    <w:rsid w:val="003225E3"/>
    <w:rsid w:val="00323914"/>
    <w:rsid w:val="00324A2F"/>
    <w:rsid w:val="00325CE2"/>
    <w:rsid w:val="00327EC4"/>
    <w:rsid w:val="003305F0"/>
    <w:rsid w:val="00331D34"/>
    <w:rsid w:val="00332EBF"/>
    <w:rsid w:val="003336F4"/>
    <w:rsid w:val="0033591B"/>
    <w:rsid w:val="00336DFE"/>
    <w:rsid w:val="00340248"/>
    <w:rsid w:val="003411C2"/>
    <w:rsid w:val="00342032"/>
    <w:rsid w:val="00342CA6"/>
    <w:rsid w:val="00343793"/>
    <w:rsid w:val="0034452F"/>
    <w:rsid w:val="00345331"/>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BAE"/>
    <w:rsid w:val="0036480C"/>
    <w:rsid w:val="003653EE"/>
    <w:rsid w:val="0036572F"/>
    <w:rsid w:val="00367C42"/>
    <w:rsid w:val="00370088"/>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CFA"/>
    <w:rsid w:val="00385258"/>
    <w:rsid w:val="00385698"/>
    <w:rsid w:val="00387449"/>
    <w:rsid w:val="00387BE1"/>
    <w:rsid w:val="003906FA"/>
    <w:rsid w:val="003949FF"/>
    <w:rsid w:val="00395628"/>
    <w:rsid w:val="003966A4"/>
    <w:rsid w:val="003A0269"/>
    <w:rsid w:val="003A22F2"/>
    <w:rsid w:val="003A3B3E"/>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B7BC7"/>
    <w:rsid w:val="003C04AD"/>
    <w:rsid w:val="003C16C9"/>
    <w:rsid w:val="003C1CA7"/>
    <w:rsid w:val="003C1F52"/>
    <w:rsid w:val="003C2093"/>
    <w:rsid w:val="003C58D8"/>
    <w:rsid w:val="003C61E9"/>
    <w:rsid w:val="003C7561"/>
    <w:rsid w:val="003C7928"/>
    <w:rsid w:val="003C7C54"/>
    <w:rsid w:val="003D063B"/>
    <w:rsid w:val="003D0945"/>
    <w:rsid w:val="003D1E0B"/>
    <w:rsid w:val="003D1EFA"/>
    <w:rsid w:val="003D2EF6"/>
    <w:rsid w:val="003D3DA9"/>
    <w:rsid w:val="003D41C8"/>
    <w:rsid w:val="003D59A5"/>
    <w:rsid w:val="003D59E0"/>
    <w:rsid w:val="003D7647"/>
    <w:rsid w:val="003E10C1"/>
    <w:rsid w:val="003E183C"/>
    <w:rsid w:val="003E1BEF"/>
    <w:rsid w:val="003E3225"/>
    <w:rsid w:val="003E5F22"/>
    <w:rsid w:val="003E6A17"/>
    <w:rsid w:val="003E794B"/>
    <w:rsid w:val="003E7A69"/>
    <w:rsid w:val="003F0D93"/>
    <w:rsid w:val="003F216D"/>
    <w:rsid w:val="003F360C"/>
    <w:rsid w:val="003F4C7C"/>
    <w:rsid w:val="003F60F1"/>
    <w:rsid w:val="003F6412"/>
    <w:rsid w:val="003F6ED2"/>
    <w:rsid w:val="003F7EBD"/>
    <w:rsid w:val="00400138"/>
    <w:rsid w:val="00400873"/>
    <w:rsid w:val="004011D2"/>
    <w:rsid w:val="004055F1"/>
    <w:rsid w:val="00405B38"/>
    <w:rsid w:val="00407BD1"/>
    <w:rsid w:val="00407EEE"/>
    <w:rsid w:val="0041014B"/>
    <w:rsid w:val="00410A41"/>
    <w:rsid w:val="0041267C"/>
    <w:rsid w:val="00412855"/>
    <w:rsid w:val="0041299D"/>
    <w:rsid w:val="00414098"/>
    <w:rsid w:val="00414C51"/>
    <w:rsid w:val="004151B4"/>
    <w:rsid w:val="004166D8"/>
    <w:rsid w:val="00421886"/>
    <w:rsid w:val="00421DB2"/>
    <w:rsid w:val="00421DBE"/>
    <w:rsid w:val="004223E1"/>
    <w:rsid w:val="004226C7"/>
    <w:rsid w:val="00423970"/>
    <w:rsid w:val="00424449"/>
    <w:rsid w:val="00426010"/>
    <w:rsid w:val="00426B96"/>
    <w:rsid w:val="00427AF2"/>
    <w:rsid w:val="0043002B"/>
    <w:rsid w:val="00434AAE"/>
    <w:rsid w:val="00434DEA"/>
    <w:rsid w:val="00436153"/>
    <w:rsid w:val="004369D4"/>
    <w:rsid w:val="00436C78"/>
    <w:rsid w:val="00436D27"/>
    <w:rsid w:val="00440AA3"/>
    <w:rsid w:val="004416B7"/>
    <w:rsid w:val="00441BA6"/>
    <w:rsid w:val="004447F8"/>
    <w:rsid w:val="004454EF"/>
    <w:rsid w:val="00445BE7"/>
    <w:rsid w:val="004463F2"/>
    <w:rsid w:val="00446B22"/>
    <w:rsid w:val="004472C3"/>
    <w:rsid w:val="00447A8B"/>
    <w:rsid w:val="0045026C"/>
    <w:rsid w:val="00453075"/>
    <w:rsid w:val="00453AF0"/>
    <w:rsid w:val="00453CED"/>
    <w:rsid w:val="004568A8"/>
    <w:rsid w:val="00457347"/>
    <w:rsid w:val="00457459"/>
    <w:rsid w:val="00460414"/>
    <w:rsid w:val="004607C3"/>
    <w:rsid w:val="00460838"/>
    <w:rsid w:val="004611AD"/>
    <w:rsid w:val="00463598"/>
    <w:rsid w:val="00463956"/>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87996"/>
    <w:rsid w:val="004917CD"/>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E12"/>
    <w:rsid w:val="004A51B2"/>
    <w:rsid w:val="004A5E4E"/>
    <w:rsid w:val="004A6A4D"/>
    <w:rsid w:val="004B00FD"/>
    <w:rsid w:val="004B19C9"/>
    <w:rsid w:val="004B1AF0"/>
    <w:rsid w:val="004B3224"/>
    <w:rsid w:val="004B3E69"/>
    <w:rsid w:val="004B445F"/>
    <w:rsid w:val="004B4B2C"/>
    <w:rsid w:val="004B598A"/>
    <w:rsid w:val="004B5BF2"/>
    <w:rsid w:val="004C04FC"/>
    <w:rsid w:val="004C0A14"/>
    <w:rsid w:val="004C1307"/>
    <w:rsid w:val="004C180A"/>
    <w:rsid w:val="004C3243"/>
    <w:rsid w:val="004C48F0"/>
    <w:rsid w:val="004C5137"/>
    <w:rsid w:val="004C6542"/>
    <w:rsid w:val="004D0B16"/>
    <w:rsid w:val="004D0C03"/>
    <w:rsid w:val="004D0FD1"/>
    <w:rsid w:val="004D1790"/>
    <w:rsid w:val="004D1F26"/>
    <w:rsid w:val="004D2528"/>
    <w:rsid w:val="004D28EA"/>
    <w:rsid w:val="004D3099"/>
    <w:rsid w:val="004D38A6"/>
    <w:rsid w:val="004D39FE"/>
    <w:rsid w:val="004D3A64"/>
    <w:rsid w:val="004D408D"/>
    <w:rsid w:val="004D46CB"/>
    <w:rsid w:val="004D4E05"/>
    <w:rsid w:val="004D5644"/>
    <w:rsid w:val="004D7389"/>
    <w:rsid w:val="004D7421"/>
    <w:rsid w:val="004E484D"/>
    <w:rsid w:val="004E486F"/>
    <w:rsid w:val="004E645E"/>
    <w:rsid w:val="004E6761"/>
    <w:rsid w:val="004E75CF"/>
    <w:rsid w:val="004F14FA"/>
    <w:rsid w:val="004F1E70"/>
    <w:rsid w:val="004F2CA5"/>
    <w:rsid w:val="004F3C3B"/>
    <w:rsid w:val="004F3DD9"/>
    <w:rsid w:val="005018B4"/>
    <w:rsid w:val="00501BCD"/>
    <w:rsid w:val="00502E90"/>
    <w:rsid w:val="005043A5"/>
    <w:rsid w:val="005058EC"/>
    <w:rsid w:val="0050609C"/>
    <w:rsid w:val="00506423"/>
    <w:rsid w:val="00510CFB"/>
    <w:rsid w:val="00510D2F"/>
    <w:rsid w:val="00511842"/>
    <w:rsid w:val="00511F5D"/>
    <w:rsid w:val="00512BEF"/>
    <w:rsid w:val="00513F36"/>
    <w:rsid w:val="00514518"/>
    <w:rsid w:val="00515427"/>
    <w:rsid w:val="00516300"/>
    <w:rsid w:val="00516A5B"/>
    <w:rsid w:val="00516F8D"/>
    <w:rsid w:val="00517D26"/>
    <w:rsid w:val="00520A0D"/>
    <w:rsid w:val="00520B2D"/>
    <w:rsid w:val="00522632"/>
    <w:rsid w:val="00523030"/>
    <w:rsid w:val="00524463"/>
    <w:rsid w:val="005253A2"/>
    <w:rsid w:val="00525620"/>
    <w:rsid w:val="00525AB8"/>
    <w:rsid w:val="00527ED3"/>
    <w:rsid w:val="005311D5"/>
    <w:rsid w:val="00531FB3"/>
    <w:rsid w:val="00532A82"/>
    <w:rsid w:val="00532CA9"/>
    <w:rsid w:val="00532F29"/>
    <w:rsid w:val="00533254"/>
    <w:rsid w:val="0053395D"/>
    <w:rsid w:val="0053413A"/>
    <w:rsid w:val="00534146"/>
    <w:rsid w:val="0053541D"/>
    <w:rsid w:val="00535BF7"/>
    <w:rsid w:val="005374CA"/>
    <w:rsid w:val="005410CB"/>
    <w:rsid w:val="00541901"/>
    <w:rsid w:val="00541945"/>
    <w:rsid w:val="00544133"/>
    <w:rsid w:val="005444AC"/>
    <w:rsid w:val="00544513"/>
    <w:rsid w:val="0054467D"/>
    <w:rsid w:val="00546886"/>
    <w:rsid w:val="00547F78"/>
    <w:rsid w:val="00550136"/>
    <w:rsid w:val="005505A9"/>
    <w:rsid w:val="00550949"/>
    <w:rsid w:val="00550BF4"/>
    <w:rsid w:val="00553F1D"/>
    <w:rsid w:val="0055501B"/>
    <w:rsid w:val="00555AB6"/>
    <w:rsid w:val="0056014B"/>
    <w:rsid w:val="00560349"/>
    <w:rsid w:val="0056075F"/>
    <w:rsid w:val="00560B57"/>
    <w:rsid w:val="00561407"/>
    <w:rsid w:val="00562135"/>
    <w:rsid w:val="005628ED"/>
    <w:rsid w:val="005630C9"/>
    <w:rsid w:val="00563182"/>
    <w:rsid w:val="00563240"/>
    <w:rsid w:val="005637E0"/>
    <w:rsid w:val="00566416"/>
    <w:rsid w:val="00566566"/>
    <w:rsid w:val="0057081A"/>
    <w:rsid w:val="00570E6B"/>
    <w:rsid w:val="0057148D"/>
    <w:rsid w:val="00571A6D"/>
    <w:rsid w:val="00573B44"/>
    <w:rsid w:val="00573DFD"/>
    <w:rsid w:val="00575725"/>
    <w:rsid w:val="00575A46"/>
    <w:rsid w:val="005774B5"/>
    <w:rsid w:val="00581791"/>
    <w:rsid w:val="00581B38"/>
    <w:rsid w:val="00585F0B"/>
    <w:rsid w:val="00586787"/>
    <w:rsid w:val="00587B7E"/>
    <w:rsid w:val="00590759"/>
    <w:rsid w:val="005909E6"/>
    <w:rsid w:val="00591493"/>
    <w:rsid w:val="00592E90"/>
    <w:rsid w:val="0059326F"/>
    <w:rsid w:val="005943C3"/>
    <w:rsid w:val="00596569"/>
    <w:rsid w:val="0059660B"/>
    <w:rsid w:val="00596A81"/>
    <w:rsid w:val="005A0EB9"/>
    <w:rsid w:val="005A3404"/>
    <w:rsid w:val="005A48EB"/>
    <w:rsid w:val="005A53F6"/>
    <w:rsid w:val="005A6F6C"/>
    <w:rsid w:val="005A732E"/>
    <w:rsid w:val="005B0720"/>
    <w:rsid w:val="005B1A74"/>
    <w:rsid w:val="005B2074"/>
    <w:rsid w:val="005B2427"/>
    <w:rsid w:val="005B2D76"/>
    <w:rsid w:val="005B33DF"/>
    <w:rsid w:val="005B4AF6"/>
    <w:rsid w:val="005B5E53"/>
    <w:rsid w:val="005B7080"/>
    <w:rsid w:val="005B729A"/>
    <w:rsid w:val="005B7341"/>
    <w:rsid w:val="005B7B3C"/>
    <w:rsid w:val="005C0188"/>
    <w:rsid w:val="005C157C"/>
    <w:rsid w:val="005C1A0E"/>
    <w:rsid w:val="005C2992"/>
    <w:rsid w:val="005C33AD"/>
    <w:rsid w:val="005C3F69"/>
    <w:rsid w:val="005C6A07"/>
    <w:rsid w:val="005C6C09"/>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66F2"/>
    <w:rsid w:val="005E69F1"/>
    <w:rsid w:val="005E739F"/>
    <w:rsid w:val="005E7520"/>
    <w:rsid w:val="005F0CAB"/>
    <w:rsid w:val="005F0D66"/>
    <w:rsid w:val="005F0E61"/>
    <w:rsid w:val="005F1861"/>
    <w:rsid w:val="005F2B9A"/>
    <w:rsid w:val="005F2BD7"/>
    <w:rsid w:val="005F3181"/>
    <w:rsid w:val="005F7575"/>
    <w:rsid w:val="005F7CC2"/>
    <w:rsid w:val="006000DA"/>
    <w:rsid w:val="00600577"/>
    <w:rsid w:val="00601605"/>
    <w:rsid w:val="00603B48"/>
    <w:rsid w:val="00604197"/>
    <w:rsid w:val="00604E93"/>
    <w:rsid w:val="00605734"/>
    <w:rsid w:val="00606721"/>
    <w:rsid w:val="00606B8F"/>
    <w:rsid w:val="00610CDC"/>
    <w:rsid w:val="0061130D"/>
    <w:rsid w:val="00611644"/>
    <w:rsid w:val="00611704"/>
    <w:rsid w:val="00612445"/>
    <w:rsid w:val="0061248D"/>
    <w:rsid w:val="006124B3"/>
    <w:rsid w:val="0061368D"/>
    <w:rsid w:val="00613AF8"/>
    <w:rsid w:val="00613BB9"/>
    <w:rsid w:val="00614B61"/>
    <w:rsid w:val="00614BEA"/>
    <w:rsid w:val="0061556D"/>
    <w:rsid w:val="00616317"/>
    <w:rsid w:val="00616D44"/>
    <w:rsid w:val="00616F6D"/>
    <w:rsid w:val="00617335"/>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37AF5"/>
    <w:rsid w:val="006416E7"/>
    <w:rsid w:val="006432A5"/>
    <w:rsid w:val="00644070"/>
    <w:rsid w:val="00646026"/>
    <w:rsid w:val="00646477"/>
    <w:rsid w:val="006469B1"/>
    <w:rsid w:val="00650384"/>
    <w:rsid w:val="00652DE7"/>
    <w:rsid w:val="00654E77"/>
    <w:rsid w:val="0065606C"/>
    <w:rsid w:val="00656628"/>
    <w:rsid w:val="006609AE"/>
    <w:rsid w:val="006617C2"/>
    <w:rsid w:val="00661C51"/>
    <w:rsid w:val="006620D5"/>
    <w:rsid w:val="00662A9F"/>
    <w:rsid w:val="00663485"/>
    <w:rsid w:val="006644E5"/>
    <w:rsid w:val="006648EB"/>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0E4"/>
    <w:rsid w:val="006834D0"/>
    <w:rsid w:val="00684532"/>
    <w:rsid w:val="00685F82"/>
    <w:rsid w:val="00687D68"/>
    <w:rsid w:val="006906EF"/>
    <w:rsid w:val="00690B82"/>
    <w:rsid w:val="0069139D"/>
    <w:rsid w:val="00695D8D"/>
    <w:rsid w:val="00696195"/>
    <w:rsid w:val="00696B7F"/>
    <w:rsid w:val="0069737B"/>
    <w:rsid w:val="0069750C"/>
    <w:rsid w:val="006A00AF"/>
    <w:rsid w:val="006A0495"/>
    <w:rsid w:val="006A0780"/>
    <w:rsid w:val="006A0950"/>
    <w:rsid w:val="006A0B45"/>
    <w:rsid w:val="006A2849"/>
    <w:rsid w:val="006A30FA"/>
    <w:rsid w:val="006A3295"/>
    <w:rsid w:val="006A3DFE"/>
    <w:rsid w:val="006A5AE4"/>
    <w:rsid w:val="006A70F0"/>
    <w:rsid w:val="006A7278"/>
    <w:rsid w:val="006A76DE"/>
    <w:rsid w:val="006A799F"/>
    <w:rsid w:val="006B03D2"/>
    <w:rsid w:val="006B0BCF"/>
    <w:rsid w:val="006B17CB"/>
    <w:rsid w:val="006B1F4B"/>
    <w:rsid w:val="006B201B"/>
    <w:rsid w:val="006B2EB5"/>
    <w:rsid w:val="006B43BB"/>
    <w:rsid w:val="006B4F22"/>
    <w:rsid w:val="006B59B6"/>
    <w:rsid w:val="006B7742"/>
    <w:rsid w:val="006B7E51"/>
    <w:rsid w:val="006C236D"/>
    <w:rsid w:val="006C3531"/>
    <w:rsid w:val="006C5446"/>
    <w:rsid w:val="006C5828"/>
    <w:rsid w:val="006C6482"/>
    <w:rsid w:val="006C65C2"/>
    <w:rsid w:val="006C75C7"/>
    <w:rsid w:val="006C7D48"/>
    <w:rsid w:val="006D0F80"/>
    <w:rsid w:val="006D11FE"/>
    <w:rsid w:val="006D13F5"/>
    <w:rsid w:val="006D13F8"/>
    <w:rsid w:val="006D15BA"/>
    <w:rsid w:val="006D16E4"/>
    <w:rsid w:val="006D19BC"/>
    <w:rsid w:val="006D22B8"/>
    <w:rsid w:val="006D410F"/>
    <w:rsid w:val="006D66F4"/>
    <w:rsid w:val="006D7210"/>
    <w:rsid w:val="006E06C0"/>
    <w:rsid w:val="006E230F"/>
    <w:rsid w:val="006E32DB"/>
    <w:rsid w:val="006E38B9"/>
    <w:rsid w:val="006E43A2"/>
    <w:rsid w:val="006E5842"/>
    <w:rsid w:val="006E7D5D"/>
    <w:rsid w:val="006F0B9C"/>
    <w:rsid w:val="006F0D0A"/>
    <w:rsid w:val="006F2EB0"/>
    <w:rsid w:val="006F34DE"/>
    <w:rsid w:val="006F7226"/>
    <w:rsid w:val="006F7AB0"/>
    <w:rsid w:val="00700BFB"/>
    <w:rsid w:val="00701C14"/>
    <w:rsid w:val="007021A9"/>
    <w:rsid w:val="00703C3A"/>
    <w:rsid w:val="00703FD6"/>
    <w:rsid w:val="0070439D"/>
    <w:rsid w:val="00704623"/>
    <w:rsid w:val="007051C7"/>
    <w:rsid w:val="00706982"/>
    <w:rsid w:val="00706B3A"/>
    <w:rsid w:val="00707598"/>
    <w:rsid w:val="007100DB"/>
    <w:rsid w:val="00710285"/>
    <w:rsid w:val="007107C6"/>
    <w:rsid w:val="007116E6"/>
    <w:rsid w:val="00711CFB"/>
    <w:rsid w:val="00712EF0"/>
    <w:rsid w:val="007132E7"/>
    <w:rsid w:val="00714276"/>
    <w:rsid w:val="007150CD"/>
    <w:rsid w:val="0071650C"/>
    <w:rsid w:val="00716D73"/>
    <w:rsid w:val="00721317"/>
    <w:rsid w:val="007218A2"/>
    <w:rsid w:val="00721AFA"/>
    <w:rsid w:val="007230F3"/>
    <w:rsid w:val="007238D5"/>
    <w:rsid w:val="00723B29"/>
    <w:rsid w:val="00726076"/>
    <w:rsid w:val="00727269"/>
    <w:rsid w:val="007275F8"/>
    <w:rsid w:val="00727962"/>
    <w:rsid w:val="00727BC4"/>
    <w:rsid w:val="00727BFE"/>
    <w:rsid w:val="007306FC"/>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62FA"/>
    <w:rsid w:val="007474E1"/>
    <w:rsid w:val="00747804"/>
    <w:rsid w:val="00747907"/>
    <w:rsid w:val="007522AE"/>
    <w:rsid w:val="007537A3"/>
    <w:rsid w:val="00753B98"/>
    <w:rsid w:val="0075419E"/>
    <w:rsid w:val="007554FA"/>
    <w:rsid w:val="00755A5D"/>
    <w:rsid w:val="00756FD6"/>
    <w:rsid w:val="007571D2"/>
    <w:rsid w:val="00762DA6"/>
    <w:rsid w:val="007632BA"/>
    <w:rsid w:val="00764923"/>
    <w:rsid w:val="00765DD7"/>
    <w:rsid w:val="0077014F"/>
    <w:rsid w:val="00770312"/>
    <w:rsid w:val="007707C0"/>
    <w:rsid w:val="00770E3A"/>
    <w:rsid w:val="007721F5"/>
    <w:rsid w:val="00772D68"/>
    <w:rsid w:val="00774A4B"/>
    <w:rsid w:val="0077591D"/>
    <w:rsid w:val="00776526"/>
    <w:rsid w:val="007766B9"/>
    <w:rsid w:val="007801B9"/>
    <w:rsid w:val="0078061D"/>
    <w:rsid w:val="007819BB"/>
    <w:rsid w:val="00782301"/>
    <w:rsid w:val="00783197"/>
    <w:rsid w:val="00783925"/>
    <w:rsid w:val="007842B2"/>
    <w:rsid w:val="007853CA"/>
    <w:rsid w:val="00786912"/>
    <w:rsid w:val="00786CD3"/>
    <w:rsid w:val="00786CF4"/>
    <w:rsid w:val="00786E0B"/>
    <w:rsid w:val="00787E47"/>
    <w:rsid w:val="00787F31"/>
    <w:rsid w:val="00790301"/>
    <w:rsid w:val="00791C53"/>
    <w:rsid w:val="007924EF"/>
    <w:rsid w:val="007925BE"/>
    <w:rsid w:val="00793ADF"/>
    <w:rsid w:val="00793EA0"/>
    <w:rsid w:val="00793ECA"/>
    <w:rsid w:val="00794E01"/>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9F9"/>
    <w:rsid w:val="007B0CB5"/>
    <w:rsid w:val="007B17F8"/>
    <w:rsid w:val="007B3937"/>
    <w:rsid w:val="007B3C00"/>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D205A"/>
    <w:rsid w:val="007D5BCD"/>
    <w:rsid w:val="007D67FF"/>
    <w:rsid w:val="007D6890"/>
    <w:rsid w:val="007E0E71"/>
    <w:rsid w:val="007E1C82"/>
    <w:rsid w:val="007E1CAC"/>
    <w:rsid w:val="007E1D38"/>
    <w:rsid w:val="007E2972"/>
    <w:rsid w:val="007E482B"/>
    <w:rsid w:val="007E7526"/>
    <w:rsid w:val="007E7DC1"/>
    <w:rsid w:val="007F1E33"/>
    <w:rsid w:val="007F2162"/>
    <w:rsid w:val="007F219C"/>
    <w:rsid w:val="007F3FB7"/>
    <w:rsid w:val="007F46C4"/>
    <w:rsid w:val="007F4BE5"/>
    <w:rsid w:val="007F4CA1"/>
    <w:rsid w:val="007F64F5"/>
    <w:rsid w:val="007F68CE"/>
    <w:rsid w:val="007F6A3D"/>
    <w:rsid w:val="007F75F7"/>
    <w:rsid w:val="007F7BFC"/>
    <w:rsid w:val="007F7D95"/>
    <w:rsid w:val="00800EE5"/>
    <w:rsid w:val="00801CFD"/>
    <w:rsid w:val="00802070"/>
    <w:rsid w:val="00804E62"/>
    <w:rsid w:val="008054E6"/>
    <w:rsid w:val="008058B8"/>
    <w:rsid w:val="00805E9B"/>
    <w:rsid w:val="008070FF"/>
    <w:rsid w:val="008107DB"/>
    <w:rsid w:val="008120B6"/>
    <w:rsid w:val="008128A7"/>
    <w:rsid w:val="00812920"/>
    <w:rsid w:val="00812F69"/>
    <w:rsid w:val="008144DF"/>
    <w:rsid w:val="008147CE"/>
    <w:rsid w:val="00815478"/>
    <w:rsid w:val="00817423"/>
    <w:rsid w:val="0082056C"/>
    <w:rsid w:val="00820819"/>
    <w:rsid w:val="008208E5"/>
    <w:rsid w:val="00820E95"/>
    <w:rsid w:val="0082104F"/>
    <w:rsid w:val="00821191"/>
    <w:rsid w:val="00821445"/>
    <w:rsid w:val="00821D94"/>
    <w:rsid w:val="00826F7D"/>
    <w:rsid w:val="0083009A"/>
    <w:rsid w:val="00830949"/>
    <w:rsid w:val="00831D23"/>
    <w:rsid w:val="008324F1"/>
    <w:rsid w:val="00832831"/>
    <w:rsid w:val="008333E3"/>
    <w:rsid w:val="00833841"/>
    <w:rsid w:val="00834E70"/>
    <w:rsid w:val="00835214"/>
    <w:rsid w:val="00835AFA"/>
    <w:rsid w:val="00836263"/>
    <w:rsid w:val="008366A6"/>
    <w:rsid w:val="008403F7"/>
    <w:rsid w:val="008436EC"/>
    <w:rsid w:val="00843D33"/>
    <w:rsid w:val="00845EAA"/>
    <w:rsid w:val="00846CEF"/>
    <w:rsid w:val="00847B72"/>
    <w:rsid w:val="00850E67"/>
    <w:rsid w:val="008512C3"/>
    <w:rsid w:val="00852D1F"/>
    <w:rsid w:val="00855112"/>
    <w:rsid w:val="00860306"/>
    <w:rsid w:val="00860871"/>
    <w:rsid w:val="008612F0"/>
    <w:rsid w:val="00862F88"/>
    <w:rsid w:val="008638A2"/>
    <w:rsid w:val="00864775"/>
    <w:rsid w:val="0086550A"/>
    <w:rsid w:val="00865B2F"/>
    <w:rsid w:val="00866B6D"/>
    <w:rsid w:val="00870253"/>
    <w:rsid w:val="008703F6"/>
    <w:rsid w:val="00871AB9"/>
    <w:rsid w:val="00872C9F"/>
    <w:rsid w:val="00873411"/>
    <w:rsid w:val="008743A0"/>
    <w:rsid w:val="00874CD3"/>
    <w:rsid w:val="008759DE"/>
    <w:rsid w:val="00877089"/>
    <w:rsid w:val="00877F6A"/>
    <w:rsid w:val="0088273E"/>
    <w:rsid w:val="00883A60"/>
    <w:rsid w:val="00883F0F"/>
    <w:rsid w:val="008845F6"/>
    <w:rsid w:val="0088504D"/>
    <w:rsid w:val="0088577C"/>
    <w:rsid w:val="008861C5"/>
    <w:rsid w:val="008862AB"/>
    <w:rsid w:val="00892B6D"/>
    <w:rsid w:val="0089322E"/>
    <w:rsid w:val="00893D17"/>
    <w:rsid w:val="00893DF8"/>
    <w:rsid w:val="008947A2"/>
    <w:rsid w:val="008968CC"/>
    <w:rsid w:val="00896CDF"/>
    <w:rsid w:val="008974DB"/>
    <w:rsid w:val="008A1DA2"/>
    <w:rsid w:val="008A3020"/>
    <w:rsid w:val="008A315D"/>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791B"/>
    <w:rsid w:val="008C02A0"/>
    <w:rsid w:val="008C0F60"/>
    <w:rsid w:val="008C41AE"/>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F63"/>
    <w:rsid w:val="008F7F90"/>
    <w:rsid w:val="0090066A"/>
    <w:rsid w:val="00900D75"/>
    <w:rsid w:val="00900FD8"/>
    <w:rsid w:val="0090118F"/>
    <w:rsid w:val="00901489"/>
    <w:rsid w:val="00903353"/>
    <w:rsid w:val="00903A91"/>
    <w:rsid w:val="009046D8"/>
    <w:rsid w:val="00904E8A"/>
    <w:rsid w:val="0090784E"/>
    <w:rsid w:val="00907876"/>
    <w:rsid w:val="00907A35"/>
    <w:rsid w:val="009122C0"/>
    <w:rsid w:val="009140F3"/>
    <w:rsid w:val="0091504C"/>
    <w:rsid w:val="00915FF9"/>
    <w:rsid w:val="00916C72"/>
    <w:rsid w:val="009176A5"/>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2CF"/>
    <w:rsid w:val="00931D8A"/>
    <w:rsid w:val="009320C1"/>
    <w:rsid w:val="009323C2"/>
    <w:rsid w:val="009325B2"/>
    <w:rsid w:val="0093280B"/>
    <w:rsid w:val="00933946"/>
    <w:rsid w:val="00935613"/>
    <w:rsid w:val="009357AA"/>
    <w:rsid w:val="00936E90"/>
    <w:rsid w:val="00937316"/>
    <w:rsid w:val="00941771"/>
    <w:rsid w:val="00941966"/>
    <w:rsid w:val="00941E41"/>
    <w:rsid w:val="00942A0B"/>
    <w:rsid w:val="009430D5"/>
    <w:rsid w:val="00943675"/>
    <w:rsid w:val="00943C0D"/>
    <w:rsid w:val="009440A6"/>
    <w:rsid w:val="009442CC"/>
    <w:rsid w:val="00944AF3"/>
    <w:rsid w:val="00944B37"/>
    <w:rsid w:val="009458F8"/>
    <w:rsid w:val="00945997"/>
    <w:rsid w:val="00946E81"/>
    <w:rsid w:val="00947D8F"/>
    <w:rsid w:val="009505BC"/>
    <w:rsid w:val="00951880"/>
    <w:rsid w:val="009540B2"/>
    <w:rsid w:val="0095523A"/>
    <w:rsid w:val="009565F7"/>
    <w:rsid w:val="009577FB"/>
    <w:rsid w:val="00960216"/>
    <w:rsid w:val="00960257"/>
    <w:rsid w:val="009603FE"/>
    <w:rsid w:val="00961795"/>
    <w:rsid w:val="00962378"/>
    <w:rsid w:val="00962CB4"/>
    <w:rsid w:val="00963201"/>
    <w:rsid w:val="00963D0F"/>
    <w:rsid w:val="00963DEF"/>
    <w:rsid w:val="00964591"/>
    <w:rsid w:val="0096551F"/>
    <w:rsid w:val="0096591F"/>
    <w:rsid w:val="0096693D"/>
    <w:rsid w:val="0097126D"/>
    <w:rsid w:val="00971644"/>
    <w:rsid w:val="009732CC"/>
    <w:rsid w:val="0097335B"/>
    <w:rsid w:val="00973A50"/>
    <w:rsid w:val="00974409"/>
    <w:rsid w:val="00974A07"/>
    <w:rsid w:val="00975573"/>
    <w:rsid w:val="00975F28"/>
    <w:rsid w:val="009770E2"/>
    <w:rsid w:val="0097735E"/>
    <w:rsid w:val="00981266"/>
    <w:rsid w:val="0098194E"/>
    <w:rsid w:val="0098288F"/>
    <w:rsid w:val="009832FC"/>
    <w:rsid w:val="0098340C"/>
    <w:rsid w:val="00984AFC"/>
    <w:rsid w:val="00985023"/>
    <w:rsid w:val="0098676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A7F27"/>
    <w:rsid w:val="009B0BC3"/>
    <w:rsid w:val="009B16F9"/>
    <w:rsid w:val="009B1AA2"/>
    <w:rsid w:val="009B2E27"/>
    <w:rsid w:val="009C01D5"/>
    <w:rsid w:val="009C02FA"/>
    <w:rsid w:val="009C08A1"/>
    <w:rsid w:val="009C0F6A"/>
    <w:rsid w:val="009C1119"/>
    <w:rsid w:val="009C1A8B"/>
    <w:rsid w:val="009C1EAD"/>
    <w:rsid w:val="009C3607"/>
    <w:rsid w:val="009C3D7A"/>
    <w:rsid w:val="009C4F5A"/>
    <w:rsid w:val="009C60B7"/>
    <w:rsid w:val="009C6B36"/>
    <w:rsid w:val="009C70B0"/>
    <w:rsid w:val="009D2126"/>
    <w:rsid w:val="009D23A2"/>
    <w:rsid w:val="009D28C8"/>
    <w:rsid w:val="009D30D8"/>
    <w:rsid w:val="009D39E8"/>
    <w:rsid w:val="009D6A68"/>
    <w:rsid w:val="009D7CF9"/>
    <w:rsid w:val="009D7D0A"/>
    <w:rsid w:val="009E013E"/>
    <w:rsid w:val="009E121B"/>
    <w:rsid w:val="009E19FE"/>
    <w:rsid w:val="009E29A7"/>
    <w:rsid w:val="009E2F42"/>
    <w:rsid w:val="009E4AB8"/>
    <w:rsid w:val="009E5409"/>
    <w:rsid w:val="009E699C"/>
    <w:rsid w:val="009E731F"/>
    <w:rsid w:val="009E7AC5"/>
    <w:rsid w:val="009F076F"/>
    <w:rsid w:val="009F0A77"/>
    <w:rsid w:val="009F116E"/>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E4C"/>
    <w:rsid w:val="00A06AF7"/>
    <w:rsid w:val="00A06D58"/>
    <w:rsid w:val="00A104A6"/>
    <w:rsid w:val="00A12A9D"/>
    <w:rsid w:val="00A14670"/>
    <w:rsid w:val="00A1588D"/>
    <w:rsid w:val="00A17446"/>
    <w:rsid w:val="00A2162A"/>
    <w:rsid w:val="00A221CB"/>
    <w:rsid w:val="00A222DA"/>
    <w:rsid w:val="00A223D3"/>
    <w:rsid w:val="00A2305E"/>
    <w:rsid w:val="00A24522"/>
    <w:rsid w:val="00A24F8D"/>
    <w:rsid w:val="00A30538"/>
    <w:rsid w:val="00A305E5"/>
    <w:rsid w:val="00A320B6"/>
    <w:rsid w:val="00A32ABB"/>
    <w:rsid w:val="00A33D1D"/>
    <w:rsid w:val="00A359B8"/>
    <w:rsid w:val="00A361C9"/>
    <w:rsid w:val="00A379FF"/>
    <w:rsid w:val="00A40251"/>
    <w:rsid w:val="00A4235A"/>
    <w:rsid w:val="00A42EC4"/>
    <w:rsid w:val="00A43A60"/>
    <w:rsid w:val="00A448CA"/>
    <w:rsid w:val="00A44DA7"/>
    <w:rsid w:val="00A46AFB"/>
    <w:rsid w:val="00A50397"/>
    <w:rsid w:val="00A50D1D"/>
    <w:rsid w:val="00A517F4"/>
    <w:rsid w:val="00A518D5"/>
    <w:rsid w:val="00A54E9E"/>
    <w:rsid w:val="00A5683C"/>
    <w:rsid w:val="00A57914"/>
    <w:rsid w:val="00A60395"/>
    <w:rsid w:val="00A6086E"/>
    <w:rsid w:val="00A62733"/>
    <w:rsid w:val="00A62E39"/>
    <w:rsid w:val="00A63A54"/>
    <w:rsid w:val="00A6438F"/>
    <w:rsid w:val="00A64620"/>
    <w:rsid w:val="00A65340"/>
    <w:rsid w:val="00A656CC"/>
    <w:rsid w:val="00A65FEE"/>
    <w:rsid w:val="00A6644B"/>
    <w:rsid w:val="00A66D95"/>
    <w:rsid w:val="00A67F8A"/>
    <w:rsid w:val="00A7000B"/>
    <w:rsid w:val="00A720E0"/>
    <w:rsid w:val="00A729CB"/>
    <w:rsid w:val="00A74D6D"/>
    <w:rsid w:val="00A75889"/>
    <w:rsid w:val="00A75BB6"/>
    <w:rsid w:val="00A75C4E"/>
    <w:rsid w:val="00A75E3C"/>
    <w:rsid w:val="00A76790"/>
    <w:rsid w:val="00A7766D"/>
    <w:rsid w:val="00A77688"/>
    <w:rsid w:val="00A80D48"/>
    <w:rsid w:val="00A80E24"/>
    <w:rsid w:val="00A8109B"/>
    <w:rsid w:val="00A81F65"/>
    <w:rsid w:val="00A8386D"/>
    <w:rsid w:val="00A84AAE"/>
    <w:rsid w:val="00A8537F"/>
    <w:rsid w:val="00A858F3"/>
    <w:rsid w:val="00A86F7F"/>
    <w:rsid w:val="00A90116"/>
    <w:rsid w:val="00A90FA3"/>
    <w:rsid w:val="00A91266"/>
    <w:rsid w:val="00A9230E"/>
    <w:rsid w:val="00A93DD0"/>
    <w:rsid w:val="00A95655"/>
    <w:rsid w:val="00A95D80"/>
    <w:rsid w:val="00A96736"/>
    <w:rsid w:val="00A96C60"/>
    <w:rsid w:val="00A97216"/>
    <w:rsid w:val="00AA18BE"/>
    <w:rsid w:val="00AA2E42"/>
    <w:rsid w:val="00AA4DD6"/>
    <w:rsid w:val="00AA5311"/>
    <w:rsid w:val="00AA64DA"/>
    <w:rsid w:val="00AA7BA6"/>
    <w:rsid w:val="00AA7FF7"/>
    <w:rsid w:val="00AB34C0"/>
    <w:rsid w:val="00AB3874"/>
    <w:rsid w:val="00AB3E9A"/>
    <w:rsid w:val="00AB4640"/>
    <w:rsid w:val="00AB4EBB"/>
    <w:rsid w:val="00AB6417"/>
    <w:rsid w:val="00AB71B3"/>
    <w:rsid w:val="00AB7849"/>
    <w:rsid w:val="00AB7E56"/>
    <w:rsid w:val="00AC0C97"/>
    <w:rsid w:val="00AC294F"/>
    <w:rsid w:val="00AC2985"/>
    <w:rsid w:val="00AC52E0"/>
    <w:rsid w:val="00AC6A2F"/>
    <w:rsid w:val="00AC6A3E"/>
    <w:rsid w:val="00AC7378"/>
    <w:rsid w:val="00AC7929"/>
    <w:rsid w:val="00AD12F9"/>
    <w:rsid w:val="00AD1D21"/>
    <w:rsid w:val="00AD2E07"/>
    <w:rsid w:val="00AD347F"/>
    <w:rsid w:val="00AD362D"/>
    <w:rsid w:val="00AD456C"/>
    <w:rsid w:val="00AD4820"/>
    <w:rsid w:val="00AD4838"/>
    <w:rsid w:val="00AD5C89"/>
    <w:rsid w:val="00AD648C"/>
    <w:rsid w:val="00AD6C2E"/>
    <w:rsid w:val="00AD6CA1"/>
    <w:rsid w:val="00AD73AD"/>
    <w:rsid w:val="00AD7801"/>
    <w:rsid w:val="00AD7C3E"/>
    <w:rsid w:val="00AE15DA"/>
    <w:rsid w:val="00AE1C08"/>
    <w:rsid w:val="00AE3253"/>
    <w:rsid w:val="00AE5086"/>
    <w:rsid w:val="00AE5BE2"/>
    <w:rsid w:val="00AE6186"/>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606D"/>
    <w:rsid w:val="00B07369"/>
    <w:rsid w:val="00B07CF5"/>
    <w:rsid w:val="00B11143"/>
    <w:rsid w:val="00B11D22"/>
    <w:rsid w:val="00B11EF8"/>
    <w:rsid w:val="00B17968"/>
    <w:rsid w:val="00B203C6"/>
    <w:rsid w:val="00B20651"/>
    <w:rsid w:val="00B20AFF"/>
    <w:rsid w:val="00B223B8"/>
    <w:rsid w:val="00B232C2"/>
    <w:rsid w:val="00B2443F"/>
    <w:rsid w:val="00B27F15"/>
    <w:rsid w:val="00B3059B"/>
    <w:rsid w:val="00B32917"/>
    <w:rsid w:val="00B32C50"/>
    <w:rsid w:val="00B3314B"/>
    <w:rsid w:val="00B36610"/>
    <w:rsid w:val="00B36A21"/>
    <w:rsid w:val="00B37CF6"/>
    <w:rsid w:val="00B412A6"/>
    <w:rsid w:val="00B42520"/>
    <w:rsid w:val="00B43956"/>
    <w:rsid w:val="00B4510D"/>
    <w:rsid w:val="00B47E12"/>
    <w:rsid w:val="00B51D10"/>
    <w:rsid w:val="00B51D89"/>
    <w:rsid w:val="00B51F3B"/>
    <w:rsid w:val="00B52EB5"/>
    <w:rsid w:val="00B53070"/>
    <w:rsid w:val="00B53E0C"/>
    <w:rsid w:val="00B540D6"/>
    <w:rsid w:val="00B54B12"/>
    <w:rsid w:val="00B554C6"/>
    <w:rsid w:val="00B55B59"/>
    <w:rsid w:val="00B55DFC"/>
    <w:rsid w:val="00B55FB6"/>
    <w:rsid w:val="00B57159"/>
    <w:rsid w:val="00B576E9"/>
    <w:rsid w:val="00B60C2D"/>
    <w:rsid w:val="00B61AB1"/>
    <w:rsid w:val="00B63DCC"/>
    <w:rsid w:val="00B6456C"/>
    <w:rsid w:val="00B6699F"/>
    <w:rsid w:val="00B6701C"/>
    <w:rsid w:val="00B6744E"/>
    <w:rsid w:val="00B67BC4"/>
    <w:rsid w:val="00B706D9"/>
    <w:rsid w:val="00B7110B"/>
    <w:rsid w:val="00B71668"/>
    <w:rsid w:val="00B71A2D"/>
    <w:rsid w:val="00B73931"/>
    <w:rsid w:val="00B764D5"/>
    <w:rsid w:val="00B76C86"/>
    <w:rsid w:val="00B76E1B"/>
    <w:rsid w:val="00B77704"/>
    <w:rsid w:val="00B80ED8"/>
    <w:rsid w:val="00B82CCF"/>
    <w:rsid w:val="00B836A4"/>
    <w:rsid w:val="00B83FEC"/>
    <w:rsid w:val="00B8428C"/>
    <w:rsid w:val="00B85EB6"/>
    <w:rsid w:val="00B863BC"/>
    <w:rsid w:val="00B8656B"/>
    <w:rsid w:val="00B87727"/>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4C3D"/>
    <w:rsid w:val="00BA588C"/>
    <w:rsid w:val="00BA5D56"/>
    <w:rsid w:val="00BA5E52"/>
    <w:rsid w:val="00BA6504"/>
    <w:rsid w:val="00BA6704"/>
    <w:rsid w:val="00BA7E01"/>
    <w:rsid w:val="00BB0E67"/>
    <w:rsid w:val="00BB0F2C"/>
    <w:rsid w:val="00BB31FD"/>
    <w:rsid w:val="00BB4751"/>
    <w:rsid w:val="00BB47D2"/>
    <w:rsid w:val="00BB59D1"/>
    <w:rsid w:val="00BB7F10"/>
    <w:rsid w:val="00BC09E9"/>
    <w:rsid w:val="00BC1A5C"/>
    <w:rsid w:val="00BC4446"/>
    <w:rsid w:val="00BC466B"/>
    <w:rsid w:val="00BC49E8"/>
    <w:rsid w:val="00BC4AE2"/>
    <w:rsid w:val="00BC5C6F"/>
    <w:rsid w:val="00BC6A5E"/>
    <w:rsid w:val="00BC7C5E"/>
    <w:rsid w:val="00BD0F12"/>
    <w:rsid w:val="00BD1FFC"/>
    <w:rsid w:val="00BD2A29"/>
    <w:rsid w:val="00BD417A"/>
    <w:rsid w:val="00BD5182"/>
    <w:rsid w:val="00BD6268"/>
    <w:rsid w:val="00BD7807"/>
    <w:rsid w:val="00BE04FA"/>
    <w:rsid w:val="00BE0576"/>
    <w:rsid w:val="00BE1F4B"/>
    <w:rsid w:val="00BE2111"/>
    <w:rsid w:val="00BE286C"/>
    <w:rsid w:val="00BE3108"/>
    <w:rsid w:val="00BE320A"/>
    <w:rsid w:val="00BE3C86"/>
    <w:rsid w:val="00BE5398"/>
    <w:rsid w:val="00BE6786"/>
    <w:rsid w:val="00BE7242"/>
    <w:rsid w:val="00BF2ABC"/>
    <w:rsid w:val="00BF55D9"/>
    <w:rsid w:val="00BF6253"/>
    <w:rsid w:val="00BF6277"/>
    <w:rsid w:val="00BF6BC2"/>
    <w:rsid w:val="00BF72E6"/>
    <w:rsid w:val="00BF77DD"/>
    <w:rsid w:val="00C022FB"/>
    <w:rsid w:val="00C02B8C"/>
    <w:rsid w:val="00C047F6"/>
    <w:rsid w:val="00C04EE3"/>
    <w:rsid w:val="00C04F9E"/>
    <w:rsid w:val="00C05160"/>
    <w:rsid w:val="00C06549"/>
    <w:rsid w:val="00C06CB7"/>
    <w:rsid w:val="00C1241A"/>
    <w:rsid w:val="00C12D5A"/>
    <w:rsid w:val="00C138E9"/>
    <w:rsid w:val="00C146C1"/>
    <w:rsid w:val="00C14BF7"/>
    <w:rsid w:val="00C15465"/>
    <w:rsid w:val="00C16A75"/>
    <w:rsid w:val="00C16C91"/>
    <w:rsid w:val="00C17333"/>
    <w:rsid w:val="00C17624"/>
    <w:rsid w:val="00C17849"/>
    <w:rsid w:val="00C202D9"/>
    <w:rsid w:val="00C22026"/>
    <w:rsid w:val="00C24064"/>
    <w:rsid w:val="00C24A21"/>
    <w:rsid w:val="00C24D92"/>
    <w:rsid w:val="00C24E3C"/>
    <w:rsid w:val="00C2521A"/>
    <w:rsid w:val="00C2549C"/>
    <w:rsid w:val="00C2637A"/>
    <w:rsid w:val="00C27EE7"/>
    <w:rsid w:val="00C30495"/>
    <w:rsid w:val="00C30A9F"/>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6EB3"/>
    <w:rsid w:val="00C50B98"/>
    <w:rsid w:val="00C516A2"/>
    <w:rsid w:val="00C52197"/>
    <w:rsid w:val="00C5222B"/>
    <w:rsid w:val="00C527C1"/>
    <w:rsid w:val="00C52B66"/>
    <w:rsid w:val="00C53915"/>
    <w:rsid w:val="00C55F2D"/>
    <w:rsid w:val="00C56740"/>
    <w:rsid w:val="00C577AE"/>
    <w:rsid w:val="00C61B66"/>
    <w:rsid w:val="00C61CF0"/>
    <w:rsid w:val="00C625CB"/>
    <w:rsid w:val="00C654BF"/>
    <w:rsid w:val="00C65931"/>
    <w:rsid w:val="00C670CA"/>
    <w:rsid w:val="00C67FD0"/>
    <w:rsid w:val="00C703FE"/>
    <w:rsid w:val="00C70483"/>
    <w:rsid w:val="00C7065B"/>
    <w:rsid w:val="00C70D43"/>
    <w:rsid w:val="00C70DBB"/>
    <w:rsid w:val="00C745A7"/>
    <w:rsid w:val="00C7472D"/>
    <w:rsid w:val="00C74BF9"/>
    <w:rsid w:val="00C77881"/>
    <w:rsid w:val="00C77DD1"/>
    <w:rsid w:val="00C77E1E"/>
    <w:rsid w:val="00C80BD4"/>
    <w:rsid w:val="00C833BA"/>
    <w:rsid w:val="00C83A12"/>
    <w:rsid w:val="00C84C1D"/>
    <w:rsid w:val="00C85E2D"/>
    <w:rsid w:val="00C86304"/>
    <w:rsid w:val="00C90494"/>
    <w:rsid w:val="00C9053F"/>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5B0"/>
    <w:rsid w:val="00CA38E6"/>
    <w:rsid w:val="00CA4A09"/>
    <w:rsid w:val="00CA5324"/>
    <w:rsid w:val="00CA55DB"/>
    <w:rsid w:val="00CA5686"/>
    <w:rsid w:val="00CA5910"/>
    <w:rsid w:val="00CA5EAD"/>
    <w:rsid w:val="00CA6026"/>
    <w:rsid w:val="00CA63EE"/>
    <w:rsid w:val="00CB1BA9"/>
    <w:rsid w:val="00CB286E"/>
    <w:rsid w:val="00CB4F1F"/>
    <w:rsid w:val="00CB4F3D"/>
    <w:rsid w:val="00CB5A1D"/>
    <w:rsid w:val="00CB677D"/>
    <w:rsid w:val="00CB6A6A"/>
    <w:rsid w:val="00CB7FF6"/>
    <w:rsid w:val="00CC2048"/>
    <w:rsid w:val="00CC2C14"/>
    <w:rsid w:val="00CC2E48"/>
    <w:rsid w:val="00CC42C8"/>
    <w:rsid w:val="00CC463F"/>
    <w:rsid w:val="00CC4B7B"/>
    <w:rsid w:val="00CC51A6"/>
    <w:rsid w:val="00CC584B"/>
    <w:rsid w:val="00CC5F44"/>
    <w:rsid w:val="00CC6B9A"/>
    <w:rsid w:val="00CC6EE0"/>
    <w:rsid w:val="00CD00E5"/>
    <w:rsid w:val="00CD06F8"/>
    <w:rsid w:val="00CD0C6E"/>
    <w:rsid w:val="00CD10C9"/>
    <w:rsid w:val="00CD1496"/>
    <w:rsid w:val="00CD250D"/>
    <w:rsid w:val="00CD25DC"/>
    <w:rsid w:val="00CD40F3"/>
    <w:rsid w:val="00CD41B4"/>
    <w:rsid w:val="00CD46EC"/>
    <w:rsid w:val="00CD4C3F"/>
    <w:rsid w:val="00CD53E3"/>
    <w:rsid w:val="00CD568B"/>
    <w:rsid w:val="00CD5827"/>
    <w:rsid w:val="00CE1C95"/>
    <w:rsid w:val="00CE1DC1"/>
    <w:rsid w:val="00CE2706"/>
    <w:rsid w:val="00CE4BF6"/>
    <w:rsid w:val="00CE6037"/>
    <w:rsid w:val="00CE7AFD"/>
    <w:rsid w:val="00CE7CF5"/>
    <w:rsid w:val="00CE7E45"/>
    <w:rsid w:val="00CF0C6F"/>
    <w:rsid w:val="00CF1EC5"/>
    <w:rsid w:val="00CF20CE"/>
    <w:rsid w:val="00CF3811"/>
    <w:rsid w:val="00CF4298"/>
    <w:rsid w:val="00CF56F8"/>
    <w:rsid w:val="00CF7939"/>
    <w:rsid w:val="00D008B9"/>
    <w:rsid w:val="00D025BD"/>
    <w:rsid w:val="00D02603"/>
    <w:rsid w:val="00D02C3D"/>
    <w:rsid w:val="00D0309F"/>
    <w:rsid w:val="00D03278"/>
    <w:rsid w:val="00D03FDD"/>
    <w:rsid w:val="00D04C3C"/>
    <w:rsid w:val="00D052EF"/>
    <w:rsid w:val="00D053D1"/>
    <w:rsid w:val="00D05524"/>
    <w:rsid w:val="00D074A9"/>
    <w:rsid w:val="00D07829"/>
    <w:rsid w:val="00D105A9"/>
    <w:rsid w:val="00D10B5E"/>
    <w:rsid w:val="00D117CD"/>
    <w:rsid w:val="00D11A91"/>
    <w:rsid w:val="00D12634"/>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C4C"/>
    <w:rsid w:val="00D33EA9"/>
    <w:rsid w:val="00D33F5A"/>
    <w:rsid w:val="00D3580C"/>
    <w:rsid w:val="00D365FA"/>
    <w:rsid w:val="00D36935"/>
    <w:rsid w:val="00D37AD1"/>
    <w:rsid w:val="00D37C30"/>
    <w:rsid w:val="00D37EA4"/>
    <w:rsid w:val="00D407A4"/>
    <w:rsid w:val="00D408BE"/>
    <w:rsid w:val="00D40D1E"/>
    <w:rsid w:val="00D4298C"/>
    <w:rsid w:val="00D44113"/>
    <w:rsid w:val="00D44E72"/>
    <w:rsid w:val="00D459AB"/>
    <w:rsid w:val="00D462BE"/>
    <w:rsid w:val="00D463CB"/>
    <w:rsid w:val="00D464B4"/>
    <w:rsid w:val="00D46D54"/>
    <w:rsid w:val="00D4771C"/>
    <w:rsid w:val="00D5023E"/>
    <w:rsid w:val="00D505DE"/>
    <w:rsid w:val="00D510B0"/>
    <w:rsid w:val="00D52934"/>
    <w:rsid w:val="00D53759"/>
    <w:rsid w:val="00D54631"/>
    <w:rsid w:val="00D54BB0"/>
    <w:rsid w:val="00D558A8"/>
    <w:rsid w:val="00D558F1"/>
    <w:rsid w:val="00D5698B"/>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91E"/>
    <w:rsid w:val="00D72C36"/>
    <w:rsid w:val="00D73CA4"/>
    <w:rsid w:val="00D753B9"/>
    <w:rsid w:val="00D75500"/>
    <w:rsid w:val="00D75587"/>
    <w:rsid w:val="00D755AE"/>
    <w:rsid w:val="00D77668"/>
    <w:rsid w:val="00D80026"/>
    <w:rsid w:val="00D8044A"/>
    <w:rsid w:val="00D827EF"/>
    <w:rsid w:val="00D837D6"/>
    <w:rsid w:val="00D83E47"/>
    <w:rsid w:val="00D85ECE"/>
    <w:rsid w:val="00D86A7E"/>
    <w:rsid w:val="00D86EB9"/>
    <w:rsid w:val="00D87450"/>
    <w:rsid w:val="00D87A3B"/>
    <w:rsid w:val="00D90D1E"/>
    <w:rsid w:val="00D91AD5"/>
    <w:rsid w:val="00D92BB1"/>
    <w:rsid w:val="00D92CDF"/>
    <w:rsid w:val="00D93431"/>
    <w:rsid w:val="00D93F9F"/>
    <w:rsid w:val="00D94AC3"/>
    <w:rsid w:val="00D95F7A"/>
    <w:rsid w:val="00D968E9"/>
    <w:rsid w:val="00DA0308"/>
    <w:rsid w:val="00DA06C2"/>
    <w:rsid w:val="00DA0999"/>
    <w:rsid w:val="00DA0CCF"/>
    <w:rsid w:val="00DA13CB"/>
    <w:rsid w:val="00DA16D9"/>
    <w:rsid w:val="00DA2E3B"/>
    <w:rsid w:val="00DA3CAD"/>
    <w:rsid w:val="00DA43E9"/>
    <w:rsid w:val="00DA5837"/>
    <w:rsid w:val="00DA6A64"/>
    <w:rsid w:val="00DA78A1"/>
    <w:rsid w:val="00DA7920"/>
    <w:rsid w:val="00DB02F5"/>
    <w:rsid w:val="00DB0585"/>
    <w:rsid w:val="00DB090B"/>
    <w:rsid w:val="00DB0BC6"/>
    <w:rsid w:val="00DB16AC"/>
    <w:rsid w:val="00DB20DD"/>
    <w:rsid w:val="00DB27CE"/>
    <w:rsid w:val="00DB35C9"/>
    <w:rsid w:val="00DB4858"/>
    <w:rsid w:val="00DB486F"/>
    <w:rsid w:val="00DB4CC3"/>
    <w:rsid w:val="00DB7734"/>
    <w:rsid w:val="00DB7F30"/>
    <w:rsid w:val="00DB7FEE"/>
    <w:rsid w:val="00DC0377"/>
    <w:rsid w:val="00DC0991"/>
    <w:rsid w:val="00DC2336"/>
    <w:rsid w:val="00DC23BA"/>
    <w:rsid w:val="00DC4387"/>
    <w:rsid w:val="00DC46C7"/>
    <w:rsid w:val="00DC6922"/>
    <w:rsid w:val="00DC7389"/>
    <w:rsid w:val="00DD000F"/>
    <w:rsid w:val="00DD238F"/>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CE1"/>
    <w:rsid w:val="00DF1E16"/>
    <w:rsid w:val="00DF225D"/>
    <w:rsid w:val="00DF2D6F"/>
    <w:rsid w:val="00DF44A0"/>
    <w:rsid w:val="00DF4831"/>
    <w:rsid w:val="00DF492D"/>
    <w:rsid w:val="00DF5778"/>
    <w:rsid w:val="00DF641A"/>
    <w:rsid w:val="00DF6F1C"/>
    <w:rsid w:val="00E0027D"/>
    <w:rsid w:val="00E002DD"/>
    <w:rsid w:val="00E00DC3"/>
    <w:rsid w:val="00E01973"/>
    <w:rsid w:val="00E03B30"/>
    <w:rsid w:val="00E0417B"/>
    <w:rsid w:val="00E04413"/>
    <w:rsid w:val="00E04DB8"/>
    <w:rsid w:val="00E05BD4"/>
    <w:rsid w:val="00E067E5"/>
    <w:rsid w:val="00E0771B"/>
    <w:rsid w:val="00E07C23"/>
    <w:rsid w:val="00E07D76"/>
    <w:rsid w:val="00E10D0A"/>
    <w:rsid w:val="00E1125B"/>
    <w:rsid w:val="00E1166D"/>
    <w:rsid w:val="00E14AD1"/>
    <w:rsid w:val="00E15550"/>
    <w:rsid w:val="00E1640C"/>
    <w:rsid w:val="00E16457"/>
    <w:rsid w:val="00E170FE"/>
    <w:rsid w:val="00E17B85"/>
    <w:rsid w:val="00E17DA9"/>
    <w:rsid w:val="00E2250E"/>
    <w:rsid w:val="00E22DA1"/>
    <w:rsid w:val="00E23018"/>
    <w:rsid w:val="00E235F5"/>
    <w:rsid w:val="00E24A83"/>
    <w:rsid w:val="00E24ACA"/>
    <w:rsid w:val="00E25E95"/>
    <w:rsid w:val="00E26369"/>
    <w:rsid w:val="00E2655D"/>
    <w:rsid w:val="00E2658D"/>
    <w:rsid w:val="00E2674B"/>
    <w:rsid w:val="00E2699F"/>
    <w:rsid w:val="00E26B54"/>
    <w:rsid w:val="00E27233"/>
    <w:rsid w:val="00E2733B"/>
    <w:rsid w:val="00E3011B"/>
    <w:rsid w:val="00E303DD"/>
    <w:rsid w:val="00E33FF5"/>
    <w:rsid w:val="00E34C21"/>
    <w:rsid w:val="00E35BD2"/>
    <w:rsid w:val="00E35FCC"/>
    <w:rsid w:val="00E3624B"/>
    <w:rsid w:val="00E36E69"/>
    <w:rsid w:val="00E375F6"/>
    <w:rsid w:val="00E37704"/>
    <w:rsid w:val="00E40DC8"/>
    <w:rsid w:val="00E42C6A"/>
    <w:rsid w:val="00E4367B"/>
    <w:rsid w:val="00E43DCF"/>
    <w:rsid w:val="00E45573"/>
    <w:rsid w:val="00E45E63"/>
    <w:rsid w:val="00E46A32"/>
    <w:rsid w:val="00E46CD7"/>
    <w:rsid w:val="00E46F8F"/>
    <w:rsid w:val="00E50E8E"/>
    <w:rsid w:val="00E515A9"/>
    <w:rsid w:val="00E51658"/>
    <w:rsid w:val="00E525D7"/>
    <w:rsid w:val="00E52B33"/>
    <w:rsid w:val="00E52B56"/>
    <w:rsid w:val="00E535AF"/>
    <w:rsid w:val="00E55E07"/>
    <w:rsid w:val="00E56AE2"/>
    <w:rsid w:val="00E5738A"/>
    <w:rsid w:val="00E57ADB"/>
    <w:rsid w:val="00E6188E"/>
    <w:rsid w:val="00E61CF3"/>
    <w:rsid w:val="00E6204E"/>
    <w:rsid w:val="00E63619"/>
    <w:rsid w:val="00E63A3B"/>
    <w:rsid w:val="00E64C94"/>
    <w:rsid w:val="00E64D91"/>
    <w:rsid w:val="00E65065"/>
    <w:rsid w:val="00E66AF8"/>
    <w:rsid w:val="00E66B82"/>
    <w:rsid w:val="00E722D9"/>
    <w:rsid w:val="00E733CB"/>
    <w:rsid w:val="00E73A1F"/>
    <w:rsid w:val="00E74A3D"/>
    <w:rsid w:val="00E74BA8"/>
    <w:rsid w:val="00E7560C"/>
    <w:rsid w:val="00E7720D"/>
    <w:rsid w:val="00E80DBD"/>
    <w:rsid w:val="00E80F8D"/>
    <w:rsid w:val="00E812AD"/>
    <w:rsid w:val="00E8141E"/>
    <w:rsid w:val="00E82926"/>
    <w:rsid w:val="00E83625"/>
    <w:rsid w:val="00E83F34"/>
    <w:rsid w:val="00E85390"/>
    <w:rsid w:val="00E86197"/>
    <w:rsid w:val="00E87323"/>
    <w:rsid w:val="00E9130A"/>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B51"/>
    <w:rsid w:val="00EB1DE7"/>
    <w:rsid w:val="00EB2758"/>
    <w:rsid w:val="00EB2CF2"/>
    <w:rsid w:val="00EB3206"/>
    <w:rsid w:val="00EB3F26"/>
    <w:rsid w:val="00EB41CF"/>
    <w:rsid w:val="00EB4252"/>
    <w:rsid w:val="00EB461F"/>
    <w:rsid w:val="00EB4C92"/>
    <w:rsid w:val="00EB4F66"/>
    <w:rsid w:val="00EB5BA1"/>
    <w:rsid w:val="00EB6B05"/>
    <w:rsid w:val="00EC0CE4"/>
    <w:rsid w:val="00EC0FDB"/>
    <w:rsid w:val="00EC293D"/>
    <w:rsid w:val="00EC3AF0"/>
    <w:rsid w:val="00EC6646"/>
    <w:rsid w:val="00EC6A7F"/>
    <w:rsid w:val="00EC7634"/>
    <w:rsid w:val="00EC77D4"/>
    <w:rsid w:val="00ED0F26"/>
    <w:rsid w:val="00ED17DC"/>
    <w:rsid w:val="00ED1D17"/>
    <w:rsid w:val="00ED1D3A"/>
    <w:rsid w:val="00ED630B"/>
    <w:rsid w:val="00ED72FC"/>
    <w:rsid w:val="00EE0996"/>
    <w:rsid w:val="00EE0EFD"/>
    <w:rsid w:val="00EE13DE"/>
    <w:rsid w:val="00EE1743"/>
    <w:rsid w:val="00EE1BC5"/>
    <w:rsid w:val="00EE1D0B"/>
    <w:rsid w:val="00EE21B0"/>
    <w:rsid w:val="00EE2C34"/>
    <w:rsid w:val="00EE30DF"/>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3FFA"/>
    <w:rsid w:val="00F240C7"/>
    <w:rsid w:val="00F249BF"/>
    <w:rsid w:val="00F25613"/>
    <w:rsid w:val="00F25AE6"/>
    <w:rsid w:val="00F30966"/>
    <w:rsid w:val="00F30BAE"/>
    <w:rsid w:val="00F31777"/>
    <w:rsid w:val="00F31C86"/>
    <w:rsid w:val="00F3224A"/>
    <w:rsid w:val="00F3377A"/>
    <w:rsid w:val="00F348CA"/>
    <w:rsid w:val="00F34CDD"/>
    <w:rsid w:val="00F3567F"/>
    <w:rsid w:val="00F3594E"/>
    <w:rsid w:val="00F36602"/>
    <w:rsid w:val="00F36FB1"/>
    <w:rsid w:val="00F403BA"/>
    <w:rsid w:val="00F410A7"/>
    <w:rsid w:val="00F4185A"/>
    <w:rsid w:val="00F42AE8"/>
    <w:rsid w:val="00F42E25"/>
    <w:rsid w:val="00F44A2B"/>
    <w:rsid w:val="00F45016"/>
    <w:rsid w:val="00F45F2E"/>
    <w:rsid w:val="00F47EA3"/>
    <w:rsid w:val="00F50015"/>
    <w:rsid w:val="00F50753"/>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0EFF"/>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151A"/>
    <w:rsid w:val="00F82E42"/>
    <w:rsid w:val="00F84B59"/>
    <w:rsid w:val="00F84F8C"/>
    <w:rsid w:val="00F85DBB"/>
    <w:rsid w:val="00F909A0"/>
    <w:rsid w:val="00F90DAF"/>
    <w:rsid w:val="00F91A09"/>
    <w:rsid w:val="00F932D5"/>
    <w:rsid w:val="00F9330E"/>
    <w:rsid w:val="00F94372"/>
    <w:rsid w:val="00F9473C"/>
    <w:rsid w:val="00F94968"/>
    <w:rsid w:val="00F9509E"/>
    <w:rsid w:val="00F95A09"/>
    <w:rsid w:val="00F95BF2"/>
    <w:rsid w:val="00F972C1"/>
    <w:rsid w:val="00FA0074"/>
    <w:rsid w:val="00FA1553"/>
    <w:rsid w:val="00FA55E5"/>
    <w:rsid w:val="00FA5A55"/>
    <w:rsid w:val="00FA7232"/>
    <w:rsid w:val="00FB0122"/>
    <w:rsid w:val="00FB220A"/>
    <w:rsid w:val="00FB29A7"/>
    <w:rsid w:val="00FB2E48"/>
    <w:rsid w:val="00FB5555"/>
    <w:rsid w:val="00FB6124"/>
    <w:rsid w:val="00FB61C8"/>
    <w:rsid w:val="00FB635A"/>
    <w:rsid w:val="00FB64F3"/>
    <w:rsid w:val="00FB7CF8"/>
    <w:rsid w:val="00FC08EC"/>
    <w:rsid w:val="00FC0A5C"/>
    <w:rsid w:val="00FC10C9"/>
    <w:rsid w:val="00FC19CE"/>
    <w:rsid w:val="00FC2236"/>
    <w:rsid w:val="00FC26CF"/>
    <w:rsid w:val="00FC4270"/>
    <w:rsid w:val="00FC4999"/>
    <w:rsid w:val="00FC572B"/>
    <w:rsid w:val="00FC6743"/>
    <w:rsid w:val="00FC6786"/>
    <w:rsid w:val="00FC6E2A"/>
    <w:rsid w:val="00FC7E62"/>
    <w:rsid w:val="00FD00B5"/>
    <w:rsid w:val="00FD0295"/>
    <w:rsid w:val="00FD1D90"/>
    <w:rsid w:val="00FD3D5C"/>
    <w:rsid w:val="00FD3DA7"/>
    <w:rsid w:val="00FD4D6F"/>
    <w:rsid w:val="00FD50A0"/>
    <w:rsid w:val="00FD5DD3"/>
    <w:rsid w:val="00FD68C2"/>
    <w:rsid w:val="00FD7AE2"/>
    <w:rsid w:val="00FE1761"/>
    <w:rsid w:val="00FE2225"/>
    <w:rsid w:val="00FE2E59"/>
    <w:rsid w:val="00FE3332"/>
    <w:rsid w:val="00FE37EF"/>
    <w:rsid w:val="00FE4346"/>
    <w:rsid w:val="00FE455A"/>
    <w:rsid w:val="00FE4EB5"/>
    <w:rsid w:val="00FF6C26"/>
    <w:rsid w:val="00FF6E9B"/>
    <w:rsid w:val="00FF7AC6"/>
    <w:rsid w:val="033F683B"/>
    <w:rsid w:val="0341645D"/>
    <w:rsid w:val="043013E0"/>
    <w:rsid w:val="044B6FF4"/>
    <w:rsid w:val="05765502"/>
    <w:rsid w:val="061C0CA8"/>
    <w:rsid w:val="062C280A"/>
    <w:rsid w:val="06D67825"/>
    <w:rsid w:val="07285B25"/>
    <w:rsid w:val="0796000D"/>
    <w:rsid w:val="07C0798B"/>
    <w:rsid w:val="08417FA7"/>
    <w:rsid w:val="0942292F"/>
    <w:rsid w:val="0A632019"/>
    <w:rsid w:val="0AAE62EE"/>
    <w:rsid w:val="0B306A87"/>
    <w:rsid w:val="0BE305C7"/>
    <w:rsid w:val="0C2627C8"/>
    <w:rsid w:val="0D2701B4"/>
    <w:rsid w:val="0DDC3A66"/>
    <w:rsid w:val="0DFE385A"/>
    <w:rsid w:val="0E4750B1"/>
    <w:rsid w:val="0F202505"/>
    <w:rsid w:val="0F4933A8"/>
    <w:rsid w:val="0F920C6F"/>
    <w:rsid w:val="101F3294"/>
    <w:rsid w:val="10554E67"/>
    <w:rsid w:val="10756CB1"/>
    <w:rsid w:val="112F1876"/>
    <w:rsid w:val="11364558"/>
    <w:rsid w:val="11B22984"/>
    <w:rsid w:val="11F62ADD"/>
    <w:rsid w:val="121438CE"/>
    <w:rsid w:val="136F5E09"/>
    <w:rsid w:val="14135CE9"/>
    <w:rsid w:val="143F7994"/>
    <w:rsid w:val="14556E24"/>
    <w:rsid w:val="145C09B6"/>
    <w:rsid w:val="14D0319D"/>
    <w:rsid w:val="15445FB3"/>
    <w:rsid w:val="15AC68D1"/>
    <w:rsid w:val="15E564DA"/>
    <w:rsid w:val="16B54D41"/>
    <w:rsid w:val="19107E5B"/>
    <w:rsid w:val="19DA1C88"/>
    <w:rsid w:val="1A09059C"/>
    <w:rsid w:val="1A595A62"/>
    <w:rsid w:val="1AAB2134"/>
    <w:rsid w:val="1B574A59"/>
    <w:rsid w:val="1C8C3FCD"/>
    <w:rsid w:val="1E4578B6"/>
    <w:rsid w:val="1F3A0188"/>
    <w:rsid w:val="200D34F7"/>
    <w:rsid w:val="22AC349C"/>
    <w:rsid w:val="22BD3DDC"/>
    <w:rsid w:val="2368442E"/>
    <w:rsid w:val="237A6685"/>
    <w:rsid w:val="23A50732"/>
    <w:rsid w:val="23B834F9"/>
    <w:rsid w:val="24180599"/>
    <w:rsid w:val="25592D3B"/>
    <w:rsid w:val="25F25922"/>
    <w:rsid w:val="26D959CA"/>
    <w:rsid w:val="277245D4"/>
    <w:rsid w:val="28114720"/>
    <w:rsid w:val="28CF63F4"/>
    <w:rsid w:val="29326DC7"/>
    <w:rsid w:val="296A57B2"/>
    <w:rsid w:val="29F26F2A"/>
    <w:rsid w:val="2B4179B6"/>
    <w:rsid w:val="2BC16C32"/>
    <w:rsid w:val="2C2E0A7D"/>
    <w:rsid w:val="2C85746B"/>
    <w:rsid w:val="2CC855D1"/>
    <w:rsid w:val="2DDD422B"/>
    <w:rsid w:val="2E84548B"/>
    <w:rsid w:val="2ED0406E"/>
    <w:rsid w:val="2F2B1A5B"/>
    <w:rsid w:val="2FC9681B"/>
    <w:rsid w:val="31014D28"/>
    <w:rsid w:val="31C41AB5"/>
    <w:rsid w:val="339A2E9C"/>
    <w:rsid w:val="34E62D8C"/>
    <w:rsid w:val="35FB623F"/>
    <w:rsid w:val="366E3B3C"/>
    <w:rsid w:val="36B3618C"/>
    <w:rsid w:val="370F0BCD"/>
    <w:rsid w:val="3715098A"/>
    <w:rsid w:val="377C6EFA"/>
    <w:rsid w:val="37840143"/>
    <w:rsid w:val="39157688"/>
    <w:rsid w:val="39C66799"/>
    <w:rsid w:val="3A1844F4"/>
    <w:rsid w:val="3A315C33"/>
    <w:rsid w:val="3A922B1F"/>
    <w:rsid w:val="3B1209F3"/>
    <w:rsid w:val="3B5878C5"/>
    <w:rsid w:val="3BA011E5"/>
    <w:rsid w:val="3BE22C01"/>
    <w:rsid w:val="3C5C5F5C"/>
    <w:rsid w:val="3CA66F12"/>
    <w:rsid w:val="3E596370"/>
    <w:rsid w:val="3EF50E21"/>
    <w:rsid w:val="3FBC6BAA"/>
    <w:rsid w:val="40865941"/>
    <w:rsid w:val="416318D4"/>
    <w:rsid w:val="417F239B"/>
    <w:rsid w:val="41F25792"/>
    <w:rsid w:val="42974085"/>
    <w:rsid w:val="452B5932"/>
    <w:rsid w:val="45497D2B"/>
    <w:rsid w:val="45544D16"/>
    <w:rsid w:val="45820476"/>
    <w:rsid w:val="45C11FF3"/>
    <w:rsid w:val="47775AD7"/>
    <w:rsid w:val="49A773FE"/>
    <w:rsid w:val="4A1F4764"/>
    <w:rsid w:val="4B0D67DA"/>
    <w:rsid w:val="4B104729"/>
    <w:rsid w:val="4B561588"/>
    <w:rsid w:val="4C556343"/>
    <w:rsid w:val="4CAC01DB"/>
    <w:rsid w:val="4CBA6D83"/>
    <w:rsid w:val="4EA24A37"/>
    <w:rsid w:val="4EBF1908"/>
    <w:rsid w:val="50BE485B"/>
    <w:rsid w:val="50EF21DE"/>
    <w:rsid w:val="50FC6397"/>
    <w:rsid w:val="51CE7479"/>
    <w:rsid w:val="524C78DF"/>
    <w:rsid w:val="52FE5AB1"/>
    <w:rsid w:val="53DA317B"/>
    <w:rsid w:val="54103AAC"/>
    <w:rsid w:val="54455AEF"/>
    <w:rsid w:val="5482205B"/>
    <w:rsid w:val="549A5B63"/>
    <w:rsid w:val="55190490"/>
    <w:rsid w:val="554C03ED"/>
    <w:rsid w:val="55A7171D"/>
    <w:rsid w:val="56731CF1"/>
    <w:rsid w:val="56A01764"/>
    <w:rsid w:val="56A93273"/>
    <w:rsid w:val="57096E9F"/>
    <w:rsid w:val="57CD7FAB"/>
    <w:rsid w:val="57D5394B"/>
    <w:rsid w:val="59125B5B"/>
    <w:rsid w:val="5A5B099B"/>
    <w:rsid w:val="5B5D3146"/>
    <w:rsid w:val="5E653E57"/>
    <w:rsid w:val="5EC82C7F"/>
    <w:rsid w:val="5EDC31F2"/>
    <w:rsid w:val="5FD6799D"/>
    <w:rsid w:val="60915A2A"/>
    <w:rsid w:val="60F8252D"/>
    <w:rsid w:val="621E6BB3"/>
    <w:rsid w:val="629F59D2"/>
    <w:rsid w:val="63C64EB3"/>
    <w:rsid w:val="648D0D03"/>
    <w:rsid w:val="66C24EF1"/>
    <w:rsid w:val="66CC0AAD"/>
    <w:rsid w:val="689A3E47"/>
    <w:rsid w:val="689F1CB4"/>
    <w:rsid w:val="68AE5B14"/>
    <w:rsid w:val="697A70E8"/>
    <w:rsid w:val="6A4B47BB"/>
    <w:rsid w:val="6AB96073"/>
    <w:rsid w:val="6B4725E4"/>
    <w:rsid w:val="6B912F3A"/>
    <w:rsid w:val="6BCC359A"/>
    <w:rsid w:val="6D870C0C"/>
    <w:rsid w:val="6EA339BF"/>
    <w:rsid w:val="6F207AEE"/>
    <w:rsid w:val="70550787"/>
    <w:rsid w:val="7086429A"/>
    <w:rsid w:val="70C03EA1"/>
    <w:rsid w:val="710A6D7C"/>
    <w:rsid w:val="72147D8C"/>
    <w:rsid w:val="72684F31"/>
    <w:rsid w:val="72C735DA"/>
    <w:rsid w:val="74171020"/>
    <w:rsid w:val="7461635C"/>
    <w:rsid w:val="74FF083E"/>
    <w:rsid w:val="75033A86"/>
    <w:rsid w:val="75AD133B"/>
    <w:rsid w:val="760333B2"/>
    <w:rsid w:val="77106AAF"/>
    <w:rsid w:val="7722680D"/>
    <w:rsid w:val="777D0D1B"/>
    <w:rsid w:val="78204054"/>
    <w:rsid w:val="78254F2C"/>
    <w:rsid w:val="789E1E5D"/>
    <w:rsid w:val="791C7CCC"/>
    <w:rsid w:val="7AE24C58"/>
    <w:rsid w:val="7BC62B6D"/>
    <w:rsid w:val="7CF56221"/>
    <w:rsid w:val="7D353CCF"/>
    <w:rsid w:val="7E6B23A3"/>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qFormat/>
    <w:uiPriority w:val="0"/>
    <w:pPr>
      <w:keepNext/>
      <w:outlineLvl w:val="3"/>
    </w:pPr>
    <w:rPr>
      <w:sz w:val="28"/>
      <w:szCs w:val="20"/>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qFormat/>
    <w:uiPriority w:val="99"/>
    <w:pPr>
      <w:keepNext/>
      <w:keepLines/>
      <w:spacing w:before="240" w:after="64" w:line="320" w:lineRule="auto"/>
      <w:outlineLvl w:val="6"/>
    </w:pPr>
    <w:rPr>
      <w:b/>
      <w:bCs/>
      <w:sz w:val="24"/>
    </w:rPr>
  </w:style>
  <w:style w:type="paragraph" w:styleId="11">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2"/>
    <w:basedOn w:val="1"/>
    <w:link w:val="78"/>
    <w:qFormat/>
    <w:uiPriority w:val="99"/>
    <w:rPr>
      <w:color w:val="FF0000"/>
      <w:kern w:val="0"/>
      <w:sz w:val="20"/>
      <w:szCs w:val="20"/>
    </w:r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unhideWhenUsed/>
    <w:qFormat/>
    <w:uiPriority w:val="99"/>
    <w:pPr>
      <w:ind w:left="2520" w:leftChars="1200"/>
    </w:pPr>
    <w:rPr>
      <w:rFonts w:ascii="Calibri" w:hAnsi="Calibri"/>
      <w:szCs w:val="22"/>
    </w:rPr>
  </w:style>
  <w:style w:type="paragraph" w:styleId="14">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5">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6">
    <w:name w:val="List Number"/>
    <w:basedOn w:val="1"/>
    <w:qFormat/>
    <w:uiPriority w:val="99"/>
    <w:pPr>
      <w:tabs>
        <w:tab w:val="left" w:pos="360"/>
      </w:tabs>
      <w:ind w:left="360" w:hanging="200" w:hangingChars="200"/>
    </w:pPr>
  </w:style>
  <w:style w:type="paragraph" w:styleId="17">
    <w:name w:val="List Bullet"/>
    <w:basedOn w:val="1"/>
    <w:qFormat/>
    <w:uiPriority w:val="99"/>
    <w:pPr>
      <w:tabs>
        <w:tab w:val="left" w:pos="360"/>
      </w:tabs>
      <w:ind w:left="360" w:hanging="360"/>
    </w:pPr>
    <w:rPr>
      <w:sz w:val="24"/>
    </w:rPr>
  </w:style>
  <w:style w:type="paragraph" w:styleId="18">
    <w:name w:val="Document Map"/>
    <w:basedOn w:val="1"/>
    <w:link w:val="68"/>
    <w:semiHidden/>
    <w:qFormat/>
    <w:uiPriority w:val="99"/>
    <w:rPr>
      <w:rFonts w:ascii="宋体"/>
      <w:sz w:val="18"/>
      <w:szCs w:val="18"/>
    </w:rPr>
  </w:style>
  <w:style w:type="paragraph" w:styleId="19">
    <w:name w:val="annotation text"/>
    <w:basedOn w:val="1"/>
    <w:link w:val="69"/>
    <w:qFormat/>
    <w:uiPriority w:val="99"/>
    <w:pPr>
      <w:jc w:val="left"/>
    </w:pPr>
    <w:rPr>
      <w:szCs w:val="20"/>
    </w:rPr>
  </w:style>
  <w:style w:type="paragraph" w:styleId="20">
    <w:name w:val="Body Text 3"/>
    <w:basedOn w:val="1"/>
    <w:link w:val="70"/>
    <w:qFormat/>
    <w:uiPriority w:val="99"/>
    <w:pPr>
      <w:spacing w:after="120"/>
    </w:pPr>
    <w:rPr>
      <w:sz w:val="16"/>
      <w:szCs w:val="16"/>
    </w:rPr>
  </w:style>
  <w:style w:type="paragraph" w:styleId="21">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2">
    <w:name w:val="Body Text"/>
    <w:basedOn w:val="1"/>
    <w:link w:val="71"/>
    <w:qFormat/>
    <w:uiPriority w:val="99"/>
    <w:rPr>
      <w:sz w:val="28"/>
      <w:szCs w:val="20"/>
    </w:rPr>
  </w:style>
  <w:style w:type="paragraph" w:styleId="23">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4">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5">
    <w:name w:val="List 2"/>
    <w:basedOn w:val="1"/>
    <w:qFormat/>
    <w:uiPriority w:val="0"/>
    <w:pPr>
      <w:ind w:left="100" w:leftChars="200" w:hanging="200" w:hangingChars="200"/>
    </w:pPr>
  </w:style>
  <w:style w:type="paragraph" w:styleId="26">
    <w:name w:val="List Bullet 2"/>
    <w:basedOn w:val="1"/>
    <w:next w:val="27"/>
    <w:qFormat/>
    <w:uiPriority w:val="99"/>
    <w:pPr>
      <w:keepLines/>
      <w:tabs>
        <w:tab w:val="left" w:pos="780"/>
      </w:tabs>
      <w:spacing w:afterLines="20" w:line="264" w:lineRule="auto"/>
      <w:ind w:left="780" w:hanging="360"/>
    </w:pPr>
    <w:rPr>
      <w:rFonts w:ascii="宋体"/>
      <w:sz w:val="24"/>
      <w:szCs w:val="21"/>
    </w:rPr>
  </w:style>
  <w:style w:type="paragraph" w:styleId="27">
    <w:name w:val="Body Text First Indent"/>
    <w:basedOn w:val="22"/>
    <w:link w:val="72"/>
    <w:qFormat/>
    <w:uiPriority w:val="99"/>
    <w:pPr>
      <w:spacing w:after="120"/>
      <w:ind w:firstLine="210" w:firstLineChars="100"/>
    </w:pPr>
    <w:rPr>
      <w:kern w:val="0"/>
      <w:sz w:val="20"/>
    </w:rPr>
  </w:style>
  <w:style w:type="paragraph" w:styleId="28">
    <w:name w:val="toc 5"/>
    <w:basedOn w:val="1"/>
    <w:next w:val="1"/>
    <w:unhideWhenUsed/>
    <w:qFormat/>
    <w:uiPriority w:val="99"/>
    <w:pPr>
      <w:ind w:left="1680" w:leftChars="800"/>
    </w:pPr>
    <w:rPr>
      <w:rFonts w:ascii="Calibri" w:hAnsi="Calibri"/>
      <w:szCs w:val="22"/>
    </w:rPr>
  </w:style>
  <w:style w:type="paragraph" w:styleId="29">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30">
    <w:name w:val="Plain Text"/>
    <w:basedOn w:val="1"/>
    <w:qFormat/>
    <w:uiPriority w:val="0"/>
    <w:rPr>
      <w:rFonts w:ascii="宋体" w:hAnsi="Courier New"/>
      <w:szCs w:val="20"/>
    </w:rPr>
  </w:style>
  <w:style w:type="paragraph" w:styleId="31">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2">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3">
    <w:name w:val="toc 8"/>
    <w:basedOn w:val="1"/>
    <w:next w:val="1"/>
    <w:unhideWhenUsed/>
    <w:qFormat/>
    <w:uiPriority w:val="99"/>
    <w:pPr>
      <w:ind w:left="2940" w:leftChars="1400"/>
    </w:pPr>
    <w:rPr>
      <w:rFonts w:ascii="Calibri" w:hAnsi="Calibri"/>
      <w:szCs w:val="22"/>
    </w:rPr>
  </w:style>
  <w:style w:type="paragraph" w:styleId="34">
    <w:name w:val="Date"/>
    <w:basedOn w:val="1"/>
    <w:next w:val="1"/>
    <w:link w:val="73"/>
    <w:qFormat/>
    <w:uiPriority w:val="99"/>
    <w:pPr>
      <w:ind w:left="100" w:leftChars="2500"/>
    </w:pPr>
    <w:rPr>
      <w:szCs w:val="20"/>
    </w:rPr>
  </w:style>
  <w:style w:type="paragraph" w:styleId="35">
    <w:name w:val="Body Text Indent 2"/>
    <w:basedOn w:val="1"/>
    <w:qFormat/>
    <w:uiPriority w:val="99"/>
    <w:pPr>
      <w:spacing w:line="480" w:lineRule="auto"/>
      <w:ind w:firstLine="480" w:firstLineChars="200"/>
    </w:pPr>
    <w:rPr>
      <w:rFonts w:ascii="仿宋_GB2312" w:hAnsi="宋体" w:eastAsia="仿宋_GB2312"/>
      <w:sz w:val="24"/>
    </w:rPr>
  </w:style>
  <w:style w:type="paragraph" w:styleId="36">
    <w:name w:val="Balloon Text"/>
    <w:basedOn w:val="1"/>
    <w:link w:val="74"/>
    <w:qFormat/>
    <w:uiPriority w:val="99"/>
    <w:rPr>
      <w:sz w:val="18"/>
      <w:szCs w:val="18"/>
    </w:rPr>
  </w:style>
  <w:style w:type="paragraph" w:styleId="37">
    <w:name w:val="footer"/>
    <w:basedOn w:val="1"/>
    <w:link w:val="75"/>
    <w:qFormat/>
    <w:uiPriority w:val="99"/>
    <w:pPr>
      <w:tabs>
        <w:tab w:val="center" w:pos="4153"/>
        <w:tab w:val="right" w:pos="8306"/>
      </w:tabs>
      <w:snapToGrid w:val="0"/>
      <w:jc w:val="left"/>
    </w:pPr>
    <w:rPr>
      <w:sz w:val="18"/>
      <w:szCs w:val="18"/>
    </w:rPr>
  </w:style>
  <w:style w:type="paragraph" w:styleId="38">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9">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0">
    <w:name w:val="toc 4"/>
    <w:basedOn w:val="1"/>
    <w:next w:val="1"/>
    <w:unhideWhenUsed/>
    <w:qFormat/>
    <w:uiPriority w:val="99"/>
    <w:pPr>
      <w:ind w:left="1260" w:leftChars="600"/>
    </w:pPr>
    <w:rPr>
      <w:rFonts w:ascii="Calibri" w:hAnsi="Calibri"/>
      <w:szCs w:val="22"/>
    </w:rPr>
  </w:style>
  <w:style w:type="paragraph" w:styleId="41">
    <w:name w:val="index heading"/>
    <w:basedOn w:val="1"/>
    <w:next w:val="42"/>
    <w:qFormat/>
    <w:uiPriority w:val="0"/>
    <w:pPr>
      <w:adjustRightInd w:val="0"/>
      <w:spacing w:line="312" w:lineRule="atLeast"/>
      <w:textAlignment w:val="baseline"/>
    </w:pPr>
    <w:rPr>
      <w:kern w:val="0"/>
      <w:szCs w:val="20"/>
    </w:rPr>
  </w:style>
  <w:style w:type="paragraph" w:styleId="42">
    <w:name w:val="index 1"/>
    <w:basedOn w:val="1"/>
    <w:next w:val="1"/>
    <w:unhideWhenUsed/>
    <w:qFormat/>
    <w:uiPriority w:val="99"/>
  </w:style>
  <w:style w:type="paragraph" w:styleId="43">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4">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5">
    <w:name w:val="toc 6"/>
    <w:basedOn w:val="1"/>
    <w:next w:val="1"/>
    <w:unhideWhenUsed/>
    <w:qFormat/>
    <w:uiPriority w:val="99"/>
    <w:pPr>
      <w:ind w:left="2100" w:leftChars="1000"/>
    </w:pPr>
    <w:rPr>
      <w:rFonts w:ascii="Calibri" w:hAnsi="Calibri"/>
      <w:szCs w:val="22"/>
    </w:rPr>
  </w:style>
  <w:style w:type="paragraph" w:styleId="46">
    <w:name w:val="Body Text Indent 3"/>
    <w:basedOn w:val="1"/>
    <w:qFormat/>
    <w:uiPriority w:val="99"/>
    <w:pPr>
      <w:spacing w:after="120" w:line="360" w:lineRule="atLeast"/>
      <w:ind w:firstLine="720" w:firstLineChars="300"/>
    </w:pPr>
    <w:rPr>
      <w:sz w:val="24"/>
      <w:szCs w:val="20"/>
    </w:rPr>
  </w:style>
  <w:style w:type="paragraph" w:styleId="47">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8">
    <w:name w:val="toc 9"/>
    <w:basedOn w:val="1"/>
    <w:next w:val="1"/>
    <w:unhideWhenUsed/>
    <w:qFormat/>
    <w:uiPriority w:val="99"/>
    <w:pPr>
      <w:ind w:left="3360" w:leftChars="1600"/>
    </w:pPr>
    <w:rPr>
      <w:rFonts w:ascii="Calibri" w:hAnsi="Calibri"/>
      <w:szCs w:val="22"/>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79"/>
    <w:semiHidden/>
    <w:qFormat/>
    <w:uiPriority w:val="99"/>
    <w:rPr>
      <w:b/>
      <w:bCs/>
    </w:rPr>
  </w:style>
  <w:style w:type="paragraph" w:styleId="52">
    <w:name w:val="Body Text First Indent 2"/>
    <w:basedOn w:val="23"/>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3"/>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文档结构图 字符"/>
    <w:link w:val="18"/>
    <w:semiHidden/>
    <w:qFormat/>
    <w:uiPriority w:val="99"/>
    <w:rPr>
      <w:rFonts w:ascii="宋体"/>
      <w:kern w:val="2"/>
      <w:sz w:val="18"/>
      <w:szCs w:val="18"/>
    </w:rPr>
  </w:style>
  <w:style w:type="character" w:customStyle="1" w:styleId="69">
    <w:name w:val="批注文字 字符"/>
    <w:link w:val="19"/>
    <w:qFormat/>
    <w:uiPriority w:val="99"/>
    <w:rPr>
      <w:rFonts w:eastAsia="宋体"/>
      <w:kern w:val="2"/>
      <w:sz w:val="21"/>
      <w:lang w:val="en-US" w:eastAsia="zh-CN" w:bidi="ar-SA"/>
    </w:rPr>
  </w:style>
  <w:style w:type="character" w:customStyle="1" w:styleId="70">
    <w:name w:val="正文文本 3 字符"/>
    <w:link w:val="20"/>
    <w:qFormat/>
    <w:uiPriority w:val="99"/>
    <w:rPr>
      <w:kern w:val="2"/>
      <w:sz w:val="16"/>
      <w:szCs w:val="16"/>
    </w:rPr>
  </w:style>
  <w:style w:type="character" w:customStyle="1" w:styleId="71">
    <w:name w:val="正文文本 字符"/>
    <w:link w:val="22"/>
    <w:qFormat/>
    <w:uiPriority w:val="0"/>
    <w:rPr>
      <w:kern w:val="2"/>
      <w:sz w:val="28"/>
    </w:rPr>
  </w:style>
  <w:style w:type="character" w:customStyle="1" w:styleId="72">
    <w:name w:val="正文文本首行缩进 字符"/>
    <w:link w:val="27"/>
    <w:qFormat/>
    <w:locked/>
    <w:uiPriority w:val="99"/>
  </w:style>
  <w:style w:type="character" w:customStyle="1" w:styleId="73">
    <w:name w:val="日期 字符"/>
    <w:link w:val="34"/>
    <w:qFormat/>
    <w:uiPriority w:val="99"/>
    <w:rPr>
      <w:kern w:val="2"/>
      <w:sz w:val="21"/>
    </w:rPr>
  </w:style>
  <w:style w:type="character" w:customStyle="1" w:styleId="74">
    <w:name w:val="批注框文本 字符"/>
    <w:link w:val="36"/>
    <w:semiHidden/>
    <w:qFormat/>
    <w:uiPriority w:val="99"/>
    <w:rPr>
      <w:kern w:val="2"/>
      <w:sz w:val="18"/>
      <w:szCs w:val="18"/>
    </w:rPr>
  </w:style>
  <w:style w:type="character" w:customStyle="1" w:styleId="75">
    <w:name w:val="页脚 字符"/>
    <w:link w:val="37"/>
    <w:qFormat/>
    <w:uiPriority w:val="99"/>
    <w:rPr>
      <w:kern w:val="2"/>
      <w:sz w:val="18"/>
      <w:szCs w:val="18"/>
    </w:rPr>
  </w:style>
  <w:style w:type="character" w:customStyle="1" w:styleId="76">
    <w:name w:val="页眉 字符"/>
    <w:link w:val="38"/>
    <w:qFormat/>
    <w:uiPriority w:val="99"/>
    <w:rPr>
      <w:kern w:val="2"/>
      <w:sz w:val="18"/>
      <w:szCs w:val="18"/>
    </w:rPr>
  </w:style>
  <w:style w:type="character" w:customStyle="1" w:styleId="77">
    <w:name w:val="副标题 字符"/>
    <w:link w:val="43"/>
    <w:qFormat/>
    <w:uiPriority w:val="0"/>
    <w:rPr>
      <w:rFonts w:ascii="Cambria" w:hAnsi="Cambria" w:cs="黑体"/>
      <w:b/>
      <w:bCs/>
      <w:kern w:val="28"/>
      <w:sz w:val="32"/>
      <w:szCs w:val="32"/>
    </w:rPr>
  </w:style>
  <w:style w:type="character" w:customStyle="1" w:styleId="78">
    <w:name w:val="正文文本 2 字符"/>
    <w:link w:val="2"/>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34"/>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6"/>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8"/>
    <w:qFormat/>
    <w:uiPriority w:val="0"/>
    <w:rPr>
      <w:rFonts w:ascii="方正黑体简体" w:eastAsia="方正黑体简体"/>
      <w:b w:val="0"/>
      <w:bCs w:val="0"/>
    </w:rPr>
  </w:style>
  <w:style w:type="paragraph" w:customStyle="1" w:styleId="120">
    <w:name w:val="ml2"/>
    <w:basedOn w:val="39"/>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9"/>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9"/>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9"/>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8"/>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3"/>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2"/>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8"/>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2"/>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7"/>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6"/>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2"/>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2"/>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7"/>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6"/>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8"/>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3"/>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7"/>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2"/>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6"/>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paragraph" w:customStyle="1" w:styleId="371">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package" Target="embeddings/Microsoft_Visio___1.vsdx"/><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C10A2-AD4C-44D1-BA0A-7F633B4A8746}">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53</Pages>
  <Words>26147</Words>
  <Characters>27411</Characters>
  <Lines>210</Lines>
  <Paragraphs>59</Paragraphs>
  <TotalTime>4</TotalTime>
  <ScaleCrop>false</ScaleCrop>
  <LinksUpToDate>false</LinksUpToDate>
  <CharactersWithSpaces>28015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2022-12-08T02:52:00Z</dcterms:created>
  <dc:creator>Administrator</dc:creator>
  <cp:lastModifiedBy>Dennis.Liu</cp:lastModifiedBy>
  <cp:lastPrinted>2017-04-10T13:36:00Z</cp:lastPrinted>
  <dcterms:modified xsi:type="dcterms:W3CDTF">2022-12-15T08:33:21Z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FD7FA70536A74D41A89C36EEBE3F3C5E</vt:lpwstr>
  </property>
</Properties>
</file>