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p>
    <w:p>
      <w:pPr>
        <w:spacing w:line="360" w:lineRule="auto"/>
        <w:ind w:firstLine="560"/>
        <w:rPr>
          <w:rFonts w:eastAsia="仿宋_GB2312"/>
          <w:sz w:val="28"/>
          <w:szCs w:val="28"/>
        </w:rPr>
      </w:pPr>
    </w:p>
    <w:p>
      <w:pPr>
        <w:spacing w:line="360" w:lineRule="auto"/>
        <w:ind w:firstLine="560"/>
        <w:jc w:val="center"/>
        <w:rPr>
          <w:rFonts w:ascii="宋体" w:hAnsi="宋体"/>
          <w:sz w:val="44"/>
          <w:szCs w:val="44"/>
        </w:rPr>
      </w:pPr>
      <w:r>
        <w:rPr>
          <w:rFonts w:hint="eastAsia" w:ascii="宋体" w:hAnsi="宋体"/>
          <w:sz w:val="44"/>
          <w:szCs w:val="44"/>
        </w:rPr>
        <w:t>江苏省广电有线信息网络股份有限公司</w:t>
      </w:r>
    </w:p>
    <w:p>
      <w:pPr>
        <w:spacing w:after="120" w:line="360" w:lineRule="auto"/>
        <w:jc w:val="center"/>
        <w:rPr>
          <w:rFonts w:ascii="黑体" w:hAnsi="宋体" w:eastAsia="黑体"/>
          <w:sz w:val="44"/>
          <w:szCs w:val="44"/>
        </w:rPr>
      </w:pPr>
      <w:bookmarkStart w:id="0" w:name="_Hlk133411584"/>
      <w:bookmarkStart w:id="1" w:name="_Toc227057880"/>
      <w:r>
        <w:rPr>
          <w:rFonts w:hint="eastAsia" w:ascii="宋体" w:hAnsi="宋体"/>
          <w:sz w:val="44"/>
          <w:szCs w:val="44"/>
        </w:rPr>
        <w:t>宿迁机房传输和配套设备搬迁项目</w:t>
      </w:r>
    </w:p>
    <w:bookmarkEnd w:id="0"/>
    <w:p>
      <w:pPr>
        <w:spacing w:after="120" w:line="360" w:lineRule="auto"/>
        <w:jc w:val="center"/>
        <w:rPr>
          <w:rFonts w:ascii="黑体" w:hAnsi="宋体" w:eastAsia="黑体"/>
          <w:sz w:val="44"/>
          <w:szCs w:val="44"/>
        </w:rPr>
      </w:pPr>
      <w:r>
        <w:rPr>
          <w:rFonts w:hint="eastAsia" w:ascii="黑体" w:hAnsi="宋体" w:eastAsia="黑体"/>
          <w:sz w:val="44"/>
          <w:szCs w:val="44"/>
        </w:rPr>
        <w:t>竞争性谈判文件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spacing w:after="120" w:line="360" w:lineRule="auto"/>
        <w:ind w:firstLine="3373" w:firstLineChars="1200"/>
        <w:rPr>
          <w:b/>
          <w:sz w:val="28"/>
          <w:szCs w:val="28"/>
        </w:rPr>
      </w:pPr>
      <w:bookmarkStart w:id="2" w:name="_Hlk133411616"/>
      <w:r>
        <w:rPr>
          <w:rFonts w:hint="eastAsia"/>
          <w:b/>
          <w:sz w:val="28"/>
          <w:szCs w:val="28"/>
        </w:rPr>
        <w:t>安播运维部</w:t>
      </w:r>
    </w:p>
    <w:bookmarkEnd w:id="2"/>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二〇二三年四月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第一章竞争性谈判公告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"_Toc69378616" </w:instrText>
      </w:r>
      <w:r>
        <w:fldChar w:fldCharType="separate"/>
      </w:r>
      <w:r>
        <w:rPr>
          <w:rStyle w:val="60"/>
          <w:rFonts w:hint="eastAsia"/>
          <w:b/>
        </w:rPr>
        <w:t>第二章竞争性谈判须知</w:t>
      </w:r>
      <w:r>
        <w:tab/>
      </w:r>
      <w:r>
        <w:fldChar w:fldCharType="begin"/>
      </w:r>
      <w:r>
        <w:instrText xml:space="preserve"> PAGEREF _Toc69378616 \h </w:instrText>
      </w:r>
      <w:r>
        <w:fldChar w:fldCharType="separate"/>
      </w:r>
      <w:r>
        <w:t>6</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fldChar w:fldCharType="begin"/>
      </w:r>
      <w:r>
        <w:instrText xml:space="preserve"> PAGEREF _Toc69378617 \h </w:instrText>
      </w:r>
      <w:r>
        <w:fldChar w:fldCharType="separate"/>
      </w:r>
      <w:r>
        <w:t>18</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begin"/>
      </w:r>
      <w:r>
        <w:instrText xml:space="preserve"> PAGEREF _Toc69378618 \h </w:instrText>
      </w:r>
      <w:r>
        <w:fldChar w:fldCharType="separate"/>
      </w:r>
      <w:r>
        <w:t>21</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begin"/>
      </w:r>
      <w:r>
        <w:instrText xml:space="preserve"> PAGEREF _Toc69378637 \h </w:instrText>
      </w:r>
      <w:r>
        <w:fldChar w:fldCharType="separate"/>
      </w:r>
      <w:r>
        <w:t>26</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"_Toc69378657" </w:instrText>
      </w:r>
      <w:r>
        <w:fldChar w:fldCharType="separate"/>
      </w:r>
      <w:r>
        <w:rPr>
          <w:rStyle w:val="60"/>
          <w:rFonts w:hint="eastAsia"/>
          <w:b/>
          <w:bCs/>
          <w:kern w:val="44"/>
        </w:rPr>
        <w:t>第六章竞争性谈判响应文件格式</w:t>
      </w:r>
      <w:r>
        <w:tab/>
      </w:r>
      <w:r>
        <w:fldChar w:fldCharType="begin"/>
      </w:r>
      <w:r>
        <w:instrText xml:space="preserve"> PAGEREF _Toc69378657 \h </w:instrText>
      </w:r>
      <w:r>
        <w:fldChar w:fldCharType="separate"/>
      </w:r>
      <w:r>
        <w:t>32</w:t>
      </w:r>
      <w:r>
        <w:fldChar w:fldCharType="end"/>
      </w:r>
      <w:r>
        <w:fldChar w:fldCharType="end"/>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3" w:name="_Toc69378615"/>
      <w:r>
        <w:rPr>
          <w:rFonts w:hint="eastAsia"/>
          <w:b/>
          <w:sz w:val="36"/>
          <w:szCs w:val="36"/>
        </w:rPr>
        <w:t>第一章竞争性谈判公告</w:t>
      </w:r>
      <w:bookmarkEnd w:id="3"/>
    </w:p>
    <w:bookmarkEnd w:id="1"/>
    <w:p>
      <w:pPr>
        <w:spacing w:line="360" w:lineRule="auto"/>
        <w:rPr>
          <w:rFonts w:ascii="宋体" w:hAnsi="宋体"/>
          <w:b/>
          <w:sz w:val="24"/>
        </w:rPr>
      </w:pPr>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bookmarkStart w:id="4" w:name="_Hlk133411637"/>
      <w:r>
        <w:rPr>
          <w:rFonts w:hint="eastAsia" w:ascii="宋体" w:hAnsi="宋体"/>
          <w:sz w:val="24"/>
        </w:rPr>
        <w:t>项目名称</w:t>
      </w:r>
    </w:p>
    <w:p>
      <w:pPr>
        <w:spacing w:line="360" w:lineRule="auto"/>
        <w:ind w:firstLine="480" w:firstLineChars="200"/>
        <w:rPr>
          <w:rFonts w:ascii="宋体" w:hAnsi="宋体"/>
          <w:sz w:val="24"/>
        </w:rPr>
      </w:pPr>
      <w:bookmarkStart w:id="85" w:name="_GoBack"/>
      <w:r>
        <w:rPr>
          <w:rFonts w:hint="eastAsia" w:ascii="宋体" w:hAnsi="宋体"/>
          <w:sz w:val="24"/>
        </w:rPr>
        <w:t>江苏省广电有线信息网络股份有限公司</w:t>
      </w:r>
      <w:bookmarkEnd w:id="85"/>
      <w:r>
        <w:rPr>
          <w:rFonts w:hint="eastAsia" w:ascii="宋体" w:hAnsi="宋体" w:cs="宋体"/>
          <w:kern w:val="0"/>
          <w:sz w:val="24"/>
          <w:szCs w:val="22"/>
        </w:rPr>
        <w:t>宿迁机房传输和配套设备搬迁项目。</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53"/>
        <w:gridCol w:w="9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color w:val="000000"/>
                <w:szCs w:val="21"/>
              </w:rPr>
            </w:pPr>
            <w:r>
              <w:rPr>
                <w:rFonts w:hint="eastAsia" w:ascii="Calibri" w:hAnsi="Calibri"/>
                <w:b/>
                <w:color w:val="262626"/>
                <w:szCs w:val="21"/>
              </w:rPr>
              <w:t>序号</w:t>
            </w:r>
          </w:p>
        </w:tc>
        <w:tc>
          <w:tcPr>
            <w:tcW w:w="2053" w:type="dxa"/>
            <w:vAlign w:val="center"/>
          </w:tcPr>
          <w:p>
            <w:pPr>
              <w:spacing w:line="400" w:lineRule="exact"/>
              <w:jc w:val="center"/>
              <w:rPr>
                <w:rFonts w:ascii="Calibri" w:hAnsi="Calibri"/>
                <w:b/>
                <w:color w:val="000000"/>
                <w:szCs w:val="21"/>
              </w:rPr>
            </w:pPr>
            <w:r>
              <w:rPr>
                <w:rFonts w:hint="eastAsia" w:ascii="Calibri" w:hAnsi="Calibri"/>
                <w:b/>
                <w:color w:val="000000"/>
                <w:szCs w:val="21"/>
              </w:rPr>
              <w:t>名称</w:t>
            </w:r>
          </w:p>
        </w:tc>
        <w:tc>
          <w:tcPr>
            <w:tcW w:w="993" w:type="dxa"/>
            <w:vAlign w:val="center"/>
          </w:tcPr>
          <w:p>
            <w:pPr>
              <w:spacing w:line="400" w:lineRule="exact"/>
              <w:jc w:val="center"/>
              <w:rPr>
                <w:rFonts w:ascii="Calibri" w:hAnsi="Calibri"/>
                <w:b/>
                <w:color w:val="000000"/>
                <w:szCs w:val="21"/>
              </w:rPr>
            </w:pPr>
            <w:r>
              <w:rPr>
                <w:rFonts w:hint="eastAsia" w:ascii="Calibri" w:hAnsi="Calibri"/>
                <w:b/>
                <w:color w:val="000000"/>
                <w:szCs w:val="21"/>
              </w:rPr>
              <w:t>数量</w:t>
            </w:r>
          </w:p>
        </w:tc>
        <w:tc>
          <w:tcPr>
            <w:tcW w:w="4961" w:type="dxa"/>
            <w:vAlign w:val="center"/>
          </w:tcPr>
          <w:p>
            <w:pPr>
              <w:spacing w:line="400" w:lineRule="exact"/>
              <w:jc w:val="center"/>
              <w:rPr>
                <w:rFonts w:ascii="Calibri" w:hAnsi="Calibri"/>
                <w:b/>
                <w:color w:val="000000"/>
                <w:szCs w:val="21"/>
              </w:rPr>
            </w:pPr>
            <w:r>
              <w:rPr>
                <w:rFonts w:hint="eastAsia" w:ascii="Calibri" w:hAnsi="Calibri"/>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679" w:type="dxa"/>
            <w:vAlign w:val="center"/>
          </w:tcPr>
          <w:p>
            <w:pPr>
              <w:spacing w:line="400" w:lineRule="exact"/>
              <w:jc w:val="center"/>
              <w:rPr>
                <w:color w:val="000000"/>
                <w:szCs w:val="21"/>
              </w:rPr>
            </w:pPr>
            <w:r>
              <w:rPr>
                <w:color w:val="000000"/>
                <w:szCs w:val="21"/>
              </w:rPr>
              <w:t>1</w:t>
            </w:r>
          </w:p>
        </w:tc>
        <w:tc>
          <w:tcPr>
            <w:tcW w:w="2053" w:type="dxa"/>
            <w:vAlign w:val="center"/>
          </w:tcPr>
          <w:p>
            <w:pPr>
              <w:spacing w:line="400" w:lineRule="exact"/>
              <w:jc w:val="center"/>
              <w:rPr>
                <w:color w:val="000000"/>
                <w:szCs w:val="21"/>
              </w:rPr>
            </w:pPr>
            <w:r>
              <w:rPr>
                <w:rFonts w:hint="eastAsia" w:ascii="宋体" w:hAnsi="宋体"/>
              </w:rPr>
              <w:t>宿迁机房传输和配套设备搬迁项目</w:t>
            </w:r>
          </w:p>
        </w:tc>
        <w:tc>
          <w:tcPr>
            <w:tcW w:w="993" w:type="dxa"/>
            <w:vAlign w:val="center"/>
          </w:tcPr>
          <w:p>
            <w:pPr>
              <w:spacing w:line="400" w:lineRule="exact"/>
              <w:jc w:val="center"/>
              <w:rPr>
                <w:color w:val="000000"/>
                <w:szCs w:val="21"/>
              </w:rPr>
            </w:pPr>
            <w:r>
              <w:rPr>
                <w:rFonts w:hint="eastAsia"/>
                <w:color w:val="000000"/>
                <w:szCs w:val="21"/>
              </w:rPr>
              <w:t>1套</w:t>
            </w:r>
          </w:p>
        </w:tc>
        <w:tc>
          <w:tcPr>
            <w:tcW w:w="4961" w:type="dxa"/>
            <w:vAlign w:val="center"/>
          </w:tcPr>
          <w:p>
            <w:r>
              <w:rPr>
                <w:rFonts w:hint="eastAsia" w:ascii="宋体" w:hAnsi="宋体"/>
                <w:szCs w:val="21"/>
              </w:rPr>
              <w:t>本项目为交钥匙工程，供应商须提供所需的人工、工具、机械等，按照招标人要求完成项目全部软硬件施工和业务调测，需搬迁设备包括：</w:t>
            </w:r>
            <w:r>
              <w:rPr>
                <w:rFonts w:ascii="宋体" w:hAnsi="宋体"/>
                <w:szCs w:val="21"/>
              </w:rPr>
              <w:t>4</w:t>
            </w:r>
            <w:r>
              <w:rPr>
                <w:rFonts w:hint="eastAsia" w:ascii="宋体" w:hAnsi="宋体"/>
                <w:szCs w:val="21"/>
              </w:rPr>
              <w:t>个省干一平面机柜、</w:t>
            </w:r>
            <w:r>
              <w:rPr>
                <w:rFonts w:ascii="宋体" w:hAnsi="宋体"/>
                <w:szCs w:val="21"/>
              </w:rPr>
              <w:t>3</w:t>
            </w:r>
            <w:r>
              <w:rPr>
                <w:rFonts w:hint="eastAsia" w:ascii="宋体" w:hAnsi="宋体"/>
                <w:szCs w:val="21"/>
              </w:rPr>
              <w:t>个省干二平面机柜、</w:t>
            </w:r>
            <w:r>
              <w:rPr>
                <w:rFonts w:ascii="宋体" w:hAnsi="宋体"/>
                <w:szCs w:val="21"/>
              </w:rPr>
              <w:t>3</w:t>
            </w:r>
            <w:r>
              <w:rPr>
                <w:rFonts w:hint="eastAsia" w:ascii="宋体" w:hAnsi="宋体"/>
                <w:szCs w:val="21"/>
              </w:rPr>
              <w:t>个省干三平面机柜、</w:t>
            </w:r>
            <w:r>
              <w:rPr>
                <w:rFonts w:ascii="宋体" w:hAnsi="宋体"/>
                <w:szCs w:val="21"/>
              </w:rPr>
              <w:t>4</w:t>
            </w:r>
            <w:r>
              <w:rPr>
                <w:rFonts w:hint="eastAsia" w:ascii="宋体" w:hAnsi="宋体"/>
                <w:szCs w:val="21"/>
              </w:rPr>
              <w:t>个市干一平面机柜、2个省干S</w:t>
            </w:r>
            <w:r>
              <w:rPr>
                <w:rFonts w:ascii="宋体" w:hAnsi="宋体"/>
                <w:szCs w:val="21"/>
              </w:rPr>
              <w:t>DH</w:t>
            </w:r>
            <w:r>
              <w:rPr>
                <w:rFonts w:hint="eastAsia" w:ascii="宋体" w:hAnsi="宋体"/>
                <w:szCs w:val="21"/>
              </w:rPr>
              <w:t>机柜、</w:t>
            </w:r>
            <w:r>
              <w:rPr>
                <w:rFonts w:ascii="宋体" w:hAnsi="宋体"/>
                <w:szCs w:val="21"/>
              </w:rPr>
              <w:t>5</w:t>
            </w:r>
            <w:r>
              <w:rPr>
                <w:rFonts w:hint="eastAsia" w:ascii="宋体" w:hAnsi="宋体"/>
                <w:szCs w:val="21"/>
              </w:rPr>
              <w:t>个市干S</w:t>
            </w:r>
            <w:r>
              <w:rPr>
                <w:rFonts w:ascii="宋体" w:hAnsi="宋体"/>
                <w:szCs w:val="21"/>
              </w:rPr>
              <w:t>DH</w:t>
            </w:r>
            <w:r>
              <w:rPr>
                <w:rFonts w:hint="eastAsia" w:ascii="宋体" w:hAnsi="宋体"/>
                <w:szCs w:val="21"/>
              </w:rPr>
              <w:t>机柜、</w:t>
            </w:r>
            <w:r>
              <w:rPr>
                <w:rFonts w:ascii="宋体" w:hAnsi="宋体"/>
                <w:szCs w:val="21"/>
              </w:rPr>
              <w:t>4</w:t>
            </w:r>
            <w:r>
              <w:rPr>
                <w:rFonts w:hint="eastAsia" w:ascii="宋体" w:hAnsi="宋体"/>
                <w:szCs w:val="21"/>
              </w:rPr>
              <w:t>个</w:t>
            </w:r>
            <w:r>
              <w:rPr>
                <w:rFonts w:ascii="宋体" w:hAnsi="宋体"/>
                <w:szCs w:val="21"/>
              </w:rPr>
              <w:t>ODF</w:t>
            </w:r>
            <w:r>
              <w:rPr>
                <w:rFonts w:hint="eastAsia" w:ascii="宋体" w:hAnsi="宋体"/>
                <w:szCs w:val="21"/>
              </w:rPr>
              <w:t>机柜、</w:t>
            </w:r>
            <w:r>
              <w:rPr>
                <w:rFonts w:ascii="宋体" w:hAnsi="宋体"/>
                <w:szCs w:val="21"/>
              </w:rPr>
              <w:t>4</w:t>
            </w:r>
            <w:r>
              <w:rPr>
                <w:rFonts w:hint="eastAsia" w:ascii="宋体" w:hAnsi="宋体"/>
                <w:szCs w:val="21"/>
              </w:rPr>
              <w:t>个中恒通信电源柜、</w:t>
            </w:r>
            <w:r>
              <w:rPr>
                <w:rFonts w:ascii="宋体" w:hAnsi="宋体"/>
                <w:szCs w:val="21"/>
              </w:rPr>
              <w:t>3</w:t>
            </w:r>
            <w:r>
              <w:rPr>
                <w:rFonts w:hint="eastAsia" w:ascii="宋体" w:hAnsi="宋体"/>
                <w:szCs w:val="21"/>
              </w:rPr>
              <w:t>个中恒列头柜、</w:t>
            </w:r>
            <w:r>
              <w:rPr>
                <w:rFonts w:ascii="宋体" w:hAnsi="宋体"/>
                <w:szCs w:val="21"/>
              </w:rPr>
              <w:t>96</w:t>
            </w:r>
            <w:r>
              <w:rPr>
                <w:rFonts w:hint="eastAsia" w:ascii="宋体" w:hAnsi="宋体"/>
                <w:szCs w:val="21"/>
              </w:rPr>
              <w:t>节电池、3台光倒换设备、</w:t>
            </w:r>
            <w:r>
              <w:rPr>
                <w:rFonts w:ascii="宋体" w:hAnsi="宋体"/>
                <w:szCs w:val="21"/>
              </w:rPr>
              <w:t>2</w:t>
            </w:r>
            <w:r>
              <w:rPr>
                <w:rFonts w:hint="eastAsia" w:ascii="宋体" w:hAnsi="宋体"/>
                <w:szCs w:val="21"/>
              </w:rPr>
              <w:t>台网管服务器、3台交换机、1台P</w:t>
            </w:r>
            <w:r>
              <w:rPr>
                <w:rFonts w:ascii="宋体" w:hAnsi="宋体"/>
                <w:szCs w:val="21"/>
              </w:rPr>
              <w:t>TN</w:t>
            </w:r>
            <w:r>
              <w:rPr>
                <w:rFonts w:hint="eastAsia" w:ascii="宋体" w:hAnsi="宋体"/>
                <w:szCs w:val="21"/>
              </w:rPr>
              <w:t>机柜。</w:t>
            </w:r>
          </w:p>
        </w:tc>
      </w:tr>
      <w:bookmarkEnd w:id="4"/>
    </w:tbl>
    <w:p>
      <w:pPr>
        <w:spacing w:line="360" w:lineRule="auto"/>
        <w:rPr>
          <w:rFonts w:ascii="宋体" w:hAnsi="宋体" w:cs="宋体"/>
          <w:kern w:val="0"/>
          <w:sz w:val="24"/>
        </w:rPr>
      </w:pP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234" w:firstLineChars="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5" w:name="_Hlk74838219"/>
      <w:bookmarkStart w:id="6" w:name="_Hlk133411668"/>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5"/>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w:t>
      </w:r>
      <w:r>
        <w:rPr>
          <w:rFonts w:ascii="宋体" w:hAnsi="宋体" w:cs="宋体"/>
          <w:kern w:val="0"/>
          <w:sz w:val="24"/>
          <w:szCs w:val="22"/>
        </w:rPr>
        <w:t>20</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lang w:val="en-US" w:eastAsia="zh-CN"/>
        </w:rPr>
        <w:t>3</w:t>
      </w:r>
      <w:r>
        <w:rPr>
          <w:rFonts w:hint="eastAsia" w:ascii="宋体" w:hAnsi="宋体" w:cs="宋体"/>
          <w:color w:val="191919"/>
          <w:kern w:val="0"/>
          <w:sz w:val="24"/>
          <w:shd w:val="clear" w:color="auto" w:fill="FFFFFF"/>
        </w:rPr>
        <w:t>.供应商须提供对本项目直接包修和服务的承诺。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lang w:val="en-US" w:eastAsia="zh-CN"/>
        </w:rPr>
        <w:t>4</w:t>
      </w:r>
      <w:r>
        <w:rPr>
          <w:rFonts w:hint="eastAsia" w:ascii="宋体" w:hAnsi="宋体" w:cs="宋体"/>
          <w:kern w:val="0"/>
          <w:sz w:val="24"/>
          <w:szCs w:val="22"/>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lang w:val="en-US" w:eastAsia="zh-CN"/>
        </w:rPr>
        <w:t>5</w:t>
      </w:r>
      <w:r>
        <w:rPr>
          <w:rFonts w:hint="eastAsia" w:ascii="宋体" w:hAnsi="宋体" w:cs="宋体"/>
          <w:kern w:val="0"/>
          <w:sz w:val="24"/>
          <w:szCs w:val="22"/>
        </w:rPr>
        <w:t>.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lang w:val="en-US" w:eastAsia="zh-CN"/>
        </w:rPr>
        <w:t>6</w:t>
      </w:r>
      <w:r>
        <w:rPr>
          <w:rFonts w:hint="eastAsia" w:ascii="宋体" w:hAnsi="宋体" w:cs="宋体"/>
          <w:kern w:val="0"/>
          <w:sz w:val="24"/>
          <w:szCs w:val="22"/>
        </w:rPr>
        <w:t>.供应商单位负责人为同一人或者存在直接控股、管理关系的不同供应商，不得参加同一标段谈判或者未划分标段的同一采购项目谈判。</w:t>
      </w:r>
    </w:p>
    <w:p>
      <w:pPr>
        <w:spacing w:line="360" w:lineRule="auto"/>
        <w:ind w:firstLine="480" w:firstLineChars="200"/>
        <w:jc w:val="left"/>
      </w:pPr>
      <w:r>
        <w:rPr>
          <w:rFonts w:hint="eastAsia" w:ascii="宋体" w:hAnsi="宋体" w:cs="宋体"/>
          <w:kern w:val="0"/>
          <w:sz w:val="24"/>
          <w:szCs w:val="22"/>
          <w:lang w:val="en-US" w:eastAsia="zh-CN"/>
        </w:rPr>
        <w:t>7</w:t>
      </w:r>
      <w:r>
        <w:rPr>
          <w:rFonts w:hint="eastAsia" w:ascii="宋体" w:hAnsi="宋体" w:cs="宋体"/>
          <w:kern w:val="0"/>
          <w:sz w:val="24"/>
          <w:szCs w:val="22"/>
        </w:rPr>
        <w:t>.法定代表人为同一个人的两个及两个以上法人，母公司与全资子公司/由其控股的子公司，不得同时参与本项目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lang w:val="en-US" w:eastAsia="zh-CN"/>
        </w:rPr>
        <w:t>8</w:t>
      </w:r>
      <w:r>
        <w:rPr>
          <w:rFonts w:hint="eastAsia" w:ascii="宋体" w:hAnsi="宋体" w:cs="宋体"/>
          <w:kern w:val="0"/>
          <w:sz w:val="24"/>
          <w:szCs w:val="22"/>
        </w:rPr>
        <w:t>.本项目不接受联合体响应。</w:t>
      </w:r>
      <w:bookmarkEnd w:id="6"/>
    </w:p>
    <w:p>
      <w:pPr>
        <w:widowControl/>
        <w:spacing w:line="360" w:lineRule="auto"/>
        <w:jc w:val="left"/>
      </w:pPr>
      <w:r>
        <w:rPr>
          <w:rFonts w:hint="eastAsia" w:ascii="宋体" w:hAnsi="宋体" w:cs="宋体"/>
          <w:b/>
          <w:bCs/>
          <w:color w:val="191919"/>
          <w:kern w:val="0"/>
          <w:sz w:val="24"/>
          <w:shd w:val="clear" w:color="auto" w:fill="FFFFFF"/>
        </w:rPr>
        <w:t>四、竞争性谈判文件的获取</w:t>
      </w:r>
    </w:p>
    <w:p>
      <w:pPr>
        <w:widowControl/>
        <w:spacing w:line="360" w:lineRule="auto"/>
        <w:ind w:firstLine="420"/>
        <w:jc w:val="left"/>
        <w:rPr>
          <w:rFonts w:ascii="宋体" w:hAnsi="宋体" w:cs="宋体"/>
          <w:color w:val="191919"/>
          <w:kern w:val="0"/>
          <w:sz w:val="24"/>
          <w:shd w:val="clear" w:color="auto" w:fill="FFFFFF"/>
        </w:rPr>
      </w:pPr>
      <w:bookmarkStart w:id="7" w:name="_Hlk133569765"/>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2023年4</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28日至2023年5</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9日止，每日上午9：00-12：00，下午14：00-17：00（北京时间，节假日除外）。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发放方式：竞争性谈判文件在报名后自行下载，请响应人联系采购人项目联系人进行报名登记，具体报名方式为将确认谈判函加盖公司公章同时发至</w:t>
      </w:r>
      <w:r>
        <w:rPr>
          <w:rFonts w:hint="eastAsia" w:ascii="宋体" w:hAnsi="宋体" w:cs="宋体"/>
          <w:color w:val="191919"/>
          <w:kern w:val="0"/>
          <w:sz w:val="24"/>
        </w:rPr>
        <w:t>邮箱</w:t>
      </w:r>
      <w:r>
        <w:rPr>
          <w:rFonts w:ascii="宋体" w:hAnsi="宋体" w:cs="宋体"/>
          <w:color w:val="191919"/>
          <w:kern w:val="0"/>
          <w:sz w:val="24"/>
        </w:rPr>
        <w:t>lijing@jscnnet.com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登记方式：请响应人将该项目负责人姓名、联系电话（手机）、联系信箱发至采购人该项目联系人，超过</w:t>
      </w:r>
      <w:r>
        <w:rPr>
          <w:rFonts w:ascii="宋体" w:hAnsi="宋体" w:cs="宋体"/>
          <w:color w:val="191919"/>
          <w:kern w:val="0"/>
          <w:sz w:val="24"/>
          <w:shd w:val="clear" w:color="auto" w:fill="FFFFFF"/>
        </w:rPr>
        <w:t>2023年5</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9日下午17:00再登记的视为无效。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w:t>
      </w:r>
      <w:r>
        <w:rPr>
          <w:rFonts w:hint="eastAsia" w:ascii="宋体" w:hAnsi="宋体" w:cs="宋体"/>
          <w:color w:val="191919"/>
          <w:kern w:val="0"/>
          <w:sz w:val="24"/>
        </w:rPr>
        <w:t>李晶（</w:t>
      </w:r>
      <w:r>
        <w:rPr>
          <w:rFonts w:ascii="宋体" w:hAnsi="宋体" w:cs="宋体"/>
          <w:color w:val="191919"/>
          <w:kern w:val="0"/>
          <w:sz w:val="24"/>
        </w:rPr>
        <w:t>025-86731692）</w:t>
      </w:r>
    </w:p>
    <w:p>
      <w:pPr>
        <w:widowControl/>
        <w:spacing w:line="360" w:lineRule="auto"/>
        <w:jc w:val="left"/>
      </w:pPr>
      <w:r>
        <w:rPr>
          <w:rFonts w:hint="eastAsia" w:ascii="宋体" w:hAnsi="宋体" w:cs="宋体"/>
          <w:b/>
          <w:bCs/>
          <w:color w:val="191919"/>
          <w:kern w:val="0"/>
          <w:sz w:val="24"/>
          <w:shd w:val="clear" w:color="auto" w:fill="FFFFFF"/>
        </w:rPr>
        <w:t>五、响应文件的递交和谈判</w:t>
      </w:r>
    </w:p>
    <w:p>
      <w:pPr>
        <w:widowControl/>
        <w:spacing w:line="360" w:lineRule="auto"/>
        <w:ind w:firstLine="420"/>
        <w:jc w:val="left"/>
      </w:pPr>
      <w:r>
        <w:rPr>
          <w:rFonts w:hint="eastAsia" w:ascii="宋体" w:hAnsi="宋体" w:cs="宋体"/>
          <w:color w:val="191919"/>
          <w:kern w:val="0"/>
          <w:sz w:val="24"/>
          <w:shd w:val="clear" w:color="auto" w:fill="FFFFFF"/>
        </w:rPr>
        <w:t>递交竞争性谈判响应文件截止时间：</w:t>
      </w:r>
      <w:r>
        <w:rPr>
          <w:rFonts w:eastAsia="微软雅黑"/>
          <w:color w:val="191919"/>
          <w:kern w:val="0"/>
          <w:sz w:val="24"/>
          <w:shd w:val="clear" w:color="auto" w:fill="FFFFFF"/>
        </w:rPr>
        <w:t>2023</w:t>
      </w:r>
      <w:r>
        <w:rPr>
          <w:rFonts w:hint="eastAsia" w:ascii="宋体" w:hAnsi="宋体" w:cs="宋体"/>
          <w:color w:val="191919"/>
          <w:kern w:val="0"/>
          <w:sz w:val="24"/>
          <w:shd w:val="clear" w:color="auto" w:fill="FFFFFF"/>
        </w:rPr>
        <w:t>年</w:t>
      </w:r>
      <w:r>
        <w:rPr>
          <w:rFonts w:eastAsia="微软雅黑"/>
          <w:color w:val="191919"/>
          <w:kern w:val="0"/>
          <w:sz w:val="24"/>
          <w:shd w:val="clear" w:color="auto" w:fill="FFFFFF"/>
        </w:rPr>
        <w:t>5</w:t>
      </w:r>
      <w:r>
        <w:rPr>
          <w:rFonts w:hint="eastAsia" w:ascii="宋体" w:hAnsi="宋体" w:cs="宋体"/>
          <w:color w:val="191919"/>
          <w:kern w:val="0"/>
          <w:sz w:val="24"/>
          <w:shd w:val="clear" w:color="auto" w:fill="FFFFFF"/>
        </w:rPr>
        <w:t>月</w:t>
      </w:r>
      <w:r>
        <w:rPr>
          <w:rFonts w:eastAsia="微软雅黑"/>
          <w:color w:val="191919"/>
          <w:kern w:val="0"/>
          <w:sz w:val="24"/>
          <w:shd w:val="clear" w:color="auto" w:fill="FFFFFF"/>
        </w:rPr>
        <w:t>15</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14:30</w:t>
      </w:r>
      <w:r>
        <w:rPr>
          <w:rFonts w:hint="eastAsia" w:ascii="宋体" w:hAnsi="宋体" w:cs="宋体"/>
          <w:color w:val="191919"/>
          <w:kern w:val="0"/>
          <w:sz w:val="24"/>
          <w:shd w:val="clear" w:color="auto" w:fill="FFFFFF"/>
        </w:rPr>
        <w:t>，逾期收到或不按照竞争性谈判文件要求密封的响应文件将被拒收。</w:t>
      </w:r>
    </w:p>
    <w:p>
      <w:pPr>
        <w:widowControl/>
        <w:spacing w:line="360" w:lineRule="auto"/>
        <w:ind w:firstLine="420"/>
        <w:jc w:val="left"/>
      </w:pPr>
      <w:r>
        <w:rPr>
          <w:rFonts w:hint="eastAsia" w:ascii="宋体" w:hAnsi="宋体" w:cs="宋体"/>
          <w:color w:val="191919"/>
          <w:kern w:val="0"/>
          <w:sz w:val="24"/>
          <w:shd w:val="clear" w:color="auto" w:fill="FFFFFF"/>
        </w:rPr>
        <w:t>递交竞争性谈判响应文件地点：南京市玄武区运粮河西路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李晶，电话：</w:t>
      </w:r>
      <w:r>
        <w:rPr>
          <w:rFonts w:ascii="宋体" w:hAnsi="宋体" w:cs="宋体"/>
          <w:color w:val="191919"/>
          <w:kern w:val="0"/>
          <w:sz w:val="24"/>
        </w:rPr>
        <w:t>025-86731692。</w:t>
      </w:r>
    </w:p>
    <w:p>
      <w:pPr>
        <w:widowControl/>
        <w:spacing w:line="360" w:lineRule="auto"/>
        <w:ind w:firstLine="420"/>
        <w:jc w:val="left"/>
      </w:pPr>
      <w:r>
        <w:rPr>
          <w:rFonts w:hint="eastAsia" w:ascii="宋体" w:hAnsi="宋体" w:cs="宋体"/>
          <w:color w:val="191919"/>
          <w:kern w:val="0"/>
          <w:sz w:val="24"/>
          <w:shd w:val="clear" w:color="auto" w:fill="FFFFFF"/>
        </w:rPr>
        <w:t>竞争性谈判时间：</w:t>
      </w:r>
      <w:r>
        <w:rPr>
          <w:rFonts w:eastAsia="微软雅黑"/>
          <w:color w:val="191919"/>
          <w:kern w:val="0"/>
          <w:sz w:val="24"/>
          <w:shd w:val="clear" w:color="auto" w:fill="FFFFFF"/>
        </w:rPr>
        <w:t>2023</w:t>
      </w:r>
      <w:r>
        <w:rPr>
          <w:rFonts w:hint="eastAsia" w:ascii="宋体" w:hAnsi="宋体" w:cs="宋体"/>
          <w:color w:val="191919"/>
          <w:kern w:val="0"/>
          <w:sz w:val="24"/>
          <w:shd w:val="clear" w:color="auto" w:fill="FFFFFF"/>
        </w:rPr>
        <w:t>年</w:t>
      </w:r>
      <w:r>
        <w:rPr>
          <w:rFonts w:eastAsia="微软雅黑"/>
          <w:color w:val="191919"/>
          <w:kern w:val="0"/>
          <w:sz w:val="24"/>
          <w:shd w:val="clear" w:color="auto" w:fill="FFFFFF"/>
        </w:rPr>
        <w:t>5</w:t>
      </w:r>
      <w:r>
        <w:rPr>
          <w:rFonts w:hint="eastAsia" w:ascii="宋体" w:hAnsi="宋体" w:cs="宋体"/>
          <w:color w:val="191919"/>
          <w:kern w:val="0"/>
          <w:sz w:val="24"/>
          <w:shd w:val="clear" w:color="auto" w:fill="FFFFFF"/>
        </w:rPr>
        <w:t>月</w:t>
      </w:r>
      <w:r>
        <w:rPr>
          <w:rFonts w:eastAsia="微软雅黑"/>
          <w:color w:val="191919"/>
          <w:kern w:val="0"/>
          <w:sz w:val="24"/>
          <w:shd w:val="clear" w:color="auto" w:fill="FFFFFF"/>
        </w:rPr>
        <w:t>15</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w:t>
      </w:r>
      <w:r>
        <w:rPr>
          <w:rFonts w:hint="eastAsia" w:ascii="宋体" w:hAnsi="宋体" w:cs="宋体"/>
          <w:color w:val="191919"/>
          <w:kern w:val="0"/>
          <w:sz w:val="24"/>
          <w:shd w:val="clear" w:color="auto" w:fill="FFFFFF"/>
        </w:rPr>
        <w:t>点</w:t>
      </w:r>
      <w:r>
        <w:rPr>
          <w:rFonts w:eastAsia="微软雅黑"/>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pPr>
      <w:r>
        <w:rPr>
          <w:rFonts w:hint="eastAsia" w:ascii="宋体" w:hAnsi="宋体" w:cs="宋体"/>
          <w:color w:val="191919"/>
          <w:kern w:val="0"/>
          <w:sz w:val="24"/>
          <w:shd w:val="clear" w:color="auto" w:fill="FFFFFF"/>
        </w:rPr>
        <w:t>竞争性谈判地点：南京市玄武区运粮河西路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楼会议室。</w:t>
      </w:r>
    </w:p>
    <w:bookmarkEnd w:id="7"/>
    <w:p>
      <w:pPr>
        <w:widowControl/>
        <w:spacing w:line="360" w:lineRule="auto"/>
        <w:jc w:val="left"/>
      </w:pPr>
      <w:r>
        <w:rPr>
          <w:rFonts w:hint="eastAsia" w:ascii="宋体" w:hAnsi="宋体" w:cs="宋体"/>
          <w:b/>
          <w:bCs/>
          <w:color w:val="191919"/>
          <w:kern w:val="0"/>
          <w:sz w:val="24"/>
          <w:shd w:val="clear" w:color="auto" w:fill="FFFFFF"/>
        </w:rPr>
        <w:t>六、发布公告的媒介</w:t>
      </w:r>
    </w:p>
    <w:p>
      <w:pPr>
        <w:spacing w:line="400" w:lineRule="exact"/>
        <w:ind w:firstLine="484" w:firstLineChars="202"/>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本公告同时在江苏省广电有线信息网络股份有限公司官网（</w:t>
      </w:r>
      <w:r>
        <w:rPr>
          <w:rFonts w:ascii="宋体" w:hAnsi="宋体" w:cs="宋体"/>
          <w:color w:val="191919"/>
          <w:kern w:val="0"/>
          <w:sz w:val="24"/>
          <w:shd w:val="clear" w:color="auto" w:fill="FFFFFF"/>
        </w:rPr>
        <w:t>www.jscnnet.com</w:t>
      </w:r>
      <w:r>
        <w:rPr>
          <w:rFonts w:hint="eastAsia" w:ascii="宋体" w:hAnsi="宋体" w:cs="宋体"/>
          <w:color w:val="191919"/>
          <w:kern w:val="0"/>
          <w:sz w:val="24"/>
          <w:shd w:val="clear" w:color="auto" w:fill="FFFFFF"/>
        </w:rPr>
        <w:t>）</w:t>
      </w:r>
      <w:r>
        <w:rPr>
          <w:rFonts w:ascii="宋体" w:hAnsi="宋体" w:cs="宋体"/>
          <w:color w:val="191919"/>
          <w:kern w:val="0"/>
          <w:sz w:val="24"/>
          <w:shd w:val="clear" w:color="auto" w:fill="FFFFFF"/>
        </w:rPr>
        <w:t>“</w:t>
      </w:r>
      <w:r>
        <w:rPr>
          <w:rFonts w:hint="eastAsia" w:ascii="宋体" w:hAnsi="宋体" w:cs="宋体"/>
          <w:color w:val="191919"/>
          <w:kern w:val="0"/>
          <w:sz w:val="24"/>
          <w:shd w:val="clear" w:color="auto" w:fill="FFFFFF"/>
        </w:rPr>
        <w:t>招标采购</w:t>
      </w:r>
      <w:r>
        <w:rPr>
          <w:rFonts w:ascii="宋体" w:hAnsi="宋体" w:cs="宋体"/>
          <w:color w:val="191919"/>
          <w:kern w:val="0"/>
          <w:sz w:val="24"/>
          <w:shd w:val="clear" w:color="auto" w:fill="FFFFFF"/>
        </w:rPr>
        <w:t>”</w:t>
      </w:r>
      <w:r>
        <w:rPr>
          <w:rFonts w:hint="eastAsia" w:ascii="宋体" w:hAnsi="宋体" w:cs="宋体"/>
          <w:color w:val="191919"/>
          <w:kern w:val="0"/>
          <w:sz w:val="24"/>
          <w:shd w:val="clear" w:color="auto" w:fill="FFFFFF"/>
        </w:rPr>
        <w:t>栏目及中国招标投标公共服务平台（</w:t>
      </w:r>
      <w:r>
        <w:rPr>
          <w:rFonts w:ascii="宋体" w:hAnsi="宋体" w:cs="宋体"/>
          <w:color w:val="191919"/>
          <w:kern w:val="0"/>
          <w:sz w:val="24"/>
          <w:shd w:val="clear" w:color="auto" w:fill="FFFFFF"/>
        </w:rPr>
        <w:t>http://www.cebpubservice.com/</w:t>
      </w:r>
      <w:r>
        <w:rPr>
          <w:rFonts w:hint="eastAsia" w:ascii="宋体" w:hAnsi="宋体" w:cs="宋体"/>
          <w:color w:val="191919"/>
          <w:kern w:val="0"/>
          <w:sz w:val="24"/>
          <w:shd w:val="clear" w:color="auto" w:fill="FFFFFF"/>
        </w:rPr>
        <w:t>）上发布，其他媒介转载无效。</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jc w:val="left"/>
        <w:rPr>
          <w:rFonts w:ascii="宋体" w:cs="宋体"/>
          <w:bCs/>
          <w:sz w:val="24"/>
        </w:rPr>
      </w:pPr>
      <w:r>
        <w:rPr>
          <w:rFonts w:hint="eastAsia" w:ascii="宋体" w:cs="宋体"/>
          <w:bCs/>
          <w:sz w:val="24"/>
        </w:rPr>
        <w:t>有关本次谈判的事项若存在变动或修改，敬请及时关注网上发布的信息更正公告</w:t>
      </w:r>
      <w:bookmarkStart w:id="8" w:name="bookmark1"/>
      <w:bookmarkEnd w:id="8"/>
      <w:r>
        <w:rPr>
          <w:rFonts w:hint="eastAsia" w:ascii="宋体" w:cs="宋体"/>
          <w:bCs/>
          <w:sz w:val="24"/>
        </w:rPr>
        <w:t xml:space="preserve">。 </w:t>
      </w:r>
      <w:r>
        <w:rPr>
          <w:rFonts w:ascii="宋体" w:cs="宋体"/>
          <w:bCs/>
          <w:sz w:val="24"/>
        </w:rPr>
        <w:t xml:space="preserve">                            </w:t>
      </w:r>
    </w:p>
    <w:p>
      <w:pPr>
        <w:widowControl/>
        <w:spacing w:line="360" w:lineRule="auto"/>
        <w:ind w:firstLine="3120" w:firstLineChars="1300"/>
        <w:jc w:val="left"/>
        <w:rPr>
          <w:rFonts w:ascii="宋体" w:cs="宋体"/>
          <w:bCs/>
          <w:sz w:val="24"/>
        </w:rPr>
      </w:pPr>
      <w:r>
        <w:rPr>
          <w:rFonts w:hint="eastAsia"/>
          <w:sz w:val="24"/>
        </w:rPr>
        <w:t>采购人：江苏省广电有线信息网络股份有限公司</w:t>
      </w:r>
    </w:p>
    <w:p>
      <w:pPr>
        <w:widowControl/>
        <w:spacing w:line="360" w:lineRule="auto"/>
        <w:ind w:firstLine="5040" w:firstLineChars="2100"/>
        <w:jc w:val="left"/>
        <w:rPr>
          <w:rFonts w:ascii="宋体" w:hAnsi="宋体"/>
          <w:sz w:val="24"/>
        </w:rPr>
      </w:pPr>
      <w:r>
        <w:rPr>
          <w:rFonts w:hint="eastAsia"/>
          <w:sz w:val="24"/>
        </w:rPr>
        <w:t xml:space="preserve"> </w:t>
      </w:r>
      <w:r>
        <w:rPr>
          <w:sz w:val="24"/>
        </w:rPr>
        <w:t>2023</w:t>
      </w:r>
      <w:r>
        <w:rPr>
          <w:rFonts w:hint="eastAsia"/>
          <w:sz w:val="24"/>
        </w:rPr>
        <w:t>年4月2</w:t>
      </w:r>
      <w:r>
        <w:rPr>
          <w:sz w:val="24"/>
        </w:rPr>
        <w:t>8</w:t>
      </w:r>
      <w:r>
        <w:rPr>
          <w:rFonts w:hint="eastAsia"/>
          <w:sz w:val="24"/>
        </w:rPr>
        <w:t>日</w:t>
      </w:r>
      <w:r>
        <w:rPr>
          <w:rFonts w:ascii="宋体" w:hAnsi="宋体"/>
          <w:sz w:val="24"/>
        </w:rPr>
        <w:br w:type="page"/>
      </w:r>
    </w:p>
    <w:p>
      <w:pPr>
        <w:pStyle w:val="3"/>
        <w:numPr>
          <w:ilvl w:val="0"/>
          <w:numId w:val="0"/>
        </w:numPr>
        <w:spacing w:before="0" w:after="0" w:line="360" w:lineRule="auto"/>
        <w:rPr>
          <w:b/>
          <w:sz w:val="36"/>
          <w:szCs w:val="36"/>
        </w:rPr>
      </w:pPr>
      <w:bookmarkStart w:id="9" w:name="_Toc227057883"/>
      <w:bookmarkStart w:id="10" w:name="_Toc226969276"/>
      <w:bookmarkStart w:id="11" w:name="_Toc69378616"/>
      <w:bookmarkStart w:id="12" w:name="_Toc107822483"/>
      <w:r>
        <w:rPr>
          <w:rFonts w:hint="eastAsia"/>
          <w:b/>
          <w:sz w:val="36"/>
          <w:szCs w:val="36"/>
        </w:rPr>
        <w:t>第二章竞争性谈判</w:t>
      </w:r>
      <w:r>
        <w:rPr>
          <w:b/>
          <w:sz w:val="36"/>
          <w:szCs w:val="36"/>
        </w:rPr>
        <w:t>须知</w:t>
      </w:r>
    </w:p>
    <w:p>
      <w:pPr>
        <w:spacing w:line="360" w:lineRule="auto"/>
        <w:jc w:val="center"/>
        <w:rPr>
          <w:sz w:val="28"/>
          <w:szCs w:val="28"/>
        </w:rPr>
      </w:pPr>
      <w:r>
        <w:rPr>
          <w:rFonts w:hint="eastAsia"/>
          <w:sz w:val="28"/>
          <w:szCs w:val="28"/>
        </w:rPr>
        <w:t>供应商须知前附表</w:t>
      </w:r>
    </w:p>
    <w:p>
      <w:pPr>
        <w:spacing w:line="360" w:lineRule="auto"/>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30"/>
        <w:gridCol w:w="838"/>
        <w:gridCol w:w="1349"/>
        <w:gridCol w:w="6037"/>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tcBorders>
              <w:top w:val="single" w:color="auto" w:sz="6" w:space="0"/>
            </w:tcBorders>
            <w:vAlign w:val="center"/>
          </w:tcPr>
          <w:p>
            <w:pPr>
              <w:jc w:val="center"/>
              <w:rPr>
                <w:b/>
                <w:sz w:val="24"/>
              </w:rPr>
            </w:pPr>
            <w:r>
              <w:rPr>
                <w:rFonts w:hint="eastAsia"/>
                <w:b/>
                <w:sz w:val="24"/>
              </w:rPr>
              <w:t>序号</w:t>
            </w:r>
          </w:p>
        </w:tc>
        <w:tc>
          <w:tcPr>
            <w:tcW w:w="473" w:type="pct"/>
            <w:tcBorders>
              <w:top w:val="single" w:color="auto" w:sz="6" w:space="0"/>
            </w:tcBorders>
            <w:vAlign w:val="center"/>
          </w:tcPr>
          <w:p>
            <w:pPr>
              <w:jc w:val="center"/>
              <w:rPr>
                <w:b/>
                <w:sz w:val="24"/>
              </w:rPr>
            </w:pPr>
            <w:r>
              <w:rPr>
                <w:rFonts w:hint="eastAsia"/>
                <w:b/>
                <w:sz w:val="24"/>
              </w:rPr>
              <w:t>条款号</w:t>
            </w:r>
          </w:p>
        </w:tc>
        <w:tc>
          <w:tcPr>
            <w:tcW w:w="762" w:type="pct"/>
            <w:tcBorders>
              <w:top w:val="single" w:color="auto" w:sz="6" w:space="0"/>
            </w:tcBorders>
            <w:vAlign w:val="center"/>
          </w:tcPr>
          <w:p>
            <w:pPr>
              <w:jc w:val="center"/>
              <w:rPr>
                <w:b/>
                <w:sz w:val="24"/>
              </w:rPr>
            </w:pPr>
            <w:r>
              <w:rPr>
                <w:rFonts w:hint="eastAsia"/>
                <w:b/>
                <w:sz w:val="24"/>
              </w:rPr>
              <w:t>内容</w:t>
            </w:r>
          </w:p>
        </w:tc>
        <w:tc>
          <w:tcPr>
            <w:tcW w:w="3409"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w:t>
            </w:r>
          </w:p>
        </w:tc>
        <w:tc>
          <w:tcPr>
            <w:tcW w:w="473" w:type="pct"/>
            <w:vAlign w:val="center"/>
          </w:tcPr>
          <w:p>
            <w:pPr>
              <w:jc w:val="center"/>
              <w:rPr>
                <w:sz w:val="24"/>
              </w:rPr>
            </w:pPr>
            <w:r>
              <w:rPr>
                <w:sz w:val="24"/>
              </w:rPr>
              <w:t>1.1</w:t>
            </w:r>
          </w:p>
        </w:tc>
        <w:tc>
          <w:tcPr>
            <w:tcW w:w="762" w:type="pct"/>
            <w:vAlign w:val="center"/>
          </w:tcPr>
          <w:p>
            <w:pPr>
              <w:jc w:val="center"/>
              <w:rPr>
                <w:sz w:val="24"/>
              </w:rPr>
            </w:pPr>
            <w:r>
              <w:rPr>
                <w:rFonts w:hint="eastAsia"/>
                <w:sz w:val="24"/>
              </w:rPr>
              <w:t>采购人</w:t>
            </w:r>
          </w:p>
        </w:tc>
        <w:tc>
          <w:tcPr>
            <w:tcW w:w="3409"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2</w:t>
            </w:r>
          </w:p>
        </w:tc>
        <w:tc>
          <w:tcPr>
            <w:tcW w:w="473" w:type="pct"/>
            <w:vAlign w:val="center"/>
          </w:tcPr>
          <w:p>
            <w:pPr>
              <w:jc w:val="center"/>
              <w:rPr>
                <w:sz w:val="24"/>
              </w:rPr>
            </w:pPr>
            <w:r>
              <w:rPr>
                <w:sz w:val="24"/>
              </w:rPr>
              <w:t>1.2</w:t>
            </w:r>
          </w:p>
        </w:tc>
        <w:tc>
          <w:tcPr>
            <w:tcW w:w="762" w:type="pct"/>
            <w:vAlign w:val="center"/>
          </w:tcPr>
          <w:p>
            <w:pPr>
              <w:jc w:val="center"/>
              <w:rPr>
                <w:sz w:val="24"/>
              </w:rPr>
            </w:pPr>
            <w:r>
              <w:rPr>
                <w:rFonts w:hint="eastAsia"/>
                <w:sz w:val="24"/>
              </w:rPr>
              <w:t>代理机构</w:t>
            </w:r>
          </w:p>
        </w:tc>
        <w:tc>
          <w:tcPr>
            <w:tcW w:w="3409"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56" w:type="pct"/>
            <w:vAlign w:val="center"/>
          </w:tcPr>
          <w:p>
            <w:pPr>
              <w:jc w:val="center"/>
              <w:rPr>
                <w:sz w:val="24"/>
              </w:rPr>
            </w:pPr>
            <w:r>
              <w:rPr>
                <w:sz w:val="24"/>
              </w:rPr>
              <w:t>3</w:t>
            </w:r>
          </w:p>
        </w:tc>
        <w:tc>
          <w:tcPr>
            <w:tcW w:w="473" w:type="pct"/>
            <w:vAlign w:val="center"/>
          </w:tcPr>
          <w:p>
            <w:pPr>
              <w:jc w:val="center"/>
              <w:rPr>
                <w:sz w:val="24"/>
              </w:rPr>
            </w:pPr>
            <w:r>
              <w:rPr>
                <w:sz w:val="24"/>
              </w:rPr>
              <w:t>1.3</w:t>
            </w:r>
          </w:p>
        </w:tc>
        <w:tc>
          <w:tcPr>
            <w:tcW w:w="762" w:type="pct"/>
            <w:vAlign w:val="center"/>
          </w:tcPr>
          <w:p>
            <w:pPr>
              <w:jc w:val="center"/>
              <w:rPr>
                <w:sz w:val="24"/>
              </w:rPr>
            </w:pPr>
            <w:r>
              <w:rPr>
                <w:rFonts w:hint="eastAsia"/>
                <w:sz w:val="24"/>
              </w:rPr>
              <w:t>合格的供应商</w:t>
            </w:r>
          </w:p>
        </w:tc>
        <w:tc>
          <w:tcPr>
            <w:tcW w:w="3409"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4</w:t>
            </w:r>
          </w:p>
        </w:tc>
        <w:tc>
          <w:tcPr>
            <w:tcW w:w="473" w:type="pct"/>
            <w:vAlign w:val="center"/>
          </w:tcPr>
          <w:p>
            <w:pPr>
              <w:jc w:val="center"/>
              <w:rPr>
                <w:sz w:val="24"/>
              </w:rPr>
            </w:pPr>
            <w:r>
              <w:rPr>
                <w:sz w:val="24"/>
              </w:rPr>
              <w:t>20.1</w:t>
            </w:r>
          </w:p>
        </w:tc>
        <w:tc>
          <w:tcPr>
            <w:tcW w:w="762" w:type="pct"/>
            <w:vAlign w:val="center"/>
          </w:tcPr>
          <w:p>
            <w:pPr>
              <w:jc w:val="center"/>
              <w:rPr>
                <w:sz w:val="24"/>
              </w:rPr>
            </w:pPr>
            <w:r>
              <w:rPr>
                <w:rFonts w:hint="eastAsia"/>
                <w:sz w:val="24"/>
              </w:rPr>
              <w:t>保密</w:t>
            </w:r>
          </w:p>
        </w:tc>
        <w:tc>
          <w:tcPr>
            <w:tcW w:w="3409"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5</w:t>
            </w:r>
          </w:p>
        </w:tc>
        <w:tc>
          <w:tcPr>
            <w:tcW w:w="473" w:type="pct"/>
            <w:vAlign w:val="center"/>
          </w:tcPr>
          <w:p>
            <w:pPr>
              <w:jc w:val="center"/>
              <w:rPr>
                <w:sz w:val="24"/>
              </w:rPr>
            </w:pPr>
            <w:r>
              <w:rPr>
                <w:sz w:val="24"/>
              </w:rPr>
              <w:t>7.1</w:t>
            </w:r>
          </w:p>
          <w:p>
            <w:pPr>
              <w:jc w:val="center"/>
              <w:rPr>
                <w:sz w:val="24"/>
              </w:rPr>
            </w:pPr>
            <w:r>
              <w:rPr>
                <w:rFonts w:hint="eastAsia"/>
                <w:sz w:val="24"/>
              </w:rPr>
              <w:t>2）</w:t>
            </w:r>
          </w:p>
        </w:tc>
        <w:tc>
          <w:tcPr>
            <w:tcW w:w="762" w:type="pct"/>
            <w:vAlign w:val="center"/>
          </w:tcPr>
          <w:p>
            <w:pPr>
              <w:jc w:val="center"/>
              <w:rPr>
                <w:sz w:val="24"/>
              </w:rPr>
            </w:pPr>
            <w:r>
              <w:rPr>
                <w:rFonts w:hint="eastAsia"/>
                <w:sz w:val="24"/>
              </w:rPr>
              <w:t>经第三方审计的财务报表（如有）</w:t>
            </w:r>
          </w:p>
        </w:tc>
        <w:tc>
          <w:tcPr>
            <w:tcW w:w="3409"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6</w:t>
            </w:r>
          </w:p>
        </w:tc>
        <w:tc>
          <w:tcPr>
            <w:tcW w:w="473" w:type="pct"/>
            <w:vAlign w:val="center"/>
          </w:tcPr>
          <w:p>
            <w:pPr>
              <w:jc w:val="center"/>
              <w:rPr>
                <w:sz w:val="24"/>
              </w:rPr>
            </w:pPr>
            <w:r>
              <w:rPr>
                <w:sz w:val="24"/>
              </w:rPr>
              <w:t>7.1</w:t>
            </w:r>
          </w:p>
          <w:p>
            <w:pPr>
              <w:jc w:val="center"/>
              <w:rPr>
                <w:sz w:val="24"/>
              </w:rPr>
            </w:pPr>
            <w:r>
              <w:rPr>
                <w:rFonts w:hint="eastAsia"/>
                <w:sz w:val="24"/>
              </w:rPr>
              <w:t>3）</w:t>
            </w:r>
          </w:p>
        </w:tc>
        <w:tc>
          <w:tcPr>
            <w:tcW w:w="762" w:type="pct"/>
            <w:vAlign w:val="center"/>
          </w:tcPr>
          <w:p>
            <w:pPr>
              <w:jc w:val="center"/>
              <w:rPr>
                <w:sz w:val="24"/>
              </w:rPr>
            </w:pPr>
            <w:r>
              <w:rPr>
                <w:rFonts w:hint="eastAsia"/>
                <w:sz w:val="24"/>
              </w:rPr>
              <w:t>响应文件的技术部分中必须包括的内容</w:t>
            </w:r>
          </w:p>
        </w:tc>
        <w:tc>
          <w:tcPr>
            <w:tcW w:w="3409" w:type="pct"/>
          </w:tcPr>
          <w:p>
            <w:pPr>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7</w:t>
            </w:r>
          </w:p>
        </w:tc>
        <w:tc>
          <w:tcPr>
            <w:tcW w:w="473" w:type="pct"/>
            <w:vAlign w:val="center"/>
          </w:tcPr>
          <w:p>
            <w:pPr>
              <w:jc w:val="center"/>
              <w:rPr>
                <w:sz w:val="24"/>
              </w:rPr>
            </w:pPr>
            <w:r>
              <w:rPr>
                <w:sz w:val="24"/>
              </w:rPr>
              <w:t>7.1</w:t>
            </w:r>
          </w:p>
          <w:p>
            <w:pPr>
              <w:jc w:val="center"/>
              <w:rPr>
                <w:sz w:val="24"/>
              </w:rPr>
            </w:pPr>
            <w:r>
              <w:rPr>
                <w:rFonts w:hint="eastAsia"/>
                <w:sz w:val="24"/>
              </w:rPr>
              <w:t>6）</w:t>
            </w:r>
          </w:p>
        </w:tc>
        <w:tc>
          <w:tcPr>
            <w:tcW w:w="762" w:type="pct"/>
            <w:vAlign w:val="center"/>
          </w:tcPr>
          <w:p>
            <w:pPr>
              <w:jc w:val="center"/>
              <w:rPr>
                <w:sz w:val="24"/>
              </w:rPr>
            </w:pPr>
            <w:r>
              <w:rPr>
                <w:rFonts w:hint="eastAsia"/>
                <w:sz w:val="24"/>
              </w:rPr>
              <w:t>合同文本的提供</w:t>
            </w:r>
          </w:p>
        </w:tc>
        <w:tc>
          <w:tcPr>
            <w:tcW w:w="3409" w:type="pct"/>
            <w:vAlign w:val="center"/>
          </w:tcPr>
          <w:p>
            <w:pPr>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8</w:t>
            </w:r>
          </w:p>
        </w:tc>
        <w:tc>
          <w:tcPr>
            <w:tcW w:w="473" w:type="pct"/>
            <w:vAlign w:val="center"/>
          </w:tcPr>
          <w:p>
            <w:pPr>
              <w:jc w:val="center"/>
              <w:rPr>
                <w:sz w:val="24"/>
              </w:rPr>
            </w:pPr>
            <w:r>
              <w:rPr>
                <w:sz w:val="24"/>
              </w:rPr>
              <w:t>8.1</w:t>
            </w:r>
          </w:p>
        </w:tc>
        <w:tc>
          <w:tcPr>
            <w:tcW w:w="762" w:type="pct"/>
            <w:vAlign w:val="center"/>
          </w:tcPr>
          <w:p>
            <w:pPr>
              <w:jc w:val="center"/>
              <w:rPr>
                <w:sz w:val="24"/>
              </w:rPr>
            </w:pPr>
            <w:r>
              <w:rPr>
                <w:rFonts w:hint="eastAsia"/>
                <w:sz w:val="24"/>
              </w:rPr>
              <w:t>响应文件的式样和签署</w:t>
            </w:r>
          </w:p>
        </w:tc>
        <w:tc>
          <w:tcPr>
            <w:tcW w:w="3409" w:type="pct"/>
            <w:vAlign w:val="center"/>
          </w:tcPr>
          <w:p>
            <w:pPr>
              <w:rPr>
                <w:sz w:val="24"/>
              </w:rPr>
            </w:pPr>
            <w:r>
              <w:rPr>
                <w:rFonts w:hint="eastAsia"/>
                <w:sz w:val="24"/>
              </w:rPr>
              <w:t>响应文件一式</w:t>
            </w:r>
            <w:r>
              <w:rPr>
                <w:sz w:val="24"/>
              </w:rPr>
              <w:t>2</w:t>
            </w:r>
            <w:r>
              <w:rPr>
                <w:rFonts w:hint="eastAsia"/>
                <w:sz w:val="24"/>
              </w:rPr>
              <w:t>份（</w:t>
            </w:r>
            <w:r>
              <w:rPr>
                <w:sz w:val="24"/>
              </w:rPr>
              <w:t>1</w:t>
            </w:r>
            <w:r>
              <w:rPr>
                <w:rFonts w:hint="eastAsia"/>
                <w:sz w:val="24"/>
              </w:rPr>
              <w:t>份正本、</w:t>
            </w:r>
            <w:r>
              <w:rPr>
                <w:sz w:val="24"/>
              </w:rPr>
              <w:t>1</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9</w:t>
            </w:r>
          </w:p>
        </w:tc>
        <w:tc>
          <w:tcPr>
            <w:tcW w:w="473" w:type="pct"/>
            <w:vAlign w:val="center"/>
          </w:tcPr>
          <w:p>
            <w:pPr>
              <w:jc w:val="center"/>
              <w:rPr>
                <w:sz w:val="24"/>
              </w:rPr>
            </w:pPr>
            <w:r>
              <w:rPr>
                <w:sz w:val="24"/>
              </w:rPr>
              <w:t>9.1</w:t>
            </w:r>
          </w:p>
        </w:tc>
        <w:tc>
          <w:tcPr>
            <w:tcW w:w="762" w:type="pct"/>
            <w:vAlign w:val="center"/>
          </w:tcPr>
          <w:p>
            <w:pPr>
              <w:jc w:val="center"/>
              <w:rPr>
                <w:sz w:val="24"/>
              </w:rPr>
            </w:pPr>
            <w:r>
              <w:rPr>
                <w:rFonts w:hint="eastAsia"/>
                <w:sz w:val="24"/>
              </w:rPr>
              <w:t>报价</w:t>
            </w:r>
          </w:p>
        </w:tc>
        <w:tc>
          <w:tcPr>
            <w:tcW w:w="3409"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10</w:t>
            </w:r>
          </w:p>
        </w:tc>
        <w:tc>
          <w:tcPr>
            <w:tcW w:w="473" w:type="pct"/>
            <w:vAlign w:val="center"/>
          </w:tcPr>
          <w:p>
            <w:pPr>
              <w:jc w:val="center"/>
              <w:rPr>
                <w:sz w:val="24"/>
              </w:rPr>
            </w:pPr>
          </w:p>
        </w:tc>
        <w:tc>
          <w:tcPr>
            <w:tcW w:w="762" w:type="pct"/>
            <w:vAlign w:val="center"/>
          </w:tcPr>
          <w:p>
            <w:pPr>
              <w:jc w:val="center"/>
              <w:rPr>
                <w:sz w:val="24"/>
              </w:rPr>
            </w:pPr>
            <w:r>
              <w:rPr>
                <w:rFonts w:hint="eastAsia"/>
                <w:sz w:val="24"/>
              </w:rPr>
              <w:t>响应文件的盖章或签字</w:t>
            </w:r>
          </w:p>
        </w:tc>
        <w:tc>
          <w:tcPr>
            <w:tcW w:w="3409" w:type="pct"/>
            <w:vAlign w:val="center"/>
          </w:tcPr>
          <w:p>
            <w:pPr>
              <w:rPr>
                <w:sz w:val="24"/>
              </w:rPr>
            </w:pPr>
            <w:r>
              <w:rPr>
                <w:rFonts w:hint="eastAsia"/>
                <w:sz w:val="24"/>
              </w:rPr>
              <w:t>本条款增加规定：</w:t>
            </w:r>
          </w:p>
          <w:p>
            <w:pPr>
              <w:rPr>
                <w:sz w:val="24"/>
              </w:rPr>
            </w:pPr>
            <w:r>
              <w:rPr>
                <w:rFonts w:hint="eastAsia"/>
                <w:sz w:val="24"/>
              </w:rPr>
              <w:t>（1）竞争性谈判文件第六章“响应文件格式”中有单位名称和法定代表人或其委托代理人签字落款的响应文件必须加盖单位公章。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11</w:t>
            </w:r>
          </w:p>
        </w:tc>
        <w:tc>
          <w:tcPr>
            <w:tcW w:w="473" w:type="pct"/>
            <w:vAlign w:val="center"/>
          </w:tcPr>
          <w:p>
            <w:pPr>
              <w:jc w:val="center"/>
              <w:rPr>
                <w:sz w:val="24"/>
              </w:rPr>
            </w:pPr>
            <w:r>
              <w:rPr>
                <w:sz w:val="24"/>
              </w:rPr>
              <w:t>10.1</w:t>
            </w:r>
          </w:p>
        </w:tc>
        <w:tc>
          <w:tcPr>
            <w:tcW w:w="762" w:type="pct"/>
            <w:vAlign w:val="center"/>
          </w:tcPr>
          <w:p>
            <w:pPr>
              <w:jc w:val="center"/>
              <w:rPr>
                <w:sz w:val="24"/>
              </w:rPr>
            </w:pPr>
            <w:r>
              <w:rPr>
                <w:rFonts w:hint="eastAsia"/>
                <w:sz w:val="24"/>
              </w:rPr>
              <w:t>响应有效期</w:t>
            </w:r>
          </w:p>
        </w:tc>
        <w:tc>
          <w:tcPr>
            <w:tcW w:w="3409"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12</w:t>
            </w:r>
          </w:p>
        </w:tc>
        <w:tc>
          <w:tcPr>
            <w:tcW w:w="473" w:type="pct"/>
            <w:vAlign w:val="center"/>
          </w:tcPr>
          <w:p>
            <w:pPr>
              <w:jc w:val="center"/>
              <w:rPr>
                <w:sz w:val="24"/>
              </w:rPr>
            </w:pPr>
            <w:r>
              <w:rPr>
                <w:sz w:val="24"/>
              </w:rPr>
              <w:t>12.1</w:t>
            </w:r>
          </w:p>
        </w:tc>
        <w:tc>
          <w:tcPr>
            <w:tcW w:w="762" w:type="pct"/>
            <w:vAlign w:val="center"/>
          </w:tcPr>
          <w:p>
            <w:pPr>
              <w:jc w:val="center"/>
              <w:rPr>
                <w:sz w:val="24"/>
              </w:rPr>
            </w:pPr>
            <w:r>
              <w:rPr>
                <w:rFonts w:hint="eastAsia"/>
                <w:sz w:val="24"/>
              </w:rPr>
              <w:t>递交响应文件截止时间</w:t>
            </w:r>
          </w:p>
        </w:tc>
        <w:tc>
          <w:tcPr>
            <w:tcW w:w="3409"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356" w:type="pct"/>
            <w:vAlign w:val="center"/>
          </w:tcPr>
          <w:p>
            <w:pPr>
              <w:jc w:val="center"/>
              <w:rPr>
                <w:sz w:val="24"/>
              </w:rPr>
            </w:pPr>
            <w:r>
              <w:rPr>
                <w:sz w:val="24"/>
              </w:rPr>
              <w:t>13</w:t>
            </w:r>
          </w:p>
        </w:tc>
        <w:tc>
          <w:tcPr>
            <w:tcW w:w="473" w:type="pct"/>
            <w:vAlign w:val="center"/>
          </w:tcPr>
          <w:p>
            <w:pPr>
              <w:jc w:val="center"/>
              <w:rPr>
                <w:sz w:val="24"/>
              </w:rPr>
            </w:pPr>
            <w:r>
              <w:rPr>
                <w:sz w:val="24"/>
              </w:rPr>
              <w:t>12.1</w:t>
            </w:r>
          </w:p>
        </w:tc>
        <w:tc>
          <w:tcPr>
            <w:tcW w:w="762" w:type="pct"/>
            <w:vAlign w:val="center"/>
          </w:tcPr>
          <w:p>
            <w:pPr>
              <w:jc w:val="center"/>
              <w:rPr>
                <w:sz w:val="24"/>
              </w:rPr>
            </w:pPr>
            <w:r>
              <w:rPr>
                <w:rFonts w:hint="eastAsia"/>
                <w:sz w:val="24"/>
              </w:rPr>
              <w:t>递交响应文件地点</w:t>
            </w:r>
          </w:p>
        </w:tc>
        <w:tc>
          <w:tcPr>
            <w:tcW w:w="3409" w:type="pct"/>
            <w:vAlign w:val="center"/>
          </w:tcPr>
          <w:p>
            <w:pPr>
              <w:rPr>
                <w:sz w:val="24"/>
              </w:rPr>
            </w:pPr>
            <w:r>
              <w:rPr>
                <w:rFonts w:hint="eastAsia"/>
                <w:sz w:val="24"/>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56" w:type="pct"/>
            <w:vAlign w:val="center"/>
          </w:tcPr>
          <w:p>
            <w:pPr>
              <w:jc w:val="center"/>
              <w:rPr>
                <w:sz w:val="24"/>
              </w:rPr>
            </w:pPr>
            <w:r>
              <w:rPr>
                <w:sz w:val="24"/>
              </w:rPr>
              <w:t>14</w:t>
            </w:r>
          </w:p>
        </w:tc>
        <w:tc>
          <w:tcPr>
            <w:tcW w:w="473" w:type="pct"/>
            <w:vAlign w:val="center"/>
          </w:tcPr>
          <w:p>
            <w:pPr>
              <w:jc w:val="center"/>
              <w:rPr>
                <w:sz w:val="24"/>
              </w:rPr>
            </w:pPr>
            <w:r>
              <w:rPr>
                <w:sz w:val="24"/>
              </w:rPr>
              <w:t>17.5</w:t>
            </w:r>
          </w:p>
        </w:tc>
        <w:tc>
          <w:tcPr>
            <w:tcW w:w="762" w:type="pct"/>
            <w:vAlign w:val="center"/>
          </w:tcPr>
          <w:p>
            <w:pPr>
              <w:jc w:val="center"/>
              <w:rPr>
                <w:sz w:val="24"/>
              </w:rPr>
            </w:pPr>
            <w:r>
              <w:rPr>
                <w:rFonts w:hint="eastAsia"/>
                <w:sz w:val="24"/>
              </w:rPr>
              <w:t>如发现下列情况之一的，其响应文件将可能被拒绝</w:t>
            </w:r>
          </w:p>
        </w:tc>
        <w:tc>
          <w:tcPr>
            <w:tcW w:w="3409" w:type="pct"/>
            <w:vAlign w:val="center"/>
          </w:tcPr>
          <w:p>
            <w:pPr>
              <w:rPr>
                <w:sz w:val="24"/>
              </w:rPr>
            </w:pPr>
            <w:r>
              <w:rPr>
                <w:sz w:val="24"/>
              </w:rPr>
              <w:t>1</w:t>
            </w:r>
            <w:r>
              <w:rPr>
                <w:rFonts w:hint="eastAsia"/>
                <w:sz w:val="24"/>
              </w:rPr>
              <w:t>）不满足竞争性谈判文件对合格供应商的基本资质要求的；</w:t>
            </w:r>
          </w:p>
          <w:p>
            <w:pPr>
              <w:rPr>
                <w:sz w:val="24"/>
              </w:rPr>
            </w:pPr>
            <w:r>
              <w:rPr>
                <w:rFonts w:hint="eastAsia"/>
                <w:sz w:val="24"/>
              </w:rPr>
              <w:t>2）供应商在响应文件中提供的服务内容及质量不能实质性满足竞争性谈判文件要求或不能提供实质性满足证明的；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5）资格证明文件不全、失效或不符合竞争性谈判文件要求的；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9）未按照竞争性谈判文件规定的方式领取竞争性谈判文件并按要求递交响应文件的；</w:t>
            </w:r>
          </w:p>
          <w:p>
            <w:pPr>
              <w:rPr>
                <w:sz w:val="24"/>
              </w:rPr>
            </w:pPr>
            <w:r>
              <w:rPr>
                <w:sz w:val="24"/>
              </w:rPr>
              <w:t>1</w:t>
            </w:r>
            <w:r>
              <w:rPr>
                <w:rFonts w:hint="eastAsia"/>
                <w:sz w:val="24"/>
              </w:rPr>
              <w:t>0）评审委员会认为不能实质上满足竞争性谈判文件其它要求的。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56" w:type="pct"/>
            <w:vAlign w:val="center"/>
          </w:tcPr>
          <w:p>
            <w:pPr>
              <w:jc w:val="center"/>
              <w:rPr>
                <w:sz w:val="24"/>
              </w:rPr>
            </w:pPr>
            <w:r>
              <w:rPr>
                <w:sz w:val="24"/>
              </w:rPr>
              <w:t>15</w:t>
            </w:r>
          </w:p>
        </w:tc>
        <w:tc>
          <w:tcPr>
            <w:tcW w:w="473" w:type="pct"/>
            <w:vAlign w:val="center"/>
          </w:tcPr>
          <w:p>
            <w:pPr>
              <w:jc w:val="center"/>
              <w:rPr>
                <w:sz w:val="24"/>
              </w:rPr>
            </w:pPr>
            <w:r>
              <w:rPr>
                <w:sz w:val="24"/>
              </w:rPr>
              <w:t>19</w:t>
            </w:r>
          </w:p>
        </w:tc>
        <w:tc>
          <w:tcPr>
            <w:tcW w:w="762" w:type="pct"/>
            <w:vAlign w:val="center"/>
          </w:tcPr>
          <w:p>
            <w:pPr>
              <w:jc w:val="center"/>
              <w:rPr>
                <w:sz w:val="24"/>
              </w:rPr>
            </w:pPr>
            <w:r>
              <w:rPr>
                <w:rFonts w:hint="eastAsia"/>
                <w:sz w:val="24"/>
              </w:rPr>
              <w:t>评审</w:t>
            </w:r>
          </w:p>
        </w:tc>
        <w:tc>
          <w:tcPr>
            <w:tcW w:w="3409" w:type="pct"/>
            <w:vAlign w:val="center"/>
          </w:tcPr>
          <w:p>
            <w:pPr>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pPr>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rPr>
                <w:sz w:val="24"/>
              </w:rPr>
            </w:pPr>
            <w:r>
              <w:rPr>
                <w:sz w:val="24"/>
              </w:rPr>
              <w:t>5</w:t>
            </w:r>
            <w:r>
              <w:rPr>
                <w:rFonts w:hint="eastAsia"/>
                <w:sz w:val="24"/>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56" w:type="pct"/>
            <w:vAlign w:val="center"/>
          </w:tcPr>
          <w:p>
            <w:pPr>
              <w:jc w:val="center"/>
              <w:rPr>
                <w:sz w:val="24"/>
              </w:rPr>
            </w:pPr>
            <w:r>
              <w:rPr>
                <w:sz w:val="24"/>
              </w:rPr>
              <w:t>16</w:t>
            </w:r>
          </w:p>
        </w:tc>
        <w:tc>
          <w:tcPr>
            <w:tcW w:w="473" w:type="pct"/>
            <w:vAlign w:val="center"/>
          </w:tcPr>
          <w:p>
            <w:pPr>
              <w:jc w:val="center"/>
              <w:rPr>
                <w:sz w:val="24"/>
              </w:rPr>
            </w:pPr>
            <w:r>
              <w:rPr>
                <w:sz w:val="24"/>
              </w:rPr>
              <w:t>22.1</w:t>
            </w:r>
          </w:p>
        </w:tc>
        <w:tc>
          <w:tcPr>
            <w:tcW w:w="76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09" w:type="pct"/>
            <w:vAlign w:val="center"/>
          </w:tcPr>
          <w:p>
            <w:pPr>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56" w:type="pct"/>
            <w:vAlign w:val="center"/>
          </w:tcPr>
          <w:p>
            <w:pPr>
              <w:jc w:val="center"/>
              <w:rPr>
                <w:sz w:val="24"/>
              </w:rPr>
            </w:pPr>
            <w:r>
              <w:rPr>
                <w:sz w:val="24"/>
              </w:rPr>
              <w:t>17</w:t>
            </w:r>
          </w:p>
        </w:tc>
        <w:tc>
          <w:tcPr>
            <w:tcW w:w="473" w:type="pct"/>
            <w:vAlign w:val="center"/>
          </w:tcPr>
          <w:p>
            <w:pPr>
              <w:jc w:val="center"/>
              <w:rPr>
                <w:sz w:val="24"/>
              </w:rPr>
            </w:pPr>
            <w:r>
              <w:rPr>
                <w:sz w:val="24"/>
              </w:rPr>
              <w:t>24</w:t>
            </w:r>
          </w:p>
        </w:tc>
        <w:tc>
          <w:tcPr>
            <w:tcW w:w="762" w:type="pct"/>
            <w:vAlign w:val="center"/>
          </w:tcPr>
          <w:p>
            <w:pPr>
              <w:jc w:val="center"/>
              <w:rPr>
                <w:sz w:val="24"/>
              </w:rPr>
            </w:pPr>
            <w:r>
              <w:rPr>
                <w:rFonts w:hint="eastAsia"/>
                <w:sz w:val="24"/>
              </w:rPr>
              <w:t>签约</w:t>
            </w:r>
          </w:p>
        </w:tc>
        <w:tc>
          <w:tcPr>
            <w:tcW w:w="3409" w:type="pct"/>
            <w:vAlign w:val="center"/>
          </w:tcPr>
          <w:p>
            <w:pPr>
              <w:rPr>
                <w:sz w:val="24"/>
              </w:rPr>
            </w:pPr>
            <w:r>
              <w:rPr>
                <w:rFonts w:hint="eastAsia"/>
                <w:sz w:val="24"/>
              </w:rPr>
              <w:t>采购人与本次成交供应商按本竞争性谈判文件第四章合同格式签订合同。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二、竞争性谈判文件</w:t>
      </w:r>
    </w:p>
    <w:p>
      <w:pPr>
        <w:spacing w:line="360" w:lineRule="auto"/>
        <w:rPr>
          <w:rFonts w:ascii="宋体" w:hAnsi="宋体"/>
          <w:sz w:val="24"/>
        </w:rPr>
      </w:pPr>
      <w:r>
        <w:rPr>
          <w:rFonts w:ascii="宋体" w:hAnsi="宋体"/>
          <w:sz w:val="24"/>
        </w:rPr>
        <w:t>3.</w:t>
      </w:r>
      <w:r>
        <w:rPr>
          <w:rFonts w:hint="eastAsia" w:ascii="宋体" w:hAnsi="宋体"/>
          <w:sz w:val="24"/>
        </w:rPr>
        <w:t>竞争性谈判文件构成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pPr>
        <w:spacing w:line="360" w:lineRule="auto"/>
        <w:rPr>
          <w:rFonts w:ascii="宋体" w:hAnsi="宋体"/>
          <w:sz w:val="24"/>
        </w:rPr>
      </w:pPr>
      <w:r>
        <w:rPr>
          <w:rFonts w:hint="eastAsia" w:ascii="宋体" w:hAnsi="宋体"/>
          <w:sz w:val="24"/>
        </w:rPr>
        <w:t>第二章竞争性谈判须知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第六章竞争性谈判响应文件格式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2</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1</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pPr>
        <w:spacing w:line="360" w:lineRule="auto"/>
        <w:rPr>
          <w:rFonts w:ascii="宋体" w:hAnsi="宋体"/>
          <w:b/>
          <w:sz w:val="28"/>
          <w:szCs w:val="28"/>
        </w:rPr>
      </w:pPr>
      <w:r>
        <w:rPr>
          <w:rFonts w:hint="eastAsia" w:ascii="宋体" w:hAnsi="宋体"/>
          <w:b/>
          <w:sz w:val="28"/>
          <w:szCs w:val="28"/>
        </w:rPr>
        <w:t>六、谈判和成交供应商评审</w:t>
      </w:r>
    </w:p>
    <w:p>
      <w:pPr>
        <w:spacing w:line="360" w:lineRule="auto"/>
        <w:rPr>
          <w:rFonts w:ascii="宋体" w:hAnsi="宋体"/>
          <w:sz w:val="24"/>
        </w:rPr>
      </w:pPr>
      <w:r>
        <w:rPr>
          <w:rFonts w:ascii="宋体" w:hAnsi="宋体"/>
          <w:sz w:val="24"/>
        </w:rPr>
        <w:t>18.谈判</w:t>
      </w:r>
    </w:p>
    <w:p>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color w:val="C00000"/>
          <w:sz w:val="24"/>
        </w:rPr>
        <w:t>人</w:t>
      </w:r>
      <w:r>
        <w:rPr>
          <w:rFonts w:hint="eastAsia" w:ascii="宋体" w:hAnsi="宋体"/>
          <w:sz w:val="24"/>
        </w:rPr>
        <w:t>。</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bookmarkEnd w:id="9"/>
      <w:bookmarkEnd w:id="10"/>
      <w:bookmarkEnd w:id="11"/>
      <w:bookmarkEnd w:id="12"/>
      <w:bookmarkStart w:id="13" w:name="_Toc226969316"/>
      <w:bookmarkStart w:id="14" w:name="_Toc107822520"/>
      <w:bookmarkStart w:id="15" w:name="_Toc227057922"/>
      <w:r>
        <w:br w:type="page"/>
      </w:r>
    </w:p>
    <w:bookmarkEnd w:id="13"/>
    <w:bookmarkEnd w:id="14"/>
    <w:bookmarkEnd w:id="15"/>
    <w:p>
      <w:pPr>
        <w:pStyle w:val="3"/>
        <w:numPr>
          <w:ilvl w:val="0"/>
          <w:numId w:val="0"/>
        </w:numPr>
        <w:spacing w:before="0" w:after="0" w:line="360" w:lineRule="auto"/>
        <w:rPr>
          <w:b/>
          <w:sz w:val="36"/>
          <w:szCs w:val="36"/>
        </w:rPr>
      </w:pPr>
      <w:bookmarkStart w:id="16" w:name="_Toc69378617"/>
      <w:bookmarkStart w:id="17" w:name="_Toc226969352"/>
      <w:bookmarkStart w:id="18" w:name="_Toc107822556"/>
      <w:bookmarkStart w:id="19" w:name="_Toc227057958"/>
      <w:r>
        <w:rPr>
          <w:rFonts w:hint="eastAsia"/>
          <w:b/>
          <w:sz w:val="36"/>
          <w:szCs w:val="36"/>
        </w:rPr>
        <w:t>第三章评审办法</w:t>
      </w:r>
      <w:bookmarkEnd w:id="16"/>
    </w:p>
    <w:p>
      <w:pPr>
        <w:spacing w:line="360" w:lineRule="auto"/>
        <w:ind w:firstLine="480" w:firstLineChars="200"/>
        <w:jc w:val="left"/>
        <w:rPr>
          <w:rFonts w:ascii="宋体" w:hAnsi="宋体"/>
          <w:sz w:val="24"/>
        </w:rPr>
      </w:pPr>
      <w:r>
        <w:rPr>
          <w:rFonts w:ascii="宋体" w:hAnsi="宋体"/>
          <w:sz w:val="24"/>
        </w:rPr>
        <w:t>投标人须对第三章《评标办法》中的评分要求逐项说明在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jc w:val="center"/>
        <w:rPr>
          <w:rFonts w:ascii="宋体" w:hAnsi="宋体"/>
          <w:sz w:val="37"/>
          <w:szCs w:val="37"/>
        </w:rPr>
      </w:pPr>
      <w:r>
        <w:rPr>
          <w:rFonts w:ascii="宋体" w:hAnsi="宋体"/>
        </w:rPr>
        <w:br w:type="page"/>
      </w:r>
      <w:r>
        <w:rPr>
          <w:rFonts w:ascii="宋体" w:hAnsi="宋体"/>
          <w:sz w:val="37"/>
          <w:szCs w:val="37"/>
        </w:rPr>
        <w:t>评标办法</w:t>
      </w:r>
    </w:p>
    <w:p>
      <w:pPr>
        <w:jc w:val="center"/>
        <w:rPr>
          <w:rFonts w:ascii="宋体" w:hAnsi="宋体"/>
          <w:sz w:val="24"/>
        </w:rPr>
      </w:pPr>
      <w:r>
        <w:rPr>
          <w:rFonts w:ascii="宋体" w:hAnsi="宋体"/>
          <w:sz w:val="24"/>
        </w:rPr>
        <w:t>（满分100分）</w:t>
      </w:r>
    </w:p>
    <w:tbl>
      <w:tblPr>
        <w:tblStyle w:val="53"/>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43"/>
        <w:gridCol w:w="709"/>
        <w:gridCol w:w="5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3" w:type="dxa"/>
            <w:gridSpan w:val="2"/>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评审内容</w:t>
            </w:r>
          </w:p>
        </w:tc>
        <w:tc>
          <w:tcPr>
            <w:tcW w:w="709"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分值</w:t>
            </w:r>
          </w:p>
        </w:tc>
        <w:tc>
          <w:tcPr>
            <w:tcW w:w="5279"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Align w:val="center"/>
          </w:tcPr>
          <w:p>
            <w:pPr>
              <w:snapToGrid w:val="0"/>
              <w:spacing w:line="360" w:lineRule="auto"/>
              <w:jc w:val="left"/>
              <w:rPr>
                <w:rFonts w:ascii="宋体" w:hAnsi="宋体" w:cs="宋体"/>
                <w:kern w:val="0"/>
                <w:szCs w:val="21"/>
              </w:rPr>
            </w:pPr>
            <w:r>
              <w:rPr>
                <w:rFonts w:hint="eastAsia" w:ascii="宋体" w:hAnsi="宋体" w:cs="宋体"/>
                <w:kern w:val="0"/>
                <w:szCs w:val="21"/>
              </w:rPr>
              <w:t>价格分（6</w:t>
            </w:r>
            <w:r>
              <w:rPr>
                <w:rFonts w:ascii="宋体" w:hAnsi="宋体" w:cs="宋体"/>
                <w:kern w:val="0"/>
                <w:szCs w:val="21"/>
              </w:rPr>
              <w:t>0</w:t>
            </w:r>
            <w:r>
              <w:rPr>
                <w:rFonts w:hint="eastAsia" w:ascii="宋体" w:hAnsi="宋体" w:cs="宋体"/>
                <w:kern w:val="0"/>
                <w:szCs w:val="21"/>
              </w:rPr>
              <w:t>分）</w:t>
            </w:r>
          </w:p>
        </w:tc>
        <w:tc>
          <w:tcPr>
            <w:tcW w:w="1143" w:type="dxa"/>
            <w:vAlign w:val="center"/>
          </w:tcPr>
          <w:p>
            <w:pPr>
              <w:spacing w:line="360" w:lineRule="auto"/>
              <w:jc w:val="center"/>
              <w:rPr>
                <w:rFonts w:ascii="宋体" w:hAnsi="宋体"/>
                <w:kern w:val="0"/>
                <w:szCs w:val="21"/>
              </w:rPr>
            </w:pPr>
            <w:r>
              <w:rPr>
                <w:rFonts w:hint="eastAsia" w:ascii="宋体" w:hAnsi="宋体"/>
                <w:bCs/>
                <w:color w:val="000000"/>
                <w:szCs w:val="21"/>
              </w:rPr>
              <w:t>项目</w:t>
            </w:r>
            <w:r>
              <w:rPr>
                <w:rFonts w:ascii="宋体" w:hAnsi="宋体"/>
                <w:bCs/>
                <w:color w:val="000000"/>
                <w:szCs w:val="21"/>
              </w:rPr>
              <w:t>报价</w:t>
            </w:r>
          </w:p>
        </w:tc>
        <w:tc>
          <w:tcPr>
            <w:tcW w:w="709" w:type="dxa"/>
            <w:vAlign w:val="center"/>
          </w:tcPr>
          <w:p>
            <w:pPr>
              <w:spacing w:line="360" w:lineRule="auto"/>
              <w:jc w:val="center"/>
              <w:rPr>
                <w:rFonts w:ascii="宋体" w:hAnsi="宋体"/>
                <w:b/>
                <w:bCs/>
                <w:kern w:val="0"/>
                <w:szCs w:val="21"/>
              </w:rPr>
            </w:pPr>
            <w:r>
              <w:rPr>
                <w:rFonts w:ascii="宋体" w:hAnsi="宋体" w:cs="宋体"/>
                <w:kern w:val="0"/>
                <w:szCs w:val="21"/>
              </w:rPr>
              <w:t>60</w:t>
            </w:r>
          </w:p>
        </w:tc>
        <w:tc>
          <w:tcPr>
            <w:tcW w:w="5279" w:type="dxa"/>
            <w:vAlign w:val="center"/>
          </w:tcPr>
          <w:p>
            <w:pPr>
              <w:widowControl/>
              <w:tabs>
                <w:tab w:val="left" w:pos="0"/>
              </w:tabs>
              <w:rPr>
                <w:rFonts w:ascii="宋体" w:hAnsi="宋体"/>
                <w:kern w:val="0"/>
                <w:szCs w:val="21"/>
              </w:rPr>
            </w:pPr>
            <w:r>
              <w:rPr>
                <w:rFonts w:hint="eastAsia" w:ascii="宋体" w:hAnsi="宋体"/>
                <w:kern w:val="0"/>
                <w:szCs w:val="21"/>
              </w:rPr>
              <w:t>A、</w:t>
            </w:r>
            <w:r>
              <w:rPr>
                <w:rFonts w:ascii="宋体" w:hAnsi="宋体"/>
                <w:kern w:val="0"/>
                <w:szCs w:val="21"/>
              </w:rPr>
              <w:t>评审</w:t>
            </w:r>
            <w:r>
              <w:rPr>
                <w:rFonts w:hint="eastAsia" w:ascii="宋体" w:hAnsi="宋体"/>
                <w:kern w:val="0"/>
                <w:szCs w:val="21"/>
              </w:rPr>
              <w:t>价的计算：</w:t>
            </w:r>
          </w:p>
          <w:p>
            <w:pPr>
              <w:widowControl/>
              <w:tabs>
                <w:tab w:val="left" w:pos="207"/>
                <w:tab w:val="left" w:pos="312"/>
              </w:tabs>
              <w:rPr>
                <w:rFonts w:ascii="宋体" w:hAnsi="宋体"/>
                <w:kern w:val="0"/>
                <w:szCs w:val="21"/>
              </w:rPr>
            </w:pPr>
            <w:r>
              <w:rPr>
                <w:rFonts w:hint="eastAsia" w:ascii="宋体" w:hAnsi="宋体"/>
                <w:szCs w:val="21"/>
              </w:rPr>
              <w:t>1、投标人的最终报价</w:t>
            </w:r>
            <w:r>
              <w:rPr>
                <w:rFonts w:hint="eastAsia" w:ascii="宋体" w:hAnsi="宋体"/>
                <w:kern w:val="0"/>
                <w:szCs w:val="21"/>
              </w:rPr>
              <w:t>如有缺漏项均视为不实质性响应；</w:t>
            </w:r>
          </w:p>
          <w:p>
            <w:pPr>
              <w:widowControl/>
              <w:tabs>
                <w:tab w:val="left" w:pos="207"/>
                <w:tab w:val="left" w:pos="312"/>
              </w:tabs>
              <w:rPr>
                <w:rFonts w:ascii="宋体" w:hAnsi="宋体"/>
                <w:kern w:val="0"/>
                <w:szCs w:val="21"/>
              </w:rPr>
            </w:pPr>
            <w:r>
              <w:rPr>
                <w:rFonts w:hint="eastAsia" w:ascii="宋体" w:hAnsi="宋体"/>
                <w:kern w:val="0"/>
                <w:szCs w:val="21"/>
              </w:rPr>
              <w:t>2、不接受选择性报价或者具有附加条件的报价；</w:t>
            </w:r>
          </w:p>
          <w:p>
            <w:pPr>
              <w:widowControl/>
              <w:tabs>
                <w:tab w:val="left" w:pos="207"/>
                <w:tab w:val="left" w:pos="312"/>
              </w:tabs>
              <w:rPr>
                <w:rFonts w:ascii="宋体" w:hAnsi="宋体"/>
                <w:kern w:val="0"/>
                <w:szCs w:val="21"/>
              </w:rPr>
            </w:pPr>
            <w:r>
              <w:rPr>
                <w:rFonts w:hint="eastAsia" w:ascii="宋体" w:hAnsi="宋体"/>
                <w:kern w:val="0"/>
                <w:szCs w:val="21"/>
              </w:rPr>
              <w:t>3、响应文件中如果申报了非竞争性谈判文件所要求的服务和产品，</w:t>
            </w:r>
            <w:r>
              <w:rPr>
                <w:rFonts w:ascii="宋体" w:hAnsi="宋体"/>
                <w:kern w:val="0"/>
                <w:szCs w:val="21"/>
              </w:rPr>
              <w:t>评审</w:t>
            </w:r>
            <w:r>
              <w:rPr>
                <w:rFonts w:hint="eastAsia" w:ascii="宋体" w:hAnsi="宋体"/>
                <w:kern w:val="0"/>
                <w:szCs w:val="21"/>
              </w:rPr>
              <w:t>时不予以折价降低</w:t>
            </w:r>
            <w:r>
              <w:rPr>
                <w:rFonts w:ascii="宋体" w:hAnsi="宋体"/>
                <w:kern w:val="0"/>
                <w:szCs w:val="21"/>
              </w:rPr>
              <w:t>评审</w:t>
            </w:r>
            <w:r>
              <w:rPr>
                <w:rFonts w:hint="eastAsia" w:ascii="宋体" w:hAnsi="宋体"/>
                <w:kern w:val="0"/>
                <w:szCs w:val="21"/>
              </w:rPr>
              <w:t>价；</w:t>
            </w:r>
          </w:p>
          <w:p>
            <w:pPr>
              <w:widowControl/>
              <w:tabs>
                <w:tab w:val="left" w:pos="207"/>
                <w:tab w:val="left" w:pos="312"/>
              </w:tabs>
              <w:rPr>
                <w:rFonts w:ascii="宋体" w:hAnsi="宋体"/>
                <w:kern w:val="0"/>
                <w:szCs w:val="21"/>
              </w:rPr>
            </w:pPr>
            <w:r>
              <w:rPr>
                <w:rFonts w:hint="eastAsia" w:ascii="宋体" w:hAnsi="宋体"/>
                <w:kern w:val="0"/>
                <w:szCs w:val="21"/>
              </w:rPr>
              <w:t>4、投标人</w:t>
            </w:r>
            <w:r>
              <w:rPr>
                <w:rFonts w:hint="eastAsia" w:ascii="宋体" w:hAnsi="宋体"/>
                <w:szCs w:val="21"/>
              </w:rPr>
              <w:t>的含税</w:t>
            </w:r>
            <w:r>
              <w:rPr>
                <w:rFonts w:hint="eastAsia" w:ascii="宋体" w:hAnsi="宋体"/>
                <w:kern w:val="0"/>
                <w:szCs w:val="21"/>
              </w:rPr>
              <w:t>报价经勘误后的</w:t>
            </w:r>
            <w:r>
              <w:rPr>
                <w:rFonts w:hint="eastAsia" w:ascii="宋体" w:hAnsi="宋体"/>
                <w:szCs w:val="21"/>
              </w:rPr>
              <w:t>值</w:t>
            </w:r>
            <w:r>
              <w:rPr>
                <w:rFonts w:hint="eastAsia" w:ascii="宋体" w:hAnsi="宋体"/>
                <w:kern w:val="0"/>
                <w:szCs w:val="21"/>
              </w:rPr>
              <w:t>作为该投标人的</w:t>
            </w:r>
            <w:r>
              <w:rPr>
                <w:rFonts w:ascii="宋体" w:hAnsi="宋体"/>
                <w:kern w:val="0"/>
                <w:szCs w:val="21"/>
              </w:rPr>
              <w:t>评审</w:t>
            </w:r>
            <w:r>
              <w:rPr>
                <w:rFonts w:hint="eastAsia" w:ascii="宋体" w:hAnsi="宋体"/>
                <w:kern w:val="0"/>
                <w:szCs w:val="21"/>
              </w:rPr>
              <w:t>价。</w:t>
            </w:r>
          </w:p>
          <w:p>
            <w:pPr>
              <w:widowControl/>
              <w:tabs>
                <w:tab w:val="left" w:pos="207"/>
                <w:tab w:val="left" w:pos="312"/>
              </w:tabs>
              <w:rPr>
                <w:rFonts w:ascii="宋体" w:hAnsi="宋体"/>
                <w:kern w:val="0"/>
                <w:szCs w:val="21"/>
              </w:rPr>
            </w:pPr>
            <w:r>
              <w:rPr>
                <w:rFonts w:hint="eastAsia" w:ascii="宋体" w:hAnsi="宋体"/>
                <w:kern w:val="0"/>
                <w:szCs w:val="21"/>
              </w:rPr>
              <w:t>B、价格分的计算（</w:t>
            </w:r>
            <w:r>
              <w:rPr>
                <w:rFonts w:ascii="宋体" w:hAnsi="宋体"/>
                <w:kern w:val="0"/>
                <w:szCs w:val="21"/>
              </w:rPr>
              <w:t>保留小数点后2位）</w:t>
            </w:r>
          </w:p>
          <w:p>
            <w:pPr>
              <w:widowControl/>
              <w:tabs>
                <w:tab w:val="left" w:pos="0"/>
              </w:tabs>
              <w:rPr>
                <w:rFonts w:ascii="宋体" w:hAnsi="宋体"/>
                <w:kern w:val="0"/>
                <w:szCs w:val="21"/>
              </w:rPr>
            </w:pPr>
            <w:r>
              <w:rPr>
                <w:rFonts w:ascii="宋体" w:hAnsi="宋体"/>
                <w:kern w:val="0"/>
                <w:szCs w:val="21"/>
              </w:rPr>
              <w:t>1. 评标基准价：满足</w:t>
            </w:r>
            <w:r>
              <w:rPr>
                <w:rFonts w:hint="eastAsia" w:ascii="宋体" w:hAnsi="宋体"/>
                <w:kern w:val="0"/>
                <w:szCs w:val="21"/>
              </w:rPr>
              <w:t>响应文件</w:t>
            </w:r>
            <w:r>
              <w:rPr>
                <w:rFonts w:ascii="宋体" w:hAnsi="宋体"/>
                <w:kern w:val="0"/>
                <w:szCs w:val="21"/>
              </w:rPr>
              <w:t>要求的所有</w:t>
            </w:r>
            <w:r>
              <w:rPr>
                <w:rFonts w:hint="eastAsia" w:ascii="宋体" w:hAnsi="宋体"/>
                <w:kern w:val="0"/>
                <w:szCs w:val="21"/>
              </w:rPr>
              <w:t>有效</w:t>
            </w:r>
            <w:r>
              <w:rPr>
                <w:rFonts w:hint="eastAsia" w:ascii="宋体" w:hAnsi="宋体"/>
              </w:rPr>
              <w:t>投标人</w:t>
            </w:r>
            <w:r>
              <w:rPr>
                <w:rFonts w:hint="eastAsia" w:ascii="宋体" w:hAnsi="宋体"/>
                <w:kern w:val="0"/>
                <w:szCs w:val="21"/>
              </w:rPr>
              <w:t>的最低</w:t>
            </w:r>
            <w:r>
              <w:rPr>
                <w:rFonts w:ascii="宋体" w:hAnsi="宋体"/>
                <w:kern w:val="0"/>
                <w:szCs w:val="21"/>
              </w:rPr>
              <w:t>价为评标基准价。</w:t>
            </w:r>
          </w:p>
          <w:p>
            <w:pPr>
              <w:widowControl/>
              <w:tabs>
                <w:tab w:val="left" w:pos="0"/>
              </w:tabs>
              <w:rPr>
                <w:rFonts w:ascii="宋体" w:hAnsi="宋体"/>
                <w:kern w:val="0"/>
                <w:szCs w:val="21"/>
              </w:rPr>
            </w:pPr>
            <w:r>
              <w:rPr>
                <w:rFonts w:hint="eastAsia" w:ascii="宋体" w:hAnsi="宋体"/>
                <w:kern w:val="0"/>
                <w:szCs w:val="21"/>
              </w:rPr>
              <w:t>2、报价得分=（评审基准价/</w:t>
            </w:r>
            <w:r>
              <w:rPr>
                <w:rFonts w:hint="eastAsia" w:ascii="宋体" w:hAnsi="宋体"/>
              </w:rPr>
              <w:t>投标人</w:t>
            </w:r>
            <w:r>
              <w:rPr>
                <w:rFonts w:hint="eastAsia" w:ascii="宋体" w:hAnsi="宋体"/>
                <w:kern w:val="0"/>
                <w:szCs w:val="21"/>
              </w:rPr>
              <w:t>报价）*60。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Merge w:val="restart"/>
            <w:vAlign w:val="center"/>
          </w:tcPr>
          <w:p>
            <w:pPr>
              <w:snapToGrid w:val="0"/>
              <w:spacing w:line="360" w:lineRule="auto"/>
              <w:jc w:val="left"/>
              <w:rPr>
                <w:rFonts w:ascii="宋体" w:hAnsi="宋体" w:cs="宋体"/>
                <w:kern w:val="0"/>
                <w:szCs w:val="21"/>
              </w:rPr>
            </w:pPr>
            <w:r>
              <w:rPr>
                <w:rFonts w:hint="eastAsia" w:ascii="宋体" w:hAnsi="宋体" w:cs="宋体"/>
                <w:kern w:val="0"/>
                <w:szCs w:val="21"/>
              </w:rPr>
              <w:t>商务分（1</w:t>
            </w:r>
            <w:r>
              <w:rPr>
                <w:rFonts w:ascii="宋体" w:hAnsi="宋体" w:cs="宋体"/>
                <w:kern w:val="0"/>
                <w:szCs w:val="21"/>
              </w:rPr>
              <w:t>5</w:t>
            </w:r>
            <w:r>
              <w:rPr>
                <w:rFonts w:hint="eastAsia" w:ascii="宋体" w:hAnsi="宋体" w:cs="宋体"/>
                <w:kern w:val="0"/>
                <w:szCs w:val="21"/>
              </w:rPr>
              <w:t>分）</w:t>
            </w:r>
          </w:p>
        </w:tc>
        <w:tc>
          <w:tcPr>
            <w:tcW w:w="1143" w:type="dxa"/>
            <w:vAlign w:val="center"/>
          </w:tcPr>
          <w:p>
            <w:pPr>
              <w:spacing w:line="360" w:lineRule="auto"/>
              <w:jc w:val="center"/>
              <w:rPr>
                <w:rFonts w:ascii="宋体" w:hAnsi="宋体"/>
                <w:kern w:val="0"/>
                <w:szCs w:val="21"/>
              </w:rPr>
            </w:pPr>
            <w:r>
              <w:rPr>
                <w:rFonts w:ascii="宋体" w:hAnsi="宋体"/>
                <w:kern w:val="0"/>
                <w:szCs w:val="21"/>
              </w:rPr>
              <w:t>综合实力</w:t>
            </w:r>
          </w:p>
        </w:tc>
        <w:tc>
          <w:tcPr>
            <w:tcW w:w="709" w:type="dxa"/>
            <w:vAlign w:val="center"/>
          </w:tcPr>
          <w:p>
            <w:pPr>
              <w:spacing w:line="360" w:lineRule="auto"/>
              <w:jc w:val="center"/>
              <w:rPr>
                <w:rFonts w:ascii="宋体" w:hAnsi="宋体"/>
                <w:kern w:val="0"/>
                <w:szCs w:val="21"/>
              </w:rPr>
            </w:pPr>
            <w:r>
              <w:rPr>
                <w:rFonts w:ascii="宋体" w:hAnsi="宋体"/>
                <w:kern w:val="0"/>
                <w:szCs w:val="21"/>
              </w:rPr>
              <w:t>5</w:t>
            </w:r>
          </w:p>
        </w:tc>
        <w:tc>
          <w:tcPr>
            <w:tcW w:w="5279" w:type="dxa"/>
          </w:tcPr>
          <w:p>
            <w:pPr>
              <w:widowControl/>
              <w:tabs>
                <w:tab w:val="left" w:pos="0"/>
              </w:tabs>
              <w:rPr>
                <w:rFonts w:ascii="宋体" w:hAnsi="宋体"/>
                <w:kern w:val="0"/>
                <w:szCs w:val="21"/>
              </w:rPr>
            </w:pPr>
            <w:r>
              <w:rPr>
                <w:rFonts w:hint="eastAsia" w:ascii="宋体" w:hAnsi="宋体"/>
                <w:kern w:val="0"/>
                <w:szCs w:val="21"/>
              </w:rPr>
              <w:t>投标单位注册资金超过1000万（含）的得</w:t>
            </w:r>
            <w:r>
              <w:rPr>
                <w:rFonts w:ascii="宋体" w:hAnsi="宋体"/>
                <w:kern w:val="0"/>
                <w:szCs w:val="21"/>
              </w:rPr>
              <w:t>5</w:t>
            </w:r>
            <w:r>
              <w:rPr>
                <w:rFonts w:hint="eastAsia" w:ascii="宋体" w:hAnsi="宋体"/>
                <w:kern w:val="0"/>
                <w:szCs w:val="21"/>
              </w:rPr>
              <w:t>分；超过500万（含）的得</w:t>
            </w:r>
            <w:r>
              <w:rPr>
                <w:rFonts w:ascii="宋体" w:hAnsi="宋体"/>
                <w:kern w:val="0"/>
                <w:szCs w:val="21"/>
              </w:rPr>
              <w:t>3</w:t>
            </w:r>
            <w:r>
              <w:rPr>
                <w:rFonts w:hint="eastAsia" w:ascii="宋体" w:hAnsi="宋体"/>
                <w:kern w:val="0"/>
                <w:szCs w:val="21"/>
              </w:rPr>
              <w:t>分；超过300万（含）的得1分。</w:t>
            </w:r>
          </w:p>
          <w:p>
            <w:pPr>
              <w:pStyle w:val="2"/>
              <w:rPr>
                <w:rFonts w:ascii="宋体" w:hAnsi="宋体"/>
                <w:kern w:val="0"/>
                <w:szCs w:val="21"/>
              </w:rPr>
            </w:pPr>
            <w:r>
              <w:rPr>
                <w:rFonts w:hint="eastAsia" w:ascii="宋体" w:hAnsi="宋体"/>
                <w:kern w:val="0"/>
                <w:sz w:val="21"/>
                <w:szCs w:val="21"/>
              </w:rPr>
              <w:t>提供营业执照扫描件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Merge w:val="continue"/>
            <w:vAlign w:val="center"/>
          </w:tcPr>
          <w:p>
            <w:pPr>
              <w:snapToGrid w:val="0"/>
              <w:spacing w:line="360" w:lineRule="auto"/>
              <w:jc w:val="left"/>
              <w:rPr>
                <w:rFonts w:ascii="宋体" w:hAnsi="宋体" w:cs="宋体"/>
                <w:kern w:val="0"/>
                <w:szCs w:val="21"/>
              </w:rPr>
            </w:pPr>
          </w:p>
        </w:tc>
        <w:tc>
          <w:tcPr>
            <w:tcW w:w="1143" w:type="dxa"/>
            <w:vAlign w:val="center"/>
          </w:tcPr>
          <w:p>
            <w:pPr>
              <w:snapToGrid w:val="0"/>
              <w:spacing w:line="360" w:lineRule="auto"/>
              <w:jc w:val="center"/>
              <w:rPr>
                <w:rFonts w:ascii="宋体" w:hAnsi="宋体" w:cs="宋体"/>
                <w:kern w:val="0"/>
                <w:szCs w:val="21"/>
              </w:rPr>
            </w:pPr>
            <w:r>
              <w:rPr>
                <w:rFonts w:hint="eastAsia" w:ascii="宋体" w:hAnsi="宋体"/>
              </w:rPr>
              <w:t>业绩等实力</w:t>
            </w:r>
          </w:p>
        </w:tc>
        <w:tc>
          <w:tcPr>
            <w:tcW w:w="709" w:type="dxa"/>
            <w:vAlign w:val="center"/>
          </w:tcPr>
          <w:p>
            <w:pPr>
              <w:spacing w:line="360" w:lineRule="auto"/>
              <w:jc w:val="center"/>
              <w:rPr>
                <w:rFonts w:ascii="宋体" w:hAnsi="宋体"/>
                <w:b/>
                <w:szCs w:val="21"/>
              </w:rPr>
            </w:pPr>
            <w:r>
              <w:rPr>
                <w:rFonts w:ascii="宋体" w:hAnsi="宋体"/>
                <w:b/>
                <w:bCs/>
                <w:szCs w:val="21"/>
              </w:rPr>
              <w:t>10</w:t>
            </w:r>
          </w:p>
        </w:tc>
        <w:tc>
          <w:tcPr>
            <w:tcW w:w="5279" w:type="dxa"/>
            <w:vAlign w:val="center"/>
          </w:tcPr>
          <w:p>
            <w:pPr>
              <w:widowControl/>
              <w:tabs>
                <w:tab w:val="left" w:pos="0"/>
              </w:tabs>
              <w:rPr>
                <w:rFonts w:ascii="宋体" w:hAnsi="宋体"/>
                <w:kern w:val="0"/>
                <w:szCs w:val="21"/>
              </w:rPr>
            </w:pPr>
            <w:r>
              <w:rPr>
                <w:rFonts w:hint="eastAsia" w:ascii="宋体" w:hAnsi="宋体"/>
                <w:kern w:val="0"/>
                <w:szCs w:val="21"/>
              </w:rPr>
              <w:t>2020年1月1日至今，参与过类似波分设备搬迁工程（提供有关证明材料，如合同等）。每提供一份得2分，最高为10分。</w:t>
            </w:r>
          </w:p>
          <w:p>
            <w:pPr>
              <w:pStyle w:val="2"/>
            </w:pPr>
            <w:r>
              <w:rPr>
                <w:rFonts w:hint="eastAsia" w:ascii="宋体" w:hAnsi="宋体"/>
                <w:kern w:val="0"/>
                <w:sz w:val="21"/>
                <w:szCs w:val="21"/>
              </w:rPr>
              <w:t>需提供合同证明材料，合同签订时间需为自</w:t>
            </w:r>
            <w:r>
              <w:rPr>
                <w:rFonts w:ascii="宋体" w:hAnsi="宋体"/>
                <w:kern w:val="0"/>
                <w:sz w:val="21"/>
                <w:szCs w:val="21"/>
              </w:rPr>
              <w:t>2020</w:t>
            </w:r>
            <w:r>
              <w:rPr>
                <w:rFonts w:hint="eastAsia" w:ascii="宋体" w:hAnsi="宋体"/>
                <w:kern w:val="0"/>
                <w:sz w:val="21"/>
                <w:szCs w:val="21"/>
              </w:rPr>
              <w:t>年</w:t>
            </w:r>
            <w:r>
              <w:rPr>
                <w:rFonts w:ascii="宋体" w:hAnsi="宋体"/>
                <w:kern w:val="0"/>
                <w:sz w:val="21"/>
                <w:szCs w:val="21"/>
              </w:rPr>
              <w:t>1</w:t>
            </w:r>
            <w:r>
              <w:rPr>
                <w:rFonts w:hint="eastAsia" w:ascii="宋体" w:hAnsi="宋体"/>
                <w:kern w:val="0"/>
                <w:sz w:val="21"/>
                <w:szCs w:val="21"/>
              </w:rPr>
              <w:t>月</w:t>
            </w:r>
            <w:r>
              <w:rPr>
                <w:rFonts w:ascii="宋体" w:hAnsi="宋体"/>
                <w:kern w:val="0"/>
                <w:sz w:val="21"/>
                <w:szCs w:val="21"/>
              </w:rPr>
              <w:t>1</w:t>
            </w:r>
            <w:r>
              <w:rPr>
                <w:rFonts w:hint="eastAsia" w:ascii="宋体" w:hAnsi="宋体"/>
                <w:kern w:val="0"/>
                <w:sz w:val="21"/>
                <w:szCs w:val="21"/>
              </w:rPr>
              <w:t>日（含）至投标截止之日，需提供与投标人（作为被委托方</w:t>
            </w:r>
            <w:r>
              <w:rPr>
                <w:rFonts w:ascii="宋体" w:hAnsi="宋体"/>
                <w:kern w:val="0"/>
                <w:sz w:val="21"/>
                <w:szCs w:val="21"/>
              </w:rPr>
              <w:t>/</w:t>
            </w:r>
            <w:r>
              <w:rPr>
                <w:rFonts w:hint="eastAsia" w:ascii="宋体" w:hAnsi="宋体"/>
                <w:kern w:val="0"/>
                <w:sz w:val="21"/>
                <w:szCs w:val="21"/>
              </w:rPr>
              <w:t>乙方）签署的合同关键页扫描件（包含合同封面、内容、金额、签字盖章等；或能体现前述内容的合同关键页）。有些合同中不一定会体现金额，所以表述应增加“如合同中无法体现金额，须另附该合同项下的结算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120" w:type="dxa"/>
            <w:vAlign w:val="center"/>
          </w:tcPr>
          <w:p>
            <w:pPr>
              <w:snapToGrid w:val="0"/>
              <w:spacing w:line="360" w:lineRule="auto"/>
              <w:jc w:val="left"/>
              <w:rPr>
                <w:rFonts w:ascii="宋体" w:hAnsi="宋体" w:cs="宋体"/>
                <w:kern w:val="0"/>
                <w:szCs w:val="21"/>
              </w:rPr>
            </w:pPr>
            <w:r>
              <w:rPr>
                <w:rFonts w:hint="eastAsia" w:ascii="宋体" w:hAnsi="宋体" w:cs="宋体"/>
                <w:kern w:val="0"/>
                <w:szCs w:val="21"/>
              </w:rPr>
              <w:t>技术分（1</w:t>
            </w:r>
            <w:r>
              <w:rPr>
                <w:rFonts w:ascii="宋体" w:hAnsi="宋体" w:cs="宋体"/>
                <w:kern w:val="0"/>
                <w:szCs w:val="21"/>
              </w:rPr>
              <w:t>5</w:t>
            </w:r>
            <w:r>
              <w:rPr>
                <w:rFonts w:hint="eastAsia" w:ascii="宋体" w:hAnsi="宋体" w:cs="宋体"/>
                <w:kern w:val="0"/>
                <w:szCs w:val="21"/>
              </w:rPr>
              <w:t>分）</w:t>
            </w:r>
          </w:p>
        </w:tc>
        <w:tc>
          <w:tcPr>
            <w:tcW w:w="1143" w:type="dxa"/>
            <w:vAlign w:val="center"/>
          </w:tcPr>
          <w:p>
            <w:pPr>
              <w:widowControl/>
              <w:spacing w:line="360" w:lineRule="auto"/>
              <w:jc w:val="center"/>
              <w:rPr>
                <w:rFonts w:ascii="宋体" w:hAnsi="宋体"/>
                <w:szCs w:val="21"/>
              </w:rPr>
            </w:pPr>
            <w:r>
              <w:rPr>
                <w:rFonts w:hint="eastAsia" w:ascii="宋体" w:hAnsi="宋体"/>
                <w:szCs w:val="21"/>
              </w:rPr>
              <w:t>技术需求应答</w:t>
            </w:r>
          </w:p>
        </w:tc>
        <w:tc>
          <w:tcPr>
            <w:tcW w:w="709" w:type="dxa"/>
            <w:vAlign w:val="center"/>
          </w:tcPr>
          <w:p>
            <w:pPr>
              <w:spacing w:line="360" w:lineRule="auto"/>
              <w:jc w:val="center"/>
              <w:rPr>
                <w:rFonts w:ascii="宋体" w:hAnsi="宋体"/>
                <w:b/>
                <w:bCs/>
                <w:szCs w:val="21"/>
              </w:rPr>
            </w:pPr>
            <w:r>
              <w:rPr>
                <w:rFonts w:ascii="宋体" w:hAnsi="宋体"/>
                <w:b/>
                <w:bCs/>
                <w:szCs w:val="21"/>
              </w:rPr>
              <w:t>15</w:t>
            </w:r>
          </w:p>
        </w:tc>
        <w:tc>
          <w:tcPr>
            <w:tcW w:w="5279" w:type="dxa"/>
            <w:vAlign w:val="center"/>
          </w:tcPr>
          <w:p>
            <w:pPr>
              <w:widowControl/>
              <w:rPr>
                <w:rFonts w:ascii="宋体" w:hAnsi="宋体"/>
                <w:szCs w:val="21"/>
              </w:rPr>
            </w:pPr>
            <w:r>
              <w:rPr>
                <w:rFonts w:hint="eastAsia" w:ascii="宋体" w:hAnsi="宋体"/>
                <w:szCs w:val="21"/>
              </w:rPr>
              <w:t>根据投标产品对谈判文件第五章《技术需求书》的偏离情况打分，基本分</w:t>
            </w:r>
            <w:r>
              <w:rPr>
                <w:rFonts w:ascii="宋体" w:hAnsi="宋体"/>
                <w:szCs w:val="21"/>
              </w:rPr>
              <w:t>15</w:t>
            </w:r>
            <w:r>
              <w:rPr>
                <w:rFonts w:hint="eastAsia" w:ascii="宋体" w:hAnsi="宋体"/>
                <w:szCs w:val="21"/>
              </w:rPr>
              <w:t>分。关键条款（“★</w:t>
            </w:r>
            <w:r>
              <w:rPr>
                <w:rFonts w:ascii="宋体" w:hAnsi="宋体"/>
                <w:szCs w:val="21"/>
              </w:rPr>
              <w:t>”号条款）为必须满足的技术要求，不满足的将导致废标；非关键条款（非“</w:t>
            </w:r>
            <w:r>
              <w:rPr>
                <w:rFonts w:hint="eastAsia" w:ascii="宋体" w:hAnsi="宋体"/>
                <w:szCs w:val="21"/>
              </w:rPr>
              <w:t>★</w:t>
            </w:r>
            <w:r>
              <w:rPr>
                <w:rFonts w:ascii="宋体" w:hAnsi="宋体"/>
                <w:szCs w:val="21"/>
              </w:rPr>
              <w:t>”号条款），有1条不满足扣2分，扣完为止。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服务分（1</w:t>
            </w:r>
            <w:r>
              <w:rPr>
                <w:rFonts w:ascii="宋体" w:hAnsi="宋体" w:cs="宋体"/>
                <w:kern w:val="0"/>
                <w:szCs w:val="21"/>
              </w:rPr>
              <w:t>0</w:t>
            </w:r>
            <w:r>
              <w:rPr>
                <w:rFonts w:hint="eastAsia" w:ascii="宋体" w:hAnsi="宋体" w:cs="宋体"/>
                <w:kern w:val="0"/>
                <w:szCs w:val="21"/>
              </w:rPr>
              <w:t>分）</w:t>
            </w:r>
          </w:p>
        </w:tc>
        <w:tc>
          <w:tcPr>
            <w:tcW w:w="1143" w:type="dxa"/>
            <w:vAlign w:val="center"/>
          </w:tcPr>
          <w:p>
            <w:pPr>
              <w:jc w:val="center"/>
              <w:rPr>
                <w:szCs w:val="21"/>
              </w:rPr>
            </w:pPr>
            <w:r>
              <w:rPr>
                <w:rFonts w:hint="eastAsia"/>
                <w:szCs w:val="21"/>
              </w:rPr>
              <w:t>项目团队实力</w:t>
            </w:r>
          </w:p>
        </w:tc>
        <w:tc>
          <w:tcPr>
            <w:tcW w:w="709" w:type="dxa"/>
            <w:vAlign w:val="center"/>
          </w:tcPr>
          <w:p>
            <w:pPr>
              <w:spacing w:line="360" w:lineRule="auto"/>
              <w:jc w:val="center"/>
              <w:rPr>
                <w:rFonts w:ascii="宋体" w:hAnsi="宋体"/>
                <w:b/>
                <w:bCs/>
                <w:szCs w:val="21"/>
              </w:rPr>
            </w:pPr>
            <w:r>
              <w:rPr>
                <w:rFonts w:hint="eastAsia" w:ascii="宋体" w:hAnsi="宋体"/>
                <w:b/>
                <w:bCs/>
                <w:szCs w:val="21"/>
              </w:rPr>
              <w:t>1</w:t>
            </w:r>
            <w:r>
              <w:rPr>
                <w:rFonts w:ascii="宋体" w:hAnsi="宋体"/>
                <w:b/>
                <w:bCs/>
                <w:szCs w:val="21"/>
              </w:rPr>
              <w:t>0</w:t>
            </w:r>
          </w:p>
        </w:tc>
        <w:tc>
          <w:tcPr>
            <w:tcW w:w="5279" w:type="dxa"/>
            <w:vAlign w:val="center"/>
          </w:tcPr>
          <w:p>
            <w:pPr>
              <w:widowControl/>
              <w:tabs>
                <w:tab w:val="left" w:pos="0"/>
              </w:tabs>
              <w:rPr>
                <w:rFonts w:ascii="宋体" w:hAnsi="宋体"/>
                <w:color w:val="000000"/>
                <w:szCs w:val="21"/>
              </w:rPr>
            </w:pPr>
            <w:r>
              <w:rPr>
                <w:rFonts w:ascii="宋体" w:hAnsi="宋体"/>
                <w:color w:val="000000"/>
                <w:kern w:val="0"/>
                <w:szCs w:val="21"/>
              </w:rPr>
              <w:t>1</w:t>
            </w:r>
            <w:r>
              <w:rPr>
                <w:rFonts w:hint="eastAsia" w:ascii="宋体" w:hAnsi="宋体"/>
                <w:color w:val="000000"/>
                <w:kern w:val="0"/>
                <w:szCs w:val="21"/>
              </w:rPr>
              <w:t>．</w:t>
            </w:r>
            <w:r>
              <w:rPr>
                <w:rFonts w:hint="eastAsia" w:ascii="宋体" w:hAnsi="宋体"/>
                <w:color w:val="000000"/>
                <w:szCs w:val="21"/>
              </w:rPr>
              <w:t>项目经理参与过运营商级传输设备搬迁实施服务（提供案例）的得基本分</w:t>
            </w:r>
            <w:r>
              <w:rPr>
                <w:rFonts w:ascii="宋体" w:hAnsi="宋体"/>
                <w:color w:val="000000"/>
                <w:szCs w:val="21"/>
              </w:rPr>
              <w:t>2</w:t>
            </w:r>
            <w:r>
              <w:rPr>
                <w:rFonts w:hint="eastAsia" w:ascii="宋体" w:hAnsi="宋体"/>
                <w:color w:val="000000"/>
                <w:szCs w:val="21"/>
              </w:rPr>
              <w:t>分，否则不得分。</w:t>
            </w:r>
          </w:p>
          <w:p>
            <w:pPr>
              <w:pStyle w:val="2"/>
              <w:rPr>
                <w:rFonts w:ascii="宋体" w:hAnsi="宋体" w:cs="宋体"/>
                <w:kern w:val="0"/>
                <w:szCs w:val="21"/>
              </w:rPr>
            </w:pPr>
            <w:r>
              <w:rPr>
                <w:rFonts w:hint="eastAsia" w:ascii="宋体" w:hAnsi="宋体" w:cs="宋体"/>
                <w:kern w:val="0"/>
                <w:sz w:val="21"/>
                <w:szCs w:val="21"/>
              </w:rPr>
              <w:t>提供案例证明文件。</w:t>
            </w:r>
          </w:p>
          <w:p>
            <w:pPr>
              <w:widowControl/>
              <w:tabs>
                <w:tab w:val="left" w:pos="0"/>
              </w:tabs>
              <w:rPr>
                <w:rFonts w:ascii="宋体" w:hAnsi="宋体" w:cs="宋体"/>
                <w:kern w:val="0"/>
                <w:szCs w:val="21"/>
              </w:rPr>
            </w:pPr>
            <w:r>
              <w:rPr>
                <w:rFonts w:ascii="宋体" w:hAnsi="宋体"/>
                <w:kern w:val="0"/>
                <w:szCs w:val="21"/>
              </w:rPr>
              <w:t>2</w:t>
            </w:r>
            <w:r>
              <w:rPr>
                <w:rFonts w:hint="eastAsia" w:ascii="宋体" w:hAnsi="宋体" w:cs="宋体"/>
                <w:kern w:val="0"/>
                <w:szCs w:val="21"/>
              </w:rPr>
              <w:t>．投标商针对本项目涉及到的设备服务资质，如具有华为传输接入</w:t>
            </w:r>
            <w:r>
              <w:rPr>
                <w:rFonts w:hint="eastAsia" w:ascii="宋体" w:hAnsi="宋体"/>
                <w:kern w:val="0"/>
                <w:szCs w:val="21"/>
              </w:rPr>
              <w:t>5</w:t>
            </w:r>
            <w:r>
              <w:rPr>
                <w:rFonts w:hint="eastAsia" w:ascii="宋体" w:hAnsi="宋体" w:cs="宋体"/>
                <w:kern w:val="0"/>
                <w:szCs w:val="21"/>
              </w:rPr>
              <w:t>钻认证服务商证书得</w:t>
            </w:r>
            <w:r>
              <w:rPr>
                <w:rFonts w:hint="eastAsia" w:ascii="宋体" w:hAnsi="宋体"/>
                <w:kern w:val="0"/>
                <w:szCs w:val="21"/>
              </w:rPr>
              <w:t>5</w:t>
            </w:r>
            <w:r>
              <w:rPr>
                <w:rFonts w:hint="eastAsia" w:ascii="宋体" w:hAnsi="宋体" w:cs="宋体"/>
                <w:kern w:val="0"/>
                <w:szCs w:val="21"/>
              </w:rPr>
              <w:t>分，具有华为传输接入</w:t>
            </w:r>
            <w:r>
              <w:rPr>
                <w:rFonts w:ascii="宋体" w:hAnsi="宋体"/>
                <w:kern w:val="0"/>
                <w:szCs w:val="21"/>
              </w:rPr>
              <w:t>4</w:t>
            </w:r>
            <w:r>
              <w:rPr>
                <w:rFonts w:hint="eastAsia" w:ascii="宋体" w:hAnsi="宋体" w:cs="宋体"/>
                <w:kern w:val="0"/>
                <w:szCs w:val="21"/>
              </w:rPr>
              <w:t>钻认证服务商得</w:t>
            </w:r>
            <w:r>
              <w:rPr>
                <w:rFonts w:hint="eastAsia" w:ascii="宋体" w:hAnsi="宋体"/>
                <w:kern w:val="0"/>
                <w:szCs w:val="21"/>
              </w:rPr>
              <w:t>3</w:t>
            </w:r>
            <w:r>
              <w:rPr>
                <w:rFonts w:hint="eastAsia" w:ascii="宋体" w:hAnsi="宋体" w:cs="宋体"/>
                <w:kern w:val="0"/>
                <w:szCs w:val="21"/>
              </w:rPr>
              <w:t>分，具有华为传输接入</w:t>
            </w:r>
            <w:r>
              <w:rPr>
                <w:rFonts w:ascii="宋体" w:hAnsi="宋体"/>
                <w:kern w:val="0"/>
                <w:szCs w:val="21"/>
              </w:rPr>
              <w:t>3</w:t>
            </w:r>
            <w:r>
              <w:rPr>
                <w:rFonts w:hint="eastAsia" w:ascii="宋体" w:hAnsi="宋体" w:cs="宋体"/>
                <w:kern w:val="0"/>
                <w:szCs w:val="21"/>
              </w:rPr>
              <w:t>钻认证服务商得</w:t>
            </w:r>
            <w:r>
              <w:rPr>
                <w:rFonts w:hint="eastAsia" w:ascii="宋体" w:hAnsi="宋体"/>
                <w:kern w:val="0"/>
                <w:szCs w:val="21"/>
              </w:rPr>
              <w:t>1</w:t>
            </w:r>
            <w:r>
              <w:rPr>
                <w:rFonts w:hint="eastAsia" w:ascii="宋体" w:hAnsi="宋体" w:cs="宋体"/>
                <w:kern w:val="0"/>
                <w:szCs w:val="21"/>
              </w:rPr>
              <w:t>分，没有不得分；最高为5分。</w:t>
            </w:r>
          </w:p>
          <w:p>
            <w:pPr>
              <w:pStyle w:val="2"/>
            </w:pPr>
            <w:r>
              <w:rPr>
                <w:rFonts w:hint="eastAsia" w:ascii="宋体" w:hAnsi="宋体" w:cs="宋体"/>
                <w:kern w:val="0"/>
                <w:sz w:val="21"/>
                <w:szCs w:val="21"/>
              </w:rPr>
              <w:t>提供相应证书扫描件。</w:t>
            </w:r>
          </w:p>
          <w:p>
            <w:pPr>
              <w:autoSpaceDE w:val="0"/>
              <w:autoSpaceDN w:val="0"/>
              <w:rPr>
                <w:rFonts w:ascii="宋体" w:hAnsi="宋体" w:cs="宋体"/>
                <w:kern w:val="0"/>
                <w:szCs w:val="21"/>
              </w:rPr>
            </w:pPr>
            <w:r>
              <w:rPr>
                <w:rFonts w:ascii="宋体" w:hAnsi="宋体" w:cs="宋体"/>
                <w:kern w:val="0"/>
                <w:szCs w:val="21"/>
              </w:rPr>
              <w:t>3</w:t>
            </w:r>
            <w:r>
              <w:rPr>
                <w:rFonts w:hint="eastAsia" w:ascii="宋体" w:hAnsi="宋体" w:cs="宋体"/>
                <w:kern w:val="0"/>
                <w:szCs w:val="21"/>
              </w:rPr>
              <w:t>．具有华为传输接入</w:t>
            </w:r>
            <w:r>
              <w:rPr>
                <w:rFonts w:hint="eastAsia" w:ascii="宋体" w:hAnsi="宋体"/>
                <w:kern w:val="0"/>
                <w:szCs w:val="21"/>
              </w:rPr>
              <w:t>HCIE</w:t>
            </w:r>
            <w:r>
              <w:rPr>
                <w:rFonts w:hint="eastAsia" w:ascii="宋体" w:hAnsi="宋体" w:cs="宋体"/>
                <w:kern w:val="0"/>
                <w:szCs w:val="21"/>
              </w:rPr>
              <w:t>工程师证书每个得</w:t>
            </w:r>
            <w:r>
              <w:rPr>
                <w:rFonts w:hint="eastAsia" w:ascii="宋体" w:hAnsi="宋体"/>
                <w:kern w:val="0"/>
                <w:szCs w:val="21"/>
              </w:rPr>
              <w:t>1</w:t>
            </w:r>
            <w:r>
              <w:rPr>
                <w:rFonts w:hint="eastAsia" w:ascii="宋体" w:hAnsi="宋体" w:cs="宋体"/>
                <w:kern w:val="0"/>
                <w:szCs w:val="21"/>
              </w:rPr>
              <w:t>分；</w:t>
            </w:r>
          </w:p>
          <w:p>
            <w:pPr>
              <w:autoSpaceDE w:val="0"/>
              <w:autoSpaceDN w:val="0"/>
              <w:rPr>
                <w:rFonts w:ascii="宋体" w:hAnsi="宋体" w:cs="宋体"/>
                <w:kern w:val="0"/>
                <w:szCs w:val="21"/>
              </w:rPr>
            </w:pPr>
            <w:r>
              <w:rPr>
                <w:rFonts w:hint="eastAsia" w:ascii="宋体" w:hAnsi="宋体" w:cs="宋体"/>
                <w:kern w:val="0"/>
                <w:szCs w:val="21"/>
              </w:rPr>
              <w:t>具有传输接入</w:t>
            </w:r>
            <w:r>
              <w:rPr>
                <w:rFonts w:hint="eastAsia" w:ascii="宋体" w:hAnsi="宋体"/>
                <w:kern w:val="0"/>
                <w:szCs w:val="21"/>
              </w:rPr>
              <w:t>HCNP</w:t>
            </w:r>
            <w:r>
              <w:rPr>
                <w:rFonts w:hint="eastAsia" w:ascii="宋体" w:hAnsi="宋体" w:cs="宋体"/>
                <w:kern w:val="0"/>
                <w:szCs w:val="21"/>
              </w:rPr>
              <w:t>工程师证书每个得</w:t>
            </w:r>
            <w:r>
              <w:rPr>
                <w:rFonts w:hint="eastAsia" w:ascii="宋体" w:hAnsi="宋体"/>
                <w:kern w:val="0"/>
                <w:szCs w:val="21"/>
              </w:rPr>
              <w:t>0.5</w:t>
            </w:r>
            <w:r>
              <w:rPr>
                <w:rFonts w:hint="eastAsia" w:ascii="宋体" w:hAnsi="宋体" w:cs="宋体"/>
                <w:kern w:val="0"/>
                <w:szCs w:val="21"/>
              </w:rPr>
              <w:t>分；</w:t>
            </w:r>
          </w:p>
          <w:p>
            <w:pPr>
              <w:autoSpaceDE w:val="0"/>
              <w:autoSpaceDN w:val="0"/>
              <w:rPr>
                <w:rFonts w:ascii="宋体" w:hAnsi="宋体" w:cs="宋体"/>
                <w:kern w:val="0"/>
                <w:szCs w:val="21"/>
              </w:rPr>
            </w:pPr>
            <w:r>
              <w:rPr>
                <w:rFonts w:hint="eastAsia" w:ascii="宋体" w:hAnsi="宋体" w:cs="宋体"/>
                <w:kern w:val="0"/>
                <w:szCs w:val="21"/>
              </w:rPr>
              <w:t>具有传输接入</w:t>
            </w:r>
            <w:r>
              <w:rPr>
                <w:rFonts w:hint="eastAsia" w:ascii="宋体" w:hAnsi="宋体"/>
                <w:kern w:val="0"/>
                <w:szCs w:val="21"/>
              </w:rPr>
              <w:t>HCNA</w:t>
            </w:r>
            <w:r>
              <w:rPr>
                <w:rFonts w:hint="eastAsia" w:ascii="宋体" w:hAnsi="宋体" w:cs="宋体"/>
                <w:kern w:val="0"/>
                <w:szCs w:val="21"/>
              </w:rPr>
              <w:t>工程师证书每个得</w:t>
            </w:r>
            <w:r>
              <w:rPr>
                <w:rFonts w:ascii="宋体" w:hAnsi="宋体"/>
                <w:kern w:val="0"/>
                <w:szCs w:val="21"/>
              </w:rPr>
              <w:t>0.5</w:t>
            </w:r>
            <w:r>
              <w:rPr>
                <w:rFonts w:hint="eastAsia" w:ascii="宋体" w:hAnsi="宋体" w:cs="宋体"/>
                <w:kern w:val="0"/>
                <w:szCs w:val="21"/>
              </w:rPr>
              <w:t>分；</w:t>
            </w:r>
          </w:p>
          <w:p>
            <w:pPr>
              <w:autoSpaceDE w:val="0"/>
              <w:autoSpaceDN w:val="0"/>
              <w:rPr>
                <w:rFonts w:ascii="宋体" w:hAnsi="宋体" w:cs="宋体"/>
                <w:kern w:val="0"/>
                <w:szCs w:val="21"/>
              </w:rPr>
            </w:pPr>
            <w:r>
              <w:rPr>
                <w:rFonts w:hint="eastAsia" w:ascii="宋体" w:hAnsi="宋体" w:cs="宋体"/>
                <w:kern w:val="0"/>
                <w:szCs w:val="21"/>
              </w:rPr>
              <w:t>本项最高</w:t>
            </w:r>
            <w:r>
              <w:rPr>
                <w:rFonts w:ascii="宋体" w:hAnsi="宋体"/>
                <w:kern w:val="0"/>
                <w:szCs w:val="21"/>
              </w:rPr>
              <w:t>3</w:t>
            </w:r>
            <w:r>
              <w:rPr>
                <w:rFonts w:hint="eastAsia" w:ascii="宋体" w:hAnsi="宋体" w:cs="宋体"/>
                <w:kern w:val="0"/>
                <w:szCs w:val="21"/>
              </w:rPr>
              <w:t>分。</w:t>
            </w:r>
          </w:p>
          <w:p>
            <w:pPr>
              <w:pStyle w:val="2"/>
            </w:pPr>
            <w:r>
              <w:rPr>
                <w:rFonts w:hint="eastAsia" w:ascii="宋体" w:hAnsi="宋体" w:cs="宋体"/>
                <w:kern w:val="0"/>
                <w:sz w:val="21"/>
                <w:szCs w:val="21"/>
              </w:rPr>
              <w:t>提供相应证书扫描件。</w:t>
            </w:r>
          </w:p>
        </w:tc>
      </w:tr>
    </w:tbl>
    <w:p/>
    <w:p>
      <w:pPr>
        <w:pStyle w:val="3"/>
        <w:numPr>
          <w:ilvl w:val="0"/>
          <w:numId w:val="0"/>
        </w:numPr>
        <w:spacing w:before="0" w:after="0" w:line="360" w:lineRule="auto"/>
        <w:rPr>
          <w:b/>
          <w:color w:val="000000"/>
          <w:sz w:val="36"/>
          <w:szCs w:val="36"/>
        </w:rPr>
      </w:pPr>
      <w:r>
        <w:br w:type="page"/>
      </w:r>
      <w:bookmarkStart w:id="20" w:name="_Toc69378618"/>
      <w:r>
        <w:rPr>
          <w:rFonts w:hint="eastAsia"/>
          <w:b/>
          <w:sz w:val="36"/>
          <w:szCs w:val="36"/>
        </w:rPr>
        <w:t>第四章</w:t>
      </w:r>
      <w:r>
        <w:rPr>
          <w:b/>
          <w:sz w:val="36"/>
          <w:szCs w:val="36"/>
        </w:rPr>
        <w:t>合同格式</w:t>
      </w:r>
      <w:bookmarkEnd w:id="20"/>
    </w:p>
    <w:p>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widowControl/>
        <w:adjustRightInd w:val="0"/>
        <w:snapToGrid w:val="0"/>
        <w:spacing w:line="360" w:lineRule="auto"/>
        <w:ind w:firstLine="480" w:firstLineChars="200"/>
        <w:rPr>
          <w:rFonts w:asciiTheme="minorEastAsia" w:hAnsiTheme="minorEastAsia" w:eastAsiaTheme="minorEastAsia"/>
          <w:kern w:val="0"/>
          <w:sz w:val="24"/>
        </w:rPr>
      </w:pPr>
      <w:bookmarkStart w:id="21" w:name="_Toc69378633"/>
      <w:r>
        <w:rPr>
          <w:rFonts w:hint="eastAsia" w:asciiTheme="minorEastAsia" w:hAnsiTheme="minorEastAsia" w:eastAsiaTheme="minorEastAsia"/>
          <w:kern w:val="0"/>
          <w:sz w:val="24"/>
        </w:rPr>
        <w:t>根据《中华人民共和国民法典》及通信工程建设的有关法律、法规的规定，结合本工程的具体情况，经双方协商一致，签订本合同，以资共同遵守。</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第一条　工程概况</w:t>
      </w:r>
    </w:p>
    <w:p>
      <w:pPr>
        <w:widowControl/>
        <w:numPr>
          <w:ilvl w:val="0"/>
          <w:numId w:val="6"/>
        </w:numPr>
        <w:adjustRightInd w:val="0"/>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kern w:val="0"/>
          <w:sz w:val="24"/>
        </w:rPr>
        <w:t>工程名称：</w:t>
      </w:r>
      <w:r>
        <w:rPr>
          <w:rFonts w:hint="eastAsia" w:asciiTheme="minorEastAsia" w:hAnsiTheme="minorEastAsia" w:eastAsiaTheme="minorEastAsia"/>
          <w:sz w:val="24"/>
          <w:u w:val="single"/>
        </w:rPr>
        <w:t>宿迁机房传输和配套设备搬迁</w:t>
      </w:r>
    </w:p>
    <w:p>
      <w:pPr>
        <w:widowControl/>
        <w:adjustRightInd w:val="0"/>
        <w:snapToGrid w:val="0"/>
        <w:spacing w:line="360" w:lineRule="auto"/>
        <w:rPr>
          <w:rFonts w:asciiTheme="minorEastAsia" w:hAnsiTheme="minorEastAsia" w:eastAsiaTheme="minorEastAsia"/>
          <w:sz w:val="24"/>
          <w:u w:val="single"/>
        </w:rPr>
      </w:pPr>
      <w:r>
        <w:rPr>
          <w:rFonts w:hint="eastAsia" w:asciiTheme="minorEastAsia" w:hAnsiTheme="minorEastAsia" w:eastAsiaTheme="minorEastAsia"/>
          <w:kern w:val="0"/>
          <w:sz w:val="24"/>
        </w:rPr>
        <w:t xml:space="preserve">    2．工程地点：</w:t>
      </w:r>
      <w:r>
        <w:rPr>
          <w:rFonts w:hint="eastAsia" w:asciiTheme="minorEastAsia" w:hAnsiTheme="minorEastAsia" w:eastAsiaTheme="minorEastAsia"/>
          <w:sz w:val="24"/>
          <w:u w:val="single"/>
        </w:rPr>
        <w:t xml:space="preserve"> 宿迁广电机房          </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工程范围和内容：（如下表）</w:t>
      </w:r>
    </w:p>
    <w:tbl>
      <w:tblPr>
        <w:tblStyle w:val="53"/>
        <w:tblW w:w="8650" w:type="dxa"/>
        <w:jc w:val="center"/>
        <w:tblLayout w:type="fixed"/>
        <w:tblCellMar>
          <w:top w:w="0" w:type="dxa"/>
          <w:left w:w="108" w:type="dxa"/>
          <w:bottom w:w="0" w:type="dxa"/>
          <w:right w:w="108" w:type="dxa"/>
        </w:tblCellMar>
      </w:tblPr>
      <w:tblGrid>
        <w:gridCol w:w="1413"/>
        <w:gridCol w:w="1984"/>
        <w:gridCol w:w="993"/>
        <w:gridCol w:w="870"/>
        <w:gridCol w:w="1256"/>
        <w:gridCol w:w="1141"/>
        <w:gridCol w:w="993"/>
      </w:tblGrid>
      <w:tr>
        <w:tblPrEx>
          <w:tblCellMar>
            <w:top w:w="0" w:type="dxa"/>
            <w:left w:w="108" w:type="dxa"/>
            <w:bottom w:w="0" w:type="dxa"/>
            <w:right w:w="108" w:type="dxa"/>
          </w:tblCellMar>
        </w:tblPrEx>
        <w:trPr>
          <w:trHeight w:val="270" w:hRule="atLeast"/>
          <w:jc w:val="center"/>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系统</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需搬迁设备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需搬迁设备数量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c>
          <w:tcPr>
            <w:tcW w:w="11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服务费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r>
      <w:tr>
        <w:tblPrEx>
          <w:tblCellMar>
            <w:top w:w="0" w:type="dxa"/>
            <w:left w:w="108" w:type="dxa"/>
            <w:bottom w:w="0" w:type="dxa"/>
            <w:right w:w="108" w:type="dxa"/>
          </w:tblCellMar>
        </w:tblPrEx>
        <w:trPr>
          <w:trHeight w:val="270" w:hRule="atLeast"/>
          <w:jc w:val="center"/>
        </w:trPr>
        <w:tc>
          <w:tcPr>
            <w:tcW w:w="1413"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省市干系统</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省干一平面机柜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省干二平面机柜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省干三平面机柜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省干S</w:t>
            </w:r>
            <w:r>
              <w:rPr>
                <w:rFonts w:ascii="宋体" w:hAnsi="宋体" w:cs="宋体"/>
                <w:color w:val="000000"/>
                <w:kern w:val="0"/>
                <w:sz w:val="22"/>
                <w:szCs w:val="22"/>
              </w:rPr>
              <w:t>DH</w:t>
            </w:r>
            <w:r>
              <w:rPr>
                <w:rFonts w:hint="eastAsia" w:ascii="宋体" w:hAnsi="宋体" w:cs="宋体"/>
                <w:color w:val="000000"/>
                <w:kern w:val="0"/>
                <w:sz w:val="22"/>
                <w:szCs w:val="22"/>
              </w:rPr>
              <w:t>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市干一平面机柜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市干S</w:t>
            </w:r>
            <w:r>
              <w:rPr>
                <w:rFonts w:ascii="宋体" w:hAnsi="宋体" w:cs="宋体"/>
                <w:color w:val="000000"/>
                <w:kern w:val="0"/>
                <w:sz w:val="22"/>
                <w:szCs w:val="22"/>
              </w:rPr>
              <w:t>DH</w:t>
            </w:r>
            <w:r>
              <w:rPr>
                <w:rFonts w:hint="eastAsia" w:ascii="宋体" w:hAnsi="宋体" w:cs="宋体"/>
                <w:color w:val="000000"/>
                <w:kern w:val="0"/>
                <w:sz w:val="22"/>
                <w:szCs w:val="22"/>
              </w:rPr>
              <w:t>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O</w:t>
            </w:r>
            <w:r>
              <w:rPr>
                <w:rFonts w:ascii="宋体" w:hAnsi="宋体" w:cs="宋体"/>
                <w:color w:val="000000"/>
                <w:kern w:val="0"/>
                <w:sz w:val="22"/>
                <w:szCs w:val="22"/>
              </w:rPr>
              <w:t>DF</w:t>
            </w:r>
            <w:r>
              <w:rPr>
                <w:rFonts w:hint="eastAsia" w:ascii="宋体" w:hAnsi="宋体" w:cs="宋体"/>
                <w:color w:val="000000"/>
                <w:kern w:val="0"/>
                <w:sz w:val="22"/>
                <w:szCs w:val="22"/>
              </w:rPr>
              <w:t>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光倒换设备</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3</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通信电源</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4</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列头柜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电池</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r>
              <w:rPr>
                <w:rFonts w:ascii="宋体" w:hAnsi="宋体" w:cs="宋体"/>
                <w:color w:val="000000"/>
                <w:kern w:val="0"/>
                <w:sz w:val="22"/>
                <w:szCs w:val="22"/>
              </w:rPr>
              <w:t>6</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节</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网管服务器</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交换机</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41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省干P</w:t>
            </w:r>
            <w:r>
              <w:rPr>
                <w:rFonts w:ascii="宋体" w:hAnsi="宋体" w:cs="宋体"/>
                <w:color w:val="000000"/>
                <w:kern w:val="0"/>
                <w:sz w:val="22"/>
                <w:szCs w:val="22"/>
              </w:rPr>
              <w:t>TN</w:t>
            </w:r>
            <w:r>
              <w:rPr>
                <w:rFonts w:hint="eastAsia" w:ascii="宋体" w:hAnsi="宋体" w:cs="宋体"/>
                <w:color w:val="000000"/>
                <w:kern w:val="0"/>
                <w:sz w:val="22"/>
                <w:szCs w:val="22"/>
              </w:rPr>
              <w:t>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35" w:hRule="atLeast"/>
          <w:jc w:val="center"/>
        </w:trPr>
        <w:tc>
          <w:tcPr>
            <w:tcW w:w="76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r>
    </w:tbl>
    <w:p>
      <w:pPr>
        <w:widowControl/>
        <w:adjustRightInd w:val="0"/>
        <w:snapToGrid w:val="0"/>
        <w:spacing w:line="360" w:lineRule="auto"/>
        <w:rPr>
          <w:rFonts w:asciiTheme="minorEastAsia" w:hAnsiTheme="minorEastAsia" w:eastAsiaTheme="minorEastAsia"/>
          <w:kern w:val="0"/>
          <w:sz w:val="24"/>
        </w:rPr>
      </w:pP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第二条　工程期限</w:t>
      </w:r>
    </w:p>
    <w:p>
      <w:pPr>
        <w:widowControl/>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本工程开工日期为xx年</w:t>
      </w:r>
      <w:r>
        <w:rPr>
          <w:rFonts w:asciiTheme="minorEastAsia" w:hAnsiTheme="minorEastAsia" w:eastAsiaTheme="minorEastAsia"/>
          <w:kern w:val="0"/>
          <w:sz w:val="24"/>
        </w:rPr>
        <w:t>xx</w:t>
      </w:r>
      <w:r>
        <w:rPr>
          <w:rFonts w:hint="eastAsia" w:asciiTheme="minorEastAsia" w:hAnsiTheme="minorEastAsia" w:eastAsiaTheme="minorEastAsia"/>
          <w:kern w:val="0"/>
          <w:sz w:val="24"/>
        </w:rPr>
        <w:t>月</w:t>
      </w:r>
      <w:r>
        <w:rPr>
          <w:rFonts w:asciiTheme="minorEastAsia" w:hAnsiTheme="minorEastAsia" w:eastAsiaTheme="minorEastAsia"/>
          <w:kern w:val="0"/>
          <w:sz w:val="24"/>
        </w:rPr>
        <w:t>xx</w:t>
      </w:r>
      <w:r>
        <w:rPr>
          <w:rFonts w:hint="eastAsia" w:asciiTheme="minorEastAsia" w:hAnsiTheme="minorEastAsia" w:eastAsiaTheme="minorEastAsia"/>
          <w:kern w:val="0"/>
          <w:sz w:val="24"/>
        </w:rPr>
        <w:t>日，竣工日期为</w:t>
      </w:r>
      <w:r>
        <w:rPr>
          <w:rFonts w:asciiTheme="minorEastAsia" w:hAnsiTheme="minorEastAsia" w:eastAsiaTheme="minorEastAsia"/>
          <w:kern w:val="0"/>
          <w:sz w:val="24"/>
        </w:rPr>
        <w:t>xx</w:t>
      </w:r>
      <w:r>
        <w:rPr>
          <w:rFonts w:hint="eastAsia" w:asciiTheme="minorEastAsia" w:hAnsiTheme="minorEastAsia" w:eastAsiaTheme="minorEastAsia"/>
          <w:kern w:val="0"/>
          <w:sz w:val="24"/>
        </w:rPr>
        <w:t>年</w:t>
      </w:r>
      <w:r>
        <w:rPr>
          <w:rFonts w:asciiTheme="minorEastAsia" w:hAnsiTheme="minorEastAsia" w:eastAsiaTheme="minorEastAsia"/>
          <w:kern w:val="0"/>
          <w:sz w:val="24"/>
        </w:rPr>
        <w:t>xx</w:t>
      </w:r>
      <w:r>
        <w:rPr>
          <w:rFonts w:hint="eastAsia" w:asciiTheme="minorEastAsia" w:hAnsiTheme="minorEastAsia" w:eastAsiaTheme="minorEastAsia"/>
          <w:kern w:val="0"/>
          <w:sz w:val="24"/>
        </w:rPr>
        <w:t>月</w:t>
      </w:r>
      <w:r>
        <w:rPr>
          <w:rFonts w:asciiTheme="minorEastAsia" w:hAnsiTheme="minorEastAsia" w:eastAsiaTheme="minorEastAsia"/>
          <w:kern w:val="0"/>
          <w:sz w:val="24"/>
        </w:rPr>
        <w:t>xx</w:t>
      </w:r>
      <w:r>
        <w:rPr>
          <w:rFonts w:hint="eastAsia" w:asciiTheme="minorEastAsia" w:hAnsiTheme="minorEastAsia" w:eastAsiaTheme="minorEastAsia"/>
          <w:kern w:val="0"/>
          <w:sz w:val="24"/>
        </w:rPr>
        <w:t>日</w:t>
      </w:r>
    </w:p>
    <w:p>
      <w:pPr>
        <w:widowControl/>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第三条 工程价款的结算与支付</w:t>
      </w:r>
    </w:p>
    <w:p>
      <w:pPr>
        <w:adjustRightInd w:val="0"/>
        <w:snapToGrid w:val="0"/>
        <w:spacing w:line="360" w:lineRule="auto"/>
        <w:ind w:left="479" w:leftChars="228"/>
        <w:rPr>
          <w:rFonts w:asciiTheme="minorEastAsia" w:hAnsiTheme="minorEastAsia" w:eastAsiaTheme="minorEastAsia"/>
          <w:sz w:val="24"/>
        </w:rPr>
      </w:pPr>
      <w:r>
        <w:rPr>
          <w:rFonts w:hint="eastAsia" w:asciiTheme="minorEastAsia" w:hAnsiTheme="minorEastAsia" w:eastAsiaTheme="minorEastAsia"/>
          <w:sz w:val="24"/>
        </w:rPr>
        <w:t>1．本合同工程总价格为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元人民币（大写：</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本合同中甲乙双方之间发生的一切费用均以人民币结算及支付。</w:t>
      </w:r>
    </w:p>
    <w:p>
      <w:pPr>
        <w:adjustRightInd w:val="0"/>
        <w:snapToGrid w:val="0"/>
        <w:spacing w:line="360" w:lineRule="auto"/>
        <w:ind w:left="210" w:leftChars="100" w:firstLine="240" w:firstLineChars="100"/>
        <w:rPr>
          <w:rFonts w:asciiTheme="minorEastAsia" w:hAnsiTheme="minorEastAsia" w:eastAsiaTheme="minorEastAsia"/>
          <w:sz w:val="24"/>
        </w:rPr>
      </w:pPr>
      <w:r>
        <w:rPr>
          <w:rFonts w:hint="eastAsia" w:asciiTheme="minorEastAsia" w:hAnsiTheme="minorEastAsia" w:eastAsiaTheme="minorEastAsia"/>
          <w:sz w:val="24"/>
        </w:rPr>
        <w:t>2.合同付款进度</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生效后，乙方并完成方案制作，乙方应向甲方提供增值税专用服务发票，甲方应在收到乙方开据的发票后十五个工作日内，向乙方转账支付合同总价的30%；设备搬迁完毕并通过甲方的验收（以双方签署验收报告时间为准）后十五个工作日内，甲方应向乙方支付合同总价的70%（其中5</w:t>
      </w:r>
      <w:r>
        <w:rPr>
          <w:rFonts w:asciiTheme="minorEastAsia" w:hAnsiTheme="minorEastAsia" w:eastAsiaTheme="minorEastAsia"/>
          <w:sz w:val="24"/>
        </w:rPr>
        <w:t>0%</w:t>
      </w:r>
      <w:r>
        <w:rPr>
          <w:rFonts w:hint="eastAsia" w:asciiTheme="minorEastAsia" w:hAnsiTheme="minorEastAsia" w:eastAsiaTheme="minorEastAsia"/>
          <w:sz w:val="24"/>
        </w:rPr>
        <w:t>以半年期银行承兑汇票方式支付）。</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3.甲乙双方的帐户名称、开户银行、银行帐号以本合同提供的为准，如有变更，变更方应在合同约定的相关付款期限15日前以加盖公章或财务专用章的书面文件的原件通知对方。</w:t>
      </w:r>
      <w:r>
        <w:rPr>
          <w:rFonts w:hint="eastAsia" w:asciiTheme="minorEastAsia" w:hAnsiTheme="minorEastAsia" w:eastAsiaTheme="minorEastAsia"/>
          <w:kern w:val="0"/>
          <w:sz w:val="24"/>
        </w:rPr>
        <w:t>　</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第四条　甲方权利和义务</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1．组织工程建设项目的技术交底，向乙方明确施工任务；</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2．提供必要的施工条件；</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3．负责工程材料的供应；</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4．指派甲方代表对建设工程项目进行全面协调和监督检查；</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 在乙方提供全套竣工资料和书面竣工验收报告后会同有关部门及时组织验收；</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6．按合同约定按时向乙方支付工程款。</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第五条　乙方权利和义务</w:t>
      </w:r>
    </w:p>
    <w:p>
      <w:pPr>
        <w:widowControl/>
        <w:numPr>
          <w:ilvl w:val="0"/>
          <w:numId w:val="7"/>
        </w:numPr>
        <w:adjustRightInd w:val="0"/>
        <w:snapToGrid w:val="0"/>
        <w:spacing w:line="360" w:lineRule="auto"/>
        <w:ind w:left="390" w:hanging="390"/>
        <w:rPr>
          <w:rFonts w:asciiTheme="minorEastAsia" w:hAnsiTheme="minorEastAsia" w:eastAsiaTheme="minorEastAsia"/>
          <w:kern w:val="0"/>
          <w:sz w:val="24"/>
        </w:rPr>
      </w:pPr>
      <w:r>
        <w:rPr>
          <w:rFonts w:hint="eastAsia" w:asciiTheme="minorEastAsia" w:hAnsiTheme="minorEastAsia" w:eastAsiaTheme="minorEastAsia"/>
          <w:kern w:val="0"/>
          <w:sz w:val="24"/>
        </w:rPr>
        <w:t>必须具有经国家有关部门批准的通信行业施工资质，并向甲方提供企业（或公司）施工资质证书、企业基本情况等相关资料；</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3．精心组织施工管理人员、施工人员、材料、施工机械进场施工；</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4．合理组织施工，编制施工方案、施工总进度计划、材料供应计划，并在施工前送甲方备案；</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5．严格按设计文件及操作规范等技术要求等规范施工；</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widowControl/>
        <w:adjustRightInd w:val="0"/>
        <w:snapToGrid w:val="0"/>
        <w:spacing w:line="360" w:lineRule="auto"/>
        <w:ind w:firstLine="420"/>
        <w:rPr>
          <w:rFonts w:asciiTheme="minorEastAsia" w:hAnsiTheme="minorEastAsia" w:eastAsiaTheme="minorEastAsia"/>
          <w:kern w:val="0"/>
          <w:sz w:val="24"/>
        </w:rPr>
      </w:pPr>
      <w:r>
        <w:rPr>
          <w:rFonts w:hint="eastAsia" w:ascii="宋体" w:hAnsi="宋体"/>
          <w:kern w:val="0"/>
          <w:sz w:val="24"/>
        </w:rPr>
        <w:t>7．做好设备搬运的各项工作，由有搬迁资质和经验的搬迁队伍完成设备搬运，搬运时采用必要的保护措施，搬运过程中由专人全程负责搬运设备的监控和安全管理，负责因搬运不当造成的设备损失；</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8</w:t>
      </w:r>
      <w:r>
        <w:rPr>
          <w:rFonts w:hint="eastAsia" w:asciiTheme="minorEastAsia" w:hAnsiTheme="minorEastAsia" w:eastAsiaTheme="minorEastAsia"/>
          <w:kern w:val="0"/>
          <w:sz w:val="24"/>
        </w:rPr>
        <w:t>．施工过程中必须严格遵守安全操作规程，采取必要的安全防护措施，消除事故隐患，切实做好安全生产工作。乙方应为其人员提供相应劳动保护，非因甲方原因，乙方人员遭受人身、财产损害，或乙方人员造成甲方、第三人人身财产损害的，由乙方承担全部责任。</w:t>
      </w:r>
    </w:p>
    <w:p>
      <w:pPr>
        <w:widowControl/>
        <w:adjustRightInd w:val="0"/>
        <w:snapToGrid w:val="0"/>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第六条　竣工验收</w:t>
      </w:r>
    </w:p>
    <w:p>
      <w:pPr>
        <w:pStyle w:val="18"/>
        <w:adjustRightInd w:val="0"/>
        <w:snapToGrid w:val="0"/>
        <w:spacing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1.甲乙双方认为以下情况均可以视为乙方完成合格工程：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sym w:font="Wingdings" w:char="F081"/>
      </w:r>
      <w:r>
        <w:rPr>
          <w:rFonts w:hint="eastAsia" w:asciiTheme="minorEastAsia" w:hAnsiTheme="minorEastAsia" w:eastAsiaTheme="minorEastAsia"/>
          <w:sz w:val="24"/>
        </w:rPr>
        <w:t>甲方未提出整改意见，并且事实上已经开始正常使用；</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2．甲方收到乙方提供的全套竣工资料和书面竣工验收报告后会同有关部门及时组织验收，验收以施工图纸、图说、技术交底纪要、设计更改通知、国家颁发的施工验收规范和质量检验标准为依据。</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3．验收合格后，双方签署竣工验收通过的文件，并将工程移交给甲方管理。验收中如发现有不符质量要求的，由乙方负责修改再进行验收。竣工日期以验收通过的日期为准。</w:t>
      </w:r>
    </w:p>
    <w:p>
      <w:pPr>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4、乙方可以提供7×24小时热线服务和现场支持服务，所产生的费用，由甲乙方双方协商付款金额和付款方式。</w:t>
      </w:r>
    </w:p>
    <w:p>
      <w:pPr>
        <w:numPr>
          <w:ilvl w:val="0"/>
          <w:numId w:val="8"/>
        </w:numPr>
        <w:adjustRightInd w:val="0"/>
        <w:snapToGrid w:val="0"/>
        <w:spacing w:line="360" w:lineRule="auto"/>
        <w:ind w:left="360"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合同解除</w:t>
      </w:r>
    </w:p>
    <w:p>
      <w:pPr>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1．双方协商同意可解除本合同。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 有下列情形之一的，甲方、乙方可以解除合同：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（1）因不可抗力</w:t>
      </w:r>
      <w:r>
        <w:rPr>
          <w:rFonts w:hint="eastAsia" w:asciiTheme="minorEastAsia" w:hAnsiTheme="minorEastAsia" w:eastAsiaTheme="minorEastAsia"/>
          <w:sz w:val="24"/>
        </w:rPr>
        <w:t>（包括因战争、动乱、空中飞行物体坠落或其它非甲乙方责任造成的爆炸、火灾，以及协议条款约定等级以上的风、雨、雪、震等对工程造成损害的自然灾害）</w:t>
      </w:r>
      <w:r>
        <w:rPr>
          <w:rFonts w:hint="eastAsia" w:asciiTheme="minorEastAsia" w:hAnsiTheme="minorEastAsia" w:eastAsiaTheme="minorEastAsia"/>
          <w:kern w:val="0"/>
          <w:sz w:val="24"/>
        </w:rPr>
        <w:t>致使合同无法履行；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（2）因一方严重违约致使合同无法履行。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一方依据本条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第八条  违约和索赔</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1.甲方违约责任</w:t>
      </w:r>
    </w:p>
    <w:p>
      <w:pPr>
        <w:adjustRightInd w:val="0"/>
        <w:snapToGrid w:val="0"/>
        <w:spacing w:line="360" w:lineRule="auto"/>
        <w:ind w:firstLine="448" w:firstLineChars="187"/>
        <w:rPr>
          <w:rFonts w:asciiTheme="minorEastAsia" w:hAnsiTheme="minorEastAsia" w:eastAsiaTheme="minorEastAsia"/>
          <w:sz w:val="24"/>
        </w:rPr>
      </w:pPr>
      <w:r>
        <w:rPr>
          <w:rFonts w:hint="eastAsia" w:asciiTheme="minorEastAsia" w:hAnsiTheme="minorEastAsia" w:eastAsiaTheme="minorEastAsia"/>
          <w:sz w:val="24"/>
        </w:rPr>
        <w:t>①因甲方原因不能按合同规定的时间及时付款，则每延迟付款一天，甲方应按欠款金额的万分之四向乙方支付违约金，最高不超过本工程总承包费的10%。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②因甲方原因造成工期延误，乙方对此不承担责任，工期自动顺延。</w:t>
      </w:r>
    </w:p>
    <w:p>
      <w:pPr>
        <w:adjustRightInd w:val="0"/>
        <w:snapToGrid w:val="0"/>
        <w:spacing w:line="360" w:lineRule="auto"/>
        <w:ind w:firstLine="448" w:firstLineChars="187"/>
        <w:rPr>
          <w:rFonts w:asciiTheme="minorEastAsia" w:hAnsiTheme="minorEastAsia" w:eastAsiaTheme="minorEastAsia"/>
          <w:sz w:val="24"/>
        </w:rPr>
      </w:pPr>
      <w:r>
        <w:rPr>
          <w:rFonts w:hint="eastAsia" w:asciiTheme="minorEastAsia" w:hAnsiTheme="minorEastAsia" w:eastAsiaTheme="minorEastAsia"/>
          <w:sz w:val="24"/>
        </w:rPr>
        <w:t xml:space="preserve">③在本合同履行期间，若甲方没有完全履行其责任和义务，经合理催告后仍未履行的，则被视为对乙违约，甲方应赔偿乙方因此造成的直接损失。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2.乙方违约责任</w:t>
      </w:r>
    </w:p>
    <w:p>
      <w:pPr>
        <w:pStyle w:val="286"/>
        <w:tabs>
          <w:tab w:val="left" w:pos="0"/>
          <w:tab w:val="left" w:pos="510"/>
          <w:tab w:val="left" w:pos="567"/>
          <w:tab w:val="left" w:pos="601"/>
        </w:tabs>
        <w:snapToGrid w:val="0"/>
        <w:spacing w:line="360" w:lineRule="auto"/>
        <w:ind w:firstLine="480" w:firstLineChars="200"/>
        <w:jc w:val="both"/>
        <w:rPr>
          <w:rFonts w:asciiTheme="minorEastAsia" w:hAnsiTheme="minorEastAsia" w:eastAsiaTheme="minorEastAsia"/>
          <w:kern w:val="2"/>
          <w:szCs w:val="24"/>
        </w:rPr>
      </w:pPr>
      <w:r>
        <w:rPr>
          <w:rFonts w:hint="eastAsia" w:asciiTheme="minorEastAsia" w:hAnsiTheme="minorEastAsia" w:eastAsiaTheme="minorEastAsia"/>
          <w:kern w:val="2"/>
          <w:szCs w:val="24"/>
        </w:rPr>
        <w:t>①如因乙方原因造成工期延误，则乙方应向甲方支付工期违约金，工期违约金按延误天数以每天本工程总承包费的日万分之五计算，最高不超过本工程总承包费的10%。逾期超过3</w:t>
      </w:r>
      <w:r>
        <w:rPr>
          <w:rFonts w:asciiTheme="minorEastAsia" w:hAnsiTheme="minorEastAsia" w:eastAsiaTheme="minorEastAsia"/>
          <w:kern w:val="2"/>
          <w:szCs w:val="24"/>
        </w:rPr>
        <w:t>0</w:t>
      </w:r>
      <w:r>
        <w:rPr>
          <w:rFonts w:hint="eastAsia" w:asciiTheme="minorEastAsia" w:hAnsiTheme="minorEastAsia" w:eastAsiaTheme="minorEastAsia"/>
          <w:kern w:val="2"/>
          <w:szCs w:val="24"/>
        </w:rPr>
        <w:t>日，甲方有权单方面解除合同，乙方应另行支付乙方本工程总承包费的2</w:t>
      </w:r>
      <w:r>
        <w:rPr>
          <w:rFonts w:asciiTheme="minorEastAsia" w:hAnsiTheme="minorEastAsia" w:eastAsiaTheme="minorEastAsia"/>
          <w:kern w:val="2"/>
          <w:szCs w:val="24"/>
        </w:rPr>
        <w:t>0</w:t>
      </w:r>
      <w:r>
        <w:rPr>
          <w:rFonts w:hint="eastAsia" w:asciiTheme="minorEastAsia" w:hAnsiTheme="minorEastAsia" w:eastAsiaTheme="minorEastAsia"/>
          <w:kern w:val="2"/>
          <w:szCs w:val="24"/>
        </w:rPr>
        <w:t>%作为违约金，同时赔偿因此给甲方造成的全部损失。</w:t>
      </w:r>
    </w:p>
    <w:p>
      <w:pPr>
        <w:pStyle w:val="286"/>
        <w:tabs>
          <w:tab w:val="left" w:pos="0"/>
          <w:tab w:val="left" w:pos="510"/>
          <w:tab w:val="left" w:pos="567"/>
          <w:tab w:val="left" w:pos="601"/>
        </w:tabs>
        <w:snapToGrid w:val="0"/>
        <w:spacing w:line="360" w:lineRule="auto"/>
        <w:ind w:firstLine="448" w:firstLineChars="187"/>
        <w:jc w:val="both"/>
        <w:rPr>
          <w:rFonts w:asciiTheme="minorEastAsia" w:hAnsiTheme="minorEastAsia" w:eastAsiaTheme="minorEastAsia"/>
          <w:kern w:val="2"/>
          <w:szCs w:val="24"/>
        </w:rPr>
      </w:pPr>
      <w:r>
        <w:rPr>
          <w:rFonts w:hint="eastAsia" w:asciiTheme="minorEastAsia" w:hAnsiTheme="minorEastAsia" w:eastAsiaTheme="minorEastAsia"/>
          <w:kern w:val="2"/>
          <w:szCs w:val="24"/>
        </w:rPr>
        <w:t>②在合同履行期间如用户因乙方的工程质量等因素向甲方提出投诉，则被视为对甲方的名誉造成损失，乙方需向甲方书面道歉并支付赔偿金，赔偿金的总额不超过本工程总承包费的10%。</w:t>
      </w:r>
    </w:p>
    <w:p>
      <w:pPr>
        <w:tabs>
          <w:tab w:val="left" w:pos="425"/>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③在本合同履行期间，若乙方没有完全履行其责任和义务，则被视为对甲方的违约，乙方应向甲方支付违约金，违约金的总额不超过本工程总承包费10%。</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第九条　争议解决方式     </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在履行合同时发生争议，双方协商解决，或向工程所在地有管辖权的人民法院起诉。</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第十条　其他</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1．本合同未尽事项，双方另行签订补充协议，补充协议与本合同具有同等效力；</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2．本合同一式肆份，甲乙双方各执两份，每份均具有同等法律效力，合同经双方盖章后生效。</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（以下无正文）</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rFonts w:ascii="宋体" w:hAnsi="宋体" w:cs="宋体"/>
          <w:color w:val="000000"/>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1"/>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22" w:name="_Toc69378637"/>
      <w:r>
        <w:rPr>
          <w:rFonts w:hint="eastAsia"/>
          <w:b/>
          <w:sz w:val="36"/>
          <w:szCs w:val="36"/>
        </w:rPr>
        <w:t>第五章技术需求书</w:t>
      </w:r>
      <w:bookmarkEnd w:id="22"/>
    </w:p>
    <w:p>
      <w:pPr>
        <w:pStyle w:val="89"/>
        <w:numPr>
          <w:ilvl w:val="0"/>
          <w:numId w:val="9"/>
        </w:numPr>
        <w:spacing w:line="300" w:lineRule="auto"/>
        <w:ind w:left="0" w:firstLine="426" w:firstLineChars="0"/>
        <w:rPr>
          <w:rFonts w:ascii="宋体" w:hAnsi="宋体"/>
          <w:color w:val="000000"/>
          <w:sz w:val="21"/>
          <w:szCs w:val="21"/>
        </w:rPr>
      </w:pPr>
      <w:r>
        <w:rPr>
          <w:rFonts w:hint="eastAsia" w:ascii="宋体" w:hAnsi="宋体"/>
          <w:color w:val="000000"/>
          <w:sz w:val="21"/>
          <w:szCs w:val="21"/>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pPr>
        <w:pStyle w:val="89"/>
        <w:numPr>
          <w:ilvl w:val="0"/>
          <w:numId w:val="9"/>
        </w:numPr>
        <w:spacing w:line="300" w:lineRule="auto"/>
        <w:ind w:left="0" w:firstLine="426" w:firstLineChars="0"/>
        <w:rPr>
          <w:rFonts w:ascii="宋体" w:hAnsi="宋体"/>
          <w:color w:val="000000"/>
          <w:sz w:val="21"/>
          <w:szCs w:val="21"/>
        </w:rPr>
      </w:pPr>
      <w:r>
        <w:rPr>
          <w:rFonts w:hint="eastAsia" w:ascii="宋体" w:hAnsi="宋体"/>
          <w:color w:val="000000"/>
          <w:sz w:val="21"/>
          <w:szCs w:val="21"/>
        </w:rPr>
        <w:t>竞争性谈判文件技术要求中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9"/>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hint="eastAsia" w:ascii="宋体" w:hAnsi="宋体"/>
          <w:color w:val="000000"/>
          <w:sz w:val="21"/>
          <w:szCs w:val="21"/>
        </w:rPr>
        <w:t>带“</w:t>
      </w:r>
      <w:r>
        <w:rPr>
          <w:rFonts w:hint="eastAsia" w:ascii="宋体" w:hAnsi="宋体"/>
          <w:szCs w:val="21"/>
        </w:rPr>
        <w:t>★</w:t>
      </w:r>
      <w:r>
        <w:rPr>
          <w:rFonts w:hint="eastAsia" w:ascii="宋体" w:hAnsi="宋体"/>
          <w:color w:val="000000"/>
          <w:sz w:val="21"/>
          <w:szCs w:val="21"/>
        </w:rPr>
        <w:t>”部分为必须保证满足要求的条款。</w:t>
      </w:r>
    </w:p>
    <w:p>
      <w:pPr>
        <w:pStyle w:val="89"/>
        <w:numPr>
          <w:ilvl w:val="0"/>
          <w:numId w:val="9"/>
        </w:numPr>
        <w:spacing w:line="360" w:lineRule="auto"/>
        <w:ind w:left="0" w:firstLine="426" w:firstLineChars="0"/>
        <w:rPr>
          <w:rFonts w:ascii="宋体" w:hAnsi="宋体"/>
          <w:sz w:val="21"/>
          <w:szCs w:val="21"/>
        </w:rPr>
      </w:pPr>
      <w:r>
        <w:rPr>
          <w:rFonts w:hint="eastAsia" w:ascii="宋体" w:hAnsi="宋体"/>
          <w:sz w:val="21"/>
          <w:szCs w:val="21"/>
        </w:rPr>
        <w:t>响应文件技术部分应答要求供应商应按照统一格式明确地逐条回答以下设备技术要求：</w:t>
      </w:r>
      <w:r>
        <w:rPr>
          <w:rFonts w:ascii="宋体" w:hAnsi="宋体"/>
          <w:sz w:val="21"/>
          <w:szCs w:val="21"/>
        </w:rPr>
        <w:t>“</w:t>
      </w:r>
      <w:r>
        <w:rPr>
          <w:rFonts w:hint="eastAsia" w:ascii="宋体" w:hAnsi="宋体"/>
          <w:sz w:val="21"/>
          <w:szCs w:val="21"/>
        </w:rPr>
        <w:t>完全满足</w:t>
      </w:r>
      <w:r>
        <w:rPr>
          <w:rFonts w:ascii="宋体" w:hAnsi="宋体"/>
          <w:sz w:val="21"/>
          <w:szCs w:val="21"/>
        </w:rPr>
        <w:t>”</w:t>
      </w:r>
      <w:r>
        <w:rPr>
          <w:rFonts w:hint="eastAsia" w:ascii="宋体" w:hAnsi="宋体"/>
          <w:sz w:val="21"/>
          <w:szCs w:val="21"/>
        </w:rPr>
        <w:t>是指完全相应供应商的技术要求，</w:t>
      </w:r>
      <w:r>
        <w:rPr>
          <w:rFonts w:ascii="宋体" w:hAnsi="宋体"/>
          <w:sz w:val="21"/>
          <w:szCs w:val="21"/>
        </w:rPr>
        <w:t>“</w:t>
      </w:r>
      <w:r>
        <w:rPr>
          <w:rFonts w:hint="eastAsia" w:ascii="宋体" w:hAnsi="宋体"/>
          <w:sz w:val="21"/>
          <w:szCs w:val="21"/>
        </w:rPr>
        <w:t>部分满足</w:t>
      </w:r>
      <w:r>
        <w:rPr>
          <w:rFonts w:ascii="宋体" w:hAnsi="宋体"/>
          <w:sz w:val="21"/>
          <w:szCs w:val="21"/>
        </w:rPr>
        <w:t>”</w:t>
      </w:r>
      <w:r>
        <w:rPr>
          <w:rFonts w:hint="eastAsia" w:ascii="宋体" w:hAnsi="宋体"/>
          <w:sz w:val="21"/>
          <w:szCs w:val="21"/>
        </w:rPr>
        <w:t>必须详细说明满足的部分和不满足的原因和解决措施，</w:t>
      </w:r>
      <w:r>
        <w:rPr>
          <w:rFonts w:ascii="宋体" w:hAnsi="宋体"/>
          <w:sz w:val="21"/>
          <w:szCs w:val="21"/>
        </w:rPr>
        <w:t>“</w:t>
      </w:r>
      <w:r>
        <w:rPr>
          <w:rFonts w:hint="eastAsia" w:ascii="宋体" w:hAnsi="宋体"/>
          <w:sz w:val="21"/>
          <w:szCs w:val="21"/>
        </w:rPr>
        <w:t>不满足</w:t>
      </w:r>
      <w:r>
        <w:rPr>
          <w:rFonts w:ascii="宋体" w:hAnsi="宋体"/>
          <w:sz w:val="21"/>
          <w:szCs w:val="21"/>
        </w:rPr>
        <w:t>”</w:t>
      </w:r>
      <w:r>
        <w:rPr>
          <w:rFonts w:hint="eastAsia" w:ascii="宋体" w:hAnsi="宋体"/>
          <w:sz w:val="21"/>
          <w:szCs w:val="21"/>
        </w:rPr>
        <w:t>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23" w:name="_Toc31826"/>
      <w:bookmarkStart w:id="24" w:name="_Toc76996580"/>
      <w:bookmarkStart w:id="25" w:name="_Toc51053569"/>
      <w:bookmarkStart w:id="26" w:name="_Toc30212"/>
      <w:bookmarkStart w:id="27" w:name="_Toc76856250"/>
    </w:p>
    <w:bookmarkEnd w:id="23"/>
    <w:bookmarkEnd w:id="24"/>
    <w:bookmarkEnd w:id="25"/>
    <w:bookmarkEnd w:id="26"/>
    <w:bookmarkEnd w:id="27"/>
    <w:p>
      <w:pPr>
        <w:pStyle w:val="4"/>
        <w:numPr>
          <w:ilvl w:val="0"/>
          <w:numId w:val="10"/>
        </w:numPr>
        <w:adjustRightInd w:val="0"/>
        <w:snapToGrid w:val="0"/>
        <w:spacing w:before="156" w:beforeLines="50" w:after="156" w:afterLines="50" w:line="360" w:lineRule="auto"/>
        <w:ind w:left="0" w:firstLine="0"/>
        <w:rPr>
          <w:rFonts w:ascii="宋体" w:hAnsi="宋体" w:eastAsia="宋体"/>
          <w:szCs w:val="21"/>
        </w:rPr>
      </w:pPr>
      <w:r>
        <w:rPr>
          <w:rFonts w:hint="eastAsia" w:ascii="宋体" w:hAnsi="宋体" w:eastAsia="宋体"/>
          <w:szCs w:val="21"/>
        </w:rPr>
        <w:t>项目介绍</w:t>
      </w:r>
    </w:p>
    <w:p>
      <w:pPr>
        <w:pStyle w:val="5"/>
        <w:numPr>
          <w:ilvl w:val="1"/>
          <w:numId w:val="11"/>
        </w:numPr>
        <w:spacing w:before="0" w:after="0" w:line="360" w:lineRule="auto"/>
        <w:ind w:left="748" w:hanging="748"/>
        <w:rPr>
          <w:rFonts w:ascii="宋体" w:hAnsi="宋体" w:eastAsia="宋体"/>
          <w:b/>
          <w:bCs/>
          <w:sz w:val="21"/>
          <w:szCs w:val="21"/>
        </w:rPr>
      </w:pPr>
      <w:r>
        <w:rPr>
          <w:rFonts w:hint="eastAsia" w:ascii="宋体" w:hAnsi="宋体" w:eastAsia="宋体"/>
          <w:b/>
          <w:bCs/>
          <w:sz w:val="21"/>
          <w:szCs w:val="21"/>
        </w:rPr>
        <w:t>建设单位</w:t>
      </w:r>
    </w:p>
    <w:p>
      <w:pPr>
        <w:pStyle w:val="89"/>
        <w:adjustRightInd w:val="0"/>
        <w:snapToGrid w:val="0"/>
        <w:spacing w:line="360" w:lineRule="auto"/>
        <w:ind w:left="420" w:leftChars="200" w:firstLine="0" w:firstLineChars="0"/>
        <w:rPr>
          <w:rFonts w:ascii="宋体" w:hAnsi="宋体"/>
          <w:sz w:val="21"/>
          <w:szCs w:val="21"/>
        </w:rPr>
      </w:pPr>
      <w:r>
        <w:rPr>
          <w:rFonts w:hint="eastAsia" w:ascii="宋体" w:hAnsi="宋体"/>
          <w:sz w:val="21"/>
          <w:szCs w:val="21"/>
        </w:rPr>
        <w:t>江苏省广电有线信息网络股份有限公司</w:t>
      </w:r>
    </w:p>
    <w:p>
      <w:pPr>
        <w:pStyle w:val="5"/>
        <w:numPr>
          <w:ilvl w:val="1"/>
          <w:numId w:val="11"/>
        </w:numPr>
        <w:spacing w:before="0" w:after="0" w:line="360" w:lineRule="auto"/>
        <w:ind w:left="748" w:hanging="748"/>
        <w:rPr>
          <w:rFonts w:ascii="宋体" w:hAnsi="宋体" w:eastAsia="宋体"/>
          <w:b/>
          <w:bCs/>
          <w:sz w:val="21"/>
          <w:szCs w:val="21"/>
        </w:rPr>
      </w:pPr>
      <w:r>
        <w:rPr>
          <w:rFonts w:hint="eastAsia" w:ascii="宋体" w:hAnsi="宋体" w:eastAsia="宋体"/>
          <w:b/>
          <w:bCs/>
          <w:sz w:val="21"/>
          <w:szCs w:val="21"/>
        </w:rPr>
        <w:t>机房地址</w:t>
      </w:r>
    </w:p>
    <w:p>
      <w:pPr>
        <w:adjustRightInd w:val="0"/>
        <w:snapToGrid w:val="0"/>
        <w:spacing w:line="360" w:lineRule="auto"/>
        <w:ind w:firstLine="420" w:firstLineChars="200"/>
        <w:rPr>
          <w:rFonts w:ascii="宋体" w:hAnsi="宋体"/>
          <w:szCs w:val="21"/>
        </w:rPr>
      </w:pPr>
      <w:r>
        <w:rPr>
          <w:rFonts w:hint="eastAsia" w:ascii="宋体" w:hAnsi="宋体"/>
          <w:szCs w:val="21"/>
        </w:rPr>
        <w:t>宿迁现机房：江苏有线宿迁分公司（发展大道2</w:t>
      </w:r>
      <w:r>
        <w:rPr>
          <w:rFonts w:ascii="宋体" w:hAnsi="宋体"/>
          <w:szCs w:val="21"/>
        </w:rPr>
        <w:t>480</w:t>
      </w:r>
      <w:r>
        <w:rPr>
          <w:rFonts w:hint="eastAsia" w:ascii="宋体" w:hAnsi="宋体"/>
          <w:szCs w:val="21"/>
        </w:rPr>
        <w:t>号）二楼</w:t>
      </w:r>
    </w:p>
    <w:p>
      <w:pPr>
        <w:adjustRightInd w:val="0"/>
        <w:snapToGrid w:val="0"/>
        <w:spacing w:line="360" w:lineRule="auto"/>
        <w:ind w:firstLine="420" w:firstLineChars="200"/>
        <w:rPr>
          <w:rFonts w:ascii="宋体" w:hAnsi="宋体"/>
          <w:szCs w:val="21"/>
        </w:rPr>
      </w:pPr>
      <w:r>
        <w:rPr>
          <w:rFonts w:hint="eastAsia" w:ascii="宋体" w:hAnsi="宋体"/>
          <w:szCs w:val="21"/>
        </w:rPr>
        <w:t>宿迁新机房：江苏有线宿迁分公司（发展大道2</w:t>
      </w:r>
      <w:r>
        <w:rPr>
          <w:rFonts w:ascii="宋体" w:hAnsi="宋体"/>
          <w:szCs w:val="21"/>
        </w:rPr>
        <w:t>480</w:t>
      </w:r>
      <w:r>
        <w:rPr>
          <w:rFonts w:hint="eastAsia" w:ascii="宋体" w:hAnsi="宋体"/>
          <w:szCs w:val="21"/>
        </w:rPr>
        <w:t>号）一楼</w:t>
      </w:r>
    </w:p>
    <w:p>
      <w:pPr>
        <w:adjustRightInd w:val="0"/>
        <w:snapToGrid w:val="0"/>
        <w:spacing w:line="360" w:lineRule="auto"/>
        <w:ind w:firstLine="420" w:firstLineChars="200"/>
        <w:rPr>
          <w:rFonts w:ascii="宋体" w:hAnsi="宋体"/>
          <w:szCs w:val="21"/>
        </w:rPr>
      </w:pPr>
    </w:p>
    <w:p>
      <w:pPr>
        <w:pStyle w:val="5"/>
        <w:numPr>
          <w:ilvl w:val="1"/>
          <w:numId w:val="11"/>
        </w:numPr>
        <w:spacing w:before="0" w:after="0" w:line="360" w:lineRule="auto"/>
        <w:ind w:left="748" w:hanging="748"/>
        <w:rPr>
          <w:rFonts w:ascii="宋体" w:hAnsi="宋体" w:eastAsia="宋体"/>
          <w:b/>
          <w:bCs/>
          <w:sz w:val="21"/>
          <w:szCs w:val="21"/>
        </w:rPr>
      </w:pPr>
      <w:r>
        <w:rPr>
          <w:rFonts w:hint="eastAsia" w:ascii="宋体" w:hAnsi="宋体" w:eastAsia="宋体"/>
          <w:b/>
          <w:bCs/>
          <w:sz w:val="21"/>
          <w:szCs w:val="21"/>
        </w:rPr>
        <w:t>项目概况</w:t>
      </w:r>
    </w:p>
    <w:p>
      <w:pPr>
        <w:adjustRightInd w:val="0"/>
        <w:snapToGrid w:val="0"/>
        <w:spacing w:line="360" w:lineRule="auto"/>
        <w:rPr>
          <w:rFonts w:ascii="宋体" w:hAnsi="宋体"/>
          <w:szCs w:val="21"/>
        </w:rPr>
      </w:pPr>
      <w:r>
        <w:rPr>
          <w:rFonts w:hint="eastAsia" w:ascii="宋体" w:hAnsi="宋体"/>
          <w:szCs w:val="21"/>
        </w:rPr>
        <w:t>根据宿迁公司业务发展规划，将原宿迁公司二楼机房的传输和配套设备搬迁至新机房。具体设备如下表所示。</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980"/>
        <w:gridCol w:w="16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序号</w:t>
            </w:r>
          </w:p>
        </w:tc>
        <w:tc>
          <w:tcPr>
            <w:tcW w:w="198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需搬迁设备</w:t>
            </w:r>
          </w:p>
        </w:tc>
        <w:tc>
          <w:tcPr>
            <w:tcW w:w="162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数量</w:t>
            </w:r>
          </w:p>
        </w:tc>
        <w:tc>
          <w:tcPr>
            <w:tcW w:w="360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省干一平面</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4</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徐州方向1个机柜，淮安方向1个机柜，扩展2个机柜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省干二平面</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3</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徐州方向</w:t>
            </w:r>
            <w:r>
              <w:rPr>
                <w:rFonts w:ascii="宋体" w:hAnsi="宋体" w:cs="Arial"/>
                <w:color w:val="000000"/>
                <w:kern w:val="0"/>
                <w:sz w:val="20"/>
                <w:szCs w:val="20"/>
              </w:rPr>
              <w:t>1</w:t>
            </w:r>
            <w:r>
              <w:rPr>
                <w:rFonts w:hint="eastAsia" w:ascii="宋体" w:hAnsi="宋体" w:cs="Arial"/>
                <w:color w:val="000000"/>
                <w:kern w:val="0"/>
                <w:sz w:val="20"/>
                <w:szCs w:val="20"/>
              </w:rPr>
              <w:t>个机柜，淮安方向1个机柜，电层</w:t>
            </w:r>
            <w:r>
              <w:rPr>
                <w:rFonts w:ascii="宋体" w:hAnsi="宋体" w:cs="Arial"/>
                <w:color w:val="000000"/>
                <w:kern w:val="0"/>
                <w:sz w:val="20"/>
                <w:szCs w:val="20"/>
              </w:rPr>
              <w:t>1</w:t>
            </w:r>
            <w:r>
              <w:rPr>
                <w:rFonts w:hint="eastAsia" w:ascii="宋体" w:hAnsi="宋体" w:cs="Arial"/>
                <w:color w:val="000000"/>
                <w:kern w:val="0"/>
                <w:sz w:val="20"/>
                <w:szCs w:val="20"/>
              </w:rPr>
              <w:t>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省干三平面</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3</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徐州方向</w:t>
            </w:r>
            <w:r>
              <w:rPr>
                <w:rFonts w:ascii="宋体" w:hAnsi="宋体" w:cs="Arial"/>
                <w:color w:val="000000"/>
                <w:kern w:val="0"/>
                <w:sz w:val="20"/>
                <w:szCs w:val="20"/>
              </w:rPr>
              <w:t>1</w:t>
            </w:r>
            <w:r>
              <w:rPr>
                <w:rFonts w:hint="eastAsia" w:ascii="宋体" w:hAnsi="宋体" w:cs="Arial"/>
                <w:color w:val="000000"/>
                <w:kern w:val="0"/>
                <w:sz w:val="20"/>
                <w:szCs w:val="20"/>
              </w:rPr>
              <w:t>个机柜，淮安方向1个机柜，电层</w:t>
            </w:r>
            <w:r>
              <w:rPr>
                <w:rFonts w:ascii="宋体" w:hAnsi="宋体" w:cs="Arial"/>
                <w:color w:val="000000"/>
                <w:kern w:val="0"/>
                <w:sz w:val="20"/>
                <w:szCs w:val="20"/>
              </w:rPr>
              <w:t>1</w:t>
            </w:r>
            <w:r>
              <w:rPr>
                <w:rFonts w:hint="eastAsia" w:ascii="宋体" w:hAnsi="宋体" w:cs="Arial"/>
                <w:color w:val="000000"/>
                <w:kern w:val="0"/>
                <w:sz w:val="20"/>
                <w:szCs w:val="20"/>
              </w:rPr>
              <w:t>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市干一平面</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4</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沭阳方向1个机柜，泗阳方向1个机柜，泗洪西方向1个机柜，泗洪东方向</w:t>
            </w:r>
            <w:r>
              <w:rPr>
                <w:rFonts w:ascii="宋体" w:hAnsi="宋体" w:cs="Arial"/>
                <w:color w:val="000000"/>
                <w:kern w:val="0"/>
                <w:sz w:val="20"/>
                <w:szCs w:val="20"/>
              </w:rPr>
              <w:t>1</w:t>
            </w:r>
            <w:r>
              <w:rPr>
                <w:rFonts w:hint="eastAsia" w:ascii="宋体" w:hAnsi="宋体" w:cs="Arial"/>
                <w:color w:val="000000"/>
                <w:kern w:val="0"/>
                <w:sz w:val="20"/>
                <w:szCs w:val="20"/>
              </w:rPr>
              <w:t>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省干S</w:t>
            </w:r>
            <w:r>
              <w:rPr>
                <w:rFonts w:ascii="宋体" w:hAnsi="宋体" w:cs="Arial"/>
                <w:color w:val="000000"/>
                <w:kern w:val="0"/>
                <w:sz w:val="20"/>
                <w:szCs w:val="20"/>
              </w:rPr>
              <w:t>DH</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2</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省干M</w:t>
            </w:r>
            <w:r>
              <w:rPr>
                <w:rFonts w:ascii="宋体" w:hAnsi="宋体" w:cs="Arial"/>
                <w:color w:val="000000"/>
                <w:kern w:val="0"/>
                <w:sz w:val="20"/>
                <w:szCs w:val="20"/>
              </w:rPr>
              <w:t>STP 1</w:t>
            </w:r>
            <w:r>
              <w:rPr>
                <w:rFonts w:hint="eastAsia" w:ascii="宋体" w:hAnsi="宋体" w:cs="Arial"/>
                <w:color w:val="000000"/>
                <w:kern w:val="0"/>
                <w:sz w:val="20"/>
                <w:szCs w:val="20"/>
              </w:rPr>
              <w:t>个机柜，省干3</w:t>
            </w:r>
            <w:r>
              <w:rPr>
                <w:rFonts w:ascii="宋体" w:hAnsi="宋体" w:cs="Arial"/>
                <w:color w:val="000000"/>
                <w:kern w:val="0"/>
                <w:sz w:val="20"/>
                <w:szCs w:val="20"/>
              </w:rPr>
              <w:t>500 1</w:t>
            </w:r>
            <w:r>
              <w:rPr>
                <w:rFonts w:hint="eastAsia" w:ascii="宋体" w:hAnsi="宋体" w:cs="Arial"/>
                <w:color w:val="000000"/>
                <w:kern w:val="0"/>
                <w:sz w:val="20"/>
                <w:szCs w:val="20"/>
              </w:rPr>
              <w:t>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市干S</w:t>
            </w:r>
            <w:r>
              <w:rPr>
                <w:rFonts w:ascii="宋体" w:hAnsi="宋体" w:cs="Arial"/>
                <w:color w:val="000000"/>
                <w:kern w:val="0"/>
                <w:sz w:val="20"/>
                <w:szCs w:val="20"/>
              </w:rPr>
              <w:t>DH</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5</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市干O</w:t>
            </w:r>
            <w:r>
              <w:rPr>
                <w:rFonts w:ascii="宋体" w:hAnsi="宋体" w:cs="Arial"/>
                <w:color w:val="000000"/>
                <w:kern w:val="0"/>
                <w:sz w:val="20"/>
                <w:szCs w:val="20"/>
              </w:rPr>
              <w:t>SN</w:t>
            </w:r>
            <w:r>
              <w:rPr>
                <w:rFonts w:hint="eastAsia" w:ascii="宋体" w:hAnsi="宋体" w:cs="Arial"/>
                <w:color w:val="000000"/>
                <w:kern w:val="0"/>
                <w:sz w:val="20"/>
                <w:szCs w:val="20"/>
              </w:rPr>
              <w:t>7</w:t>
            </w:r>
            <w:r>
              <w:rPr>
                <w:rFonts w:ascii="宋体" w:hAnsi="宋体" w:cs="Arial"/>
                <w:color w:val="000000"/>
                <w:kern w:val="0"/>
                <w:sz w:val="20"/>
                <w:szCs w:val="20"/>
              </w:rPr>
              <w:t>500 1</w:t>
            </w:r>
            <w:r>
              <w:rPr>
                <w:rFonts w:hint="eastAsia" w:ascii="宋体" w:hAnsi="宋体" w:cs="Arial"/>
                <w:color w:val="000000"/>
                <w:kern w:val="0"/>
                <w:sz w:val="20"/>
                <w:szCs w:val="20"/>
              </w:rPr>
              <w:t>个机柜、O</w:t>
            </w:r>
            <w:r>
              <w:rPr>
                <w:rFonts w:ascii="宋体" w:hAnsi="宋体" w:cs="Arial"/>
                <w:color w:val="000000"/>
                <w:kern w:val="0"/>
                <w:sz w:val="20"/>
                <w:szCs w:val="20"/>
              </w:rPr>
              <w:t>SN3500 1</w:t>
            </w:r>
            <w:r>
              <w:rPr>
                <w:rFonts w:hint="eastAsia" w:ascii="宋体" w:hAnsi="宋体" w:cs="Arial"/>
                <w:color w:val="000000"/>
                <w:kern w:val="0"/>
                <w:sz w:val="20"/>
                <w:szCs w:val="20"/>
              </w:rPr>
              <w:t>个机柜，O</w:t>
            </w:r>
            <w:r>
              <w:rPr>
                <w:rFonts w:ascii="宋体" w:hAnsi="宋体" w:cs="Arial"/>
                <w:color w:val="000000"/>
                <w:kern w:val="0"/>
                <w:sz w:val="20"/>
                <w:szCs w:val="20"/>
              </w:rPr>
              <w:t>SN1800V 1</w:t>
            </w:r>
            <w:r>
              <w:rPr>
                <w:rFonts w:hint="eastAsia" w:ascii="宋体" w:hAnsi="宋体" w:cs="Arial"/>
                <w:color w:val="000000"/>
                <w:kern w:val="0"/>
                <w:sz w:val="20"/>
                <w:szCs w:val="20"/>
              </w:rPr>
              <w:t>个机柜，O</w:t>
            </w:r>
            <w:r>
              <w:rPr>
                <w:rFonts w:ascii="宋体" w:hAnsi="宋体" w:cs="Arial"/>
                <w:color w:val="000000"/>
                <w:kern w:val="0"/>
                <w:sz w:val="20"/>
                <w:szCs w:val="20"/>
              </w:rPr>
              <w:t>SN7500</w:t>
            </w:r>
            <w:r>
              <w:rPr>
                <w:rFonts w:hint="eastAsia" w:ascii="宋体" w:hAnsi="宋体" w:cs="宋体"/>
                <w:color w:val="000000"/>
                <w:kern w:val="0"/>
                <w:sz w:val="22"/>
                <w:szCs w:val="22"/>
                <w:lang w:bidi="ar"/>
              </w:rPr>
              <w:t xml:space="preserve"> II</w:t>
            </w:r>
            <w:r>
              <w:rPr>
                <w:rFonts w:ascii="宋体" w:hAnsi="宋体" w:cs="宋体"/>
                <w:color w:val="000000"/>
                <w:kern w:val="0"/>
                <w:sz w:val="22"/>
                <w:szCs w:val="22"/>
                <w:lang w:bidi="ar"/>
              </w:rPr>
              <w:t xml:space="preserve"> 1</w:t>
            </w:r>
            <w:r>
              <w:rPr>
                <w:rFonts w:hint="eastAsia" w:ascii="宋体" w:hAnsi="宋体" w:cs="宋体"/>
                <w:color w:val="000000"/>
                <w:kern w:val="0"/>
                <w:sz w:val="22"/>
                <w:szCs w:val="22"/>
                <w:lang w:bidi="ar"/>
              </w:rPr>
              <w:t>个机柜，扩展O</w:t>
            </w:r>
            <w:r>
              <w:rPr>
                <w:rFonts w:ascii="宋体" w:hAnsi="宋体" w:cs="宋体"/>
                <w:color w:val="000000"/>
                <w:kern w:val="0"/>
                <w:sz w:val="22"/>
                <w:szCs w:val="22"/>
                <w:lang w:bidi="ar"/>
              </w:rPr>
              <w:t>SN3500 1</w:t>
            </w:r>
            <w:r>
              <w:rPr>
                <w:rFonts w:hint="eastAsia" w:ascii="宋体" w:hAnsi="宋体" w:cs="宋体"/>
                <w:color w:val="000000"/>
                <w:kern w:val="0"/>
                <w:sz w:val="22"/>
                <w:szCs w:val="22"/>
                <w:lang w:bidi="ar"/>
              </w:rPr>
              <w:t>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O</w:t>
            </w:r>
            <w:r>
              <w:rPr>
                <w:rFonts w:ascii="宋体" w:hAnsi="宋体" w:cs="Arial"/>
                <w:color w:val="000000"/>
                <w:kern w:val="0"/>
                <w:sz w:val="20"/>
                <w:szCs w:val="20"/>
              </w:rPr>
              <w:t>DF</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4</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省干二平面1个机柜，市县一平面1个机柜，市县二平面1个机柜，线路侧1个机柜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光倒换</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3台</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省干2台，市县1台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通信电源</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4</w:t>
            </w:r>
            <w:r>
              <w:rPr>
                <w:rFonts w:hint="eastAsia" w:ascii="宋体" w:hAnsi="宋体" w:cs="Arial"/>
                <w:color w:val="000000"/>
                <w:kern w:val="0"/>
                <w:sz w:val="20"/>
                <w:szCs w:val="20"/>
              </w:rPr>
              <w:t>台</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中恒电源4台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r>
              <w:rPr>
                <w:rFonts w:ascii="宋体" w:hAnsi="宋体" w:cs="Arial"/>
                <w:color w:val="000000"/>
                <w:kern w:val="0"/>
                <w:sz w:val="20"/>
                <w:szCs w:val="20"/>
              </w:rPr>
              <w:t>0</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列头柜</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3台</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中恒列头柜3台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r>
              <w:rPr>
                <w:rFonts w:ascii="宋体" w:hAnsi="宋体" w:cs="Arial"/>
                <w:color w:val="000000"/>
                <w:kern w:val="0"/>
                <w:sz w:val="20"/>
                <w:szCs w:val="20"/>
              </w:rPr>
              <w:t>1</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电池</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r>
              <w:rPr>
                <w:rFonts w:ascii="宋体" w:hAnsi="宋体" w:cs="Arial"/>
                <w:color w:val="000000"/>
                <w:kern w:val="0"/>
                <w:sz w:val="20"/>
                <w:szCs w:val="20"/>
              </w:rPr>
              <w:t>6</w:t>
            </w:r>
            <w:r>
              <w:rPr>
                <w:rFonts w:hint="eastAsia" w:ascii="宋体" w:hAnsi="宋体" w:cs="Arial"/>
                <w:color w:val="000000"/>
                <w:kern w:val="0"/>
                <w:sz w:val="20"/>
                <w:szCs w:val="20"/>
              </w:rPr>
              <w:t>节</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r>
              <w:rPr>
                <w:rFonts w:ascii="宋体" w:hAnsi="宋体" w:cs="Arial"/>
                <w:color w:val="000000"/>
                <w:kern w:val="0"/>
                <w:sz w:val="20"/>
                <w:szCs w:val="20"/>
              </w:rPr>
              <w:t>2</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网管服务器</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2台</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U</w:t>
            </w:r>
            <w:r>
              <w:rPr>
                <w:rFonts w:ascii="宋体" w:hAnsi="宋体" w:cs="Arial"/>
                <w:color w:val="000000"/>
                <w:kern w:val="0"/>
                <w:sz w:val="20"/>
                <w:szCs w:val="20"/>
              </w:rPr>
              <w:t>2000 1</w:t>
            </w:r>
            <w:r>
              <w:rPr>
                <w:rFonts w:hint="eastAsia" w:ascii="宋体" w:hAnsi="宋体" w:cs="Arial"/>
                <w:color w:val="000000"/>
                <w:kern w:val="0"/>
                <w:sz w:val="20"/>
                <w:szCs w:val="20"/>
              </w:rPr>
              <w:t>台，N</w:t>
            </w:r>
            <w:r>
              <w:rPr>
                <w:rFonts w:ascii="宋体" w:hAnsi="宋体" w:cs="Arial"/>
                <w:color w:val="000000"/>
                <w:kern w:val="0"/>
                <w:sz w:val="20"/>
                <w:szCs w:val="20"/>
              </w:rPr>
              <w:t>CE 1</w:t>
            </w:r>
            <w:r>
              <w:rPr>
                <w:rFonts w:hint="eastAsia" w:ascii="宋体" w:hAnsi="宋体" w:cs="Arial"/>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r>
              <w:rPr>
                <w:rFonts w:ascii="宋体" w:hAnsi="宋体" w:cs="Arial"/>
                <w:color w:val="000000"/>
                <w:kern w:val="0"/>
                <w:sz w:val="20"/>
                <w:szCs w:val="20"/>
              </w:rPr>
              <w:t>3</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交换机</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3台</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r>
              <w:rPr>
                <w:rFonts w:ascii="宋体" w:hAnsi="宋体" w:cs="Arial"/>
                <w:color w:val="000000"/>
                <w:kern w:val="0"/>
                <w:sz w:val="20"/>
                <w:szCs w:val="20"/>
              </w:rPr>
              <w:t>4</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省干P</w:t>
            </w:r>
            <w:r>
              <w:rPr>
                <w:rFonts w:ascii="宋体" w:hAnsi="宋体" w:cs="Arial"/>
                <w:color w:val="000000"/>
                <w:kern w:val="0"/>
                <w:sz w:val="20"/>
                <w:szCs w:val="20"/>
              </w:rPr>
              <w:t>TN</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1个机柜</w:t>
            </w:r>
          </w:p>
        </w:tc>
        <w:tc>
          <w:tcPr>
            <w:tcW w:w="3600" w:type="dxa"/>
            <w:vAlign w:val="center"/>
          </w:tcPr>
          <w:p>
            <w:pPr>
              <w:widowControl/>
              <w:jc w:val="center"/>
              <w:rPr>
                <w:rFonts w:ascii="宋体" w:hAnsi="宋体" w:cs="Arial"/>
                <w:color w:val="000000"/>
                <w:kern w:val="0"/>
                <w:sz w:val="20"/>
                <w:szCs w:val="20"/>
              </w:rPr>
            </w:pPr>
          </w:p>
        </w:tc>
      </w:tr>
    </w:tbl>
    <w:p>
      <w:pPr>
        <w:pStyle w:val="5"/>
        <w:numPr>
          <w:ilvl w:val="1"/>
          <w:numId w:val="11"/>
        </w:numPr>
        <w:spacing w:before="0" w:after="0" w:line="360" w:lineRule="auto"/>
        <w:ind w:left="748" w:hanging="748"/>
        <w:rPr>
          <w:rFonts w:ascii="宋体" w:hAnsi="宋体" w:eastAsia="宋体"/>
          <w:b/>
          <w:bCs/>
          <w:sz w:val="21"/>
          <w:szCs w:val="21"/>
        </w:rPr>
      </w:pPr>
      <w:r>
        <w:rPr>
          <w:rFonts w:hint="eastAsia" w:ascii="宋体" w:hAnsi="宋体"/>
          <w:szCs w:val="21"/>
        </w:rPr>
        <w:t>★</w:t>
      </w:r>
      <w:r>
        <w:rPr>
          <w:rFonts w:ascii="宋体" w:hAnsi="宋体" w:eastAsia="宋体"/>
          <w:b/>
          <w:bCs/>
          <w:sz w:val="21"/>
          <w:szCs w:val="21"/>
        </w:rPr>
        <w:t>项目总体要求</w:t>
      </w:r>
    </w:p>
    <w:p>
      <w:pPr>
        <w:pStyle w:val="89"/>
        <w:numPr>
          <w:ilvl w:val="0"/>
          <w:numId w:val="12"/>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本项目为交钥匙工程，项目中所涉及全部工作由投标人完成，招标人配合协助。</w:t>
      </w:r>
    </w:p>
    <w:p>
      <w:pPr>
        <w:pStyle w:val="89"/>
        <w:adjustRightInd w:val="0"/>
        <w:snapToGrid w:val="0"/>
        <w:spacing w:line="360" w:lineRule="auto"/>
        <w:ind w:left="840" w:firstLine="0" w:firstLineChars="0"/>
        <w:rPr>
          <w:rFonts w:ascii="宋体" w:hAnsi="宋体" w:eastAsia="宋体"/>
          <w:sz w:val="21"/>
          <w:szCs w:val="21"/>
        </w:rPr>
      </w:pPr>
      <w:r>
        <w:rPr>
          <w:rFonts w:hint="eastAsia" w:ascii="宋体" w:hAnsi="宋体" w:eastAsia="宋体"/>
          <w:sz w:val="21"/>
          <w:szCs w:val="21"/>
        </w:rPr>
        <w:t>投标人所完成内容包括但不限于：</w:t>
      </w:r>
    </w:p>
    <w:p>
      <w:pPr>
        <w:pStyle w:val="89"/>
        <w:numPr>
          <w:ilvl w:val="0"/>
          <w:numId w:val="13"/>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技术交流、现场勘测及工作量评估</w:t>
      </w:r>
    </w:p>
    <w:p>
      <w:pPr>
        <w:adjustRightInd w:val="0"/>
        <w:snapToGrid w:val="0"/>
        <w:spacing w:line="360" w:lineRule="auto"/>
        <w:ind w:firstLine="420" w:firstLineChars="200"/>
        <w:rPr>
          <w:rFonts w:ascii="宋体" w:hAnsi="宋体"/>
          <w:szCs w:val="21"/>
        </w:rPr>
      </w:pPr>
      <w:r>
        <w:rPr>
          <w:rFonts w:hint="eastAsia" w:ascii="宋体" w:hAnsi="宋体"/>
          <w:szCs w:val="21"/>
        </w:rPr>
        <w:t>投标人需提前做好技术交流、现场勘察、工作界面界定及项目工作量评估等工作。如因投标人对实际工作量评估不足而导致在项目实施过程中产生的额外费用由投标人承担。</w:t>
      </w:r>
    </w:p>
    <w:p>
      <w:pPr>
        <w:pStyle w:val="89"/>
        <w:numPr>
          <w:ilvl w:val="0"/>
          <w:numId w:val="13"/>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出具方案</w:t>
      </w:r>
    </w:p>
    <w:p>
      <w:pPr>
        <w:adjustRightInd w:val="0"/>
        <w:snapToGrid w:val="0"/>
        <w:spacing w:line="360" w:lineRule="auto"/>
        <w:ind w:firstLine="420" w:firstLineChars="200"/>
        <w:rPr>
          <w:rFonts w:ascii="宋体" w:hAnsi="宋体"/>
          <w:szCs w:val="21"/>
        </w:rPr>
      </w:pPr>
      <w:r>
        <w:rPr>
          <w:rFonts w:hint="eastAsia" w:ascii="宋体" w:hAnsi="宋体"/>
          <w:szCs w:val="21"/>
        </w:rPr>
        <w:t>投标人与招标人沟通、交流，由投标人出具设计、施工等方案，方案包含但不限于《</w:t>
      </w:r>
      <w:r>
        <w:rPr>
          <w:rFonts w:ascii="宋体" w:hAnsi="宋体"/>
          <w:szCs w:val="21"/>
        </w:rPr>
        <w:t>项目管理</w:t>
      </w:r>
      <w:r>
        <w:rPr>
          <w:rFonts w:hint="eastAsia" w:ascii="宋体" w:hAnsi="宋体"/>
          <w:szCs w:val="21"/>
        </w:rPr>
        <w:t>与实施</w:t>
      </w:r>
      <w:r>
        <w:rPr>
          <w:rFonts w:ascii="宋体" w:hAnsi="宋体"/>
          <w:szCs w:val="21"/>
        </w:rPr>
        <w:t>方案</w:t>
      </w:r>
      <w:r>
        <w:rPr>
          <w:rFonts w:hint="eastAsia" w:ascii="宋体" w:hAnsi="宋体"/>
          <w:szCs w:val="21"/>
        </w:rPr>
        <w:t>》、图纸资料、线表等。并作为投标文件一部分提交评委审定。</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项目管理</w:t>
      </w:r>
      <w:r>
        <w:rPr>
          <w:rFonts w:hint="eastAsia" w:ascii="宋体" w:hAnsi="宋体"/>
          <w:szCs w:val="21"/>
        </w:rPr>
        <w:t>与实施</w:t>
      </w:r>
      <w:r>
        <w:rPr>
          <w:rFonts w:ascii="宋体" w:hAnsi="宋体"/>
          <w:szCs w:val="21"/>
        </w:rPr>
        <w:t>方案</w:t>
      </w:r>
      <w:r>
        <w:rPr>
          <w:rFonts w:hint="eastAsia" w:ascii="宋体" w:hAnsi="宋体"/>
          <w:szCs w:val="21"/>
        </w:rPr>
        <w:t>》：</w:t>
      </w:r>
      <w:r>
        <w:rPr>
          <w:rFonts w:ascii="宋体" w:hAnsi="宋体"/>
          <w:szCs w:val="21"/>
        </w:rPr>
        <w:t>方案包括项目组织机构、人员安排、进度安排、计划控制、</w:t>
      </w:r>
      <w:r>
        <w:rPr>
          <w:rFonts w:hint="eastAsia" w:ascii="宋体" w:hAnsi="宋体"/>
          <w:szCs w:val="21"/>
        </w:rPr>
        <w:t>项目相关人员管理、</w:t>
      </w:r>
      <w:r>
        <w:rPr>
          <w:rFonts w:ascii="宋体" w:hAnsi="宋体"/>
          <w:szCs w:val="21"/>
        </w:rPr>
        <w:t>质量管理及风险管理</w:t>
      </w:r>
      <w:r>
        <w:rPr>
          <w:rFonts w:hint="eastAsia" w:ascii="宋体" w:hAnsi="宋体"/>
          <w:szCs w:val="21"/>
        </w:rPr>
        <w:t>、生产安全管理</w:t>
      </w:r>
      <w:r>
        <w:rPr>
          <w:rFonts w:ascii="宋体" w:hAnsi="宋体"/>
          <w:szCs w:val="21"/>
        </w:rPr>
        <w:t>等内容，方案必须符合</w:t>
      </w:r>
      <w:r>
        <w:rPr>
          <w:rFonts w:hint="eastAsia" w:ascii="宋体" w:hAnsi="宋体"/>
          <w:szCs w:val="21"/>
        </w:rPr>
        <w:t>招标方现场施工相关规定和要求</w:t>
      </w:r>
      <w:r>
        <w:rPr>
          <w:rFonts w:ascii="宋体" w:hAnsi="宋体"/>
          <w:szCs w:val="21"/>
        </w:rPr>
        <w:t>。</w:t>
      </w:r>
    </w:p>
    <w:p>
      <w:pPr>
        <w:pStyle w:val="89"/>
        <w:numPr>
          <w:ilvl w:val="0"/>
          <w:numId w:val="13"/>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项目实施</w:t>
      </w:r>
    </w:p>
    <w:p>
      <w:pPr>
        <w:adjustRightInd w:val="0"/>
        <w:snapToGrid w:val="0"/>
        <w:spacing w:line="360" w:lineRule="auto"/>
        <w:ind w:firstLine="420" w:firstLineChars="200"/>
        <w:rPr>
          <w:rFonts w:ascii="宋体" w:hAnsi="宋体"/>
          <w:szCs w:val="21"/>
        </w:rPr>
      </w:pPr>
      <w:r>
        <w:rPr>
          <w:rFonts w:hint="eastAsia" w:ascii="宋体" w:hAnsi="宋体"/>
          <w:szCs w:val="21"/>
        </w:rPr>
        <w:t>本项目实施涉及的直流电源线、光纤跳线、光衰、网线等辅材由招标人提供。投标人中标后，施工过程中，发现线缆损伤、设备损坏等情况，招标方有权要求更换。</w:t>
      </w:r>
    </w:p>
    <w:p>
      <w:pPr>
        <w:adjustRightInd w:val="0"/>
        <w:snapToGrid w:val="0"/>
        <w:spacing w:line="360" w:lineRule="auto"/>
        <w:ind w:firstLine="420" w:firstLineChars="200"/>
        <w:rPr>
          <w:rFonts w:ascii="宋体" w:hAnsi="宋体"/>
          <w:szCs w:val="21"/>
        </w:rPr>
      </w:pPr>
      <w:r>
        <w:rPr>
          <w:rFonts w:hint="eastAsia" w:ascii="宋体" w:hAnsi="宋体"/>
          <w:color w:val="000000"/>
          <w:szCs w:val="21"/>
        </w:rPr>
        <w:t>设备在断电、下线、上线及加电运行等过程中必须满足《技术规范与施工工艺要求》的要求</w:t>
      </w:r>
      <w:r>
        <w:rPr>
          <w:rFonts w:hint="eastAsia" w:ascii="宋体" w:hAnsi="宋体"/>
          <w:szCs w:val="21"/>
        </w:rPr>
        <w:t>。</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投标人中标后需根据招标人的机房搬迁总体工作安排，进行机房搬迁实施工作。</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搬迁前，</w:t>
      </w:r>
      <w:r>
        <w:rPr>
          <w:rFonts w:hint="eastAsia" w:ascii="宋体" w:hAnsi="宋体" w:eastAsia="宋体"/>
          <w:bCs/>
          <w:sz w:val="21"/>
          <w:szCs w:val="21"/>
        </w:rPr>
        <w:t>投标人</w:t>
      </w:r>
      <w:r>
        <w:rPr>
          <w:rFonts w:hint="eastAsia" w:ascii="宋体" w:hAnsi="宋体" w:eastAsia="宋体"/>
          <w:sz w:val="21"/>
          <w:szCs w:val="21"/>
        </w:rPr>
        <w:t>中标</w:t>
      </w:r>
      <w:r>
        <w:rPr>
          <w:rFonts w:hint="eastAsia" w:ascii="宋体" w:hAnsi="宋体" w:eastAsia="宋体"/>
          <w:bCs/>
          <w:sz w:val="21"/>
          <w:szCs w:val="21"/>
        </w:rPr>
        <w:t>后需</w:t>
      </w:r>
      <w:r>
        <w:rPr>
          <w:rFonts w:hint="eastAsia" w:ascii="宋体" w:hAnsi="宋体" w:eastAsia="宋体"/>
          <w:sz w:val="21"/>
          <w:szCs w:val="21"/>
        </w:rPr>
        <w:t>做好系统和数据的备份；搬迁过程中，确保专设备不损坏；搬迁后，完成数据的备份恢复、业务调测等工作，确保系统、设备和业务能够在最短时间内正常运行、恢复。</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投标人中标后要遵循招标人提供的搬迁原则和搬迁进度，按照系统的关键性对设备进行搬迁。</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投标人要在搬迁前对整个搬迁方案考虑到各种可能的风险，并提供相应的预防措施、补救措施，最大程度保证数据和应用系统的安全。</w:t>
      </w:r>
    </w:p>
    <w:p>
      <w:pPr>
        <w:pStyle w:val="89"/>
        <w:numPr>
          <w:ilvl w:val="0"/>
          <w:numId w:val="12"/>
        </w:numPr>
        <w:adjustRightInd w:val="0"/>
        <w:snapToGrid w:val="0"/>
        <w:spacing w:line="360" w:lineRule="auto"/>
        <w:ind w:left="0" w:firstLine="420"/>
        <w:rPr>
          <w:rFonts w:ascii="宋体" w:hAnsi="宋体" w:eastAsia="宋体"/>
          <w:sz w:val="21"/>
          <w:szCs w:val="21"/>
        </w:rPr>
      </w:pPr>
      <w:r>
        <w:rPr>
          <w:rFonts w:ascii="宋体" w:hAnsi="宋体" w:eastAsia="宋体"/>
          <w:bCs/>
          <w:sz w:val="21"/>
          <w:szCs w:val="21"/>
        </w:rPr>
        <w:t>在搬迁过程的各个阶段，</w:t>
      </w:r>
      <w:r>
        <w:rPr>
          <w:rFonts w:hint="eastAsia" w:ascii="宋体" w:hAnsi="宋体" w:eastAsia="宋体"/>
          <w:bCs/>
          <w:sz w:val="21"/>
          <w:szCs w:val="21"/>
        </w:rPr>
        <w:t>投标人中标后</w:t>
      </w:r>
      <w:r>
        <w:rPr>
          <w:rFonts w:ascii="宋体" w:hAnsi="宋体" w:eastAsia="宋体"/>
          <w:bCs/>
          <w:sz w:val="21"/>
          <w:szCs w:val="21"/>
        </w:rPr>
        <w:t>必须安排足够合格的、经客户方认可的人员在现场完成搬迁工作，保证双方沟通畅顺，以及时解决项目过程中发生的问题，并且在项目过程中不得随意更换人员或未经客户方同意而随意离开客户方现场，以保证搬迁工作按质按量完成。投标人应答时必须提供详细的工程人员名单，名单中必须列明各人员的相关信息，并经由客户方确认</w:t>
      </w:r>
      <w:r>
        <w:rPr>
          <w:rFonts w:hint="eastAsia" w:ascii="宋体" w:hAnsi="宋体" w:eastAsia="宋体"/>
          <w:bCs/>
          <w:sz w:val="21"/>
          <w:szCs w:val="21"/>
        </w:rPr>
        <w:t>。</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bCs/>
          <w:sz w:val="21"/>
          <w:szCs w:val="21"/>
        </w:rPr>
        <w:t>投标人在中标后至整个搬迁工作完成期间，须在招标人处安排一名以上专职项目经理负责人负责机房搬迁工作的计划、协调、督促、执行、收尾等工作。投标人中标后</w:t>
      </w:r>
      <w:r>
        <w:rPr>
          <w:rFonts w:hint="eastAsia" w:ascii="宋体" w:hAnsi="宋体" w:eastAsia="宋体"/>
          <w:sz w:val="21"/>
          <w:szCs w:val="21"/>
        </w:rPr>
        <w:t>须根据招标方的计划进度，调整相应的人员安排、施工进度等，保证搬迁工作按时完成。</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上述技术要求必须视为项目建设所需的基本要求，投标人可到招标人现场勘探，并根据勘探情况进行完善，如有遗漏，投标人应予以补充，否则投标人中标后将认为认同遗漏部分并免费提供。</w:t>
      </w:r>
    </w:p>
    <w:p>
      <w:pPr>
        <w:spacing w:line="360" w:lineRule="auto"/>
        <w:ind w:firstLine="420" w:firstLineChars="200"/>
        <w:rPr>
          <w:rFonts w:ascii="宋体" w:hAnsi="宋体"/>
          <w:szCs w:val="21"/>
        </w:rPr>
      </w:pPr>
    </w:p>
    <w:p>
      <w:pPr>
        <w:pStyle w:val="4"/>
        <w:numPr>
          <w:ilvl w:val="0"/>
          <w:numId w:val="10"/>
        </w:numPr>
        <w:adjustRightInd w:val="0"/>
        <w:snapToGrid w:val="0"/>
        <w:spacing w:before="156" w:beforeLines="50" w:after="156" w:afterLines="50" w:line="360" w:lineRule="auto"/>
        <w:ind w:left="0" w:firstLine="0"/>
        <w:rPr>
          <w:rFonts w:ascii="宋体" w:hAnsi="宋体" w:eastAsia="宋体"/>
          <w:szCs w:val="21"/>
        </w:rPr>
      </w:pPr>
      <w:r>
        <w:rPr>
          <w:rFonts w:hint="eastAsia" w:ascii="宋体" w:hAnsi="宋体" w:eastAsia="宋体"/>
          <w:szCs w:val="21"/>
        </w:rPr>
        <w:t>技术规范与施工工艺要求</w:t>
      </w:r>
    </w:p>
    <w:p>
      <w:pPr>
        <w:pStyle w:val="5"/>
        <w:numPr>
          <w:ilvl w:val="1"/>
          <w:numId w:val="14"/>
        </w:numPr>
        <w:tabs>
          <w:tab w:val="left" w:pos="360"/>
        </w:tabs>
        <w:ind w:left="0" w:firstLine="0"/>
        <w:rPr>
          <w:rFonts w:ascii="宋体" w:hAnsi="宋体"/>
          <w:szCs w:val="21"/>
        </w:rPr>
      </w:pPr>
      <w:r>
        <w:rPr>
          <w:rFonts w:hint="eastAsia" w:ascii="宋体" w:hAnsi="宋体"/>
          <w:szCs w:val="21"/>
        </w:rPr>
        <w:t>技术规范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工程施工应的技术要求参照以下相关的国际国内标准及规范：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《电子信息系统机房设计规范》（</w:t>
      </w:r>
      <w:r>
        <w:rPr>
          <w:rFonts w:ascii="宋体" w:hAnsi="宋体" w:cs="Arial"/>
          <w:szCs w:val="21"/>
        </w:rPr>
        <w:t>GB50174-2008</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《电子信息系统机房施工及验收规范》（</w:t>
      </w:r>
      <w:r>
        <w:rPr>
          <w:rFonts w:ascii="宋体" w:hAnsi="宋体" w:cs="Arial"/>
          <w:szCs w:val="21"/>
        </w:rPr>
        <w:t>GB50462-2008</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《建筑设计防火设计规范》（</w:t>
      </w:r>
      <w:r>
        <w:rPr>
          <w:rFonts w:ascii="宋体" w:hAnsi="宋体" w:cs="Arial"/>
          <w:szCs w:val="21"/>
        </w:rPr>
        <w:t>GB 50016-2006</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《防静电活动地板通用规范》（</w:t>
      </w:r>
      <w:r>
        <w:rPr>
          <w:rFonts w:ascii="宋体" w:hAnsi="宋体" w:cs="Arial"/>
          <w:szCs w:val="21"/>
        </w:rPr>
        <w:t>SJ/T10796-2001</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《通风与空调工程施工及验收规范》（</w:t>
      </w:r>
      <w:r>
        <w:rPr>
          <w:rFonts w:ascii="宋体" w:hAnsi="宋体" w:cs="Arial"/>
          <w:szCs w:val="21"/>
        </w:rPr>
        <w:t>GB50243-2002</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《低压配电设计规范》（</w:t>
      </w:r>
      <w:r>
        <w:rPr>
          <w:rFonts w:ascii="宋体" w:hAnsi="宋体" w:cs="Arial"/>
          <w:szCs w:val="21"/>
        </w:rPr>
        <w:t>GB50054-2011</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《建筑电气工程施工质量验收规范》（</w:t>
      </w:r>
      <w:r>
        <w:rPr>
          <w:rFonts w:ascii="宋体" w:hAnsi="宋体" w:cs="Arial"/>
          <w:szCs w:val="21"/>
        </w:rPr>
        <w:t>GB50303-2002</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《建筑物电子信息系统防雷技术规范》（</w:t>
      </w:r>
      <w:r>
        <w:rPr>
          <w:rFonts w:ascii="宋体" w:hAnsi="宋体" w:cs="Arial"/>
          <w:szCs w:val="21"/>
        </w:rPr>
        <w:t>GB50343-2012</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《智能建筑设计标准》（</w:t>
      </w:r>
      <w:r>
        <w:rPr>
          <w:rFonts w:ascii="宋体" w:hAnsi="宋体" w:cs="Arial"/>
          <w:szCs w:val="21"/>
        </w:rPr>
        <w:t>GB/T50314-2006</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《本地网通信线路工程验收规范》（</w:t>
      </w:r>
      <w:r>
        <w:rPr>
          <w:rFonts w:ascii="宋体" w:hAnsi="宋体" w:cs="Arial"/>
          <w:szCs w:val="21"/>
        </w:rPr>
        <w:t>YD5051-97</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《电信网光纤数字传输系统工程及验收暂行技术规定》（</w:t>
      </w:r>
      <w:r>
        <w:rPr>
          <w:rFonts w:ascii="宋体" w:hAnsi="宋体" w:cs="Arial"/>
          <w:szCs w:val="21"/>
        </w:rPr>
        <w:t>YDJ44-89</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《有线电视网络工程施工及验收规范（试行）》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《有线数字电视光链路技术要求和测量方法》（GY</w:t>
      </w:r>
      <w:r>
        <w:rPr>
          <w:rFonts w:ascii="宋体" w:hAnsi="宋体" w:cs="Arial"/>
          <w:szCs w:val="21"/>
        </w:rPr>
        <w:t>/T 300-2016</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以上所列的主要技术标准和规范，如有不足之处或未能达到国际或国内最新标准时，投标人应在施工及选用设备、材料时，依据最新的国际、国内标准，并提供所采用标准的最新版本资料。投标人采用其它标准和规范时，应注明是采用何种标准，并应保证达到或优于以上所列的相关标准。</w:t>
      </w:r>
    </w:p>
    <w:p>
      <w:pPr>
        <w:pStyle w:val="5"/>
        <w:numPr>
          <w:ilvl w:val="1"/>
          <w:numId w:val="14"/>
        </w:numPr>
        <w:tabs>
          <w:tab w:val="left" w:pos="360"/>
        </w:tabs>
        <w:ind w:left="0" w:firstLine="0"/>
        <w:rPr>
          <w:rFonts w:ascii="宋体" w:hAnsi="宋体"/>
          <w:szCs w:val="21"/>
        </w:rPr>
      </w:pPr>
      <w:r>
        <w:rPr>
          <w:rFonts w:hint="eastAsia" w:ascii="宋体" w:hAnsi="宋体"/>
          <w:szCs w:val="21"/>
        </w:rPr>
        <w:t>施工工艺要求</w:t>
      </w:r>
    </w:p>
    <w:p>
      <w:pPr>
        <w:pStyle w:val="307"/>
        <w:snapToGrid w:val="0"/>
        <w:spacing w:before="0" w:line="360" w:lineRule="auto"/>
        <w:rPr>
          <w:rFonts w:ascii="宋体" w:hAnsi="宋体"/>
          <w:bCs w:val="0"/>
          <w:szCs w:val="21"/>
        </w:rPr>
      </w:pPr>
      <w:r>
        <w:rPr>
          <w:rFonts w:hint="eastAsia" w:ascii="宋体" w:hAnsi="宋体"/>
          <w:szCs w:val="21"/>
        </w:rPr>
        <w:t>2.</w:t>
      </w:r>
      <w:r>
        <w:rPr>
          <w:rFonts w:ascii="宋体" w:hAnsi="宋体"/>
          <w:szCs w:val="21"/>
        </w:rPr>
        <w:t>2.1</w:t>
      </w:r>
      <w:r>
        <w:rPr>
          <w:rFonts w:hint="eastAsia" w:ascii="宋体" w:hAnsi="宋体"/>
          <w:szCs w:val="21"/>
        </w:rPr>
        <w:t>、方案及图纸要求</w:t>
      </w:r>
    </w:p>
    <w:p>
      <w:pPr>
        <w:adjustRightInd w:val="0"/>
        <w:snapToGrid w:val="0"/>
        <w:spacing w:line="360" w:lineRule="auto"/>
        <w:ind w:firstLine="420" w:firstLineChars="200"/>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提供</w:t>
      </w:r>
      <w:r>
        <w:rPr>
          <w:rFonts w:hint="eastAsia" w:ascii="宋体" w:hAnsi="宋体"/>
          <w:szCs w:val="21"/>
        </w:rPr>
        <w:t>项目实施方案和图纸资料等。</w:t>
      </w:r>
    </w:p>
    <w:p>
      <w:pPr>
        <w:pStyle w:val="307"/>
        <w:snapToGrid w:val="0"/>
        <w:spacing w:before="0" w:line="360" w:lineRule="auto"/>
        <w:rPr>
          <w:rFonts w:ascii="宋体" w:hAnsi="宋体"/>
          <w:bCs w:val="0"/>
          <w:szCs w:val="21"/>
        </w:rPr>
      </w:pPr>
      <w:r>
        <w:rPr>
          <w:rFonts w:hint="eastAsia" w:ascii="宋体" w:hAnsi="宋体"/>
          <w:szCs w:val="21"/>
        </w:rPr>
        <w:t>2.</w:t>
      </w:r>
      <w:r>
        <w:rPr>
          <w:rFonts w:ascii="宋体" w:hAnsi="宋体"/>
          <w:szCs w:val="21"/>
        </w:rPr>
        <w:t>2.2</w:t>
      </w:r>
      <w:r>
        <w:rPr>
          <w:rFonts w:hint="eastAsia" w:ascii="宋体" w:hAnsi="宋体"/>
          <w:szCs w:val="21"/>
        </w:rPr>
        <w:t>、实施人员要求</w:t>
      </w:r>
    </w:p>
    <w:p>
      <w:pPr>
        <w:adjustRightInd w:val="0"/>
        <w:snapToGrid w:val="0"/>
        <w:spacing w:line="360" w:lineRule="auto"/>
        <w:ind w:firstLine="420" w:firstLineChars="200"/>
        <w:rPr>
          <w:rFonts w:ascii="宋体" w:hAnsi="宋体"/>
          <w:szCs w:val="21"/>
        </w:rPr>
      </w:pPr>
      <w:r>
        <w:rPr>
          <w:rFonts w:hint="eastAsia" w:ascii="宋体" w:hAnsi="宋体"/>
          <w:szCs w:val="21"/>
        </w:rPr>
        <w:t>实施人员要求包含但不限于以下方面：</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20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976"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701"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实施人员要服从施工现场负责人的指挥，施工中所遇到的问题要及时向负责人汇报。</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实施人员施工中要认真负责，每一项工作都要按照相关规范完成。</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976" w:type="dxa"/>
          </w:tcPr>
          <w:p>
            <w:pPr>
              <w:adjustRightInd w:val="0"/>
              <w:snapToGrid w:val="0"/>
              <w:spacing w:line="276" w:lineRule="auto"/>
              <w:rPr>
                <w:rFonts w:ascii="宋体" w:hAnsi="宋体" w:cs="Arial"/>
                <w:szCs w:val="21"/>
              </w:rPr>
            </w:pPr>
            <w:r>
              <w:rPr>
                <w:rFonts w:hint="eastAsia" w:ascii="宋体" w:hAnsi="宋体"/>
                <w:szCs w:val="21"/>
              </w:rPr>
              <w:t>实施人员要注意各方面的安全，其中包括施工安全、用电安全；如出现安全问题由投标人承担。</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4</w:t>
            </w:r>
          </w:p>
        </w:tc>
        <w:tc>
          <w:tcPr>
            <w:tcW w:w="6976" w:type="dxa"/>
          </w:tcPr>
          <w:p>
            <w:pPr>
              <w:adjustRightInd w:val="0"/>
              <w:snapToGrid w:val="0"/>
              <w:spacing w:line="276" w:lineRule="auto"/>
              <w:rPr>
                <w:rFonts w:ascii="宋体" w:hAnsi="宋体" w:cs="Arial"/>
                <w:szCs w:val="21"/>
              </w:rPr>
            </w:pPr>
            <w:r>
              <w:rPr>
                <w:rFonts w:hint="eastAsia" w:ascii="宋体" w:hAnsi="宋体"/>
                <w:szCs w:val="21"/>
              </w:rPr>
              <w:t>实施人员要注意节省施工材料。</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5</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实施人员要保持环境卫生，施工结束后必须清理施工环境。</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6</w:t>
            </w:r>
          </w:p>
        </w:tc>
        <w:tc>
          <w:tcPr>
            <w:tcW w:w="6976" w:type="dxa"/>
          </w:tcPr>
          <w:p>
            <w:pPr>
              <w:adjustRightInd w:val="0"/>
              <w:snapToGrid w:val="0"/>
              <w:spacing w:line="276" w:lineRule="auto"/>
              <w:rPr>
                <w:rFonts w:ascii="宋体" w:hAnsi="宋体" w:cs="Arial"/>
                <w:szCs w:val="21"/>
              </w:rPr>
            </w:pPr>
            <w:r>
              <w:rPr>
                <w:rFonts w:hint="eastAsia" w:ascii="宋体" w:hAnsi="宋体"/>
                <w:szCs w:val="21"/>
              </w:rPr>
              <w:t>实施人员禁止酒后施工作业；在机房内、施工现场及明确禁止吸烟的区域，禁止吸烟。</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7</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w:t>
            </w:r>
            <w:r>
              <w:rPr>
                <w:rFonts w:ascii="宋体" w:hAnsi="宋体"/>
                <w:szCs w:val="21"/>
              </w:rPr>
              <w:t>拆卸、包装和安装调试设备时须对场地内的其它设备、设施有良好的保护措施</w:t>
            </w:r>
            <w:r>
              <w:rPr>
                <w:rFonts w:hint="eastAsia" w:ascii="宋体" w:hAnsi="宋体"/>
                <w:szCs w:val="21"/>
              </w:rPr>
              <w:t>，</w:t>
            </w:r>
            <w:r>
              <w:rPr>
                <w:rFonts w:ascii="宋体" w:hAnsi="宋体"/>
                <w:szCs w:val="21"/>
              </w:rPr>
              <w:t>应遵守</w:t>
            </w:r>
            <w:r>
              <w:rPr>
                <w:rFonts w:hint="eastAsia" w:ascii="宋体" w:hAnsi="宋体"/>
                <w:szCs w:val="21"/>
              </w:rPr>
              <w:t>招标人</w:t>
            </w:r>
            <w:r>
              <w:rPr>
                <w:rFonts w:ascii="宋体" w:hAnsi="宋体"/>
                <w:szCs w:val="21"/>
              </w:rPr>
              <w:t>的规章制度。</w:t>
            </w:r>
          </w:p>
        </w:tc>
        <w:tc>
          <w:tcPr>
            <w:tcW w:w="1701" w:type="dxa"/>
          </w:tcPr>
          <w:p>
            <w:pPr>
              <w:adjustRightInd w:val="0"/>
              <w:snapToGrid w:val="0"/>
              <w:spacing w:line="276" w:lineRule="auto"/>
              <w:rPr>
                <w:rFonts w:ascii="宋体" w:hAnsi="宋体"/>
                <w:szCs w:val="21"/>
              </w:rPr>
            </w:pPr>
          </w:p>
        </w:tc>
      </w:tr>
    </w:tbl>
    <w:p>
      <w:pPr>
        <w:pStyle w:val="307"/>
        <w:snapToGrid w:val="0"/>
        <w:spacing w:before="0" w:line="360" w:lineRule="auto"/>
        <w:rPr>
          <w:rFonts w:ascii="宋体" w:hAnsi="宋体"/>
          <w:bCs w:val="0"/>
          <w:szCs w:val="21"/>
        </w:rPr>
      </w:pPr>
      <w:r>
        <w:rPr>
          <w:rFonts w:hint="eastAsia" w:ascii="宋体" w:hAnsi="宋体"/>
          <w:szCs w:val="21"/>
        </w:rPr>
        <w:t>2.</w:t>
      </w:r>
      <w:r>
        <w:rPr>
          <w:rFonts w:ascii="宋体" w:hAnsi="宋体"/>
          <w:szCs w:val="21"/>
        </w:rPr>
        <w:t>2.3</w:t>
      </w:r>
      <w:r>
        <w:rPr>
          <w:rFonts w:hint="eastAsia" w:ascii="宋体" w:hAnsi="宋体"/>
          <w:szCs w:val="21"/>
        </w:rPr>
        <w:t>、安装要求</w:t>
      </w:r>
    </w:p>
    <w:p>
      <w:pPr>
        <w:adjustRightInd w:val="0"/>
        <w:snapToGrid w:val="0"/>
        <w:spacing w:line="360" w:lineRule="auto"/>
        <w:ind w:firstLine="420" w:firstLineChars="200"/>
        <w:rPr>
          <w:rFonts w:ascii="宋体" w:hAnsi="宋体"/>
          <w:szCs w:val="21"/>
        </w:rPr>
      </w:pPr>
      <w:r>
        <w:rPr>
          <w:rFonts w:hint="eastAsia" w:ascii="宋体" w:hAnsi="宋体"/>
          <w:szCs w:val="21"/>
        </w:rPr>
        <w:t>安装要求包含但不限于以下方面：</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）设备安装</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20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976"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701"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按照招标人的工艺流程和系统设备布局进行设备安装，</w:t>
            </w:r>
            <w:r>
              <w:rPr>
                <w:rFonts w:ascii="宋体" w:hAnsi="宋体"/>
                <w:szCs w:val="21"/>
              </w:rPr>
              <w:t>安装操作应符合设备原厂商的操作规范、流程和步骤</w:t>
            </w:r>
            <w:r>
              <w:rPr>
                <w:rFonts w:hint="eastAsia" w:ascii="宋体" w:hAnsi="宋体"/>
                <w:szCs w:val="21"/>
              </w:rPr>
              <w:t>，设备布局的美观。</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976" w:type="dxa"/>
          </w:tcPr>
          <w:p>
            <w:pPr>
              <w:adjustRightInd w:val="0"/>
              <w:snapToGrid w:val="0"/>
              <w:spacing w:line="276" w:lineRule="auto"/>
              <w:jc w:val="left"/>
              <w:rPr>
                <w:rFonts w:ascii="宋体" w:hAnsi="宋体"/>
                <w:szCs w:val="21"/>
              </w:rPr>
            </w:pPr>
            <w:r>
              <w:rPr>
                <w:rFonts w:hint="eastAsia" w:ascii="宋体" w:hAnsi="宋体" w:cs="Arial"/>
                <w:szCs w:val="21"/>
              </w:rPr>
              <w:t>设备安装平稳牢固。</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976" w:type="dxa"/>
          </w:tcPr>
          <w:p>
            <w:pPr>
              <w:adjustRightInd w:val="0"/>
              <w:snapToGrid w:val="0"/>
              <w:spacing w:line="276" w:lineRule="auto"/>
              <w:rPr>
                <w:rFonts w:ascii="宋体" w:hAnsi="宋体"/>
                <w:color w:val="000000"/>
                <w:szCs w:val="21"/>
              </w:rPr>
            </w:pPr>
            <w:r>
              <w:rPr>
                <w:rFonts w:hint="eastAsia" w:ascii="宋体" w:hAnsi="宋体" w:cs="Arial"/>
                <w:szCs w:val="21"/>
              </w:rPr>
              <w:t>安装螺丝必须拧紧，面板应保持在一个平面上。</w:t>
            </w:r>
          </w:p>
        </w:tc>
        <w:tc>
          <w:tcPr>
            <w:tcW w:w="1701" w:type="dxa"/>
          </w:tcPr>
          <w:p>
            <w:pPr>
              <w:adjustRightInd w:val="0"/>
              <w:snapToGrid w:val="0"/>
              <w:spacing w:line="276" w:lineRule="auto"/>
              <w:rPr>
                <w:rFonts w:ascii="宋体" w:hAnsi="宋体"/>
                <w:szCs w:val="21"/>
              </w:rPr>
            </w:pPr>
          </w:p>
        </w:tc>
      </w:tr>
    </w:tbl>
    <w:p>
      <w:pPr>
        <w:tabs>
          <w:tab w:val="left" w:pos="3869"/>
        </w:tabs>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）线缆连接</w:t>
      </w:r>
      <w:r>
        <w:rPr>
          <w:rFonts w:ascii="宋体" w:hAnsi="宋体"/>
          <w:szCs w:val="21"/>
        </w:rPr>
        <w:tab/>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20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976"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701"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由投标人工程师仔细按照线表、图纸连接设备，紧固每一个插头，确保连接正确、可靠。</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光纤按照工艺要求连接。</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招标方系统负责人进行核对。</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4</w:t>
            </w:r>
          </w:p>
        </w:tc>
        <w:tc>
          <w:tcPr>
            <w:tcW w:w="6976" w:type="dxa"/>
          </w:tcPr>
          <w:p>
            <w:pPr>
              <w:adjustRightInd w:val="0"/>
              <w:snapToGrid w:val="0"/>
              <w:spacing w:line="276" w:lineRule="auto"/>
              <w:rPr>
                <w:rFonts w:ascii="宋体" w:hAnsi="宋体"/>
                <w:szCs w:val="21"/>
              </w:rPr>
            </w:pPr>
            <w:r>
              <w:rPr>
                <w:rFonts w:hint="eastAsia" w:ascii="宋体" w:hAnsi="宋体" w:cs="Arial"/>
                <w:szCs w:val="21"/>
              </w:rPr>
              <w:t>接头与设备接口对接固定良好。</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5</w:t>
            </w:r>
          </w:p>
        </w:tc>
        <w:tc>
          <w:tcPr>
            <w:tcW w:w="6976" w:type="dxa"/>
          </w:tcPr>
          <w:p>
            <w:pPr>
              <w:adjustRightInd w:val="0"/>
              <w:snapToGrid w:val="0"/>
              <w:spacing w:line="276" w:lineRule="auto"/>
              <w:rPr>
                <w:rFonts w:ascii="宋体" w:hAnsi="宋体"/>
                <w:color w:val="000000"/>
                <w:szCs w:val="21"/>
              </w:rPr>
            </w:pPr>
            <w:r>
              <w:rPr>
                <w:rFonts w:hint="eastAsia" w:ascii="宋体" w:hAnsi="宋体" w:cs="Arial"/>
                <w:szCs w:val="21"/>
              </w:rPr>
              <w:t>保证设备接地，设备的接地线与本机柜接地铜条相连。</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6</w:t>
            </w:r>
          </w:p>
        </w:tc>
        <w:tc>
          <w:tcPr>
            <w:tcW w:w="6976" w:type="dxa"/>
          </w:tcPr>
          <w:p>
            <w:pPr>
              <w:adjustRightInd w:val="0"/>
              <w:snapToGrid w:val="0"/>
              <w:spacing w:line="276" w:lineRule="auto"/>
              <w:rPr>
                <w:rFonts w:ascii="宋体" w:hAnsi="宋体" w:cs="Arial"/>
                <w:szCs w:val="21"/>
              </w:rPr>
            </w:pPr>
            <w:r>
              <w:rPr>
                <w:rFonts w:hint="eastAsia" w:ascii="宋体" w:hAnsi="宋体"/>
                <w:szCs w:val="21"/>
              </w:rPr>
              <w:t>电源线需等系统搬迁完毕后统一插接。</w:t>
            </w:r>
          </w:p>
        </w:tc>
        <w:tc>
          <w:tcPr>
            <w:tcW w:w="1701" w:type="dxa"/>
          </w:tcPr>
          <w:p>
            <w:pPr>
              <w:adjustRightInd w:val="0"/>
              <w:snapToGrid w:val="0"/>
              <w:spacing w:line="276" w:lineRule="auto"/>
              <w:rPr>
                <w:rFonts w:ascii="宋体" w:hAnsi="宋体"/>
                <w:szCs w:val="21"/>
              </w:rPr>
            </w:pPr>
          </w:p>
        </w:tc>
      </w:tr>
    </w:tbl>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）系统电源的加载</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6028"/>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028"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510"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028" w:type="dxa"/>
          </w:tcPr>
          <w:p>
            <w:pPr>
              <w:adjustRightInd w:val="0"/>
              <w:snapToGrid w:val="0"/>
              <w:spacing w:line="276" w:lineRule="auto"/>
              <w:jc w:val="left"/>
              <w:rPr>
                <w:rFonts w:ascii="宋体" w:hAnsi="宋体"/>
                <w:szCs w:val="21"/>
              </w:rPr>
            </w:pPr>
            <w:r>
              <w:rPr>
                <w:rFonts w:hint="eastAsia" w:ascii="宋体" w:hAnsi="宋体"/>
                <w:szCs w:val="21"/>
              </w:rPr>
              <w:t>系统电源加载前应确认所有设备均为关闭状态。</w:t>
            </w:r>
          </w:p>
        </w:tc>
        <w:tc>
          <w:tcPr>
            <w:tcW w:w="1510"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028" w:type="dxa"/>
          </w:tcPr>
          <w:p>
            <w:pPr>
              <w:adjustRightInd w:val="0"/>
              <w:snapToGrid w:val="0"/>
              <w:spacing w:line="276" w:lineRule="auto"/>
              <w:jc w:val="left"/>
              <w:rPr>
                <w:rFonts w:ascii="宋体" w:hAnsi="宋体"/>
                <w:szCs w:val="21"/>
              </w:rPr>
            </w:pPr>
            <w:r>
              <w:rPr>
                <w:rFonts w:hint="eastAsia" w:ascii="宋体" w:hAnsi="宋体"/>
                <w:szCs w:val="21"/>
              </w:rPr>
              <w:t>系统电源加载前应重新确认电源的火、零、地的方向是否正确，电压是否正常。</w:t>
            </w:r>
          </w:p>
        </w:tc>
        <w:tc>
          <w:tcPr>
            <w:tcW w:w="1510"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028" w:type="dxa"/>
          </w:tcPr>
          <w:p>
            <w:pPr>
              <w:adjustRightInd w:val="0"/>
              <w:snapToGrid w:val="0"/>
              <w:spacing w:line="276" w:lineRule="auto"/>
              <w:rPr>
                <w:rFonts w:ascii="宋体" w:hAnsi="宋体"/>
                <w:szCs w:val="21"/>
              </w:rPr>
            </w:pPr>
            <w:r>
              <w:rPr>
                <w:rFonts w:hint="eastAsia" w:ascii="宋体" w:hAnsi="宋体"/>
                <w:szCs w:val="21"/>
              </w:rPr>
              <w:t>应确认所有设备是否为中国标准市电方式。</w:t>
            </w:r>
          </w:p>
        </w:tc>
        <w:tc>
          <w:tcPr>
            <w:tcW w:w="1510"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hint="eastAsia" w:ascii="宋体" w:hAnsi="宋体"/>
                <w:szCs w:val="21"/>
              </w:rPr>
              <w:t>4</w:t>
            </w:r>
          </w:p>
        </w:tc>
        <w:tc>
          <w:tcPr>
            <w:tcW w:w="6028" w:type="dxa"/>
          </w:tcPr>
          <w:p>
            <w:pPr>
              <w:adjustRightInd w:val="0"/>
              <w:snapToGrid w:val="0"/>
              <w:spacing w:line="276" w:lineRule="auto"/>
              <w:rPr>
                <w:rFonts w:ascii="宋体" w:hAnsi="宋体"/>
                <w:szCs w:val="21"/>
              </w:rPr>
            </w:pPr>
            <w:r>
              <w:rPr>
                <w:rFonts w:hint="eastAsia" w:ascii="宋体" w:hAnsi="宋体"/>
                <w:szCs w:val="21"/>
              </w:rPr>
              <w:t>在所有设备关闭的情况下加电，检查有无短路、断路现象。</w:t>
            </w:r>
          </w:p>
        </w:tc>
        <w:tc>
          <w:tcPr>
            <w:tcW w:w="1510"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hint="eastAsia" w:ascii="宋体" w:hAnsi="宋体"/>
                <w:szCs w:val="21"/>
              </w:rPr>
              <w:t>5</w:t>
            </w:r>
          </w:p>
        </w:tc>
        <w:tc>
          <w:tcPr>
            <w:tcW w:w="6028" w:type="dxa"/>
          </w:tcPr>
          <w:p>
            <w:pPr>
              <w:adjustRightInd w:val="0"/>
              <w:snapToGrid w:val="0"/>
              <w:spacing w:line="276" w:lineRule="auto"/>
              <w:rPr>
                <w:rFonts w:ascii="宋体" w:hAnsi="宋体"/>
                <w:szCs w:val="21"/>
              </w:rPr>
            </w:pPr>
            <w:r>
              <w:rPr>
                <w:rFonts w:hint="eastAsia" w:ascii="宋体" w:hAnsi="宋体"/>
                <w:szCs w:val="21"/>
              </w:rPr>
              <w:t>设备逐一加电，验证主备路，并注意观察设备的启动情况。</w:t>
            </w:r>
          </w:p>
        </w:tc>
        <w:tc>
          <w:tcPr>
            <w:tcW w:w="1510" w:type="dxa"/>
          </w:tcPr>
          <w:p>
            <w:pPr>
              <w:adjustRightInd w:val="0"/>
              <w:snapToGrid w:val="0"/>
              <w:spacing w:line="276" w:lineRule="auto"/>
              <w:rPr>
                <w:rFonts w:ascii="宋体" w:hAnsi="宋体"/>
                <w:szCs w:val="21"/>
              </w:rPr>
            </w:pPr>
          </w:p>
        </w:tc>
      </w:tr>
      <w:bookmarkEnd w:id="17"/>
      <w:bookmarkEnd w:id="18"/>
      <w:bookmarkEnd w:id="19"/>
    </w:tbl>
    <w:p>
      <w:pPr>
        <w:adjustRightInd w:val="0"/>
        <w:snapToGrid w:val="0"/>
        <w:spacing w:line="360" w:lineRule="auto"/>
        <w:rPr>
          <w:rFonts w:ascii="宋体" w:hAnsi="宋体"/>
          <w:color w:val="000000"/>
          <w:szCs w:val="21"/>
        </w:rPr>
      </w:pPr>
      <w:bookmarkStart w:id="28" w:name="_Toc69378657"/>
      <w:bookmarkStart w:id="29" w:name="_Toc502914229"/>
    </w:p>
    <w:p>
      <w:pPr>
        <w:pStyle w:val="4"/>
        <w:numPr>
          <w:ilvl w:val="0"/>
          <w:numId w:val="10"/>
        </w:numPr>
        <w:adjustRightInd w:val="0"/>
        <w:snapToGrid w:val="0"/>
        <w:spacing w:before="156" w:beforeLines="50" w:after="156" w:afterLines="50" w:line="360" w:lineRule="auto"/>
        <w:ind w:left="0" w:firstLine="0"/>
        <w:rPr>
          <w:rFonts w:ascii="宋体" w:hAnsi="宋体" w:eastAsia="宋体"/>
          <w:b/>
          <w:bCs w:val="0"/>
          <w:szCs w:val="21"/>
        </w:rPr>
      </w:pPr>
      <w:r>
        <w:rPr>
          <w:rFonts w:hint="eastAsia" w:ascii="宋体" w:hAnsi="宋体" w:eastAsia="宋体"/>
          <w:b/>
          <w:bCs w:val="0"/>
          <w:szCs w:val="21"/>
        </w:rPr>
        <w:t>施工界面与内容</w:t>
      </w:r>
    </w:p>
    <w:p>
      <w:pPr>
        <w:pStyle w:val="5"/>
        <w:numPr>
          <w:ilvl w:val="1"/>
          <w:numId w:val="15"/>
        </w:numPr>
        <w:tabs>
          <w:tab w:val="left" w:pos="360"/>
        </w:tabs>
        <w:ind w:left="0" w:firstLine="0"/>
        <w:rPr>
          <w:rFonts w:ascii="宋体" w:hAnsi="宋体"/>
          <w:szCs w:val="21"/>
        </w:rPr>
      </w:pPr>
      <w:r>
        <w:rPr>
          <w:rFonts w:hint="eastAsia" w:ascii="宋体" w:hAnsi="宋体"/>
          <w:szCs w:val="21"/>
        </w:rPr>
        <w:t>★施工分界</w:t>
      </w:r>
    </w:p>
    <w:p>
      <w:pPr>
        <w:pStyle w:val="139"/>
        <w:adjustRightInd w:val="0"/>
        <w:snapToGrid w:val="0"/>
        <w:spacing w:line="360" w:lineRule="auto"/>
        <w:ind w:left="426"/>
        <w:rPr>
          <w:rFonts w:ascii="宋体" w:hAnsi="宋体"/>
          <w:color w:val="000000"/>
          <w:szCs w:val="21"/>
        </w:rPr>
      </w:pPr>
      <w:r>
        <w:rPr>
          <w:rFonts w:hint="eastAsia" w:ascii="宋体" w:hAnsi="宋体"/>
          <w:color w:val="000000"/>
          <w:szCs w:val="21"/>
        </w:rPr>
        <w:t>投标人负责完成：现机房所有业务梳理、涉及设备断电、拆除；新机房设备上架、安装、布线、布纤（至出局和客户侧ODF）、集成、调试，设备加电正常工作直至业务恢复正常。整个搬迁工作须</w:t>
      </w:r>
      <w:r>
        <w:rPr>
          <w:rFonts w:hint="eastAsia" w:asciiTheme="minorEastAsia" w:hAnsiTheme="minorEastAsia"/>
          <w:color w:val="000000"/>
          <w:szCs w:val="21"/>
        </w:rPr>
        <w:t>满足《项目总体要求》和《技术规范与施工工艺要求》。</w:t>
      </w:r>
    </w:p>
    <w:p>
      <w:pPr>
        <w:adjustRightInd w:val="0"/>
        <w:snapToGrid w:val="0"/>
        <w:spacing w:line="360" w:lineRule="auto"/>
        <w:ind w:left="424" w:leftChars="202" w:firstLine="420" w:firstLineChars="200"/>
        <w:rPr>
          <w:rFonts w:ascii="宋体" w:hAnsi="宋体"/>
          <w:color w:val="000000"/>
          <w:szCs w:val="21"/>
        </w:rPr>
      </w:pPr>
      <w:r>
        <w:rPr>
          <w:rFonts w:hint="eastAsia" w:ascii="宋体" w:hAnsi="宋体"/>
          <w:color w:val="000000"/>
          <w:szCs w:val="21"/>
        </w:rPr>
        <w:t>系统改造所涉及系统的数据备份、网管调测等由投标人完成。</w:t>
      </w:r>
    </w:p>
    <w:p>
      <w:pPr>
        <w:pStyle w:val="139"/>
        <w:adjustRightInd w:val="0"/>
        <w:snapToGrid w:val="0"/>
        <w:spacing w:line="360" w:lineRule="auto"/>
        <w:ind w:left="426"/>
        <w:rPr>
          <w:rFonts w:ascii="宋体" w:hAnsi="宋体"/>
          <w:color w:val="000000"/>
          <w:szCs w:val="21"/>
        </w:rPr>
      </w:pPr>
      <w:r>
        <w:rPr>
          <w:rFonts w:hint="eastAsia" w:ascii="宋体" w:hAnsi="宋体"/>
          <w:color w:val="000000"/>
          <w:szCs w:val="21"/>
        </w:rPr>
        <w:t>招标人负责系统运行状态确认、信号确认、上线，业务监测、项目验收等工作,招标人负责提供通信电源的交流输入电缆，出入局光缆成端，设备由老机房至新机房上下楼、运输。</w:t>
      </w:r>
    </w:p>
    <w:p>
      <w:pPr>
        <w:pStyle w:val="5"/>
        <w:numPr>
          <w:ilvl w:val="1"/>
          <w:numId w:val="15"/>
        </w:numPr>
        <w:rPr>
          <w:rFonts w:ascii="宋体" w:hAnsi="宋体"/>
          <w:szCs w:val="21"/>
        </w:rPr>
      </w:pPr>
      <w:r>
        <w:rPr>
          <w:rFonts w:hint="eastAsia" w:ascii="宋体" w:hAnsi="宋体"/>
          <w:szCs w:val="21"/>
        </w:rPr>
        <w:t>施工范围</w:t>
      </w:r>
    </w:p>
    <w:p>
      <w:pPr>
        <w:pStyle w:val="34"/>
        <w:spacing w:line="360" w:lineRule="auto"/>
        <w:ind w:firstLine="420"/>
        <w:rPr>
          <w:rFonts w:ascii="宋体" w:eastAsia="宋体"/>
          <w:sz w:val="21"/>
          <w:szCs w:val="21"/>
        </w:rPr>
      </w:pPr>
      <w:r>
        <w:rPr>
          <w:rFonts w:hint="eastAsia" w:ascii="宋体" w:eastAsia="宋体"/>
          <w:sz w:val="21"/>
          <w:szCs w:val="21"/>
        </w:rPr>
        <w:t>本项施工范围主要包括：省市县传输宿迁节点、电源柜、电池、光倒换、O</w:t>
      </w:r>
      <w:r>
        <w:rPr>
          <w:rFonts w:ascii="宋体" w:eastAsia="宋体"/>
          <w:sz w:val="21"/>
          <w:szCs w:val="21"/>
        </w:rPr>
        <w:t>DF</w:t>
      </w:r>
      <w:r>
        <w:rPr>
          <w:rFonts w:hint="eastAsia" w:ascii="宋体" w:eastAsia="宋体"/>
          <w:sz w:val="21"/>
          <w:szCs w:val="21"/>
        </w:rPr>
        <w:t>，搬迁后部署在宿迁新机房。</w:t>
      </w:r>
    </w:p>
    <w:p>
      <w:pPr>
        <w:pStyle w:val="89"/>
        <w:numPr>
          <w:ilvl w:val="0"/>
          <w:numId w:val="16"/>
        </w:numPr>
        <w:spacing w:line="360" w:lineRule="auto"/>
        <w:ind w:firstLineChars="0"/>
        <w:rPr>
          <w:rFonts w:ascii="宋体" w:hAnsi="宋体" w:eastAsia="宋体"/>
          <w:sz w:val="21"/>
          <w:szCs w:val="21"/>
        </w:rPr>
      </w:pPr>
      <w:r>
        <w:rPr>
          <w:rFonts w:hint="eastAsia" w:ascii="宋体" w:hAnsi="宋体" w:eastAsia="宋体"/>
          <w:bCs/>
          <w:sz w:val="21"/>
          <w:szCs w:val="21"/>
        </w:rPr>
        <w:t>施工方提供所有工具材料、测量统计，完成综合布线，完成设备下电、拆卸、运输、安装、调试、启用，直至业务完成上线，交付使用。</w:t>
      </w:r>
    </w:p>
    <w:p>
      <w:pPr>
        <w:pStyle w:val="89"/>
        <w:numPr>
          <w:ilvl w:val="0"/>
          <w:numId w:val="16"/>
        </w:numPr>
        <w:spacing w:line="360" w:lineRule="auto"/>
        <w:ind w:firstLineChars="0"/>
        <w:rPr>
          <w:rFonts w:ascii="宋体" w:hAnsi="宋体" w:eastAsia="宋体"/>
          <w:sz w:val="21"/>
          <w:szCs w:val="21"/>
        </w:rPr>
      </w:pPr>
      <w:r>
        <w:rPr>
          <w:rFonts w:hint="eastAsia" w:ascii="宋体" w:hAnsi="宋体" w:eastAsia="宋体"/>
          <w:bCs/>
          <w:sz w:val="21"/>
          <w:szCs w:val="21"/>
        </w:rPr>
        <w:t>设备划分如下：</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980"/>
        <w:gridCol w:w="16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序号</w:t>
            </w:r>
          </w:p>
        </w:tc>
        <w:tc>
          <w:tcPr>
            <w:tcW w:w="198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需搬迁设备</w:t>
            </w:r>
          </w:p>
        </w:tc>
        <w:tc>
          <w:tcPr>
            <w:tcW w:w="162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数量</w:t>
            </w:r>
          </w:p>
        </w:tc>
        <w:tc>
          <w:tcPr>
            <w:tcW w:w="360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省干一平面</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4</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徐州方向1个机柜，淮安方向1个机柜，扩展2个机柜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省干二平面</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3</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徐州方向</w:t>
            </w:r>
            <w:r>
              <w:rPr>
                <w:rFonts w:ascii="宋体" w:hAnsi="宋体" w:cs="Arial"/>
                <w:color w:val="000000"/>
                <w:kern w:val="0"/>
                <w:sz w:val="20"/>
                <w:szCs w:val="20"/>
              </w:rPr>
              <w:t>1</w:t>
            </w:r>
            <w:r>
              <w:rPr>
                <w:rFonts w:hint="eastAsia" w:ascii="宋体" w:hAnsi="宋体" w:cs="Arial"/>
                <w:color w:val="000000"/>
                <w:kern w:val="0"/>
                <w:sz w:val="20"/>
                <w:szCs w:val="20"/>
              </w:rPr>
              <w:t>个机柜，淮安方向1个机柜，电层</w:t>
            </w:r>
            <w:r>
              <w:rPr>
                <w:rFonts w:ascii="宋体" w:hAnsi="宋体" w:cs="Arial"/>
                <w:color w:val="000000"/>
                <w:kern w:val="0"/>
                <w:sz w:val="20"/>
                <w:szCs w:val="20"/>
              </w:rPr>
              <w:t>1</w:t>
            </w:r>
            <w:r>
              <w:rPr>
                <w:rFonts w:hint="eastAsia" w:ascii="宋体" w:hAnsi="宋体" w:cs="Arial"/>
                <w:color w:val="000000"/>
                <w:kern w:val="0"/>
                <w:sz w:val="20"/>
                <w:szCs w:val="20"/>
              </w:rPr>
              <w:t>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省干三平面</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3</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徐州方向</w:t>
            </w:r>
            <w:r>
              <w:rPr>
                <w:rFonts w:ascii="宋体" w:hAnsi="宋体" w:cs="Arial"/>
                <w:color w:val="000000"/>
                <w:kern w:val="0"/>
                <w:sz w:val="20"/>
                <w:szCs w:val="20"/>
              </w:rPr>
              <w:t>1</w:t>
            </w:r>
            <w:r>
              <w:rPr>
                <w:rFonts w:hint="eastAsia" w:ascii="宋体" w:hAnsi="宋体" w:cs="Arial"/>
                <w:color w:val="000000"/>
                <w:kern w:val="0"/>
                <w:sz w:val="20"/>
                <w:szCs w:val="20"/>
              </w:rPr>
              <w:t>个机柜，淮安方向1个机柜，电层</w:t>
            </w:r>
            <w:r>
              <w:rPr>
                <w:rFonts w:ascii="宋体" w:hAnsi="宋体" w:cs="Arial"/>
                <w:color w:val="000000"/>
                <w:kern w:val="0"/>
                <w:sz w:val="20"/>
                <w:szCs w:val="20"/>
              </w:rPr>
              <w:t>1</w:t>
            </w:r>
            <w:r>
              <w:rPr>
                <w:rFonts w:hint="eastAsia" w:ascii="宋体" w:hAnsi="宋体" w:cs="Arial"/>
                <w:color w:val="000000"/>
                <w:kern w:val="0"/>
                <w:sz w:val="20"/>
                <w:szCs w:val="20"/>
              </w:rPr>
              <w:t>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市干一平面</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4</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沭阳方向1个机柜，泗阳方向1个机柜，泗洪西方向1个机柜，泗洪东方向</w:t>
            </w:r>
            <w:r>
              <w:rPr>
                <w:rFonts w:ascii="宋体" w:hAnsi="宋体" w:cs="Arial"/>
                <w:color w:val="000000"/>
                <w:kern w:val="0"/>
                <w:sz w:val="20"/>
                <w:szCs w:val="20"/>
              </w:rPr>
              <w:t>1</w:t>
            </w:r>
            <w:r>
              <w:rPr>
                <w:rFonts w:hint="eastAsia" w:ascii="宋体" w:hAnsi="宋体" w:cs="Arial"/>
                <w:color w:val="000000"/>
                <w:kern w:val="0"/>
                <w:sz w:val="20"/>
                <w:szCs w:val="20"/>
              </w:rPr>
              <w:t>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省干S</w:t>
            </w:r>
            <w:r>
              <w:rPr>
                <w:rFonts w:ascii="宋体" w:hAnsi="宋体" w:cs="Arial"/>
                <w:color w:val="000000"/>
                <w:kern w:val="0"/>
                <w:sz w:val="20"/>
                <w:szCs w:val="20"/>
              </w:rPr>
              <w:t>DH</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2</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省干M</w:t>
            </w:r>
            <w:r>
              <w:rPr>
                <w:rFonts w:ascii="宋体" w:hAnsi="宋体" w:cs="Arial"/>
                <w:color w:val="000000"/>
                <w:kern w:val="0"/>
                <w:sz w:val="20"/>
                <w:szCs w:val="20"/>
              </w:rPr>
              <w:t>STP 1</w:t>
            </w:r>
            <w:r>
              <w:rPr>
                <w:rFonts w:hint="eastAsia" w:ascii="宋体" w:hAnsi="宋体" w:cs="Arial"/>
                <w:color w:val="000000"/>
                <w:kern w:val="0"/>
                <w:sz w:val="20"/>
                <w:szCs w:val="20"/>
              </w:rPr>
              <w:t>个机柜，省干3</w:t>
            </w:r>
            <w:r>
              <w:rPr>
                <w:rFonts w:ascii="宋体" w:hAnsi="宋体" w:cs="Arial"/>
                <w:color w:val="000000"/>
                <w:kern w:val="0"/>
                <w:sz w:val="20"/>
                <w:szCs w:val="20"/>
              </w:rPr>
              <w:t>500 1</w:t>
            </w:r>
            <w:r>
              <w:rPr>
                <w:rFonts w:hint="eastAsia" w:ascii="宋体" w:hAnsi="宋体" w:cs="Arial"/>
                <w:color w:val="000000"/>
                <w:kern w:val="0"/>
                <w:sz w:val="20"/>
                <w:szCs w:val="20"/>
              </w:rPr>
              <w:t>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市干S</w:t>
            </w:r>
            <w:r>
              <w:rPr>
                <w:rFonts w:ascii="宋体" w:hAnsi="宋体" w:cs="Arial"/>
                <w:color w:val="000000"/>
                <w:kern w:val="0"/>
                <w:sz w:val="20"/>
                <w:szCs w:val="20"/>
              </w:rPr>
              <w:t>DH</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5</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市干O</w:t>
            </w:r>
            <w:r>
              <w:rPr>
                <w:rFonts w:ascii="宋体" w:hAnsi="宋体" w:cs="Arial"/>
                <w:color w:val="000000"/>
                <w:kern w:val="0"/>
                <w:sz w:val="20"/>
                <w:szCs w:val="20"/>
              </w:rPr>
              <w:t>SN</w:t>
            </w:r>
            <w:r>
              <w:rPr>
                <w:rFonts w:hint="eastAsia" w:ascii="宋体" w:hAnsi="宋体" w:cs="Arial"/>
                <w:color w:val="000000"/>
                <w:kern w:val="0"/>
                <w:sz w:val="20"/>
                <w:szCs w:val="20"/>
              </w:rPr>
              <w:t>7</w:t>
            </w:r>
            <w:r>
              <w:rPr>
                <w:rFonts w:ascii="宋体" w:hAnsi="宋体" w:cs="Arial"/>
                <w:color w:val="000000"/>
                <w:kern w:val="0"/>
                <w:sz w:val="20"/>
                <w:szCs w:val="20"/>
              </w:rPr>
              <w:t>500 1</w:t>
            </w:r>
            <w:r>
              <w:rPr>
                <w:rFonts w:hint="eastAsia" w:ascii="宋体" w:hAnsi="宋体" w:cs="Arial"/>
                <w:color w:val="000000"/>
                <w:kern w:val="0"/>
                <w:sz w:val="20"/>
                <w:szCs w:val="20"/>
              </w:rPr>
              <w:t>个机柜、O</w:t>
            </w:r>
            <w:r>
              <w:rPr>
                <w:rFonts w:ascii="宋体" w:hAnsi="宋体" w:cs="Arial"/>
                <w:color w:val="000000"/>
                <w:kern w:val="0"/>
                <w:sz w:val="20"/>
                <w:szCs w:val="20"/>
              </w:rPr>
              <w:t>SN3500 1</w:t>
            </w:r>
            <w:r>
              <w:rPr>
                <w:rFonts w:hint="eastAsia" w:ascii="宋体" w:hAnsi="宋体" w:cs="Arial"/>
                <w:color w:val="000000"/>
                <w:kern w:val="0"/>
                <w:sz w:val="20"/>
                <w:szCs w:val="20"/>
              </w:rPr>
              <w:t>个机柜，O</w:t>
            </w:r>
            <w:r>
              <w:rPr>
                <w:rFonts w:ascii="宋体" w:hAnsi="宋体" w:cs="Arial"/>
                <w:color w:val="000000"/>
                <w:kern w:val="0"/>
                <w:sz w:val="20"/>
                <w:szCs w:val="20"/>
              </w:rPr>
              <w:t>SN1800V 1</w:t>
            </w:r>
            <w:r>
              <w:rPr>
                <w:rFonts w:hint="eastAsia" w:ascii="宋体" w:hAnsi="宋体" w:cs="Arial"/>
                <w:color w:val="000000"/>
                <w:kern w:val="0"/>
                <w:sz w:val="20"/>
                <w:szCs w:val="20"/>
              </w:rPr>
              <w:t>个机柜，O</w:t>
            </w:r>
            <w:r>
              <w:rPr>
                <w:rFonts w:ascii="宋体" w:hAnsi="宋体" w:cs="Arial"/>
                <w:color w:val="000000"/>
                <w:kern w:val="0"/>
                <w:sz w:val="20"/>
                <w:szCs w:val="20"/>
              </w:rPr>
              <w:t>SN7500</w:t>
            </w:r>
            <w:r>
              <w:rPr>
                <w:rFonts w:hint="eastAsia" w:ascii="宋体" w:hAnsi="宋体" w:cs="宋体"/>
                <w:color w:val="000000"/>
                <w:kern w:val="0"/>
                <w:sz w:val="22"/>
                <w:szCs w:val="22"/>
                <w:lang w:bidi="ar"/>
              </w:rPr>
              <w:t xml:space="preserve"> II</w:t>
            </w:r>
            <w:r>
              <w:rPr>
                <w:rFonts w:ascii="宋体" w:hAnsi="宋体" w:cs="宋体"/>
                <w:color w:val="000000"/>
                <w:kern w:val="0"/>
                <w:sz w:val="22"/>
                <w:szCs w:val="22"/>
                <w:lang w:bidi="ar"/>
              </w:rPr>
              <w:t xml:space="preserve"> 1</w:t>
            </w:r>
            <w:r>
              <w:rPr>
                <w:rFonts w:hint="eastAsia" w:ascii="宋体" w:hAnsi="宋体" w:cs="宋体"/>
                <w:color w:val="000000"/>
                <w:kern w:val="0"/>
                <w:sz w:val="22"/>
                <w:szCs w:val="22"/>
                <w:lang w:bidi="ar"/>
              </w:rPr>
              <w:t>个机柜，扩展O</w:t>
            </w:r>
            <w:r>
              <w:rPr>
                <w:rFonts w:ascii="宋体" w:hAnsi="宋体" w:cs="宋体"/>
                <w:color w:val="000000"/>
                <w:kern w:val="0"/>
                <w:sz w:val="22"/>
                <w:szCs w:val="22"/>
                <w:lang w:bidi="ar"/>
              </w:rPr>
              <w:t>SN3500 1</w:t>
            </w:r>
            <w:r>
              <w:rPr>
                <w:rFonts w:hint="eastAsia" w:ascii="宋体" w:hAnsi="宋体" w:cs="宋体"/>
                <w:color w:val="000000"/>
                <w:kern w:val="0"/>
                <w:sz w:val="22"/>
                <w:szCs w:val="22"/>
                <w:lang w:bidi="ar"/>
              </w:rPr>
              <w:t>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7</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O</w:t>
            </w:r>
            <w:r>
              <w:rPr>
                <w:rFonts w:ascii="宋体" w:hAnsi="宋体" w:cs="Arial"/>
                <w:color w:val="000000"/>
                <w:kern w:val="0"/>
                <w:sz w:val="20"/>
                <w:szCs w:val="20"/>
              </w:rPr>
              <w:t>DF</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4</w:t>
            </w:r>
            <w:r>
              <w:rPr>
                <w:rFonts w:hint="eastAsia" w:ascii="宋体" w:hAnsi="宋体" w:cs="Arial"/>
                <w:color w:val="000000"/>
                <w:kern w:val="0"/>
                <w:sz w:val="20"/>
                <w:szCs w:val="20"/>
              </w:rPr>
              <w:t>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省干二平面1个机柜，市县一平面1个机柜，市县二平面1个机柜，线路侧1个机柜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8</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光倒换</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3台</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省干2台，市县1台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通信电源</w:t>
            </w:r>
          </w:p>
        </w:tc>
        <w:tc>
          <w:tcPr>
            <w:tcW w:w="1620" w:type="dxa"/>
            <w:vAlign w:val="center"/>
          </w:tcPr>
          <w:p>
            <w:pPr>
              <w:widowControl/>
              <w:jc w:val="center"/>
              <w:rPr>
                <w:rFonts w:ascii="宋体" w:hAnsi="宋体" w:cs="Arial"/>
                <w:color w:val="000000"/>
                <w:kern w:val="0"/>
                <w:sz w:val="20"/>
                <w:szCs w:val="20"/>
              </w:rPr>
            </w:pPr>
            <w:r>
              <w:rPr>
                <w:rFonts w:ascii="宋体" w:hAnsi="宋体" w:cs="Arial"/>
                <w:color w:val="000000"/>
                <w:kern w:val="0"/>
                <w:sz w:val="20"/>
                <w:szCs w:val="20"/>
              </w:rPr>
              <w:t>4</w:t>
            </w:r>
            <w:r>
              <w:rPr>
                <w:rFonts w:hint="eastAsia" w:ascii="宋体" w:hAnsi="宋体" w:cs="Arial"/>
                <w:color w:val="000000"/>
                <w:kern w:val="0"/>
                <w:sz w:val="20"/>
                <w:szCs w:val="20"/>
              </w:rPr>
              <w:t>台</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中恒电源4台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r>
              <w:rPr>
                <w:rFonts w:ascii="宋体" w:hAnsi="宋体" w:cs="Arial"/>
                <w:color w:val="000000"/>
                <w:kern w:val="0"/>
                <w:sz w:val="20"/>
                <w:szCs w:val="20"/>
              </w:rPr>
              <w:t>0</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列头柜</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3台</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中恒列头柜3台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r>
              <w:rPr>
                <w:rFonts w:ascii="宋体" w:hAnsi="宋体" w:cs="Arial"/>
                <w:color w:val="000000"/>
                <w:kern w:val="0"/>
                <w:sz w:val="20"/>
                <w:szCs w:val="20"/>
              </w:rPr>
              <w:t>1</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电池</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9</w:t>
            </w:r>
            <w:r>
              <w:rPr>
                <w:rFonts w:ascii="宋体" w:hAnsi="宋体" w:cs="Arial"/>
                <w:color w:val="000000"/>
                <w:kern w:val="0"/>
                <w:sz w:val="20"/>
                <w:szCs w:val="20"/>
              </w:rPr>
              <w:t>6</w:t>
            </w:r>
            <w:r>
              <w:rPr>
                <w:rFonts w:hint="eastAsia" w:ascii="宋体" w:hAnsi="宋体" w:cs="Arial"/>
                <w:color w:val="000000"/>
                <w:kern w:val="0"/>
                <w:sz w:val="20"/>
                <w:szCs w:val="20"/>
              </w:rPr>
              <w:t>节</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r>
              <w:rPr>
                <w:rFonts w:ascii="宋体" w:hAnsi="宋体" w:cs="Arial"/>
                <w:color w:val="000000"/>
                <w:kern w:val="0"/>
                <w:sz w:val="20"/>
                <w:szCs w:val="20"/>
              </w:rPr>
              <w:t>2</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网管服务器</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2台</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U</w:t>
            </w:r>
            <w:r>
              <w:rPr>
                <w:rFonts w:ascii="宋体" w:hAnsi="宋体" w:cs="Arial"/>
                <w:color w:val="000000"/>
                <w:kern w:val="0"/>
                <w:sz w:val="20"/>
                <w:szCs w:val="20"/>
              </w:rPr>
              <w:t>2000 1</w:t>
            </w:r>
            <w:r>
              <w:rPr>
                <w:rFonts w:hint="eastAsia" w:ascii="宋体" w:hAnsi="宋体" w:cs="Arial"/>
                <w:color w:val="000000"/>
                <w:kern w:val="0"/>
                <w:sz w:val="20"/>
                <w:szCs w:val="20"/>
              </w:rPr>
              <w:t>台，N</w:t>
            </w:r>
            <w:r>
              <w:rPr>
                <w:rFonts w:ascii="宋体" w:hAnsi="宋体" w:cs="Arial"/>
                <w:color w:val="000000"/>
                <w:kern w:val="0"/>
                <w:sz w:val="20"/>
                <w:szCs w:val="20"/>
              </w:rPr>
              <w:t>CE 1</w:t>
            </w:r>
            <w:r>
              <w:rPr>
                <w:rFonts w:hint="eastAsia" w:ascii="宋体" w:hAnsi="宋体" w:cs="Arial"/>
                <w:color w:val="000000"/>
                <w:kern w:val="0"/>
                <w:sz w:val="20"/>
                <w:szCs w:val="2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r>
              <w:rPr>
                <w:rFonts w:ascii="宋体" w:hAnsi="宋体" w:cs="Arial"/>
                <w:color w:val="000000"/>
                <w:kern w:val="0"/>
                <w:sz w:val="20"/>
                <w:szCs w:val="20"/>
              </w:rPr>
              <w:t>3</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交换机</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3台</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r>
              <w:rPr>
                <w:rFonts w:ascii="宋体" w:hAnsi="宋体" w:cs="Arial"/>
                <w:color w:val="000000"/>
                <w:kern w:val="0"/>
                <w:sz w:val="20"/>
                <w:szCs w:val="20"/>
              </w:rPr>
              <w:t>4</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省干P</w:t>
            </w:r>
            <w:r>
              <w:rPr>
                <w:rFonts w:ascii="宋体" w:hAnsi="宋体" w:cs="Arial"/>
                <w:color w:val="000000"/>
                <w:kern w:val="0"/>
                <w:sz w:val="20"/>
                <w:szCs w:val="20"/>
              </w:rPr>
              <w:t>TN</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1个机柜</w:t>
            </w:r>
          </w:p>
        </w:tc>
        <w:tc>
          <w:tcPr>
            <w:tcW w:w="3600" w:type="dxa"/>
            <w:vAlign w:val="center"/>
          </w:tcPr>
          <w:p>
            <w:pPr>
              <w:widowControl/>
              <w:jc w:val="center"/>
              <w:rPr>
                <w:rFonts w:ascii="宋体" w:hAnsi="宋体" w:cs="Arial"/>
                <w:color w:val="000000"/>
                <w:kern w:val="0"/>
                <w:sz w:val="20"/>
                <w:szCs w:val="20"/>
              </w:rPr>
            </w:pPr>
          </w:p>
        </w:tc>
      </w:tr>
    </w:tbl>
    <w:p>
      <w:pPr>
        <w:pStyle w:val="89"/>
        <w:spacing w:line="360" w:lineRule="auto"/>
        <w:ind w:left="840" w:firstLine="0" w:firstLineChars="0"/>
        <w:rPr>
          <w:rFonts w:ascii="宋体" w:hAnsi="宋体" w:eastAsia="宋体"/>
          <w:sz w:val="21"/>
          <w:szCs w:val="21"/>
        </w:rPr>
      </w:pPr>
    </w:p>
    <w:p>
      <w:pPr>
        <w:pStyle w:val="163"/>
        <w:rPr>
          <w:rFonts w:ascii="黑体" w:hAnsi="黑体" w:eastAsia="黑体"/>
          <w:szCs w:val="28"/>
        </w:rPr>
      </w:pPr>
      <w:r>
        <w:rPr>
          <w:rFonts w:ascii="黑体" w:hAnsi="黑体" w:eastAsia="黑体"/>
          <w:sz w:val="28"/>
          <w:szCs w:val="28"/>
        </w:rPr>
        <w:t>3.3</w:t>
      </w:r>
      <w:r>
        <w:rPr>
          <w:rFonts w:hint="eastAsia" w:ascii="黑体" w:hAnsi="黑体" w:eastAsia="黑体"/>
          <w:sz w:val="28"/>
          <w:szCs w:val="28"/>
        </w:rPr>
        <w:t>、施工内容</w:t>
      </w:r>
    </w:p>
    <w:p>
      <w:pPr>
        <w:pStyle w:val="34"/>
        <w:spacing w:line="360" w:lineRule="auto"/>
        <w:ind w:left="420"/>
      </w:pPr>
      <w:r>
        <w:rPr>
          <w:rFonts w:hint="eastAsia"/>
        </w:rPr>
        <w:t>本项目为交钥匙工程，包括但不限于以下施工内容：</w:t>
      </w:r>
    </w:p>
    <w:p>
      <w:pPr>
        <w:pStyle w:val="89"/>
        <w:numPr>
          <w:ilvl w:val="0"/>
          <w:numId w:val="17"/>
        </w:numPr>
        <w:spacing w:line="360" w:lineRule="auto"/>
        <w:ind w:firstLineChars="0"/>
        <w:rPr>
          <w:rFonts w:ascii="宋体" w:hAnsi="宋体" w:eastAsia="宋体"/>
          <w:bCs/>
          <w:sz w:val="21"/>
          <w:szCs w:val="21"/>
        </w:rPr>
      </w:pPr>
      <w:r>
        <w:rPr>
          <w:rFonts w:hint="eastAsia" w:ascii="宋体" w:eastAsia="宋体"/>
          <w:sz w:val="21"/>
          <w:szCs w:val="21"/>
        </w:rPr>
        <w:t>将省市县波分宿迁节点、省市县</w:t>
      </w:r>
      <w:r>
        <w:rPr>
          <w:rFonts w:ascii="宋体" w:eastAsia="宋体"/>
          <w:sz w:val="21"/>
          <w:szCs w:val="21"/>
        </w:rPr>
        <w:t>SDH</w:t>
      </w:r>
      <w:r>
        <w:rPr>
          <w:rFonts w:hint="eastAsia" w:ascii="宋体" w:eastAsia="宋体"/>
          <w:sz w:val="21"/>
          <w:szCs w:val="21"/>
        </w:rPr>
        <w:t>宿迁节点、电源柜、电池、光倒换、O</w:t>
      </w:r>
      <w:r>
        <w:rPr>
          <w:rFonts w:ascii="宋体" w:eastAsia="宋体"/>
          <w:sz w:val="21"/>
          <w:szCs w:val="21"/>
        </w:rPr>
        <w:t>DF</w:t>
      </w:r>
      <w:r>
        <w:rPr>
          <w:rFonts w:hint="eastAsia" w:ascii="宋体" w:eastAsia="宋体"/>
          <w:sz w:val="21"/>
          <w:szCs w:val="21"/>
        </w:rPr>
        <w:t>等设备由宿迁老机房搬迁部署在宿迁新机房。</w:t>
      </w:r>
    </w:p>
    <w:p>
      <w:pPr>
        <w:pStyle w:val="89"/>
        <w:numPr>
          <w:ilvl w:val="0"/>
          <w:numId w:val="17"/>
        </w:numPr>
        <w:spacing w:line="360" w:lineRule="auto"/>
        <w:ind w:firstLineChars="0"/>
        <w:rPr>
          <w:rFonts w:ascii="宋体" w:hAnsi="宋体" w:eastAsia="宋体"/>
          <w:bCs/>
          <w:sz w:val="21"/>
          <w:szCs w:val="21"/>
        </w:rPr>
      </w:pPr>
      <w:r>
        <w:rPr>
          <w:rFonts w:hint="eastAsia" w:ascii="宋体" w:hAnsi="宋体" w:eastAsia="宋体"/>
          <w:bCs/>
          <w:sz w:val="21"/>
          <w:szCs w:val="21"/>
        </w:rPr>
        <w:t>布线和软调</w:t>
      </w:r>
    </w:p>
    <w:p>
      <w:pPr>
        <w:pStyle w:val="89"/>
        <w:numPr>
          <w:ilvl w:val="1"/>
          <w:numId w:val="18"/>
        </w:numPr>
        <w:spacing w:line="360" w:lineRule="auto"/>
        <w:ind w:left="1214" w:firstLineChars="0"/>
        <w:rPr>
          <w:rFonts w:ascii="宋体" w:hAnsi="宋体" w:eastAsia="宋体"/>
          <w:bCs/>
          <w:sz w:val="21"/>
          <w:szCs w:val="21"/>
        </w:rPr>
      </w:pPr>
      <w:r>
        <w:rPr>
          <w:rFonts w:hint="eastAsia" w:ascii="宋体" w:hAnsi="宋体" w:eastAsia="宋体"/>
          <w:bCs/>
          <w:sz w:val="21"/>
          <w:szCs w:val="21"/>
        </w:rPr>
        <w:t>施工方按照搬迁方案，购买设备辅材，运输到指定位置，制作线缆和接头，提前布放光纤、网线、电源线等。</w:t>
      </w:r>
    </w:p>
    <w:p>
      <w:pPr>
        <w:pStyle w:val="89"/>
        <w:numPr>
          <w:ilvl w:val="1"/>
          <w:numId w:val="18"/>
        </w:numPr>
        <w:spacing w:line="360" w:lineRule="auto"/>
        <w:ind w:left="1214" w:firstLineChars="0"/>
        <w:rPr>
          <w:rFonts w:ascii="宋体" w:hAnsi="宋体" w:eastAsia="宋体"/>
          <w:bCs/>
          <w:sz w:val="21"/>
          <w:szCs w:val="21"/>
        </w:rPr>
      </w:pPr>
      <w:r>
        <w:rPr>
          <w:rFonts w:hint="eastAsia" w:ascii="宋体" w:hAnsi="宋体" w:eastAsia="宋体"/>
          <w:bCs/>
          <w:sz w:val="21"/>
          <w:szCs w:val="21"/>
        </w:rPr>
        <w:t>设备搬迁前，做好数据备份、上下游和本站站光功率值记录等工作。</w:t>
      </w:r>
      <w:r>
        <w:rPr>
          <w:rFonts w:ascii="宋体" w:hAnsi="宋体" w:eastAsia="宋体"/>
          <w:bCs/>
          <w:sz w:val="21"/>
          <w:szCs w:val="21"/>
        </w:rPr>
        <w:t xml:space="preserve"> </w:t>
      </w:r>
    </w:p>
    <w:p>
      <w:pPr>
        <w:pStyle w:val="89"/>
        <w:numPr>
          <w:ilvl w:val="1"/>
          <w:numId w:val="18"/>
        </w:numPr>
        <w:spacing w:line="360" w:lineRule="auto"/>
        <w:ind w:left="1214" w:firstLineChars="0"/>
        <w:rPr>
          <w:rFonts w:ascii="宋体" w:hAnsi="宋体" w:eastAsia="宋体"/>
          <w:bCs/>
          <w:sz w:val="21"/>
          <w:szCs w:val="21"/>
        </w:rPr>
      </w:pPr>
      <w:r>
        <w:rPr>
          <w:rFonts w:hint="eastAsia" w:ascii="宋体" w:hAnsi="宋体" w:eastAsia="宋体"/>
          <w:bCs/>
          <w:sz w:val="21"/>
          <w:szCs w:val="21"/>
        </w:rPr>
        <w:t>设备搬迁后，施工方按要求安装设备，连接线缆（网线、光纤、电源线等），配合进行跳线等；完成系统调测，包括业务通道状态、光功率、平坦度等。</w:t>
      </w:r>
    </w:p>
    <w:p>
      <w:pPr>
        <w:pStyle w:val="89"/>
        <w:numPr>
          <w:ilvl w:val="1"/>
          <w:numId w:val="18"/>
        </w:numPr>
        <w:spacing w:line="360" w:lineRule="auto"/>
        <w:ind w:left="1214" w:firstLineChars="0"/>
        <w:rPr>
          <w:rFonts w:ascii="宋体" w:hAnsi="宋体" w:eastAsia="宋体"/>
          <w:bCs/>
          <w:sz w:val="21"/>
          <w:szCs w:val="21"/>
        </w:rPr>
      </w:pPr>
      <w:r>
        <w:rPr>
          <w:rFonts w:hint="eastAsia" w:ascii="宋体" w:hAnsi="宋体" w:eastAsia="宋体"/>
          <w:bCs/>
          <w:sz w:val="21"/>
          <w:szCs w:val="21"/>
        </w:rPr>
        <w:t>施工方按照施工工艺要求进行施工，所有尾纤必须测试符合要求后使用，如有问题应及时解决，制作临时标签和永久标签，绑扎线缆整齐美观。</w:t>
      </w:r>
    </w:p>
    <w:p>
      <w:pPr>
        <w:pStyle w:val="89"/>
        <w:numPr>
          <w:ilvl w:val="0"/>
          <w:numId w:val="17"/>
        </w:numPr>
        <w:spacing w:line="360" w:lineRule="auto"/>
        <w:ind w:firstLineChars="0"/>
        <w:rPr>
          <w:rFonts w:ascii="宋体" w:hAnsi="宋体" w:eastAsia="宋体"/>
          <w:bCs/>
          <w:sz w:val="21"/>
          <w:szCs w:val="21"/>
        </w:rPr>
      </w:pPr>
      <w:r>
        <w:rPr>
          <w:rFonts w:hint="eastAsia" w:ascii="宋体" w:hAnsi="宋体" w:eastAsia="宋体"/>
          <w:bCs/>
          <w:sz w:val="21"/>
          <w:szCs w:val="21"/>
        </w:rPr>
        <w:t>应急预案和演练</w:t>
      </w:r>
    </w:p>
    <w:p>
      <w:pPr>
        <w:pStyle w:val="89"/>
        <w:spacing w:line="360" w:lineRule="auto"/>
        <w:ind w:left="840" w:firstLine="0" w:firstLineChars="0"/>
        <w:rPr>
          <w:rFonts w:ascii="宋体" w:hAnsi="宋体" w:eastAsia="宋体"/>
          <w:bCs/>
          <w:sz w:val="21"/>
          <w:szCs w:val="21"/>
        </w:rPr>
      </w:pPr>
      <w:r>
        <w:rPr>
          <w:rFonts w:hint="eastAsia" w:ascii="宋体" w:hAnsi="宋体" w:eastAsia="宋体"/>
          <w:bCs/>
          <w:sz w:val="21"/>
          <w:szCs w:val="21"/>
        </w:rPr>
        <w:t>根据搬迁过程中可能存在的问题，制定应急预案并完成应急演练，包括：主备路切换演练，应急演练。</w:t>
      </w:r>
    </w:p>
    <w:p>
      <w:pPr>
        <w:pStyle w:val="89"/>
        <w:numPr>
          <w:ilvl w:val="0"/>
          <w:numId w:val="17"/>
        </w:numPr>
        <w:spacing w:line="360" w:lineRule="auto"/>
        <w:ind w:firstLineChars="0"/>
        <w:rPr>
          <w:rFonts w:ascii="宋体" w:hAnsi="宋体" w:eastAsia="宋体"/>
          <w:bCs/>
          <w:sz w:val="21"/>
          <w:szCs w:val="21"/>
        </w:rPr>
      </w:pPr>
      <w:r>
        <w:rPr>
          <w:rFonts w:hint="eastAsia" w:ascii="宋体" w:hAnsi="宋体" w:eastAsia="宋体"/>
          <w:bCs/>
          <w:sz w:val="21"/>
          <w:szCs w:val="21"/>
        </w:rPr>
        <w:t>系统安全保障</w:t>
      </w:r>
    </w:p>
    <w:p>
      <w:pPr>
        <w:pStyle w:val="89"/>
        <w:numPr>
          <w:ilvl w:val="0"/>
          <w:numId w:val="19"/>
        </w:numPr>
        <w:spacing w:line="360" w:lineRule="auto"/>
        <w:ind w:left="1214" w:firstLineChars="0"/>
        <w:rPr>
          <w:rFonts w:ascii="宋体" w:hAnsi="宋体" w:eastAsia="宋体"/>
          <w:bCs/>
          <w:sz w:val="21"/>
          <w:szCs w:val="21"/>
        </w:rPr>
      </w:pPr>
      <w:r>
        <w:rPr>
          <w:rFonts w:hint="eastAsia" w:ascii="宋体" w:hAnsi="宋体" w:eastAsia="宋体"/>
          <w:bCs/>
          <w:sz w:val="21"/>
          <w:szCs w:val="21"/>
        </w:rPr>
        <w:t>系统搬迁过程中确保广播业务不间断；</w:t>
      </w:r>
    </w:p>
    <w:p>
      <w:pPr>
        <w:pStyle w:val="89"/>
        <w:numPr>
          <w:ilvl w:val="0"/>
          <w:numId w:val="19"/>
        </w:numPr>
        <w:spacing w:line="360" w:lineRule="auto"/>
        <w:ind w:left="1214" w:firstLineChars="0"/>
        <w:rPr>
          <w:rFonts w:ascii="宋体" w:hAnsi="宋体" w:eastAsia="宋体"/>
          <w:bCs/>
          <w:sz w:val="21"/>
          <w:szCs w:val="21"/>
        </w:rPr>
      </w:pPr>
      <w:r>
        <w:rPr>
          <w:rFonts w:hint="eastAsia" w:ascii="宋体" w:hAnsi="宋体" w:eastAsia="宋体"/>
          <w:bCs/>
          <w:sz w:val="21"/>
          <w:szCs w:val="21"/>
        </w:rPr>
        <w:t>系统搬迁过程中提供</w:t>
      </w:r>
      <w:r>
        <w:rPr>
          <w:rFonts w:ascii="宋体" w:hAnsi="宋体" w:eastAsia="宋体"/>
          <w:bCs/>
          <w:sz w:val="21"/>
          <w:szCs w:val="21"/>
        </w:rPr>
        <w:t>24小时不间断的现场支撑工作；</w:t>
      </w:r>
    </w:p>
    <w:p>
      <w:pPr>
        <w:pStyle w:val="89"/>
        <w:spacing w:line="360" w:lineRule="auto"/>
        <w:rPr>
          <w:rFonts w:ascii="宋体" w:hAnsi="宋体" w:eastAsia="宋体"/>
          <w:sz w:val="21"/>
          <w:szCs w:val="21"/>
        </w:rPr>
      </w:pPr>
      <w:r>
        <w:rPr>
          <w:rFonts w:hint="eastAsia" w:ascii="宋体" w:hAnsi="宋体" w:eastAsia="宋体"/>
          <w:sz w:val="21"/>
          <w:szCs w:val="21"/>
        </w:rPr>
        <w:t>说明：以上施工内容为基本要求，应根据技术交流、现场勘探的情况，进一步补充、完善、改进，制定搬迁方案、应急方案、安全保障措施等。</w:t>
      </w:r>
    </w:p>
    <w:p>
      <w:pPr>
        <w:pStyle w:val="2"/>
      </w:pPr>
    </w:p>
    <w:p>
      <w:pPr>
        <w:spacing w:line="360" w:lineRule="auto"/>
        <w:rPr>
          <w:rFonts w:eastAsia="黑体"/>
          <w:b/>
          <w:bCs/>
          <w:kern w:val="44"/>
          <w:sz w:val="36"/>
          <w:szCs w:val="36"/>
        </w:rPr>
      </w:pPr>
      <w:r>
        <w:br w:type="page"/>
      </w:r>
      <w:r>
        <w:t>=</w:t>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第六章竞争性谈判响应文件格式</w:t>
      </w:r>
      <w:bookmarkEnd w:id="28"/>
    </w:p>
    <w:p/>
    <w:p/>
    <w:p/>
    <w:p/>
    <w:p/>
    <w:p/>
    <w:p/>
    <w:p>
      <w:pPr>
        <w:jc w:val="center"/>
        <w:rPr>
          <w:rFonts w:ascii="宋体" w:hAnsi="宋体"/>
          <w:sz w:val="44"/>
          <w:szCs w:val="44"/>
        </w:rPr>
      </w:pPr>
      <w:bookmarkStart w:id="30" w:name="_Toc26259736"/>
      <w:r>
        <w:rPr>
          <w:rFonts w:hint="eastAsia" w:ascii="宋体" w:hAnsi="宋体"/>
          <w:sz w:val="44"/>
          <w:szCs w:val="44"/>
        </w:rPr>
        <w:t>江苏省广电有线信息网络股份有限公司</w:t>
      </w:r>
    </w:p>
    <w:bookmarkEnd w:id="30"/>
    <w:p>
      <w:pPr>
        <w:jc w:val="center"/>
        <w:rPr>
          <w:sz w:val="48"/>
          <w:szCs w:val="48"/>
        </w:rPr>
      </w:pPr>
      <w:r>
        <w:rPr>
          <w:rFonts w:hint="eastAsia"/>
          <w:sz w:val="48"/>
          <w:szCs w:val="48"/>
        </w:rPr>
        <w:t>宿迁机房传输和配套设备搬迁项目</w:t>
      </w: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竞争性谈判响应文件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31" w:name="_Toc26259737"/>
      <w:bookmarkStart w:id="32" w:name="_Toc26260030"/>
      <w:bookmarkStart w:id="33" w:name="_Toc69378658"/>
      <w:bookmarkStart w:id="34" w:name="_Toc472689687"/>
      <w:bookmarkStart w:id="35" w:name="_Toc529538374"/>
      <w:bookmarkStart w:id="36" w:name="_Toc447265317"/>
      <w:bookmarkStart w:id="37" w:name="_Toc447265603"/>
      <w:bookmarkStart w:id="38" w:name="_Toc438052118"/>
      <w:r>
        <w:rPr>
          <w:rFonts w:hint="eastAsia"/>
        </w:rPr>
        <w:t>评审索引表</w:t>
      </w:r>
      <w:bookmarkEnd w:id="31"/>
      <w:bookmarkEnd w:id="32"/>
      <w:bookmarkEnd w:id="33"/>
      <w:bookmarkEnd w:id="34"/>
      <w:bookmarkEnd w:id="35"/>
    </w:p>
    <w:p>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pStyle w:val="6"/>
        <w:rPr>
          <w:rFonts w:ascii="宋体" w:hAnsi="宋体" w:eastAsia="宋体"/>
          <w:b/>
          <w:sz w:val="24"/>
        </w:rPr>
      </w:pPr>
      <w:bookmarkStart w:id="39" w:name="_Toc401133270"/>
      <w:bookmarkStart w:id="40" w:name="_Toc429954241"/>
      <w:bookmarkStart w:id="41" w:name="_Toc26260031"/>
      <w:bookmarkStart w:id="42" w:name="_Toc529538375"/>
      <w:bookmarkStart w:id="43" w:name="_Toc401216443"/>
      <w:bookmarkStart w:id="44" w:name="_Toc26259738"/>
      <w:bookmarkStart w:id="45" w:name="_Toc427071030"/>
      <w:bookmarkStart w:id="46" w:name="_Toc485737092"/>
      <w:bookmarkStart w:id="47" w:name="_Toc401151285"/>
    </w:p>
    <w:p>
      <w:pPr>
        <w:pStyle w:val="5"/>
        <w:spacing w:before="260" w:after="260" w:line="416" w:lineRule="auto"/>
        <w:jc w:val="center"/>
        <w:rPr>
          <w:rFonts w:ascii="宋体" w:hAnsi="宋体" w:eastAsia="宋体"/>
          <w:b/>
          <w:bCs/>
          <w:sz w:val="22"/>
          <w:szCs w:val="28"/>
        </w:rPr>
      </w:pPr>
      <w:bookmarkStart w:id="48" w:name="_Toc69378659"/>
      <w:r>
        <w:rPr>
          <w:rFonts w:hint="eastAsia" w:ascii="宋体" w:hAnsi="宋体" w:eastAsia="宋体"/>
          <w:b/>
          <w:bCs/>
          <w:sz w:val="22"/>
          <w:szCs w:val="28"/>
        </w:rPr>
        <w:t>初步</w:t>
      </w:r>
      <w:r>
        <w:rPr>
          <w:rFonts w:ascii="宋体" w:hAnsi="宋体" w:eastAsia="宋体"/>
          <w:b/>
          <w:bCs/>
          <w:sz w:val="22"/>
          <w:szCs w:val="28"/>
        </w:rPr>
        <w:t>评审索引表</w:t>
      </w:r>
      <w:bookmarkEnd w:id="39"/>
      <w:bookmarkEnd w:id="40"/>
      <w:bookmarkEnd w:id="41"/>
      <w:bookmarkEnd w:id="42"/>
      <w:bookmarkEnd w:id="43"/>
      <w:bookmarkEnd w:id="44"/>
      <w:bookmarkEnd w:id="45"/>
      <w:bookmarkEnd w:id="46"/>
      <w:bookmarkEnd w:id="47"/>
      <w:bookmarkEnd w:id="48"/>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49" w:name="_Toc26259739"/>
      <w:bookmarkStart w:id="50" w:name="_Toc69378660"/>
      <w:bookmarkStart w:id="51" w:name="_Toc26260032"/>
      <w:r>
        <w:rPr>
          <w:rFonts w:hint="eastAsia" w:ascii="宋体" w:hAnsi="宋体" w:eastAsia="宋体"/>
          <w:b/>
          <w:bCs/>
          <w:sz w:val="22"/>
          <w:szCs w:val="28"/>
        </w:rPr>
        <w:t>详细</w:t>
      </w:r>
      <w:r>
        <w:rPr>
          <w:rFonts w:ascii="宋体" w:hAnsi="宋体" w:eastAsia="宋体"/>
          <w:b/>
          <w:bCs/>
          <w:sz w:val="22"/>
          <w:szCs w:val="28"/>
        </w:rPr>
        <w:t>评审索引表</w:t>
      </w:r>
      <w:bookmarkEnd w:id="49"/>
      <w:bookmarkEnd w:id="50"/>
      <w:bookmarkEnd w:id="51"/>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vAlign w:val="center"/>
          </w:tcPr>
          <w:p/>
        </w:tc>
        <w:tc>
          <w:tcPr>
            <w:tcW w:w="1141" w:type="dxa"/>
          </w:tcPr>
          <w:p/>
        </w:tc>
      </w:tr>
    </w:tbl>
    <w:p>
      <w:pPr>
        <w:pStyle w:val="6"/>
      </w:pPr>
    </w:p>
    <w:bookmarkEnd w:id="36"/>
    <w:bookmarkEnd w:id="37"/>
    <w:bookmarkEnd w:id="38"/>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52" w:name="_Toc161767428"/>
      <w:bookmarkStart w:id="53" w:name="_Toc135999006"/>
      <w:bookmarkStart w:id="54" w:name="_Toc69378663"/>
      <w:bookmarkStart w:id="55" w:name="_Toc26260033"/>
      <w:bookmarkStart w:id="56" w:name="_Toc438052120"/>
      <w:bookmarkStart w:id="57" w:name="_Toc472689688"/>
      <w:bookmarkStart w:id="58" w:name="_Toc529538377"/>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52"/>
      <w:bookmarkEnd w:id="53"/>
      <w:r>
        <w:rPr>
          <w:rStyle w:val="106"/>
          <w:rFonts w:hint="eastAsia" w:hAnsi="宋体"/>
          <w:b w:val="0"/>
          <w:bCs w:val="0"/>
          <w:sz w:val="24"/>
          <w:szCs w:val="24"/>
        </w:rPr>
        <w:t>响应函</w:t>
      </w:r>
      <w:bookmarkEnd w:id="54"/>
      <w:bookmarkEnd w:id="55"/>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[1]</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（3）供应商将按竞争性谈判文件的规定履行全部责任和义务。</w:t>
      </w:r>
    </w:p>
    <w:p>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59" w:name="_Toc69378664"/>
      <w:bookmarkStart w:id="60" w:name="_Toc26259740"/>
      <w:bookmarkStart w:id="61" w:name="_Toc26260034"/>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59"/>
      <w:bookmarkEnd w:id="60"/>
      <w:bookmarkEnd w:id="61"/>
    </w:p>
    <w:p>
      <w:pPr>
        <w:spacing w:line="360" w:lineRule="auto"/>
      </w:pPr>
      <w:r>
        <w:t>项目名称：</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宿迁机房传输和配套设备搬迁</w:t>
            </w:r>
          </w:p>
        </w:tc>
        <w:tc>
          <w:tcPr>
            <w:tcW w:w="2410" w:type="dxa"/>
            <w:vAlign w:val="center"/>
          </w:tcPr>
          <w:p>
            <w:pPr>
              <w:jc w:val="center"/>
              <w:rPr>
                <w:sz w:val="18"/>
                <w:szCs w:val="18"/>
              </w:rPr>
            </w:pP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交货期</w:t>
            </w:r>
          </w:p>
        </w:tc>
        <w:tc>
          <w:tcPr>
            <w:tcW w:w="8505" w:type="dxa"/>
            <w:gridSpan w:val="4"/>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szCs w:val="21"/>
              </w:rPr>
              <w:t>3</w:t>
            </w:r>
            <w:r>
              <w:rPr>
                <w:rFonts w:ascii="宋体" w:hAnsi="宋体"/>
                <w:szCs w:val="21"/>
              </w:rPr>
              <w:t>0</w:t>
            </w:r>
            <w:r>
              <w:rPr>
                <w:rFonts w:hint="eastAsia" w:ascii="宋体" w:hAnsi="宋体"/>
                <w:szCs w:val="21"/>
              </w:rPr>
              <w:t>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交货地点</w:t>
            </w:r>
          </w:p>
        </w:tc>
        <w:tc>
          <w:tcPr>
            <w:tcW w:w="8505" w:type="dxa"/>
            <w:gridSpan w:val="4"/>
            <w:vAlign w:val="center"/>
          </w:tcPr>
          <w:p>
            <w:pPr>
              <w:spacing w:line="360" w:lineRule="auto"/>
              <w:rPr>
                <w:rFonts w:ascii="宋体" w:hAnsi="宋体"/>
                <w:szCs w:val="21"/>
              </w:rPr>
            </w:pPr>
            <w:r>
              <w:rPr>
                <w:rFonts w:hint="eastAsia" w:ascii="宋体" w:hAnsi="宋体" w:cs="宋体"/>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color w:val="000000"/>
              </w:rPr>
              <w:t>竞争性谈判文件</w:t>
            </w:r>
            <w:r>
              <w:rPr>
                <w:color w:val="000000"/>
              </w:rPr>
              <w:t>第五章《技术</w:t>
            </w:r>
            <w:r>
              <w:rPr>
                <w:rFonts w:hint="eastAsia"/>
                <w:color w:val="000000"/>
              </w:rPr>
              <w:t>需求书</w:t>
            </w:r>
            <w:r>
              <w:rPr>
                <w:color w:val="000000"/>
              </w:rPr>
              <w:t>》中所有要求的内容，以及：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rPr>
                <w:color w:val="000000"/>
              </w:rPr>
              <w:t>包修期满后的服务价格</w:t>
            </w:r>
          </w:p>
        </w:tc>
        <w:tc>
          <w:tcPr>
            <w:tcW w:w="8505" w:type="dxa"/>
            <w:gridSpan w:val="4"/>
            <w:vAlign w:val="center"/>
          </w:tcPr>
          <w:p>
            <w:pPr>
              <w:spacing w:line="400" w:lineRule="exact"/>
              <w:rPr>
                <w:color w:val="000000"/>
              </w:rPr>
            </w:pPr>
            <w:r>
              <w:rPr>
                <w:color w:val="000000"/>
              </w:rPr>
              <w:t>维保价格：</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2.报价时请仔细阅读竞争性谈判文件《竞争性谈判须知》中关于报价的要求。</w:t>
      </w:r>
    </w:p>
    <w:p>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62" w:name="_Toc69378666"/>
      <w:bookmarkStart w:id="63" w:name="_Toc26260036"/>
      <w:bookmarkStart w:id="64" w:name="_Toc26259742"/>
      <w:bookmarkStart w:id="65" w:name="_Toc135999010"/>
      <w:bookmarkStart w:id="66" w:name="_Toc161767431"/>
      <w:bookmarkStart w:id="67" w:name="_Toc69378665"/>
      <w:bookmarkStart w:id="68" w:name="_Toc26259741"/>
      <w:bookmarkStart w:id="69" w:name="_Toc26260035"/>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62"/>
      <w:bookmarkEnd w:id="63"/>
      <w:bookmarkEnd w:id="64"/>
      <w:bookmarkEnd w:id="65"/>
      <w:bookmarkEnd w:id="66"/>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67"/>
      <w:bookmarkEnd w:id="68"/>
      <w:bookmarkEnd w:id="69"/>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59264" behindDoc="0" locked="0" layoutInCell="1" allowOverlap="1">
                <wp:simplePos x="0" y="0"/>
                <wp:positionH relativeFrom="column">
                  <wp:posOffset>-594995</wp:posOffset>
                </wp:positionH>
                <wp:positionV relativeFrom="paragraph">
                  <wp:posOffset>316865</wp:posOffset>
                </wp:positionV>
                <wp:extent cx="3297555" cy="2113915"/>
                <wp:effectExtent l="0" t="0" r="0" b="63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46.85pt;margin-top:24.95pt;height:166.45pt;width:259.65pt;z-index:251659264;mso-width-relative:page;mso-height-relative:page;" fillcolor="#FFFFFF" filled="t" stroked="t" coordsize="21600,21600" o:gfxdata="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VS6r2gAAAAoBAAAPAAAAAAAAAAEAIAAAACIA&#10;AABkcnMvZG93bnJldi54bWxQSwECFAAUAAAACACHTuJAeSACAkACAACiBAAADgAAAAAAAAABACAA&#10;AAApAQAAZHJzL2Uyb0RvYy54bWxQSwUGAAAAAAYABgBZAQAA2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2702560</wp:posOffset>
                </wp:positionH>
                <wp:positionV relativeFrom="paragraph">
                  <wp:posOffset>276225</wp:posOffset>
                </wp:positionV>
                <wp:extent cx="3297555" cy="2113915"/>
                <wp:effectExtent l="0" t="0" r="0" b="63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12.8pt;margin-top:21.75pt;height:166.45pt;width:259.65pt;z-index:251660288;mso-width-relative:page;mso-height-relative:page;" fillcolor="#FFFFFF" filled="t" stroked="t" coordsize="21600,21600" o:gfxdata="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igPddkAAAAKAQAADwAAAAAAAAABACAAAAAiAAAA&#10;ZHJzL2Rvd25yZXYueG1sUEsBAhQAFAAAAAgAh07iQOywA/s/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1312" behindDoc="0" locked="0" layoutInCell="1" allowOverlap="1">
                <wp:simplePos x="0" y="0"/>
                <wp:positionH relativeFrom="column">
                  <wp:posOffset>-619760</wp:posOffset>
                </wp:positionH>
                <wp:positionV relativeFrom="paragraph">
                  <wp:posOffset>295910</wp:posOffset>
                </wp:positionV>
                <wp:extent cx="3297555" cy="2113915"/>
                <wp:effectExtent l="0" t="0" r="0" b="63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48.8pt;margin-top:23.3pt;height:166.45pt;width:259.65pt;z-index:251661312;mso-width-relative:page;mso-height-relative:page;" fillcolor="#FFFFFF" filled="t" stroked="t" coordsize="21600,21600" o:gfxdata="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zN1XraAAAACgEAAA8AAAAAAAAAAQAgAAAAIgAA&#10;AGRycy9kb3ducmV2LnhtbFBLAQIUABQAAAAIAIdO4kDESZR5PwIAAKIEAAAOAAAAAAAAAAEAIAAA&#10;ACk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2682240</wp:posOffset>
                </wp:positionH>
                <wp:positionV relativeFrom="paragraph">
                  <wp:posOffset>294005</wp:posOffset>
                </wp:positionV>
                <wp:extent cx="3297555" cy="2113915"/>
                <wp:effectExtent l="0" t="0" r="0" b="63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211.2pt;margin-top:23.15pt;height:166.45pt;width:259.65pt;z-index:251662336;mso-width-relative:page;mso-height-relative:page;" fillcolor="#FFFFFF" filled="t" stroked="t" coordsize="21600,21600" o:gfxdata="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finPLZAAAACgEAAA8AAAAAAAAAAQAgAAAAIgAA&#10;AGRycy9kb3ducmV2LnhtbFBLAQIUABQAAAAIAIdO4kBR2ZWA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70" w:name="_Toc26260037"/>
      <w:bookmarkStart w:id="71" w:name="_Toc26259743"/>
      <w:bookmarkStart w:id="72" w:name="_Toc6937866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70"/>
      <w:bookmarkEnd w:id="71"/>
      <w:bookmarkEnd w:id="72"/>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供应商名称：</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73" w:name="_Toc161767433"/>
      <w:bookmarkStart w:id="74" w:name="_Toc69378668"/>
      <w:bookmarkStart w:id="75" w:name="_Toc26260038"/>
      <w:bookmarkStart w:id="76" w:name="_Toc135999012"/>
      <w:bookmarkStart w:id="77" w:name="_Toc26259744"/>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73"/>
      <w:bookmarkEnd w:id="74"/>
      <w:bookmarkEnd w:id="75"/>
      <w:bookmarkEnd w:id="76"/>
      <w:bookmarkEnd w:id="77"/>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0"/>
        </w:numPr>
        <w:spacing w:line="360" w:lineRule="auto"/>
        <w:rPr>
          <w:rFonts w:ascii="宋体"/>
          <w:szCs w:val="21"/>
        </w:rPr>
      </w:pPr>
      <w:r>
        <w:rPr>
          <w:rFonts w:hint="eastAsia" w:ascii="宋体"/>
          <w:szCs w:val="21"/>
        </w:rPr>
        <w:t>供应商应填写和提交下述规定的全部格式以及其它有关资料。</w:t>
      </w:r>
    </w:p>
    <w:p>
      <w:pPr>
        <w:numPr>
          <w:ilvl w:val="0"/>
          <w:numId w:val="20"/>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0"/>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0"/>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0"/>
        </w:numPr>
        <w:spacing w:line="360" w:lineRule="auto"/>
        <w:rPr>
          <w:rFonts w:ascii="宋体"/>
          <w:szCs w:val="21"/>
        </w:rPr>
      </w:pPr>
      <w:r>
        <w:rPr>
          <w:rFonts w:hint="eastAsia" w:ascii="宋体"/>
          <w:szCs w:val="21"/>
        </w:rPr>
        <w:t>供应商提交的材料将被保密，但不退还。</w:t>
      </w:r>
    </w:p>
    <w:p>
      <w:pPr>
        <w:numPr>
          <w:ilvl w:val="0"/>
          <w:numId w:val="20"/>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1"/>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1"/>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1"/>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2"/>
        </w:numPr>
        <w:spacing w:line="360" w:lineRule="auto"/>
        <w:rPr>
          <w:rFonts w:ascii="宋体" w:hAnsi="宋体"/>
          <w:szCs w:val="21"/>
          <w:u w:val="single"/>
        </w:rPr>
      </w:pPr>
      <w:r>
        <w:rPr>
          <w:rFonts w:hint="eastAsia" w:ascii="宋体" w:hAnsi="宋体"/>
          <w:szCs w:val="21"/>
        </w:rPr>
        <w:t>供应商名称：</w:t>
      </w:r>
    </w:p>
    <w:p>
      <w:pPr>
        <w:numPr>
          <w:ilvl w:val="0"/>
          <w:numId w:val="22"/>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2"/>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2"/>
        </w:numPr>
        <w:spacing w:line="360" w:lineRule="auto"/>
        <w:rPr>
          <w:rFonts w:ascii="宋体" w:hAnsi="宋体"/>
          <w:szCs w:val="21"/>
        </w:rPr>
      </w:pPr>
      <w:r>
        <w:rPr>
          <w:rFonts w:hint="eastAsia" w:ascii="宋体" w:hAnsi="宋体"/>
          <w:szCs w:val="21"/>
        </w:rPr>
        <w:t>实收资本：</w:t>
      </w:r>
    </w:p>
    <w:p>
      <w:pPr>
        <w:numPr>
          <w:ilvl w:val="0"/>
          <w:numId w:val="22"/>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2"/>
        </w:numPr>
        <w:spacing w:line="360" w:lineRule="auto"/>
        <w:rPr>
          <w:rFonts w:ascii="宋体" w:hAnsi="宋体"/>
          <w:szCs w:val="21"/>
          <w:u w:val="single"/>
        </w:rPr>
      </w:pPr>
      <w:r>
        <w:rPr>
          <w:rFonts w:hint="eastAsia" w:ascii="宋体" w:hAnsi="宋体"/>
          <w:szCs w:val="21"/>
        </w:rPr>
        <w:t>主要负责人名称：（可选填）</w:t>
      </w:r>
    </w:p>
    <w:p>
      <w:pPr>
        <w:numPr>
          <w:ilvl w:val="0"/>
          <w:numId w:val="22"/>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2"/>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2"/>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2"/>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78" w:name="_Toc26260039"/>
      <w:bookmarkStart w:id="79" w:name="_Toc26259745"/>
      <w:bookmarkStart w:id="80" w:name="_Toc6937866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78"/>
      <w:bookmarkEnd w:id="79"/>
      <w:bookmarkEnd w:id="80"/>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29"/>
      <w:bookmarkEnd w:id="56"/>
      <w:bookmarkEnd w:id="57"/>
      <w:bookmarkEnd w:id="58"/>
    </w:p>
    <w:p>
      <w:pPr>
        <w:widowControl/>
        <w:jc w:val="left"/>
      </w:pPr>
      <w:r>
        <w:br w:type="page"/>
      </w:r>
    </w:p>
    <w:p>
      <w:pPr>
        <w:pStyle w:val="3"/>
        <w:numPr>
          <w:ilvl w:val="0"/>
          <w:numId w:val="0"/>
        </w:numPr>
        <w:spacing w:line="360" w:lineRule="auto"/>
        <w:rPr>
          <w:color w:val="000000"/>
          <w:sz w:val="52"/>
          <w:szCs w:val="52"/>
        </w:rPr>
      </w:pPr>
      <w:bookmarkStart w:id="81" w:name="_Toc98431805"/>
      <w:bookmarkStart w:id="82" w:name="_Toc82869835"/>
      <w:bookmarkStart w:id="83" w:name="_Toc15291"/>
      <w:r>
        <w:rPr>
          <w:rFonts w:hint="eastAsia"/>
          <w:b/>
          <w:sz w:val="36"/>
          <w:szCs w:val="36"/>
        </w:rPr>
        <w:t>第七章  其他</w:t>
      </w:r>
      <w:bookmarkEnd w:id="81"/>
      <w:bookmarkEnd w:id="82"/>
      <w:bookmarkEnd w:id="83"/>
    </w:p>
    <w:p>
      <w:pPr>
        <w:widowControl/>
        <w:jc w:val="left"/>
        <w:rPr>
          <w:b/>
          <w:sz w:val="24"/>
        </w:rPr>
      </w:pPr>
      <w:bookmarkStart w:id="84" w:name="_Toc15025"/>
      <w:r>
        <w:rPr>
          <w:rFonts w:hint="eastAsia"/>
          <w:b/>
          <w:color w:val="000000"/>
          <w:sz w:val="24"/>
        </w:rPr>
        <w:t>响应</w:t>
      </w:r>
      <w:r>
        <w:rPr>
          <w:b/>
          <w:color w:val="000000"/>
          <w:sz w:val="24"/>
        </w:rPr>
        <w:t>文件</w:t>
      </w:r>
      <w:r>
        <w:rPr>
          <w:b/>
          <w:color w:val="000000"/>
          <w:kern w:val="11"/>
          <w:sz w:val="24"/>
        </w:rPr>
        <w:t>封套格式</w:t>
      </w:r>
      <w:r>
        <w:rPr>
          <w:b/>
          <w:sz w:val="24"/>
        </w:rPr>
        <w:t>如下：</w:t>
      </w:r>
      <w:bookmarkEnd w:id="84"/>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spacing w:before="312" w:beforeLines="100" w:after="312" w:afterLines="100"/>
              <w:jc w:val="center"/>
              <w:rPr>
                <w:rFonts w:eastAsia="黑体"/>
                <w:color w:val="000000"/>
                <w:sz w:val="28"/>
                <w:szCs w:val="28"/>
              </w:rPr>
            </w:pPr>
          </w:p>
          <w:p>
            <w:pPr>
              <w:pStyle w:val="2"/>
              <w:spacing w:before="312" w:beforeLines="100" w:after="312" w:afterLines="100"/>
              <w:jc w:val="center"/>
              <w:rPr>
                <w:rFonts w:eastAsia="黑体"/>
                <w:color w:val="000000"/>
                <w:szCs w:val="28"/>
              </w:rPr>
            </w:pPr>
          </w:p>
          <w:p>
            <w:pPr>
              <w:pStyle w:val="2"/>
            </w:pPr>
          </w:p>
          <w:p/>
          <w:p>
            <w:pPr>
              <w:jc w:val="center"/>
              <w:rPr>
                <w:rFonts w:eastAsia="黑体"/>
                <w:color w:val="000000"/>
                <w:sz w:val="52"/>
                <w:szCs w:val="36"/>
              </w:rPr>
            </w:pPr>
            <w:r>
              <w:rPr>
                <w:rFonts w:hint="eastAsia" w:eastAsia="黑体"/>
                <w:color w:val="000000"/>
                <w:sz w:val="52"/>
                <w:szCs w:val="36"/>
              </w:rPr>
              <w:t>响应文件</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spacing w:before="312" w:beforeLines="100" w:after="312" w:afterLines="100"/>
              <w:jc w:val="center"/>
              <w:rPr>
                <w:rFonts w:eastAsia="黑体"/>
                <w:color w:val="000000"/>
                <w:sz w:val="52"/>
                <w:szCs w:val="36"/>
              </w:rPr>
            </w:pPr>
          </w:p>
          <w:p>
            <w:pPr>
              <w:pStyle w:val="2"/>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pPr>
    </w:p>
    <w:p>
      <w:pPr>
        <w:widowControl/>
        <w:spacing w:line="360" w:lineRule="auto"/>
        <w:jc w:val="left"/>
        <w:rPr>
          <w:color w:val="000000"/>
          <w:kern w:val="11"/>
          <w:sz w:val="24"/>
        </w:rPr>
      </w:pPr>
    </w:p>
    <w:p>
      <w:pPr>
        <w:widowControl/>
        <w:spacing w:line="360" w:lineRule="auto"/>
        <w:jc w:val="left"/>
        <w:rPr>
          <w:color w:val="000000"/>
          <w:kern w:val="11"/>
          <w:sz w:val="24"/>
        </w:rPr>
      </w:pPr>
    </w:p>
    <w:p>
      <w:pPr>
        <w:widowControl/>
        <w:spacing w:line="360" w:lineRule="auto"/>
        <w:jc w:val="left"/>
        <w:rPr>
          <w:color w:val="000000"/>
          <w:kern w:val="11"/>
          <w:sz w:val="24"/>
        </w:rPr>
      </w:pPr>
    </w:p>
    <w:p>
      <w:pPr>
        <w:widowControl/>
        <w:spacing w:line="360" w:lineRule="auto"/>
        <w:jc w:val="left"/>
        <w:rPr>
          <w:sz w:val="24"/>
        </w:rPr>
      </w:pPr>
      <w:r>
        <w:rPr>
          <w:rFonts w:hint="eastAsia"/>
          <w:color w:val="000000"/>
          <w:kern w:val="11"/>
          <w:sz w:val="24"/>
        </w:rPr>
        <w:t>响应文件电子版</w:t>
      </w:r>
      <w:r>
        <w:rPr>
          <w:color w:val="000000"/>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jc w:val="center"/>
              <w:rPr>
                <w:rFonts w:eastAsia="黑体"/>
                <w:color w:val="000000"/>
                <w:sz w:val="28"/>
                <w:szCs w:val="28"/>
              </w:rPr>
            </w:pPr>
          </w:p>
          <w:p>
            <w:pPr>
              <w:pStyle w:val="2"/>
              <w:jc w:val="center"/>
              <w:rPr>
                <w:rFonts w:eastAsia="黑体"/>
                <w:color w:val="000000"/>
                <w:szCs w:val="28"/>
                <w:u w:val="single"/>
              </w:rPr>
            </w:pPr>
          </w:p>
          <w:p>
            <w:pPr>
              <w:spacing w:before="312" w:beforeLines="100" w:after="312" w:afterLines="100"/>
              <w:jc w:val="center"/>
              <w:rPr>
                <w:rFonts w:eastAsia="黑体"/>
                <w:color w:val="000000"/>
                <w:sz w:val="52"/>
                <w:szCs w:val="36"/>
              </w:rPr>
            </w:pPr>
          </w:p>
          <w:p>
            <w:pPr>
              <w:jc w:val="center"/>
              <w:rPr>
                <w:rFonts w:eastAsia="黑体"/>
                <w:color w:val="000000"/>
                <w:sz w:val="52"/>
                <w:szCs w:val="36"/>
              </w:rPr>
            </w:pPr>
            <w:r>
              <w:rPr>
                <w:rFonts w:hint="eastAsia" w:eastAsia="黑体"/>
                <w:color w:val="000000"/>
                <w:sz w:val="52"/>
                <w:szCs w:val="36"/>
              </w:rPr>
              <w:t>响应文件电子版</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rPr>
          <w:color w:val="000000"/>
          <w:kern w:val="11"/>
          <w:sz w:val="24"/>
        </w:rPr>
      </w:pPr>
      <w:r>
        <w:rPr>
          <w:color w:val="000000"/>
          <w:kern w:val="11"/>
          <w:sz w:val="24"/>
        </w:rPr>
        <w:br w:type="page"/>
      </w:r>
    </w:p>
    <w:p>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p>
      <w:pPr>
        <w:pStyle w:val="2"/>
        <w:jc w:val="center"/>
      </w:pPr>
      <w:r>
        <w:br w:type="page"/>
      </w:r>
    </w:p>
    <w:p>
      <w:pPr>
        <w:pStyle w:val="2"/>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r>
        <w:rPr>
          <w:rFonts w:hint="eastAsia"/>
        </w:rPr>
        <w:t>江苏省广电有线信息网络股份有限公司：</w:t>
      </w:r>
    </w:p>
    <w:p>
      <w:r>
        <w:rPr>
          <w:rFonts w:hint="eastAsia"/>
        </w:rPr>
        <w:t xml:space="preserve">    我单位申请参与贵单位</w:t>
      </w:r>
      <w:r>
        <w:rPr>
          <w:rFonts w:hint="eastAsia"/>
          <w:u w:val="single"/>
        </w:rPr>
        <w:t xml:space="preserve">              </w:t>
      </w:r>
      <w:r>
        <w:rPr>
          <w:rFonts w:hint="eastAsia"/>
        </w:rPr>
        <w:t>项目。</w:t>
      </w:r>
    </w:p>
    <w:p>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r>
        <w:rPr>
          <w:rFonts w:hint="eastAsia"/>
        </w:rPr>
        <w:t xml:space="preserve"> 1.姓名：</w:t>
      </w:r>
    </w:p>
    <w:p>
      <w:r>
        <w:rPr>
          <w:rFonts w:hint="eastAsia"/>
        </w:rPr>
        <w:t xml:space="preserve"> 2.身份证号：</w:t>
      </w:r>
    </w:p>
    <w:p>
      <w:r>
        <w:rPr>
          <w:rFonts w:hint="eastAsia"/>
        </w:rPr>
        <w:t xml:space="preserve"> 3.职位：</w:t>
      </w:r>
    </w:p>
    <w:p>
      <w:r>
        <w:rPr>
          <w:rFonts w:hint="eastAsia"/>
        </w:rPr>
        <w:t xml:space="preserve"> 4.联系电话（手机）：</w:t>
      </w:r>
    </w:p>
    <w:p>
      <w:r>
        <w:rPr>
          <w:rFonts w:hint="eastAsia"/>
        </w:rPr>
        <w:t xml:space="preserve"> 5.联系电子邮箱：</w:t>
      </w:r>
    </w:p>
    <w:p>
      <w:r>
        <w:rPr>
          <w:rFonts w:hint="eastAsia"/>
        </w:rPr>
        <w:t xml:space="preserve"> 6.微信号:</w:t>
      </w:r>
    </w:p>
    <w:p>
      <w:r>
        <w:rPr>
          <w:rFonts w:hint="eastAsia"/>
        </w:rPr>
        <w:t xml:space="preserve"> 7.响应文件递送方式：</w:t>
      </w:r>
    </w:p>
    <w:p/>
    <w:p/>
    <w:p/>
    <w:p>
      <w:r>
        <w:rPr>
          <w:rFonts w:hint="eastAsia"/>
        </w:rPr>
        <w:t>供应商：</w:t>
      </w:r>
      <w:r>
        <w:rPr>
          <w:rFonts w:hint="eastAsia"/>
          <w:u w:val="single"/>
        </w:rPr>
        <w:t xml:space="preserve">                     </w:t>
      </w:r>
      <w:r>
        <w:rPr>
          <w:rFonts w:hint="eastAsia"/>
        </w:rPr>
        <w:t>（盖章）</w:t>
      </w:r>
    </w:p>
    <w:p>
      <w:r>
        <w:rPr>
          <w:rFonts w:hint="eastAsia"/>
        </w:rPr>
        <w:t>日期：</w:t>
      </w:r>
    </w:p>
    <w:p>
      <w:pPr>
        <w:rPr>
          <w:rFonts w:ascii="宋体" w:hAnsi="宋体"/>
          <w:sz w:val="32"/>
          <w:szCs w:val="32"/>
          <w:u w:val="single"/>
        </w:rPr>
      </w:pPr>
      <w:r>
        <w:rPr>
          <w:rFonts w:hint="eastAsia"/>
        </w:rPr>
        <w:t xml:space="preserve">  </w:t>
      </w:r>
    </w:p>
    <w:p>
      <w:r>
        <w:rPr>
          <w:rFonts w:hint="eastAsia" w:ascii="宋体" w:hAnsi="宋体"/>
          <w:sz w:val="32"/>
          <w:szCs w:val="32"/>
          <w:u w:val="single"/>
        </w:rPr>
        <w:t xml:space="preserve"> </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11</w:t>
    </w:r>
    <w:r>
      <w:fldChar w:fldCharType="end"/>
    </w:r>
  </w:p>
  <w:p>
    <w:pPr>
      <w:pStyle w:val="3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singleLevel"/>
    <w:tmpl w:val="00000005"/>
    <w:lvl w:ilvl="0" w:tentative="0">
      <w:start w:val="7"/>
      <w:numFmt w:val="chineseCounting"/>
      <w:suff w:val="nothing"/>
      <w:lvlText w:val="第%1条"/>
      <w:lvlJc w:val="left"/>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7">
    <w:nsid w:val="198B14A6"/>
    <w:multiLevelType w:val="multilevel"/>
    <w:tmpl w:val="198B14A6"/>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9">
    <w:nsid w:val="22C05A71"/>
    <w:multiLevelType w:val="multilevel"/>
    <w:tmpl w:val="22C05A71"/>
    <w:lvl w:ilvl="0" w:tentative="0">
      <w:start w:val="1"/>
      <w:numFmt w:val="decimal"/>
      <w:lvlText w:val="%1）"/>
      <w:lvlJc w:val="left"/>
      <w:pPr>
        <w:ind w:left="840" w:hanging="420"/>
      </w:pPr>
      <w:rPr>
        <w:rFonts w:hint="default"/>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2">
    <w:nsid w:val="43945139"/>
    <w:multiLevelType w:val="multilevel"/>
    <w:tmpl w:val="43945139"/>
    <w:lvl w:ilvl="0" w:tentative="0">
      <w:start w:val="1"/>
      <w:numFmt w:val="decimal"/>
      <w:lvlText w:val="(%1)"/>
      <w:lvlJc w:val="left"/>
      <w:pPr>
        <w:ind w:left="840" w:hanging="420"/>
      </w:pPr>
      <w:rPr>
        <w:rFonts w:hint="default" w:ascii="宋体" w:hAnsi="宋体" w:eastAsia="宋体"/>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CAA53CA"/>
    <w:multiLevelType w:val="multilevel"/>
    <w:tmpl w:val="4CAA53CA"/>
    <w:lvl w:ilvl="0" w:tentative="0">
      <w:start w:val="2"/>
      <w:numFmt w:val="decimal"/>
      <w:lvlText w:val="%1."/>
      <w:lvlJc w:val="left"/>
      <w:pPr>
        <w:ind w:left="750" w:hanging="750"/>
      </w:pPr>
      <w:rPr>
        <w:rFonts w:hint="default" w:ascii="宋体" w:hAnsi="宋体" w:eastAsia="宋体"/>
        <w:b/>
        <w:sz w:val="21"/>
      </w:rPr>
    </w:lvl>
    <w:lvl w:ilvl="1" w:tentative="0">
      <w:start w:val="1"/>
      <w:numFmt w:val="decimal"/>
      <w:lvlText w:val="%1.%2、"/>
      <w:lvlJc w:val="left"/>
      <w:pPr>
        <w:ind w:left="750" w:hanging="750"/>
      </w:pPr>
      <w:rPr>
        <w:rFonts w:hint="default" w:ascii="宋体" w:hAnsi="宋体"/>
        <w:sz w:val="28"/>
        <w:szCs w:val="28"/>
      </w:rPr>
    </w:lvl>
    <w:lvl w:ilvl="2" w:tentative="0">
      <w:start w:val="1"/>
      <w:numFmt w:val="decimal"/>
      <w:lvlText w:val="%1.%2、%3."/>
      <w:lvlJc w:val="left"/>
      <w:pPr>
        <w:ind w:left="750" w:hanging="750"/>
      </w:pPr>
      <w:rPr>
        <w:rFonts w:hint="default" w:ascii="宋体" w:hAnsi="宋体"/>
        <w:sz w:val="28"/>
      </w:rPr>
    </w:lvl>
    <w:lvl w:ilvl="3" w:tentative="0">
      <w:start w:val="1"/>
      <w:numFmt w:val="decimal"/>
      <w:lvlText w:val="%1.%2、%3.%4."/>
      <w:lvlJc w:val="left"/>
      <w:pPr>
        <w:ind w:left="1080" w:hanging="1080"/>
      </w:pPr>
      <w:rPr>
        <w:rFonts w:hint="default" w:ascii="宋体" w:hAnsi="宋体"/>
        <w:sz w:val="28"/>
      </w:rPr>
    </w:lvl>
    <w:lvl w:ilvl="4" w:tentative="0">
      <w:start w:val="1"/>
      <w:numFmt w:val="decimal"/>
      <w:lvlText w:val="%1.%2、%3.%4.%5."/>
      <w:lvlJc w:val="left"/>
      <w:pPr>
        <w:ind w:left="1080" w:hanging="1080"/>
      </w:pPr>
      <w:rPr>
        <w:rFonts w:hint="default" w:ascii="宋体" w:hAnsi="宋体"/>
        <w:sz w:val="28"/>
      </w:rPr>
    </w:lvl>
    <w:lvl w:ilvl="5" w:tentative="0">
      <w:start w:val="1"/>
      <w:numFmt w:val="decimal"/>
      <w:lvlText w:val="%1.%2、%3.%4.%5.%6."/>
      <w:lvlJc w:val="left"/>
      <w:pPr>
        <w:ind w:left="1440" w:hanging="1440"/>
      </w:pPr>
      <w:rPr>
        <w:rFonts w:hint="default" w:ascii="宋体" w:hAnsi="宋体"/>
        <w:sz w:val="28"/>
      </w:rPr>
    </w:lvl>
    <w:lvl w:ilvl="6" w:tentative="0">
      <w:start w:val="1"/>
      <w:numFmt w:val="decimal"/>
      <w:lvlText w:val="%1.%2、%3.%4.%5.%6.%7."/>
      <w:lvlJc w:val="left"/>
      <w:pPr>
        <w:ind w:left="1440" w:hanging="1440"/>
      </w:pPr>
      <w:rPr>
        <w:rFonts w:hint="default" w:ascii="宋体" w:hAnsi="宋体"/>
        <w:sz w:val="28"/>
      </w:rPr>
    </w:lvl>
    <w:lvl w:ilvl="7" w:tentative="0">
      <w:start w:val="1"/>
      <w:numFmt w:val="decimal"/>
      <w:lvlText w:val="%1.%2、%3.%4.%5.%6.%7.%8."/>
      <w:lvlJc w:val="left"/>
      <w:pPr>
        <w:ind w:left="1440" w:hanging="1440"/>
      </w:pPr>
      <w:rPr>
        <w:rFonts w:hint="default" w:ascii="宋体" w:hAnsi="宋体"/>
        <w:sz w:val="28"/>
      </w:rPr>
    </w:lvl>
    <w:lvl w:ilvl="8" w:tentative="0">
      <w:start w:val="1"/>
      <w:numFmt w:val="decimal"/>
      <w:lvlText w:val="%1.%2、%3.%4.%5.%6.%7.%8.%9."/>
      <w:lvlJc w:val="left"/>
      <w:pPr>
        <w:ind w:left="1800" w:hanging="1800"/>
      </w:pPr>
      <w:rPr>
        <w:rFonts w:hint="default" w:ascii="宋体" w:hAnsi="宋体"/>
        <w:sz w:val="28"/>
      </w:rPr>
    </w:lvl>
  </w:abstractNum>
  <w:abstractNum w:abstractNumId="14">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5">
    <w:nsid w:val="50D42609"/>
    <w:multiLevelType w:val="multilevel"/>
    <w:tmpl w:val="50D42609"/>
    <w:lvl w:ilvl="0" w:tentative="0">
      <w:start w:val="1"/>
      <w:numFmt w:val="lowerLetter"/>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6">
    <w:nsid w:val="53F945B4"/>
    <w:multiLevelType w:val="multilevel"/>
    <w:tmpl w:val="53F945B4"/>
    <w:lvl w:ilvl="0" w:tentative="0">
      <w:start w:val="1"/>
      <w:numFmt w:val="decimal"/>
      <w:lvlText w:val="(%1)"/>
      <w:lvlJc w:val="left"/>
      <w:pPr>
        <w:ind w:left="840" w:hanging="420"/>
      </w:pPr>
      <w:rPr>
        <w:rFonts w:hint="default" w:ascii="宋体" w:hAnsi="宋体" w:eastAsia="宋体"/>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32D74A3"/>
    <w:multiLevelType w:val="multilevel"/>
    <w:tmpl w:val="632D74A3"/>
    <w:lvl w:ilvl="0" w:tentative="0">
      <w:start w:val="1"/>
      <w:numFmt w:val="decimal"/>
      <w:lvlText w:val="%1."/>
      <w:lvlJc w:val="left"/>
      <w:pPr>
        <w:ind w:left="750" w:hanging="750"/>
      </w:pPr>
      <w:rPr>
        <w:rFonts w:hint="default" w:ascii="宋体" w:hAnsi="宋体" w:eastAsia="宋体"/>
        <w:b/>
        <w:sz w:val="21"/>
      </w:rPr>
    </w:lvl>
    <w:lvl w:ilvl="1" w:tentative="0">
      <w:start w:val="1"/>
      <w:numFmt w:val="decimal"/>
      <w:lvlText w:val="%1.%2、"/>
      <w:lvlJc w:val="left"/>
      <w:pPr>
        <w:ind w:left="750" w:hanging="750"/>
      </w:pPr>
      <w:rPr>
        <w:rFonts w:hint="default" w:ascii="宋体" w:hAnsi="宋体"/>
        <w:sz w:val="21"/>
      </w:rPr>
    </w:lvl>
    <w:lvl w:ilvl="2" w:tentative="0">
      <w:start w:val="1"/>
      <w:numFmt w:val="decimal"/>
      <w:lvlText w:val="%1.%2、%3."/>
      <w:lvlJc w:val="left"/>
      <w:pPr>
        <w:ind w:left="750" w:hanging="750"/>
      </w:pPr>
      <w:rPr>
        <w:rFonts w:hint="default" w:ascii="宋体" w:hAnsi="宋体"/>
        <w:sz w:val="28"/>
      </w:rPr>
    </w:lvl>
    <w:lvl w:ilvl="3" w:tentative="0">
      <w:start w:val="1"/>
      <w:numFmt w:val="decimal"/>
      <w:lvlText w:val="%1.%2、%3.%4."/>
      <w:lvlJc w:val="left"/>
      <w:pPr>
        <w:ind w:left="1080" w:hanging="1080"/>
      </w:pPr>
      <w:rPr>
        <w:rFonts w:hint="default" w:ascii="宋体" w:hAnsi="宋体"/>
        <w:sz w:val="28"/>
      </w:rPr>
    </w:lvl>
    <w:lvl w:ilvl="4" w:tentative="0">
      <w:start w:val="1"/>
      <w:numFmt w:val="decimal"/>
      <w:lvlText w:val="%1.%2、%3.%4.%5."/>
      <w:lvlJc w:val="left"/>
      <w:pPr>
        <w:ind w:left="1080" w:hanging="1080"/>
      </w:pPr>
      <w:rPr>
        <w:rFonts w:hint="default" w:ascii="宋体" w:hAnsi="宋体"/>
        <w:sz w:val="28"/>
      </w:rPr>
    </w:lvl>
    <w:lvl w:ilvl="5" w:tentative="0">
      <w:start w:val="1"/>
      <w:numFmt w:val="decimal"/>
      <w:lvlText w:val="%1.%2、%3.%4.%5.%6."/>
      <w:lvlJc w:val="left"/>
      <w:pPr>
        <w:ind w:left="1440" w:hanging="1440"/>
      </w:pPr>
      <w:rPr>
        <w:rFonts w:hint="default" w:ascii="宋体" w:hAnsi="宋体"/>
        <w:sz w:val="28"/>
      </w:rPr>
    </w:lvl>
    <w:lvl w:ilvl="6" w:tentative="0">
      <w:start w:val="1"/>
      <w:numFmt w:val="decimal"/>
      <w:lvlText w:val="%1.%2、%3.%4.%5.%6.%7."/>
      <w:lvlJc w:val="left"/>
      <w:pPr>
        <w:ind w:left="1440" w:hanging="1440"/>
      </w:pPr>
      <w:rPr>
        <w:rFonts w:hint="default" w:ascii="宋体" w:hAnsi="宋体"/>
        <w:sz w:val="28"/>
      </w:rPr>
    </w:lvl>
    <w:lvl w:ilvl="7" w:tentative="0">
      <w:start w:val="1"/>
      <w:numFmt w:val="decimal"/>
      <w:lvlText w:val="%1.%2、%3.%4.%5.%6.%7.%8."/>
      <w:lvlJc w:val="left"/>
      <w:pPr>
        <w:ind w:left="1440" w:hanging="1440"/>
      </w:pPr>
      <w:rPr>
        <w:rFonts w:hint="default" w:ascii="宋体" w:hAnsi="宋体"/>
        <w:sz w:val="28"/>
      </w:rPr>
    </w:lvl>
    <w:lvl w:ilvl="8" w:tentative="0">
      <w:start w:val="1"/>
      <w:numFmt w:val="decimal"/>
      <w:lvlText w:val="%1.%2、%3.%4.%5.%6.%7.%8.%9."/>
      <w:lvlJc w:val="left"/>
      <w:pPr>
        <w:ind w:left="1800" w:hanging="1800"/>
      </w:pPr>
      <w:rPr>
        <w:rFonts w:hint="default" w:ascii="宋体" w:hAnsi="宋体"/>
        <w:sz w:val="28"/>
      </w:rPr>
    </w:lvl>
  </w:abstractNum>
  <w:abstractNum w:abstractNumId="19">
    <w:nsid w:val="72021821"/>
    <w:multiLevelType w:val="multilevel"/>
    <w:tmpl w:val="72021821"/>
    <w:lvl w:ilvl="0" w:tentative="0">
      <w:start w:val="1"/>
      <w:numFmt w:val="decimal"/>
      <w:lvlText w:val="(%1)"/>
      <w:lvlJc w:val="left"/>
      <w:pPr>
        <w:ind w:left="840" w:hanging="420"/>
      </w:pPr>
      <w:rPr>
        <w:rFonts w:hint="default" w:ascii="宋体" w:hAnsi="宋体" w:eastAsia="宋体"/>
        <w:b w:val="0"/>
        <w:i w:val="0"/>
        <w:sz w:val="21"/>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757F5272"/>
    <w:multiLevelType w:val="multilevel"/>
    <w:tmpl w:val="757F5272"/>
    <w:lvl w:ilvl="0" w:tentative="0">
      <w:start w:val="3"/>
      <w:numFmt w:val="decimal"/>
      <w:lvlText w:val="%1."/>
      <w:lvlJc w:val="left"/>
      <w:pPr>
        <w:ind w:left="750" w:hanging="750"/>
      </w:pPr>
      <w:rPr>
        <w:rFonts w:hint="default" w:ascii="宋体" w:hAnsi="宋体"/>
        <w:sz w:val="28"/>
      </w:rPr>
    </w:lvl>
    <w:lvl w:ilvl="1" w:tentative="0">
      <w:start w:val="1"/>
      <w:numFmt w:val="decimal"/>
      <w:lvlText w:val="%1.%2、"/>
      <w:lvlJc w:val="left"/>
      <w:pPr>
        <w:ind w:left="750" w:hanging="750"/>
      </w:pPr>
      <w:rPr>
        <w:rFonts w:hint="default" w:ascii="宋体" w:hAnsi="宋体"/>
        <w:sz w:val="28"/>
      </w:rPr>
    </w:lvl>
    <w:lvl w:ilvl="2" w:tentative="0">
      <w:start w:val="1"/>
      <w:numFmt w:val="decimal"/>
      <w:lvlText w:val="%1.%2、%3."/>
      <w:lvlJc w:val="left"/>
      <w:pPr>
        <w:ind w:left="750" w:hanging="750"/>
      </w:pPr>
      <w:rPr>
        <w:rFonts w:hint="default" w:ascii="宋体" w:hAnsi="宋体"/>
        <w:sz w:val="28"/>
      </w:rPr>
    </w:lvl>
    <w:lvl w:ilvl="3" w:tentative="0">
      <w:start w:val="1"/>
      <w:numFmt w:val="decimal"/>
      <w:lvlText w:val="%1.%2、%3.%4."/>
      <w:lvlJc w:val="left"/>
      <w:pPr>
        <w:ind w:left="1080" w:hanging="1080"/>
      </w:pPr>
      <w:rPr>
        <w:rFonts w:hint="default" w:ascii="宋体" w:hAnsi="宋体"/>
        <w:sz w:val="28"/>
      </w:rPr>
    </w:lvl>
    <w:lvl w:ilvl="4" w:tentative="0">
      <w:start w:val="1"/>
      <w:numFmt w:val="decimal"/>
      <w:lvlText w:val="%1.%2、%3.%4.%5."/>
      <w:lvlJc w:val="left"/>
      <w:pPr>
        <w:ind w:left="1080" w:hanging="1080"/>
      </w:pPr>
      <w:rPr>
        <w:rFonts w:hint="default" w:ascii="宋体" w:hAnsi="宋体"/>
        <w:sz w:val="28"/>
      </w:rPr>
    </w:lvl>
    <w:lvl w:ilvl="5" w:tentative="0">
      <w:start w:val="1"/>
      <w:numFmt w:val="decimal"/>
      <w:lvlText w:val="%1.%2、%3.%4.%5.%6."/>
      <w:lvlJc w:val="left"/>
      <w:pPr>
        <w:ind w:left="1440" w:hanging="1440"/>
      </w:pPr>
      <w:rPr>
        <w:rFonts w:hint="default" w:ascii="宋体" w:hAnsi="宋体"/>
        <w:sz w:val="28"/>
      </w:rPr>
    </w:lvl>
    <w:lvl w:ilvl="6" w:tentative="0">
      <w:start w:val="1"/>
      <w:numFmt w:val="decimal"/>
      <w:lvlText w:val="%1.%2、%3.%4.%5.%6.%7."/>
      <w:lvlJc w:val="left"/>
      <w:pPr>
        <w:ind w:left="1440" w:hanging="1440"/>
      </w:pPr>
      <w:rPr>
        <w:rFonts w:hint="default" w:ascii="宋体" w:hAnsi="宋体"/>
        <w:sz w:val="28"/>
      </w:rPr>
    </w:lvl>
    <w:lvl w:ilvl="7" w:tentative="0">
      <w:start w:val="1"/>
      <w:numFmt w:val="decimal"/>
      <w:lvlText w:val="%1.%2、%3.%4.%5.%6.%7.%8."/>
      <w:lvlJc w:val="left"/>
      <w:pPr>
        <w:ind w:left="1440" w:hanging="1440"/>
      </w:pPr>
      <w:rPr>
        <w:rFonts w:hint="default" w:ascii="宋体" w:hAnsi="宋体"/>
        <w:sz w:val="28"/>
      </w:rPr>
    </w:lvl>
    <w:lvl w:ilvl="8" w:tentative="0">
      <w:start w:val="1"/>
      <w:numFmt w:val="decimal"/>
      <w:lvlText w:val="%1.%2、%3.%4.%5.%6.%7.%8.%9."/>
      <w:lvlJc w:val="left"/>
      <w:pPr>
        <w:ind w:left="1800" w:hanging="1800"/>
      </w:pPr>
      <w:rPr>
        <w:rFonts w:hint="default" w:ascii="宋体" w:hAnsi="宋体"/>
        <w:sz w:val="28"/>
      </w:rPr>
    </w:lvl>
  </w:abstractNum>
  <w:abstractNum w:abstractNumId="21">
    <w:nsid w:val="7F7D3395"/>
    <w:multiLevelType w:val="multilevel"/>
    <w:tmpl w:val="7F7D3395"/>
    <w:lvl w:ilvl="0" w:tentative="0">
      <w:start w:val="1"/>
      <w:numFmt w:val="decimal"/>
      <w:lvlText w:val="%1)"/>
      <w:lvlJc w:val="left"/>
      <w:pPr>
        <w:ind w:left="1260" w:hanging="420"/>
      </w:pPr>
      <w:rPr>
        <w:rFonts w:hint="eastAsia"/>
      </w:rPr>
    </w:lvl>
    <w:lvl w:ilvl="1" w:tentative="0">
      <w:start w:val="1"/>
      <w:numFmt w:val="decimal"/>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4"/>
  </w:num>
  <w:num w:numId="2">
    <w:abstractNumId w:val="11"/>
  </w:num>
  <w:num w:numId="3">
    <w:abstractNumId w:val="4"/>
  </w:num>
  <w:num w:numId="4">
    <w:abstractNumId w:val="3"/>
  </w:num>
  <w:num w:numId="5">
    <w:abstractNumId w:val="10"/>
  </w:num>
  <w:num w:numId="6">
    <w:abstractNumId w:val="1"/>
  </w:num>
  <w:num w:numId="7">
    <w:abstractNumId w:val="0"/>
  </w:num>
  <w:num w:numId="8">
    <w:abstractNumId w:val="2"/>
  </w:num>
  <w:num w:numId="9">
    <w:abstractNumId w:val="5"/>
  </w:num>
  <w:num w:numId="10">
    <w:abstractNumId w:val="7"/>
    <w:lvlOverride w:ilvl="0">
      <w:startOverride w:val="1"/>
    </w:lvlOverride>
  </w:num>
  <w:num w:numId="11">
    <w:abstractNumId w:val="18"/>
  </w:num>
  <w:num w:numId="12">
    <w:abstractNumId w:val="19"/>
  </w:num>
  <w:num w:numId="13">
    <w:abstractNumId w:val="15"/>
  </w:num>
  <w:num w:numId="14">
    <w:abstractNumId w:val="13"/>
  </w:num>
  <w:num w:numId="15">
    <w:abstractNumId w:val="20"/>
  </w:num>
  <w:num w:numId="16">
    <w:abstractNumId w:val="16"/>
  </w:num>
  <w:num w:numId="17">
    <w:abstractNumId w:val="12"/>
  </w:num>
  <w:num w:numId="18">
    <w:abstractNumId w:val="21"/>
  </w:num>
  <w:num w:numId="19">
    <w:abstractNumId w:val="9"/>
  </w:num>
  <w:num w:numId="20">
    <w:abstractNumId w:val="6"/>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165B"/>
    <w:rsid w:val="00002094"/>
    <w:rsid w:val="00002668"/>
    <w:rsid w:val="00003F25"/>
    <w:rsid w:val="000047B6"/>
    <w:rsid w:val="000055AC"/>
    <w:rsid w:val="00006DBC"/>
    <w:rsid w:val="00011CD2"/>
    <w:rsid w:val="00011D7E"/>
    <w:rsid w:val="00011F58"/>
    <w:rsid w:val="00013E96"/>
    <w:rsid w:val="00014171"/>
    <w:rsid w:val="0001524B"/>
    <w:rsid w:val="0001551E"/>
    <w:rsid w:val="00015ACA"/>
    <w:rsid w:val="00015BA6"/>
    <w:rsid w:val="000164B0"/>
    <w:rsid w:val="00016CEA"/>
    <w:rsid w:val="00017171"/>
    <w:rsid w:val="0001725C"/>
    <w:rsid w:val="00017A4D"/>
    <w:rsid w:val="00020A4E"/>
    <w:rsid w:val="00020E6D"/>
    <w:rsid w:val="000224F7"/>
    <w:rsid w:val="000227C5"/>
    <w:rsid w:val="00022A8A"/>
    <w:rsid w:val="00023A2F"/>
    <w:rsid w:val="00023E93"/>
    <w:rsid w:val="00023EF5"/>
    <w:rsid w:val="00024C77"/>
    <w:rsid w:val="0002718F"/>
    <w:rsid w:val="00030A9D"/>
    <w:rsid w:val="00031B2F"/>
    <w:rsid w:val="00031DEF"/>
    <w:rsid w:val="0003325E"/>
    <w:rsid w:val="00033EFE"/>
    <w:rsid w:val="00034705"/>
    <w:rsid w:val="0003496A"/>
    <w:rsid w:val="00035296"/>
    <w:rsid w:val="000352DD"/>
    <w:rsid w:val="000365EA"/>
    <w:rsid w:val="00037097"/>
    <w:rsid w:val="00037954"/>
    <w:rsid w:val="00040218"/>
    <w:rsid w:val="00040F17"/>
    <w:rsid w:val="00042584"/>
    <w:rsid w:val="00045A14"/>
    <w:rsid w:val="000508C2"/>
    <w:rsid w:val="0005189A"/>
    <w:rsid w:val="00053058"/>
    <w:rsid w:val="00053A52"/>
    <w:rsid w:val="00053E94"/>
    <w:rsid w:val="0005497F"/>
    <w:rsid w:val="00054AE8"/>
    <w:rsid w:val="00056076"/>
    <w:rsid w:val="00056D8B"/>
    <w:rsid w:val="00056FD5"/>
    <w:rsid w:val="000577B3"/>
    <w:rsid w:val="000578CD"/>
    <w:rsid w:val="0005799E"/>
    <w:rsid w:val="000618EA"/>
    <w:rsid w:val="00061F51"/>
    <w:rsid w:val="00062477"/>
    <w:rsid w:val="00064583"/>
    <w:rsid w:val="00064913"/>
    <w:rsid w:val="00066324"/>
    <w:rsid w:val="00070964"/>
    <w:rsid w:val="00070EE5"/>
    <w:rsid w:val="00071DBA"/>
    <w:rsid w:val="00072029"/>
    <w:rsid w:val="000728EA"/>
    <w:rsid w:val="0007445B"/>
    <w:rsid w:val="000760C6"/>
    <w:rsid w:val="0007618E"/>
    <w:rsid w:val="0007650A"/>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423"/>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A39"/>
    <w:rsid w:val="000F6FE1"/>
    <w:rsid w:val="00100B22"/>
    <w:rsid w:val="001014D5"/>
    <w:rsid w:val="00105AA5"/>
    <w:rsid w:val="00105B57"/>
    <w:rsid w:val="001060EC"/>
    <w:rsid w:val="00106A2A"/>
    <w:rsid w:val="001077D6"/>
    <w:rsid w:val="0011219E"/>
    <w:rsid w:val="00112D23"/>
    <w:rsid w:val="00113255"/>
    <w:rsid w:val="00113435"/>
    <w:rsid w:val="001135CE"/>
    <w:rsid w:val="0011471E"/>
    <w:rsid w:val="00117CA9"/>
    <w:rsid w:val="00123B7D"/>
    <w:rsid w:val="00124678"/>
    <w:rsid w:val="0012786A"/>
    <w:rsid w:val="0013034C"/>
    <w:rsid w:val="0013062F"/>
    <w:rsid w:val="00130F8C"/>
    <w:rsid w:val="0013141F"/>
    <w:rsid w:val="00131658"/>
    <w:rsid w:val="00133D00"/>
    <w:rsid w:val="00133D94"/>
    <w:rsid w:val="00133FD9"/>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129"/>
    <w:rsid w:val="00167A90"/>
    <w:rsid w:val="001708C4"/>
    <w:rsid w:val="00171FDA"/>
    <w:rsid w:val="00172446"/>
    <w:rsid w:val="001730DF"/>
    <w:rsid w:val="001738F1"/>
    <w:rsid w:val="001759B2"/>
    <w:rsid w:val="00175A52"/>
    <w:rsid w:val="00176D2C"/>
    <w:rsid w:val="00177676"/>
    <w:rsid w:val="00177E3C"/>
    <w:rsid w:val="00181462"/>
    <w:rsid w:val="0018189F"/>
    <w:rsid w:val="0018216F"/>
    <w:rsid w:val="0018438A"/>
    <w:rsid w:val="00184484"/>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CE3"/>
    <w:rsid w:val="001A5F66"/>
    <w:rsid w:val="001A60DB"/>
    <w:rsid w:val="001A74D8"/>
    <w:rsid w:val="001A780A"/>
    <w:rsid w:val="001B1B6F"/>
    <w:rsid w:val="001B31A4"/>
    <w:rsid w:val="001B33FB"/>
    <w:rsid w:val="001B3C75"/>
    <w:rsid w:val="001B5F1D"/>
    <w:rsid w:val="001B761F"/>
    <w:rsid w:val="001C00DC"/>
    <w:rsid w:val="001C100F"/>
    <w:rsid w:val="001C1F24"/>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578C"/>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107"/>
    <w:rsid w:val="0022136D"/>
    <w:rsid w:val="0022167E"/>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8DE"/>
    <w:rsid w:val="00237DAF"/>
    <w:rsid w:val="002400C0"/>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4289"/>
    <w:rsid w:val="00265008"/>
    <w:rsid w:val="0026619F"/>
    <w:rsid w:val="00266973"/>
    <w:rsid w:val="00267B75"/>
    <w:rsid w:val="00270E79"/>
    <w:rsid w:val="00271D2E"/>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2F4E"/>
    <w:rsid w:val="00293EF5"/>
    <w:rsid w:val="00296DEA"/>
    <w:rsid w:val="00296FB0"/>
    <w:rsid w:val="002977C3"/>
    <w:rsid w:val="002A09B2"/>
    <w:rsid w:val="002A18B6"/>
    <w:rsid w:val="002A20BE"/>
    <w:rsid w:val="002A31A6"/>
    <w:rsid w:val="002A3868"/>
    <w:rsid w:val="002A57B4"/>
    <w:rsid w:val="002A63D6"/>
    <w:rsid w:val="002A77CF"/>
    <w:rsid w:val="002B07CB"/>
    <w:rsid w:val="002B1C74"/>
    <w:rsid w:val="002B271D"/>
    <w:rsid w:val="002B274E"/>
    <w:rsid w:val="002B34A1"/>
    <w:rsid w:val="002C0317"/>
    <w:rsid w:val="002C1A9F"/>
    <w:rsid w:val="002C1F7C"/>
    <w:rsid w:val="002C4DE8"/>
    <w:rsid w:val="002C607F"/>
    <w:rsid w:val="002C6F2C"/>
    <w:rsid w:val="002C7F8D"/>
    <w:rsid w:val="002D0673"/>
    <w:rsid w:val="002D0A8D"/>
    <w:rsid w:val="002D24AE"/>
    <w:rsid w:val="002D3C6B"/>
    <w:rsid w:val="002D3F7C"/>
    <w:rsid w:val="002D5AC3"/>
    <w:rsid w:val="002D6379"/>
    <w:rsid w:val="002D706B"/>
    <w:rsid w:val="002E0999"/>
    <w:rsid w:val="002E4AAE"/>
    <w:rsid w:val="002E5A36"/>
    <w:rsid w:val="002E7325"/>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3B06"/>
    <w:rsid w:val="003044CF"/>
    <w:rsid w:val="0030465A"/>
    <w:rsid w:val="00304BAC"/>
    <w:rsid w:val="00304D7F"/>
    <w:rsid w:val="0030539C"/>
    <w:rsid w:val="003066EF"/>
    <w:rsid w:val="003109D7"/>
    <w:rsid w:val="00311B3A"/>
    <w:rsid w:val="00311FBD"/>
    <w:rsid w:val="0031392C"/>
    <w:rsid w:val="003167E5"/>
    <w:rsid w:val="003179F8"/>
    <w:rsid w:val="00317C08"/>
    <w:rsid w:val="0032052D"/>
    <w:rsid w:val="003225E3"/>
    <w:rsid w:val="00323914"/>
    <w:rsid w:val="00324A2F"/>
    <w:rsid w:val="00325CE2"/>
    <w:rsid w:val="003305F0"/>
    <w:rsid w:val="00331D34"/>
    <w:rsid w:val="00332EBF"/>
    <w:rsid w:val="003336F4"/>
    <w:rsid w:val="0033579C"/>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4F30"/>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3C0C"/>
    <w:rsid w:val="00384CFA"/>
    <w:rsid w:val="00385258"/>
    <w:rsid w:val="00385698"/>
    <w:rsid w:val="00387449"/>
    <w:rsid w:val="00387BE1"/>
    <w:rsid w:val="003900FC"/>
    <w:rsid w:val="003944E1"/>
    <w:rsid w:val="003949FF"/>
    <w:rsid w:val="00395628"/>
    <w:rsid w:val="003966A4"/>
    <w:rsid w:val="003A0269"/>
    <w:rsid w:val="003A1150"/>
    <w:rsid w:val="003A22F2"/>
    <w:rsid w:val="003A4129"/>
    <w:rsid w:val="003A5B77"/>
    <w:rsid w:val="003A61A5"/>
    <w:rsid w:val="003A635B"/>
    <w:rsid w:val="003A6698"/>
    <w:rsid w:val="003A7B17"/>
    <w:rsid w:val="003B0E45"/>
    <w:rsid w:val="003B1148"/>
    <w:rsid w:val="003B2C64"/>
    <w:rsid w:val="003B3BED"/>
    <w:rsid w:val="003B3D55"/>
    <w:rsid w:val="003B4431"/>
    <w:rsid w:val="003B5210"/>
    <w:rsid w:val="003B5605"/>
    <w:rsid w:val="003B5EB6"/>
    <w:rsid w:val="003B6D44"/>
    <w:rsid w:val="003B7A81"/>
    <w:rsid w:val="003C04AD"/>
    <w:rsid w:val="003C16C9"/>
    <w:rsid w:val="003C1CA7"/>
    <w:rsid w:val="003C40A1"/>
    <w:rsid w:val="003C61E9"/>
    <w:rsid w:val="003C7561"/>
    <w:rsid w:val="003C78A1"/>
    <w:rsid w:val="003C7928"/>
    <w:rsid w:val="003C7C54"/>
    <w:rsid w:val="003D063B"/>
    <w:rsid w:val="003D0945"/>
    <w:rsid w:val="003D1E0B"/>
    <w:rsid w:val="003D1EFA"/>
    <w:rsid w:val="003D2EF6"/>
    <w:rsid w:val="003D3DA9"/>
    <w:rsid w:val="003D41C8"/>
    <w:rsid w:val="003D4331"/>
    <w:rsid w:val="003D59E0"/>
    <w:rsid w:val="003D7647"/>
    <w:rsid w:val="003E10C1"/>
    <w:rsid w:val="003E183C"/>
    <w:rsid w:val="003E3225"/>
    <w:rsid w:val="003E3BB8"/>
    <w:rsid w:val="003E4803"/>
    <w:rsid w:val="003E5F22"/>
    <w:rsid w:val="003E794B"/>
    <w:rsid w:val="003E7A69"/>
    <w:rsid w:val="003F0D93"/>
    <w:rsid w:val="003F14E6"/>
    <w:rsid w:val="003F216D"/>
    <w:rsid w:val="003F360C"/>
    <w:rsid w:val="003F60F1"/>
    <w:rsid w:val="003F6E64"/>
    <w:rsid w:val="00400138"/>
    <w:rsid w:val="00400873"/>
    <w:rsid w:val="004011D2"/>
    <w:rsid w:val="00404660"/>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0D89"/>
    <w:rsid w:val="0043454A"/>
    <w:rsid w:val="00436153"/>
    <w:rsid w:val="004369D4"/>
    <w:rsid w:val="00436D27"/>
    <w:rsid w:val="00440AA3"/>
    <w:rsid w:val="004416B7"/>
    <w:rsid w:val="00441BA6"/>
    <w:rsid w:val="004447F8"/>
    <w:rsid w:val="004454EF"/>
    <w:rsid w:val="00445BE7"/>
    <w:rsid w:val="004463F2"/>
    <w:rsid w:val="00446B22"/>
    <w:rsid w:val="004472C3"/>
    <w:rsid w:val="00453075"/>
    <w:rsid w:val="00454397"/>
    <w:rsid w:val="00457347"/>
    <w:rsid w:val="00457459"/>
    <w:rsid w:val="00460414"/>
    <w:rsid w:val="00460838"/>
    <w:rsid w:val="004611AD"/>
    <w:rsid w:val="00463598"/>
    <w:rsid w:val="0046498B"/>
    <w:rsid w:val="004663B1"/>
    <w:rsid w:val="00466DB6"/>
    <w:rsid w:val="00467E2B"/>
    <w:rsid w:val="00467FDA"/>
    <w:rsid w:val="00470024"/>
    <w:rsid w:val="00470730"/>
    <w:rsid w:val="00472989"/>
    <w:rsid w:val="00473658"/>
    <w:rsid w:val="00477EF6"/>
    <w:rsid w:val="004809A0"/>
    <w:rsid w:val="004821CC"/>
    <w:rsid w:val="00482693"/>
    <w:rsid w:val="00483653"/>
    <w:rsid w:val="00484086"/>
    <w:rsid w:val="004854F3"/>
    <w:rsid w:val="0048667A"/>
    <w:rsid w:val="004917CD"/>
    <w:rsid w:val="0049216E"/>
    <w:rsid w:val="00492A51"/>
    <w:rsid w:val="00493168"/>
    <w:rsid w:val="0049373E"/>
    <w:rsid w:val="00494435"/>
    <w:rsid w:val="00494AEA"/>
    <w:rsid w:val="00495459"/>
    <w:rsid w:val="0049606A"/>
    <w:rsid w:val="0049659C"/>
    <w:rsid w:val="004971E3"/>
    <w:rsid w:val="004A0AAD"/>
    <w:rsid w:val="004A2717"/>
    <w:rsid w:val="004A2DF6"/>
    <w:rsid w:val="004A4BEF"/>
    <w:rsid w:val="004A4E12"/>
    <w:rsid w:val="004A51B2"/>
    <w:rsid w:val="004A5E4E"/>
    <w:rsid w:val="004A6A4D"/>
    <w:rsid w:val="004A7C5A"/>
    <w:rsid w:val="004B00FD"/>
    <w:rsid w:val="004B19C9"/>
    <w:rsid w:val="004B1AF0"/>
    <w:rsid w:val="004B317C"/>
    <w:rsid w:val="004B3224"/>
    <w:rsid w:val="004B3E69"/>
    <w:rsid w:val="004B4B2C"/>
    <w:rsid w:val="004B598A"/>
    <w:rsid w:val="004B5BF2"/>
    <w:rsid w:val="004B7C97"/>
    <w:rsid w:val="004C04FC"/>
    <w:rsid w:val="004C0A14"/>
    <w:rsid w:val="004C1097"/>
    <w:rsid w:val="004C180A"/>
    <w:rsid w:val="004C3243"/>
    <w:rsid w:val="004C48F0"/>
    <w:rsid w:val="004C5137"/>
    <w:rsid w:val="004C5C10"/>
    <w:rsid w:val="004C6542"/>
    <w:rsid w:val="004D0B16"/>
    <w:rsid w:val="004D0C03"/>
    <w:rsid w:val="004D0FD1"/>
    <w:rsid w:val="004D157B"/>
    <w:rsid w:val="004D1F26"/>
    <w:rsid w:val="004D2528"/>
    <w:rsid w:val="004D28EA"/>
    <w:rsid w:val="004D39FE"/>
    <w:rsid w:val="004D3A64"/>
    <w:rsid w:val="004D46CB"/>
    <w:rsid w:val="004D4E05"/>
    <w:rsid w:val="004D5644"/>
    <w:rsid w:val="004D5E1F"/>
    <w:rsid w:val="004D7389"/>
    <w:rsid w:val="004D7421"/>
    <w:rsid w:val="004E1BDE"/>
    <w:rsid w:val="004E486F"/>
    <w:rsid w:val="004E4C95"/>
    <w:rsid w:val="004E645E"/>
    <w:rsid w:val="004E75CF"/>
    <w:rsid w:val="004F14FA"/>
    <w:rsid w:val="004F1E70"/>
    <w:rsid w:val="004F3A29"/>
    <w:rsid w:val="004F3C3B"/>
    <w:rsid w:val="004F3DD9"/>
    <w:rsid w:val="005018B4"/>
    <w:rsid w:val="00501BCD"/>
    <w:rsid w:val="00502E90"/>
    <w:rsid w:val="00503D4D"/>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053"/>
    <w:rsid w:val="005311D5"/>
    <w:rsid w:val="00531FB3"/>
    <w:rsid w:val="00532A82"/>
    <w:rsid w:val="00532CA9"/>
    <w:rsid w:val="00532F29"/>
    <w:rsid w:val="00533254"/>
    <w:rsid w:val="0053395D"/>
    <w:rsid w:val="0053413A"/>
    <w:rsid w:val="0053541D"/>
    <w:rsid w:val="00535BF7"/>
    <w:rsid w:val="005374CA"/>
    <w:rsid w:val="0054002E"/>
    <w:rsid w:val="005410CB"/>
    <w:rsid w:val="00541901"/>
    <w:rsid w:val="00541945"/>
    <w:rsid w:val="00544133"/>
    <w:rsid w:val="005444AC"/>
    <w:rsid w:val="0054467D"/>
    <w:rsid w:val="00546886"/>
    <w:rsid w:val="00550136"/>
    <w:rsid w:val="005505A9"/>
    <w:rsid w:val="00550949"/>
    <w:rsid w:val="00553F1D"/>
    <w:rsid w:val="00554F2A"/>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66A7"/>
    <w:rsid w:val="005774B5"/>
    <w:rsid w:val="00581791"/>
    <w:rsid w:val="00581B38"/>
    <w:rsid w:val="00582733"/>
    <w:rsid w:val="00585F0B"/>
    <w:rsid w:val="00586787"/>
    <w:rsid w:val="00587B7E"/>
    <w:rsid w:val="00587D33"/>
    <w:rsid w:val="0059033B"/>
    <w:rsid w:val="00590759"/>
    <w:rsid w:val="00591493"/>
    <w:rsid w:val="00592E90"/>
    <w:rsid w:val="0059326F"/>
    <w:rsid w:val="005943C3"/>
    <w:rsid w:val="00596569"/>
    <w:rsid w:val="0059660B"/>
    <w:rsid w:val="00596A81"/>
    <w:rsid w:val="005A0EB9"/>
    <w:rsid w:val="005A2B81"/>
    <w:rsid w:val="005A3404"/>
    <w:rsid w:val="005A53F6"/>
    <w:rsid w:val="005A702A"/>
    <w:rsid w:val="005A732E"/>
    <w:rsid w:val="005B1A74"/>
    <w:rsid w:val="005B2074"/>
    <w:rsid w:val="005B2427"/>
    <w:rsid w:val="005B2D76"/>
    <w:rsid w:val="005B31F3"/>
    <w:rsid w:val="005B33DF"/>
    <w:rsid w:val="005B4169"/>
    <w:rsid w:val="005B5E53"/>
    <w:rsid w:val="005B7080"/>
    <w:rsid w:val="005B729A"/>
    <w:rsid w:val="005B7341"/>
    <w:rsid w:val="005B7B3C"/>
    <w:rsid w:val="005C0188"/>
    <w:rsid w:val="005C1A0E"/>
    <w:rsid w:val="005C2992"/>
    <w:rsid w:val="005C33AD"/>
    <w:rsid w:val="005C3F69"/>
    <w:rsid w:val="005C7028"/>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1909"/>
    <w:rsid w:val="00601A5E"/>
    <w:rsid w:val="00603B48"/>
    <w:rsid w:val="00604197"/>
    <w:rsid w:val="00604E93"/>
    <w:rsid w:val="00605734"/>
    <w:rsid w:val="00606721"/>
    <w:rsid w:val="00606B8F"/>
    <w:rsid w:val="00610CDC"/>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0AFA"/>
    <w:rsid w:val="0062180D"/>
    <w:rsid w:val="00621A2C"/>
    <w:rsid w:val="0062236E"/>
    <w:rsid w:val="00622D0E"/>
    <w:rsid w:val="00624CD7"/>
    <w:rsid w:val="0062665F"/>
    <w:rsid w:val="006272D3"/>
    <w:rsid w:val="006277CE"/>
    <w:rsid w:val="00627A32"/>
    <w:rsid w:val="00627C51"/>
    <w:rsid w:val="00630099"/>
    <w:rsid w:val="00630BBC"/>
    <w:rsid w:val="0063187F"/>
    <w:rsid w:val="00631D27"/>
    <w:rsid w:val="00632E9C"/>
    <w:rsid w:val="006334C8"/>
    <w:rsid w:val="006336BB"/>
    <w:rsid w:val="00633F49"/>
    <w:rsid w:val="00634607"/>
    <w:rsid w:val="00634CE0"/>
    <w:rsid w:val="0063556B"/>
    <w:rsid w:val="00635FEF"/>
    <w:rsid w:val="00636808"/>
    <w:rsid w:val="00636CFC"/>
    <w:rsid w:val="006416E7"/>
    <w:rsid w:val="00642C9C"/>
    <w:rsid w:val="006432A5"/>
    <w:rsid w:val="00644070"/>
    <w:rsid w:val="00646026"/>
    <w:rsid w:val="00646477"/>
    <w:rsid w:val="006469B1"/>
    <w:rsid w:val="00650384"/>
    <w:rsid w:val="00652DE7"/>
    <w:rsid w:val="0065606C"/>
    <w:rsid w:val="00656628"/>
    <w:rsid w:val="006609AE"/>
    <w:rsid w:val="00660FD8"/>
    <w:rsid w:val="006617C2"/>
    <w:rsid w:val="00661BF5"/>
    <w:rsid w:val="006620D5"/>
    <w:rsid w:val="00662A9F"/>
    <w:rsid w:val="00663485"/>
    <w:rsid w:val="00664E16"/>
    <w:rsid w:val="00665858"/>
    <w:rsid w:val="00665C66"/>
    <w:rsid w:val="006663B5"/>
    <w:rsid w:val="00671145"/>
    <w:rsid w:val="00673936"/>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B68"/>
    <w:rsid w:val="00685F82"/>
    <w:rsid w:val="00687D68"/>
    <w:rsid w:val="006906EF"/>
    <w:rsid w:val="00690B82"/>
    <w:rsid w:val="00695233"/>
    <w:rsid w:val="00695D8D"/>
    <w:rsid w:val="00696195"/>
    <w:rsid w:val="0069737B"/>
    <w:rsid w:val="0069750C"/>
    <w:rsid w:val="006A00AF"/>
    <w:rsid w:val="006A0495"/>
    <w:rsid w:val="006A0780"/>
    <w:rsid w:val="006A0950"/>
    <w:rsid w:val="006A0B45"/>
    <w:rsid w:val="006A281C"/>
    <w:rsid w:val="006A30FA"/>
    <w:rsid w:val="006A3295"/>
    <w:rsid w:val="006A3DFE"/>
    <w:rsid w:val="006A5AE4"/>
    <w:rsid w:val="006A70F0"/>
    <w:rsid w:val="006A7278"/>
    <w:rsid w:val="006A76DE"/>
    <w:rsid w:val="006A799F"/>
    <w:rsid w:val="006B0BCF"/>
    <w:rsid w:val="006B17CB"/>
    <w:rsid w:val="006B1F4B"/>
    <w:rsid w:val="006B1FB1"/>
    <w:rsid w:val="006B201B"/>
    <w:rsid w:val="006B2EB5"/>
    <w:rsid w:val="006B43BB"/>
    <w:rsid w:val="006B4F22"/>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66F4"/>
    <w:rsid w:val="006D7210"/>
    <w:rsid w:val="006E06C0"/>
    <w:rsid w:val="006E230F"/>
    <w:rsid w:val="006E43A2"/>
    <w:rsid w:val="006E630F"/>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46E"/>
    <w:rsid w:val="00721AFA"/>
    <w:rsid w:val="007222D1"/>
    <w:rsid w:val="007238D5"/>
    <w:rsid w:val="007242F0"/>
    <w:rsid w:val="00726076"/>
    <w:rsid w:val="007275F8"/>
    <w:rsid w:val="00727962"/>
    <w:rsid w:val="00727BC4"/>
    <w:rsid w:val="00727BFE"/>
    <w:rsid w:val="0073257C"/>
    <w:rsid w:val="007333EB"/>
    <w:rsid w:val="007349E8"/>
    <w:rsid w:val="007365B8"/>
    <w:rsid w:val="00736D87"/>
    <w:rsid w:val="00736E67"/>
    <w:rsid w:val="00737C7F"/>
    <w:rsid w:val="00737CB1"/>
    <w:rsid w:val="00740DA3"/>
    <w:rsid w:val="0074209F"/>
    <w:rsid w:val="0074255B"/>
    <w:rsid w:val="007431B7"/>
    <w:rsid w:val="007455C4"/>
    <w:rsid w:val="00747804"/>
    <w:rsid w:val="007522AE"/>
    <w:rsid w:val="007537A3"/>
    <w:rsid w:val="00753B98"/>
    <w:rsid w:val="007554FA"/>
    <w:rsid w:val="00755A5D"/>
    <w:rsid w:val="007571D2"/>
    <w:rsid w:val="00762DA6"/>
    <w:rsid w:val="007632BA"/>
    <w:rsid w:val="00764592"/>
    <w:rsid w:val="00765951"/>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5529"/>
    <w:rsid w:val="00786E0B"/>
    <w:rsid w:val="007877C5"/>
    <w:rsid w:val="00787E47"/>
    <w:rsid w:val="00787F31"/>
    <w:rsid w:val="00790301"/>
    <w:rsid w:val="00791C53"/>
    <w:rsid w:val="007924EF"/>
    <w:rsid w:val="00793ADF"/>
    <w:rsid w:val="00793EA0"/>
    <w:rsid w:val="00793ECA"/>
    <w:rsid w:val="007944D5"/>
    <w:rsid w:val="00794E01"/>
    <w:rsid w:val="00796145"/>
    <w:rsid w:val="007977A5"/>
    <w:rsid w:val="00797849"/>
    <w:rsid w:val="007A0B2F"/>
    <w:rsid w:val="007A1357"/>
    <w:rsid w:val="007A1F68"/>
    <w:rsid w:val="007A23B5"/>
    <w:rsid w:val="007A29EC"/>
    <w:rsid w:val="007A415D"/>
    <w:rsid w:val="007A45C5"/>
    <w:rsid w:val="007A4915"/>
    <w:rsid w:val="007B0CB5"/>
    <w:rsid w:val="007B3937"/>
    <w:rsid w:val="007B3C00"/>
    <w:rsid w:val="007B72C2"/>
    <w:rsid w:val="007B7C67"/>
    <w:rsid w:val="007C05D1"/>
    <w:rsid w:val="007C12AF"/>
    <w:rsid w:val="007C2A0A"/>
    <w:rsid w:val="007C33BF"/>
    <w:rsid w:val="007C35D9"/>
    <w:rsid w:val="007C489B"/>
    <w:rsid w:val="007C4B99"/>
    <w:rsid w:val="007C5342"/>
    <w:rsid w:val="007C5B87"/>
    <w:rsid w:val="007C73A6"/>
    <w:rsid w:val="007C7554"/>
    <w:rsid w:val="007C7834"/>
    <w:rsid w:val="007D1A5B"/>
    <w:rsid w:val="007D54FE"/>
    <w:rsid w:val="007D5BCD"/>
    <w:rsid w:val="007D67FF"/>
    <w:rsid w:val="007D6890"/>
    <w:rsid w:val="007E0E71"/>
    <w:rsid w:val="007E1C82"/>
    <w:rsid w:val="007E1CAC"/>
    <w:rsid w:val="007E1D38"/>
    <w:rsid w:val="007E2972"/>
    <w:rsid w:val="007E490C"/>
    <w:rsid w:val="007E7526"/>
    <w:rsid w:val="007E7DC1"/>
    <w:rsid w:val="007F0817"/>
    <w:rsid w:val="007F1E33"/>
    <w:rsid w:val="007F219C"/>
    <w:rsid w:val="007F3FB7"/>
    <w:rsid w:val="007F437A"/>
    <w:rsid w:val="007F46C4"/>
    <w:rsid w:val="007F4BE5"/>
    <w:rsid w:val="007F4CA1"/>
    <w:rsid w:val="007F64F5"/>
    <w:rsid w:val="007F68CE"/>
    <w:rsid w:val="007F6A3D"/>
    <w:rsid w:val="007F75F7"/>
    <w:rsid w:val="007F7BFC"/>
    <w:rsid w:val="007F7D95"/>
    <w:rsid w:val="00800EE5"/>
    <w:rsid w:val="00801CFD"/>
    <w:rsid w:val="00802070"/>
    <w:rsid w:val="00803035"/>
    <w:rsid w:val="00804E62"/>
    <w:rsid w:val="008054E6"/>
    <w:rsid w:val="008070FF"/>
    <w:rsid w:val="00807767"/>
    <w:rsid w:val="00811E23"/>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0530"/>
    <w:rsid w:val="008436EC"/>
    <w:rsid w:val="00843D33"/>
    <w:rsid w:val="00845EAA"/>
    <w:rsid w:val="00846CEF"/>
    <w:rsid w:val="00850E67"/>
    <w:rsid w:val="008512C3"/>
    <w:rsid w:val="00852603"/>
    <w:rsid w:val="00852D1F"/>
    <w:rsid w:val="00855112"/>
    <w:rsid w:val="00860306"/>
    <w:rsid w:val="00860871"/>
    <w:rsid w:val="008612F0"/>
    <w:rsid w:val="00862F88"/>
    <w:rsid w:val="008638A2"/>
    <w:rsid w:val="00863ABD"/>
    <w:rsid w:val="00866B6D"/>
    <w:rsid w:val="00870253"/>
    <w:rsid w:val="008703F6"/>
    <w:rsid w:val="00871AB9"/>
    <w:rsid w:val="00874CD3"/>
    <w:rsid w:val="008759DE"/>
    <w:rsid w:val="00877089"/>
    <w:rsid w:val="00880C63"/>
    <w:rsid w:val="008845F6"/>
    <w:rsid w:val="0088504D"/>
    <w:rsid w:val="0088577C"/>
    <w:rsid w:val="008862AB"/>
    <w:rsid w:val="00892B6D"/>
    <w:rsid w:val="0089322E"/>
    <w:rsid w:val="00893D17"/>
    <w:rsid w:val="008947A2"/>
    <w:rsid w:val="008968CC"/>
    <w:rsid w:val="00896CDF"/>
    <w:rsid w:val="008974DB"/>
    <w:rsid w:val="008A3020"/>
    <w:rsid w:val="008A315D"/>
    <w:rsid w:val="008A4346"/>
    <w:rsid w:val="008A4A45"/>
    <w:rsid w:val="008A5CCB"/>
    <w:rsid w:val="008A6275"/>
    <w:rsid w:val="008A63DF"/>
    <w:rsid w:val="008A6678"/>
    <w:rsid w:val="008A687B"/>
    <w:rsid w:val="008A78FF"/>
    <w:rsid w:val="008B016E"/>
    <w:rsid w:val="008B081C"/>
    <w:rsid w:val="008B16A1"/>
    <w:rsid w:val="008B1FE0"/>
    <w:rsid w:val="008B240E"/>
    <w:rsid w:val="008B3C50"/>
    <w:rsid w:val="008B3E16"/>
    <w:rsid w:val="008B644E"/>
    <w:rsid w:val="008B791B"/>
    <w:rsid w:val="008C02A0"/>
    <w:rsid w:val="008C0F60"/>
    <w:rsid w:val="008C41AE"/>
    <w:rsid w:val="008C7458"/>
    <w:rsid w:val="008D1089"/>
    <w:rsid w:val="008D123E"/>
    <w:rsid w:val="008D1D1D"/>
    <w:rsid w:val="008D25C9"/>
    <w:rsid w:val="008D32F6"/>
    <w:rsid w:val="008D4F60"/>
    <w:rsid w:val="008D5892"/>
    <w:rsid w:val="008D61F5"/>
    <w:rsid w:val="008D68B3"/>
    <w:rsid w:val="008D6BF3"/>
    <w:rsid w:val="008D7264"/>
    <w:rsid w:val="008E18CA"/>
    <w:rsid w:val="008E22E5"/>
    <w:rsid w:val="008E40DA"/>
    <w:rsid w:val="008E4215"/>
    <w:rsid w:val="008E5067"/>
    <w:rsid w:val="008E65A4"/>
    <w:rsid w:val="008E6676"/>
    <w:rsid w:val="008E70B3"/>
    <w:rsid w:val="008F1C28"/>
    <w:rsid w:val="008F49E2"/>
    <w:rsid w:val="008F6F63"/>
    <w:rsid w:val="0090066A"/>
    <w:rsid w:val="00900FD8"/>
    <w:rsid w:val="0090118F"/>
    <w:rsid w:val="00901489"/>
    <w:rsid w:val="00902D51"/>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2D5"/>
    <w:rsid w:val="00947D8F"/>
    <w:rsid w:val="009505BC"/>
    <w:rsid w:val="009540B2"/>
    <w:rsid w:val="0095523A"/>
    <w:rsid w:val="009565D7"/>
    <w:rsid w:val="009565F7"/>
    <w:rsid w:val="009577FB"/>
    <w:rsid w:val="00960216"/>
    <w:rsid w:val="00960257"/>
    <w:rsid w:val="009603FE"/>
    <w:rsid w:val="00961795"/>
    <w:rsid w:val="00962378"/>
    <w:rsid w:val="00963201"/>
    <w:rsid w:val="00963DEF"/>
    <w:rsid w:val="00964591"/>
    <w:rsid w:val="0096591F"/>
    <w:rsid w:val="0096693D"/>
    <w:rsid w:val="00970F64"/>
    <w:rsid w:val="0097126D"/>
    <w:rsid w:val="00971644"/>
    <w:rsid w:val="009732CC"/>
    <w:rsid w:val="0097335B"/>
    <w:rsid w:val="00973A50"/>
    <w:rsid w:val="00974A07"/>
    <w:rsid w:val="00975F28"/>
    <w:rsid w:val="009770E2"/>
    <w:rsid w:val="0097735E"/>
    <w:rsid w:val="00981299"/>
    <w:rsid w:val="0098194E"/>
    <w:rsid w:val="0098288F"/>
    <w:rsid w:val="009832FC"/>
    <w:rsid w:val="00984AFC"/>
    <w:rsid w:val="00986761"/>
    <w:rsid w:val="00986A8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B4758"/>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88D"/>
    <w:rsid w:val="00A17446"/>
    <w:rsid w:val="00A2162A"/>
    <w:rsid w:val="00A221CB"/>
    <w:rsid w:val="00A222DA"/>
    <w:rsid w:val="00A223D3"/>
    <w:rsid w:val="00A2305E"/>
    <w:rsid w:val="00A24522"/>
    <w:rsid w:val="00A24F8D"/>
    <w:rsid w:val="00A27C12"/>
    <w:rsid w:val="00A305E5"/>
    <w:rsid w:val="00A30E1F"/>
    <w:rsid w:val="00A32ABB"/>
    <w:rsid w:val="00A33D1D"/>
    <w:rsid w:val="00A379FF"/>
    <w:rsid w:val="00A40251"/>
    <w:rsid w:val="00A411F4"/>
    <w:rsid w:val="00A41AF6"/>
    <w:rsid w:val="00A4235A"/>
    <w:rsid w:val="00A42EC4"/>
    <w:rsid w:val="00A43A60"/>
    <w:rsid w:val="00A44707"/>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614"/>
    <w:rsid w:val="00A67F8A"/>
    <w:rsid w:val="00A7000B"/>
    <w:rsid w:val="00A720E0"/>
    <w:rsid w:val="00A729CB"/>
    <w:rsid w:val="00A74C28"/>
    <w:rsid w:val="00A75BB6"/>
    <w:rsid w:val="00A75C4E"/>
    <w:rsid w:val="00A75E3C"/>
    <w:rsid w:val="00A76790"/>
    <w:rsid w:val="00A7766D"/>
    <w:rsid w:val="00A77688"/>
    <w:rsid w:val="00A80D48"/>
    <w:rsid w:val="00A80E24"/>
    <w:rsid w:val="00A8109B"/>
    <w:rsid w:val="00A818AD"/>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5434"/>
    <w:rsid w:val="00AA64DA"/>
    <w:rsid w:val="00AA7BA6"/>
    <w:rsid w:val="00AA7FF7"/>
    <w:rsid w:val="00AB3874"/>
    <w:rsid w:val="00AB3E9A"/>
    <w:rsid w:val="00AB4EBB"/>
    <w:rsid w:val="00AB6417"/>
    <w:rsid w:val="00AB7849"/>
    <w:rsid w:val="00AC1D75"/>
    <w:rsid w:val="00AC2257"/>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3984"/>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374A"/>
    <w:rsid w:val="00B2443F"/>
    <w:rsid w:val="00B27320"/>
    <w:rsid w:val="00B3059B"/>
    <w:rsid w:val="00B32C50"/>
    <w:rsid w:val="00B3314B"/>
    <w:rsid w:val="00B36610"/>
    <w:rsid w:val="00B36A21"/>
    <w:rsid w:val="00B37CF6"/>
    <w:rsid w:val="00B4091D"/>
    <w:rsid w:val="00B412A6"/>
    <w:rsid w:val="00B4510D"/>
    <w:rsid w:val="00B47E12"/>
    <w:rsid w:val="00B51D10"/>
    <w:rsid w:val="00B51D89"/>
    <w:rsid w:val="00B51F3B"/>
    <w:rsid w:val="00B52EB5"/>
    <w:rsid w:val="00B53E0C"/>
    <w:rsid w:val="00B540D6"/>
    <w:rsid w:val="00B54B12"/>
    <w:rsid w:val="00B55B59"/>
    <w:rsid w:val="00B55DFC"/>
    <w:rsid w:val="00B62873"/>
    <w:rsid w:val="00B6456C"/>
    <w:rsid w:val="00B6699F"/>
    <w:rsid w:val="00B66F05"/>
    <w:rsid w:val="00B6701C"/>
    <w:rsid w:val="00B6744E"/>
    <w:rsid w:val="00B67BC4"/>
    <w:rsid w:val="00B71A2D"/>
    <w:rsid w:val="00B73931"/>
    <w:rsid w:val="00B764D5"/>
    <w:rsid w:val="00B768C3"/>
    <w:rsid w:val="00B76C86"/>
    <w:rsid w:val="00B77704"/>
    <w:rsid w:val="00B80ED8"/>
    <w:rsid w:val="00B82CCF"/>
    <w:rsid w:val="00B836A4"/>
    <w:rsid w:val="00B8428C"/>
    <w:rsid w:val="00B85EB6"/>
    <w:rsid w:val="00B863BC"/>
    <w:rsid w:val="00B8656B"/>
    <w:rsid w:val="00B86E89"/>
    <w:rsid w:val="00B879F1"/>
    <w:rsid w:val="00B900BE"/>
    <w:rsid w:val="00B91B0D"/>
    <w:rsid w:val="00B91B18"/>
    <w:rsid w:val="00B9281A"/>
    <w:rsid w:val="00B9283A"/>
    <w:rsid w:val="00B92A8C"/>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0EF"/>
    <w:rsid w:val="00BB7F10"/>
    <w:rsid w:val="00BC09E9"/>
    <w:rsid w:val="00BC1A5C"/>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0B3B"/>
    <w:rsid w:val="00BF2ABC"/>
    <w:rsid w:val="00BF55D9"/>
    <w:rsid w:val="00BF5726"/>
    <w:rsid w:val="00BF6253"/>
    <w:rsid w:val="00BF6277"/>
    <w:rsid w:val="00BF72E6"/>
    <w:rsid w:val="00BF77DD"/>
    <w:rsid w:val="00C01CC9"/>
    <w:rsid w:val="00C022FB"/>
    <w:rsid w:val="00C04EE3"/>
    <w:rsid w:val="00C05160"/>
    <w:rsid w:val="00C06549"/>
    <w:rsid w:val="00C06CB7"/>
    <w:rsid w:val="00C11889"/>
    <w:rsid w:val="00C1241A"/>
    <w:rsid w:val="00C12D5A"/>
    <w:rsid w:val="00C138E9"/>
    <w:rsid w:val="00C14BF7"/>
    <w:rsid w:val="00C15787"/>
    <w:rsid w:val="00C15905"/>
    <w:rsid w:val="00C16A75"/>
    <w:rsid w:val="00C17624"/>
    <w:rsid w:val="00C17849"/>
    <w:rsid w:val="00C22026"/>
    <w:rsid w:val="00C24064"/>
    <w:rsid w:val="00C24A21"/>
    <w:rsid w:val="00C24D92"/>
    <w:rsid w:val="00C24E3C"/>
    <w:rsid w:val="00C2521A"/>
    <w:rsid w:val="00C270C6"/>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41A4"/>
    <w:rsid w:val="00C46EB3"/>
    <w:rsid w:val="00C50B98"/>
    <w:rsid w:val="00C52131"/>
    <w:rsid w:val="00C52197"/>
    <w:rsid w:val="00C5222B"/>
    <w:rsid w:val="00C527C1"/>
    <w:rsid w:val="00C53915"/>
    <w:rsid w:val="00C55F2D"/>
    <w:rsid w:val="00C577AE"/>
    <w:rsid w:val="00C61B66"/>
    <w:rsid w:val="00C61CF0"/>
    <w:rsid w:val="00C625CB"/>
    <w:rsid w:val="00C633F1"/>
    <w:rsid w:val="00C654BF"/>
    <w:rsid w:val="00C67FD0"/>
    <w:rsid w:val="00C703FE"/>
    <w:rsid w:val="00C70483"/>
    <w:rsid w:val="00C7065B"/>
    <w:rsid w:val="00C70DBB"/>
    <w:rsid w:val="00C745A7"/>
    <w:rsid w:val="00C74BF9"/>
    <w:rsid w:val="00C77881"/>
    <w:rsid w:val="00C77E1E"/>
    <w:rsid w:val="00C80BD4"/>
    <w:rsid w:val="00C8312C"/>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03BB"/>
    <w:rsid w:val="00CA1125"/>
    <w:rsid w:val="00CA12EE"/>
    <w:rsid w:val="00CA1727"/>
    <w:rsid w:val="00CA18CC"/>
    <w:rsid w:val="00CA1F2E"/>
    <w:rsid w:val="00CA225B"/>
    <w:rsid w:val="00CA2A0E"/>
    <w:rsid w:val="00CA3199"/>
    <w:rsid w:val="00CA38E6"/>
    <w:rsid w:val="00CA4A09"/>
    <w:rsid w:val="00CA5910"/>
    <w:rsid w:val="00CA5EAD"/>
    <w:rsid w:val="00CA6026"/>
    <w:rsid w:val="00CA63EE"/>
    <w:rsid w:val="00CB1BA9"/>
    <w:rsid w:val="00CB286E"/>
    <w:rsid w:val="00CB42EF"/>
    <w:rsid w:val="00CB4F3D"/>
    <w:rsid w:val="00CB5A1D"/>
    <w:rsid w:val="00CB677D"/>
    <w:rsid w:val="00CB7FF6"/>
    <w:rsid w:val="00CC2048"/>
    <w:rsid w:val="00CC2C14"/>
    <w:rsid w:val="00CC2E48"/>
    <w:rsid w:val="00CC42C8"/>
    <w:rsid w:val="00CC463F"/>
    <w:rsid w:val="00CC47EC"/>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D7EEE"/>
    <w:rsid w:val="00CE1DC1"/>
    <w:rsid w:val="00CE2706"/>
    <w:rsid w:val="00CE4BF6"/>
    <w:rsid w:val="00CE5F05"/>
    <w:rsid w:val="00CE6037"/>
    <w:rsid w:val="00CE7AFD"/>
    <w:rsid w:val="00CE7CF5"/>
    <w:rsid w:val="00CF0C6F"/>
    <w:rsid w:val="00CF1EC5"/>
    <w:rsid w:val="00CF20CE"/>
    <w:rsid w:val="00CF334A"/>
    <w:rsid w:val="00CF3811"/>
    <w:rsid w:val="00CF4298"/>
    <w:rsid w:val="00CF6683"/>
    <w:rsid w:val="00CF7939"/>
    <w:rsid w:val="00D001FE"/>
    <w:rsid w:val="00D025BD"/>
    <w:rsid w:val="00D02603"/>
    <w:rsid w:val="00D02C3D"/>
    <w:rsid w:val="00D0309F"/>
    <w:rsid w:val="00D03278"/>
    <w:rsid w:val="00D03FDD"/>
    <w:rsid w:val="00D04214"/>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2E32"/>
    <w:rsid w:val="00D25888"/>
    <w:rsid w:val="00D25C84"/>
    <w:rsid w:val="00D27163"/>
    <w:rsid w:val="00D27234"/>
    <w:rsid w:val="00D30FD0"/>
    <w:rsid w:val="00D31255"/>
    <w:rsid w:val="00D312F9"/>
    <w:rsid w:val="00D31621"/>
    <w:rsid w:val="00D32800"/>
    <w:rsid w:val="00D32F6D"/>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BA9"/>
    <w:rsid w:val="00D56B38"/>
    <w:rsid w:val="00D56E99"/>
    <w:rsid w:val="00D57369"/>
    <w:rsid w:val="00D6018C"/>
    <w:rsid w:val="00D6112B"/>
    <w:rsid w:val="00D6117B"/>
    <w:rsid w:val="00D615DB"/>
    <w:rsid w:val="00D633A8"/>
    <w:rsid w:val="00D63548"/>
    <w:rsid w:val="00D6391A"/>
    <w:rsid w:val="00D63C2F"/>
    <w:rsid w:val="00D644A2"/>
    <w:rsid w:val="00D64F9C"/>
    <w:rsid w:val="00D65A9D"/>
    <w:rsid w:val="00D66A6A"/>
    <w:rsid w:val="00D6740E"/>
    <w:rsid w:val="00D70334"/>
    <w:rsid w:val="00D71243"/>
    <w:rsid w:val="00D717AD"/>
    <w:rsid w:val="00D71EA3"/>
    <w:rsid w:val="00D71FB6"/>
    <w:rsid w:val="00D72C36"/>
    <w:rsid w:val="00D72E79"/>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96CCD"/>
    <w:rsid w:val="00DA06C2"/>
    <w:rsid w:val="00DA0999"/>
    <w:rsid w:val="00DA2E3B"/>
    <w:rsid w:val="00DA3CAD"/>
    <w:rsid w:val="00DA6A64"/>
    <w:rsid w:val="00DA78A1"/>
    <w:rsid w:val="00DA7920"/>
    <w:rsid w:val="00DB02F5"/>
    <w:rsid w:val="00DB090B"/>
    <w:rsid w:val="00DB0BC6"/>
    <w:rsid w:val="00DB16AC"/>
    <w:rsid w:val="00DB27CE"/>
    <w:rsid w:val="00DB35C9"/>
    <w:rsid w:val="00DB35CD"/>
    <w:rsid w:val="00DB45AB"/>
    <w:rsid w:val="00DB4858"/>
    <w:rsid w:val="00DB486F"/>
    <w:rsid w:val="00DB7734"/>
    <w:rsid w:val="00DB7F30"/>
    <w:rsid w:val="00DB7FEE"/>
    <w:rsid w:val="00DC0377"/>
    <w:rsid w:val="00DC0991"/>
    <w:rsid w:val="00DC2336"/>
    <w:rsid w:val="00DC4387"/>
    <w:rsid w:val="00DC46C7"/>
    <w:rsid w:val="00DC5323"/>
    <w:rsid w:val="00DC6922"/>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19B2"/>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D65"/>
    <w:rsid w:val="00E33FF5"/>
    <w:rsid w:val="00E34C21"/>
    <w:rsid w:val="00E35BD2"/>
    <w:rsid w:val="00E35FCC"/>
    <w:rsid w:val="00E3624B"/>
    <w:rsid w:val="00E36CD2"/>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67A4A"/>
    <w:rsid w:val="00E704C0"/>
    <w:rsid w:val="00E71288"/>
    <w:rsid w:val="00E722D9"/>
    <w:rsid w:val="00E733CB"/>
    <w:rsid w:val="00E73A1F"/>
    <w:rsid w:val="00E74A3D"/>
    <w:rsid w:val="00E74BA8"/>
    <w:rsid w:val="00E7560C"/>
    <w:rsid w:val="00E80DBD"/>
    <w:rsid w:val="00E80F8D"/>
    <w:rsid w:val="00E81032"/>
    <w:rsid w:val="00E812AD"/>
    <w:rsid w:val="00E8141E"/>
    <w:rsid w:val="00E82926"/>
    <w:rsid w:val="00E83F34"/>
    <w:rsid w:val="00E85390"/>
    <w:rsid w:val="00E87323"/>
    <w:rsid w:val="00E90381"/>
    <w:rsid w:val="00E90926"/>
    <w:rsid w:val="00E93F11"/>
    <w:rsid w:val="00E94D41"/>
    <w:rsid w:val="00E95985"/>
    <w:rsid w:val="00E960F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D2CC2"/>
    <w:rsid w:val="00ED4F12"/>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89F"/>
    <w:rsid w:val="00F01F59"/>
    <w:rsid w:val="00F061EE"/>
    <w:rsid w:val="00F06EC0"/>
    <w:rsid w:val="00F071B5"/>
    <w:rsid w:val="00F07870"/>
    <w:rsid w:val="00F07A56"/>
    <w:rsid w:val="00F10086"/>
    <w:rsid w:val="00F10A82"/>
    <w:rsid w:val="00F11ABF"/>
    <w:rsid w:val="00F1214A"/>
    <w:rsid w:val="00F12320"/>
    <w:rsid w:val="00F139BE"/>
    <w:rsid w:val="00F145CA"/>
    <w:rsid w:val="00F15F34"/>
    <w:rsid w:val="00F1711B"/>
    <w:rsid w:val="00F17645"/>
    <w:rsid w:val="00F17D57"/>
    <w:rsid w:val="00F215DE"/>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403BA"/>
    <w:rsid w:val="00F410A7"/>
    <w:rsid w:val="00F4185A"/>
    <w:rsid w:val="00F42AE8"/>
    <w:rsid w:val="00F42E25"/>
    <w:rsid w:val="00F45016"/>
    <w:rsid w:val="00F47EA3"/>
    <w:rsid w:val="00F50015"/>
    <w:rsid w:val="00F50753"/>
    <w:rsid w:val="00F51DF8"/>
    <w:rsid w:val="00F536FA"/>
    <w:rsid w:val="00F53A17"/>
    <w:rsid w:val="00F53DCD"/>
    <w:rsid w:val="00F54937"/>
    <w:rsid w:val="00F55965"/>
    <w:rsid w:val="00F55ECB"/>
    <w:rsid w:val="00F56591"/>
    <w:rsid w:val="00F567A2"/>
    <w:rsid w:val="00F56AA2"/>
    <w:rsid w:val="00F57CA9"/>
    <w:rsid w:val="00F57E36"/>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5B6"/>
    <w:rsid w:val="00F74852"/>
    <w:rsid w:val="00F7512B"/>
    <w:rsid w:val="00F75DE8"/>
    <w:rsid w:val="00F76A45"/>
    <w:rsid w:val="00F76CAA"/>
    <w:rsid w:val="00F76E95"/>
    <w:rsid w:val="00F77FC8"/>
    <w:rsid w:val="00F80261"/>
    <w:rsid w:val="00F805BD"/>
    <w:rsid w:val="00F8107C"/>
    <w:rsid w:val="00F813E2"/>
    <w:rsid w:val="00F82E42"/>
    <w:rsid w:val="00F84B59"/>
    <w:rsid w:val="00F84F8C"/>
    <w:rsid w:val="00F85DBB"/>
    <w:rsid w:val="00F8669B"/>
    <w:rsid w:val="00F909A0"/>
    <w:rsid w:val="00F90DAF"/>
    <w:rsid w:val="00F91A09"/>
    <w:rsid w:val="00F932D5"/>
    <w:rsid w:val="00F94372"/>
    <w:rsid w:val="00F9473C"/>
    <w:rsid w:val="00F9509E"/>
    <w:rsid w:val="00F972C1"/>
    <w:rsid w:val="00FA0074"/>
    <w:rsid w:val="00FA1553"/>
    <w:rsid w:val="00FA47CF"/>
    <w:rsid w:val="00FA55E5"/>
    <w:rsid w:val="00FA7052"/>
    <w:rsid w:val="00FA7232"/>
    <w:rsid w:val="00FA774F"/>
    <w:rsid w:val="00FB0122"/>
    <w:rsid w:val="00FB29A7"/>
    <w:rsid w:val="00FB2E48"/>
    <w:rsid w:val="00FB3103"/>
    <w:rsid w:val="00FB4486"/>
    <w:rsid w:val="00FB61C8"/>
    <w:rsid w:val="00FB635A"/>
    <w:rsid w:val="00FB64F3"/>
    <w:rsid w:val="00FB7CF8"/>
    <w:rsid w:val="00FC08EC"/>
    <w:rsid w:val="00FC10C9"/>
    <w:rsid w:val="00FC19CE"/>
    <w:rsid w:val="00FC2236"/>
    <w:rsid w:val="00FC26CF"/>
    <w:rsid w:val="00FC45CF"/>
    <w:rsid w:val="00FC4999"/>
    <w:rsid w:val="00FC572B"/>
    <w:rsid w:val="00FC6743"/>
    <w:rsid w:val="00FC6786"/>
    <w:rsid w:val="00FC6E2A"/>
    <w:rsid w:val="00FC7372"/>
    <w:rsid w:val="00FC7E62"/>
    <w:rsid w:val="00FD1D90"/>
    <w:rsid w:val="00FD3D5C"/>
    <w:rsid w:val="00FD50A0"/>
    <w:rsid w:val="00FD68C2"/>
    <w:rsid w:val="00FD7AE2"/>
    <w:rsid w:val="00FE1761"/>
    <w:rsid w:val="00FE176A"/>
    <w:rsid w:val="00FE2E59"/>
    <w:rsid w:val="00FE3332"/>
    <w:rsid w:val="00FE455A"/>
    <w:rsid w:val="00FE4EB5"/>
    <w:rsid w:val="00FF215D"/>
    <w:rsid w:val="00FF6C26"/>
    <w:rsid w:val="00FF6E9B"/>
    <w:rsid w:val="00FF7AC6"/>
    <w:rsid w:val="033F683B"/>
    <w:rsid w:val="05765502"/>
    <w:rsid w:val="061C0CA8"/>
    <w:rsid w:val="062C280A"/>
    <w:rsid w:val="07285B25"/>
    <w:rsid w:val="07C0798B"/>
    <w:rsid w:val="0942292F"/>
    <w:rsid w:val="0AAE62EE"/>
    <w:rsid w:val="0B306A87"/>
    <w:rsid w:val="0C2627C8"/>
    <w:rsid w:val="0D2701B4"/>
    <w:rsid w:val="0DDC3A66"/>
    <w:rsid w:val="0DFE385A"/>
    <w:rsid w:val="0F202505"/>
    <w:rsid w:val="0F4933A8"/>
    <w:rsid w:val="10554E67"/>
    <w:rsid w:val="136F5E09"/>
    <w:rsid w:val="14135CE9"/>
    <w:rsid w:val="143F7994"/>
    <w:rsid w:val="14556E24"/>
    <w:rsid w:val="145C09B6"/>
    <w:rsid w:val="15E564DA"/>
    <w:rsid w:val="19107E5B"/>
    <w:rsid w:val="1A09059C"/>
    <w:rsid w:val="1B574A59"/>
    <w:rsid w:val="1C8C3FCD"/>
    <w:rsid w:val="1E4578B6"/>
    <w:rsid w:val="1F2F1A57"/>
    <w:rsid w:val="22BD3DDC"/>
    <w:rsid w:val="24180599"/>
    <w:rsid w:val="25F25922"/>
    <w:rsid w:val="26D959CA"/>
    <w:rsid w:val="277245D4"/>
    <w:rsid w:val="28114720"/>
    <w:rsid w:val="28CF63F4"/>
    <w:rsid w:val="29326DC7"/>
    <w:rsid w:val="296A57B2"/>
    <w:rsid w:val="29F26F2A"/>
    <w:rsid w:val="2BC16C32"/>
    <w:rsid w:val="2C85746B"/>
    <w:rsid w:val="2DDD422B"/>
    <w:rsid w:val="2E84548B"/>
    <w:rsid w:val="2FC9681B"/>
    <w:rsid w:val="30980BBB"/>
    <w:rsid w:val="31014D28"/>
    <w:rsid w:val="34E62D8C"/>
    <w:rsid w:val="35FB623F"/>
    <w:rsid w:val="366E3B3C"/>
    <w:rsid w:val="370F0BCD"/>
    <w:rsid w:val="3715098A"/>
    <w:rsid w:val="377C6EFA"/>
    <w:rsid w:val="39157688"/>
    <w:rsid w:val="3A1844F4"/>
    <w:rsid w:val="3B1209F3"/>
    <w:rsid w:val="3BA011E5"/>
    <w:rsid w:val="3BE22C01"/>
    <w:rsid w:val="3C5C5F5C"/>
    <w:rsid w:val="3E596370"/>
    <w:rsid w:val="40865941"/>
    <w:rsid w:val="417F239B"/>
    <w:rsid w:val="41F25792"/>
    <w:rsid w:val="42974085"/>
    <w:rsid w:val="452B5932"/>
    <w:rsid w:val="45497D2B"/>
    <w:rsid w:val="45C11FF3"/>
    <w:rsid w:val="4A1F4764"/>
    <w:rsid w:val="4B0D67DA"/>
    <w:rsid w:val="4B104729"/>
    <w:rsid w:val="4B561588"/>
    <w:rsid w:val="4C556343"/>
    <w:rsid w:val="4CBA6D83"/>
    <w:rsid w:val="4EBF1908"/>
    <w:rsid w:val="50BE485B"/>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DC31F2"/>
    <w:rsid w:val="5FD6799D"/>
    <w:rsid w:val="60915A2A"/>
    <w:rsid w:val="621E6BB3"/>
    <w:rsid w:val="63C64EB3"/>
    <w:rsid w:val="648D0D03"/>
    <w:rsid w:val="66CC0AAD"/>
    <w:rsid w:val="689A3E47"/>
    <w:rsid w:val="68AE5B14"/>
    <w:rsid w:val="6AB96073"/>
    <w:rsid w:val="6B912F3A"/>
    <w:rsid w:val="6BCC359A"/>
    <w:rsid w:val="6D870C0C"/>
    <w:rsid w:val="6EA339BF"/>
    <w:rsid w:val="6F1C4F13"/>
    <w:rsid w:val="6FC82C02"/>
    <w:rsid w:val="70550787"/>
    <w:rsid w:val="7086429A"/>
    <w:rsid w:val="72147D8C"/>
    <w:rsid w:val="72C735DA"/>
    <w:rsid w:val="74171020"/>
    <w:rsid w:val="7461635C"/>
    <w:rsid w:val="74FF083E"/>
    <w:rsid w:val="75033A86"/>
    <w:rsid w:val="75AD133B"/>
    <w:rsid w:val="760333B2"/>
    <w:rsid w:val="77106AAF"/>
    <w:rsid w:val="7722680D"/>
    <w:rsid w:val="78204054"/>
    <w:rsid w:val="78254F2C"/>
    <w:rsid w:val="789E1E5D"/>
    <w:rsid w:val="7B07518A"/>
    <w:rsid w:val="7BC62B6D"/>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0"/>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0"/>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0"/>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0"/>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浅色网格 - 强调文字颜色 31"/>
    <w:basedOn w:val="1"/>
    <w:link w:val="372"/>
    <w:qFormat/>
    <w:uiPriority w:val="99"/>
    <w:pPr>
      <w:ind w:firstLine="420" w:firstLineChars="200"/>
    </w:pPr>
    <w:rPr>
      <w:szCs w:val="20"/>
    </w:rPr>
  </w:style>
  <w:style w:type="character" w:customStyle="1" w:styleId="372">
    <w:name w:val="浅色网格 - 强调文字颜色 3字符"/>
    <w:link w:val="371"/>
    <w:qFormat/>
    <w:uiPriority w:val="99"/>
    <w:rPr>
      <w:kern w:val="2"/>
      <w:sz w:val="21"/>
    </w:rPr>
  </w:style>
  <w:style w:type="paragraph" w:customStyle="1" w:styleId="373">
    <w:name w:val="修订5"/>
    <w:hidden/>
    <w:semiHidden/>
    <w:uiPriority w:val="99"/>
    <w:rPr>
      <w:rFonts w:ascii="Times New Roman" w:hAnsi="Times New Roman" w:eastAsia="宋体" w:cs="Times New Roman"/>
      <w:kern w:val="2"/>
      <w:sz w:val="21"/>
      <w:szCs w:val="24"/>
      <w:lang w:val="en-US" w:eastAsia="zh-CN" w:bidi="ar-SA"/>
    </w:rPr>
  </w:style>
  <w:style w:type="character" w:customStyle="1" w:styleId="374">
    <w:name w:val="未处理的提及2"/>
    <w:basedOn w:val="55"/>
    <w:semiHidden/>
    <w:unhideWhenUsed/>
    <w:qFormat/>
    <w:uiPriority w:val="99"/>
    <w:rPr>
      <w:color w:val="605E5C"/>
      <w:shd w:val="clear" w:color="auto" w:fill="E1DFDD"/>
    </w:rPr>
  </w:style>
  <w:style w:type="paragraph" w:customStyle="1" w:styleId="375">
    <w:name w:val="修订6"/>
    <w:hidden/>
    <w:semiHidden/>
    <w:uiPriority w:val="99"/>
    <w:rPr>
      <w:rFonts w:ascii="Times New Roman" w:hAnsi="Times New Roman" w:eastAsia="宋体" w:cs="Times New Roman"/>
      <w:kern w:val="2"/>
      <w:sz w:val="21"/>
      <w:szCs w:val="24"/>
      <w:lang w:val="en-US" w:eastAsia="zh-CN" w:bidi="ar-SA"/>
    </w:rPr>
  </w:style>
  <w:style w:type="paragraph" w:customStyle="1" w:styleId="376">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D5734-2F60-4E76-9E07-D1D62A37F8EF}">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53</Pages>
  <Words>20195</Words>
  <Characters>21259</Characters>
  <Lines>170</Lines>
  <Paragraphs>47</Paragraphs>
  <TotalTime>8</TotalTime>
  <ScaleCrop>false</ScaleCrop>
  <LinksUpToDate>false</LinksUpToDate>
  <CharactersWithSpaces>22058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2023-04-28T11:21:00Z</dcterms:created>
  <dc:creator>Administrator</dc:creator>
  <cp:lastModifiedBy>Ccyu.</cp:lastModifiedBy>
  <cp:lastPrinted>2017-04-10T13:36:00Z</cp:lastPrinted>
  <dcterms:modified xsi:type="dcterms:W3CDTF">2023-04-28T11:43:30Z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ECB6638BDD484534B2D04EAAFADBBB3E_13</vt:lpwstr>
  </property>
</Properties>
</file>