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27" w:name="_GoBack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江苏有线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跳线、光纤连接器、适配器、防水尾缆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产品检测方案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drawing>
          <wp:inline distT="0" distB="0" distL="0" distR="0">
            <wp:extent cx="1350645" cy="2147570"/>
            <wp:effectExtent l="0" t="0" r="1905" b="5080"/>
            <wp:docPr id="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江苏下一代广电网物联网研究中心有限公司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二 O二 三 年 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九</w:t>
      </w:r>
      <w:r>
        <w:rPr>
          <w:rFonts w:ascii="Times New Roman" w:hAnsi="Times New Roman" w:cs="Times New Roman"/>
          <w:b/>
          <w:bCs/>
          <w:sz w:val="32"/>
          <w:szCs w:val="32"/>
        </w:rPr>
        <w:t>月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目</w:t>
      </w:r>
      <w:r>
        <w:rPr>
          <w:rFonts w:hint="eastAsia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sz w:val="44"/>
          <w:szCs w:val="44"/>
        </w:rPr>
        <w:t xml:space="preserve"> 录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15"/>
        <w:tabs>
          <w:tab w:val="right" w:leader="dot" w:pos="8834"/>
        </w:tabs>
        <w:rPr>
          <w:rFonts w:eastAsia="黑体"/>
          <w:sz w:val="44"/>
          <w:szCs w:val="44"/>
        </w:rPr>
      </w:pP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rPr>
          <w:rFonts w:eastAsia="黑体"/>
          <w:sz w:val="44"/>
          <w:szCs w:val="44"/>
        </w:rPr>
        <w:fldChar w:fldCharType="begin"/>
      </w:r>
      <w:r>
        <w:rPr>
          <w:rFonts w:eastAsia="黑体"/>
          <w:sz w:val="44"/>
          <w:szCs w:val="44"/>
        </w:rPr>
        <w:instrText xml:space="preserve">TOC \o "1-3" \h \u </w:instrText>
      </w:r>
      <w:r>
        <w:rPr>
          <w:rFonts w:eastAsia="黑体"/>
          <w:sz w:val="44"/>
          <w:szCs w:val="44"/>
        </w:rPr>
        <w:fldChar w:fldCharType="separate"/>
      </w:r>
      <w:r>
        <w:fldChar w:fldCharType="begin"/>
      </w:r>
      <w:r>
        <w:instrText xml:space="preserve"> HYPERLINK \l "_Toc144806545" </w:instrText>
      </w:r>
      <w:r>
        <w:fldChar w:fldCharType="separate"/>
      </w:r>
      <w:r>
        <w:rPr>
          <w:rStyle w:val="19"/>
          <w:rFonts w:eastAsia="黑体"/>
          <w:bCs/>
        </w:rPr>
        <w:t>一、</w:t>
      </w:r>
      <w:r>
        <w:rPr>
          <w:rStyle w:val="19"/>
          <w:rFonts w:eastAsia="黑体"/>
        </w:rPr>
        <w:t>范围</w:t>
      </w:r>
      <w:r>
        <w:tab/>
      </w:r>
      <w:r>
        <w:fldChar w:fldCharType="begin"/>
      </w:r>
      <w:r>
        <w:instrText xml:space="preserve"> PAGEREF _Toc144806545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"_Toc144806546" </w:instrText>
      </w:r>
      <w:r>
        <w:fldChar w:fldCharType="separate"/>
      </w:r>
      <w:r>
        <w:rPr>
          <w:rStyle w:val="19"/>
          <w:rFonts w:eastAsia="黑体"/>
          <w:bCs/>
        </w:rPr>
        <w:t>二、检测目的</w:t>
      </w:r>
      <w:r>
        <w:tab/>
      </w:r>
      <w:r>
        <w:fldChar w:fldCharType="begin"/>
      </w:r>
      <w:r>
        <w:instrText xml:space="preserve"> PAGEREF _Toc144806546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"_Toc144806547" </w:instrText>
      </w:r>
      <w:r>
        <w:fldChar w:fldCharType="separate"/>
      </w:r>
      <w:r>
        <w:rPr>
          <w:rStyle w:val="19"/>
          <w:rFonts w:eastAsia="黑体"/>
          <w:bCs/>
        </w:rPr>
        <w:t>三、检测依据和判定标准</w:t>
      </w:r>
      <w:r>
        <w:tab/>
      </w:r>
      <w:r>
        <w:fldChar w:fldCharType="begin"/>
      </w:r>
      <w:r>
        <w:instrText xml:space="preserve"> PAGEREF _Toc144806547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"_Toc144806548" </w:instrText>
      </w:r>
      <w:r>
        <w:fldChar w:fldCharType="separate"/>
      </w:r>
      <w:r>
        <w:rPr>
          <w:rStyle w:val="19"/>
          <w:rFonts w:eastAsia="黑体"/>
          <w:bCs/>
        </w:rPr>
        <w:t>四、检测对象</w:t>
      </w:r>
      <w:r>
        <w:tab/>
      </w:r>
      <w:r>
        <w:fldChar w:fldCharType="begin"/>
      </w:r>
      <w:r>
        <w:instrText xml:space="preserve"> PAGEREF _Toc144806548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"_Toc144806549" </w:instrText>
      </w:r>
      <w:r>
        <w:fldChar w:fldCharType="separate"/>
      </w:r>
      <w:r>
        <w:rPr>
          <w:rStyle w:val="19"/>
          <w:rFonts w:eastAsia="黑体"/>
          <w:bCs/>
        </w:rPr>
        <w:t>五、检测内容</w:t>
      </w:r>
      <w:r>
        <w:tab/>
      </w:r>
      <w:r>
        <w:fldChar w:fldCharType="begin"/>
      </w:r>
      <w:r>
        <w:instrText xml:space="preserve"> PAGEREF _Toc144806549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"_Toc144806550" </w:instrText>
      </w:r>
      <w:r>
        <w:fldChar w:fldCharType="separate"/>
      </w:r>
      <w:r>
        <w:rPr>
          <w:rStyle w:val="19"/>
          <w:rFonts w:ascii="楷体" w:hAnsi="楷体" w:eastAsia="楷体"/>
          <w:bCs/>
        </w:rPr>
        <w:t>（一）跳线</w:t>
      </w:r>
      <w:r>
        <w:tab/>
      </w:r>
      <w:r>
        <w:fldChar w:fldCharType="begin"/>
      </w:r>
      <w:r>
        <w:instrText xml:space="preserve"> PAGEREF _Toc144806550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"_Toc144806551" </w:instrText>
      </w:r>
      <w:r>
        <w:fldChar w:fldCharType="separate"/>
      </w:r>
      <w:r>
        <w:rPr>
          <w:rStyle w:val="19"/>
          <w:rFonts w:ascii="楷体" w:hAnsi="楷体" w:eastAsia="楷体"/>
          <w:bCs/>
        </w:rPr>
        <w:t>（二）适配器</w:t>
      </w:r>
      <w:r>
        <w:tab/>
      </w:r>
      <w:r>
        <w:fldChar w:fldCharType="begin"/>
      </w:r>
      <w:r>
        <w:instrText xml:space="preserve"> PAGEREF _Toc144806551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"_Toc144806552" </w:instrText>
      </w:r>
      <w:r>
        <w:fldChar w:fldCharType="separate"/>
      </w:r>
      <w:r>
        <w:rPr>
          <w:rStyle w:val="19"/>
          <w:rFonts w:ascii="楷体" w:hAnsi="楷体" w:eastAsia="楷体"/>
          <w:bCs/>
        </w:rPr>
        <w:t>（三）防水尾缆</w:t>
      </w:r>
      <w:r>
        <w:tab/>
      </w:r>
      <w:r>
        <w:fldChar w:fldCharType="begin"/>
      </w:r>
      <w:r>
        <w:instrText xml:space="preserve"> PAGEREF _Toc144806552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834"/>
        </w:tabs>
        <w:rPr>
          <w:rFonts w:asciiTheme="minorHAnsi" w:hAnsiTheme="minorHAnsi" w:eastAsiaTheme="minorEastAsia" w:cstheme="minorBidi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"_Toc144806553" </w:instrText>
      </w:r>
      <w:r>
        <w:fldChar w:fldCharType="separate"/>
      </w:r>
      <w:r>
        <w:rPr>
          <w:rStyle w:val="19"/>
          <w:rFonts w:eastAsia="黑体"/>
          <w:bCs/>
        </w:rPr>
        <w:t>六、其他</w:t>
      </w:r>
      <w:r>
        <w:tab/>
      </w:r>
      <w:r>
        <w:fldChar w:fldCharType="begin"/>
      </w:r>
      <w:r>
        <w:instrText xml:space="preserve"> PAGEREF _Toc144806553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jc w:val="center"/>
        <w:rPr>
          <w:rFonts w:ascii="Times New Roman" w:hAnsi="Times New Roman" w:eastAsia="黑体" w:cs="Times New Roman"/>
          <w:szCs w:val="44"/>
        </w:rPr>
      </w:pPr>
      <w:r>
        <w:rPr>
          <w:rFonts w:ascii="Times New Roman" w:hAnsi="Times New Roman" w:eastAsia="黑体" w:cs="Times New Roman"/>
          <w:szCs w:val="44"/>
        </w:rPr>
        <w:fldChar w:fldCharType="end"/>
      </w:r>
    </w:p>
    <w:p>
      <w:pPr>
        <w:widowControl/>
        <w:jc w:val="left"/>
        <w:rPr>
          <w:rFonts w:ascii="Times New Roman" w:hAnsi="Times New Roman" w:eastAsia="黑体" w:cs="Times New Roman"/>
          <w:szCs w:val="44"/>
        </w:rPr>
      </w:pPr>
      <w:r>
        <w:rPr>
          <w:rFonts w:ascii="Times New Roman" w:hAnsi="Times New Roman" w:eastAsia="黑体" w:cs="Times New Roman"/>
          <w:szCs w:val="44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Toc3975"/>
      <w:bookmarkStart w:id="1" w:name="_Toc13997"/>
      <w:bookmarkStart w:id="2" w:name="_Toc466453789"/>
      <w:bookmarkStart w:id="3" w:name="_Toc466273914"/>
      <w:bookmarkStart w:id="4" w:name="_Toc21103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江苏有线跳线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、光纤连接器、适配器、防水尾缆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产品检测方案</w:t>
      </w:r>
    </w:p>
    <w:p>
      <w:pPr>
        <w:rPr>
          <w:rFonts w:ascii="Times New Roman" w:hAnsi="Times New Roman" w:cs="Times New Roman"/>
        </w:rPr>
      </w:pPr>
    </w:p>
    <w:p>
      <w:pPr>
        <w:pStyle w:val="31"/>
        <w:spacing w:line="560" w:lineRule="exact"/>
        <w:outlineLvl w:val="0"/>
        <w:rPr>
          <w:rFonts w:eastAsia="仿宋"/>
          <w:sz w:val="28"/>
          <w:szCs w:val="22"/>
        </w:rPr>
      </w:pPr>
      <w:bookmarkStart w:id="5" w:name="_Toc144806545"/>
      <w:r>
        <w:rPr>
          <w:rFonts w:eastAsia="黑体"/>
          <w:bCs/>
          <w:color w:val="000000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范围</w:t>
      </w:r>
      <w:bookmarkEnd w:id="0"/>
      <w:bookmarkEnd w:id="1"/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本方案规定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跳线、适配器、防水尾缆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bookmarkStart w:id="6" w:name="_Toc6006"/>
      <w:bookmarkStart w:id="7" w:name="_Toc13348"/>
      <w:bookmarkStart w:id="8" w:name="_Toc466453790"/>
      <w:bookmarkStart w:id="9" w:name="_Toc15003"/>
      <w:r>
        <w:rPr>
          <w:rFonts w:ascii="Times New Roman" w:hAnsi="Times New Roman" w:eastAsia="方正仿宋_GBK" w:cs="Times New Roman"/>
          <w:sz w:val="32"/>
          <w:szCs w:val="32"/>
        </w:rPr>
        <w:t>检测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目的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、检测依据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判定标准、检测</w:t>
      </w:r>
      <w:r>
        <w:rPr>
          <w:rFonts w:ascii="Times New Roman" w:hAnsi="Times New Roman" w:eastAsia="方正仿宋_GBK" w:cs="Times New Roman"/>
          <w:sz w:val="32"/>
          <w:szCs w:val="32"/>
        </w:rPr>
        <w:t>对象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检测内容等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jc w:val="left"/>
        <w:outlineLvl w:val="0"/>
        <w:rPr>
          <w:rFonts w:eastAsia="黑体"/>
          <w:bCs/>
          <w:color w:val="000000"/>
          <w:sz w:val="32"/>
          <w:szCs w:val="32"/>
        </w:rPr>
      </w:pPr>
      <w:bookmarkStart w:id="10" w:name="_Toc144806546"/>
      <w:r>
        <w:rPr>
          <w:rFonts w:eastAsia="黑体"/>
          <w:bCs/>
          <w:color w:val="000000"/>
          <w:sz w:val="32"/>
          <w:szCs w:val="32"/>
        </w:rPr>
        <w:t>二、</w:t>
      </w:r>
      <w:r>
        <w:rPr>
          <w:rFonts w:hint="eastAsia" w:eastAsia="黑体"/>
          <w:bCs/>
          <w:color w:val="000000"/>
          <w:sz w:val="32"/>
          <w:szCs w:val="32"/>
        </w:rPr>
        <w:t>检测</w:t>
      </w:r>
      <w:r>
        <w:rPr>
          <w:rFonts w:eastAsia="黑体"/>
          <w:bCs/>
          <w:color w:val="000000"/>
          <w:sz w:val="32"/>
          <w:szCs w:val="32"/>
        </w:rPr>
        <w:t>目的</w:t>
      </w:r>
      <w:bookmarkEnd w:id="6"/>
      <w:bookmarkEnd w:id="7"/>
      <w:bookmarkEnd w:id="8"/>
      <w:bookmarkEnd w:id="9"/>
      <w:bookmarkEnd w:id="10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保证集采供货产品满足江苏有线相关技术要求。</w:t>
      </w:r>
    </w:p>
    <w:p>
      <w:pPr>
        <w:pStyle w:val="31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11" w:name="_Toc144806547"/>
      <w:bookmarkStart w:id="12" w:name="_Toc21167"/>
      <w:bookmarkStart w:id="13" w:name="_Toc466453793"/>
      <w:bookmarkStart w:id="14" w:name="_Toc9417"/>
      <w:bookmarkStart w:id="15" w:name="_Toc22097"/>
      <w:bookmarkStart w:id="16" w:name="_Toc16478"/>
      <w:bookmarkStart w:id="17" w:name="_Toc31304"/>
      <w:bookmarkStart w:id="18" w:name="_Toc14727"/>
      <w:r>
        <w:rPr>
          <w:rFonts w:eastAsia="黑体"/>
          <w:bCs/>
          <w:color w:val="000000"/>
          <w:sz w:val="32"/>
          <w:szCs w:val="32"/>
        </w:rPr>
        <w:t>三、检测依据和判定标准</w:t>
      </w:r>
      <w:bookmarkEnd w:id="11"/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检测依据：《QJSCN 技 01.14-2021 江苏有线室内光缆（跳线、尾缆）技术规范》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、《YD/T 1272.3-2015  SC型光纤活动连接器》、《YD/T 1272.4-2018  FC型光纤活动连接器》、《YD/T 1272.1-2018  LC型光纤活动连接器》。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判定标准：A代表关键指标项，B代表非关键指标项，检测结果中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1个A或2个B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（含2个）指标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不合格即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判定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该产品检测不合格。</w:t>
      </w:r>
    </w:p>
    <w:p>
      <w:pPr>
        <w:pStyle w:val="31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19" w:name="_Toc144806548"/>
      <w:r>
        <w:rPr>
          <w:rFonts w:eastAsia="黑体"/>
          <w:bCs/>
          <w:color w:val="000000"/>
          <w:sz w:val="32"/>
          <w:szCs w:val="32"/>
        </w:rPr>
        <w:t>四、检测</w:t>
      </w:r>
      <w:bookmarkEnd w:id="12"/>
      <w:r>
        <w:rPr>
          <w:rFonts w:eastAsia="黑体"/>
          <w:bCs/>
          <w:color w:val="000000"/>
          <w:sz w:val="32"/>
          <w:szCs w:val="32"/>
        </w:rPr>
        <w:t>对象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跳线：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SC/UPC-SC/UPC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SC/APC-SC/APC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LC/UPC-LC/UPC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FC/APC-FC/APC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，每型号各1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根；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适配器：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SC/UPC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SC/APC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LC/UPC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FC/APC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，每型号各1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个；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防水尾缆：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SC/UPC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FC/APC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，每型号各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根，其中防水尾缆附带防水接头，规格：直径11.8mm，光缆长度9米，扇出光纤长度1米。</w:t>
      </w:r>
    </w:p>
    <w:p>
      <w:pPr>
        <w:pStyle w:val="31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20" w:name="_Toc144806549"/>
      <w:r>
        <w:rPr>
          <w:rFonts w:hint="eastAsia" w:eastAsia="黑体"/>
          <w:bCs/>
          <w:color w:val="000000"/>
          <w:sz w:val="32"/>
          <w:szCs w:val="32"/>
        </w:rPr>
        <w:t>五、</w:t>
      </w:r>
      <w:r>
        <w:rPr>
          <w:rFonts w:eastAsia="黑体"/>
          <w:bCs/>
          <w:color w:val="000000"/>
          <w:sz w:val="32"/>
          <w:szCs w:val="32"/>
        </w:rPr>
        <w:t>检测内容</w:t>
      </w:r>
      <w:bookmarkEnd w:id="20"/>
    </w:p>
    <w:p>
      <w:pPr>
        <w:pStyle w:val="31"/>
        <w:spacing w:line="560" w:lineRule="exact"/>
        <w:outlineLvl w:val="0"/>
        <w:rPr>
          <w:rFonts w:ascii="楷体" w:hAnsi="楷体" w:eastAsia="楷体"/>
          <w:bCs/>
          <w:color w:val="000000"/>
          <w:sz w:val="32"/>
          <w:szCs w:val="32"/>
        </w:rPr>
      </w:pPr>
      <w:bookmarkStart w:id="21" w:name="_Toc144806550"/>
      <w:r>
        <w:rPr>
          <w:rFonts w:hint="eastAsia" w:ascii="楷体" w:hAnsi="楷体" w:eastAsia="楷体"/>
          <w:bCs/>
          <w:color w:val="000000"/>
          <w:sz w:val="32"/>
          <w:szCs w:val="32"/>
        </w:rPr>
        <w:t>（一）跳线</w:t>
      </w:r>
      <w:bookmarkEnd w:id="21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16"/>
        <w:gridCol w:w="1302"/>
        <w:gridCol w:w="888"/>
        <w:gridCol w:w="324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指标类别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外观质量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（1）样品与设计、制造和标准相一致，加工质量符合要求；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（2）外观平滑、洁净、无油污及毛刺，无伤痕和裂纹，颜色鲜明、一致性好；各零部件组合平整，插头与适配器的插入和拔出平顺、轻松、卡子有力、开关正常。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pct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插入损耗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≤0.2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≤0.3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≤0.2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≤0.3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pct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回波损耗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≥50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≥60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≥50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≥60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互换性</w:t>
            </w:r>
          </w:p>
        </w:tc>
        <w:tc>
          <w:tcPr>
            <w:tcW w:w="719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IL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RL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机械耐久性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外观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无机械损伤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IL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附加损耗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≤0.2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≤0.2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 ≤0.2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≤0.2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RL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回损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变化量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 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抗拉试验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外观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无机械损伤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IL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≤0.4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≤0.5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000000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附加损耗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000000" w:fill="FFFFFF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≤0.1</w:t>
            </w:r>
          </w:p>
        </w:tc>
        <w:tc>
          <w:tcPr>
            <w:tcW w:w="783" w:type="pct"/>
            <w:shd w:val="clear" w:color="000000" w:fill="FFFFFF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000000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000000" w:fill="FFFFFF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≤0.1</w:t>
            </w:r>
          </w:p>
        </w:tc>
        <w:tc>
          <w:tcPr>
            <w:tcW w:w="783" w:type="pct"/>
            <w:shd w:val="clear" w:color="000000" w:fill="FFFFFF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000000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000000" w:fill="FFFFFF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 ≤0.1</w:t>
            </w:r>
          </w:p>
        </w:tc>
        <w:tc>
          <w:tcPr>
            <w:tcW w:w="783" w:type="pct"/>
            <w:shd w:val="clear" w:color="000000" w:fill="FFFFFF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000000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000000" w:fill="FFFFFF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≤0.1</w:t>
            </w:r>
          </w:p>
        </w:tc>
        <w:tc>
          <w:tcPr>
            <w:tcW w:w="783" w:type="pct"/>
            <w:shd w:val="clear" w:color="000000" w:fill="FFFFFF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RL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 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 ≥48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≥58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回损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变化量</w:t>
            </w:r>
          </w:p>
        </w:tc>
        <w:tc>
          <w:tcPr>
            <w:tcW w:w="490" w:type="pct"/>
            <w:shd w:val="clear" w:color="auto" w:fill="auto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SC/UPC-SC/UPC: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SC/APC-SC/APC: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LC/UPC-LC/UPC: 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FC/APC-FC/APC: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783" w:type="pct"/>
          </w:tcPr>
          <w:p>
            <w:pPr>
              <w:widowControl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A</w:t>
            </w:r>
          </w:p>
        </w:tc>
      </w:tr>
    </w:tbl>
    <w:p>
      <w:pPr>
        <w:pStyle w:val="31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22" w:name="_Toc144806551"/>
      <w:r>
        <w:rPr>
          <w:rFonts w:hint="eastAsia" w:ascii="楷体" w:hAnsi="楷体" w:eastAsia="楷体"/>
          <w:bCs/>
          <w:color w:val="000000"/>
          <w:sz w:val="32"/>
          <w:szCs w:val="32"/>
        </w:rPr>
        <w:t>（二）适配器</w:t>
      </w:r>
      <w:bookmarkEnd w:id="22"/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41"/>
        <w:gridCol w:w="1277"/>
        <w:gridCol w:w="888"/>
        <w:gridCol w:w="324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指标类别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外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观平滑、洁净、无油污及毛刺，无伤痕和裂纹，颜色鲜明、一致性好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插入损耗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＜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0.20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互换性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IL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≤0.20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外观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无机械损伤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插损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变化量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≤0.20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机械耐久性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外观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无机械损伤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95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插损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变化量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≤0.20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</w:tbl>
    <w:p>
      <w:pPr>
        <w:pStyle w:val="31"/>
        <w:spacing w:line="560" w:lineRule="exact"/>
        <w:outlineLvl w:val="0"/>
        <w:rPr>
          <w:rFonts w:ascii="楷体" w:hAnsi="楷体" w:eastAsia="楷体"/>
          <w:bCs/>
          <w:color w:val="000000"/>
          <w:sz w:val="32"/>
          <w:szCs w:val="32"/>
        </w:rPr>
      </w:pPr>
      <w:bookmarkStart w:id="23" w:name="_Toc144806552"/>
      <w:r>
        <w:rPr>
          <w:rFonts w:hint="eastAsia" w:ascii="楷体" w:hAnsi="楷体" w:eastAsia="楷体"/>
          <w:bCs/>
          <w:color w:val="000000"/>
          <w:sz w:val="32"/>
          <w:szCs w:val="32"/>
        </w:rPr>
        <w:t>（三）防水尾缆</w:t>
      </w:r>
      <w:bookmarkEnd w:id="23"/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888"/>
        <w:gridCol w:w="324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指标类别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防水试验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水深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300mm，浸泡4h后观察接口处无滴水现象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插入损耗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SC/UPC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：≤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0.2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SC/APC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：≤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0.3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回波损耗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SC/UPC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：≥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dB</w:t>
            </w:r>
          </w:p>
        </w:tc>
        <w:tc>
          <w:tcPr>
            <w:tcW w:w="17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SC/APC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：≥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</w:tr>
    </w:tbl>
    <w:p>
      <w:pPr>
        <w:pStyle w:val="31"/>
        <w:spacing w:line="560" w:lineRule="exact"/>
        <w:outlineLvl w:val="0"/>
        <w:rPr>
          <w:rFonts w:eastAsia="黑体"/>
          <w:bCs/>
          <w:color w:val="000000"/>
          <w:sz w:val="32"/>
          <w:szCs w:val="32"/>
        </w:rPr>
      </w:pPr>
      <w:bookmarkStart w:id="24" w:name="_Toc36408549"/>
      <w:bookmarkStart w:id="25" w:name="_Toc139887647"/>
      <w:bookmarkStart w:id="26" w:name="_Toc144806553"/>
      <w:r>
        <w:rPr>
          <w:rFonts w:hint="eastAsia" w:eastAsia="黑体"/>
          <w:bCs/>
          <w:color w:val="000000"/>
          <w:sz w:val="32"/>
          <w:szCs w:val="32"/>
        </w:rPr>
        <w:t>六</w:t>
      </w:r>
      <w:r>
        <w:rPr>
          <w:rFonts w:eastAsia="黑体"/>
          <w:bCs/>
          <w:color w:val="000000"/>
          <w:sz w:val="32"/>
          <w:szCs w:val="32"/>
        </w:rPr>
        <w:t>、其他</w:t>
      </w:r>
      <w:bookmarkEnd w:id="24"/>
      <w:bookmarkEnd w:id="25"/>
      <w:bookmarkEnd w:id="26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本方案最终解释权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归</w:t>
      </w:r>
      <w:r>
        <w:rPr>
          <w:rFonts w:ascii="Times New Roman" w:hAnsi="Times New Roman" w:eastAsia="方正仿宋_GBK" w:cs="Times New Roman"/>
          <w:sz w:val="32"/>
          <w:szCs w:val="32"/>
        </w:rPr>
        <w:t>江苏下一代广电网物联网研究中心。</w:t>
      </w:r>
    </w:p>
    <w:p>
      <w:pPr>
        <w:rPr>
          <w:rFonts w:eastAsia="方正仿宋_GBK"/>
          <w:kern w:val="0"/>
          <w:sz w:val="32"/>
          <w:szCs w:val="32"/>
        </w:rPr>
      </w:pPr>
    </w:p>
    <w:p/>
    <w:p>
      <w:pPr>
        <w:jc w:val="right"/>
        <w:rPr>
          <w:rFonts w:hint="eastAsia" w:ascii="方正仿宋简体" w:hAnsi="方正仿宋简体" w:eastAsia="方正仿宋简体"/>
          <w:kern w:val="0"/>
          <w:sz w:val="32"/>
          <w:szCs w:val="32"/>
        </w:rPr>
      </w:pPr>
      <w:r>
        <w:rPr>
          <w:rFonts w:ascii="方正仿宋简体" w:hAnsi="方正仿宋简体" w:eastAsia="方正仿宋简体"/>
          <w:kern w:val="0"/>
          <w:sz w:val="32"/>
          <w:szCs w:val="32"/>
        </w:rPr>
        <w:t>江苏下一代广电网物联网研究中心</w:t>
      </w:r>
      <w:r>
        <w:rPr>
          <w:rFonts w:hint="eastAsia" w:ascii="方正仿宋简体" w:hAnsi="方正仿宋简体" w:eastAsia="方正仿宋简体"/>
          <w:kern w:val="0"/>
          <w:sz w:val="32"/>
          <w:szCs w:val="32"/>
        </w:rPr>
        <w:t>有限公司</w:t>
      </w:r>
    </w:p>
    <w:p>
      <w:pPr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2023年9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月</w:t>
      </w:r>
    </w:p>
    <w:bookmarkEnd w:id="27"/>
    <w:sectPr>
      <w:head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版本：2.0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F3F3"/>
    <w:multiLevelType w:val="multilevel"/>
    <w:tmpl w:val="0F32F3F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ODU5YjM1MzUxYWMwNDlhZDc1YzEwZTk3ZmY3NGMifQ=="/>
  </w:docVars>
  <w:rsids>
    <w:rsidRoot w:val="004A11CD"/>
    <w:rsid w:val="00000080"/>
    <w:rsid w:val="0000331B"/>
    <w:rsid w:val="00023A0A"/>
    <w:rsid w:val="00027C34"/>
    <w:rsid w:val="000314FF"/>
    <w:rsid w:val="00044562"/>
    <w:rsid w:val="00046129"/>
    <w:rsid w:val="000566FB"/>
    <w:rsid w:val="000705F7"/>
    <w:rsid w:val="000817A7"/>
    <w:rsid w:val="00084576"/>
    <w:rsid w:val="000902E5"/>
    <w:rsid w:val="00091457"/>
    <w:rsid w:val="000D0B9C"/>
    <w:rsid w:val="000F054A"/>
    <w:rsid w:val="001013A9"/>
    <w:rsid w:val="001015CE"/>
    <w:rsid w:val="001039DE"/>
    <w:rsid w:val="00103E48"/>
    <w:rsid w:val="00112A25"/>
    <w:rsid w:val="001170FB"/>
    <w:rsid w:val="00133BF1"/>
    <w:rsid w:val="00145750"/>
    <w:rsid w:val="001635B1"/>
    <w:rsid w:val="00172818"/>
    <w:rsid w:val="001761F9"/>
    <w:rsid w:val="00186D5C"/>
    <w:rsid w:val="00193B69"/>
    <w:rsid w:val="00196E31"/>
    <w:rsid w:val="001B235C"/>
    <w:rsid w:val="001B6DC7"/>
    <w:rsid w:val="001D2B68"/>
    <w:rsid w:val="001D5164"/>
    <w:rsid w:val="001E3011"/>
    <w:rsid w:val="00201DCD"/>
    <w:rsid w:val="00204DAE"/>
    <w:rsid w:val="002271CA"/>
    <w:rsid w:val="00241DF7"/>
    <w:rsid w:val="002656F9"/>
    <w:rsid w:val="00285DAB"/>
    <w:rsid w:val="002B4EBA"/>
    <w:rsid w:val="002E52B3"/>
    <w:rsid w:val="002E7309"/>
    <w:rsid w:val="002E7D88"/>
    <w:rsid w:val="002E7E56"/>
    <w:rsid w:val="00316BF8"/>
    <w:rsid w:val="00326076"/>
    <w:rsid w:val="00353610"/>
    <w:rsid w:val="0036341B"/>
    <w:rsid w:val="0036681F"/>
    <w:rsid w:val="003754AF"/>
    <w:rsid w:val="00392E11"/>
    <w:rsid w:val="00396EA3"/>
    <w:rsid w:val="003A2112"/>
    <w:rsid w:val="003B0348"/>
    <w:rsid w:val="003B2144"/>
    <w:rsid w:val="003C1240"/>
    <w:rsid w:val="003C393C"/>
    <w:rsid w:val="003C5BFD"/>
    <w:rsid w:val="003E24D7"/>
    <w:rsid w:val="003E6EF7"/>
    <w:rsid w:val="003F6269"/>
    <w:rsid w:val="004010B5"/>
    <w:rsid w:val="004017BB"/>
    <w:rsid w:val="00403185"/>
    <w:rsid w:val="00410176"/>
    <w:rsid w:val="00412D43"/>
    <w:rsid w:val="00417AB2"/>
    <w:rsid w:val="0042590F"/>
    <w:rsid w:val="004328D9"/>
    <w:rsid w:val="004350AC"/>
    <w:rsid w:val="00441421"/>
    <w:rsid w:val="00443632"/>
    <w:rsid w:val="00444B73"/>
    <w:rsid w:val="00447BD2"/>
    <w:rsid w:val="00452FFB"/>
    <w:rsid w:val="00456B70"/>
    <w:rsid w:val="00465A7C"/>
    <w:rsid w:val="0047274F"/>
    <w:rsid w:val="00486345"/>
    <w:rsid w:val="004966A1"/>
    <w:rsid w:val="004A11CD"/>
    <w:rsid w:val="004A352D"/>
    <w:rsid w:val="004B0459"/>
    <w:rsid w:val="004B13B8"/>
    <w:rsid w:val="004B459F"/>
    <w:rsid w:val="004B5317"/>
    <w:rsid w:val="004C4DC4"/>
    <w:rsid w:val="004D1F31"/>
    <w:rsid w:val="004F6BEA"/>
    <w:rsid w:val="00500DBE"/>
    <w:rsid w:val="005042D5"/>
    <w:rsid w:val="0051368C"/>
    <w:rsid w:val="00522093"/>
    <w:rsid w:val="00532A38"/>
    <w:rsid w:val="00535D42"/>
    <w:rsid w:val="005364AF"/>
    <w:rsid w:val="0054070D"/>
    <w:rsid w:val="00545AE6"/>
    <w:rsid w:val="00565A75"/>
    <w:rsid w:val="0056709D"/>
    <w:rsid w:val="00570376"/>
    <w:rsid w:val="00582465"/>
    <w:rsid w:val="00585BB3"/>
    <w:rsid w:val="005C03BF"/>
    <w:rsid w:val="005D75E8"/>
    <w:rsid w:val="005E4095"/>
    <w:rsid w:val="005E5D43"/>
    <w:rsid w:val="005F1DAC"/>
    <w:rsid w:val="005F4A3D"/>
    <w:rsid w:val="006009DA"/>
    <w:rsid w:val="00600C2E"/>
    <w:rsid w:val="006047BD"/>
    <w:rsid w:val="0060781B"/>
    <w:rsid w:val="0061010C"/>
    <w:rsid w:val="00610D02"/>
    <w:rsid w:val="00630A7C"/>
    <w:rsid w:val="00630A9F"/>
    <w:rsid w:val="006511C7"/>
    <w:rsid w:val="006527D5"/>
    <w:rsid w:val="00660D46"/>
    <w:rsid w:val="00664168"/>
    <w:rsid w:val="00673DD7"/>
    <w:rsid w:val="00674064"/>
    <w:rsid w:val="006A2CA2"/>
    <w:rsid w:val="006A3CD3"/>
    <w:rsid w:val="006A50BD"/>
    <w:rsid w:val="006B0D9C"/>
    <w:rsid w:val="006B2DD4"/>
    <w:rsid w:val="006B477C"/>
    <w:rsid w:val="006C3F29"/>
    <w:rsid w:val="006D4B32"/>
    <w:rsid w:val="00707474"/>
    <w:rsid w:val="00722A79"/>
    <w:rsid w:val="00756015"/>
    <w:rsid w:val="00787C03"/>
    <w:rsid w:val="00790F57"/>
    <w:rsid w:val="007B32FE"/>
    <w:rsid w:val="007C0DAC"/>
    <w:rsid w:val="007C19A0"/>
    <w:rsid w:val="007D011B"/>
    <w:rsid w:val="007D1354"/>
    <w:rsid w:val="007D707C"/>
    <w:rsid w:val="007E14D7"/>
    <w:rsid w:val="00807A75"/>
    <w:rsid w:val="008109E5"/>
    <w:rsid w:val="00830CC3"/>
    <w:rsid w:val="00831078"/>
    <w:rsid w:val="0083674B"/>
    <w:rsid w:val="00837B7E"/>
    <w:rsid w:val="008466D3"/>
    <w:rsid w:val="00850AD8"/>
    <w:rsid w:val="00851ADA"/>
    <w:rsid w:val="008555B5"/>
    <w:rsid w:val="0085784F"/>
    <w:rsid w:val="00863828"/>
    <w:rsid w:val="008665F8"/>
    <w:rsid w:val="008735D3"/>
    <w:rsid w:val="0087790F"/>
    <w:rsid w:val="00883ACA"/>
    <w:rsid w:val="00893EC7"/>
    <w:rsid w:val="008B4060"/>
    <w:rsid w:val="008D2969"/>
    <w:rsid w:val="008D3A3F"/>
    <w:rsid w:val="00901351"/>
    <w:rsid w:val="00903E57"/>
    <w:rsid w:val="009212E8"/>
    <w:rsid w:val="00931029"/>
    <w:rsid w:val="00936877"/>
    <w:rsid w:val="009471F6"/>
    <w:rsid w:val="00954733"/>
    <w:rsid w:val="00965697"/>
    <w:rsid w:val="009B5A85"/>
    <w:rsid w:val="009C46CC"/>
    <w:rsid w:val="009C4F72"/>
    <w:rsid w:val="009C6F07"/>
    <w:rsid w:val="00A02B5E"/>
    <w:rsid w:val="00A039BE"/>
    <w:rsid w:val="00A11A19"/>
    <w:rsid w:val="00A13DB0"/>
    <w:rsid w:val="00A203EF"/>
    <w:rsid w:val="00A32C44"/>
    <w:rsid w:val="00A33E71"/>
    <w:rsid w:val="00A35489"/>
    <w:rsid w:val="00A5086D"/>
    <w:rsid w:val="00A600AC"/>
    <w:rsid w:val="00A65216"/>
    <w:rsid w:val="00A710A3"/>
    <w:rsid w:val="00A81120"/>
    <w:rsid w:val="00A82CB3"/>
    <w:rsid w:val="00A974C9"/>
    <w:rsid w:val="00AA3FEF"/>
    <w:rsid w:val="00AB7C6E"/>
    <w:rsid w:val="00AD29A2"/>
    <w:rsid w:val="00AE31D3"/>
    <w:rsid w:val="00AF3686"/>
    <w:rsid w:val="00AF5F29"/>
    <w:rsid w:val="00B007CD"/>
    <w:rsid w:val="00B034B5"/>
    <w:rsid w:val="00B07D21"/>
    <w:rsid w:val="00B15512"/>
    <w:rsid w:val="00B266F2"/>
    <w:rsid w:val="00B5068B"/>
    <w:rsid w:val="00B54C34"/>
    <w:rsid w:val="00B64D43"/>
    <w:rsid w:val="00B74590"/>
    <w:rsid w:val="00B91D98"/>
    <w:rsid w:val="00BA2B84"/>
    <w:rsid w:val="00BA5B90"/>
    <w:rsid w:val="00BD28EC"/>
    <w:rsid w:val="00BD7164"/>
    <w:rsid w:val="00BE4382"/>
    <w:rsid w:val="00BE7E2D"/>
    <w:rsid w:val="00C02767"/>
    <w:rsid w:val="00C16C96"/>
    <w:rsid w:val="00C17815"/>
    <w:rsid w:val="00C23072"/>
    <w:rsid w:val="00C234D2"/>
    <w:rsid w:val="00C57963"/>
    <w:rsid w:val="00C62E0F"/>
    <w:rsid w:val="00C67574"/>
    <w:rsid w:val="00C73471"/>
    <w:rsid w:val="00C749E3"/>
    <w:rsid w:val="00C75FF4"/>
    <w:rsid w:val="00CA0691"/>
    <w:rsid w:val="00CB4AB1"/>
    <w:rsid w:val="00CC6F53"/>
    <w:rsid w:val="00CD2109"/>
    <w:rsid w:val="00CE4869"/>
    <w:rsid w:val="00D00821"/>
    <w:rsid w:val="00D137A0"/>
    <w:rsid w:val="00D4675B"/>
    <w:rsid w:val="00D71ACF"/>
    <w:rsid w:val="00D7232C"/>
    <w:rsid w:val="00D72AB0"/>
    <w:rsid w:val="00D73707"/>
    <w:rsid w:val="00D8618A"/>
    <w:rsid w:val="00D87CB3"/>
    <w:rsid w:val="00D96414"/>
    <w:rsid w:val="00D96992"/>
    <w:rsid w:val="00DA132A"/>
    <w:rsid w:val="00DA175A"/>
    <w:rsid w:val="00DA451E"/>
    <w:rsid w:val="00DD0B97"/>
    <w:rsid w:val="00DF78E9"/>
    <w:rsid w:val="00E047C6"/>
    <w:rsid w:val="00E142E6"/>
    <w:rsid w:val="00E26270"/>
    <w:rsid w:val="00E57022"/>
    <w:rsid w:val="00E67483"/>
    <w:rsid w:val="00E67EE4"/>
    <w:rsid w:val="00E71635"/>
    <w:rsid w:val="00E739E9"/>
    <w:rsid w:val="00E90636"/>
    <w:rsid w:val="00E95B5A"/>
    <w:rsid w:val="00E975CC"/>
    <w:rsid w:val="00ED031A"/>
    <w:rsid w:val="00ED3AD0"/>
    <w:rsid w:val="00EE23AA"/>
    <w:rsid w:val="00EE2A68"/>
    <w:rsid w:val="00EF7D09"/>
    <w:rsid w:val="00F10104"/>
    <w:rsid w:val="00F151A6"/>
    <w:rsid w:val="00F1569A"/>
    <w:rsid w:val="00F16A05"/>
    <w:rsid w:val="00F17A9F"/>
    <w:rsid w:val="00F202E1"/>
    <w:rsid w:val="00F20AB1"/>
    <w:rsid w:val="00F37CB6"/>
    <w:rsid w:val="00F416D4"/>
    <w:rsid w:val="00F41E24"/>
    <w:rsid w:val="00F51A64"/>
    <w:rsid w:val="00F62380"/>
    <w:rsid w:val="00F74010"/>
    <w:rsid w:val="00F76DFB"/>
    <w:rsid w:val="00F81B01"/>
    <w:rsid w:val="00F84791"/>
    <w:rsid w:val="00F8709F"/>
    <w:rsid w:val="00F92458"/>
    <w:rsid w:val="00FA25C0"/>
    <w:rsid w:val="00FB7FBC"/>
    <w:rsid w:val="00FC0F09"/>
    <w:rsid w:val="00FC7065"/>
    <w:rsid w:val="0A750DAD"/>
    <w:rsid w:val="160E21CF"/>
    <w:rsid w:val="25BA5ED0"/>
    <w:rsid w:val="3A7A4648"/>
    <w:rsid w:val="5FF20F48"/>
    <w:rsid w:val="72E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line="36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tabs>
        <w:tab w:val="left" w:pos="1285"/>
      </w:tabs>
      <w:spacing w:line="360" w:lineRule="auto"/>
      <w:outlineLvl w:val="1"/>
    </w:pPr>
    <w:rPr>
      <w:rFonts w:ascii="Arial" w:hAnsi="Arial" w:eastAsia="宋体" w:cs="Times New Roman"/>
      <w:b/>
      <w:sz w:val="30"/>
      <w:szCs w:val="24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tabs>
        <w:tab w:val="left" w:pos="1004"/>
      </w:tabs>
      <w:spacing w:before="50" w:after="50" w:line="416" w:lineRule="auto"/>
      <w:jc w:val="left"/>
      <w:outlineLvl w:val="2"/>
    </w:pPr>
    <w:rPr>
      <w:rFonts w:ascii="Times New Roman" w:hAnsi="Times New Roman" w:eastAsia="仿宋" w:cs="Times New Roman"/>
      <w:b/>
      <w:bCs/>
      <w:sz w:val="24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50" w:after="50" w:line="377" w:lineRule="auto"/>
      <w:outlineLvl w:val="3"/>
    </w:pPr>
    <w:rPr>
      <w:rFonts w:ascii="Calibri Light" w:hAnsi="Calibri Light" w:eastAsia="仿宋" w:cs="Times New Roman"/>
      <w:b/>
      <w:bCs/>
      <w:sz w:val="24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rFonts w:ascii="Times New Roman" w:hAnsi="Times New Roman" w:eastAsia="仿宋" w:cs="Times New Roman"/>
      <w:b/>
      <w:sz w:val="28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rFonts w:ascii="Times New Roman" w:hAnsi="Times New Roman" w:eastAsia="仿宋" w:cs="Times New Roman"/>
      <w:b/>
      <w:sz w:val="24"/>
      <w:szCs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toc 3"/>
    <w:basedOn w:val="1"/>
    <w:next w:val="1"/>
    <w:qFormat/>
    <w:uiPriority w:val="39"/>
    <w:pPr>
      <w:spacing w:line="360" w:lineRule="auto"/>
      <w:ind w:left="840" w:leftChars="400"/>
    </w:pPr>
    <w:rPr>
      <w:rFonts w:ascii="Times New Roman" w:hAnsi="Times New Roman" w:eastAsia="仿宋" w:cs="Times New Roman"/>
      <w:sz w:val="24"/>
      <w:szCs w:val="24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仿宋" w:cs="Times New Roman"/>
      <w:sz w:val="24"/>
      <w:szCs w:val="24"/>
    </w:rPr>
  </w:style>
  <w:style w:type="paragraph" w:styleId="16">
    <w:name w:val="toc 2"/>
    <w:basedOn w:val="1"/>
    <w:next w:val="1"/>
    <w:qFormat/>
    <w:uiPriority w:val="39"/>
    <w:pPr>
      <w:spacing w:line="360" w:lineRule="auto"/>
      <w:ind w:left="420" w:leftChars="200"/>
    </w:pPr>
    <w:rPr>
      <w:rFonts w:ascii="Times New Roman" w:hAnsi="Times New Roman" w:eastAsia="仿宋" w:cs="Times New Roman"/>
      <w:sz w:val="24"/>
      <w:szCs w:val="24"/>
    </w:rPr>
  </w:style>
  <w:style w:type="character" w:styleId="19">
    <w:name w:val="Hyperlink"/>
    <w:basedOn w:val="18"/>
    <w:qFormat/>
    <w:uiPriority w:val="99"/>
    <w:rPr>
      <w:color w:val="0563C1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4"/>
    </w:rPr>
  </w:style>
  <w:style w:type="character" w:customStyle="1" w:styleId="22">
    <w:name w:val="标题 2 字符"/>
    <w:basedOn w:val="18"/>
    <w:link w:val="3"/>
    <w:qFormat/>
    <w:uiPriority w:val="0"/>
    <w:rPr>
      <w:rFonts w:ascii="Arial" w:hAnsi="Arial" w:eastAsia="宋体" w:cs="Times New Roman"/>
      <w:b/>
      <w:sz w:val="30"/>
      <w:szCs w:val="24"/>
    </w:rPr>
  </w:style>
  <w:style w:type="character" w:customStyle="1" w:styleId="23">
    <w:name w:val="标题 3 字符"/>
    <w:basedOn w:val="18"/>
    <w:link w:val="4"/>
    <w:qFormat/>
    <w:uiPriority w:val="0"/>
    <w:rPr>
      <w:rFonts w:ascii="Times New Roman" w:hAnsi="Times New Roman" w:eastAsia="仿宋" w:cs="Times New Roman"/>
      <w:b/>
      <w:bCs/>
      <w:sz w:val="24"/>
      <w:szCs w:val="32"/>
    </w:rPr>
  </w:style>
  <w:style w:type="character" w:customStyle="1" w:styleId="24">
    <w:name w:val="标题 4 字符"/>
    <w:basedOn w:val="18"/>
    <w:link w:val="5"/>
    <w:qFormat/>
    <w:uiPriority w:val="0"/>
    <w:rPr>
      <w:rFonts w:ascii="Calibri Light" w:hAnsi="Calibri Light" w:eastAsia="仿宋" w:cs="Times New Roman"/>
      <w:b/>
      <w:bCs/>
      <w:sz w:val="24"/>
      <w:szCs w:val="28"/>
    </w:rPr>
  </w:style>
  <w:style w:type="character" w:customStyle="1" w:styleId="25">
    <w:name w:val="标题 5 字符"/>
    <w:basedOn w:val="18"/>
    <w:link w:val="6"/>
    <w:semiHidden/>
    <w:qFormat/>
    <w:uiPriority w:val="0"/>
    <w:rPr>
      <w:rFonts w:ascii="Times New Roman" w:hAnsi="Times New Roman" w:eastAsia="仿宋" w:cs="Times New Roman"/>
      <w:b/>
      <w:sz w:val="28"/>
      <w:szCs w:val="24"/>
    </w:rPr>
  </w:style>
  <w:style w:type="character" w:customStyle="1" w:styleId="26">
    <w:name w:val="标题 6 字符"/>
    <w:basedOn w:val="18"/>
    <w:link w:val="7"/>
    <w:semiHidden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27">
    <w:name w:val="标题 7 字符"/>
    <w:basedOn w:val="18"/>
    <w:link w:val="8"/>
    <w:semiHidden/>
    <w:qFormat/>
    <w:uiPriority w:val="0"/>
    <w:rPr>
      <w:rFonts w:ascii="Times New Roman" w:hAnsi="Times New Roman" w:eastAsia="仿宋" w:cs="Times New Roman"/>
      <w:b/>
      <w:sz w:val="24"/>
      <w:szCs w:val="24"/>
    </w:rPr>
  </w:style>
  <w:style w:type="character" w:customStyle="1" w:styleId="28">
    <w:name w:val="标题 8 字符"/>
    <w:basedOn w:val="18"/>
    <w:link w:val="9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9">
    <w:name w:val="标题 9 字符"/>
    <w:basedOn w:val="18"/>
    <w:link w:val="10"/>
    <w:semiHidden/>
    <w:qFormat/>
    <w:uiPriority w:val="0"/>
    <w:rPr>
      <w:rFonts w:ascii="Arial" w:hAnsi="Arial" w:eastAsia="黑体" w:cs="Times New Roman"/>
      <w:szCs w:val="24"/>
    </w:rPr>
  </w:style>
  <w:style w:type="paragraph" w:customStyle="1" w:styleId="30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  <w:szCs w:val="24"/>
    </w:rPr>
  </w:style>
  <w:style w:type="paragraph" w:customStyle="1" w:styleId="3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2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3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3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083D-9590-4510-8A8A-188D695EF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2782</Characters>
  <Lines>23</Lines>
  <Paragraphs>6</Paragraphs>
  <TotalTime>173</TotalTime>
  <ScaleCrop>false</ScaleCrop>
  <LinksUpToDate>false</LinksUpToDate>
  <CharactersWithSpaces>3263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2023-07-31T02:07:00Z</dcterms:created>
  <dc:creator>程 子珍</dc:creator>
  <cp:lastModifiedBy>秋收冬藏</cp:lastModifiedBy>
  <dcterms:modified xsi:type="dcterms:W3CDTF">2023-09-05T03:51:38Z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05EF522B712D4514BB330BE4A3102E9D_13</vt:lpwstr>
  </property>
</Properties>
</file>