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pStyle w:val="2"/>
      </w:pPr>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3490"/>
      <w:bookmarkStart w:id="2" w:name="_Toc227057880"/>
      <w:r>
        <w:rPr>
          <w:rFonts w:hint="eastAsia" w:ascii="黑体" w:hAnsi="宋体" w:eastAsia="黑体"/>
          <w:sz w:val="44"/>
          <w:szCs w:val="44"/>
        </w:rPr>
        <w:t>大数据平台DSMM2级认证服务采购</w:t>
      </w:r>
    </w:p>
    <w:bookmarkEnd w:id="1"/>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w:t>
      </w:r>
      <w:r>
        <w:rPr>
          <w:rFonts w:hint="eastAsia"/>
          <w:b/>
          <w:szCs w:val="28"/>
          <w:lang w:val="en-US" w:eastAsia="zh-CN"/>
        </w:rPr>
        <w:t>九</w:t>
      </w:r>
      <w:r>
        <w:rPr>
          <w:rFonts w:hint="eastAsia"/>
          <w:b/>
          <w:szCs w:val="28"/>
        </w:rPr>
        <w:t>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竞争性谈判须知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竞争性谈判响应文件格式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 竞争性谈判公告</w:t>
      </w:r>
      <w:bookmarkEnd w:id="3"/>
    </w:p>
    <w:bookmarkEnd w:id="2"/>
    <w:p>
      <w:pPr>
        <w:spacing w:line="360" w:lineRule="auto"/>
        <w:ind w:firstLine="480" w:firstLineChars="200"/>
        <w:rPr>
          <w:rFonts w:hint="eastAsia"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“大数据平台DSMM2级认证服务采购项目”</w:t>
      </w:r>
      <w:r>
        <w:rPr>
          <w:rFonts w:hint="eastAsia" w:ascii="宋体" w:hAnsi="宋体" w:cs="宋体"/>
          <w:bCs/>
          <w:kern w:val="0"/>
          <w:sz w:val="24"/>
        </w:rPr>
        <w:t>组织竞争性谈判采购，现欢迎符合资格条件的供应商参加报价和谈判。</w:t>
      </w:r>
    </w:p>
    <w:p>
      <w:pPr>
        <w:spacing w:line="360" w:lineRule="auto"/>
        <w:ind w:firstLine="480" w:firstLineChars="200"/>
        <w:rPr>
          <w:rFonts w:hint="eastAsia" w:ascii="宋体" w:hAnsi="宋体" w:eastAsia="宋体" w:cs="宋体"/>
          <w:bCs/>
          <w:kern w:val="0"/>
          <w:sz w:val="24"/>
        </w:rPr>
      </w:pPr>
      <w:r>
        <w:rPr>
          <w:rFonts w:hint="eastAsia" w:ascii="宋体" w:hAnsi="宋体" w:eastAsia="宋体" w:cs="宋体"/>
          <w:bCs/>
          <w:kern w:val="0"/>
          <w:sz w:val="24"/>
        </w:rPr>
        <w:t>本项目为重新</w:t>
      </w:r>
      <w:r>
        <w:rPr>
          <w:rFonts w:hint="eastAsia" w:ascii="宋体" w:hAnsi="宋体" w:eastAsia="宋体" w:cs="宋体"/>
          <w:bCs/>
          <w:kern w:val="0"/>
          <w:sz w:val="24"/>
          <w:lang w:val="en-US" w:eastAsia="zh-CN"/>
        </w:rPr>
        <w:t>采购</w:t>
      </w:r>
      <w:r>
        <w:rPr>
          <w:rFonts w:hint="eastAsia" w:ascii="宋体" w:hAnsi="宋体" w:eastAsia="宋体" w:cs="宋体"/>
          <w:bCs/>
          <w:kern w:val="0"/>
          <w:sz w:val="24"/>
        </w:rPr>
        <w:t>项目，若递交</w:t>
      </w:r>
      <w:r>
        <w:rPr>
          <w:rFonts w:hint="eastAsia" w:ascii="宋体" w:hAnsi="宋体" w:eastAsia="宋体" w:cs="宋体"/>
          <w:bCs/>
          <w:kern w:val="0"/>
          <w:sz w:val="24"/>
          <w:lang w:val="en-US" w:eastAsia="zh-CN"/>
        </w:rPr>
        <w:t>响应</w:t>
      </w:r>
      <w:r>
        <w:rPr>
          <w:rFonts w:hint="eastAsia" w:ascii="宋体" w:hAnsi="宋体" w:eastAsia="宋体" w:cs="宋体"/>
          <w:bCs/>
          <w:kern w:val="0"/>
          <w:sz w:val="24"/>
        </w:rPr>
        <w:t>文件截止时间前，</w:t>
      </w:r>
      <w:r>
        <w:rPr>
          <w:rFonts w:hint="eastAsia" w:ascii="宋体" w:hAnsi="宋体" w:eastAsia="宋体" w:cs="宋体"/>
          <w:bCs/>
          <w:kern w:val="0"/>
          <w:sz w:val="24"/>
          <w:lang w:val="en-US" w:eastAsia="zh-CN"/>
        </w:rPr>
        <w:t>响应供应商不少于</w:t>
      </w:r>
      <w:r>
        <w:rPr>
          <w:rFonts w:hint="eastAsia" w:ascii="宋体" w:hAnsi="宋体" w:eastAsia="宋体" w:cs="宋体"/>
          <w:bCs/>
          <w:kern w:val="0"/>
          <w:sz w:val="24"/>
        </w:rPr>
        <w:t xml:space="preserve"> 2个，则</w:t>
      </w:r>
      <w:r>
        <w:rPr>
          <w:rFonts w:hint="eastAsia" w:ascii="宋体" w:hAnsi="宋体" w:eastAsia="宋体" w:cs="宋体"/>
          <w:bCs/>
          <w:kern w:val="0"/>
          <w:sz w:val="24"/>
          <w:lang w:val="en-US" w:eastAsia="zh-CN"/>
        </w:rPr>
        <w:t>继续</w:t>
      </w:r>
      <w:r>
        <w:rPr>
          <w:rFonts w:hint="eastAsia" w:ascii="宋体" w:hAnsi="宋体" w:eastAsia="宋体" w:cs="宋体"/>
          <w:bCs/>
          <w:kern w:val="0"/>
          <w:sz w:val="24"/>
        </w:rPr>
        <w:t>竞争性谈判（参照本项目</w:t>
      </w:r>
      <w:r>
        <w:rPr>
          <w:rFonts w:hint="eastAsia" w:ascii="宋体" w:hAnsi="宋体" w:eastAsia="宋体" w:cs="宋体"/>
          <w:bCs/>
          <w:kern w:val="0"/>
          <w:sz w:val="24"/>
          <w:lang w:val="en-US" w:eastAsia="zh-CN"/>
        </w:rPr>
        <w:t>评审</w:t>
      </w:r>
      <w:r>
        <w:rPr>
          <w:rFonts w:hint="eastAsia" w:ascii="宋体" w:hAnsi="宋体" w:eastAsia="宋体" w:cs="宋体"/>
          <w:bCs/>
          <w:kern w:val="0"/>
          <w:sz w:val="24"/>
        </w:rPr>
        <w:t>办法)，若</w:t>
      </w:r>
      <w:r>
        <w:rPr>
          <w:rFonts w:hint="eastAsia" w:ascii="宋体" w:hAnsi="宋体" w:eastAsia="宋体" w:cs="宋体"/>
          <w:bCs/>
          <w:kern w:val="0"/>
          <w:sz w:val="24"/>
          <w:lang w:val="en-US" w:eastAsia="zh-CN"/>
        </w:rPr>
        <w:t>响应供应商</w:t>
      </w:r>
      <w:r>
        <w:rPr>
          <w:rFonts w:hint="eastAsia" w:ascii="宋体" w:hAnsi="宋体" w:eastAsia="宋体" w:cs="宋体"/>
          <w:bCs/>
          <w:kern w:val="0"/>
          <w:sz w:val="24"/>
        </w:rPr>
        <w:t>为 1个，则变更为单一来源谈判。</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spacing w:line="360" w:lineRule="auto"/>
        <w:ind w:firstLine="480" w:firstLineChars="200"/>
        <w:rPr>
          <w:rFonts w:ascii="宋体" w:hAnsi="宋体"/>
          <w:sz w:val="24"/>
        </w:rPr>
      </w:pPr>
      <w:r>
        <w:rPr>
          <w:rFonts w:ascii="宋体" w:hAnsi="宋体" w:cs="宋体"/>
          <w:kern w:val="0"/>
          <w:sz w:val="24"/>
        </w:rPr>
        <w:t>本期</w:t>
      </w:r>
      <w:r>
        <w:rPr>
          <w:rFonts w:hint="eastAsia" w:ascii="宋体" w:hAnsi="宋体" w:cs="宋体"/>
          <w:kern w:val="0"/>
          <w:sz w:val="24"/>
        </w:rPr>
        <w:t>项目</w:t>
      </w:r>
      <w:r>
        <w:rPr>
          <w:rFonts w:ascii="宋体" w:hAnsi="宋体" w:cs="宋体"/>
          <w:kern w:val="0"/>
          <w:sz w:val="24"/>
        </w:rPr>
        <w:t>计划采购</w:t>
      </w:r>
      <w:r>
        <w:rPr>
          <w:rFonts w:hint="eastAsia" w:ascii="宋体" w:hAnsi="宋体" w:cs="宋体"/>
          <w:kern w:val="0"/>
          <w:sz w:val="24"/>
        </w:rPr>
        <w:t>大数据平台DSMM 2级认证（数据安全能力成熟度认证）服务</w:t>
      </w:r>
      <w:r>
        <w:rPr>
          <w:rFonts w:hint="eastAsia" w:ascii="宋体" w:hAnsi="宋体" w:cs="宋体"/>
          <w:kern w:val="0"/>
          <w:sz w:val="24"/>
          <w:szCs w:val="22"/>
        </w:rPr>
        <w:t>。</w:t>
      </w:r>
    </w:p>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1.服务供应商须为在中华人民共和国境内合法注册的独立法人，遵守中国有关法律、法规，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2、服务供应商须出具经第三方审计的2021年度和2022年度财务报表</w:t>
      </w:r>
      <w:bookmarkStart w:id="5" w:name="_Hlk71211729"/>
      <w:r>
        <w:rPr>
          <w:rFonts w:hint="eastAsia" w:ascii="宋体" w:hAnsi="宋体" w:cs="宋体"/>
          <w:kern w:val="0"/>
          <w:sz w:val="24"/>
          <w:szCs w:val="22"/>
        </w:rPr>
        <w:t>（至少包括文字性报告及资产负债表、现金流量表、利润表等）</w:t>
      </w:r>
      <w:bookmarkEnd w:id="5"/>
      <w:r>
        <w:rPr>
          <w:rFonts w:hint="eastAsia" w:ascii="宋体" w:hAnsi="宋体" w:cs="宋体"/>
          <w:kern w:val="0"/>
          <w:sz w:val="24"/>
          <w:szCs w:val="22"/>
        </w:rPr>
        <w:t>，近两年平均每年营业收入不少于</w:t>
      </w:r>
      <w:r>
        <w:rPr>
          <w:rFonts w:ascii="宋体" w:hAnsi="宋体" w:cs="宋体"/>
          <w:kern w:val="0"/>
          <w:sz w:val="24"/>
          <w:szCs w:val="22"/>
        </w:rPr>
        <w:t>2</w:t>
      </w:r>
      <w:r>
        <w:rPr>
          <w:rFonts w:hint="eastAsia" w:ascii="宋体" w:hAnsi="宋体" w:cs="宋体"/>
          <w:kern w:val="0"/>
          <w:sz w:val="24"/>
          <w:szCs w:val="22"/>
        </w:rPr>
        <w:t>00万元。</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3、服务供应商须具备中国信息安全测评中心颁发的国家信息安全测评信息安全服务资质证书-风险评估类资质。（提供有效期内的资质证书材料）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4、服务供应商应具备</w:t>
      </w:r>
      <w:r>
        <w:rPr>
          <w:rFonts w:ascii="宋体" w:hAnsi="宋体" w:cs="宋体"/>
          <w:kern w:val="0"/>
          <w:sz w:val="24"/>
          <w:szCs w:val="22"/>
        </w:rPr>
        <w:t>CCRC信息安全服务资质认证</w:t>
      </w:r>
      <w:r>
        <w:rPr>
          <w:rFonts w:hint="eastAsia" w:ascii="宋体" w:hAnsi="宋体" w:cs="宋体"/>
          <w:kern w:val="0"/>
          <w:sz w:val="24"/>
          <w:szCs w:val="22"/>
        </w:rPr>
        <w:t>二级或以上证书。（提供有效期内的资质证书材料）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5、服务认证机构须为国家权威机构认证机构。（提供相关认证材料）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6、服务认证机构须具备开展数据安全能力成熟度评估的资质。（提供有效期内的资质证书材料）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7、服务认证机构须具备CCRC信息安全管理体系认证证书和信息安全风险评估资质证书。（提供有效期内的资质证书材料）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8、服务供应商</w:t>
      </w:r>
      <w:r>
        <w:rPr>
          <w:rFonts w:ascii="宋体" w:hAnsi="宋体" w:cs="宋体"/>
          <w:kern w:val="0"/>
          <w:sz w:val="24"/>
          <w:szCs w:val="22"/>
        </w:rPr>
        <w:t>须和</w:t>
      </w:r>
      <w:r>
        <w:rPr>
          <w:rFonts w:hint="eastAsia" w:ascii="宋体" w:hAnsi="宋体" w:cs="宋体"/>
          <w:kern w:val="0"/>
          <w:sz w:val="24"/>
          <w:szCs w:val="22"/>
        </w:rPr>
        <w:t>服务认证机构</w:t>
      </w:r>
      <w:r>
        <w:rPr>
          <w:rFonts w:ascii="宋体" w:hAnsi="宋体" w:cs="宋体"/>
          <w:kern w:val="0"/>
          <w:sz w:val="24"/>
          <w:szCs w:val="22"/>
        </w:rPr>
        <w:t>已经具有合作关系</w:t>
      </w:r>
      <w:r>
        <w:rPr>
          <w:rFonts w:hint="eastAsia" w:ascii="宋体" w:hAnsi="宋体" w:cs="宋体"/>
          <w:kern w:val="0"/>
          <w:sz w:val="24"/>
          <w:szCs w:val="22"/>
        </w:rPr>
        <w:t>。（提供案例合同或服务认证机构盖章的相关证明材料）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9、服务供应商须保证，采购人在其本国使用服务供应商提供的产品和服务时，不存在任何已知的不合法的情形，也不存在任何已知的与第三方专利权、著作权、商标权或工业设计权相关的任何争议。如果有任何因采购人使用服务供应商提供的产品或服务而提起的侵权指控，服务供应商依法承担全部责任。（提供承诺函）</w:t>
      </w:r>
    </w:p>
    <w:bookmarkEnd w:id="4"/>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lang w:val="en-US" w:eastAsia="zh-CN"/>
        </w:rPr>
        <w:t>9</w:t>
      </w:r>
      <w:r>
        <w:rPr>
          <w:rFonts w:hint="eastAsia" w:ascii="宋体" w:hAnsi="宋体" w:cs="宋体"/>
          <w:color w:val="191919"/>
          <w:kern w:val="0"/>
          <w:sz w:val="24"/>
          <w:shd w:val="clear" w:color="auto" w:fill="FFFFFF"/>
        </w:rPr>
        <w:t>月</w:t>
      </w:r>
      <w:r>
        <w:rPr>
          <w:rFonts w:hint="eastAsia" w:ascii="宋体" w:hAnsi="宋体" w:cs="宋体"/>
          <w:color w:val="191919"/>
          <w:kern w:val="0"/>
          <w:sz w:val="24"/>
          <w:shd w:val="clear" w:color="auto" w:fill="FFFFFF"/>
          <w:lang w:val="en-US" w:eastAsia="zh-CN"/>
        </w:rPr>
        <w:t>27</w:t>
      </w:r>
      <w:r>
        <w:rPr>
          <w:rFonts w:ascii="宋体" w:hAnsi="宋体" w:cs="宋体"/>
          <w:color w:val="191919"/>
          <w:kern w:val="0"/>
          <w:sz w:val="24"/>
          <w:shd w:val="clear" w:color="auto" w:fill="FFFFFF"/>
        </w:rPr>
        <w:t>日至202</w:t>
      </w:r>
      <w:r>
        <w:rPr>
          <w:rFonts w:hint="eastAsia" w:ascii="宋体" w:hAnsi="宋体" w:cs="宋体"/>
          <w:color w:val="191919"/>
          <w:kern w:val="0"/>
          <w:sz w:val="24"/>
          <w:shd w:val="clear" w:color="auto" w:fill="FFFFFF"/>
          <w:lang w:val="en-US" w:eastAsia="zh-CN"/>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lang w:val="en-US" w:eastAsia="zh-CN"/>
        </w:rPr>
        <w:t>10</w:t>
      </w:r>
      <w:r>
        <w:rPr>
          <w:rFonts w:hint="eastAsia" w:ascii="宋体" w:hAnsi="宋体" w:cs="宋体"/>
          <w:color w:val="191919"/>
          <w:kern w:val="0"/>
          <w:sz w:val="24"/>
          <w:shd w:val="clear" w:color="auto" w:fill="FFFFFF"/>
        </w:rPr>
        <w:t>月</w:t>
      </w:r>
      <w:r>
        <w:rPr>
          <w:rFonts w:hint="eastAsia" w:ascii="宋体" w:hAnsi="宋体" w:cs="宋体"/>
          <w:color w:val="191919"/>
          <w:kern w:val="0"/>
          <w:sz w:val="24"/>
          <w:shd w:val="clear" w:color="auto" w:fill="FFFFFF"/>
          <w:lang w:val="en-US" w:eastAsia="zh-CN"/>
        </w:rPr>
        <w:t>9</w:t>
      </w:r>
      <w:r>
        <w:rPr>
          <w:rFonts w:ascii="宋体" w:hAnsi="宋体" w:cs="宋体"/>
          <w:color w:val="191919"/>
          <w:kern w:val="0"/>
          <w:sz w:val="24"/>
          <w:shd w:val="clear" w:color="auto" w:fill="FFFFFF"/>
        </w:rPr>
        <w:t>日止，每日上午9：00-12：00，下午14：00-17：00（北京时间）</w:t>
      </w:r>
      <w:bookmarkStart w:id="91" w:name="_GoBack"/>
      <w:bookmarkEnd w:id="91"/>
      <w:r>
        <w:rPr>
          <w:rFonts w:ascii="宋体" w:hAnsi="宋体" w:cs="宋体"/>
          <w:color w:val="191919"/>
          <w:kern w:val="0"/>
          <w:sz w:val="24"/>
          <w:shd w:val="clear" w:color="auto" w:fill="FFFFFF"/>
        </w:rPr>
        <w:t>。</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发放方式：竞争性谈判文件在报名后自行下载，请响应供应商联系采购人进行报名登记，具体报名方式为将响应函（详见第六章 竞争性谈判响应文件格式</w:t>
      </w:r>
      <w:r>
        <w:rPr>
          <w:rFonts w:ascii="宋体" w:hAnsi="宋体" w:cs="宋体"/>
          <w:color w:val="191919"/>
          <w:kern w:val="0"/>
          <w:sz w:val="24"/>
          <w:shd w:val="clear" w:color="auto" w:fill="FFFFFF"/>
        </w:rPr>
        <w:t xml:space="preserve"> </w:t>
      </w:r>
      <w:r>
        <w:rPr>
          <w:rFonts w:hint="eastAsia" w:ascii="宋体" w:hAnsi="宋体" w:cs="宋体"/>
          <w:color w:val="191919"/>
          <w:kern w:val="0"/>
          <w:sz w:val="24"/>
          <w:shd w:val="clear" w:color="auto" w:fill="FFFFFF"/>
        </w:rPr>
        <w:t>附件1：响应函）加盖公司公章同时发至邮箱wangzhen@jscnnet.com，未在文件发放日内完成登记的不得参与本项目。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lang w:val="en-US" w:eastAsia="zh-CN"/>
        </w:rPr>
        <w:t>10</w:t>
      </w:r>
      <w:r>
        <w:rPr>
          <w:rFonts w:hint="eastAsia" w:ascii="宋体" w:hAnsi="宋体" w:cs="宋体"/>
          <w:color w:val="191919"/>
          <w:kern w:val="0"/>
          <w:sz w:val="24"/>
          <w:shd w:val="clear" w:color="auto" w:fill="FFFFFF"/>
        </w:rPr>
        <w:t>月</w:t>
      </w:r>
      <w:r>
        <w:rPr>
          <w:rFonts w:hint="eastAsia" w:ascii="宋体" w:hAnsi="宋体" w:cs="宋体"/>
          <w:color w:val="191919"/>
          <w:kern w:val="0"/>
          <w:sz w:val="24"/>
          <w:shd w:val="clear" w:color="auto" w:fill="FFFFFF"/>
          <w:lang w:val="en-US" w:eastAsia="zh-CN"/>
        </w:rPr>
        <w:t>9</w:t>
      </w:r>
      <w:r>
        <w:rPr>
          <w:rFonts w:ascii="宋体" w:hAnsi="宋体" w:cs="宋体"/>
          <w:color w:val="191919"/>
          <w:kern w:val="0"/>
          <w:sz w:val="24"/>
          <w:shd w:val="clear" w:color="auto" w:fill="FFFFFF"/>
        </w:rPr>
        <w:t>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项目联系人：丁佳佳 025-86731609    王真025-8673</w:t>
      </w:r>
      <w:r>
        <w:rPr>
          <w:rFonts w:ascii="宋体" w:hAnsi="宋体" w:cs="宋体"/>
          <w:color w:val="191919"/>
          <w:kern w:val="0"/>
          <w:sz w:val="24"/>
          <w:shd w:val="clear" w:color="auto" w:fill="FFFFFF"/>
        </w:rPr>
        <w:t>1517</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w:t>
      </w:r>
      <w:r>
        <w:rPr>
          <w:rFonts w:hint="eastAsia" w:ascii="宋体" w:hAnsi="宋体" w:cs="宋体"/>
          <w:color w:val="191919"/>
          <w:kern w:val="0"/>
          <w:sz w:val="24"/>
          <w:shd w:val="clear" w:color="auto" w:fill="FFFFFF"/>
          <w:lang w:val="en-US" w:eastAsia="zh-CN"/>
        </w:rPr>
        <w:t>10</w:t>
      </w:r>
      <w:r>
        <w:rPr>
          <w:rFonts w:hint="eastAsia" w:ascii="宋体" w:hAnsi="宋体" w:cs="宋体"/>
          <w:color w:val="191919"/>
          <w:kern w:val="0"/>
          <w:sz w:val="24"/>
          <w:shd w:val="clear" w:color="auto" w:fill="FFFFFF"/>
        </w:rPr>
        <w:t>月</w:t>
      </w:r>
      <w:r>
        <w:rPr>
          <w:rFonts w:hint="eastAsia" w:ascii="宋体" w:hAnsi="宋体" w:cs="宋体"/>
          <w:color w:val="191919"/>
          <w:kern w:val="0"/>
          <w:sz w:val="24"/>
          <w:shd w:val="clear" w:color="auto" w:fill="FFFFFF"/>
          <w:lang w:val="en-US" w:eastAsia="zh-CN"/>
        </w:rPr>
        <w:t>12</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下午14</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，逾期收到或不按照竞争性谈判文件要求密封的响应文件恕不接受。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楼信息化管理部。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王真，电话：025-</w:t>
      </w:r>
      <w:r>
        <w:rPr>
          <w:rFonts w:hint="eastAsia" w:ascii="宋体" w:hAnsi="宋体" w:cs="宋体"/>
          <w:color w:val="191919"/>
          <w:kern w:val="0"/>
          <w:sz w:val="24"/>
          <w:shd w:val="clear" w:color="auto" w:fill="FFFFFF"/>
        </w:rPr>
        <w:t>8673</w:t>
      </w:r>
      <w:r>
        <w:rPr>
          <w:rFonts w:ascii="宋体" w:hAnsi="宋体" w:cs="宋体"/>
          <w:color w:val="191919"/>
          <w:kern w:val="0"/>
          <w:sz w:val="24"/>
          <w:shd w:val="clear" w:color="auto" w:fill="FFFFFF"/>
        </w:rPr>
        <w:t>1517</w:t>
      </w:r>
      <w:r>
        <w:rPr>
          <w:rFonts w:ascii="宋体" w:hAnsi="宋体" w:cs="宋体"/>
          <w:color w:val="191919"/>
          <w:kern w:val="0"/>
          <w:sz w:val="24"/>
        </w:rPr>
        <w:t>。</w:t>
      </w:r>
    </w:p>
    <w:p>
      <w:pPr>
        <w:widowControl/>
        <w:spacing w:line="360" w:lineRule="auto"/>
        <w:ind w:firstLine="420"/>
        <w:jc w:val="left"/>
      </w:pPr>
      <w:r>
        <w:rPr>
          <w:rFonts w:hint="eastAsia" w:ascii="宋体" w:hAnsi="宋体" w:cs="宋体"/>
          <w:color w:val="191919"/>
          <w:kern w:val="0"/>
          <w:sz w:val="24"/>
          <w:shd w:val="clear" w:color="auto" w:fill="FFFFFF"/>
        </w:rPr>
        <w:t>竞争性谈判时间：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3年</w:t>
      </w:r>
      <w:r>
        <w:rPr>
          <w:rFonts w:hint="eastAsia" w:ascii="宋体" w:hAnsi="宋体" w:cs="宋体"/>
          <w:color w:val="191919"/>
          <w:kern w:val="0"/>
          <w:sz w:val="24"/>
          <w:shd w:val="clear" w:color="auto" w:fill="FFFFFF"/>
          <w:lang w:val="en-US" w:eastAsia="zh-CN"/>
        </w:rPr>
        <w:t>10</w:t>
      </w:r>
      <w:r>
        <w:rPr>
          <w:rFonts w:hint="eastAsia" w:ascii="宋体" w:hAnsi="宋体" w:cs="宋体"/>
          <w:color w:val="191919"/>
          <w:kern w:val="0"/>
          <w:sz w:val="24"/>
          <w:shd w:val="clear" w:color="auto" w:fill="FFFFFF"/>
        </w:rPr>
        <w:t>月1</w:t>
      </w:r>
      <w:r>
        <w:rPr>
          <w:rFonts w:hint="eastAsia" w:ascii="宋体" w:hAnsi="宋体" w:cs="宋体"/>
          <w:color w:val="191919"/>
          <w:kern w:val="0"/>
          <w:sz w:val="24"/>
          <w:shd w:val="clear" w:color="auto" w:fill="FFFFFF"/>
          <w:lang w:val="en-US" w:eastAsia="zh-CN"/>
        </w:rPr>
        <w:t>2</w:t>
      </w:r>
      <w:r>
        <w:rPr>
          <w:rFonts w:ascii="宋体" w:hAnsi="宋体" w:cs="宋体"/>
          <w:color w:val="191919"/>
          <w:kern w:val="0"/>
          <w:sz w:val="24"/>
          <w:shd w:val="clear" w:color="auto" w:fill="FFFFFF"/>
        </w:rPr>
        <w:t>日</w:t>
      </w:r>
      <w:r>
        <w:rPr>
          <w:rFonts w:hint="eastAsia" w:ascii="宋体" w:hAnsi="宋体" w:cs="宋体"/>
          <w:color w:val="191919"/>
          <w:kern w:val="0"/>
          <w:sz w:val="24"/>
          <w:shd w:val="clear" w:color="auto" w:fill="FFFFFF"/>
        </w:rPr>
        <w:t>下午14</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本次招标公告同时在江苏省广电有线信息网络股份有限公司官网（www.jscnnet.com）“招标采购”栏目及中国招标投标公共服务平台（http://www.cebpubservice.com/）上发布，其他媒介转载无效。</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6" w:name="bookmark1"/>
      <w:bookmarkEnd w:id="6"/>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7" w:name="_Toc107822483"/>
      <w:bookmarkStart w:id="8" w:name="_Toc69378616"/>
      <w:bookmarkStart w:id="9" w:name="_Toc227057883"/>
      <w:bookmarkStart w:id="10" w:name="_Toc226969276"/>
      <w:r>
        <w:rPr>
          <w:rFonts w:hint="eastAsia"/>
          <w:b/>
          <w:sz w:val="36"/>
          <w:szCs w:val="36"/>
        </w:rPr>
        <w:t>第二章 竞争性谈判</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rFonts w:hint="eastAsia" w:eastAsia="宋体"/>
                <w:sz w:val="24"/>
                <w:lang w:eastAsia="zh-CN"/>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r>
              <w:rPr>
                <w:rFonts w:hint="eastAsia"/>
                <w:sz w:val="24"/>
                <w:lang w:eastAsia="zh-CN"/>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、不满足竞争性谈判文件对合格供应商的基本资质要求的；</w:t>
            </w:r>
          </w:p>
          <w:p>
            <w:pPr>
              <w:spacing w:line="320" w:lineRule="exact"/>
              <w:rPr>
                <w:sz w:val="24"/>
              </w:rPr>
            </w:pPr>
            <w:r>
              <w:rPr>
                <w:rFonts w:hint="eastAsia"/>
                <w:sz w:val="24"/>
              </w:rPr>
              <w:t>2、供应商在响应文件中提供的服务内容及质量不能实质性满足竞争性谈判文件要求或不能提供实质性满足证明的；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、资格证明文件不全、失效或不符合竞争性谈判文件要求的；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、未按照竞争性谈判文件规定的方式领取竞争性谈判文件并按要求递交响应文件的；</w:t>
            </w:r>
          </w:p>
          <w:p>
            <w:pPr>
              <w:spacing w:line="320" w:lineRule="exact"/>
              <w:rPr>
                <w:sz w:val="24"/>
              </w:rPr>
            </w:pPr>
            <w:r>
              <w:rPr>
                <w:sz w:val="24"/>
              </w:rPr>
              <w:t>11</w:t>
            </w:r>
            <w:r>
              <w:rPr>
                <w:rFonts w:hint="eastAsia"/>
                <w:sz w:val="24"/>
              </w:rPr>
              <w:t>、评审委员会认为不能实质上满足竞争性谈判文件其它要求的。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6969316"/>
      <w:bookmarkStart w:id="12" w:name="_Toc227057922"/>
      <w:bookmarkStart w:id="13" w:name="_Toc107822520"/>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107822556"/>
      <w:bookmarkStart w:id="16" w:name="_Toc226969352"/>
      <w:bookmarkStart w:id="17" w:name="_Toc227057958"/>
      <w:r>
        <w:rPr>
          <w:rFonts w:hint="eastAsia"/>
          <w:b/>
          <w:sz w:val="36"/>
          <w:szCs w:val="36"/>
        </w:rPr>
        <w:t>第三章 评审办法</w:t>
      </w:r>
      <w:bookmarkEnd w:id="14"/>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7</w:t>
            </w:r>
            <w:r>
              <w:rPr>
                <w:rFonts w:hint="eastAsia" w:ascii="宋体" w:hAnsi="宋体"/>
                <w:b/>
                <w:bCs/>
                <w:sz w:val="24"/>
                <w:lang w:val="en-US" w:eastAsia="zh-CN"/>
              </w:rPr>
              <w:t>5</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1、供应商的响应价如有缺漏项，视为免费提供；</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4、供应商评审价=经评审的该供应商含税总价。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w:t>
            </w:r>
            <w:r>
              <w:rPr>
                <w:rFonts w:hint="eastAsia"/>
                <w:kern w:val="0"/>
                <w:sz w:val="24"/>
              </w:rPr>
              <w:t>评审基准价：将满足采购文件要求的所有合格供应商的最低价为评审基准价。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、报价得分=（评</w:t>
            </w:r>
            <w:r>
              <w:rPr>
                <w:rFonts w:hint="eastAsia"/>
                <w:kern w:val="0"/>
                <w:sz w:val="24"/>
              </w:rPr>
              <w:t>审</w:t>
            </w:r>
            <w:r>
              <w:rPr>
                <w:rFonts w:hint="eastAsia" w:ascii="宋体" w:hAnsi="宋体"/>
                <w:sz w:val="24"/>
              </w:rPr>
              <w:t>基准价/评</w:t>
            </w:r>
            <w:r>
              <w:rPr>
                <w:rFonts w:hint="eastAsia"/>
                <w:kern w:val="0"/>
                <w:sz w:val="24"/>
              </w:rPr>
              <w:t>审</w:t>
            </w:r>
            <w:r>
              <w:rPr>
                <w:rFonts w:hint="eastAsia" w:ascii="宋体" w:hAnsi="宋体"/>
                <w:sz w:val="24"/>
              </w:rPr>
              <w:t>价）×7</w:t>
            </w:r>
            <w:r>
              <w:rPr>
                <w:rFonts w:hint="eastAsia" w:ascii="宋体" w:hAnsi="宋体"/>
                <w:sz w:val="24"/>
                <w:lang w:val="en-US" w:eastAsia="zh-CN"/>
              </w:rPr>
              <w:t>5</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color w:val="010101"/>
                <w:kern w:val="0"/>
                <w:sz w:val="24"/>
              </w:rPr>
              <w:t>响应</w:t>
            </w:r>
            <w:r>
              <w:rPr>
                <w:rFonts w:ascii="宋体" w:hAnsi="宋体" w:cs="宋体"/>
                <w:b/>
                <w:bCs/>
                <w:color w:val="010101"/>
                <w:kern w:val="0"/>
                <w:sz w:val="24"/>
              </w:rPr>
              <w:t>文件的</w:t>
            </w:r>
            <w:r>
              <w:rPr>
                <w:rFonts w:hint="eastAsia" w:ascii="宋体" w:hAnsi="宋体" w:cs="宋体"/>
                <w:b/>
                <w:bCs/>
                <w:color w:val="010101"/>
                <w:kern w:val="0"/>
                <w:sz w:val="24"/>
              </w:rPr>
              <w:t>完整</w:t>
            </w:r>
            <w:r>
              <w:rPr>
                <w:rFonts w:ascii="宋体" w:hAnsi="宋体" w:cs="宋体"/>
                <w:b/>
                <w:bCs/>
                <w:color w:val="010101"/>
                <w:kern w:val="0"/>
                <w:sz w:val="24"/>
              </w:rPr>
              <w:t>有效性</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color w:val="010101"/>
                <w:kern w:val="0"/>
                <w:sz w:val="24"/>
              </w:rPr>
              <w:t>2</w:t>
            </w:r>
            <w:r>
              <w:rPr>
                <w:rFonts w:ascii="宋体" w:hAnsi="宋体" w:cs="宋体"/>
                <w:b/>
                <w:bCs/>
                <w:color w:val="010101"/>
                <w:kern w:val="0"/>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cs="宋体"/>
                <w:color w:val="000000"/>
                <w:kern w:val="0"/>
                <w:sz w:val="24"/>
              </w:rPr>
              <w:t>供应商响应文件完全符合采购文件的形式要求，无缺、漏项；文字清晰、描述清楚得2分；如发现不符，酌情扣分；如果发现严重不符或任何弄虚作假的行为，则直接取消参评资格。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7</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w:t>
            </w:r>
            <w:r>
              <w:rPr>
                <w:rFonts w:ascii="宋体" w:hAnsi="宋体"/>
                <w:sz w:val="24"/>
              </w:rPr>
              <w:t>7</w:t>
            </w:r>
            <w:r>
              <w:rPr>
                <w:rFonts w:hint="eastAsia" w:ascii="宋体" w:hAnsi="宋体"/>
                <w:sz w:val="24"/>
              </w:rPr>
              <w:t>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1</w:t>
            </w:r>
            <w:r>
              <w:rPr>
                <w:rFonts w:hint="eastAsia" w:ascii="宋体" w:hAnsi="宋体"/>
                <w:sz w:val="24"/>
              </w:rPr>
              <w:t>分，本条分数扣完为止。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9"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服务能力</w:t>
            </w:r>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1</w:t>
            </w:r>
            <w:r>
              <w:rPr>
                <w:rFonts w:hint="eastAsia" w:ascii="宋体" w:hAnsi="宋体"/>
                <w:b/>
                <w:bCs/>
                <w:sz w:val="24"/>
                <w:lang w:val="en-US" w:eastAsia="zh-CN"/>
              </w:rPr>
              <w:t>3</w:t>
            </w:r>
            <w:r>
              <w:rPr>
                <w:rFonts w:hint="eastAsia" w:ascii="宋体" w:hAnsi="宋体"/>
                <w:b/>
                <w:bCs/>
                <w:sz w:val="24"/>
              </w:rPr>
              <w:t>分</w:t>
            </w:r>
          </w:p>
        </w:tc>
        <w:tc>
          <w:tcPr>
            <w:tcW w:w="8148"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、服务供应商具备ITSS（信息技术服务标准）--运行维护服务能力成熟度（三级）及以上证书，得2分；没有不得分。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2</w:t>
            </w:r>
            <w:r>
              <w:rPr>
                <w:rFonts w:hint="eastAsia" w:ascii="宋体" w:hAnsi="宋体"/>
                <w:sz w:val="24"/>
              </w:rPr>
              <w:t>、服务供应商的服务团队在1名项目经理和2名服务人员的基础上，每增加1名服务人员得1分，最多得2分。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3</w:t>
            </w:r>
            <w:r>
              <w:rPr>
                <w:rFonts w:hint="eastAsia" w:ascii="宋体" w:hAnsi="宋体"/>
                <w:sz w:val="24"/>
              </w:rPr>
              <w:t>、服务供应商的服务团队项目经理提供有效的PMP、CISSP、</w:t>
            </w:r>
            <w:r>
              <w:rPr>
                <w:rFonts w:ascii="宋体" w:hAnsi="宋体"/>
                <w:sz w:val="24"/>
              </w:rPr>
              <w:t>CDPSE</w:t>
            </w:r>
            <w:r>
              <w:rPr>
                <w:rFonts w:hint="eastAsia" w:ascii="宋体" w:hAnsi="宋体"/>
                <w:sz w:val="24"/>
              </w:rPr>
              <w:t>、</w:t>
            </w:r>
            <w:r>
              <w:rPr>
                <w:rFonts w:ascii="宋体" w:hAnsi="宋体"/>
                <w:sz w:val="24"/>
              </w:rPr>
              <w:t>CDSP</w:t>
            </w:r>
            <w:r>
              <w:rPr>
                <w:rFonts w:hint="eastAsia" w:ascii="宋体" w:hAnsi="宋体"/>
                <w:sz w:val="24"/>
              </w:rPr>
              <w:t>等资质证书，每有一项得1分，最多得3分。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4</w:t>
            </w:r>
            <w:r>
              <w:rPr>
                <w:rFonts w:hint="eastAsia" w:ascii="宋体" w:hAnsi="宋体"/>
                <w:sz w:val="24"/>
              </w:rPr>
              <w:t>、服务供应商的服务团队项目经理具备本科及以上学历，且具有10年及以上信息安全行业工作经验、5年及以上成熟的项目管理经验，得3分；任一项不满足不得分。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lang w:val="en-US" w:eastAsia="zh-CN"/>
              </w:rPr>
              <w:t>5</w:t>
            </w:r>
            <w:r>
              <w:rPr>
                <w:rFonts w:hint="eastAsia" w:ascii="宋体" w:hAnsi="宋体"/>
                <w:sz w:val="24"/>
              </w:rPr>
              <w:t>、服务供应商的服务团队成员（不含项目经理）具备本科及以上学历，且具备CISP或CISAW或CCSC资质证书的，每有1位成员满足得1分，最高得3分；不满足不得分。</w:t>
            </w:r>
          </w:p>
          <w:p>
            <w:pPr>
              <w:pStyle w:val="2"/>
            </w:pPr>
            <w:r>
              <w:rPr>
                <w:rFonts w:hint="eastAsia" w:ascii="宋体" w:hAnsi="宋体"/>
                <w:sz w:val="24"/>
              </w:rPr>
              <w:t>注：须提供全日制本科及以上学历毕业证书和学位证书（非全日制证书不予认可）、有效期内的各项认证证书、证书持有人员自202</w:t>
            </w:r>
            <w:r>
              <w:rPr>
                <w:rFonts w:ascii="宋体" w:hAnsi="宋体"/>
                <w:sz w:val="24"/>
              </w:rPr>
              <w:t>3</w:t>
            </w:r>
            <w:r>
              <w:rPr>
                <w:rFonts w:hint="eastAsia" w:ascii="宋体" w:hAnsi="宋体"/>
                <w:sz w:val="24"/>
              </w:rPr>
              <w:t>年1月</w:t>
            </w:r>
            <w:r>
              <w:rPr>
                <w:rFonts w:ascii="宋体" w:hAnsi="宋体" w:cs="宋体"/>
                <w:kern w:val="0"/>
                <w:sz w:val="24"/>
                <w:szCs w:val="24"/>
              </w:rPr>
              <w:t>以来</w:t>
            </w:r>
            <w:r>
              <w:rPr>
                <w:rFonts w:hint="eastAsia" w:ascii="宋体" w:hAnsi="宋体" w:cs="宋体"/>
                <w:kern w:val="0"/>
                <w:sz w:val="24"/>
                <w:szCs w:val="24"/>
              </w:rPr>
              <w:t>任意连续三个月</w:t>
            </w:r>
            <w:r>
              <w:rPr>
                <w:rFonts w:hint="eastAsia" w:ascii="宋体" w:hAnsi="宋体"/>
                <w:sz w:val="24"/>
              </w:rPr>
              <w:t>在服务供应商的社保缴纳证明文件。不提供则不得分。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8" w:name="_Toc69378618"/>
      <w:r>
        <w:rPr>
          <w:rFonts w:hint="eastAsia"/>
          <w:b/>
          <w:sz w:val="36"/>
          <w:szCs w:val="36"/>
        </w:rPr>
        <w:t xml:space="preserve">第四章 </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42" w:firstLineChars="200"/>
        <w:rPr>
          <w:rFonts w:ascii="宋体" w:hAnsi="宋体"/>
          <w:color w:val="000000"/>
          <w:sz w:val="22"/>
          <w:szCs w:val="22"/>
        </w:rPr>
      </w:pPr>
      <w:r>
        <w:rPr>
          <w:rFonts w:ascii="宋体" w:hAnsi="宋体"/>
          <w:b/>
          <w:color w:val="000000"/>
          <w:sz w:val="22"/>
          <w:szCs w:val="22"/>
          <w:u w:val="single"/>
        </w:rPr>
        <w:t>江苏省广电有线信息网络股份有限公司（以下简称“甲方”）</w:t>
      </w:r>
      <w:r>
        <w:rPr>
          <w:rFonts w:ascii="宋体" w:hAnsi="宋体"/>
          <w:color w:val="000000"/>
          <w:sz w:val="22"/>
          <w:szCs w:val="22"/>
        </w:rPr>
        <w:t>就</w:t>
      </w:r>
      <w:r>
        <w:rPr>
          <w:rFonts w:hint="eastAsia" w:ascii="宋体" w:hAnsi="宋体"/>
          <w:b/>
          <w:color w:val="000000"/>
          <w:sz w:val="22"/>
          <w:szCs w:val="22"/>
          <w:u w:val="single"/>
        </w:rPr>
        <w:t>大数据平台DSMM2级认证服务采购</w:t>
      </w:r>
      <w:r>
        <w:rPr>
          <w:rFonts w:ascii="宋体" w:hAnsi="宋体"/>
          <w:color w:val="000000"/>
          <w:sz w:val="22"/>
          <w:szCs w:val="22"/>
        </w:rPr>
        <w:t>的采购及相关服务组织了</w:t>
      </w:r>
      <w:r>
        <w:rPr>
          <w:rFonts w:hint="eastAsia" w:ascii="宋体" w:hAnsi="宋体"/>
          <w:color w:val="000000"/>
          <w:sz w:val="22"/>
          <w:szCs w:val="22"/>
        </w:rPr>
        <w:t>竞争性谈判</w:t>
      </w:r>
      <w:r>
        <w:rPr>
          <w:rFonts w:ascii="宋体" w:hAnsi="宋体"/>
          <w:color w:val="000000"/>
          <w:sz w:val="22"/>
          <w:szCs w:val="22"/>
        </w:rPr>
        <w:t>，经评委会严格评审，本项目由</w:t>
      </w:r>
      <w:r>
        <w:rPr>
          <w:rFonts w:hint="eastAsia" w:ascii="宋体" w:hAnsi="宋体"/>
          <w:color w:val="000000"/>
          <w:sz w:val="22"/>
          <w:szCs w:val="22"/>
          <w:u w:val="single"/>
        </w:rPr>
        <w:t xml:space="preserve"> </w:t>
      </w:r>
      <w:r>
        <w:rPr>
          <w:rFonts w:ascii="宋体" w:hAnsi="宋体"/>
          <w:color w:val="000000"/>
          <w:sz w:val="22"/>
          <w:szCs w:val="22"/>
          <w:u w:val="single"/>
        </w:rPr>
        <w:t xml:space="preserve">  </w:t>
      </w:r>
      <w:r>
        <w:rPr>
          <w:rFonts w:ascii="宋体" w:hAnsi="宋体"/>
          <w:b/>
          <w:color w:val="000000"/>
          <w:sz w:val="22"/>
          <w:szCs w:val="22"/>
          <w:u w:val="single"/>
        </w:rPr>
        <w:t xml:space="preserve">  公司（以下简称“乙方”）</w:t>
      </w:r>
      <w:r>
        <w:rPr>
          <w:rFonts w:ascii="宋体" w:hAnsi="宋体"/>
          <w:color w:val="000000"/>
          <w:sz w:val="22"/>
          <w:szCs w:val="22"/>
        </w:rPr>
        <w:t>中</w:t>
      </w:r>
      <w:r>
        <w:rPr>
          <w:rFonts w:hint="eastAsia" w:ascii="宋体" w:hAnsi="宋体"/>
          <w:color w:val="000000"/>
          <w:sz w:val="22"/>
          <w:szCs w:val="22"/>
        </w:rPr>
        <w:t>选</w:t>
      </w:r>
      <w:r>
        <w:rPr>
          <w:rFonts w:ascii="宋体" w:hAnsi="宋体"/>
          <w:color w:val="000000"/>
          <w:sz w:val="22"/>
          <w:szCs w:val="22"/>
        </w:rPr>
        <w:t>。</w:t>
      </w:r>
    </w:p>
    <w:p>
      <w:pPr>
        <w:spacing w:line="360" w:lineRule="auto"/>
        <w:ind w:firstLine="440" w:firstLineChars="200"/>
        <w:rPr>
          <w:rFonts w:ascii="宋体" w:hAnsi="宋体"/>
          <w:color w:val="000000"/>
          <w:sz w:val="22"/>
          <w:szCs w:val="22"/>
        </w:rPr>
      </w:pPr>
      <w:r>
        <w:rPr>
          <w:rFonts w:hint="eastAsia" w:ascii="宋体" w:hAnsi="宋体"/>
          <w:bCs/>
          <w:color w:val="000000"/>
          <w:sz w:val="22"/>
          <w:szCs w:val="22"/>
        </w:rPr>
        <w:t>甲</w:t>
      </w:r>
      <w:r>
        <w:rPr>
          <w:rFonts w:ascii="宋体" w:hAnsi="宋体"/>
          <w:bCs/>
          <w:color w:val="000000"/>
          <w:sz w:val="22"/>
          <w:szCs w:val="22"/>
        </w:rPr>
        <w:t>、</w:t>
      </w:r>
      <w:r>
        <w:rPr>
          <w:rFonts w:hint="eastAsia" w:ascii="宋体" w:hAnsi="宋体"/>
          <w:bCs/>
          <w:color w:val="000000"/>
          <w:sz w:val="22"/>
          <w:szCs w:val="22"/>
        </w:rPr>
        <w:t>乙</w:t>
      </w:r>
      <w:r>
        <w:rPr>
          <w:rFonts w:ascii="宋体" w:hAnsi="宋体"/>
          <w:bCs/>
          <w:color w:val="000000"/>
          <w:sz w:val="22"/>
          <w:szCs w:val="22"/>
        </w:rPr>
        <w:t>双方根据</w:t>
      </w:r>
      <w:r>
        <w:rPr>
          <w:rFonts w:hint="eastAsia" w:ascii="宋体" w:hAnsi="宋体"/>
          <w:bCs/>
          <w:color w:val="000000"/>
          <w:sz w:val="22"/>
          <w:szCs w:val="22"/>
          <w:u w:val="single"/>
        </w:rPr>
        <w:t>大数据平台DSMM2级认证服务采购</w:t>
      </w:r>
      <w:r>
        <w:rPr>
          <w:rFonts w:hint="eastAsia" w:ascii="宋体" w:hAnsi="宋体"/>
          <w:color w:val="000000"/>
          <w:sz w:val="22"/>
          <w:szCs w:val="22"/>
        </w:rPr>
        <w:t>竞争性谈判</w:t>
      </w:r>
      <w:r>
        <w:rPr>
          <w:rFonts w:ascii="宋体" w:hAnsi="宋体"/>
          <w:color w:val="000000"/>
          <w:sz w:val="22"/>
          <w:szCs w:val="22"/>
        </w:rPr>
        <w:t>文件的规定、乙方</w:t>
      </w:r>
      <w:r>
        <w:rPr>
          <w:rFonts w:hint="eastAsia" w:ascii="宋体" w:hAnsi="宋体"/>
          <w:color w:val="000000"/>
          <w:sz w:val="22"/>
          <w:szCs w:val="22"/>
        </w:rPr>
        <w:t>响应</w:t>
      </w:r>
      <w:r>
        <w:rPr>
          <w:rFonts w:ascii="宋体" w:hAnsi="宋体"/>
          <w:color w:val="000000"/>
          <w:sz w:val="22"/>
          <w:szCs w:val="22"/>
        </w:rPr>
        <w:t>文件及</w:t>
      </w:r>
      <w:r>
        <w:rPr>
          <w:rFonts w:hint="eastAsia" w:ascii="宋体" w:hAnsi="宋体"/>
          <w:color w:val="000000"/>
          <w:sz w:val="22"/>
          <w:szCs w:val="22"/>
        </w:rPr>
        <w:t>谈判</w:t>
      </w:r>
      <w:r>
        <w:rPr>
          <w:rFonts w:ascii="宋体" w:hAnsi="宋体"/>
          <w:color w:val="000000"/>
          <w:sz w:val="22"/>
          <w:szCs w:val="22"/>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bookmarkStart w:id="19" w:name="_Toc69378619"/>
      <w:r>
        <w:rPr>
          <w:rFonts w:ascii="宋体" w:hAnsi="宋体" w:eastAsia="宋体" w:cs="宋体"/>
          <w:b/>
          <w:bCs w:val="0"/>
          <w:sz w:val="22"/>
          <w:szCs w:val="22"/>
        </w:rPr>
        <w:t>一、项目标的和内容</w:t>
      </w:r>
      <w:bookmarkEnd w:id="19"/>
    </w:p>
    <w:p>
      <w:pPr>
        <w:spacing w:line="360" w:lineRule="auto"/>
        <w:ind w:firstLine="440" w:firstLineChars="200"/>
        <w:rPr>
          <w:color w:val="000000"/>
          <w:sz w:val="22"/>
          <w:szCs w:val="22"/>
        </w:rPr>
      </w:pPr>
      <w:bookmarkStart w:id="20" w:name="_Toc69378620"/>
      <w:r>
        <w:rPr>
          <w:color w:val="262626"/>
          <w:sz w:val="22"/>
          <w:szCs w:val="22"/>
        </w:rPr>
        <w:t>项目标的内容包括乙方按照甲方具体要求</w:t>
      </w:r>
      <w:r>
        <w:rPr>
          <w:rFonts w:hint="eastAsia"/>
          <w:color w:val="262626"/>
          <w:sz w:val="22"/>
          <w:szCs w:val="22"/>
        </w:rPr>
        <w:t>提供</w:t>
      </w:r>
      <w:r>
        <w:rPr>
          <w:rFonts w:hint="eastAsia" w:ascii="宋体" w:hAnsi="宋体"/>
          <w:color w:val="000000"/>
          <w:sz w:val="22"/>
          <w:szCs w:val="22"/>
          <w:u w:val="single"/>
        </w:rPr>
        <w:t>大数据平台DSMM2级认证服务，确保甲方获得大数据平台DSMM2级认证证书</w:t>
      </w:r>
      <w:r>
        <w:rPr>
          <w:color w:val="000000"/>
          <w:sz w:val="22"/>
          <w:szCs w:val="22"/>
        </w:rPr>
        <w:t>。</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ascii="宋体" w:hAnsi="宋体" w:eastAsia="宋体" w:cs="宋体"/>
          <w:b/>
          <w:bCs w:val="0"/>
          <w:sz w:val="22"/>
          <w:szCs w:val="22"/>
        </w:rPr>
        <w:t>二、合同总价</w:t>
      </w:r>
      <w:bookmarkEnd w:id="20"/>
    </w:p>
    <w:p>
      <w:pPr>
        <w:numPr>
          <w:ilvl w:val="1"/>
          <w:numId w:val="5"/>
        </w:numPr>
        <w:tabs>
          <w:tab w:val="left" w:pos="0"/>
          <w:tab w:val="clear" w:pos="1155"/>
        </w:tabs>
        <w:spacing w:line="360" w:lineRule="auto"/>
        <w:ind w:left="0" w:firstLine="0"/>
        <w:rPr>
          <w:rFonts w:ascii="宋体" w:hAnsi="宋体"/>
          <w:color w:val="000000"/>
          <w:sz w:val="22"/>
          <w:szCs w:val="22"/>
        </w:rPr>
      </w:pPr>
      <w:r>
        <w:rPr>
          <w:rFonts w:ascii="宋体" w:hAnsi="宋体"/>
          <w:color w:val="000000"/>
          <w:sz w:val="22"/>
          <w:szCs w:val="22"/>
        </w:rPr>
        <w:t>合同总价</w:t>
      </w:r>
      <w:r>
        <w:rPr>
          <w:rFonts w:ascii="宋体" w:hAnsi="宋体"/>
          <w:b/>
          <w:color w:val="000000"/>
          <w:sz w:val="22"/>
          <w:szCs w:val="22"/>
        </w:rPr>
        <w:t>（人民币大写）：</w:t>
      </w:r>
      <w:r>
        <w:rPr>
          <w:rFonts w:ascii="宋体" w:hAnsi="宋体"/>
          <w:b/>
          <w:color w:val="000000"/>
          <w:sz w:val="22"/>
          <w:szCs w:val="22"/>
          <w:u w:val="single"/>
        </w:rPr>
        <w:t xml:space="preserve">                </w:t>
      </w:r>
      <w:r>
        <w:rPr>
          <w:rFonts w:ascii="宋体" w:hAnsi="宋体"/>
          <w:color w:val="000000"/>
          <w:sz w:val="22"/>
          <w:szCs w:val="22"/>
        </w:rPr>
        <w:t>。</w:t>
      </w:r>
    </w:p>
    <w:p>
      <w:pPr>
        <w:spacing w:line="360" w:lineRule="auto"/>
        <w:ind w:firstLine="1325" w:firstLineChars="600"/>
        <w:rPr>
          <w:rFonts w:ascii="宋体" w:hAnsi="宋体"/>
          <w:color w:val="000000"/>
          <w:sz w:val="22"/>
          <w:szCs w:val="22"/>
        </w:rPr>
      </w:pPr>
      <w:r>
        <w:rPr>
          <w:rFonts w:ascii="宋体" w:hAnsi="宋体"/>
          <w:b/>
          <w:color w:val="000000"/>
          <w:sz w:val="22"/>
          <w:szCs w:val="22"/>
        </w:rPr>
        <w:t>（人民币小写）：</w:t>
      </w:r>
      <w:r>
        <w:rPr>
          <w:rFonts w:ascii="宋体" w:hAnsi="宋体"/>
          <w:b/>
          <w:color w:val="000000"/>
          <w:sz w:val="22"/>
          <w:szCs w:val="22"/>
          <w:u w:val="single"/>
        </w:rPr>
        <w:t>￥</w:t>
      </w:r>
      <w:r>
        <w:rPr>
          <w:rFonts w:hint="eastAsia" w:ascii="宋体" w:hAnsi="宋体"/>
          <w:b/>
          <w:color w:val="000000"/>
          <w:sz w:val="22"/>
          <w:szCs w:val="22"/>
          <w:u w:val="single"/>
        </w:rPr>
        <w:t xml:space="preserve"> </w:t>
      </w:r>
      <w:r>
        <w:rPr>
          <w:rFonts w:ascii="宋体" w:hAnsi="宋体"/>
          <w:b/>
          <w:color w:val="000000"/>
          <w:sz w:val="22"/>
          <w:szCs w:val="22"/>
          <w:u w:val="single"/>
        </w:rPr>
        <w:t xml:space="preserve">             </w:t>
      </w:r>
      <w:r>
        <w:rPr>
          <w:rFonts w:ascii="宋体" w:hAnsi="宋体"/>
          <w:color w:val="000000"/>
          <w:sz w:val="22"/>
          <w:szCs w:val="22"/>
        </w:rPr>
        <w:t>。</w:t>
      </w:r>
    </w:p>
    <w:p>
      <w:pPr>
        <w:numPr>
          <w:ilvl w:val="1"/>
          <w:numId w:val="5"/>
        </w:numPr>
        <w:tabs>
          <w:tab w:val="left" w:pos="0"/>
          <w:tab w:val="clear" w:pos="1155"/>
        </w:tabs>
        <w:spacing w:line="360" w:lineRule="auto"/>
        <w:ind w:left="0" w:firstLine="0"/>
        <w:rPr>
          <w:sz w:val="22"/>
          <w:szCs w:val="22"/>
        </w:rPr>
      </w:pPr>
      <w:bookmarkStart w:id="21" w:name="_Hlk70610090"/>
      <w:r>
        <w:rPr>
          <w:sz w:val="22"/>
          <w:szCs w:val="22"/>
        </w:rPr>
        <w:t>合同总价系指按本合同的规定，</w:t>
      </w:r>
      <w:r>
        <w:rPr>
          <w:rFonts w:hint="eastAsia"/>
          <w:sz w:val="22"/>
          <w:szCs w:val="22"/>
        </w:rPr>
        <w:t>乙</w:t>
      </w:r>
      <w:r>
        <w:rPr>
          <w:sz w:val="22"/>
          <w:szCs w:val="22"/>
        </w:rPr>
        <w:t>方在完全履行了合同的义务后，</w:t>
      </w:r>
      <w:r>
        <w:rPr>
          <w:rFonts w:hint="eastAsia"/>
          <w:sz w:val="22"/>
          <w:szCs w:val="22"/>
        </w:rPr>
        <w:t>甲</w:t>
      </w:r>
      <w:r>
        <w:rPr>
          <w:sz w:val="22"/>
          <w:szCs w:val="22"/>
        </w:rPr>
        <w:t>方支付给</w:t>
      </w:r>
      <w:r>
        <w:rPr>
          <w:rFonts w:hint="eastAsia"/>
          <w:sz w:val="22"/>
          <w:szCs w:val="22"/>
        </w:rPr>
        <w:t>乙</w:t>
      </w:r>
      <w:r>
        <w:rPr>
          <w:sz w:val="22"/>
          <w:szCs w:val="22"/>
        </w:rPr>
        <w:t>方的总价款，包括但不限于软硬件的采购费、包装费、运输费、保险费、安装调试费、随机提供的备品备件和专用工具费、检测验收费、培训费、售后服务费，以及与所供产品和服务有关的一切税费</w:t>
      </w:r>
      <w:r>
        <w:rPr>
          <w:rFonts w:hint="eastAsia"/>
          <w:sz w:val="22"/>
          <w:szCs w:val="22"/>
        </w:rPr>
        <w:t>，除此之外，</w:t>
      </w:r>
      <w:r>
        <w:rPr>
          <w:color w:val="262626"/>
          <w:sz w:val="22"/>
          <w:szCs w:val="22"/>
        </w:rPr>
        <w:t>甲</w:t>
      </w:r>
      <w:r>
        <w:rPr>
          <w:rFonts w:hint="eastAsia"/>
          <w:sz w:val="22"/>
          <w:szCs w:val="22"/>
        </w:rPr>
        <w:t>方不再以任何名义、任何方式向</w:t>
      </w:r>
      <w:r>
        <w:rPr>
          <w:color w:val="262626"/>
          <w:sz w:val="22"/>
          <w:szCs w:val="22"/>
        </w:rPr>
        <w:t>乙</w:t>
      </w:r>
      <w:r>
        <w:rPr>
          <w:rFonts w:hint="eastAsia"/>
          <w:sz w:val="22"/>
          <w:szCs w:val="22"/>
        </w:rPr>
        <w:t>方支付费用</w:t>
      </w:r>
      <w:r>
        <w:rPr>
          <w:sz w:val="22"/>
          <w:szCs w:val="22"/>
        </w:rPr>
        <w:t>。</w:t>
      </w:r>
    </w:p>
    <w:p>
      <w:pPr>
        <w:numPr>
          <w:ilvl w:val="1"/>
          <w:numId w:val="5"/>
        </w:numPr>
        <w:tabs>
          <w:tab w:val="left" w:pos="0"/>
          <w:tab w:val="clear" w:pos="1155"/>
        </w:tabs>
        <w:spacing w:line="360" w:lineRule="auto"/>
        <w:ind w:left="0" w:firstLine="0"/>
        <w:rPr>
          <w:sz w:val="22"/>
          <w:szCs w:val="22"/>
        </w:rPr>
      </w:pPr>
      <w:r>
        <w:rPr>
          <w:sz w:val="22"/>
          <w:szCs w:val="28"/>
        </w:rPr>
        <w:t>当国家法定增值税税率发生变更，甲乙双方约定以含税价格不变作为基准，调整增值税税额</w:t>
      </w:r>
      <w:bookmarkEnd w:id="21"/>
      <w:r>
        <w:rPr>
          <w:rFonts w:hint="eastAsia"/>
          <w:sz w:val="22"/>
          <w:szCs w:val="28"/>
        </w:rPr>
        <w:t>。</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hint="eastAsia" w:ascii="宋体" w:hAnsi="宋体" w:eastAsia="宋体" w:cs="宋体"/>
          <w:b/>
          <w:bCs w:val="0"/>
          <w:sz w:val="22"/>
          <w:szCs w:val="22"/>
        </w:rPr>
        <w:t>三</w:t>
      </w:r>
      <w:r>
        <w:rPr>
          <w:rFonts w:ascii="宋体" w:hAnsi="宋体" w:eastAsia="宋体" w:cs="宋体"/>
          <w:b/>
          <w:bCs w:val="0"/>
          <w:sz w:val="22"/>
          <w:szCs w:val="22"/>
        </w:rPr>
        <w:t>、付款方式及期限</w:t>
      </w:r>
    </w:p>
    <w:p>
      <w:pPr>
        <w:tabs>
          <w:tab w:val="left" w:pos="0"/>
        </w:tabs>
        <w:spacing w:line="360" w:lineRule="auto"/>
        <w:rPr>
          <w:color w:val="000000"/>
          <w:sz w:val="22"/>
          <w:szCs w:val="22"/>
        </w:rPr>
      </w:pPr>
      <w:bookmarkStart w:id="22" w:name="_Toc69378621"/>
      <w:r>
        <w:rPr>
          <w:rFonts w:hint="eastAsia"/>
          <w:sz w:val="22"/>
          <w:szCs w:val="22"/>
        </w:rPr>
        <w:t>1．</w:t>
      </w:r>
      <w:r>
        <w:rPr>
          <w:sz w:val="22"/>
          <w:szCs w:val="22"/>
        </w:rPr>
        <w:t>付款方式：</w:t>
      </w:r>
      <w:r>
        <w:rPr>
          <w:rFonts w:hint="eastAsia" w:ascii="宋体" w:hAnsi="宋体" w:cs="仿宋"/>
          <w:sz w:val="22"/>
          <w:szCs w:val="22"/>
        </w:rPr>
        <w:t>合同</w:t>
      </w:r>
      <w:r>
        <w:rPr>
          <w:rFonts w:ascii="宋体" w:hAnsi="宋体" w:cs="仿宋"/>
          <w:sz w:val="22"/>
          <w:szCs w:val="22"/>
        </w:rPr>
        <w:t>金额以电汇或</w:t>
      </w:r>
      <w:r>
        <w:rPr>
          <w:rFonts w:hint="eastAsia" w:ascii="宋体" w:hAnsi="宋体" w:cs="仿宋"/>
          <w:sz w:val="22"/>
          <w:szCs w:val="22"/>
        </w:rPr>
        <w:t>转账的方式汇入乙方账号内。</w:t>
      </w:r>
      <w:r>
        <w:rPr>
          <w:sz w:val="22"/>
          <w:szCs w:val="22"/>
        </w:rPr>
        <w:t>如收款方的账号和开户行变更，须及时以书面形式通知付款方，通知上必须同时盖有收款方的</w:t>
      </w:r>
      <w:r>
        <w:rPr>
          <w:rFonts w:hint="eastAsia"/>
          <w:sz w:val="22"/>
          <w:szCs w:val="22"/>
        </w:rPr>
        <w:t>公</w:t>
      </w:r>
      <w:r>
        <w:rPr>
          <w:sz w:val="22"/>
          <w:szCs w:val="22"/>
        </w:rPr>
        <w:t>章</w:t>
      </w:r>
      <w:r>
        <w:rPr>
          <w:rFonts w:hint="eastAsia"/>
          <w:sz w:val="22"/>
          <w:szCs w:val="22"/>
        </w:rPr>
        <w:t>或</w:t>
      </w:r>
      <w:r>
        <w:rPr>
          <w:sz w:val="22"/>
          <w:szCs w:val="22"/>
        </w:rPr>
        <w:t>财务</w:t>
      </w:r>
      <w:r>
        <w:rPr>
          <w:rFonts w:hint="eastAsia"/>
          <w:sz w:val="22"/>
          <w:szCs w:val="22"/>
        </w:rPr>
        <w:t>专用</w:t>
      </w:r>
      <w:r>
        <w:rPr>
          <w:sz w:val="22"/>
          <w:szCs w:val="22"/>
        </w:rPr>
        <w:t>章</w:t>
      </w:r>
      <w:r>
        <w:rPr>
          <w:rFonts w:hint="eastAsia"/>
          <w:sz w:val="22"/>
          <w:szCs w:val="22"/>
        </w:rPr>
        <w:t>。</w:t>
      </w:r>
    </w:p>
    <w:p>
      <w:pPr>
        <w:tabs>
          <w:tab w:val="left" w:pos="0"/>
        </w:tabs>
        <w:spacing w:line="360" w:lineRule="auto"/>
        <w:rPr>
          <w:color w:val="000000"/>
          <w:sz w:val="22"/>
          <w:szCs w:val="22"/>
        </w:rPr>
      </w:pPr>
      <w:r>
        <w:rPr>
          <w:rFonts w:hint="eastAsia"/>
          <w:color w:val="000000"/>
          <w:sz w:val="22"/>
          <w:szCs w:val="22"/>
        </w:rPr>
        <w:t>2．</w:t>
      </w:r>
      <w:r>
        <w:rPr>
          <w:color w:val="000000"/>
          <w:sz w:val="22"/>
          <w:szCs w:val="22"/>
        </w:rPr>
        <w:t>付款期限：</w:t>
      </w:r>
      <w:r>
        <w:rPr>
          <w:rFonts w:hint="eastAsia" w:ascii="宋体" w:hAnsi="宋体" w:cs="仿宋"/>
          <w:sz w:val="22"/>
          <w:szCs w:val="22"/>
        </w:rPr>
        <w:t>甲方大数据平台通过DSMM2级认证并获得认证证书，且</w:t>
      </w:r>
      <w:r>
        <w:rPr>
          <w:rFonts w:ascii="宋体" w:hAnsi="宋体" w:cs="仿宋"/>
          <w:sz w:val="22"/>
          <w:szCs w:val="22"/>
        </w:rPr>
        <w:t>在收到乙方提供的增值税专用发票后，</w:t>
      </w:r>
      <w:r>
        <w:rPr>
          <w:rFonts w:hint="eastAsia" w:ascii="宋体" w:hAnsi="宋体" w:cs="仿宋"/>
          <w:sz w:val="22"/>
          <w:szCs w:val="22"/>
        </w:rPr>
        <w:t>其后的15个工作日内支付合同总额的100</w:t>
      </w:r>
      <w:r>
        <w:rPr>
          <w:rFonts w:ascii="宋体" w:hAnsi="宋体" w:cs="仿宋"/>
          <w:sz w:val="22"/>
          <w:szCs w:val="22"/>
        </w:rPr>
        <w:t>%</w:t>
      </w:r>
      <w:r>
        <w:rPr>
          <w:rFonts w:hint="eastAsia" w:ascii="宋体" w:hAnsi="宋体" w:cs="仿宋"/>
          <w:sz w:val="22"/>
          <w:szCs w:val="22"/>
        </w:rPr>
        <w:t>。</w:t>
      </w:r>
      <w:r>
        <w:rPr>
          <w:rFonts w:hint="eastAsia"/>
          <w:color w:val="000000"/>
          <w:sz w:val="22"/>
          <w:szCs w:val="22"/>
        </w:rPr>
        <w:t>如乙方违反本合同第十五条廉洁条款第二点，甲方有权全部扣除合同总额的10%，若此时合同总额已经全部支付或余款不足10%的，甲方有权根据此合同向乙方进一步追诉。</w:t>
      </w:r>
    </w:p>
    <w:p>
      <w:pPr>
        <w:tabs>
          <w:tab w:val="left" w:pos="0"/>
        </w:tabs>
        <w:spacing w:line="360" w:lineRule="auto"/>
        <w:rPr>
          <w:color w:val="000000"/>
          <w:sz w:val="22"/>
          <w:szCs w:val="22"/>
        </w:rPr>
      </w:pPr>
      <w:r>
        <w:rPr>
          <w:rFonts w:hint="eastAsia"/>
          <w:color w:val="000000"/>
          <w:sz w:val="22"/>
          <w:szCs w:val="22"/>
        </w:rPr>
        <w:t>3．付款前，乙方必须按照国家有关发票管理规定，向甲方</w:t>
      </w:r>
      <w:r>
        <w:rPr>
          <w:rFonts w:hint="eastAsia"/>
          <w:sz w:val="22"/>
          <w:szCs w:val="22"/>
        </w:rPr>
        <w:t>提供</w:t>
      </w:r>
      <w:r>
        <w:rPr>
          <w:rFonts w:hint="eastAsia"/>
          <w:color w:val="000000"/>
          <w:sz w:val="22"/>
          <w:szCs w:val="28"/>
        </w:rPr>
        <w:t>增值税专用发票</w:t>
      </w:r>
      <w:r>
        <w:rPr>
          <w:rFonts w:hint="eastAsia"/>
          <w:color w:val="000000"/>
          <w:sz w:val="22"/>
          <w:szCs w:val="22"/>
        </w:rPr>
        <w:t>，由甲方审核无误后再支付货款，</w:t>
      </w:r>
      <w:r>
        <w:rPr>
          <w:rFonts w:hint="eastAsia"/>
          <w:sz w:val="22"/>
          <w:szCs w:val="22"/>
        </w:rPr>
        <w:t>否则</w:t>
      </w:r>
      <w:r>
        <w:rPr>
          <w:rFonts w:hint="eastAsia"/>
          <w:color w:val="000000"/>
          <w:sz w:val="22"/>
          <w:szCs w:val="22"/>
        </w:rPr>
        <w:t>甲</w:t>
      </w:r>
      <w:r>
        <w:rPr>
          <w:rFonts w:hint="eastAsia"/>
          <w:sz w:val="22"/>
          <w:szCs w:val="22"/>
        </w:rPr>
        <w:t>方有权拒绝或迟延支付货款，且不影响</w:t>
      </w:r>
      <w:r>
        <w:rPr>
          <w:rFonts w:hint="eastAsia"/>
          <w:color w:val="000000"/>
          <w:sz w:val="22"/>
          <w:szCs w:val="22"/>
        </w:rPr>
        <w:t>乙</w:t>
      </w:r>
      <w:r>
        <w:rPr>
          <w:rFonts w:hint="eastAsia"/>
          <w:sz w:val="22"/>
          <w:szCs w:val="22"/>
        </w:rPr>
        <w:t>方履行本合同项下的义务，</w:t>
      </w:r>
      <w:r>
        <w:rPr>
          <w:rFonts w:hint="eastAsia"/>
          <w:color w:val="000000"/>
          <w:sz w:val="22"/>
          <w:szCs w:val="22"/>
        </w:rPr>
        <w:t>给甲方造成的损失由乙方承担。</w:t>
      </w:r>
    </w:p>
    <w:p>
      <w:pPr>
        <w:pStyle w:val="3"/>
        <w:widowControl/>
        <w:numPr>
          <w:ilvl w:val="0"/>
          <w:numId w:val="0"/>
        </w:numPr>
        <w:tabs>
          <w:tab w:val="left" w:pos="25"/>
        </w:tabs>
        <w:spacing w:before="0" w:after="0" w:line="360" w:lineRule="auto"/>
        <w:jc w:val="left"/>
        <w:rPr>
          <w:rFonts w:ascii="宋体" w:hAnsi="宋体" w:eastAsia="宋体" w:cs="宋体"/>
          <w:b/>
          <w:bCs w:val="0"/>
          <w:sz w:val="22"/>
          <w:szCs w:val="22"/>
        </w:rPr>
      </w:pPr>
      <w:r>
        <w:rPr>
          <w:rFonts w:hint="eastAsia" w:ascii="宋体" w:hAnsi="宋体" w:eastAsia="宋体" w:cs="宋体"/>
          <w:b/>
          <w:bCs w:val="0"/>
          <w:sz w:val="22"/>
          <w:szCs w:val="22"/>
        </w:rPr>
        <w:t>四</w:t>
      </w:r>
      <w:r>
        <w:rPr>
          <w:rFonts w:ascii="宋体" w:hAnsi="宋体" w:eastAsia="宋体" w:cs="宋体"/>
          <w:b/>
          <w:bCs w:val="0"/>
          <w:sz w:val="22"/>
          <w:szCs w:val="22"/>
        </w:rPr>
        <w:t>、</w:t>
      </w:r>
      <w:r>
        <w:rPr>
          <w:rFonts w:hint="eastAsia" w:ascii="宋体" w:hAnsi="宋体" w:eastAsia="宋体" w:cs="宋体"/>
          <w:b/>
          <w:bCs w:val="0"/>
          <w:sz w:val="22"/>
          <w:szCs w:val="22"/>
        </w:rPr>
        <w:t>服务质量要求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cs="宋体"/>
          <w:sz w:val="22"/>
          <w:szCs w:val="22"/>
        </w:rPr>
      </w:pPr>
      <w:r>
        <w:rPr>
          <w:rFonts w:hint="eastAsia" w:ascii="宋体" w:hAnsi="宋体" w:cs="宋体"/>
          <w:sz w:val="22"/>
          <w:szCs w:val="22"/>
        </w:rPr>
        <w:t>1.乙方所提供服务的技术指标必须完全满足甲方在“</w:t>
      </w:r>
      <w:r>
        <w:rPr>
          <w:rFonts w:hint="eastAsia" w:ascii="宋体" w:hAnsi="宋体"/>
          <w:color w:val="000000"/>
          <w:sz w:val="22"/>
          <w:szCs w:val="22"/>
          <w:u w:val="single"/>
        </w:rPr>
        <w:t>大数据平台DSMM2级认证服务</w:t>
      </w:r>
      <w:r>
        <w:rPr>
          <w:rFonts w:hint="eastAsia" w:ascii="宋体" w:hAnsi="宋体" w:cs="宋体"/>
          <w:sz w:val="22"/>
          <w:szCs w:val="22"/>
        </w:rPr>
        <w:t>”竞争性谈判文件中提出的技术要求，乙方所提供服务必须完全遵守响应文件和谈判时做出的书面承诺。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rFonts w:hint="eastAsia" w:ascii="宋体" w:hAnsi="宋体" w:cs="宋体"/>
          <w:sz w:val="22"/>
          <w:szCs w:val="22"/>
        </w:rPr>
        <w:t>2.乙方须在合同签订之日起60自然日内，协助采购人获得DSMM2级认证证书。</w:t>
      </w:r>
      <w:bookmarkEnd w:id="22"/>
      <w:bookmarkStart w:id="23" w:name="_Toc69378633"/>
      <w:r>
        <w:rPr>
          <w:rFonts w:hint="eastAsia" w:ascii="宋体" w:hAnsi="宋体"/>
          <w:sz w:val="22"/>
          <w:szCs w:val="22"/>
        </w:rPr>
        <w:t>乙方</w:t>
      </w:r>
      <w:r>
        <w:rPr>
          <w:rFonts w:ascii="宋体" w:hAnsi="宋体"/>
          <w:sz w:val="22"/>
          <w:szCs w:val="22"/>
        </w:rPr>
        <w:t>每逾期一</w:t>
      </w:r>
      <w:r>
        <w:rPr>
          <w:rFonts w:hint="eastAsia" w:ascii="宋体" w:hAnsi="宋体"/>
          <w:sz w:val="22"/>
          <w:szCs w:val="22"/>
        </w:rPr>
        <w:t>天</w:t>
      </w:r>
      <w:r>
        <w:rPr>
          <w:rFonts w:ascii="宋体" w:hAnsi="宋体"/>
          <w:sz w:val="22"/>
          <w:szCs w:val="22"/>
        </w:rPr>
        <w:t>交</w:t>
      </w:r>
      <w:r>
        <w:rPr>
          <w:rFonts w:hint="eastAsia" w:ascii="宋体" w:hAnsi="宋体"/>
          <w:sz w:val="22"/>
          <w:szCs w:val="22"/>
        </w:rPr>
        <w:t>付</w:t>
      </w:r>
      <w:r>
        <w:rPr>
          <w:rFonts w:ascii="宋体" w:hAnsi="宋体"/>
          <w:sz w:val="22"/>
          <w:szCs w:val="22"/>
        </w:rPr>
        <w:t>（不足一</w:t>
      </w:r>
      <w:r>
        <w:rPr>
          <w:rFonts w:hint="eastAsia" w:ascii="宋体" w:hAnsi="宋体"/>
          <w:sz w:val="22"/>
          <w:szCs w:val="22"/>
        </w:rPr>
        <w:t>天</w:t>
      </w:r>
      <w:r>
        <w:rPr>
          <w:rFonts w:ascii="宋体" w:hAnsi="宋体"/>
          <w:sz w:val="22"/>
          <w:szCs w:val="22"/>
        </w:rPr>
        <w:t>按一</w:t>
      </w:r>
      <w:r>
        <w:rPr>
          <w:rFonts w:hint="eastAsia" w:ascii="宋体" w:hAnsi="宋体"/>
          <w:sz w:val="22"/>
          <w:szCs w:val="22"/>
        </w:rPr>
        <w:t>天</w:t>
      </w:r>
      <w:r>
        <w:rPr>
          <w:rFonts w:ascii="宋体" w:hAnsi="宋体"/>
          <w:sz w:val="22"/>
          <w:szCs w:val="22"/>
        </w:rPr>
        <w:t>计算），按</w:t>
      </w:r>
      <w:r>
        <w:rPr>
          <w:rFonts w:hint="eastAsia" w:ascii="宋体" w:hAnsi="宋体"/>
          <w:sz w:val="22"/>
          <w:szCs w:val="22"/>
        </w:rPr>
        <w:t>合同</w:t>
      </w:r>
      <w:r>
        <w:rPr>
          <w:rFonts w:ascii="宋体" w:hAnsi="宋体"/>
          <w:sz w:val="22"/>
          <w:szCs w:val="22"/>
        </w:rPr>
        <w:t>总价的5‰收取滞纳金，滞纳金从合同款中扣除。如逾期时间超过</w:t>
      </w:r>
      <w:r>
        <w:rPr>
          <w:rFonts w:hint="eastAsia" w:ascii="宋体" w:hAnsi="宋体"/>
          <w:sz w:val="22"/>
          <w:szCs w:val="22"/>
        </w:rPr>
        <w:t>4</w:t>
      </w:r>
      <w:r>
        <w:rPr>
          <w:rFonts w:ascii="宋体" w:hAnsi="宋体"/>
          <w:sz w:val="22"/>
          <w:szCs w:val="22"/>
        </w:rPr>
        <w:t>周仍未能交付，在不妨碍</w:t>
      </w:r>
      <w:r>
        <w:rPr>
          <w:rFonts w:hint="eastAsia" w:ascii="宋体" w:hAnsi="宋体"/>
          <w:sz w:val="22"/>
          <w:szCs w:val="22"/>
        </w:rPr>
        <w:t>甲方</w:t>
      </w:r>
      <w:r>
        <w:rPr>
          <w:rFonts w:ascii="宋体" w:hAnsi="宋体"/>
          <w:sz w:val="22"/>
          <w:szCs w:val="22"/>
        </w:rPr>
        <w:t>其他救济手段的情况下，</w:t>
      </w:r>
      <w:r>
        <w:rPr>
          <w:rFonts w:hint="eastAsia" w:ascii="宋体" w:hAnsi="宋体"/>
          <w:sz w:val="22"/>
          <w:szCs w:val="22"/>
        </w:rPr>
        <w:t>甲方</w:t>
      </w:r>
      <w:r>
        <w:rPr>
          <w:rFonts w:ascii="宋体" w:hAnsi="宋体"/>
          <w:sz w:val="22"/>
          <w:szCs w:val="22"/>
        </w:rPr>
        <w:t>可以向</w:t>
      </w:r>
      <w:r>
        <w:rPr>
          <w:rFonts w:hint="eastAsia" w:ascii="宋体" w:hAnsi="宋体"/>
          <w:sz w:val="22"/>
          <w:szCs w:val="22"/>
        </w:rPr>
        <w:t>乙方</w:t>
      </w:r>
      <w:r>
        <w:rPr>
          <w:rFonts w:ascii="宋体" w:hAnsi="宋体"/>
          <w:sz w:val="22"/>
          <w:szCs w:val="22"/>
        </w:rPr>
        <w:t>发出书面违约通知从而全部或部分地终止合同，并向</w:t>
      </w:r>
      <w:r>
        <w:rPr>
          <w:rFonts w:hint="eastAsia" w:ascii="宋体" w:hAnsi="宋体"/>
          <w:sz w:val="22"/>
          <w:szCs w:val="22"/>
        </w:rPr>
        <w:t>乙方</w:t>
      </w:r>
      <w:r>
        <w:rPr>
          <w:rFonts w:ascii="宋体" w:hAnsi="宋体"/>
          <w:sz w:val="22"/>
          <w:szCs w:val="22"/>
        </w:rPr>
        <w:t>索赔。</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r>
        <w:rPr>
          <w:sz w:val="22"/>
          <w:szCs w:val="22"/>
        </w:rPr>
        <w:t>乙方逾期</w:t>
      </w:r>
      <w:r>
        <w:rPr>
          <w:rFonts w:hint="eastAsia"/>
          <w:sz w:val="22"/>
          <w:szCs w:val="22"/>
        </w:rPr>
        <w:t>交付</w:t>
      </w:r>
      <w:r>
        <w:rPr>
          <w:sz w:val="22"/>
          <w:szCs w:val="22"/>
        </w:rPr>
        <w:t>，甲方接受的，不影响甲方追究乙方逾期</w:t>
      </w:r>
      <w:r>
        <w:rPr>
          <w:rFonts w:hint="eastAsia"/>
          <w:sz w:val="22"/>
          <w:szCs w:val="22"/>
        </w:rPr>
        <w:t>交付</w:t>
      </w:r>
      <w:r>
        <w:rPr>
          <w:sz w:val="22"/>
          <w:szCs w:val="22"/>
        </w:rPr>
        <w:t>的违约责任。</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24" w:name="_Toc47617116"/>
      <w:r>
        <w:rPr>
          <w:rFonts w:hint="eastAsia" w:ascii="宋体" w:hAnsi="宋体" w:eastAsia="宋体"/>
          <w:b/>
          <w:kern w:val="2"/>
          <w:sz w:val="22"/>
          <w:szCs w:val="22"/>
        </w:rPr>
        <w:t>五</w:t>
      </w:r>
      <w:r>
        <w:rPr>
          <w:rFonts w:ascii="宋体" w:hAnsi="宋体" w:eastAsia="宋体"/>
          <w:b/>
          <w:kern w:val="2"/>
          <w:sz w:val="22"/>
          <w:szCs w:val="22"/>
        </w:rPr>
        <w:t>、技术和资料的保密事项</w:t>
      </w:r>
      <w:bookmarkEnd w:id="24"/>
    </w:p>
    <w:p>
      <w:pPr>
        <w:numPr>
          <w:ilvl w:val="0"/>
          <w:numId w:val="6"/>
        </w:numPr>
        <w:tabs>
          <w:tab w:val="left" w:pos="0"/>
          <w:tab w:val="clear" w:pos="1155"/>
        </w:tabs>
        <w:spacing w:line="360" w:lineRule="auto"/>
        <w:ind w:left="0" w:firstLine="0"/>
        <w:rPr>
          <w:color w:val="000000"/>
          <w:sz w:val="22"/>
          <w:szCs w:val="22"/>
        </w:rPr>
      </w:pPr>
      <w:r>
        <w:rPr>
          <w:color w:val="000000"/>
          <w:sz w:val="22"/>
          <w:szCs w:val="22"/>
        </w:rPr>
        <w:t>甲、乙双方同意，在任何时候，不论是合同有效期内还是合同终止以后，对任何一方提供的秘密信息或双方共有的秘密信息均实行严格保密。</w:t>
      </w:r>
    </w:p>
    <w:p>
      <w:pPr>
        <w:numPr>
          <w:ilvl w:val="0"/>
          <w:numId w:val="6"/>
        </w:numPr>
        <w:tabs>
          <w:tab w:val="left" w:pos="0"/>
          <w:tab w:val="clear" w:pos="1155"/>
        </w:tabs>
        <w:spacing w:line="360" w:lineRule="auto"/>
        <w:ind w:left="0" w:firstLine="0"/>
        <w:rPr>
          <w:color w:val="000000"/>
          <w:sz w:val="22"/>
          <w:szCs w:val="22"/>
        </w:rPr>
      </w:pPr>
      <w:r>
        <w:rPr>
          <w:color w:val="000000"/>
          <w:sz w:val="22"/>
          <w:szCs w:val="22"/>
        </w:rPr>
        <w:t>甲方在未得到乙方许可前提下，不得向任何第三方透露乙方提供的软件及所附全部文档和资料的商业秘密和技术秘密。</w:t>
      </w:r>
    </w:p>
    <w:p>
      <w:pPr>
        <w:numPr>
          <w:ilvl w:val="0"/>
          <w:numId w:val="6"/>
        </w:numPr>
        <w:tabs>
          <w:tab w:val="left" w:pos="0"/>
          <w:tab w:val="clear" w:pos="1155"/>
        </w:tabs>
        <w:spacing w:line="360" w:lineRule="auto"/>
        <w:ind w:left="0" w:firstLine="0"/>
        <w:rPr>
          <w:color w:val="000000"/>
          <w:sz w:val="22"/>
          <w:szCs w:val="22"/>
        </w:rPr>
      </w:pPr>
      <w:r>
        <w:rPr>
          <w:color w:val="000000"/>
          <w:sz w:val="22"/>
          <w:szCs w:val="22"/>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25" w:name="_Toc72326304"/>
      <w:r>
        <w:rPr>
          <w:rFonts w:hint="eastAsia" w:ascii="宋体" w:hAnsi="宋体" w:eastAsia="宋体"/>
          <w:b/>
          <w:kern w:val="2"/>
          <w:sz w:val="22"/>
          <w:szCs w:val="22"/>
        </w:rPr>
        <w:t>六、</w:t>
      </w:r>
      <w:bookmarkEnd w:id="25"/>
      <w:bookmarkStart w:id="26" w:name="_Toc72326305"/>
      <w:r>
        <w:rPr>
          <w:rFonts w:hint="eastAsia" w:ascii="宋体" w:hAnsi="宋体" w:eastAsia="宋体"/>
          <w:b/>
          <w:kern w:val="2"/>
          <w:sz w:val="22"/>
          <w:szCs w:val="22"/>
        </w:rPr>
        <w:t>双方责任</w:t>
      </w:r>
      <w:bookmarkEnd w:id="26"/>
    </w:p>
    <w:p>
      <w:pPr>
        <w:numPr>
          <w:ilvl w:val="255"/>
          <w:numId w:val="0"/>
        </w:numPr>
        <w:adjustRightInd w:val="0"/>
        <w:snapToGrid w:val="0"/>
        <w:spacing w:line="360" w:lineRule="auto"/>
        <w:rPr>
          <w:rFonts w:ascii="宋体" w:hAnsi="宋体"/>
          <w:sz w:val="22"/>
          <w:szCs w:val="22"/>
        </w:rPr>
      </w:pPr>
      <w:r>
        <w:rPr>
          <w:rFonts w:hint="eastAsia" w:ascii="宋体" w:hAnsi="宋体"/>
          <w:sz w:val="22"/>
          <w:szCs w:val="22"/>
        </w:rPr>
        <w:t>甲方责任</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甲方需为乙方提供项目实施便利，积极配合乙方进行项目实施安装及调试。</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甲方需为乙方协调各方关系提供便利。</w:t>
      </w:r>
    </w:p>
    <w:p>
      <w:pPr>
        <w:numPr>
          <w:ilvl w:val="0"/>
          <w:numId w:val="7"/>
        </w:numPr>
        <w:adjustRightInd w:val="0"/>
        <w:snapToGrid w:val="0"/>
        <w:spacing w:line="360" w:lineRule="auto"/>
        <w:rPr>
          <w:rFonts w:ascii="宋体"/>
          <w:sz w:val="22"/>
          <w:szCs w:val="22"/>
        </w:rPr>
      </w:pPr>
      <w:r>
        <w:rPr>
          <w:rFonts w:hint="eastAsia" w:ascii="宋体" w:hAnsi="宋体"/>
          <w:sz w:val="22"/>
          <w:szCs w:val="22"/>
        </w:rPr>
        <w:t>甲方应指派管理人员、技术人员参加项目系统安装、系统测试和其它工作。</w:t>
      </w:r>
    </w:p>
    <w:p>
      <w:pPr>
        <w:numPr>
          <w:ilvl w:val="255"/>
          <w:numId w:val="0"/>
        </w:numPr>
        <w:adjustRightInd w:val="0"/>
        <w:snapToGrid w:val="0"/>
        <w:spacing w:line="360" w:lineRule="auto"/>
        <w:rPr>
          <w:rFonts w:ascii="宋体" w:hAnsi="宋体"/>
          <w:bCs/>
          <w:sz w:val="22"/>
          <w:szCs w:val="22"/>
        </w:rPr>
      </w:pPr>
      <w:r>
        <w:rPr>
          <w:rFonts w:hint="eastAsia" w:ascii="宋体" w:hAnsi="宋体"/>
          <w:sz w:val="22"/>
          <w:szCs w:val="22"/>
        </w:rPr>
        <w:t>乙方责任</w:t>
      </w:r>
    </w:p>
    <w:p>
      <w:pPr>
        <w:numPr>
          <w:ilvl w:val="0"/>
          <w:numId w:val="8"/>
        </w:numPr>
        <w:tabs>
          <w:tab w:val="left" w:pos="0"/>
          <w:tab w:val="clear" w:pos="420"/>
        </w:tabs>
        <w:spacing w:line="360" w:lineRule="auto"/>
        <w:ind w:left="0" w:firstLine="0"/>
        <w:rPr>
          <w:color w:val="000000"/>
          <w:sz w:val="22"/>
          <w:szCs w:val="22"/>
        </w:rPr>
      </w:pPr>
      <w:bookmarkStart w:id="27" w:name="_Toc72326306"/>
      <w:r>
        <w:rPr>
          <w:color w:val="000000"/>
          <w:sz w:val="22"/>
          <w:szCs w:val="22"/>
        </w:rPr>
        <w:t>乙方承诺：除</w:t>
      </w:r>
      <w:r>
        <w:rPr>
          <w:rFonts w:hint="eastAsia"/>
          <w:color w:val="000000"/>
          <w:sz w:val="22"/>
          <w:szCs w:val="22"/>
        </w:rPr>
        <w:t>响应</w:t>
      </w:r>
      <w:r>
        <w:rPr>
          <w:color w:val="000000"/>
          <w:sz w:val="22"/>
          <w:szCs w:val="22"/>
        </w:rPr>
        <w:t>文件及后续书面承诺标明的偏离外，乙方提供</w:t>
      </w:r>
      <w:r>
        <w:rPr>
          <w:rFonts w:hint="eastAsia"/>
          <w:color w:val="000000"/>
          <w:sz w:val="22"/>
          <w:szCs w:val="22"/>
        </w:rPr>
        <w:t>的</w:t>
      </w:r>
      <w:r>
        <w:rPr>
          <w:color w:val="000000"/>
          <w:sz w:val="22"/>
          <w:szCs w:val="22"/>
        </w:rPr>
        <w:t>服务均满足</w:t>
      </w:r>
      <w:r>
        <w:rPr>
          <w:rFonts w:hint="eastAsia"/>
          <w:color w:val="000000"/>
          <w:sz w:val="22"/>
          <w:szCs w:val="22"/>
        </w:rPr>
        <w:t>采购</w:t>
      </w:r>
      <w:r>
        <w:rPr>
          <w:color w:val="000000"/>
          <w:sz w:val="22"/>
          <w:szCs w:val="22"/>
        </w:rPr>
        <w:t>文件要求。</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乙方应按照</w:t>
      </w:r>
      <w:r>
        <w:rPr>
          <w:rFonts w:hint="eastAsia"/>
          <w:color w:val="000000"/>
          <w:sz w:val="22"/>
          <w:szCs w:val="22"/>
        </w:rPr>
        <w:t>采购</w:t>
      </w:r>
      <w:r>
        <w:rPr>
          <w:color w:val="000000"/>
          <w:sz w:val="22"/>
          <w:szCs w:val="22"/>
        </w:rPr>
        <w:t>文件、</w:t>
      </w:r>
      <w:r>
        <w:rPr>
          <w:rFonts w:hint="eastAsia"/>
          <w:color w:val="000000"/>
          <w:sz w:val="22"/>
          <w:szCs w:val="22"/>
        </w:rPr>
        <w:t>响应</w:t>
      </w:r>
      <w:r>
        <w:rPr>
          <w:color w:val="000000"/>
          <w:sz w:val="22"/>
          <w:szCs w:val="22"/>
        </w:rPr>
        <w:t>文件、乙方后续书面承诺的技术要求以及甲、乙双方协定补充文件，提供合格的</w:t>
      </w:r>
      <w:r>
        <w:rPr>
          <w:rFonts w:hint="eastAsia"/>
          <w:color w:val="000000"/>
          <w:sz w:val="22"/>
          <w:szCs w:val="22"/>
        </w:rPr>
        <w:t>服务</w:t>
      </w:r>
      <w:r>
        <w:rPr>
          <w:color w:val="000000"/>
          <w:sz w:val="22"/>
          <w:szCs w:val="22"/>
        </w:rPr>
        <w:t>。</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在</w:t>
      </w:r>
      <w:r>
        <w:rPr>
          <w:rFonts w:hint="eastAsia"/>
          <w:color w:val="000000"/>
          <w:sz w:val="22"/>
          <w:szCs w:val="22"/>
        </w:rPr>
        <w:t>服务</w:t>
      </w:r>
      <w:r>
        <w:rPr>
          <w:color w:val="000000"/>
          <w:sz w:val="22"/>
          <w:szCs w:val="22"/>
        </w:rPr>
        <w:t>过程中，乙方须保证不影响甲方现有系统的正常运行和现有业务的正常发展。</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乙方保证</w:t>
      </w:r>
      <w:r>
        <w:rPr>
          <w:rFonts w:hint="eastAsia"/>
          <w:color w:val="000000"/>
          <w:sz w:val="22"/>
          <w:szCs w:val="22"/>
        </w:rPr>
        <w:t>服务</w:t>
      </w:r>
      <w:r>
        <w:rPr>
          <w:color w:val="000000"/>
          <w:sz w:val="22"/>
          <w:szCs w:val="22"/>
        </w:rPr>
        <w:t>过程中不非法使用第三方软件</w:t>
      </w:r>
      <w:r>
        <w:rPr>
          <w:rFonts w:hint="eastAsia"/>
          <w:color w:val="000000"/>
          <w:sz w:val="22"/>
          <w:szCs w:val="22"/>
        </w:rPr>
        <w:t>，</w:t>
      </w:r>
      <w:r>
        <w:rPr>
          <w:rFonts w:hint="eastAsia"/>
          <w:sz w:val="22"/>
          <w:szCs w:val="22"/>
        </w:rPr>
        <w:t>不侵犯第三人含知识产权在内的任何合法权益。否则，因此产生的纠纷由乙方自行负责，甲方有权立即解除合同，乙方应承担甲方由此遭受的全部损失</w:t>
      </w:r>
      <w:r>
        <w:rPr>
          <w:color w:val="000000"/>
          <w:sz w:val="22"/>
          <w:szCs w:val="22"/>
        </w:rPr>
        <w:t>。</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乙方未按合同规定</w:t>
      </w:r>
      <w:r>
        <w:rPr>
          <w:rFonts w:hint="eastAsia"/>
          <w:color w:val="000000"/>
          <w:sz w:val="22"/>
          <w:szCs w:val="22"/>
        </w:rPr>
        <w:t>时间完成服务</w:t>
      </w:r>
      <w:r>
        <w:rPr>
          <w:color w:val="000000"/>
          <w:sz w:val="22"/>
          <w:szCs w:val="22"/>
        </w:rPr>
        <w:t>时，乙方应承担合同的违约责任。</w:t>
      </w:r>
    </w:p>
    <w:p>
      <w:pPr>
        <w:numPr>
          <w:ilvl w:val="0"/>
          <w:numId w:val="8"/>
        </w:numPr>
        <w:tabs>
          <w:tab w:val="left" w:pos="0"/>
          <w:tab w:val="clear" w:pos="420"/>
        </w:tabs>
        <w:spacing w:line="360" w:lineRule="auto"/>
        <w:ind w:left="0" w:firstLine="0"/>
        <w:rPr>
          <w:color w:val="000000"/>
          <w:sz w:val="22"/>
          <w:szCs w:val="22"/>
        </w:rPr>
      </w:pPr>
      <w:r>
        <w:rPr>
          <w:color w:val="000000"/>
          <w:sz w:val="22"/>
          <w:szCs w:val="22"/>
        </w:rPr>
        <w:t>迟延履行，甲方书面确定一个合理的期限，如乙方仍不能履行，按乙方不履行合同处理。</w:t>
      </w:r>
    </w:p>
    <w:p>
      <w:pPr>
        <w:numPr>
          <w:ilvl w:val="0"/>
          <w:numId w:val="8"/>
        </w:numPr>
        <w:tabs>
          <w:tab w:val="left" w:pos="0"/>
          <w:tab w:val="clear" w:pos="420"/>
        </w:tabs>
        <w:spacing w:line="360" w:lineRule="auto"/>
        <w:ind w:left="0" w:right="44" w:rightChars="21" w:firstLine="0"/>
        <w:rPr>
          <w:rFonts w:ascii="宋体" w:hAnsi="宋体"/>
          <w:color w:val="000000"/>
          <w:sz w:val="22"/>
          <w:szCs w:val="22"/>
        </w:rPr>
      </w:pPr>
      <w:r>
        <w:rPr>
          <w:rFonts w:hint="eastAsia" w:ascii="宋体" w:hAnsi="宋体"/>
          <w:color w:val="000000"/>
          <w:sz w:val="22"/>
          <w:szCs w:val="22"/>
        </w:rPr>
        <w:t>乙方应为其人员（含派驻甲方的服务人员）提供相应劳动保护，非因甲方原因，乙方人员遭受人身、财产损害，或乙方人员造成甲方、第三人人身财产损害的，由乙方承担全部责任。</w:t>
      </w:r>
    </w:p>
    <w:p>
      <w:pPr>
        <w:numPr>
          <w:ilvl w:val="0"/>
          <w:numId w:val="8"/>
        </w:numPr>
        <w:tabs>
          <w:tab w:val="left" w:pos="0"/>
          <w:tab w:val="clear" w:pos="420"/>
        </w:tabs>
        <w:spacing w:line="360" w:lineRule="auto"/>
        <w:ind w:left="0" w:firstLine="0"/>
        <w:rPr>
          <w:color w:val="000000"/>
          <w:sz w:val="22"/>
          <w:szCs w:val="22"/>
        </w:rPr>
      </w:pPr>
      <w:r>
        <w:rPr>
          <w:rFonts w:hint="eastAsia"/>
          <w:sz w:val="22"/>
          <w:szCs w:val="22"/>
        </w:rPr>
        <w:t>乙方应当按照合同约定履行义务，完成本项目。乙方不得向他人转让本项目，也不得将本项目肢解后分别向他人转让。</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r>
        <w:rPr>
          <w:rFonts w:hint="eastAsia" w:ascii="宋体" w:hAnsi="宋体" w:eastAsia="宋体"/>
          <w:b/>
          <w:kern w:val="2"/>
          <w:sz w:val="22"/>
          <w:szCs w:val="22"/>
        </w:rPr>
        <w:t>七、违约责任</w:t>
      </w:r>
      <w:bookmarkEnd w:id="27"/>
    </w:p>
    <w:p>
      <w:pPr>
        <w:numPr>
          <w:ilvl w:val="0"/>
          <w:numId w:val="9"/>
        </w:numPr>
        <w:adjustRightInd w:val="0"/>
        <w:snapToGrid w:val="0"/>
        <w:spacing w:line="360" w:lineRule="auto"/>
        <w:ind w:left="0" w:firstLine="0"/>
        <w:rPr>
          <w:rFonts w:ascii="宋体" w:hAnsi="宋体"/>
          <w:sz w:val="22"/>
          <w:szCs w:val="22"/>
        </w:rPr>
      </w:pPr>
      <w:r>
        <w:rPr>
          <w:rFonts w:hint="eastAsia" w:ascii="宋体" w:hAnsi="宋体"/>
          <w:sz w:val="22"/>
          <w:szCs w:val="22"/>
        </w:rPr>
        <w:t>乙方承担本合同约定事项的违约责任，且不因设备或软是由第三方制造或开发设计等因素而受到影响。</w:t>
      </w:r>
    </w:p>
    <w:p>
      <w:pPr>
        <w:numPr>
          <w:ilvl w:val="0"/>
          <w:numId w:val="9"/>
        </w:numPr>
        <w:tabs>
          <w:tab w:val="left" w:pos="0"/>
          <w:tab w:val="clear" w:pos="420"/>
        </w:tabs>
        <w:adjustRightInd w:val="0"/>
        <w:snapToGrid w:val="0"/>
        <w:spacing w:line="360" w:lineRule="auto"/>
        <w:ind w:left="0" w:firstLine="0"/>
      </w:pPr>
      <w:r>
        <w:rPr>
          <w:rFonts w:hint="eastAsia" w:ascii="宋体" w:hAnsi="宋体"/>
          <w:sz w:val="22"/>
          <w:szCs w:val="22"/>
        </w:rPr>
        <w:t>由于乙方提供的服务不符合竞争性谈判文件及本合同第四条所规定的要求时，甲方有权有权终止合同，乙方应支付合同总额20%的违约金给甲方。</w:t>
      </w:r>
    </w:p>
    <w:p>
      <w:pPr>
        <w:numPr>
          <w:ilvl w:val="0"/>
          <w:numId w:val="9"/>
        </w:numPr>
        <w:tabs>
          <w:tab w:val="left" w:pos="0"/>
          <w:tab w:val="clear" w:pos="420"/>
        </w:tabs>
        <w:adjustRightInd w:val="0"/>
        <w:snapToGrid w:val="0"/>
        <w:spacing w:line="360" w:lineRule="auto"/>
        <w:ind w:left="0" w:firstLine="0"/>
        <w:rPr>
          <w:rFonts w:hint="eastAsia" w:ascii="宋体" w:hAnsi="宋体"/>
          <w:sz w:val="22"/>
          <w:szCs w:val="22"/>
        </w:rPr>
      </w:pPr>
      <w:r>
        <w:rPr>
          <w:rFonts w:hint="eastAsia" w:ascii="宋体" w:hAnsi="宋体"/>
          <w:sz w:val="22"/>
          <w:szCs w:val="22"/>
        </w:rPr>
        <w:t>乙方未按本合同约定提供合格的服务，甲方在行使上述权利的同时，有权向第三方寻求该服务，由此产生的费用由乙方承担。</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bookmarkStart w:id="28" w:name="_Hlk74819798"/>
      <w:r>
        <w:rPr>
          <w:rFonts w:hint="eastAsia" w:ascii="宋体" w:hAnsi="宋体"/>
          <w:sz w:val="22"/>
          <w:szCs w:val="22"/>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28"/>
      <w:r>
        <w:rPr>
          <w:rFonts w:hint="eastAsia" w:ascii="宋体" w:hAnsi="宋体"/>
          <w:sz w:val="22"/>
          <w:szCs w:val="22"/>
        </w:rPr>
        <w:t>。</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9"/>
        </w:numPr>
        <w:tabs>
          <w:tab w:val="left" w:pos="0"/>
          <w:tab w:val="clear" w:pos="420"/>
        </w:tabs>
        <w:adjustRightInd w:val="0"/>
        <w:snapToGrid w:val="0"/>
        <w:spacing w:line="360" w:lineRule="auto"/>
        <w:ind w:left="0" w:firstLine="0"/>
      </w:pPr>
      <w:r>
        <w:rPr>
          <w:szCs w:val="21"/>
        </w:rPr>
        <w:t>在合同期内，如因乙方原因造成甲方其他经济损失的，乙方须承担赔偿损失的责任。</w:t>
      </w:r>
    </w:p>
    <w:p>
      <w:pPr>
        <w:numPr>
          <w:ilvl w:val="0"/>
          <w:numId w:val="9"/>
        </w:numPr>
        <w:tabs>
          <w:tab w:val="left" w:pos="0"/>
          <w:tab w:val="clear" w:pos="420"/>
        </w:tabs>
        <w:adjustRightInd w:val="0"/>
        <w:snapToGrid w:val="0"/>
        <w:spacing w:line="360" w:lineRule="auto"/>
        <w:ind w:left="0" w:firstLine="0"/>
      </w:pPr>
      <w:r>
        <w:rPr>
          <w:rFonts w:hint="eastAsia" w:ascii="宋体" w:hAnsi="宋体"/>
          <w:sz w:val="22"/>
          <w:szCs w:val="22"/>
        </w:rPr>
        <w:t>如果在甲方发出索赔通知后20日内，乙方未作书面答复，视为乙方接受索赔要求，乙方应当立即支付赔偿金。</w:t>
      </w:r>
    </w:p>
    <w:p>
      <w:pPr>
        <w:numPr>
          <w:ilvl w:val="0"/>
          <w:numId w:val="9"/>
        </w:numPr>
        <w:tabs>
          <w:tab w:val="left" w:pos="0"/>
          <w:tab w:val="clear" w:pos="420"/>
        </w:tabs>
        <w:adjustRightInd w:val="0"/>
        <w:snapToGrid w:val="0"/>
        <w:spacing w:line="360" w:lineRule="auto"/>
        <w:ind w:left="0" w:firstLine="0"/>
        <w:rPr>
          <w:rFonts w:ascii="宋体" w:hAnsi="宋体"/>
          <w:sz w:val="22"/>
          <w:szCs w:val="22"/>
        </w:rPr>
      </w:pPr>
      <w:r>
        <w:rPr>
          <w:rFonts w:hint="eastAsia" w:ascii="宋体" w:hAnsi="宋体"/>
          <w:sz w:val="22"/>
          <w:szCs w:val="22"/>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29" w:name="_Hlk100846870"/>
      <w:r>
        <w:rPr>
          <w:rFonts w:hint="eastAsia" w:ascii="宋体" w:hAnsi="宋体"/>
          <w:sz w:val="22"/>
          <w:szCs w:val="22"/>
        </w:rPr>
        <w:t>；且乙方对甲方赔偿金的支付已被认为足额补偿采购人的全部损失</w:t>
      </w:r>
      <w:bookmarkEnd w:id="29"/>
      <w:r>
        <w:rPr>
          <w:rFonts w:hint="eastAsia" w:ascii="宋体" w:hAnsi="宋体"/>
          <w:sz w:val="22"/>
          <w:szCs w:val="22"/>
        </w:rPr>
        <w:t>。</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0" w:name="_Toc72326307"/>
      <w:r>
        <w:rPr>
          <w:rFonts w:hint="eastAsia" w:ascii="宋体" w:hAnsi="宋体" w:eastAsia="宋体"/>
          <w:b/>
          <w:kern w:val="2"/>
          <w:sz w:val="22"/>
          <w:szCs w:val="22"/>
        </w:rPr>
        <w:t>八、廉洁条款</w:t>
      </w:r>
      <w:bookmarkEnd w:id="30"/>
    </w:p>
    <w:p>
      <w:pPr>
        <w:numPr>
          <w:ilvl w:val="0"/>
          <w:numId w:val="10"/>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0"/>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1" w:name="_Toc72326308"/>
      <w:r>
        <w:rPr>
          <w:rFonts w:hint="eastAsia" w:ascii="宋体" w:hAnsi="宋体" w:eastAsia="宋体"/>
          <w:b/>
          <w:kern w:val="2"/>
          <w:sz w:val="22"/>
          <w:szCs w:val="22"/>
        </w:rPr>
        <w:t>九、不可抗力</w:t>
      </w:r>
      <w:bookmarkEnd w:id="31"/>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当发生不可抗拒事故时，受影响一方应于</w:t>
      </w:r>
      <w:r>
        <w:rPr>
          <w:rFonts w:ascii="宋体" w:hAnsi="宋体"/>
          <w:sz w:val="22"/>
          <w:szCs w:val="22"/>
        </w:rPr>
        <w:t>10</w:t>
      </w:r>
      <w:r>
        <w:rPr>
          <w:rFonts w:hint="eastAsia" w:ascii="宋体" w:hAnsi="宋体"/>
          <w:sz w:val="22"/>
          <w:szCs w:val="22"/>
        </w:rPr>
        <w:t>日内以书面形式通知对方，以减轻可能给对方造成的损失，并应当在合理期限内提供公证机构出具的有效证明文件证明。</w:t>
      </w:r>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当不可抗力事故终止后，受影响一方应以书面形式通知对方，双方商定合同是否继续履行。</w:t>
      </w:r>
    </w:p>
    <w:p>
      <w:pPr>
        <w:numPr>
          <w:ilvl w:val="0"/>
          <w:numId w:val="11"/>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2" w:name="_Toc72326309"/>
      <w:r>
        <w:rPr>
          <w:rFonts w:hint="eastAsia" w:ascii="宋体" w:hAnsi="宋体" w:eastAsia="宋体"/>
          <w:b/>
          <w:kern w:val="2"/>
          <w:sz w:val="22"/>
          <w:szCs w:val="22"/>
        </w:rPr>
        <w:t>十、解决纠纷的方式</w:t>
      </w:r>
      <w:bookmarkEnd w:id="32"/>
    </w:p>
    <w:p>
      <w:pPr>
        <w:numPr>
          <w:ilvl w:val="0"/>
          <w:numId w:val="12"/>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凡由执行本合同引起或与合同有关的争议，均应通过友好协商解决；协商不成的，由甲方所在地有管辖权的人民法院裁决。</w:t>
      </w:r>
    </w:p>
    <w:p>
      <w:pPr>
        <w:numPr>
          <w:ilvl w:val="0"/>
          <w:numId w:val="12"/>
        </w:numPr>
        <w:adjustRightInd w:val="0"/>
        <w:snapToGrid w:val="0"/>
        <w:spacing w:line="360" w:lineRule="auto"/>
        <w:rPr>
          <w:rFonts w:ascii="宋体"/>
          <w:sz w:val="22"/>
          <w:szCs w:val="22"/>
        </w:rPr>
      </w:pPr>
      <w:r>
        <w:rPr>
          <w:rFonts w:hint="eastAsia" w:ascii="宋体" w:hAnsi="宋体"/>
          <w:sz w:val="22"/>
          <w:szCs w:val="22"/>
        </w:rPr>
        <w:t>除争议事项待处理外，双方应继续执行合同无争议部分，除非无争议部分不可单独履行。</w:t>
      </w:r>
    </w:p>
    <w:p>
      <w:pPr>
        <w:numPr>
          <w:ilvl w:val="0"/>
          <w:numId w:val="12"/>
        </w:numPr>
        <w:adjustRightInd w:val="0"/>
        <w:snapToGrid w:val="0"/>
        <w:spacing w:line="360" w:lineRule="auto"/>
        <w:rPr>
          <w:rFonts w:ascii="宋体"/>
          <w:sz w:val="22"/>
          <w:szCs w:val="22"/>
        </w:rPr>
      </w:pPr>
      <w:r>
        <w:rPr>
          <w:rFonts w:hint="eastAsia" w:ascii="宋体" w:hAnsi="宋体"/>
          <w:sz w:val="22"/>
          <w:szCs w:val="22"/>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2"/>
          <w:szCs w:val="22"/>
        </w:rPr>
      </w:pPr>
      <w:bookmarkStart w:id="33" w:name="_Toc72326310"/>
      <w:r>
        <w:rPr>
          <w:rFonts w:hint="eastAsia" w:ascii="宋体" w:hAnsi="宋体" w:eastAsia="宋体"/>
          <w:b/>
          <w:kern w:val="2"/>
          <w:sz w:val="22"/>
          <w:szCs w:val="22"/>
        </w:rPr>
        <w:t>十一、合同生效及其他</w:t>
      </w:r>
      <w:bookmarkEnd w:id="33"/>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合同的生效期：本合同一式四份（甲乙双方各二份），每份均具有同等法律效力，自甲乙双方盖章</w:t>
      </w:r>
      <w:r>
        <w:rPr>
          <w:rFonts w:hint="eastAsia" w:ascii="宋体" w:hAnsi="宋体"/>
          <w:szCs w:val="21"/>
        </w:rPr>
        <w:t>之日起</w:t>
      </w:r>
      <w:r>
        <w:rPr>
          <w:rFonts w:hint="eastAsia" w:ascii="宋体" w:hAnsi="宋体"/>
          <w:sz w:val="22"/>
          <w:szCs w:val="22"/>
        </w:rPr>
        <w:t>生效。</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本合同所有附件为本合同不可分割的组成部分，与合同正文有同等的法律效力：</w:t>
      </w:r>
    </w:p>
    <w:p>
      <w:pPr>
        <w:adjustRightInd w:val="0"/>
        <w:snapToGrid w:val="0"/>
        <w:spacing w:line="360" w:lineRule="auto"/>
        <w:rPr>
          <w:rFonts w:ascii="宋体"/>
          <w:sz w:val="22"/>
          <w:szCs w:val="22"/>
        </w:rPr>
      </w:pPr>
      <w:r>
        <w:rPr>
          <w:rFonts w:hint="eastAsia" w:ascii="宋体" w:hAnsi="宋体"/>
          <w:sz w:val="22"/>
          <w:szCs w:val="22"/>
        </w:rPr>
        <w:t>（1）甲方的竞争性谈判文件、乙方的响应文件、乙方的</w:t>
      </w:r>
      <w:r>
        <w:rPr>
          <w:rFonts w:ascii="宋体" w:hAnsi="宋体"/>
          <w:sz w:val="22"/>
          <w:szCs w:val="22"/>
        </w:rPr>
        <w:t>报价</w:t>
      </w:r>
      <w:r>
        <w:rPr>
          <w:rFonts w:hint="eastAsia" w:ascii="宋体" w:hAnsi="宋体"/>
          <w:sz w:val="22"/>
          <w:szCs w:val="22"/>
        </w:rPr>
        <w:t>表、谈判时乙方做出的书面承诺及其它补充修改的部分；</w:t>
      </w:r>
    </w:p>
    <w:p>
      <w:pPr>
        <w:adjustRightInd w:val="0"/>
        <w:snapToGrid w:val="0"/>
        <w:spacing w:line="360" w:lineRule="auto"/>
        <w:rPr>
          <w:rFonts w:ascii="宋体"/>
          <w:sz w:val="22"/>
          <w:szCs w:val="22"/>
        </w:rPr>
      </w:pPr>
      <w:r>
        <w:rPr>
          <w:rFonts w:hint="eastAsia" w:ascii="宋体" w:hAnsi="宋体"/>
          <w:sz w:val="22"/>
          <w:szCs w:val="22"/>
        </w:rPr>
        <w:t>（2）在执行本合同期间，甲乙双方的所有通知均应采用书面的方式。</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本合同与上述文件如对相同内容有不同约定，且约定内容有冲突的，除另有特别约定外，依下列原则处理：</w:t>
      </w:r>
    </w:p>
    <w:p>
      <w:pPr>
        <w:adjustRightInd w:val="0"/>
        <w:snapToGrid w:val="0"/>
        <w:spacing w:line="360" w:lineRule="auto"/>
        <w:rPr>
          <w:rFonts w:ascii="宋体"/>
          <w:sz w:val="22"/>
          <w:szCs w:val="22"/>
        </w:rPr>
      </w:pPr>
      <w:r>
        <w:rPr>
          <w:rFonts w:hint="eastAsia" w:ascii="宋体" w:hAnsi="宋体"/>
          <w:sz w:val="22"/>
          <w:szCs w:val="22"/>
        </w:rPr>
        <w:t>（1）合同条款优先于竞争性谈判文件和响应文件条款；</w:t>
      </w:r>
    </w:p>
    <w:p>
      <w:pPr>
        <w:adjustRightInd w:val="0"/>
        <w:snapToGrid w:val="0"/>
        <w:spacing w:line="360" w:lineRule="auto"/>
        <w:rPr>
          <w:rFonts w:ascii="宋体"/>
          <w:sz w:val="22"/>
          <w:szCs w:val="22"/>
        </w:rPr>
      </w:pPr>
      <w:r>
        <w:rPr>
          <w:rFonts w:hint="eastAsia" w:ascii="宋体" w:hAnsi="宋体"/>
          <w:sz w:val="22"/>
          <w:szCs w:val="22"/>
        </w:rPr>
        <w:t>（2）在后文件的效力优先于在先文件的效力。</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甲乙双方对合同条款的理解有争议时，应当按照合同的有关条款、合同的目的、交易习惯以及诚实信用原则，确定该条款的真实含义。</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对本合同的任何修改和增补，以双方另行签订的补充协议为准。</w:t>
      </w:r>
    </w:p>
    <w:p>
      <w:pPr>
        <w:numPr>
          <w:ilvl w:val="0"/>
          <w:numId w:val="13"/>
        </w:numPr>
        <w:tabs>
          <w:tab w:val="left" w:pos="0"/>
          <w:tab w:val="clear" w:pos="420"/>
        </w:tabs>
        <w:adjustRightInd w:val="0"/>
        <w:snapToGrid w:val="0"/>
        <w:spacing w:line="360" w:lineRule="auto"/>
        <w:ind w:left="0" w:firstLine="0"/>
        <w:rPr>
          <w:rFonts w:ascii="宋体"/>
          <w:sz w:val="22"/>
          <w:szCs w:val="22"/>
        </w:rPr>
      </w:pPr>
      <w:r>
        <w:rPr>
          <w:rFonts w:hint="eastAsia" w:ascii="宋体" w:hAnsi="宋体"/>
          <w:sz w:val="22"/>
          <w:szCs w:val="22"/>
        </w:rPr>
        <w:t>甲乙双方对本合同中产品的具体价格和交易方式有保密的责任，未经对方的书面许可，任何一方不得向第三方透露。</w:t>
      </w:r>
    </w:p>
    <w:p>
      <w:pPr>
        <w:numPr>
          <w:ilvl w:val="0"/>
          <w:numId w:val="13"/>
        </w:numPr>
        <w:adjustRightInd w:val="0"/>
        <w:snapToGrid w:val="0"/>
        <w:spacing w:line="360" w:lineRule="auto"/>
        <w:rPr>
          <w:rFonts w:ascii="宋体"/>
          <w:sz w:val="22"/>
          <w:szCs w:val="22"/>
        </w:rPr>
      </w:pPr>
      <w:r>
        <w:rPr>
          <w:rFonts w:hint="eastAsia" w:ascii="宋体" w:hAnsi="宋体"/>
          <w:sz w:val="22"/>
          <w:szCs w:val="22"/>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2"/>
          <w:szCs w:val="22"/>
        </w:rPr>
      </w:pPr>
      <w:bookmarkStart w:id="34" w:name="_Toc72326311"/>
      <w:r>
        <w:rPr>
          <w:rFonts w:hint="eastAsia" w:ascii="宋体" w:hAnsi="宋体" w:eastAsia="宋体"/>
          <w:b/>
          <w:kern w:val="2"/>
          <w:sz w:val="22"/>
          <w:szCs w:val="22"/>
        </w:rPr>
        <w:t>十二、附件列表</w:t>
      </w:r>
      <w:bookmarkEnd w:id="34"/>
    </w:p>
    <w:p>
      <w:pPr>
        <w:adjustRightInd w:val="0"/>
        <w:snapToGrid w:val="0"/>
        <w:spacing w:line="360" w:lineRule="auto"/>
        <w:rPr>
          <w:rFonts w:ascii="宋体" w:hAnsi="宋体"/>
          <w:sz w:val="22"/>
          <w:szCs w:val="22"/>
        </w:rPr>
      </w:pPr>
      <w:r>
        <w:rPr>
          <w:rFonts w:hint="eastAsia" w:ascii="宋体" w:hAnsi="宋体"/>
          <w:sz w:val="22"/>
          <w:szCs w:val="22"/>
        </w:rPr>
        <w:t>附件一：价格表</w:t>
      </w:r>
    </w:p>
    <w:p>
      <w:pPr>
        <w:adjustRightInd w:val="0"/>
        <w:snapToGrid w:val="0"/>
        <w:spacing w:line="360" w:lineRule="auto"/>
        <w:rPr>
          <w:rFonts w:ascii="宋体" w:hAnsi="宋体"/>
          <w:sz w:val="22"/>
          <w:szCs w:val="22"/>
        </w:rPr>
      </w:pPr>
      <w:r>
        <w:rPr>
          <w:rFonts w:hint="eastAsia" w:ascii="宋体" w:hAnsi="宋体"/>
          <w:sz w:val="22"/>
          <w:szCs w:val="22"/>
        </w:rPr>
        <w:t>附件二：服务人员名单</w:t>
      </w:r>
    </w:p>
    <w:p>
      <w:pPr>
        <w:adjustRightInd w:val="0"/>
        <w:snapToGrid w:val="0"/>
        <w:spacing w:line="360" w:lineRule="auto"/>
        <w:rPr>
          <w:rFonts w:ascii="宋体" w:hAnsi="宋体"/>
          <w:sz w:val="22"/>
          <w:szCs w:val="22"/>
        </w:rPr>
      </w:pPr>
      <w:r>
        <w:rPr>
          <w:rFonts w:hint="eastAsia" w:ascii="宋体" w:hAnsi="宋体"/>
          <w:sz w:val="22"/>
          <w:szCs w:val="22"/>
        </w:rPr>
        <w:t>附件三：技术需求书</w:t>
      </w:r>
    </w:p>
    <w:p>
      <w:pPr>
        <w:adjustRightInd w:val="0"/>
        <w:snapToGrid w:val="0"/>
        <w:spacing w:line="360" w:lineRule="auto"/>
        <w:ind w:left="220" w:hanging="220" w:hangingChars="100"/>
        <w:jc w:val="left"/>
        <w:rPr>
          <w:sz w:val="22"/>
          <w:szCs w:val="22"/>
        </w:rPr>
      </w:pPr>
    </w:p>
    <w:p>
      <w:pPr>
        <w:adjustRightInd w:val="0"/>
        <w:snapToGrid w:val="0"/>
        <w:spacing w:line="360" w:lineRule="auto"/>
        <w:ind w:left="220" w:hanging="220" w:hangingChars="100"/>
        <w:jc w:val="left"/>
        <w:rPr>
          <w:sz w:val="22"/>
          <w:szCs w:val="22"/>
        </w:rPr>
      </w:pPr>
      <w:r>
        <w:rPr>
          <w:rFonts w:hint="eastAsia"/>
          <w:sz w:val="22"/>
          <w:szCs w:val="22"/>
        </w:rPr>
        <w:t>甲方</w:t>
      </w:r>
      <w:r>
        <w:rPr>
          <w:sz w:val="22"/>
          <w:szCs w:val="22"/>
        </w:rPr>
        <w:t>：</w:t>
      </w:r>
      <w:r>
        <w:rPr>
          <w:sz w:val="22"/>
          <w:szCs w:val="22"/>
          <w:u w:val="single"/>
        </w:rPr>
        <w:t>江苏省广电有线信息网络股份有限公司</w:t>
      </w:r>
      <w:r>
        <w:rPr>
          <w:rFonts w:hint="eastAsia"/>
          <w:sz w:val="22"/>
          <w:szCs w:val="22"/>
        </w:rPr>
        <w:t>乙方</w:t>
      </w:r>
      <w:r>
        <w:rPr>
          <w:sz w:val="22"/>
          <w:szCs w:val="22"/>
        </w:rPr>
        <w:t>：</w:t>
      </w:r>
      <w:r>
        <w:rPr>
          <w:sz w:val="22"/>
          <w:szCs w:val="22"/>
          <w:u w:val="single"/>
        </w:rPr>
        <w:t xml:space="preserve">                       公司</w:t>
      </w:r>
    </w:p>
    <w:p>
      <w:pPr>
        <w:adjustRightInd w:val="0"/>
        <w:snapToGrid w:val="0"/>
        <w:spacing w:line="360" w:lineRule="auto"/>
        <w:rPr>
          <w:sz w:val="22"/>
          <w:szCs w:val="22"/>
        </w:rPr>
      </w:pPr>
      <w:r>
        <w:rPr>
          <w:sz w:val="22"/>
          <w:szCs w:val="22"/>
        </w:rPr>
        <w:t>（盖章）_________________________          （盖章）_______________________</w:t>
      </w:r>
    </w:p>
    <w:p>
      <w:pPr>
        <w:adjustRightInd w:val="0"/>
        <w:snapToGrid w:val="0"/>
        <w:spacing w:line="360" w:lineRule="auto"/>
        <w:ind w:firstLine="110" w:firstLineChars="50"/>
        <w:rPr>
          <w:sz w:val="22"/>
          <w:szCs w:val="22"/>
        </w:rPr>
      </w:pPr>
      <w:r>
        <w:rPr>
          <w:sz w:val="22"/>
          <w:szCs w:val="22"/>
        </w:rPr>
        <w:t>地址：___________________                  地址：____________________</w:t>
      </w:r>
    </w:p>
    <w:p>
      <w:pPr>
        <w:adjustRightInd w:val="0"/>
        <w:snapToGrid w:val="0"/>
        <w:spacing w:line="360" w:lineRule="auto"/>
        <w:ind w:firstLine="110" w:firstLineChars="50"/>
        <w:rPr>
          <w:sz w:val="22"/>
          <w:szCs w:val="22"/>
        </w:rPr>
      </w:pPr>
      <w:r>
        <w:rPr>
          <w:sz w:val="22"/>
          <w:szCs w:val="22"/>
        </w:rPr>
        <w:t>电话：</w:t>
      </w:r>
      <w:r>
        <w:rPr>
          <w:sz w:val="22"/>
          <w:szCs w:val="22"/>
          <w:u w:val="single"/>
        </w:rPr>
        <w:t xml:space="preserve">                    </w:t>
      </w:r>
      <w:r>
        <w:rPr>
          <w:sz w:val="22"/>
          <w:szCs w:val="22"/>
        </w:rPr>
        <w:t xml:space="preserve">                 电话：___________________</w:t>
      </w:r>
    </w:p>
    <w:p>
      <w:pPr>
        <w:adjustRightInd w:val="0"/>
        <w:snapToGrid w:val="0"/>
        <w:spacing w:line="360" w:lineRule="auto"/>
        <w:ind w:firstLine="110" w:firstLineChars="50"/>
        <w:rPr>
          <w:sz w:val="22"/>
          <w:szCs w:val="22"/>
          <w:u w:val="single"/>
        </w:rPr>
      </w:pPr>
      <w:r>
        <w:rPr>
          <w:sz w:val="22"/>
          <w:szCs w:val="22"/>
        </w:rPr>
        <w:t>开户银行：</w:t>
      </w:r>
      <w:r>
        <w:rPr>
          <w:rFonts w:hint="eastAsia"/>
          <w:sz w:val="22"/>
          <w:szCs w:val="22"/>
        </w:rPr>
        <w:t xml:space="preserve"> </w:t>
      </w:r>
      <w:r>
        <w:rPr>
          <w:sz w:val="22"/>
          <w:szCs w:val="22"/>
          <w:u w:val="single"/>
        </w:rPr>
        <w:t xml:space="preserve">                 </w:t>
      </w:r>
      <w:r>
        <w:rPr>
          <w:sz w:val="22"/>
          <w:szCs w:val="22"/>
        </w:rPr>
        <w:t xml:space="preserve">              开户银行：___________________</w:t>
      </w:r>
    </w:p>
    <w:p>
      <w:pPr>
        <w:adjustRightInd w:val="0"/>
        <w:snapToGrid w:val="0"/>
        <w:spacing w:line="360" w:lineRule="auto"/>
        <w:ind w:firstLine="110" w:firstLineChars="50"/>
        <w:rPr>
          <w:sz w:val="22"/>
          <w:szCs w:val="22"/>
        </w:rPr>
      </w:pPr>
      <w:r>
        <w:rPr>
          <w:sz w:val="22"/>
          <w:szCs w:val="22"/>
        </w:rPr>
        <w:t>银行账号：</w:t>
      </w:r>
      <w:r>
        <w:rPr>
          <w:sz w:val="22"/>
          <w:szCs w:val="22"/>
          <w:u w:val="single"/>
        </w:rPr>
        <w:t xml:space="preserve">                      </w:t>
      </w:r>
      <w:r>
        <w:rPr>
          <w:sz w:val="22"/>
          <w:szCs w:val="22"/>
        </w:rPr>
        <w:t xml:space="preserve">           银行账号：___________________</w:t>
      </w:r>
    </w:p>
    <w:p>
      <w:pPr>
        <w:spacing w:line="300" w:lineRule="auto"/>
        <w:ind w:firstLine="5280" w:firstLineChars="2400"/>
        <w:rPr>
          <w:sz w:val="22"/>
          <w:szCs w:val="22"/>
        </w:rPr>
      </w:pPr>
    </w:p>
    <w:p>
      <w:pPr>
        <w:spacing w:line="300" w:lineRule="auto"/>
        <w:ind w:firstLine="5280" w:firstLineChars="2400"/>
        <w:rPr>
          <w:sz w:val="22"/>
          <w:szCs w:val="22"/>
        </w:rPr>
      </w:pPr>
      <w:r>
        <w:rPr>
          <w:rFonts w:hint="eastAsia"/>
          <w:sz w:val="22"/>
          <w:szCs w:val="22"/>
        </w:rPr>
        <w:t>签订日期：</w:t>
      </w:r>
      <w:r>
        <w:rPr>
          <w:sz w:val="22"/>
          <w:szCs w:val="22"/>
          <w:u w:val="single"/>
        </w:rPr>
        <w:t xml:space="preserve">     </w:t>
      </w:r>
      <w:r>
        <w:rPr>
          <w:rFonts w:hint="eastAsia"/>
          <w:sz w:val="22"/>
          <w:szCs w:val="22"/>
        </w:rPr>
        <w:t>年</w:t>
      </w:r>
      <w:r>
        <w:rPr>
          <w:sz w:val="22"/>
          <w:szCs w:val="22"/>
          <w:u w:val="single"/>
        </w:rPr>
        <w:t xml:space="preserve">   </w:t>
      </w:r>
      <w:r>
        <w:rPr>
          <w:rFonts w:hint="eastAsia"/>
          <w:sz w:val="22"/>
          <w:szCs w:val="22"/>
        </w:rPr>
        <w:t>月</w:t>
      </w:r>
      <w:r>
        <w:rPr>
          <w:sz w:val="22"/>
          <w:szCs w:val="22"/>
          <w:u w:val="single"/>
        </w:rPr>
        <w:t xml:space="preserve">    </w:t>
      </w:r>
      <w:r>
        <w:rPr>
          <w:rFonts w:hint="eastAsia"/>
          <w:sz w:val="22"/>
          <w:szCs w:val="22"/>
        </w:rPr>
        <w:t>日</w:t>
      </w:r>
      <w:bookmarkEnd w:id="23"/>
    </w:p>
    <w:p>
      <w:pPr>
        <w:spacing w:line="300" w:lineRule="auto"/>
        <w:ind w:firstLine="5280" w:firstLineChars="2400"/>
        <w:rPr>
          <w:sz w:val="22"/>
          <w:szCs w:val="22"/>
        </w:rPr>
      </w:pPr>
      <w:r>
        <w:rPr>
          <w:sz w:val="22"/>
          <w:szCs w:val="22"/>
        </w:rPr>
        <w:br w:type="page"/>
      </w: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附件一：价格表</w:t>
      </w: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附件二：服务人员名单</w:t>
      </w: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p>
    <w:p>
      <w:pPr>
        <w:spacing w:line="300" w:lineRule="auto"/>
        <w:jc w:val="left"/>
        <w:rPr>
          <w:rFonts w:ascii="宋体" w:hAnsi="宋体" w:cs="宋体"/>
          <w:b/>
          <w:bCs/>
          <w:color w:val="000000"/>
          <w:sz w:val="22"/>
          <w:szCs w:val="28"/>
        </w:rPr>
      </w:pPr>
      <w:r>
        <w:rPr>
          <w:rFonts w:hint="eastAsia" w:ascii="宋体" w:hAnsi="宋体" w:cs="宋体"/>
          <w:b/>
          <w:bCs/>
          <w:color w:val="000000"/>
          <w:sz w:val="22"/>
          <w:szCs w:val="28"/>
        </w:rPr>
        <w:t>附件三：技术需求书</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sz w:val="36"/>
          <w:szCs w:val="36"/>
        </w:rPr>
      </w:pPr>
      <w:bookmarkStart w:id="35" w:name="_Toc69378637"/>
      <w:r>
        <w:rPr>
          <w:rFonts w:hint="eastAsia"/>
          <w:b/>
          <w:sz w:val="36"/>
          <w:szCs w:val="36"/>
        </w:rPr>
        <w:t>第五章 技术需求书</w:t>
      </w:r>
      <w:bookmarkEnd w:id="35"/>
    </w:p>
    <w:p>
      <w:pPr>
        <w:pStyle w:val="89"/>
        <w:spacing w:line="360" w:lineRule="auto"/>
        <w:ind w:left="425" w:firstLine="0" w:firstLineChars="0"/>
        <w:rPr>
          <w:rFonts w:ascii="宋体" w:hAnsi="宋体"/>
          <w:color w:val="000000"/>
          <w:sz w:val="24"/>
          <w:szCs w:val="24"/>
        </w:rPr>
      </w:pPr>
      <w:r>
        <w:rPr>
          <w:rFonts w:hint="eastAsia" w:ascii="宋体" w:hAnsi="宋体" w:eastAsia="宋体" w:cs="宋体"/>
          <w:color w:val="000000"/>
          <w:sz w:val="24"/>
          <w:szCs w:val="24"/>
        </w:rPr>
        <w:t>技术需求书中</w:t>
      </w:r>
      <w:r>
        <w:rPr>
          <w:rFonts w:ascii="宋体" w:hAnsi="宋体"/>
          <w:color w:val="000000"/>
          <w:sz w:val="24"/>
          <w:szCs w:val="24"/>
        </w:rPr>
        <w:t>带“</w:t>
      </w:r>
      <w:r>
        <w:rPr>
          <w:rFonts w:ascii="宋体" w:hAnsi="宋体" w:cs="宋体"/>
          <w:color w:val="000000" w:themeColor="text1"/>
          <w:sz w:val="24"/>
          <w:szCs w:val="24"/>
          <w14:textFill>
            <w14:solidFill>
              <w14:schemeClr w14:val="tx1"/>
            </w14:solidFill>
          </w14:textFill>
        </w:rPr>
        <w:t>★</w:t>
      </w:r>
      <w:r>
        <w:rPr>
          <w:rFonts w:hint="eastAsia" w:ascii="宋体" w:hAnsi="宋体"/>
          <w:color w:val="000000"/>
          <w:sz w:val="24"/>
          <w:szCs w:val="24"/>
        </w:rPr>
        <w:t>”</w:t>
      </w:r>
      <w:r>
        <w:rPr>
          <w:rFonts w:ascii="宋体" w:hAnsi="宋体"/>
          <w:color w:val="000000"/>
          <w:sz w:val="24"/>
          <w:szCs w:val="24"/>
        </w:rPr>
        <w:t>部分为必须保证满足要求的条款。</w:t>
      </w:r>
    </w:p>
    <w:bookmarkEnd w:id="15"/>
    <w:bookmarkEnd w:id="16"/>
    <w:bookmarkEnd w:id="17"/>
    <w:p>
      <w:pPr>
        <w:spacing w:line="360" w:lineRule="auto"/>
        <w:ind w:firstLine="482" w:firstLineChars="200"/>
        <w:outlineLvl w:val="1"/>
        <w:rPr>
          <w:rFonts w:ascii="宋体" w:hAnsi="宋体"/>
          <w:b/>
          <w:sz w:val="24"/>
        </w:rPr>
      </w:pPr>
      <w:bookmarkStart w:id="36" w:name="_Toc512356033"/>
      <w:bookmarkStart w:id="37" w:name="_Toc454971823"/>
      <w:bookmarkStart w:id="38" w:name="_Toc69378657"/>
      <w:bookmarkStart w:id="39" w:name="_Toc502914229"/>
      <w:r>
        <w:rPr>
          <w:rFonts w:hint="eastAsia" w:ascii="宋体" w:hAnsi="宋体"/>
          <w:b/>
          <w:sz w:val="24"/>
        </w:rPr>
        <w:t>一</w:t>
      </w:r>
      <w:r>
        <w:rPr>
          <w:rFonts w:ascii="宋体" w:hAnsi="宋体"/>
          <w:b/>
          <w:sz w:val="24"/>
        </w:rPr>
        <w:t>、项目</w:t>
      </w:r>
      <w:r>
        <w:rPr>
          <w:rFonts w:hint="eastAsia" w:ascii="宋体" w:hAnsi="宋体"/>
          <w:b/>
          <w:sz w:val="24"/>
        </w:rPr>
        <w:t>总体要求</w:t>
      </w:r>
    </w:p>
    <w:p>
      <w:pPr>
        <w:spacing w:line="360" w:lineRule="auto"/>
        <w:ind w:firstLine="480" w:firstLineChars="200"/>
        <w:rPr>
          <w:sz w:val="24"/>
          <w:highlight w:val="yellow"/>
        </w:rPr>
      </w:pPr>
      <w:bookmarkStart w:id="40" w:name="_Hlk530059459"/>
      <w:r>
        <w:rPr>
          <w:rFonts w:hint="eastAsia"/>
          <w:sz w:val="24"/>
        </w:rPr>
        <w:t>本期项目计划采购大数据平台DSMM 2级认证（数据安全能力成熟度认证）服务。</w:t>
      </w:r>
    </w:p>
    <w:p>
      <w:pPr>
        <w:spacing w:line="360" w:lineRule="auto"/>
        <w:ind w:firstLine="480" w:firstLineChars="200"/>
        <w:rPr>
          <w:sz w:val="24"/>
        </w:rPr>
      </w:pPr>
      <w:r>
        <w:rPr>
          <w:rFonts w:hint="eastAsia"/>
          <w:sz w:val="24"/>
        </w:rPr>
        <w:t>数据安全能力成熟度评估(以下简称“DSMM评估”)是依据《信息安全技术数据安全能力成熟度模型》(GB/T 37988-2019)国家标准和《数据安全能力建设实施指南V1.0》，对采购人大数据平台的数据安全开展能力评估。</w:t>
      </w:r>
    </w:p>
    <w:p>
      <w:pPr>
        <w:spacing w:line="360" w:lineRule="auto"/>
        <w:ind w:firstLine="480" w:firstLineChars="200"/>
        <w:rPr>
          <w:sz w:val="24"/>
        </w:rPr>
      </w:pPr>
      <w:r>
        <w:rPr>
          <w:rFonts w:hint="eastAsia"/>
          <w:sz w:val="24"/>
        </w:rPr>
        <w:t>DSMM评估以采购人的大数据平台为中心，围绕数据的生命周期，对组织建设、制度流程、技术工具以及人员能力4个能力维度进行评估，涵盖5个成熟度级别、30个数据安全能力过程域和576个基本实践。</w:t>
      </w:r>
    </w:p>
    <w:p>
      <w:pPr>
        <w:spacing w:line="360" w:lineRule="auto"/>
        <w:ind w:firstLine="480" w:firstLineChars="200"/>
        <w:rPr>
          <w:sz w:val="24"/>
        </w:rPr>
      </w:pPr>
      <w:r>
        <w:rPr>
          <w:rFonts w:hint="eastAsia"/>
          <w:sz w:val="24"/>
        </w:rPr>
        <w:t>（1）维度一：安全能力(4个关键能力)</w:t>
      </w:r>
    </w:p>
    <w:p>
      <w:pPr>
        <w:spacing w:line="360" w:lineRule="auto"/>
        <w:ind w:firstLine="480" w:firstLineChars="200"/>
        <w:rPr>
          <w:sz w:val="24"/>
        </w:rPr>
      </w:pPr>
      <w:r>
        <w:rPr>
          <w:rFonts w:hint="eastAsia"/>
          <w:sz w:val="24"/>
        </w:rPr>
        <w:t>安全能力维度明确了采购人在数据安全领域应具备的能力，包括: 组织建设、制度流程、技术工具和人员能力。</w:t>
      </w:r>
    </w:p>
    <w:p>
      <w:pPr>
        <w:spacing w:line="360" w:lineRule="auto"/>
        <w:ind w:firstLine="480" w:firstLineChars="200"/>
        <w:rPr>
          <w:sz w:val="24"/>
        </w:rPr>
      </w:pPr>
      <w:r>
        <w:rPr>
          <w:rFonts w:hint="eastAsia"/>
          <w:sz w:val="24"/>
        </w:rPr>
        <w:t>（2）维度二：能力成熟度等级(5级)</w:t>
      </w:r>
    </w:p>
    <w:p>
      <w:pPr>
        <w:spacing w:line="360" w:lineRule="auto"/>
        <w:ind w:firstLine="480" w:firstLineChars="200"/>
        <w:rPr>
          <w:sz w:val="24"/>
        </w:rPr>
      </w:pPr>
      <w:r>
        <w:rPr>
          <w:rFonts w:hint="eastAsia"/>
          <w:sz w:val="24"/>
        </w:rPr>
        <w:t>共分为5级，具体包括: 1级是非正式执行级，2级是计划跟踪级，3级是充分定义级，4级是量化控制级，5级是持续优化级。采购人确定数据安全能力成熟度目标等级为2级。</w:t>
      </w:r>
    </w:p>
    <w:p>
      <w:pPr>
        <w:spacing w:line="360" w:lineRule="auto"/>
        <w:ind w:firstLine="480" w:firstLineChars="200"/>
        <w:rPr>
          <w:sz w:val="24"/>
        </w:rPr>
      </w:pPr>
      <w:r>
        <w:rPr>
          <w:rFonts w:hint="eastAsia"/>
          <w:sz w:val="24"/>
        </w:rPr>
        <w:t>（3）维度三：数据安全过程(6 + 1)</w:t>
      </w:r>
    </w:p>
    <w:p>
      <w:pPr>
        <w:spacing w:line="360" w:lineRule="auto"/>
        <w:ind w:firstLine="480" w:firstLineChars="200"/>
        <w:rPr>
          <w:sz w:val="24"/>
        </w:rPr>
      </w:pPr>
      <w:r>
        <w:rPr>
          <w:rFonts w:hint="eastAsia"/>
          <w:sz w:val="24"/>
        </w:rPr>
        <w:t>具体包括：数据生存周期安全过程(数据采集安全、数据传输安全、数据存储安全、数据处理安全、数据交换安数据销毁安全)和通用安全过程。</w:t>
      </w:r>
    </w:p>
    <w:p>
      <w:pPr>
        <w:spacing w:line="360" w:lineRule="auto"/>
        <w:ind w:firstLine="480" w:firstLineChars="200"/>
        <w:rPr>
          <w:b/>
          <w:bCs/>
          <w:sz w:val="24"/>
        </w:rPr>
      </w:pPr>
      <w:r>
        <w:rPr>
          <w:rFonts w:hint="eastAsia"/>
          <w:sz w:val="24"/>
        </w:rPr>
        <w:t>★</w:t>
      </w:r>
      <w:r>
        <w:rPr>
          <w:rFonts w:hint="eastAsia"/>
          <w:b/>
          <w:bCs/>
          <w:sz w:val="24"/>
        </w:rPr>
        <w:t>本项目服务主要内容包括安全现状调研、数据资产梳理、基础环境风险评估、数据安全合规评估、数据安全能力评估、数据安全风险评估整改、技术整改指导、其他如数据安全应急演练服务、数据安全培训与技能提升服务等，服务工作量共计5</w:t>
      </w:r>
      <w:r>
        <w:rPr>
          <w:b/>
          <w:bCs/>
          <w:sz w:val="24"/>
        </w:rPr>
        <w:t>00</w:t>
      </w:r>
      <w:r>
        <w:rPr>
          <w:rFonts w:hint="eastAsia"/>
          <w:b/>
          <w:bCs/>
          <w:sz w:val="24"/>
        </w:rPr>
        <w:t>人日。服务供应商需提供驻场人员协助采购人开展DSMM认证测评全过程，并且免费提供敏感数据发现与风险评估系统、数据脱敏系统、数据安全运营平台、数据安全风险自评估等测评认证所需工具。</w:t>
      </w:r>
    </w:p>
    <w:bookmarkEnd w:id="40"/>
    <w:p>
      <w:pPr>
        <w:spacing w:line="360" w:lineRule="auto"/>
        <w:ind w:firstLine="482" w:firstLineChars="200"/>
        <w:outlineLvl w:val="1"/>
        <w:rPr>
          <w:rFonts w:ascii="宋体" w:hAnsi="宋体"/>
          <w:b/>
          <w:sz w:val="24"/>
        </w:rPr>
      </w:pPr>
      <w:r>
        <w:rPr>
          <w:rFonts w:hint="eastAsia" w:ascii="宋体" w:hAnsi="宋体"/>
          <w:b/>
          <w:sz w:val="24"/>
        </w:rPr>
        <w:t>二、技术要求</w:t>
      </w:r>
      <w:bookmarkEnd w:id="36"/>
      <w:bookmarkEnd w:id="37"/>
    </w:p>
    <w:p>
      <w:pPr>
        <w:spacing w:line="360" w:lineRule="auto"/>
        <w:ind w:firstLine="562" w:firstLineChars="200"/>
        <w:rPr>
          <w:sz w:val="24"/>
        </w:rPr>
      </w:pPr>
      <w:r>
        <w:rPr>
          <w:rFonts w:hint="eastAsia" w:ascii="宋体" w:hAnsi="宋体"/>
          <w:b/>
          <w:sz w:val="28"/>
          <w:szCs w:val="28"/>
        </w:rPr>
        <w:t>★</w:t>
      </w:r>
      <w:r>
        <w:rPr>
          <w:rFonts w:hint="eastAsia"/>
          <w:sz w:val="24"/>
        </w:rPr>
        <w:t>DSMM 2级测评评估要求</w:t>
      </w:r>
      <w:r>
        <w:rPr>
          <w:sz w:val="24"/>
        </w:rPr>
        <w:t>如下</w:t>
      </w:r>
      <w:r>
        <w:rPr>
          <w:rFonts w:hint="eastAsia"/>
          <w:sz w:val="24"/>
        </w:rPr>
        <w:t>：</w:t>
      </w:r>
    </w:p>
    <w:tbl>
      <w:tblPr>
        <w:tblStyle w:val="53"/>
        <w:tblW w:w="9070"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27"/>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rPr>
                <w:rFonts w:ascii="宋体" w:hAnsi="宋体" w:cs="宋体"/>
                <w:szCs w:val="21"/>
              </w:rPr>
            </w:pPr>
            <w:r>
              <w:rPr>
                <w:rFonts w:hint="eastAsia" w:ascii="宋体" w:hAnsi="宋体" w:cs="宋体"/>
                <w:szCs w:val="21"/>
              </w:rPr>
              <w:t>评估项</w:t>
            </w:r>
          </w:p>
        </w:tc>
        <w:tc>
          <w:tcPr>
            <w:tcW w:w="0" w:type="auto"/>
          </w:tcPr>
          <w:p>
            <w:pPr>
              <w:rPr>
                <w:rFonts w:ascii="宋体" w:hAnsi="宋体" w:cs="宋体"/>
                <w:szCs w:val="21"/>
              </w:rPr>
            </w:pPr>
            <w:r>
              <w:rPr>
                <w:rFonts w:hint="eastAsia" w:ascii="宋体" w:hAnsi="宋体" w:cs="宋体"/>
                <w:szCs w:val="21"/>
              </w:rPr>
              <w:t>过程域</w:t>
            </w:r>
          </w:p>
        </w:tc>
        <w:tc>
          <w:tcPr>
            <w:tcW w:w="6645" w:type="dxa"/>
          </w:tcPr>
          <w:p>
            <w:pPr>
              <w:rPr>
                <w:rFonts w:ascii="宋体" w:hAnsi="宋体" w:cs="宋体"/>
                <w:szCs w:val="21"/>
              </w:rPr>
            </w:pPr>
            <w:r>
              <w:rPr>
                <w:rFonts w:hint="eastAsia" w:ascii="宋体" w:hAnsi="宋体" w:cs="宋体"/>
                <w:szCs w:val="21"/>
              </w:rPr>
              <w:t>评估要点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数据采集安全</w:t>
            </w:r>
          </w:p>
        </w:tc>
        <w:tc>
          <w:tcPr>
            <w:tcW w:w="0" w:type="auto"/>
          </w:tcPr>
          <w:p>
            <w:pPr>
              <w:rPr>
                <w:rFonts w:ascii="宋体" w:hAnsi="宋体" w:cs="宋体"/>
                <w:szCs w:val="21"/>
                <w:highlight w:val="yellow"/>
              </w:rPr>
            </w:pPr>
            <w:r>
              <w:rPr>
                <w:rFonts w:hint="eastAsia" w:ascii="宋体" w:hAnsi="宋体" w:cs="宋体"/>
                <w:szCs w:val="21"/>
              </w:rPr>
              <w:t>PA01数据分类分级</w:t>
            </w:r>
          </w:p>
        </w:tc>
        <w:tc>
          <w:tcPr>
            <w:tcW w:w="6645" w:type="dxa"/>
          </w:tcPr>
          <w:p>
            <w:pPr>
              <w:rPr>
                <w:rFonts w:ascii="宋体" w:hAnsi="宋体" w:cs="宋体"/>
                <w:szCs w:val="21"/>
              </w:rPr>
            </w:pPr>
            <w:r>
              <w:rPr>
                <w:rFonts w:hint="eastAsia" w:ascii="宋体" w:hAnsi="宋体" w:cs="宋体"/>
                <w:szCs w:val="21"/>
              </w:rPr>
              <w:t>a）组织建设：应由业务团队相关人员负责相关业务的数据分类分级。</w:t>
            </w:r>
          </w:p>
          <w:p>
            <w:pPr>
              <w:rPr>
                <w:rFonts w:ascii="宋体" w:hAnsi="宋体" w:cs="宋体"/>
                <w:szCs w:val="21"/>
                <w:highlight w:val="yellow"/>
              </w:rPr>
            </w:pPr>
            <w:r>
              <w:rPr>
                <w:rFonts w:hint="eastAsia" w:ascii="宋体" w:hAnsi="宋体" w:cs="宋体"/>
                <w:szCs w:val="21"/>
              </w:rPr>
              <w:t>b）制度流程：应根据业务特性和外部合规要求，对核心业务的关键数据进行分类分级管理。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PA02数据采集安全管理</w:t>
            </w:r>
          </w:p>
        </w:tc>
        <w:tc>
          <w:tcPr>
            <w:tcW w:w="6645" w:type="dxa"/>
          </w:tcPr>
          <w:p>
            <w:pPr>
              <w:rPr>
                <w:rFonts w:ascii="宋体" w:hAnsi="宋体" w:cs="宋体"/>
                <w:szCs w:val="21"/>
              </w:rPr>
            </w:pPr>
            <w:r>
              <w:rPr>
                <w:rFonts w:hint="eastAsia" w:ascii="宋体" w:hAnsi="宋体" w:cs="宋体"/>
                <w:szCs w:val="21"/>
              </w:rPr>
              <w:t>a ) 组织建设：应由业务团队相关人员负责数据采集安全管理。</w:t>
            </w:r>
          </w:p>
          <w:p>
            <w:pPr>
              <w:rPr>
                <w:rFonts w:ascii="宋体" w:hAnsi="宋体" w:cs="宋体"/>
                <w:szCs w:val="21"/>
              </w:rPr>
            </w:pPr>
            <w:r>
              <w:rPr>
                <w:rFonts w:hint="eastAsia" w:ascii="宋体" w:hAnsi="宋体" w:cs="宋体"/>
                <w:szCs w:val="21"/>
              </w:rPr>
              <w:t>b ) 制度流程：</w:t>
            </w:r>
          </w:p>
          <w:p>
            <w:pPr>
              <w:rPr>
                <w:rFonts w:ascii="宋体" w:hAnsi="宋体" w:cs="宋体"/>
                <w:szCs w:val="21"/>
              </w:rPr>
            </w:pPr>
            <w:r>
              <w:rPr>
                <w:rFonts w:hint="eastAsia" w:ascii="宋体" w:hAnsi="宋体" w:cs="宋体"/>
                <w:szCs w:val="21"/>
              </w:rPr>
              <w:t>1) 应明确核心业务数据采集原则，保证该业务数据采集的合法、正当；</w:t>
            </w:r>
          </w:p>
          <w:p>
            <w:pPr>
              <w:rPr>
                <w:rFonts w:ascii="宋体" w:hAnsi="宋体" w:cs="宋体"/>
                <w:szCs w:val="21"/>
                <w:highlight w:val="yellow"/>
              </w:rPr>
            </w:pPr>
            <w:r>
              <w:rPr>
                <w:rFonts w:hint="eastAsia" w:ascii="宋体" w:hAnsi="宋体" w:cs="宋体"/>
                <w:szCs w:val="21"/>
              </w:rPr>
              <w:t>2) 核心业务应明示个人信息采集的目的、方式和范围，并经被收集者同意。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PA03数据源鉴别及记录</w:t>
            </w:r>
          </w:p>
        </w:tc>
        <w:tc>
          <w:tcPr>
            <w:tcW w:w="6645" w:type="dxa"/>
          </w:tcPr>
          <w:p>
            <w:pPr>
              <w:rPr>
                <w:rFonts w:ascii="宋体" w:hAnsi="宋体" w:cs="宋体"/>
                <w:szCs w:val="21"/>
              </w:rPr>
            </w:pPr>
            <w:r>
              <w:rPr>
                <w:rFonts w:hint="eastAsia" w:ascii="宋体" w:hAnsi="宋体" w:cs="宋体"/>
                <w:szCs w:val="21"/>
              </w:rPr>
              <w:t>a ) 组织建设：应由业务团队相关人员负责数据源鉴别和记录。</w:t>
            </w:r>
          </w:p>
          <w:p>
            <w:pPr>
              <w:rPr>
                <w:rFonts w:ascii="宋体" w:hAnsi="宋体" w:cs="宋体"/>
                <w:szCs w:val="21"/>
              </w:rPr>
            </w:pPr>
            <w:r>
              <w:rPr>
                <w:rFonts w:hint="eastAsia" w:ascii="宋体" w:hAnsi="宋体" w:cs="宋体"/>
                <w:szCs w:val="21"/>
              </w:rPr>
              <w:t>b ) 制度流程：核心业务系统的在线数据采集和外部第三方采集，均应建立了相应机制执行数据源的鉴别和记录。</w:t>
            </w:r>
          </w:p>
          <w:p>
            <w:pPr>
              <w:rPr>
                <w:rFonts w:ascii="宋体" w:hAnsi="宋体" w:cs="宋体"/>
                <w:szCs w:val="21"/>
                <w:highlight w:val="yellow"/>
              </w:rPr>
            </w:pPr>
            <w:r>
              <w:rPr>
                <w:rFonts w:hint="eastAsia" w:ascii="宋体" w:hAnsi="宋体" w:cs="宋体"/>
                <w:szCs w:val="21"/>
              </w:rPr>
              <w:t>c ) 技术工具：核心业务应具有技术工具支持对数据源的鉴别和记录。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highlight w:val="yellow"/>
              </w:rPr>
            </w:pPr>
            <w:r>
              <w:rPr>
                <w:rFonts w:hint="eastAsia" w:ascii="宋体" w:hAnsi="宋体" w:cs="宋体"/>
                <w:szCs w:val="21"/>
              </w:rPr>
              <w:t>PA04数据质量管理</w:t>
            </w:r>
          </w:p>
        </w:tc>
        <w:tc>
          <w:tcPr>
            <w:tcW w:w="6645" w:type="dxa"/>
          </w:tcPr>
          <w:p>
            <w:pPr>
              <w:rPr>
                <w:rFonts w:ascii="宋体" w:hAnsi="宋体" w:cs="宋体"/>
                <w:szCs w:val="21"/>
              </w:rPr>
            </w:pPr>
            <w:r>
              <w:rPr>
                <w:rFonts w:hint="eastAsia" w:ascii="宋体" w:hAnsi="宋体" w:cs="宋体"/>
                <w:szCs w:val="21"/>
              </w:rPr>
              <w:t>a ) 组织建设：应由业务团队相关人员根据业务需求进行数据质量管理。</w:t>
            </w:r>
          </w:p>
          <w:p>
            <w:pPr>
              <w:rPr>
                <w:rFonts w:ascii="宋体" w:hAnsi="宋体" w:cs="宋体"/>
                <w:szCs w:val="21"/>
                <w:highlight w:val="yellow"/>
              </w:rPr>
            </w:pPr>
            <w:r>
              <w:rPr>
                <w:rFonts w:hint="eastAsia" w:ascii="宋体" w:hAnsi="宋体" w:cs="宋体"/>
                <w:szCs w:val="21"/>
              </w:rPr>
              <w:t>b ) 制度流程：在核心业务中应将数据质量管理或监控作为必要的环节。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数据传输安全</w:t>
            </w:r>
          </w:p>
        </w:tc>
        <w:tc>
          <w:tcPr>
            <w:tcW w:w="0" w:type="auto"/>
          </w:tcPr>
          <w:p>
            <w:pPr>
              <w:rPr>
                <w:rFonts w:ascii="宋体" w:hAnsi="宋体" w:cs="宋体"/>
                <w:szCs w:val="21"/>
              </w:rPr>
            </w:pPr>
            <w:r>
              <w:rPr>
                <w:rFonts w:hint="eastAsia" w:ascii="宋体" w:hAnsi="宋体" w:cs="宋体"/>
                <w:szCs w:val="21"/>
              </w:rPr>
              <w:t>PA05数据传输加密</w:t>
            </w:r>
          </w:p>
        </w:tc>
        <w:tc>
          <w:tcPr>
            <w:tcW w:w="6645" w:type="dxa"/>
          </w:tcPr>
          <w:p>
            <w:pPr>
              <w:rPr>
                <w:rFonts w:ascii="宋体" w:hAnsi="宋体" w:cs="宋体"/>
                <w:szCs w:val="21"/>
              </w:rPr>
            </w:pPr>
            <w:r>
              <w:rPr>
                <w:rFonts w:hint="eastAsia" w:ascii="宋体" w:hAnsi="宋体" w:cs="宋体"/>
                <w:szCs w:val="21"/>
              </w:rPr>
              <w:t>a ) 组织建设：应由业务团队相关人员负责对传输通道进行加密处理。</w:t>
            </w:r>
          </w:p>
          <w:p>
            <w:pPr>
              <w:rPr>
                <w:rFonts w:ascii="宋体" w:hAnsi="宋体" w:cs="宋体"/>
                <w:szCs w:val="21"/>
              </w:rPr>
            </w:pPr>
            <w:r>
              <w:rPr>
                <w:rFonts w:hint="eastAsia" w:ascii="宋体" w:hAnsi="宋体" w:cs="宋体"/>
                <w:szCs w:val="21"/>
              </w:rPr>
              <w:t>b ) 制度流程：应根据合规要求和业务性能的需求，核心业务明确业务中需要加密传输的数据范围和加密算法。</w:t>
            </w:r>
          </w:p>
          <w:p>
            <w:pPr>
              <w:rPr>
                <w:rFonts w:ascii="宋体" w:hAnsi="宋体" w:cs="宋体"/>
                <w:szCs w:val="21"/>
              </w:rPr>
            </w:pPr>
            <w:r>
              <w:rPr>
                <w:rFonts w:hint="eastAsia" w:ascii="宋体" w:hAnsi="宋体" w:cs="宋体"/>
                <w:szCs w:val="21"/>
              </w:rPr>
              <w:t>c ) 技术工具：</w:t>
            </w:r>
          </w:p>
          <w:p>
            <w:pPr>
              <w:rPr>
                <w:rFonts w:ascii="宋体" w:hAnsi="宋体" w:cs="宋体"/>
                <w:szCs w:val="21"/>
              </w:rPr>
            </w:pPr>
            <w:r>
              <w:rPr>
                <w:rFonts w:hint="eastAsia" w:ascii="宋体" w:hAnsi="宋体" w:cs="宋体"/>
                <w:szCs w:val="21"/>
              </w:rPr>
              <w:t>1) 应有对传输通道两端进行主体身份鉴别和认证的技术方案和工具；</w:t>
            </w:r>
          </w:p>
          <w:p>
            <w:pPr>
              <w:rPr>
                <w:rFonts w:ascii="宋体" w:hAnsi="宋体" w:cs="宋体"/>
                <w:szCs w:val="21"/>
              </w:rPr>
            </w:pPr>
            <w:r>
              <w:rPr>
                <w:rFonts w:hint="eastAsia" w:ascii="宋体" w:hAnsi="宋体" w:cs="宋体"/>
                <w:szCs w:val="21"/>
              </w:rPr>
              <w:t>2) 应有对传输数据加密的技术方案和工具，包括针对关键的数据传输通道的加密方案(如采用 TLS / SSL 方式)，及对传输数据内容进行加密。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PA06网络可用性管理</w:t>
            </w:r>
          </w:p>
        </w:tc>
        <w:tc>
          <w:tcPr>
            <w:tcW w:w="6645" w:type="dxa"/>
          </w:tcPr>
          <w:p>
            <w:pPr>
              <w:rPr>
                <w:rFonts w:ascii="宋体" w:hAnsi="宋体" w:cs="宋体"/>
                <w:szCs w:val="21"/>
              </w:rPr>
            </w:pPr>
            <w:r>
              <w:rPr>
                <w:rFonts w:hint="eastAsia" w:ascii="宋体" w:hAnsi="宋体" w:cs="宋体"/>
                <w:szCs w:val="21"/>
              </w:rPr>
              <w:t>a ) 组织建设：应有负责网络的可用性管理的人员。</w:t>
            </w:r>
          </w:p>
          <w:p>
            <w:pPr>
              <w:rPr>
                <w:rFonts w:ascii="宋体" w:hAnsi="宋体" w:cs="宋体"/>
                <w:szCs w:val="21"/>
              </w:rPr>
            </w:pPr>
            <w:r>
              <w:rPr>
                <w:rFonts w:hint="eastAsia" w:ascii="宋体" w:hAnsi="宋体" w:cs="宋体"/>
                <w:szCs w:val="21"/>
              </w:rPr>
              <w:t>b ) 制度流程：应在网络安全管理的制度中明确关键网络链路、网络(安全)设备的可用性管理要求，关键业务的网络架构应考虑网络的可用性建设需求。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数据存储安全</w:t>
            </w:r>
          </w:p>
        </w:tc>
        <w:tc>
          <w:tcPr>
            <w:tcW w:w="0" w:type="auto"/>
          </w:tcPr>
          <w:p>
            <w:pPr>
              <w:rPr>
                <w:rFonts w:ascii="宋体" w:hAnsi="宋体" w:cs="宋体"/>
                <w:szCs w:val="21"/>
              </w:rPr>
            </w:pPr>
            <w:r>
              <w:rPr>
                <w:rFonts w:hint="eastAsia" w:ascii="宋体" w:hAnsi="宋体" w:cs="宋体"/>
                <w:szCs w:val="21"/>
              </w:rPr>
              <w:t>PA07存储媒体安全</w:t>
            </w:r>
          </w:p>
        </w:tc>
        <w:tc>
          <w:tcPr>
            <w:tcW w:w="6645" w:type="dxa"/>
          </w:tcPr>
          <w:p>
            <w:pPr>
              <w:rPr>
                <w:rFonts w:ascii="宋体" w:hAnsi="宋体" w:cs="宋体"/>
                <w:szCs w:val="21"/>
              </w:rPr>
            </w:pPr>
            <w:r>
              <w:rPr>
                <w:rFonts w:hint="eastAsia" w:ascii="宋体" w:hAnsi="宋体" w:cs="宋体"/>
                <w:szCs w:val="21"/>
              </w:rPr>
              <w:t>a ) 组织建设：应由业务团队相关人员根据实际业务需求负责执行存储媒体安全管理工作。</w:t>
            </w:r>
          </w:p>
          <w:p>
            <w:pPr>
              <w:rPr>
                <w:rFonts w:ascii="宋体" w:hAnsi="宋体" w:cs="宋体"/>
                <w:szCs w:val="21"/>
              </w:rPr>
            </w:pPr>
            <w:r>
              <w:rPr>
                <w:rFonts w:hint="eastAsia" w:ascii="宋体" w:hAnsi="宋体" w:cs="宋体"/>
                <w:szCs w:val="21"/>
              </w:rPr>
              <w:t>b ) 制度流程：业务团队应明确存储媒体使用、购买、标记的安全制度。</w:t>
            </w:r>
          </w:p>
          <w:p>
            <w:pPr>
              <w:rPr>
                <w:rFonts w:ascii="宋体" w:hAnsi="宋体" w:cs="宋体"/>
                <w:szCs w:val="21"/>
              </w:rPr>
            </w:pPr>
            <w:r>
              <w:rPr>
                <w:rFonts w:hint="eastAsia" w:ascii="宋体" w:hAnsi="宋体" w:cs="宋体"/>
                <w:szCs w:val="21"/>
              </w:rPr>
              <w:t>c ) 人员能力：业务团队中负责相关工作的人员，应熟悉存储媒体安全管理的相关制度要求。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PA08逻辑存储安全</w:t>
            </w:r>
          </w:p>
        </w:tc>
        <w:tc>
          <w:tcPr>
            <w:tcW w:w="6645" w:type="dxa"/>
          </w:tcPr>
          <w:p>
            <w:pPr>
              <w:rPr>
                <w:rFonts w:ascii="宋体" w:hAnsi="宋体" w:cs="宋体"/>
                <w:szCs w:val="21"/>
              </w:rPr>
            </w:pPr>
            <w:r>
              <w:rPr>
                <w:rFonts w:hint="eastAsia" w:ascii="宋体" w:hAnsi="宋体" w:cs="宋体"/>
                <w:szCs w:val="21"/>
              </w:rPr>
              <w:t>a )组织建设：应由业务团队相关人员负责相关数据逻辑存储系统(如数据库)的安全管理。</w:t>
            </w:r>
          </w:p>
          <w:p>
            <w:pPr>
              <w:rPr>
                <w:rFonts w:ascii="宋体" w:hAnsi="宋体" w:cs="宋体"/>
                <w:szCs w:val="21"/>
              </w:rPr>
            </w:pPr>
            <w:r>
              <w:rPr>
                <w:rFonts w:hint="eastAsia" w:ascii="宋体" w:hAnsi="宋体" w:cs="宋体"/>
                <w:szCs w:val="21"/>
              </w:rPr>
              <w:t>b) 技术工具：应采取技术工具支撑逻辑存储系统的安全管理，如配置扫描、身份鉴别、访问控制等。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PA09数据备份和恢复</w:t>
            </w:r>
          </w:p>
        </w:tc>
        <w:tc>
          <w:tcPr>
            <w:tcW w:w="6645" w:type="dxa"/>
          </w:tcPr>
          <w:p>
            <w:pPr>
              <w:rPr>
                <w:rFonts w:ascii="宋体" w:hAnsi="宋体" w:cs="宋体"/>
                <w:szCs w:val="21"/>
              </w:rPr>
            </w:pPr>
            <w:r>
              <w:rPr>
                <w:rFonts w:hint="eastAsia" w:ascii="宋体" w:hAnsi="宋体" w:cs="宋体"/>
                <w:szCs w:val="21"/>
              </w:rPr>
              <w:t>a )组织建设：业务团队应明确负责数据备份和恢复的岗位和人员。</w:t>
            </w:r>
          </w:p>
          <w:p>
            <w:pPr>
              <w:rPr>
                <w:rFonts w:ascii="宋体" w:hAnsi="宋体" w:cs="宋体"/>
                <w:szCs w:val="21"/>
              </w:rPr>
            </w:pPr>
            <w:r>
              <w:rPr>
                <w:rFonts w:hint="eastAsia" w:ascii="宋体" w:hAnsi="宋体" w:cs="宋体"/>
                <w:szCs w:val="21"/>
              </w:rPr>
              <w:t>b )制度流程：业务团队应明确数据备份和恢复的制度。</w:t>
            </w:r>
          </w:p>
          <w:p>
            <w:pPr>
              <w:rPr>
                <w:rFonts w:ascii="宋体" w:hAnsi="宋体" w:cs="宋体"/>
                <w:szCs w:val="21"/>
              </w:rPr>
            </w:pPr>
            <w:r>
              <w:rPr>
                <w:rFonts w:hint="eastAsia" w:ascii="宋体" w:hAnsi="宋体" w:cs="宋体"/>
                <w:szCs w:val="21"/>
              </w:rPr>
              <w:t>c )技术工具：应建立数据备份与恢复的技术工具。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数据处理安全</w:t>
            </w:r>
          </w:p>
        </w:tc>
        <w:tc>
          <w:tcPr>
            <w:tcW w:w="0" w:type="auto"/>
          </w:tcPr>
          <w:p>
            <w:pPr>
              <w:rPr>
                <w:rFonts w:ascii="宋体" w:hAnsi="宋体" w:cs="宋体"/>
                <w:szCs w:val="21"/>
              </w:rPr>
            </w:pPr>
            <w:r>
              <w:rPr>
                <w:rFonts w:hint="eastAsia" w:ascii="宋体" w:hAnsi="宋体" w:cs="宋体"/>
                <w:szCs w:val="21"/>
              </w:rPr>
              <w:t>PA10数据脱敏</w:t>
            </w:r>
          </w:p>
        </w:tc>
        <w:tc>
          <w:tcPr>
            <w:tcW w:w="6645" w:type="dxa"/>
          </w:tcPr>
          <w:p>
            <w:pPr>
              <w:rPr>
                <w:rFonts w:ascii="宋体" w:hAnsi="宋体" w:cs="宋体"/>
                <w:szCs w:val="21"/>
              </w:rPr>
            </w:pPr>
            <w:r>
              <w:rPr>
                <w:rFonts w:hint="eastAsia" w:ascii="宋体" w:hAnsi="宋体" w:cs="宋体"/>
                <w:szCs w:val="21"/>
              </w:rPr>
              <w:t>a ) 组织建设：应由业务团队相关人员负责数据脱敏工作。</w:t>
            </w:r>
          </w:p>
          <w:p>
            <w:pPr>
              <w:rPr>
                <w:rFonts w:ascii="宋体" w:hAnsi="宋体" w:cs="宋体"/>
                <w:szCs w:val="21"/>
              </w:rPr>
            </w:pPr>
            <w:r>
              <w:rPr>
                <w:rFonts w:hint="eastAsia" w:ascii="宋体" w:hAnsi="宋体" w:cs="宋体"/>
                <w:szCs w:val="21"/>
              </w:rPr>
              <w:t>b) 人员能力：负责该项工作的人员应了解数据脱敏的常用技术，并能够基于数据脱敏的具体场景保证业务和安全之间的需求平衡。</w:t>
            </w:r>
          </w:p>
          <w:p>
            <w:pPr>
              <w:rPr>
                <w:rFonts w:ascii="宋体" w:hAnsi="宋体" w:cs="宋体"/>
                <w:szCs w:val="21"/>
              </w:rPr>
            </w:pPr>
            <w:r>
              <w:rPr>
                <w:rFonts w:hint="eastAsia" w:ascii="宋体" w:hAnsi="宋体" w:cs="宋体"/>
                <w:szCs w:val="21"/>
              </w:rPr>
              <w:t>c) 制度流程：在核心业务中，应对业务中涉及的数据脱敏需求进行分析，明确脱敏的流程和方法。</w:t>
            </w:r>
          </w:p>
          <w:p>
            <w:pPr>
              <w:rPr>
                <w:rFonts w:ascii="宋体" w:hAnsi="宋体" w:cs="宋体"/>
                <w:szCs w:val="21"/>
              </w:rPr>
            </w:pPr>
            <w:r>
              <w:rPr>
                <w:rFonts w:hint="eastAsia" w:ascii="宋体" w:hAnsi="宋体" w:cs="宋体"/>
                <w:szCs w:val="21"/>
              </w:rPr>
              <w:t>d ) 技术工具：应通过一定的技术工具(如敏感字段屏蔽等方式)，实现对核心业务的数据脱敏。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PA11数据分析安全</w:t>
            </w:r>
          </w:p>
        </w:tc>
        <w:tc>
          <w:tcPr>
            <w:tcW w:w="6645" w:type="dxa"/>
          </w:tcPr>
          <w:p>
            <w:pPr>
              <w:rPr>
                <w:rFonts w:ascii="宋体" w:hAnsi="宋体" w:cs="宋体"/>
                <w:szCs w:val="21"/>
              </w:rPr>
            </w:pPr>
            <w:r>
              <w:rPr>
                <w:rFonts w:hint="eastAsia" w:ascii="宋体" w:hAnsi="宋体" w:cs="宋体"/>
                <w:szCs w:val="21"/>
              </w:rPr>
              <w:t>a) 组织建设：应由业务团队相关人员负责数据分析过程中的数据安全风险控制。</w:t>
            </w:r>
          </w:p>
          <w:p>
            <w:pPr>
              <w:rPr>
                <w:rFonts w:ascii="宋体" w:hAnsi="宋体" w:cs="宋体"/>
                <w:szCs w:val="21"/>
              </w:rPr>
            </w:pPr>
            <w:r>
              <w:rPr>
                <w:rFonts w:hint="eastAsia" w:ascii="宋体" w:hAnsi="宋体" w:cs="宋体"/>
                <w:szCs w:val="21"/>
              </w:rPr>
              <w:t>b ) 制度流程：</w:t>
            </w:r>
          </w:p>
          <w:p>
            <w:pPr>
              <w:rPr>
                <w:rFonts w:ascii="宋体" w:hAnsi="宋体" w:cs="宋体"/>
                <w:szCs w:val="21"/>
              </w:rPr>
            </w:pPr>
            <w:r>
              <w:rPr>
                <w:rFonts w:hint="eastAsia" w:ascii="宋体" w:hAnsi="宋体" w:cs="宋体"/>
                <w:szCs w:val="21"/>
              </w:rPr>
              <w:t>1) 核心业务应明确数据分析安全的原则或要求，如对个人明细数据、业务明细数据进行聚合分析过程中应考虑的关键安全风险等；</w:t>
            </w:r>
          </w:p>
          <w:p>
            <w:pPr>
              <w:rPr>
                <w:rFonts w:ascii="宋体" w:hAnsi="宋体" w:cs="宋体"/>
                <w:szCs w:val="21"/>
              </w:rPr>
            </w:pPr>
            <w:r>
              <w:rPr>
                <w:rFonts w:hint="eastAsia" w:ascii="宋体" w:hAnsi="宋体" w:cs="宋体"/>
                <w:szCs w:val="21"/>
              </w:rPr>
              <w:t>2) 核心业务团队应对涉及个人信息的数据分析需求进行了人工审核，针对具体的数据分析场景制定了相应的隐私保护方案。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PA12数据正当使用</w:t>
            </w:r>
          </w:p>
        </w:tc>
        <w:tc>
          <w:tcPr>
            <w:tcW w:w="6645" w:type="dxa"/>
          </w:tcPr>
          <w:p>
            <w:pPr>
              <w:rPr>
                <w:rFonts w:ascii="宋体" w:hAnsi="宋体" w:cs="宋体"/>
                <w:szCs w:val="21"/>
              </w:rPr>
            </w:pPr>
            <w:r>
              <w:rPr>
                <w:rFonts w:hint="eastAsia" w:ascii="宋体" w:hAnsi="宋体" w:cs="宋体"/>
                <w:szCs w:val="21"/>
              </w:rPr>
              <w:t>a) 组织建设：应由业务团队相关人员负责数据使用的合规性评估。</w:t>
            </w:r>
          </w:p>
          <w:p>
            <w:pPr>
              <w:rPr>
                <w:rFonts w:ascii="宋体" w:hAnsi="宋体" w:cs="宋体"/>
                <w:szCs w:val="21"/>
              </w:rPr>
            </w:pPr>
            <w:r>
              <w:rPr>
                <w:rFonts w:hint="eastAsia" w:ascii="宋体" w:hAnsi="宋体" w:cs="宋体"/>
                <w:szCs w:val="21"/>
              </w:rPr>
              <w:t>b) 制度流程：核心业务应明确数据使用正当性的制度，保证数据使用在声明的目的和范围内。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PA13数据处理环境安全</w:t>
            </w:r>
          </w:p>
        </w:tc>
        <w:tc>
          <w:tcPr>
            <w:tcW w:w="6645" w:type="dxa"/>
          </w:tcPr>
          <w:p>
            <w:pPr>
              <w:rPr>
                <w:rFonts w:ascii="宋体" w:hAnsi="宋体" w:cs="宋体"/>
                <w:szCs w:val="21"/>
              </w:rPr>
            </w:pPr>
            <w:r>
              <w:rPr>
                <w:rFonts w:hint="eastAsia" w:ascii="宋体" w:hAnsi="宋体" w:cs="宋体"/>
                <w:szCs w:val="21"/>
              </w:rPr>
              <w:t>a )组织建设：应由业务团队相关人员负责数据处理环境安全管理。</w:t>
            </w:r>
          </w:p>
          <w:p>
            <w:pPr>
              <w:rPr>
                <w:rFonts w:ascii="宋体" w:hAnsi="宋体" w:cs="宋体"/>
                <w:szCs w:val="21"/>
              </w:rPr>
            </w:pPr>
            <w:r>
              <w:rPr>
                <w:rFonts w:hint="eastAsia" w:ascii="宋体" w:hAnsi="宋体" w:cs="宋体"/>
                <w:szCs w:val="21"/>
              </w:rPr>
              <w:t>b )技术工具：核心业务的数据处理环境，应实现了身份鉴别、访问控制、安全配置等。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PA14数据导入导出安全</w:t>
            </w:r>
          </w:p>
        </w:tc>
        <w:tc>
          <w:tcPr>
            <w:tcW w:w="6645" w:type="dxa"/>
          </w:tcPr>
          <w:p>
            <w:pPr>
              <w:rPr>
                <w:rFonts w:ascii="宋体" w:hAnsi="宋体" w:cs="宋体"/>
                <w:szCs w:val="21"/>
              </w:rPr>
            </w:pPr>
            <w:r>
              <w:rPr>
                <w:rFonts w:hint="eastAsia" w:ascii="宋体" w:hAnsi="宋体" w:cs="宋体"/>
                <w:szCs w:val="21"/>
              </w:rPr>
              <w:t>a )组织建设：应由业务团队相关人员负责对数据导入导出执行安全管理</w:t>
            </w:r>
          </w:p>
          <w:p>
            <w:pPr>
              <w:rPr>
                <w:rFonts w:ascii="宋体" w:hAnsi="宋体" w:cs="宋体"/>
                <w:szCs w:val="21"/>
              </w:rPr>
            </w:pPr>
            <w:r>
              <w:rPr>
                <w:rFonts w:hint="eastAsia" w:ascii="宋体" w:hAnsi="宋体" w:cs="宋体"/>
                <w:szCs w:val="21"/>
              </w:rPr>
              <w:t>b )制度流程：应明确核心业务数据导入导出安全制度或审批流程。</w:t>
            </w:r>
          </w:p>
          <w:p>
            <w:pPr>
              <w:rPr>
                <w:rFonts w:ascii="宋体" w:hAnsi="宋体" w:cs="宋体"/>
                <w:szCs w:val="21"/>
              </w:rPr>
            </w:pPr>
            <w:r>
              <w:rPr>
                <w:rFonts w:hint="eastAsia" w:ascii="宋体" w:hAnsi="宋体" w:cs="宋体"/>
                <w:szCs w:val="21"/>
              </w:rPr>
              <w:t>c )人员能力：负责数据导入导出的人员应具备对数据导入导出业务的理解能力，掌握数据导入导出规程，并能够针对具体场景提出有效的解决方案。</w:t>
            </w:r>
          </w:p>
          <w:p>
            <w:pPr>
              <w:rPr>
                <w:rFonts w:ascii="宋体" w:hAnsi="宋体" w:cs="宋体"/>
                <w:szCs w:val="21"/>
              </w:rPr>
            </w:pPr>
            <w:r>
              <w:rPr>
                <w:rFonts w:hint="eastAsia" w:ascii="宋体" w:hAnsi="宋体" w:cs="宋体"/>
                <w:szCs w:val="21"/>
              </w:rPr>
              <w:t>d )技术工具：应记录组织内部的数据导入导出行为，确保数据导入导出行为追溯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数据交换安全</w:t>
            </w:r>
          </w:p>
        </w:tc>
        <w:tc>
          <w:tcPr>
            <w:tcW w:w="0" w:type="auto"/>
          </w:tcPr>
          <w:p>
            <w:pPr>
              <w:rPr>
                <w:rFonts w:ascii="宋体" w:hAnsi="宋体" w:cs="宋体"/>
                <w:szCs w:val="21"/>
              </w:rPr>
            </w:pPr>
            <w:r>
              <w:rPr>
                <w:rFonts w:hint="eastAsia" w:ascii="宋体" w:hAnsi="宋体" w:cs="宋体"/>
                <w:szCs w:val="21"/>
              </w:rPr>
              <w:t>PA15数据共享安全</w:t>
            </w:r>
          </w:p>
        </w:tc>
        <w:tc>
          <w:tcPr>
            <w:tcW w:w="6645" w:type="dxa"/>
          </w:tcPr>
          <w:p>
            <w:pPr>
              <w:rPr>
                <w:rFonts w:ascii="宋体" w:hAnsi="宋体" w:cs="宋体"/>
                <w:szCs w:val="21"/>
              </w:rPr>
            </w:pPr>
            <w:r>
              <w:rPr>
                <w:rFonts w:hint="eastAsia" w:ascii="宋体" w:hAnsi="宋体" w:cs="宋体"/>
                <w:szCs w:val="21"/>
              </w:rPr>
              <w:t>a )组织建设：应由业务团队相关人员负责对数据共享方案进行安全风险管控。</w:t>
            </w:r>
          </w:p>
          <w:p>
            <w:pPr>
              <w:rPr>
                <w:rFonts w:ascii="宋体" w:hAnsi="宋体" w:cs="宋体"/>
                <w:szCs w:val="21"/>
              </w:rPr>
            </w:pPr>
            <w:r>
              <w:rPr>
                <w:rFonts w:hint="eastAsia" w:ascii="宋体" w:hAnsi="宋体" w:cs="宋体"/>
                <w:szCs w:val="21"/>
              </w:rPr>
              <w:t>b )制度流程：应明确核心业务数据共享安全评估机制，可从共享目的合理性、共享数据的范围和合规性、共享方式的安全性、共享后管理责任和约束措施等方面进行评估。</w:t>
            </w:r>
          </w:p>
          <w:p>
            <w:pPr>
              <w:rPr>
                <w:rFonts w:ascii="宋体" w:hAnsi="宋体" w:cs="宋体"/>
                <w:szCs w:val="21"/>
              </w:rPr>
            </w:pPr>
            <w:r>
              <w:rPr>
                <w:rFonts w:hint="eastAsia" w:ascii="宋体" w:hAnsi="宋体" w:cs="宋体"/>
                <w:szCs w:val="21"/>
              </w:rPr>
              <w:t>c )人员能力：负责数据共享安全的人员应具备对数据共享业务的理解能力，能够结合合规性要求给出适当的安全解决方案。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PA16数据发布安全</w:t>
            </w:r>
          </w:p>
        </w:tc>
        <w:tc>
          <w:tcPr>
            <w:tcW w:w="6645" w:type="dxa"/>
          </w:tcPr>
          <w:p>
            <w:pPr>
              <w:rPr>
                <w:rFonts w:ascii="宋体" w:hAnsi="宋体" w:cs="宋体"/>
                <w:szCs w:val="21"/>
              </w:rPr>
            </w:pPr>
            <w:r>
              <w:rPr>
                <w:rFonts w:hint="eastAsia" w:ascii="宋体" w:hAnsi="宋体" w:cs="宋体"/>
                <w:szCs w:val="21"/>
              </w:rPr>
              <w:t>a )组织建设：应由业务团队相关人员负责数据发布的安全风险控制。</w:t>
            </w:r>
          </w:p>
          <w:p>
            <w:pPr>
              <w:rPr>
                <w:rFonts w:ascii="宋体" w:hAnsi="宋体" w:cs="宋体"/>
                <w:szCs w:val="21"/>
              </w:rPr>
            </w:pPr>
            <w:r>
              <w:rPr>
                <w:rFonts w:hint="eastAsia" w:ascii="宋体" w:hAnsi="宋体" w:cs="宋体"/>
                <w:szCs w:val="21"/>
              </w:rPr>
              <w:t>b )制度流程：应明确核心业务数据公开发布的安全制度和审核流程。</w:t>
            </w:r>
          </w:p>
          <w:p>
            <w:pPr>
              <w:rPr>
                <w:rFonts w:ascii="宋体" w:hAnsi="宋体" w:cs="宋体"/>
                <w:szCs w:val="21"/>
              </w:rPr>
            </w:pPr>
            <w:r>
              <w:rPr>
                <w:rFonts w:hint="eastAsia" w:ascii="宋体" w:hAnsi="宋体" w:cs="宋体"/>
                <w:szCs w:val="21"/>
              </w:rPr>
              <w:t>c )人员能力：负责数据发布安全工作的人员应基本理解数据发布安全的制度要求。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PA17数据接口安全</w:t>
            </w:r>
          </w:p>
        </w:tc>
        <w:tc>
          <w:tcPr>
            <w:tcW w:w="6645" w:type="dxa"/>
          </w:tcPr>
          <w:p>
            <w:pPr>
              <w:rPr>
                <w:rFonts w:ascii="宋体" w:hAnsi="宋体" w:cs="宋体"/>
                <w:szCs w:val="21"/>
              </w:rPr>
            </w:pPr>
            <w:r>
              <w:rPr>
                <w:rFonts w:hint="eastAsia" w:ascii="宋体" w:hAnsi="宋体" w:cs="宋体"/>
                <w:szCs w:val="21"/>
              </w:rPr>
              <w:t>a )组织建设：应由业务团队相关人员负责数据服务接口安全管理工作。</w:t>
            </w:r>
          </w:p>
          <w:p>
            <w:pPr>
              <w:rPr>
                <w:rFonts w:ascii="宋体" w:hAnsi="宋体" w:cs="宋体"/>
                <w:szCs w:val="21"/>
              </w:rPr>
            </w:pPr>
            <w:r>
              <w:rPr>
                <w:rFonts w:hint="eastAsia" w:ascii="宋体" w:hAnsi="宋体" w:cs="宋体"/>
                <w:szCs w:val="21"/>
              </w:rPr>
              <w:t>b )制度流程：核心业务或系统应定义数据接口安全策略。</w:t>
            </w:r>
          </w:p>
          <w:p>
            <w:pPr>
              <w:rPr>
                <w:rFonts w:ascii="宋体" w:hAnsi="宋体" w:cs="宋体"/>
                <w:szCs w:val="21"/>
              </w:rPr>
            </w:pPr>
            <w:r>
              <w:rPr>
                <w:rFonts w:hint="eastAsia" w:ascii="宋体" w:hAnsi="宋体" w:cs="宋体"/>
                <w:szCs w:val="21"/>
              </w:rPr>
              <w:t>c )技术工具：应采用技术工具实现对数据接口调用的身份鉴别和访问控制。</w:t>
            </w:r>
          </w:p>
          <w:p>
            <w:pPr>
              <w:rPr>
                <w:rFonts w:ascii="宋体" w:hAnsi="宋体" w:cs="宋体"/>
                <w:szCs w:val="21"/>
              </w:rPr>
            </w:pPr>
            <w:r>
              <w:rPr>
                <w:rFonts w:hint="eastAsia" w:ascii="宋体" w:hAnsi="宋体" w:cs="宋体"/>
                <w:szCs w:val="21"/>
              </w:rPr>
              <w:t>d )人员能力：负责数据接口安全工作的人员应具备基本的数据接口调用的安全意识和安全知识。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数据销毁安全</w:t>
            </w:r>
          </w:p>
        </w:tc>
        <w:tc>
          <w:tcPr>
            <w:tcW w:w="0" w:type="auto"/>
          </w:tcPr>
          <w:p>
            <w:pPr>
              <w:rPr>
                <w:rFonts w:ascii="宋体" w:hAnsi="宋体" w:cs="宋体"/>
                <w:szCs w:val="21"/>
              </w:rPr>
            </w:pPr>
            <w:r>
              <w:rPr>
                <w:rFonts w:hint="eastAsia" w:ascii="宋体" w:hAnsi="宋体" w:cs="宋体"/>
                <w:szCs w:val="21"/>
              </w:rPr>
              <w:t>PA18数据销毁处置</w:t>
            </w:r>
          </w:p>
        </w:tc>
        <w:tc>
          <w:tcPr>
            <w:tcW w:w="6645" w:type="dxa"/>
          </w:tcPr>
          <w:p>
            <w:pPr>
              <w:rPr>
                <w:rFonts w:ascii="宋体" w:hAnsi="宋体" w:cs="宋体"/>
                <w:szCs w:val="21"/>
              </w:rPr>
            </w:pPr>
            <w:r>
              <w:rPr>
                <w:rFonts w:hint="eastAsia" w:ascii="宋体" w:hAnsi="宋体" w:cs="宋体"/>
                <w:szCs w:val="21"/>
              </w:rPr>
              <w:t>a )组织建设：应由业务团队相关人员负责数据销毁工作。</w:t>
            </w:r>
          </w:p>
          <w:p>
            <w:pPr>
              <w:rPr>
                <w:rFonts w:ascii="宋体" w:hAnsi="宋体" w:cs="宋体"/>
                <w:szCs w:val="21"/>
              </w:rPr>
            </w:pPr>
            <w:r>
              <w:rPr>
                <w:rFonts w:hint="eastAsia" w:ascii="宋体" w:hAnsi="宋体" w:cs="宋体"/>
                <w:szCs w:val="21"/>
              </w:rPr>
              <w:t>b )制度流程：应明确核心业务数据销毁方案和存储媒体销毁方案。</w:t>
            </w:r>
          </w:p>
          <w:p>
            <w:pPr>
              <w:rPr>
                <w:rFonts w:ascii="宋体" w:hAnsi="宋体" w:cs="宋体"/>
                <w:szCs w:val="21"/>
              </w:rPr>
            </w:pPr>
            <w:r>
              <w:rPr>
                <w:rFonts w:hint="eastAsia" w:ascii="宋体" w:hAnsi="宋体" w:cs="宋体"/>
                <w:szCs w:val="21"/>
              </w:rPr>
              <w:t>c )技术工具：应采用技术工具对核心业务存储媒体的数据内容进行擦除销毁。</w:t>
            </w:r>
          </w:p>
          <w:p>
            <w:pPr>
              <w:rPr>
                <w:rFonts w:ascii="宋体" w:hAnsi="宋体" w:cs="宋体"/>
                <w:szCs w:val="21"/>
              </w:rPr>
            </w:pPr>
            <w:r>
              <w:rPr>
                <w:rFonts w:hint="eastAsia" w:ascii="宋体" w:hAnsi="宋体" w:cs="宋体"/>
                <w:szCs w:val="21"/>
              </w:rPr>
              <w:t>d )人员能力：负责数据销毁处置的人员应具备针对数据销毁的需求制定对应的数据销毁方案的能力。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PA19存储媒体销毁处置</w:t>
            </w:r>
          </w:p>
        </w:tc>
        <w:tc>
          <w:tcPr>
            <w:tcW w:w="6645" w:type="dxa"/>
          </w:tcPr>
          <w:p>
            <w:pPr>
              <w:rPr>
                <w:rFonts w:ascii="宋体" w:hAnsi="宋体" w:cs="宋体"/>
                <w:szCs w:val="21"/>
              </w:rPr>
            </w:pPr>
            <w:r>
              <w:rPr>
                <w:rFonts w:hint="eastAsia" w:ascii="宋体" w:hAnsi="宋体" w:cs="宋体"/>
                <w:szCs w:val="21"/>
              </w:rPr>
              <w:t>a )组织建设：应由业务团队相关人员负责存储媒体销毁管理。</w:t>
            </w:r>
          </w:p>
          <w:p>
            <w:pPr>
              <w:rPr>
                <w:rFonts w:ascii="宋体" w:hAnsi="宋体" w:cs="宋体"/>
                <w:szCs w:val="21"/>
              </w:rPr>
            </w:pPr>
            <w:r>
              <w:rPr>
                <w:rFonts w:hint="eastAsia" w:ascii="宋体" w:hAnsi="宋体" w:cs="宋体"/>
                <w:szCs w:val="21"/>
              </w:rPr>
              <w:t>b )制度流程：应明确核心业务媒体销毁的流程和管理要求。</w:t>
            </w:r>
          </w:p>
          <w:p>
            <w:pPr>
              <w:rPr>
                <w:rFonts w:ascii="宋体" w:hAnsi="宋体" w:cs="宋体"/>
                <w:szCs w:val="21"/>
              </w:rPr>
            </w:pPr>
            <w:r>
              <w:rPr>
                <w:rFonts w:hint="eastAsia" w:ascii="宋体" w:hAnsi="宋体" w:cs="宋体"/>
                <w:szCs w:val="21"/>
              </w:rPr>
              <w:t>c )技术工具：核心业务的存储媒体，应仅采用物理销毁的形式进行销毁。</w:t>
            </w:r>
          </w:p>
          <w:p>
            <w:pPr>
              <w:rPr>
                <w:rFonts w:ascii="宋体" w:hAnsi="宋体" w:cs="宋体"/>
                <w:szCs w:val="21"/>
              </w:rPr>
            </w:pPr>
            <w:r>
              <w:rPr>
                <w:rFonts w:hint="eastAsia" w:ascii="宋体" w:hAnsi="宋体" w:cs="宋体"/>
                <w:szCs w:val="21"/>
              </w:rPr>
              <w:t>d )人员能力：相关人员应具备针对数据销毁需求能够明确判断媒体销毁的必要性。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restart"/>
          </w:tcPr>
          <w:p>
            <w:pPr>
              <w:rPr>
                <w:rFonts w:ascii="宋体" w:hAnsi="宋体" w:cs="宋体"/>
                <w:szCs w:val="21"/>
                <w:highlight w:val="yellow"/>
              </w:rPr>
            </w:pPr>
            <w:r>
              <w:rPr>
                <w:rFonts w:hint="eastAsia" w:ascii="宋体" w:hAnsi="宋体" w:cs="宋体"/>
                <w:szCs w:val="21"/>
              </w:rPr>
              <w:t>通用安全</w:t>
            </w:r>
          </w:p>
        </w:tc>
        <w:tc>
          <w:tcPr>
            <w:tcW w:w="0" w:type="auto"/>
          </w:tcPr>
          <w:p>
            <w:pPr>
              <w:rPr>
                <w:rFonts w:ascii="宋体" w:hAnsi="宋体" w:cs="宋体"/>
                <w:szCs w:val="21"/>
              </w:rPr>
            </w:pPr>
            <w:r>
              <w:rPr>
                <w:rFonts w:hint="eastAsia" w:ascii="宋体" w:hAnsi="宋体" w:cs="宋体"/>
                <w:szCs w:val="21"/>
              </w:rPr>
              <w:t>PA20数据安全策略规划</w:t>
            </w:r>
          </w:p>
        </w:tc>
        <w:tc>
          <w:tcPr>
            <w:tcW w:w="6645" w:type="dxa"/>
          </w:tcPr>
          <w:p>
            <w:pPr>
              <w:rPr>
                <w:rFonts w:ascii="宋体" w:hAnsi="宋体" w:cs="宋体"/>
                <w:szCs w:val="21"/>
              </w:rPr>
            </w:pPr>
            <w:r>
              <w:rPr>
                <w:rFonts w:hint="eastAsia" w:ascii="宋体" w:hAnsi="宋体" w:cs="宋体"/>
                <w:szCs w:val="21"/>
              </w:rPr>
              <w:t>a )组织建设：应由业务团队具有人员负责制定业务的数据安全策略。</w:t>
            </w:r>
          </w:p>
          <w:p>
            <w:pPr>
              <w:rPr>
                <w:rFonts w:ascii="宋体" w:hAnsi="宋体" w:cs="宋体"/>
                <w:szCs w:val="21"/>
              </w:rPr>
            </w:pPr>
            <w:r>
              <w:rPr>
                <w:rFonts w:hint="eastAsia" w:ascii="宋体" w:hAnsi="宋体" w:cs="宋体"/>
                <w:szCs w:val="21"/>
              </w:rPr>
              <w:t>b )制度流程：核心业务应基于主要的数据安全风险，建立以数据安全生存周期为核心思想的数据安全制度体系。</w:t>
            </w:r>
          </w:p>
          <w:p>
            <w:pPr>
              <w:rPr>
                <w:rFonts w:ascii="宋体" w:hAnsi="宋体" w:cs="宋体"/>
                <w:szCs w:val="21"/>
              </w:rPr>
            </w:pPr>
            <w:r>
              <w:rPr>
                <w:rFonts w:hint="eastAsia" w:ascii="宋体" w:hAnsi="宋体" w:cs="宋体"/>
                <w:szCs w:val="21"/>
              </w:rPr>
              <w:t>c )人员能力：核心业务应负责该项工作的人员具备对组织执行数据安全风险评估，以及将数据安全要求提炼形成制度的能力。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PA21组织和人员管理</w:t>
            </w:r>
          </w:p>
        </w:tc>
        <w:tc>
          <w:tcPr>
            <w:tcW w:w="6645" w:type="dxa"/>
          </w:tcPr>
          <w:p>
            <w:pPr>
              <w:rPr>
                <w:rFonts w:ascii="宋体" w:hAnsi="宋体" w:cs="宋体"/>
                <w:szCs w:val="21"/>
              </w:rPr>
            </w:pPr>
            <w:r>
              <w:rPr>
                <w:rFonts w:hint="eastAsia" w:ascii="宋体" w:hAnsi="宋体" w:cs="宋体"/>
                <w:szCs w:val="21"/>
              </w:rPr>
              <w:t>a )组织建设：</w:t>
            </w:r>
          </w:p>
          <w:p>
            <w:pPr>
              <w:rPr>
                <w:rFonts w:ascii="宋体" w:hAnsi="宋体" w:cs="宋体"/>
                <w:szCs w:val="21"/>
              </w:rPr>
            </w:pPr>
            <w:r>
              <w:rPr>
                <w:rFonts w:hint="eastAsia" w:ascii="宋体" w:hAnsi="宋体" w:cs="宋体"/>
                <w:szCs w:val="21"/>
              </w:rPr>
              <w:t>1 )应由业务团队相关人员负责人力资源管理中安全要求；</w:t>
            </w:r>
          </w:p>
          <w:p>
            <w:pPr>
              <w:rPr>
                <w:rFonts w:ascii="宋体" w:hAnsi="宋体" w:cs="宋体"/>
                <w:szCs w:val="21"/>
              </w:rPr>
            </w:pPr>
            <w:r>
              <w:rPr>
                <w:rFonts w:hint="eastAsia" w:ascii="宋体" w:hAnsi="宋体" w:cs="宋体"/>
                <w:szCs w:val="21"/>
              </w:rPr>
              <w:t>2 )核心业务应具有数据安全职能部门或岗位，以实现对关键业务环节数据安全风险的有效管理。</w:t>
            </w:r>
          </w:p>
          <w:p>
            <w:pPr>
              <w:rPr>
                <w:rFonts w:ascii="宋体" w:hAnsi="宋体" w:cs="宋体"/>
                <w:szCs w:val="21"/>
              </w:rPr>
            </w:pPr>
            <w:r>
              <w:rPr>
                <w:rFonts w:hint="eastAsia" w:ascii="宋体" w:hAnsi="宋体" w:cs="宋体"/>
                <w:szCs w:val="21"/>
              </w:rPr>
              <w:t>b )制度流程：</w:t>
            </w:r>
          </w:p>
          <w:p>
            <w:pPr>
              <w:rPr>
                <w:rFonts w:ascii="宋体" w:hAnsi="宋体" w:cs="宋体"/>
                <w:szCs w:val="21"/>
              </w:rPr>
            </w:pPr>
            <w:r>
              <w:rPr>
                <w:rFonts w:hint="eastAsia" w:ascii="宋体" w:hAnsi="宋体" w:cs="宋体"/>
                <w:szCs w:val="21"/>
              </w:rPr>
              <w:t>1 )核心业务应明确针对数据安全违规的纪律处理制度；</w:t>
            </w:r>
          </w:p>
          <w:p>
            <w:pPr>
              <w:rPr>
                <w:rFonts w:ascii="宋体" w:hAnsi="宋体" w:cs="宋体"/>
                <w:szCs w:val="21"/>
              </w:rPr>
            </w:pPr>
            <w:r>
              <w:rPr>
                <w:rFonts w:hint="eastAsia" w:ascii="宋体" w:hAnsi="宋体" w:cs="宋体"/>
                <w:szCs w:val="21"/>
              </w:rPr>
              <w:t>2 )核心业务应对重要岗位候选者从法律法规、行业道德准则等层面执行背景调查；</w:t>
            </w:r>
          </w:p>
          <w:p>
            <w:pPr>
              <w:rPr>
                <w:rFonts w:ascii="宋体" w:hAnsi="宋体" w:cs="宋体"/>
                <w:szCs w:val="21"/>
              </w:rPr>
            </w:pPr>
            <w:r>
              <w:rPr>
                <w:rFonts w:hint="eastAsia" w:ascii="宋体" w:hAnsi="宋体" w:cs="宋体"/>
                <w:szCs w:val="21"/>
              </w:rPr>
              <w:t>3 )核心业务应明确数据安全职能部门或岗位的制度，明确数据安全相关岗位和职责；</w:t>
            </w:r>
          </w:p>
          <w:p>
            <w:pPr>
              <w:rPr>
                <w:rFonts w:ascii="宋体" w:hAnsi="宋体" w:cs="宋体"/>
                <w:szCs w:val="21"/>
              </w:rPr>
            </w:pPr>
            <w:r>
              <w:rPr>
                <w:rFonts w:hint="eastAsia" w:ascii="宋体" w:hAnsi="宋体" w:cs="宋体"/>
                <w:szCs w:val="21"/>
              </w:rPr>
              <w:t>4 )核心业务应明确数据安全培训计划，并按计划对相关人员开展数据安全培训；</w:t>
            </w:r>
          </w:p>
          <w:p>
            <w:pPr>
              <w:rPr>
                <w:rFonts w:ascii="宋体" w:hAnsi="宋体" w:cs="宋体"/>
                <w:szCs w:val="21"/>
              </w:rPr>
            </w:pPr>
            <w:r>
              <w:rPr>
                <w:rFonts w:hint="eastAsia" w:ascii="宋体" w:hAnsi="宋体" w:cs="宋体"/>
                <w:szCs w:val="21"/>
              </w:rPr>
              <w:t>5 )应与所有涉及数据服务的人员签订安全责任协议和保密协议。</w:t>
            </w:r>
          </w:p>
          <w:p>
            <w:pPr>
              <w:rPr>
                <w:rFonts w:ascii="宋体" w:hAnsi="宋体" w:cs="宋体"/>
                <w:szCs w:val="21"/>
              </w:rPr>
            </w:pPr>
            <w:r>
              <w:rPr>
                <w:rFonts w:hint="eastAsia" w:ascii="宋体" w:hAnsi="宋体" w:cs="宋体"/>
                <w:szCs w:val="21"/>
              </w:rPr>
              <w:t>c )人员能力：负责核心业务数据安全职能架构设置的人员，应能够充分了解目前数据安全在组织整体业务目标中的定位。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PA22合规管理</w:t>
            </w:r>
          </w:p>
        </w:tc>
        <w:tc>
          <w:tcPr>
            <w:tcW w:w="6645" w:type="dxa"/>
          </w:tcPr>
          <w:p>
            <w:pPr>
              <w:rPr>
                <w:rFonts w:ascii="宋体" w:hAnsi="宋体" w:cs="宋体"/>
                <w:szCs w:val="21"/>
              </w:rPr>
            </w:pPr>
            <w:r>
              <w:rPr>
                <w:rFonts w:hint="eastAsia" w:ascii="宋体" w:hAnsi="宋体" w:cs="宋体"/>
                <w:szCs w:val="21"/>
              </w:rPr>
              <w:t>a)组织建设：应由业务团队相关人员负责个人信息保护、重要数据保护、跨境数据传输等方面的数据安全合规管理。</w:t>
            </w:r>
          </w:p>
          <w:p>
            <w:pPr>
              <w:rPr>
                <w:rFonts w:ascii="宋体" w:hAnsi="宋体" w:cs="宋体"/>
                <w:szCs w:val="21"/>
              </w:rPr>
            </w:pPr>
            <w:r>
              <w:rPr>
                <w:rFonts w:hint="eastAsia" w:ascii="宋体" w:hAnsi="宋体" w:cs="宋体"/>
                <w:szCs w:val="21"/>
              </w:rPr>
              <w:t>b)制度流程：核心业务应通过识别在个人信息保护、重要数据保护、跨境数据传输等方面的合规要求,将合规要求更新至核心业务相关的制度流程中,并在重要环节中设置了相应的管控措施。</w:t>
            </w:r>
          </w:p>
          <w:p>
            <w:pPr>
              <w:rPr>
                <w:rFonts w:ascii="宋体" w:hAnsi="宋体" w:cs="宋体"/>
                <w:szCs w:val="21"/>
              </w:rPr>
            </w:pPr>
            <w:r>
              <w:rPr>
                <w:rFonts w:hint="eastAsia" w:ascii="宋体" w:hAnsi="宋体" w:cs="宋体"/>
                <w:szCs w:val="21"/>
              </w:rPr>
              <w:t>c)人员能力：负责该项工作的人员应基本理解个人信息保护、重要数据保护、跨境数据传输等方面的安全合规要求,并可基于业务实际情况制定和推进数据安全合规方案。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PA23数据资产管理</w:t>
            </w:r>
          </w:p>
        </w:tc>
        <w:tc>
          <w:tcPr>
            <w:tcW w:w="6645" w:type="dxa"/>
          </w:tcPr>
          <w:p>
            <w:pPr>
              <w:rPr>
                <w:rFonts w:ascii="宋体" w:hAnsi="宋体" w:cs="宋体"/>
                <w:szCs w:val="21"/>
              </w:rPr>
            </w:pPr>
            <w:r>
              <w:rPr>
                <w:rFonts w:hint="eastAsia" w:ascii="宋体" w:hAnsi="宋体" w:cs="宋体"/>
                <w:szCs w:val="21"/>
              </w:rPr>
              <w:t>a)组织建设：应由收集数据的业务团队负责对数据资产进行管理。</w:t>
            </w:r>
          </w:p>
          <w:p>
            <w:pPr>
              <w:rPr>
                <w:rFonts w:ascii="宋体" w:hAnsi="宋体" w:cs="宋体"/>
                <w:szCs w:val="21"/>
              </w:rPr>
            </w:pPr>
            <w:r>
              <w:rPr>
                <w:rFonts w:hint="eastAsia" w:ascii="宋体" w:hAnsi="宋体" w:cs="宋体"/>
                <w:szCs w:val="21"/>
              </w:rPr>
              <w:t>b)制度流程：</w:t>
            </w:r>
          </w:p>
          <w:p>
            <w:pPr>
              <w:rPr>
                <w:rFonts w:ascii="宋体" w:hAnsi="宋体" w:cs="宋体"/>
                <w:szCs w:val="21"/>
              </w:rPr>
            </w:pPr>
            <w:r>
              <w:rPr>
                <w:rFonts w:hint="eastAsia" w:ascii="宋体" w:hAnsi="宋体" w:cs="宋体"/>
                <w:szCs w:val="21"/>
              </w:rPr>
              <w:t>1)核心业务应制定数据资产登记制度,建立数据资产清单,明确数据资产管理的相关方；</w:t>
            </w:r>
          </w:p>
          <w:p>
            <w:pPr>
              <w:rPr>
                <w:rFonts w:ascii="宋体" w:hAnsi="宋体" w:cs="宋体"/>
                <w:szCs w:val="21"/>
              </w:rPr>
            </w:pPr>
            <w:r>
              <w:rPr>
                <w:rFonts w:hint="eastAsia" w:ascii="宋体" w:hAnsi="宋体" w:cs="宋体"/>
                <w:szCs w:val="21"/>
              </w:rPr>
              <w:t>2)对于密钥类数据资产,应明确密钥管理安全要求,至少应涵盖密钥生成、备份、存储、使用、分发、更新、销毁等相关的流程和要求。</w:t>
            </w:r>
          </w:p>
          <w:p>
            <w:pPr>
              <w:rPr>
                <w:rFonts w:ascii="宋体" w:hAnsi="宋体" w:cs="宋体"/>
                <w:szCs w:val="21"/>
              </w:rPr>
            </w:pPr>
            <w:r>
              <w:rPr>
                <w:rFonts w:hint="eastAsia" w:ascii="宋体" w:hAnsi="宋体" w:cs="宋体"/>
                <w:szCs w:val="21"/>
              </w:rPr>
              <w:t>c)人员能力：相关人员应充分了解所管理数据资产的相关信息。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PA24数据供应链安全</w:t>
            </w:r>
          </w:p>
        </w:tc>
        <w:tc>
          <w:tcPr>
            <w:tcW w:w="6645" w:type="dxa"/>
          </w:tcPr>
          <w:p>
            <w:pPr>
              <w:rPr>
                <w:rFonts w:ascii="宋体" w:hAnsi="宋体" w:cs="宋体"/>
                <w:szCs w:val="21"/>
              </w:rPr>
            </w:pPr>
            <w:r>
              <w:rPr>
                <w:rFonts w:hint="eastAsia" w:ascii="宋体" w:hAnsi="宋体" w:cs="宋体"/>
                <w:szCs w:val="21"/>
              </w:rPr>
              <w:t>a)组织建设：应由实际存在数据上下游供应的业务团队相关人员负责数据供应链的管理工作。</w:t>
            </w:r>
          </w:p>
          <w:p>
            <w:pPr>
              <w:rPr>
                <w:rFonts w:ascii="宋体" w:hAnsi="宋体" w:cs="宋体"/>
                <w:szCs w:val="21"/>
              </w:rPr>
            </w:pPr>
            <w:r>
              <w:rPr>
                <w:rFonts w:hint="eastAsia" w:ascii="宋体" w:hAnsi="宋体" w:cs="宋体"/>
                <w:szCs w:val="21"/>
              </w:rPr>
              <w:t>b)制度流程：在核心业务中,应与数据上下游的供应方针对具体的数据供应场景签署了合作协议,在合作协议中明确了数据的使用目的、供应方式、保密约定等。</w:t>
            </w:r>
          </w:p>
          <w:p>
            <w:pPr>
              <w:rPr>
                <w:rFonts w:ascii="宋体" w:hAnsi="宋体" w:cs="宋体"/>
                <w:szCs w:val="21"/>
              </w:rPr>
            </w:pPr>
            <w:r>
              <w:rPr>
                <w:rFonts w:hint="eastAsia" w:ascii="宋体" w:hAnsi="宋体" w:cs="宋体"/>
                <w:szCs w:val="21"/>
              </w:rPr>
              <w:t>c)人员能力：负责该项过程的人员应具备对具体数据供应场景的风险评估能力。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PA25元数据管理</w:t>
            </w:r>
          </w:p>
        </w:tc>
        <w:tc>
          <w:tcPr>
            <w:tcW w:w="6645" w:type="dxa"/>
          </w:tcPr>
          <w:p>
            <w:pPr>
              <w:rPr>
                <w:rFonts w:ascii="宋体" w:hAnsi="宋体" w:cs="宋体"/>
                <w:szCs w:val="21"/>
              </w:rPr>
            </w:pPr>
            <w:r>
              <w:rPr>
                <w:rFonts w:hint="eastAsia" w:ascii="宋体" w:hAnsi="宋体" w:cs="宋体"/>
                <w:szCs w:val="21"/>
              </w:rPr>
              <w:t>a )组织建设：应由 业务团队相关人员负责对业务涉及的元数据进行管理。</w:t>
            </w:r>
          </w:p>
          <w:p>
            <w:pPr>
              <w:rPr>
                <w:rFonts w:ascii="宋体" w:hAnsi="宋体" w:cs="宋体"/>
                <w:szCs w:val="21"/>
              </w:rPr>
            </w:pPr>
            <w:r>
              <w:rPr>
                <w:rFonts w:hint="eastAsia" w:ascii="宋体" w:hAnsi="宋体" w:cs="宋体"/>
                <w:szCs w:val="21"/>
              </w:rPr>
              <w:t>b )制度流程：核心业务应建立元数据语义规范和管理规则, 如统一数据格式等。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PA26终端数据安全</w:t>
            </w:r>
          </w:p>
        </w:tc>
        <w:tc>
          <w:tcPr>
            <w:tcW w:w="6645" w:type="dxa"/>
          </w:tcPr>
          <w:p>
            <w:pPr>
              <w:rPr>
                <w:rFonts w:ascii="宋体" w:hAnsi="宋体" w:cs="宋体"/>
                <w:szCs w:val="21"/>
              </w:rPr>
            </w:pPr>
            <w:r>
              <w:rPr>
                <w:rFonts w:hint="eastAsia" w:ascii="宋体" w:hAnsi="宋体" w:cs="宋体"/>
                <w:szCs w:val="21"/>
              </w:rPr>
              <w:t>a)制度流程：核心业务部门应制定面向终端的数据安全管理要求。</w:t>
            </w:r>
          </w:p>
          <w:p>
            <w:pPr>
              <w:rPr>
                <w:rFonts w:ascii="宋体" w:hAnsi="宋体" w:cs="宋体"/>
                <w:szCs w:val="21"/>
              </w:rPr>
            </w:pPr>
            <w:r>
              <w:rPr>
                <w:rFonts w:hint="eastAsia" w:ascii="宋体" w:hAnsi="宋体" w:cs="宋体"/>
                <w:szCs w:val="21"/>
              </w:rPr>
              <w:t>b)技术工具：</w:t>
            </w:r>
          </w:p>
          <w:p>
            <w:pPr>
              <w:rPr>
                <w:rFonts w:ascii="宋体" w:hAnsi="宋体" w:cs="宋体"/>
                <w:szCs w:val="21"/>
              </w:rPr>
            </w:pPr>
            <w:r>
              <w:rPr>
                <w:rFonts w:hint="eastAsia" w:ascii="宋体" w:hAnsi="宋体" w:cs="宋体"/>
                <w:szCs w:val="21"/>
              </w:rPr>
              <w:t>1)应为进入内部网络环境的终端设备分配了终端识别号,并实现计算机终端设备与用户账号的一对一绑定；</w:t>
            </w:r>
          </w:p>
          <w:p>
            <w:pPr>
              <w:rPr>
                <w:rFonts w:ascii="宋体" w:hAnsi="宋体" w:cs="宋体"/>
                <w:szCs w:val="21"/>
              </w:rPr>
            </w:pPr>
            <w:r>
              <w:rPr>
                <w:rFonts w:hint="eastAsia" w:ascii="宋体" w:hAnsi="宋体" w:cs="宋体"/>
                <w:szCs w:val="21"/>
              </w:rPr>
              <w:t>2)核心业务员工的终端设备均应实现员工和终端设备的绑定,并为终端设备安装了统一的防病毒软件。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PA27监控与审计</w:t>
            </w:r>
          </w:p>
        </w:tc>
        <w:tc>
          <w:tcPr>
            <w:tcW w:w="6645" w:type="dxa"/>
          </w:tcPr>
          <w:p>
            <w:pPr>
              <w:rPr>
                <w:rFonts w:ascii="宋体" w:hAnsi="宋体" w:cs="宋体"/>
                <w:szCs w:val="21"/>
              </w:rPr>
            </w:pPr>
            <w:r>
              <w:rPr>
                <w:rFonts w:hint="eastAsia" w:ascii="宋体" w:hAnsi="宋体" w:cs="宋体"/>
                <w:szCs w:val="21"/>
              </w:rPr>
              <w:t>a)组织建设：应由业务团队相关人员负责对业务的数据交换进行安全监控。</w:t>
            </w:r>
          </w:p>
          <w:p>
            <w:pPr>
              <w:rPr>
                <w:rFonts w:ascii="宋体" w:hAnsi="宋体" w:cs="宋体"/>
                <w:szCs w:val="21"/>
              </w:rPr>
            </w:pPr>
            <w:r>
              <w:rPr>
                <w:rFonts w:hint="eastAsia" w:ascii="宋体" w:hAnsi="宋体" w:cs="宋体"/>
                <w:szCs w:val="21"/>
              </w:rPr>
              <w:t>b)制度流程：核心业务应建立数据安全风控或审计监控相关规则,如对数据生存周期各阶段的数据访问和操作进行监控的方案(如实时监控、定期批量监控等)。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PA28鉴别与访问控制</w:t>
            </w:r>
          </w:p>
        </w:tc>
        <w:tc>
          <w:tcPr>
            <w:tcW w:w="6645" w:type="dxa"/>
          </w:tcPr>
          <w:p>
            <w:pPr>
              <w:rPr>
                <w:rFonts w:ascii="宋体" w:hAnsi="宋体" w:cs="宋体"/>
                <w:szCs w:val="21"/>
              </w:rPr>
            </w:pPr>
            <w:r>
              <w:rPr>
                <w:rFonts w:hint="eastAsia" w:ascii="宋体" w:hAnsi="宋体" w:cs="宋体"/>
                <w:szCs w:val="21"/>
              </w:rPr>
              <w:t>a)组织建设：应由业务团队相关人员负责管理核心业务系统的用户身份及数据权限管理。</w:t>
            </w:r>
          </w:p>
          <w:p>
            <w:pPr>
              <w:rPr>
                <w:rFonts w:ascii="宋体" w:hAnsi="宋体" w:cs="宋体"/>
                <w:szCs w:val="21"/>
              </w:rPr>
            </w:pPr>
            <w:r>
              <w:rPr>
                <w:rFonts w:hint="eastAsia" w:ascii="宋体" w:hAnsi="宋体" w:cs="宋体"/>
                <w:szCs w:val="21"/>
              </w:rPr>
              <w:t>b)制度流程：核心业务应明确重要系统和数据库的身份鉴别、访问控制和权限管理的安全要求。</w:t>
            </w:r>
          </w:p>
          <w:p>
            <w:pPr>
              <w:rPr>
                <w:rFonts w:ascii="宋体" w:hAnsi="宋体" w:cs="宋体"/>
                <w:szCs w:val="21"/>
              </w:rPr>
            </w:pPr>
            <w:r>
              <w:rPr>
                <w:rFonts w:hint="eastAsia" w:ascii="宋体" w:hAnsi="宋体" w:cs="宋体"/>
                <w:szCs w:val="21"/>
              </w:rPr>
              <w:t>c)技术工具：</w:t>
            </w:r>
          </w:p>
          <w:p>
            <w:pPr>
              <w:rPr>
                <w:rFonts w:ascii="宋体" w:hAnsi="宋体" w:cs="宋体"/>
                <w:szCs w:val="21"/>
              </w:rPr>
            </w:pPr>
            <w:r>
              <w:rPr>
                <w:rFonts w:hint="eastAsia" w:ascii="宋体" w:hAnsi="宋体" w:cs="宋体"/>
                <w:szCs w:val="21"/>
              </w:rPr>
              <w:t>1)核心业务系统应对登录的用户进行身份标识和鉴别,身份标识具有唯一性,鉴别信息具有复杂度要求并定期更换；</w:t>
            </w:r>
          </w:p>
          <w:p>
            <w:pPr>
              <w:rPr>
                <w:rFonts w:ascii="宋体" w:hAnsi="宋体" w:cs="宋体"/>
                <w:szCs w:val="21"/>
              </w:rPr>
            </w:pPr>
            <w:r>
              <w:rPr>
                <w:rFonts w:hint="eastAsia" w:ascii="宋体" w:hAnsi="宋体" w:cs="宋体"/>
                <w:szCs w:val="21"/>
              </w:rPr>
              <w:t>2)核心业务系统应提供访问控制功能,对登录的用户分配账户和权限；</w:t>
            </w:r>
          </w:p>
          <w:p>
            <w:pPr>
              <w:rPr>
                <w:rFonts w:ascii="宋体" w:hAnsi="宋体" w:cs="宋体"/>
                <w:szCs w:val="21"/>
              </w:rPr>
            </w:pPr>
            <w:r>
              <w:rPr>
                <w:rFonts w:hint="eastAsia" w:ascii="宋体" w:hAnsi="宋体" w:cs="宋体"/>
                <w:szCs w:val="21"/>
              </w:rPr>
              <w:t>3)核心业务系统应提供并启用登录失败处理功能,多次登录失败后应采取必要的保护措施。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PA29需求分析</w:t>
            </w:r>
          </w:p>
        </w:tc>
        <w:tc>
          <w:tcPr>
            <w:tcW w:w="6645" w:type="dxa"/>
          </w:tcPr>
          <w:p>
            <w:pPr>
              <w:rPr>
                <w:rFonts w:ascii="宋体" w:hAnsi="宋体" w:cs="宋体"/>
                <w:szCs w:val="21"/>
              </w:rPr>
            </w:pPr>
            <w:r>
              <w:rPr>
                <w:rFonts w:hint="eastAsia" w:ascii="宋体" w:hAnsi="宋体" w:cs="宋体"/>
                <w:szCs w:val="21"/>
              </w:rPr>
              <w:t>a）组织建设：业务部门应设置负责数据安全需求分析的岗位或人员。</w:t>
            </w:r>
          </w:p>
          <w:p>
            <w:pPr>
              <w:rPr>
                <w:rFonts w:ascii="宋体" w:hAnsi="宋体" w:cs="宋体"/>
                <w:szCs w:val="21"/>
              </w:rPr>
            </w:pPr>
            <w:r>
              <w:rPr>
                <w:rFonts w:hint="eastAsia" w:ascii="宋体" w:hAnsi="宋体" w:cs="宋体"/>
                <w:szCs w:val="21"/>
              </w:rPr>
              <w:t>b）制度流程：核心业务应开展数据安全需求分析。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vMerge w:val="continue"/>
          </w:tcPr>
          <w:p>
            <w:pPr>
              <w:rPr>
                <w:rFonts w:ascii="宋体" w:hAnsi="宋体" w:cs="宋体"/>
                <w:szCs w:val="21"/>
                <w:highlight w:val="yellow"/>
              </w:rPr>
            </w:pPr>
          </w:p>
        </w:tc>
        <w:tc>
          <w:tcPr>
            <w:tcW w:w="0" w:type="auto"/>
          </w:tcPr>
          <w:p>
            <w:pPr>
              <w:rPr>
                <w:rFonts w:ascii="宋体" w:hAnsi="宋体" w:cs="宋体"/>
                <w:szCs w:val="21"/>
              </w:rPr>
            </w:pPr>
            <w:r>
              <w:rPr>
                <w:rFonts w:hint="eastAsia" w:ascii="宋体" w:hAnsi="宋体" w:cs="宋体"/>
                <w:szCs w:val="21"/>
              </w:rPr>
              <w:t>PA30安全事件应急响应</w:t>
            </w:r>
          </w:p>
        </w:tc>
        <w:tc>
          <w:tcPr>
            <w:tcW w:w="6645" w:type="dxa"/>
          </w:tcPr>
          <w:p>
            <w:pPr>
              <w:rPr>
                <w:rFonts w:ascii="宋体" w:hAnsi="宋体" w:cs="宋体"/>
                <w:szCs w:val="21"/>
              </w:rPr>
            </w:pPr>
            <w:r>
              <w:rPr>
                <w:rFonts w:hint="eastAsia" w:ascii="宋体" w:hAnsi="宋体" w:cs="宋体"/>
                <w:szCs w:val="21"/>
              </w:rPr>
              <w:t>a）组织建设：核心业务应设立负责数据安全事件管理和应急响应的岗位和人员。</w:t>
            </w:r>
          </w:p>
          <w:p>
            <w:pPr>
              <w:rPr>
                <w:rFonts w:ascii="宋体" w:hAnsi="宋体" w:cs="宋体"/>
                <w:szCs w:val="21"/>
              </w:rPr>
            </w:pPr>
            <w:r>
              <w:rPr>
                <w:rFonts w:hint="eastAsia" w:ascii="宋体" w:hAnsi="宋体" w:cs="宋体"/>
                <w:szCs w:val="21"/>
              </w:rPr>
              <w:t>b）制度流程：核心业务应明确数据安全事件管理和应急响应的策略和具体方案。</w:t>
            </w:r>
          </w:p>
        </w:tc>
      </w:tr>
    </w:tbl>
    <w:p>
      <w:pPr>
        <w:spacing w:line="360" w:lineRule="auto"/>
        <w:ind w:firstLine="562" w:firstLineChars="200"/>
        <w:rPr>
          <w:sz w:val="24"/>
        </w:rPr>
      </w:pPr>
      <w:r>
        <w:rPr>
          <w:rFonts w:hint="eastAsia" w:ascii="宋体" w:hAnsi="宋体"/>
          <w:b/>
          <w:sz w:val="28"/>
          <w:szCs w:val="28"/>
        </w:rPr>
        <w:t>★</w:t>
      </w:r>
      <w:r>
        <w:rPr>
          <w:rFonts w:hint="eastAsia"/>
          <w:sz w:val="24"/>
        </w:rPr>
        <w:t>认证服务内容要求如下：</w:t>
      </w:r>
    </w:p>
    <w:tbl>
      <w:tblPr>
        <w:tblStyle w:val="53"/>
        <w:tblW w:w="9621" w:type="dxa"/>
        <w:jc w:val="center"/>
        <w:tblLayout w:type="autofit"/>
        <w:tblCellMar>
          <w:top w:w="0" w:type="dxa"/>
          <w:left w:w="108" w:type="dxa"/>
          <w:bottom w:w="0" w:type="dxa"/>
          <w:right w:w="108" w:type="dxa"/>
        </w:tblCellMar>
      </w:tblPr>
      <w:tblGrid>
        <w:gridCol w:w="1140"/>
        <w:gridCol w:w="1171"/>
        <w:gridCol w:w="7310"/>
      </w:tblGrid>
      <w:tr>
        <w:tblPrEx>
          <w:tblCellMar>
            <w:top w:w="0" w:type="dxa"/>
            <w:left w:w="108" w:type="dxa"/>
            <w:bottom w:w="0" w:type="dxa"/>
            <w:right w:w="108" w:type="dxa"/>
          </w:tblCellMar>
        </w:tblPrEx>
        <w:trPr>
          <w:trHeight w:val="280" w:hRule="atLeast"/>
          <w:jc w:val="center"/>
        </w:trPr>
        <w:tc>
          <w:tcPr>
            <w:tcW w:w="11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服务内容</w:t>
            </w:r>
          </w:p>
        </w:tc>
        <w:tc>
          <w:tcPr>
            <w:tcW w:w="117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分项内容</w:t>
            </w:r>
          </w:p>
        </w:tc>
        <w:tc>
          <w:tcPr>
            <w:tcW w:w="73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描述</w:t>
            </w:r>
          </w:p>
        </w:tc>
      </w:tr>
      <w:tr>
        <w:tblPrEx>
          <w:tblCellMar>
            <w:top w:w="0" w:type="dxa"/>
            <w:left w:w="108" w:type="dxa"/>
            <w:bottom w:w="0" w:type="dxa"/>
            <w:right w:w="108" w:type="dxa"/>
          </w:tblCellMar>
        </w:tblPrEx>
        <w:trPr>
          <w:trHeight w:val="380" w:hRule="atLeast"/>
          <w:jc w:val="center"/>
        </w:trPr>
        <w:tc>
          <w:tcPr>
            <w:tcW w:w="1140" w:type="dxa"/>
            <w:vMerge w:val="restart"/>
            <w:tcBorders>
              <w:top w:val="nil"/>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认证前评估及整改</w:t>
            </w: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安全现状调研</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通过现有的制度办法、访谈等方式，对数据安全建设及管理机制现状进行评估，包括不限于业务、系统等相关内容</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left w:val="nil"/>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对重点数据、主数据、个人数据和敏感数据进行分析，根据分析结果，形成分析评估报告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输出《数据安全现状清单》</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数据资产梳理</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对数据进行资产梳理，包括数据字段描述、数据类型、数据使用权限等，确定敏感数据、重要数据和核心数据，识别数据访问情况、流向和授权现状，输出《数据资产清单》</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171" w:type="dxa"/>
            <w:vMerge w:val="continue"/>
            <w:tcBorders>
              <w:left w:val="nil"/>
              <w:right w:val="single" w:color="auto" w:sz="4" w:space="0"/>
            </w:tcBorders>
            <w:shd w:val="clear" w:color="000000" w:fill="FFFFFF"/>
            <w:vAlign w:val="center"/>
          </w:tcPr>
          <w:p>
            <w:pPr>
              <w:widowControl/>
              <w:jc w:val="left"/>
              <w:rPr>
                <w:rFonts w:ascii="宋体" w:hAnsi="宋体" w:cs="宋体"/>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根据业务流程，梳理数据在产生、传输、存储和使用过程中的流向，输出《数据流向图》</w:t>
            </w:r>
          </w:p>
        </w:tc>
      </w:tr>
      <w:tr>
        <w:tblPrEx>
          <w:tblCellMar>
            <w:top w:w="0" w:type="dxa"/>
            <w:left w:w="108" w:type="dxa"/>
            <w:bottom w:w="0" w:type="dxa"/>
            <w:right w:w="108" w:type="dxa"/>
          </w:tblCellMar>
        </w:tblPrEx>
        <w:trPr>
          <w:trHeight w:val="133"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结合数据资产安全等级实际情况，对不同类型的数据库用户权限现状进行全面梳理，输出《数据权限现状清单》</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vMerge w:val="restart"/>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基础环境风险评估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使用漏扫工具，对数据库进行安全扫描，人工辅助验证扫描结果，对数据库和中间件进行安全配置核查和分析，输出《漏洞扫描报告》</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szCs w:val="21"/>
              </w:rPr>
            </w:pPr>
          </w:p>
        </w:tc>
        <w:tc>
          <w:tcPr>
            <w:tcW w:w="1171" w:type="dxa"/>
            <w:vMerge w:val="continue"/>
            <w:tcBorders>
              <w:left w:val="nil"/>
              <w:bottom w:val="single" w:color="auto" w:sz="4" w:space="0"/>
              <w:right w:val="single" w:color="auto" w:sz="4" w:space="0"/>
            </w:tcBorders>
            <w:shd w:val="clear" w:color="000000" w:fill="FFFFFF"/>
            <w:vAlign w:val="center"/>
          </w:tcPr>
          <w:p>
            <w:pPr>
              <w:widowControl/>
              <w:jc w:val="left"/>
              <w:rPr>
                <w:rFonts w:ascii="宋体" w:hAnsi="宋体" w:cs="宋体"/>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对存在的安全漏洞和脆弱性环节，提出系统整改修复建议，输出《基线核查报告》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数据安全合规评估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1、主要利用文件查验、顾问访谈、系统演示及测评验证等多种方法评估在各类数据处理活动及数据承载系统平台的保障措施合规情况。</w:t>
            </w:r>
          </w:p>
          <w:p>
            <w:pPr>
              <w:pStyle w:val="2"/>
              <w:widowControl/>
              <w:jc w:val="left"/>
              <w:rPr>
                <w:rFonts w:ascii="宋体" w:hAnsi="宋体" w:cs="宋体"/>
                <w:b/>
                <w:color w:val="000000"/>
                <w:kern w:val="0"/>
                <w:sz w:val="21"/>
                <w:szCs w:val="21"/>
              </w:rPr>
            </w:pPr>
            <w:r>
              <w:rPr>
                <w:rFonts w:hint="eastAsia" w:ascii="宋体" w:hAnsi="宋体" w:cs="宋体"/>
                <w:b/>
                <w:color w:val="000000"/>
                <w:kern w:val="0"/>
                <w:sz w:val="21"/>
                <w:szCs w:val="21"/>
              </w:rPr>
              <w:t>2、从通用性管理与全生命周期管理两方面出发，针对各个指标项明确评估涉及的重要管理措施、重点技术措施及判断标准，明确被评估事项合规性保障基线，以提升数据安全管理及相关技术保障措施能力水平。</w:t>
            </w:r>
          </w:p>
          <w:p>
            <w:pPr>
              <w:widowControl/>
              <w:jc w:val="left"/>
              <w:rPr>
                <w:rFonts w:ascii="宋体" w:hAnsi="宋体" w:cs="宋体"/>
                <w:color w:val="000000"/>
                <w:kern w:val="0"/>
                <w:szCs w:val="21"/>
              </w:rPr>
            </w:pPr>
            <w:r>
              <w:rPr>
                <w:rFonts w:hint="eastAsia" w:ascii="宋体" w:hAnsi="宋体" w:cs="宋体"/>
                <w:color w:val="000000"/>
                <w:kern w:val="0"/>
                <w:szCs w:val="21"/>
              </w:rPr>
              <w:t>输出《数据安全合规评估报告》。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数据安全能力评估</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基于数据安全能力成熟度模型DSMM二级要求，结合数据安全治理能力DSG等模型，从组织、制度、技术和人员维度，综合评估数据安全能力，确定数据安全能力差距，输出《数据安全能力差距分析报告》。</w:t>
            </w:r>
          </w:p>
        </w:tc>
      </w:tr>
      <w:tr>
        <w:tblPrEx>
          <w:tblCellMar>
            <w:top w:w="0" w:type="dxa"/>
            <w:left w:w="108" w:type="dxa"/>
            <w:bottom w:w="0" w:type="dxa"/>
            <w:right w:w="108" w:type="dxa"/>
          </w:tblCellMar>
        </w:tblPrEx>
        <w:trPr>
          <w:trHeight w:val="380"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数据安全风险评估整改</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采用工具、专家判断、定性分析和定量分析等方式方法，建立数据安全风险评估模型，对数据的重要性、存在的泄露风险、面临的违规操作等维度的安全状态进行量化评估，识别组织内相关数据资产及其处理活动所面临的安全风险，输出《数据安全风险评估报告》，报告包含风险详情、风险修复建议。</w:t>
            </w:r>
          </w:p>
          <w:p>
            <w:pPr>
              <w:rPr>
                <w:rFonts w:ascii="宋体" w:hAnsi="宋体" w:cs="宋体"/>
                <w:color w:val="000000"/>
                <w:kern w:val="0"/>
                <w:szCs w:val="21"/>
              </w:rPr>
            </w:pPr>
            <w:r>
              <w:rPr>
                <w:rFonts w:hint="eastAsia" w:ascii="宋体" w:hAnsi="宋体" w:cs="宋体"/>
                <w:color w:val="000000"/>
                <w:kern w:val="0"/>
                <w:szCs w:val="21"/>
              </w:rPr>
              <w:t>1、确定评估项：依据对标的合规要求，以符合电信企业实际情况的方式梳理风险评估项，确保整体评估方案的完备性与一致性。</w:t>
            </w:r>
          </w:p>
          <w:p>
            <w:pPr>
              <w:rPr>
                <w:rFonts w:ascii="宋体" w:hAnsi="宋体" w:cs="宋体"/>
                <w:color w:val="000000"/>
                <w:kern w:val="0"/>
                <w:szCs w:val="21"/>
              </w:rPr>
            </w:pPr>
            <w:r>
              <w:rPr>
                <w:rFonts w:hint="eastAsia" w:ascii="宋体" w:hAnsi="宋体" w:cs="宋体"/>
                <w:color w:val="000000"/>
                <w:kern w:val="0"/>
                <w:szCs w:val="21"/>
              </w:rPr>
              <w:t>2、根据评估方法执行评估：基于行业最佳实践的指导与丰富的风险评估实施经验，结合企业实际情况，为每一个评估项确定最优的检查方式，并依据评估方式执行评估工作。</w:t>
            </w:r>
          </w:p>
          <w:p>
            <w:pPr>
              <w:rPr>
                <w:rFonts w:ascii="宋体" w:hAnsi="宋体" w:cs="宋体"/>
                <w:color w:val="000000"/>
                <w:kern w:val="0"/>
                <w:szCs w:val="21"/>
              </w:rPr>
            </w:pPr>
            <w:r>
              <w:rPr>
                <w:rFonts w:hint="eastAsia" w:ascii="宋体" w:hAnsi="宋体" w:cs="宋体"/>
                <w:color w:val="000000"/>
                <w:kern w:val="0"/>
                <w:szCs w:val="21"/>
              </w:rPr>
              <w:t>3、获取证明依据：根据评估方式明确每个检查项所需的证明依据，逐项获取证明依据，提升风险评估的效率与说服力。</w:t>
            </w:r>
          </w:p>
          <w:p>
            <w:pPr>
              <w:rPr>
                <w:rFonts w:ascii="宋体" w:hAnsi="宋体" w:cs="宋体"/>
                <w:color w:val="000000"/>
                <w:kern w:val="0"/>
                <w:szCs w:val="21"/>
              </w:rPr>
            </w:pPr>
            <w:r>
              <w:rPr>
                <w:rFonts w:hint="eastAsia" w:ascii="宋体" w:hAnsi="宋体" w:cs="宋体"/>
                <w:color w:val="000000"/>
                <w:kern w:val="0"/>
                <w:szCs w:val="21"/>
              </w:rPr>
              <w:t>4、记录评估结果：通过评估工作明确每个检查项的符合状态，结合证明依据，详细地记录企业数据安全风险评估结果。</w:t>
            </w:r>
          </w:p>
          <w:p>
            <w:pPr>
              <w:rPr>
                <w:rFonts w:ascii="宋体" w:hAnsi="宋体" w:cs="宋体"/>
                <w:color w:val="000000"/>
                <w:kern w:val="0"/>
                <w:szCs w:val="21"/>
              </w:rPr>
            </w:pPr>
            <w:r>
              <w:rPr>
                <w:rFonts w:hint="eastAsia" w:ascii="宋体" w:hAnsi="宋体" w:cs="宋体"/>
                <w:color w:val="000000"/>
                <w:kern w:val="0"/>
                <w:szCs w:val="21"/>
              </w:rPr>
              <w:t>5、风险分析：根据风险评估结果综合分析企业的数据安全风险，生成数据安全风险矩阵，明确风险处置的顺序，并给出风险整改建议。</w:t>
            </w:r>
          </w:p>
          <w:p>
            <w:pPr>
              <w:pStyle w:val="2"/>
              <w:rPr>
                <w:rFonts w:ascii="宋体" w:hAnsi="宋体" w:cs="宋体"/>
                <w:b/>
                <w:color w:val="000000"/>
                <w:kern w:val="0"/>
                <w:sz w:val="21"/>
                <w:szCs w:val="21"/>
              </w:rPr>
            </w:pPr>
            <w:r>
              <w:rPr>
                <w:rFonts w:hint="eastAsia" w:ascii="宋体" w:hAnsi="宋体" w:cs="宋体"/>
                <w:b/>
                <w:color w:val="000000"/>
                <w:kern w:val="0"/>
                <w:sz w:val="21"/>
                <w:szCs w:val="21"/>
              </w:rPr>
              <w:t>6、出具评估报告：综合统计每一个类别下检查项的符合情况，绘制企业数据安全体系建设现状，并从管理与数据生命周期两个维度提供建设指导。</w:t>
            </w:r>
          </w:p>
        </w:tc>
      </w:tr>
      <w:tr>
        <w:tblPrEx>
          <w:tblCellMar>
            <w:top w:w="0" w:type="dxa"/>
            <w:left w:w="108" w:type="dxa"/>
            <w:bottom w:w="0" w:type="dxa"/>
            <w:right w:w="108" w:type="dxa"/>
          </w:tblCellMar>
        </w:tblPrEx>
        <w:trPr>
          <w:trHeight w:val="394" w:hRule="atLeast"/>
          <w:jc w:val="center"/>
        </w:trPr>
        <w:tc>
          <w:tcPr>
            <w:tcW w:w="1140"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171" w:type="dxa"/>
            <w:tcBorders>
              <w:top w:val="nil"/>
              <w:left w:val="nil"/>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技术整改指导</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根据安全现状和改进分析，提供数据安全整改建设目标、主要方向和工作思路，并提出改进方向和建议，输出《数据安全报告及整改建议方案书》，并提供整改过程指导。</w:t>
            </w:r>
          </w:p>
        </w:tc>
      </w:tr>
      <w:tr>
        <w:tblPrEx>
          <w:tblCellMar>
            <w:top w:w="0" w:type="dxa"/>
            <w:left w:w="108" w:type="dxa"/>
            <w:bottom w:w="0" w:type="dxa"/>
            <w:right w:w="108" w:type="dxa"/>
          </w:tblCellMar>
        </w:tblPrEx>
        <w:trPr>
          <w:trHeight w:val="280" w:hRule="atLeast"/>
          <w:jc w:val="center"/>
        </w:trPr>
        <w:tc>
          <w:tcPr>
            <w:tcW w:w="11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DSMM认证</w:t>
            </w:r>
          </w:p>
        </w:tc>
        <w:tc>
          <w:tcPr>
            <w:tcW w:w="11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服务内容</w:t>
            </w: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申请服务：协助申请书填写和申请材料收集，相关申请材料</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形式化审查服务：</w:t>
            </w:r>
          </w:p>
          <w:p>
            <w:pPr>
              <w:widowControl/>
              <w:jc w:val="left"/>
              <w:rPr>
                <w:rFonts w:ascii="宋体" w:hAnsi="宋体" w:cs="宋体"/>
                <w:color w:val="000000"/>
                <w:kern w:val="0"/>
                <w:szCs w:val="21"/>
              </w:rPr>
            </w:pPr>
            <w:r>
              <w:rPr>
                <w:rFonts w:hint="eastAsia" w:ascii="宋体" w:hAnsi="宋体" w:cs="宋体"/>
                <w:color w:val="000000"/>
                <w:kern w:val="0"/>
                <w:szCs w:val="21"/>
              </w:rPr>
              <w:t>1、核实基本要求、申请书、申请材料</w:t>
            </w:r>
          </w:p>
          <w:p>
            <w:pPr>
              <w:widowControl/>
              <w:jc w:val="left"/>
              <w:rPr>
                <w:rFonts w:ascii="宋体" w:hAnsi="宋体" w:cs="宋体"/>
                <w:color w:val="000000"/>
                <w:kern w:val="0"/>
                <w:szCs w:val="21"/>
              </w:rPr>
            </w:pPr>
            <w:r>
              <w:rPr>
                <w:rFonts w:hint="eastAsia" w:ascii="宋体" w:hAnsi="宋体" w:cs="宋体"/>
                <w:color w:val="000000"/>
                <w:kern w:val="0"/>
                <w:szCs w:val="21"/>
              </w:rPr>
              <w:t>2、了解和梳理涉及场所、部门、系统、数据、相关方的总体情况</w:t>
            </w:r>
          </w:p>
          <w:p>
            <w:pPr>
              <w:widowControl/>
              <w:jc w:val="left"/>
              <w:rPr>
                <w:rFonts w:ascii="宋体" w:hAnsi="宋体" w:cs="宋体"/>
                <w:color w:val="000000"/>
                <w:kern w:val="0"/>
                <w:szCs w:val="21"/>
              </w:rPr>
            </w:pPr>
            <w:r>
              <w:rPr>
                <w:rFonts w:hint="eastAsia" w:ascii="宋体" w:hAnsi="宋体" w:cs="宋体"/>
                <w:color w:val="000000"/>
                <w:kern w:val="0"/>
                <w:szCs w:val="21"/>
              </w:rPr>
              <w:t>3、完成抽样。</w:t>
            </w:r>
          </w:p>
          <w:p>
            <w:pPr>
              <w:widowControl/>
              <w:jc w:val="left"/>
              <w:rPr>
                <w:rFonts w:ascii="宋体" w:hAnsi="宋体" w:cs="宋体"/>
                <w:color w:val="000000"/>
                <w:kern w:val="0"/>
                <w:szCs w:val="21"/>
              </w:rPr>
            </w:pPr>
            <w:r>
              <w:rPr>
                <w:rFonts w:hint="eastAsia" w:ascii="宋体" w:hAnsi="宋体" w:cs="宋体"/>
                <w:color w:val="000000"/>
                <w:kern w:val="0"/>
                <w:szCs w:val="21"/>
              </w:rPr>
              <w:t>4、制定认证计划，安排人员，报备国家认证认可监督管理委员会</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现场审查服务：</w:t>
            </w:r>
          </w:p>
          <w:p>
            <w:pPr>
              <w:widowControl/>
              <w:jc w:val="left"/>
              <w:rPr>
                <w:rFonts w:ascii="宋体" w:hAnsi="宋体" w:cs="宋体"/>
                <w:szCs w:val="21"/>
              </w:rPr>
            </w:pPr>
            <w:r>
              <w:rPr>
                <w:rFonts w:hint="eastAsia" w:ascii="宋体" w:hAnsi="宋体" w:cs="宋体"/>
                <w:color w:val="000000"/>
                <w:kern w:val="0"/>
                <w:szCs w:val="21"/>
              </w:rPr>
              <w:t>依据《信息安全技术 数据安全能力成熟度模型》（GB/T37988-2019）标准2级的条款要求，按照抽样结果，对组织涉及的场所、部门、系统、数据、相关方开展详细的审查</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认证决定服务：</w:t>
            </w:r>
          </w:p>
          <w:p>
            <w:pPr>
              <w:widowControl/>
              <w:jc w:val="left"/>
              <w:rPr>
                <w:rFonts w:ascii="宋体" w:hAnsi="宋体" w:cs="宋体"/>
                <w:color w:val="000000"/>
                <w:kern w:val="0"/>
                <w:szCs w:val="21"/>
              </w:rPr>
            </w:pPr>
            <w:r>
              <w:rPr>
                <w:rFonts w:hint="eastAsia" w:ascii="宋体" w:hAnsi="宋体" w:cs="宋体"/>
                <w:color w:val="000000"/>
                <w:kern w:val="0"/>
                <w:szCs w:val="21"/>
              </w:rPr>
              <w:t>1、现场记录、审查报告等材料的复核</w:t>
            </w:r>
          </w:p>
          <w:p>
            <w:pPr>
              <w:widowControl/>
              <w:jc w:val="left"/>
              <w:rPr>
                <w:rFonts w:ascii="宋体" w:hAnsi="宋体" w:cs="宋体"/>
                <w:color w:val="000000"/>
                <w:kern w:val="0"/>
                <w:szCs w:val="21"/>
              </w:rPr>
            </w:pPr>
            <w:r>
              <w:rPr>
                <w:rFonts w:hint="eastAsia" w:ascii="宋体" w:hAnsi="宋体" w:cs="宋体"/>
                <w:color w:val="000000"/>
                <w:kern w:val="0"/>
                <w:szCs w:val="21"/>
              </w:rPr>
              <w:t>2、认证决定人员进行认证决定</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公示及证书制作和发放服务：</w:t>
            </w:r>
          </w:p>
          <w:p>
            <w:pPr>
              <w:widowControl/>
              <w:numPr>
                <w:ilvl w:val="0"/>
                <w:numId w:val="14"/>
              </w:numPr>
              <w:jc w:val="left"/>
              <w:rPr>
                <w:rFonts w:ascii="宋体" w:hAnsi="宋体" w:cs="宋体"/>
                <w:color w:val="000000"/>
                <w:kern w:val="0"/>
                <w:szCs w:val="21"/>
              </w:rPr>
            </w:pPr>
            <w:r>
              <w:rPr>
                <w:rFonts w:hint="eastAsia" w:ascii="宋体" w:hAnsi="宋体" w:cs="宋体"/>
                <w:color w:val="000000"/>
                <w:kern w:val="0"/>
                <w:szCs w:val="21"/>
              </w:rPr>
              <w:t>认证决定上报，国家认监委网站上传信息</w:t>
            </w:r>
          </w:p>
          <w:p>
            <w:pPr>
              <w:widowControl/>
              <w:numPr>
                <w:ilvl w:val="0"/>
                <w:numId w:val="14"/>
              </w:numPr>
              <w:jc w:val="left"/>
              <w:rPr>
                <w:rFonts w:ascii="宋体" w:hAnsi="宋体" w:cs="宋体"/>
                <w:color w:val="000000"/>
                <w:kern w:val="0"/>
                <w:szCs w:val="21"/>
              </w:rPr>
            </w:pPr>
            <w:r>
              <w:rPr>
                <w:rFonts w:hint="eastAsia" w:ascii="宋体" w:hAnsi="宋体" w:cs="宋体"/>
                <w:color w:val="000000"/>
                <w:kern w:val="0"/>
                <w:szCs w:val="21"/>
              </w:rPr>
              <w:t>证书制作和发放，认证材料的存档</w:t>
            </w:r>
          </w:p>
        </w:tc>
      </w:tr>
      <w:tr>
        <w:tblPrEx>
          <w:tblCellMar>
            <w:top w:w="0" w:type="dxa"/>
            <w:left w:w="108" w:type="dxa"/>
            <w:bottom w:w="0" w:type="dxa"/>
            <w:right w:w="108" w:type="dxa"/>
          </w:tblCellMar>
        </w:tblPrEx>
        <w:trPr>
          <w:trHeight w:val="280" w:hRule="atLeast"/>
          <w:jc w:val="center"/>
        </w:trPr>
        <w:tc>
          <w:tcPr>
            <w:tcW w:w="114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117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Cs w:val="21"/>
              </w:rPr>
            </w:pPr>
          </w:p>
        </w:tc>
        <w:tc>
          <w:tcPr>
            <w:tcW w:w="731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监督审核服务：提供两年的监督审核服务</w:t>
            </w:r>
          </w:p>
        </w:tc>
      </w:tr>
    </w:tbl>
    <w:p>
      <w:pPr>
        <w:spacing w:line="360" w:lineRule="auto"/>
        <w:ind w:firstLine="480" w:firstLineChars="200"/>
        <w:rPr>
          <w:sz w:val="24"/>
        </w:rPr>
      </w:pPr>
      <w:r>
        <w:rPr>
          <w:rFonts w:hint="eastAsia"/>
          <w:sz w:val="24"/>
        </w:rPr>
        <w:t>其他服务内容包括数据安全应急演练服务、数据安全培训与技能提升服务、服务工具要求，具体要求如下：</w:t>
      </w:r>
    </w:p>
    <w:tbl>
      <w:tblPr>
        <w:tblStyle w:val="53"/>
        <w:tblW w:w="0" w:type="auto"/>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数据安全应急演练服务</w:t>
            </w:r>
          </w:p>
        </w:tc>
        <w:tc>
          <w:tcPr>
            <w:tcW w:w="6764" w:type="dxa"/>
          </w:tcPr>
          <w:p>
            <w:pPr>
              <w:rPr>
                <w:rFonts w:ascii="宋体" w:hAnsi="宋体"/>
                <w:szCs w:val="21"/>
              </w:rPr>
            </w:pPr>
            <w:r>
              <w:rPr>
                <w:rFonts w:hint="eastAsia" w:ascii="宋体" w:hAnsi="宋体"/>
                <w:szCs w:val="21"/>
              </w:rPr>
              <w:t>1、建立健全数据安全事件应急响应机制，提高应对数据安全事件的应急处置能力，预防和减少数据安全事件造成的损失和危害，全面提升公司的数据安全事件应急管理水平，促进大数据业务健康有序发展，保障公司数据资产安全和用户合法权益，满足上级单位要求企业建立数据安全应急响应制度的重点考核要求。</w:t>
            </w:r>
          </w:p>
          <w:p>
            <w:pPr>
              <w:rPr>
                <w:rFonts w:ascii="宋体" w:hAnsi="宋体"/>
                <w:szCs w:val="21"/>
              </w:rPr>
            </w:pPr>
            <w:r>
              <w:rPr>
                <w:rFonts w:hint="eastAsia" w:ascii="宋体" w:hAnsi="宋体"/>
                <w:szCs w:val="21"/>
              </w:rPr>
              <w:t>2、所输出的数据安全应急预案作为采购人数据安全事件应急处置流程规范，内容主要包括应急响应的组织架构、数据安全事件的分级、应急预案的制订与演练、应急响应实施、事件处置及应急事例以及应急保障等，从而为采购人数据安全事件的安全防范、应急处置、应急报告等工作提供依据。</w:t>
            </w:r>
          </w:p>
          <w:p>
            <w:pPr>
              <w:rPr>
                <w:rFonts w:ascii="宋体" w:hAnsi="宋体"/>
                <w:szCs w:val="21"/>
              </w:rPr>
            </w:pPr>
            <w:r>
              <w:rPr>
                <w:rFonts w:hint="eastAsia" w:ascii="宋体" w:hAnsi="宋体"/>
                <w:szCs w:val="21"/>
              </w:rPr>
              <w:t>3、通过开展应急演练，查找已经编制的应急预案中存在的问题，进而完善应急预案，提高应急预案的实用性和可操作性。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数据安全培训与技能提升服务</w:t>
            </w:r>
          </w:p>
        </w:tc>
        <w:tc>
          <w:tcPr>
            <w:tcW w:w="6764" w:type="dxa"/>
          </w:tcPr>
          <w:p>
            <w:pPr>
              <w:rPr>
                <w:rFonts w:ascii="宋体" w:hAnsi="宋体"/>
                <w:szCs w:val="21"/>
              </w:rPr>
            </w:pPr>
            <w:r>
              <w:rPr>
                <w:rFonts w:hint="eastAsia" w:ascii="宋体" w:hAnsi="宋体"/>
                <w:szCs w:val="21"/>
              </w:rPr>
              <w:t>结合实际情况和需求为提供培训、考试及技能赋能提升工作。</w:t>
            </w:r>
          </w:p>
          <w:p>
            <w:pPr>
              <w:rPr>
                <w:rFonts w:ascii="宋体" w:hAnsi="宋体"/>
                <w:szCs w:val="21"/>
              </w:rPr>
            </w:pPr>
            <w:r>
              <w:rPr>
                <w:rFonts w:hint="eastAsia" w:ascii="宋体" w:hAnsi="宋体"/>
                <w:szCs w:val="21"/>
              </w:rPr>
              <w:t>1、安全意识培训：每年开展两次培训，培训对象为关键岗位人员，内容包括法律法规，安全意识，数据安全例行工作，数据安全新技术新产品，数据安全最新解决方案等。</w:t>
            </w:r>
          </w:p>
          <w:p>
            <w:pPr>
              <w:rPr>
                <w:rFonts w:ascii="宋体" w:hAnsi="宋体"/>
                <w:szCs w:val="21"/>
              </w:rPr>
            </w:pPr>
            <w:r>
              <w:rPr>
                <w:rFonts w:hint="eastAsia" w:ascii="宋体" w:hAnsi="宋体"/>
                <w:szCs w:val="21"/>
              </w:rPr>
              <w:t>2、数据安全考试：每年两次。通过线上或线下的方式组织数据安全考试，并针对考试结果进行汇总整理。</w:t>
            </w:r>
          </w:p>
          <w:p>
            <w:pPr>
              <w:rPr>
                <w:rFonts w:ascii="宋体" w:hAnsi="宋体"/>
                <w:szCs w:val="21"/>
              </w:rPr>
            </w:pPr>
            <w:r>
              <w:rPr>
                <w:rFonts w:hint="eastAsia" w:ascii="宋体" w:hAnsi="宋体"/>
                <w:szCs w:val="21"/>
              </w:rPr>
              <w:t>3、数据安全技能提升：针对数据安全管理中的数据识别、数据分析、数据处理等进行技能提升培训；为全省提供4人次的高级培训。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rPr>
                <w:rFonts w:ascii="宋体" w:hAnsi="宋体"/>
                <w:szCs w:val="21"/>
              </w:rPr>
            </w:pPr>
            <w:r>
              <w:rPr>
                <w:rFonts w:hint="eastAsia" w:ascii="宋体" w:hAnsi="宋体"/>
                <w:szCs w:val="21"/>
              </w:rPr>
              <w:t>服务工具要求</w:t>
            </w:r>
          </w:p>
        </w:tc>
        <w:tc>
          <w:tcPr>
            <w:tcW w:w="6764" w:type="dxa"/>
          </w:tcPr>
          <w:p>
            <w:pPr>
              <w:rPr>
                <w:rFonts w:ascii="宋体" w:hAnsi="宋体"/>
                <w:szCs w:val="21"/>
              </w:rPr>
            </w:pPr>
            <w:r>
              <w:rPr>
                <w:rFonts w:hint="eastAsia" w:ascii="宋体" w:hAnsi="宋体"/>
                <w:szCs w:val="21"/>
              </w:rPr>
              <w:t>服务厂商需根据DSMM认证技术能力要求，免费提供包括不限于如下自研工具：</w:t>
            </w:r>
          </w:p>
          <w:p>
            <w:pPr>
              <w:rPr>
                <w:rFonts w:ascii="宋体" w:hAnsi="宋体"/>
                <w:szCs w:val="21"/>
              </w:rPr>
            </w:pPr>
            <w:r>
              <w:rPr>
                <w:rFonts w:hint="eastAsia" w:ascii="宋体" w:hAnsi="宋体"/>
                <w:szCs w:val="21"/>
              </w:rPr>
              <w:t>1、提供自研的敏感数据发现和分类分级系统或者工具，具备计算机软件著作权登记证书和中国信息通信研究院颁发的《数据安全产品能力测评检验证书》（提供证书复印件）。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功能要求：应支持数据资产的盘点</w:t>
            </w:r>
            <w:r>
              <w:rPr>
                <w:rFonts w:ascii="宋体" w:hAnsi="宋体"/>
                <w:b/>
                <w:sz w:val="21"/>
                <w:szCs w:val="21"/>
              </w:rPr>
              <w:t>、</w:t>
            </w:r>
            <w:r>
              <w:rPr>
                <w:rFonts w:hint="eastAsia" w:ascii="宋体" w:hAnsi="宋体"/>
                <w:b/>
                <w:sz w:val="21"/>
                <w:szCs w:val="21"/>
              </w:rPr>
              <w:t>数据分类分级</w:t>
            </w:r>
            <w:r>
              <w:rPr>
                <w:rFonts w:ascii="宋体" w:hAnsi="宋体"/>
                <w:b/>
                <w:sz w:val="21"/>
                <w:szCs w:val="21"/>
              </w:rPr>
              <w:t>、</w:t>
            </w:r>
            <w:r>
              <w:rPr>
                <w:rFonts w:hint="eastAsia" w:ascii="宋体" w:hAnsi="宋体"/>
                <w:b/>
                <w:sz w:val="21"/>
                <w:szCs w:val="21"/>
              </w:rPr>
              <w:t>数据敏感分析</w:t>
            </w:r>
            <w:r>
              <w:rPr>
                <w:rFonts w:ascii="宋体" w:hAnsi="宋体"/>
                <w:b/>
                <w:sz w:val="21"/>
                <w:szCs w:val="21"/>
              </w:rPr>
              <w:t>、</w:t>
            </w:r>
            <w:r>
              <w:rPr>
                <w:rFonts w:hint="eastAsia" w:ascii="宋体" w:hAnsi="宋体"/>
                <w:b/>
                <w:sz w:val="21"/>
                <w:szCs w:val="21"/>
              </w:rPr>
              <w:t>数据库差异分析等</w:t>
            </w:r>
            <w:r>
              <w:rPr>
                <w:rFonts w:ascii="宋体" w:hAnsi="宋体"/>
                <w:b/>
                <w:sz w:val="21"/>
                <w:szCs w:val="21"/>
              </w:rPr>
              <w:t>，</w:t>
            </w:r>
            <w:r>
              <w:rPr>
                <w:rFonts w:hint="eastAsia" w:ascii="宋体" w:hAnsi="宋体"/>
                <w:b/>
                <w:sz w:val="21"/>
                <w:szCs w:val="21"/>
              </w:rPr>
              <w:t>支持通过大屏直观显示以上内容界面</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2、提供自研的数据脱敏系统或工具，具备计算机软件著作权登记证书和中国网络安全审查技术与认证中心颁发的《IT产品信息安全认证证书》（提供证书复印件）。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功能要求：应支持敏感数据发现、定时增量敏感发现、子集脱敏、增量脱敏、原地脱敏、数据水印、异构脱敏（主流关系型数据库Oracle、DB2、SQL Server、Mysql之间的脱敏，Hive与Oracle、Mysql之间的脱敏等）等功能</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3、提供自研的数据安全运营平台或工具，具备中国信息通信研究院颁发的《数据安全产品能力测评检验证书》，评测项目包括：数据分类分级安全管理、数据异常行为监测、数据脱敏、数据库审计（提供证书复印件）。</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功能要求：系统应能</w:t>
            </w:r>
            <w:r>
              <w:rPr>
                <w:rFonts w:ascii="宋体" w:hAnsi="宋体"/>
                <w:b/>
                <w:sz w:val="21"/>
                <w:szCs w:val="21"/>
              </w:rPr>
              <w:t>直观展现出用户整体系统的风险情况。主要展示数据库量、敏感表数量、敏感列数量、数据访问趋势、数据库类型占比、SQL执行时长分布、数据敏感列分布、敏感表数据分布、数据库登录情况TOP10等内容</w:t>
            </w:r>
            <w:r>
              <w:rPr>
                <w:rFonts w:hint="eastAsia" w:ascii="宋体" w:hAnsi="宋体"/>
                <w:b/>
                <w:sz w:val="21"/>
                <w:szCs w:val="21"/>
              </w:rPr>
              <w:t>，并通过大屏投放展示</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pPr>
              <w:rPr>
                <w:rFonts w:ascii="宋体" w:hAnsi="宋体"/>
                <w:szCs w:val="21"/>
              </w:rPr>
            </w:pPr>
            <w:r>
              <w:rPr>
                <w:rFonts w:hint="eastAsia" w:ascii="宋体" w:hAnsi="宋体"/>
                <w:szCs w:val="21"/>
              </w:rPr>
              <w:t>4、提供自研的数据安全风险自评估工具（提供自主知识产权证明）。</w:t>
            </w:r>
          </w:p>
          <w:p>
            <w:pPr>
              <w:pStyle w:val="2"/>
              <w:snapToGrid w:val="0"/>
              <w:rPr>
                <w:rFonts w:ascii="宋体" w:hAnsi="宋体"/>
                <w:b/>
                <w:sz w:val="21"/>
                <w:szCs w:val="21"/>
              </w:rPr>
            </w:pPr>
            <w:r>
              <w:rPr>
                <w:rFonts w:hint="eastAsia" w:ascii="宋体" w:hAnsi="宋体" w:cs="宋体"/>
                <w:kern w:val="0"/>
                <w:sz w:val="24"/>
              </w:rPr>
              <w:t>★</w:t>
            </w:r>
            <w:r>
              <w:rPr>
                <w:rFonts w:hint="eastAsia" w:ascii="宋体" w:hAnsi="宋体"/>
                <w:b/>
                <w:sz w:val="21"/>
                <w:szCs w:val="21"/>
              </w:rPr>
              <w:t>功能要求：支持将分类分级结果导入工具中，能够通过自动化方式呈现数据安全能力评估、风险评估等各类结果，并生成报告；支持根据数据风险评估前序步骤结果，通过风险计算引擎，自动计算出数据安全能力差距、数据资产的生命周期风险系数及风险等级，并支持报表查看；应支持风险评估报告输出功能，包括但不限于系统权限分析报告、数据安全差距分析WORD报告、数据安全合法合规评估WORD报告、数据全生命周期风险评估WORD报告等</w:t>
            </w:r>
            <w:r>
              <w:rPr>
                <w:rFonts w:ascii="宋体" w:hAnsi="宋体"/>
                <w:b/>
                <w:sz w:val="21"/>
                <w:szCs w:val="21"/>
              </w:rPr>
              <w:t>。</w:t>
            </w:r>
            <w:r>
              <w:rPr>
                <w:rFonts w:hint="eastAsia" w:ascii="宋体" w:hAnsi="宋体"/>
                <w:b/>
                <w:sz w:val="21"/>
                <w:szCs w:val="21"/>
              </w:rPr>
              <w:t>(</w:t>
            </w:r>
            <w:r>
              <w:rPr>
                <w:rFonts w:ascii="宋体" w:hAnsi="宋体"/>
                <w:b/>
                <w:sz w:val="21"/>
                <w:szCs w:val="21"/>
              </w:rPr>
              <w:t>提供截图证明</w:t>
            </w:r>
            <w:r>
              <w:rPr>
                <w:rFonts w:hint="eastAsia" w:ascii="宋体" w:hAnsi="宋体"/>
                <w:b/>
                <w:sz w:val="21"/>
                <w:szCs w:val="21"/>
              </w:rPr>
              <w:t>)</w:t>
            </w:r>
          </w:p>
          <w:p>
            <w:r>
              <w:rPr>
                <w:rFonts w:hint="eastAsia" w:ascii="宋体" w:hAnsi="宋体"/>
                <w:szCs w:val="21"/>
              </w:rPr>
              <w:t>★数据安全运营平台应支持和数据脱敏系统、敏感数据发现和分类分级系统、数据库审计等工具实现联动，可基于数据分类分级的结果进行安全监控，并下发安全策略以及进行告警（提供证明材料）。</w:t>
            </w:r>
          </w:p>
        </w:tc>
      </w:tr>
    </w:tbl>
    <w:p>
      <w:pPr>
        <w:numPr>
          <w:ilvl w:val="255"/>
          <w:numId w:val="0"/>
        </w:numPr>
        <w:spacing w:line="360" w:lineRule="auto"/>
        <w:outlineLvl w:val="1"/>
        <w:rPr>
          <w:rFonts w:ascii="宋体" w:hAnsi="宋体"/>
          <w:b/>
          <w:sz w:val="24"/>
        </w:rPr>
      </w:pPr>
      <w:r>
        <w:rPr>
          <w:rFonts w:hint="eastAsia" w:ascii="宋体" w:hAnsi="宋体"/>
          <w:b/>
          <w:sz w:val="24"/>
        </w:rPr>
        <w:t>三、实施要求</w:t>
      </w:r>
    </w:p>
    <w:p>
      <w:pPr>
        <w:pStyle w:val="356"/>
        <w:numPr>
          <w:ilvl w:val="1"/>
          <w:numId w:val="0"/>
        </w:numPr>
        <w:spacing w:line="360" w:lineRule="auto"/>
        <w:ind w:firstLine="480" w:firstLineChars="200"/>
        <w:rPr>
          <w:rFonts w:hAnsi="宋体"/>
          <w:sz w:val="24"/>
          <w:szCs w:val="24"/>
        </w:rPr>
      </w:pPr>
      <w:r>
        <w:rPr>
          <w:rFonts w:hint="eastAsia" w:ascii="宋体" w:hAnsi="宋体"/>
          <w:sz w:val="24"/>
          <w:szCs w:val="24"/>
        </w:rPr>
        <w:t>★</w:t>
      </w:r>
      <w:r>
        <w:rPr>
          <w:rFonts w:hint="eastAsia" w:hAnsi="宋体"/>
          <w:sz w:val="24"/>
          <w:szCs w:val="24"/>
        </w:rPr>
        <w:t>1、项目实施团队要求</w:t>
      </w:r>
    </w:p>
    <w:p>
      <w:pPr>
        <w:pStyle w:val="356"/>
        <w:numPr>
          <w:ilvl w:val="1"/>
          <w:numId w:val="0"/>
        </w:numPr>
        <w:spacing w:line="360" w:lineRule="auto"/>
        <w:ind w:firstLine="480" w:firstLineChars="200"/>
        <w:rPr>
          <w:rFonts w:hAnsi="宋体"/>
          <w:sz w:val="24"/>
          <w:szCs w:val="24"/>
        </w:rPr>
      </w:pPr>
      <w:r>
        <w:rPr>
          <w:rFonts w:hint="eastAsia" w:hAnsi="宋体"/>
          <w:sz w:val="24"/>
          <w:szCs w:val="24"/>
        </w:rPr>
        <w:t>服务供应商须提供本项目的详细工作进度安排和项目组人员配备方案，本项目要求服务认证机构提供不少于2名现场服务人员，驻场时间不少于8天；服务供应商提供不少于3人的服务团队，包括</w:t>
      </w:r>
      <w:r>
        <w:rPr>
          <w:rFonts w:hint="eastAsia" w:hAnsi="宋体"/>
          <w:sz w:val="24"/>
        </w:rPr>
        <w:t>1名项目经理和不少于2名其他服务人员，驻场时间从合同签订之日起至采购人获得DSMM2级认证证书之日止。</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280"/>
        <w:gridCol w:w="1800"/>
        <w:gridCol w:w="1420"/>
        <w:gridCol w:w="124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jc w:val="center"/>
              <w:rPr>
                <w:b/>
                <w:bCs/>
                <w:kern w:val="0"/>
                <w:sz w:val="24"/>
              </w:rPr>
            </w:pPr>
            <w:r>
              <w:rPr>
                <w:rFonts w:hint="eastAsia"/>
                <w:b/>
                <w:bCs/>
                <w:kern w:val="0"/>
                <w:sz w:val="24"/>
              </w:rPr>
              <w:t>人员姓名</w:t>
            </w:r>
          </w:p>
        </w:tc>
        <w:tc>
          <w:tcPr>
            <w:tcW w:w="1280" w:type="dxa"/>
            <w:vAlign w:val="center"/>
          </w:tcPr>
          <w:p>
            <w:pPr>
              <w:widowControl/>
              <w:autoSpaceDE w:val="0"/>
              <w:autoSpaceDN w:val="0"/>
              <w:spacing w:line="360" w:lineRule="auto"/>
              <w:jc w:val="center"/>
              <w:rPr>
                <w:b/>
                <w:bCs/>
                <w:kern w:val="0"/>
                <w:sz w:val="24"/>
              </w:rPr>
            </w:pPr>
            <w:r>
              <w:rPr>
                <w:rFonts w:hint="eastAsia"/>
                <w:b/>
                <w:bCs/>
                <w:kern w:val="0"/>
                <w:sz w:val="24"/>
              </w:rPr>
              <w:t>所属单位</w:t>
            </w:r>
          </w:p>
        </w:tc>
        <w:tc>
          <w:tcPr>
            <w:tcW w:w="1800" w:type="dxa"/>
            <w:vAlign w:val="center"/>
          </w:tcPr>
          <w:p>
            <w:pPr>
              <w:widowControl/>
              <w:autoSpaceDE w:val="0"/>
              <w:autoSpaceDN w:val="0"/>
              <w:jc w:val="center"/>
              <w:rPr>
                <w:b/>
                <w:bCs/>
                <w:kern w:val="0"/>
                <w:sz w:val="24"/>
              </w:rPr>
            </w:pPr>
            <w:r>
              <w:rPr>
                <w:rFonts w:hint="eastAsia"/>
                <w:b/>
                <w:bCs/>
                <w:kern w:val="0"/>
                <w:sz w:val="24"/>
              </w:rPr>
              <w:t>学历/经验/资质</w:t>
            </w:r>
          </w:p>
        </w:tc>
        <w:tc>
          <w:tcPr>
            <w:tcW w:w="1420" w:type="dxa"/>
            <w:vAlign w:val="center"/>
          </w:tcPr>
          <w:p>
            <w:pPr>
              <w:widowControl/>
              <w:autoSpaceDE w:val="0"/>
              <w:autoSpaceDN w:val="0"/>
              <w:spacing w:line="360" w:lineRule="auto"/>
              <w:jc w:val="center"/>
              <w:rPr>
                <w:b/>
                <w:bCs/>
                <w:kern w:val="0"/>
                <w:sz w:val="24"/>
              </w:rPr>
            </w:pPr>
            <w:r>
              <w:rPr>
                <w:rFonts w:hint="eastAsia"/>
                <w:b/>
                <w:bCs/>
                <w:kern w:val="0"/>
                <w:sz w:val="24"/>
              </w:rPr>
              <w:t>岗位职责</w:t>
            </w:r>
          </w:p>
        </w:tc>
        <w:tc>
          <w:tcPr>
            <w:tcW w:w="1246" w:type="dxa"/>
            <w:vAlign w:val="center"/>
          </w:tcPr>
          <w:p>
            <w:pPr>
              <w:widowControl/>
              <w:autoSpaceDE w:val="0"/>
              <w:autoSpaceDN w:val="0"/>
              <w:spacing w:line="360" w:lineRule="auto"/>
              <w:jc w:val="center"/>
              <w:rPr>
                <w:b/>
                <w:bCs/>
                <w:kern w:val="0"/>
                <w:sz w:val="24"/>
              </w:rPr>
            </w:pPr>
            <w:r>
              <w:rPr>
                <w:rFonts w:hint="eastAsia"/>
                <w:b/>
                <w:bCs/>
                <w:kern w:val="0"/>
                <w:sz w:val="24"/>
              </w:rPr>
              <w:t>是否驻场</w:t>
            </w:r>
          </w:p>
        </w:tc>
        <w:tc>
          <w:tcPr>
            <w:tcW w:w="1431" w:type="dxa"/>
            <w:vAlign w:val="center"/>
          </w:tcPr>
          <w:p>
            <w:pPr>
              <w:widowControl/>
              <w:autoSpaceDE w:val="0"/>
              <w:autoSpaceDN w:val="0"/>
              <w:spacing w:line="360" w:lineRule="auto"/>
              <w:jc w:val="center"/>
              <w:rPr>
                <w:b/>
                <w:bCs/>
                <w:kern w:val="0"/>
                <w:sz w:val="24"/>
              </w:rPr>
            </w:pPr>
            <w:r>
              <w:rPr>
                <w:rFonts w:hint="eastAsia"/>
                <w:b/>
                <w:bCs/>
                <w:kern w:val="0"/>
                <w:sz w:val="24"/>
              </w:rPr>
              <w:t>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jc w:val="center"/>
              <w:rPr>
                <w:b/>
                <w:bCs/>
                <w:kern w:val="0"/>
                <w:sz w:val="24"/>
              </w:rPr>
            </w:pPr>
          </w:p>
        </w:tc>
        <w:tc>
          <w:tcPr>
            <w:tcW w:w="1280" w:type="dxa"/>
            <w:vAlign w:val="center"/>
          </w:tcPr>
          <w:p>
            <w:pPr>
              <w:widowControl/>
              <w:autoSpaceDE w:val="0"/>
              <w:autoSpaceDN w:val="0"/>
              <w:spacing w:line="360" w:lineRule="auto"/>
              <w:jc w:val="center"/>
              <w:rPr>
                <w:b/>
                <w:bCs/>
                <w:kern w:val="0"/>
                <w:sz w:val="24"/>
              </w:rPr>
            </w:pPr>
          </w:p>
        </w:tc>
        <w:tc>
          <w:tcPr>
            <w:tcW w:w="1800" w:type="dxa"/>
            <w:vAlign w:val="center"/>
          </w:tcPr>
          <w:p>
            <w:pPr>
              <w:widowControl/>
              <w:autoSpaceDE w:val="0"/>
              <w:autoSpaceDN w:val="0"/>
              <w:jc w:val="center"/>
              <w:rPr>
                <w:b/>
                <w:bCs/>
                <w:kern w:val="0"/>
                <w:sz w:val="24"/>
              </w:rPr>
            </w:pPr>
          </w:p>
        </w:tc>
        <w:tc>
          <w:tcPr>
            <w:tcW w:w="1420" w:type="dxa"/>
            <w:vAlign w:val="center"/>
          </w:tcPr>
          <w:p>
            <w:pPr>
              <w:widowControl/>
              <w:autoSpaceDE w:val="0"/>
              <w:autoSpaceDN w:val="0"/>
              <w:spacing w:line="360" w:lineRule="auto"/>
              <w:jc w:val="center"/>
              <w:rPr>
                <w:b/>
                <w:bCs/>
                <w:kern w:val="0"/>
                <w:sz w:val="24"/>
              </w:rPr>
            </w:pPr>
          </w:p>
        </w:tc>
        <w:tc>
          <w:tcPr>
            <w:tcW w:w="1246" w:type="dxa"/>
            <w:vAlign w:val="center"/>
          </w:tcPr>
          <w:p>
            <w:pPr>
              <w:widowControl/>
              <w:autoSpaceDE w:val="0"/>
              <w:autoSpaceDN w:val="0"/>
              <w:spacing w:line="360" w:lineRule="auto"/>
              <w:jc w:val="center"/>
              <w:rPr>
                <w:b/>
                <w:bCs/>
                <w:kern w:val="0"/>
                <w:sz w:val="24"/>
              </w:rPr>
            </w:pPr>
          </w:p>
        </w:tc>
        <w:tc>
          <w:tcPr>
            <w:tcW w:w="1431" w:type="dxa"/>
            <w:vAlign w:val="center"/>
          </w:tcPr>
          <w:p>
            <w:pPr>
              <w:widowControl/>
              <w:autoSpaceDE w:val="0"/>
              <w:autoSpaceDN w:val="0"/>
              <w:spacing w:line="360" w:lineRule="auto"/>
              <w:jc w:val="center"/>
              <w:rPr>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pPr>
              <w:widowControl/>
              <w:autoSpaceDE w:val="0"/>
              <w:autoSpaceDN w:val="0"/>
              <w:rPr>
                <w:kern w:val="0"/>
                <w:sz w:val="24"/>
              </w:rPr>
            </w:pPr>
          </w:p>
        </w:tc>
        <w:tc>
          <w:tcPr>
            <w:tcW w:w="1280" w:type="dxa"/>
            <w:vAlign w:val="center"/>
          </w:tcPr>
          <w:p>
            <w:pPr>
              <w:widowControl/>
              <w:autoSpaceDE w:val="0"/>
              <w:autoSpaceDN w:val="0"/>
              <w:spacing w:line="360" w:lineRule="auto"/>
              <w:rPr>
                <w:kern w:val="0"/>
                <w:sz w:val="24"/>
              </w:rPr>
            </w:pPr>
          </w:p>
        </w:tc>
        <w:tc>
          <w:tcPr>
            <w:tcW w:w="1800" w:type="dxa"/>
            <w:vAlign w:val="center"/>
          </w:tcPr>
          <w:p>
            <w:pPr>
              <w:widowControl/>
              <w:autoSpaceDE w:val="0"/>
              <w:autoSpaceDN w:val="0"/>
              <w:spacing w:line="360" w:lineRule="auto"/>
              <w:rPr>
                <w:kern w:val="0"/>
                <w:sz w:val="24"/>
              </w:rPr>
            </w:pPr>
          </w:p>
        </w:tc>
        <w:tc>
          <w:tcPr>
            <w:tcW w:w="1420" w:type="dxa"/>
            <w:vAlign w:val="center"/>
          </w:tcPr>
          <w:p>
            <w:pPr>
              <w:widowControl/>
              <w:autoSpaceDE w:val="0"/>
              <w:autoSpaceDN w:val="0"/>
              <w:spacing w:line="360" w:lineRule="auto"/>
              <w:rPr>
                <w:kern w:val="0"/>
                <w:sz w:val="24"/>
              </w:rPr>
            </w:pPr>
          </w:p>
        </w:tc>
        <w:tc>
          <w:tcPr>
            <w:tcW w:w="1246" w:type="dxa"/>
            <w:vAlign w:val="center"/>
          </w:tcPr>
          <w:p>
            <w:pPr>
              <w:widowControl/>
              <w:autoSpaceDE w:val="0"/>
              <w:autoSpaceDN w:val="0"/>
              <w:spacing w:line="360" w:lineRule="auto"/>
              <w:rPr>
                <w:kern w:val="0"/>
                <w:sz w:val="24"/>
              </w:rPr>
            </w:pPr>
          </w:p>
        </w:tc>
        <w:tc>
          <w:tcPr>
            <w:tcW w:w="1431" w:type="dxa"/>
            <w:vAlign w:val="center"/>
          </w:tcPr>
          <w:p>
            <w:pPr>
              <w:widowControl/>
              <w:autoSpaceDE w:val="0"/>
              <w:autoSpaceDN w:val="0"/>
              <w:spacing w:line="360" w:lineRule="auto"/>
              <w:rPr>
                <w:kern w:val="0"/>
                <w:sz w:val="24"/>
              </w:rPr>
            </w:pPr>
          </w:p>
        </w:tc>
      </w:tr>
    </w:tbl>
    <w:p>
      <w:pPr>
        <w:adjustRightInd w:val="0"/>
        <w:snapToGrid w:val="0"/>
        <w:spacing w:line="360" w:lineRule="auto"/>
        <w:ind w:firstLine="480" w:firstLineChars="200"/>
        <w:rPr>
          <w:sz w:val="24"/>
        </w:rPr>
      </w:pPr>
      <w:r>
        <w:rPr>
          <w:rFonts w:hint="eastAsia" w:ascii="宋体" w:hAnsi="宋体"/>
          <w:sz w:val="24"/>
        </w:rPr>
        <w:t>提供上述人员</w:t>
      </w:r>
      <w:r>
        <w:rPr>
          <w:rFonts w:ascii="宋体" w:hAnsi="宋体" w:cs="宋体"/>
          <w:kern w:val="0"/>
          <w:sz w:val="24"/>
        </w:rPr>
        <w:t>2023年1月以来</w:t>
      </w:r>
      <w:r>
        <w:rPr>
          <w:rFonts w:hint="eastAsia" w:ascii="宋体" w:hAnsi="宋体" w:cs="宋体"/>
          <w:kern w:val="0"/>
          <w:sz w:val="24"/>
        </w:rPr>
        <w:t>任意连续三个月</w:t>
      </w:r>
      <w:r>
        <w:rPr>
          <w:rFonts w:hint="eastAsia" w:ascii="宋体" w:hAnsi="宋体"/>
          <w:sz w:val="24"/>
        </w:rPr>
        <w:t>在投标人服务认证机构/服务供应商单位的社保证明，若采用其他公司缴纳社保的，两间公司的实际控制主体必须为同一法人。（若在项目中标签订合同后一个月内，上述人员未按要求到位，采购人有权立即终止合同执行，服务供应商应承担相应的赔偿责任。）</w:t>
      </w:r>
    </w:p>
    <w:p>
      <w:pPr>
        <w:adjustRightInd w:val="0"/>
        <w:snapToGrid w:val="0"/>
        <w:spacing w:line="360" w:lineRule="auto"/>
        <w:ind w:firstLine="480" w:firstLineChars="200"/>
        <w:rPr>
          <w:rFonts w:ascii="宋体" w:hAnsi="宋体"/>
          <w:sz w:val="24"/>
        </w:rPr>
      </w:pPr>
      <w:r>
        <w:rPr>
          <w:rFonts w:hint="eastAsia" w:ascii="宋体" w:hAnsi="宋体"/>
          <w:sz w:val="24"/>
        </w:rPr>
        <w:t>服务供应商不得缩小项目人员的组成或者其他资源，核心人员在项目结束前未经允许，不得更换或者中途退出。如需更换项目负责人和主要技术人员，须将变更人及其工作影响、替换人资历等情况以书面材料报告采购人审核，经同意后方可更换，项目人员变更超过总人数的</w:t>
      </w:r>
      <w:r>
        <w:rPr>
          <w:rFonts w:hint="eastAsia"/>
          <w:sz w:val="24"/>
        </w:rPr>
        <w:t>30%</w:t>
      </w:r>
      <w:r>
        <w:rPr>
          <w:rFonts w:hint="eastAsia" w:ascii="宋体" w:hAnsi="宋体"/>
          <w:sz w:val="24"/>
        </w:rPr>
        <w:t>，采购人有权中止合同执行。因服务供应商人员变更原因所造成的任何项目质量、进度滞后的后果，由服务供应商承担一切责任。</w:t>
      </w:r>
    </w:p>
    <w:p>
      <w:pPr>
        <w:pStyle w:val="356"/>
        <w:numPr>
          <w:ilvl w:val="1"/>
          <w:numId w:val="0"/>
        </w:numPr>
        <w:spacing w:line="360" w:lineRule="auto"/>
        <w:ind w:firstLine="480" w:firstLineChars="200"/>
        <w:rPr>
          <w:rFonts w:hAnsi="宋体"/>
          <w:sz w:val="24"/>
          <w:szCs w:val="24"/>
        </w:rPr>
      </w:pPr>
      <w:r>
        <w:rPr>
          <w:rFonts w:hint="eastAsia" w:ascii="宋体" w:hAnsi="宋体"/>
          <w:sz w:val="24"/>
          <w:szCs w:val="24"/>
        </w:rPr>
        <w:t>★</w:t>
      </w:r>
      <w:r>
        <w:rPr>
          <w:rFonts w:hint="eastAsia" w:hAnsi="宋体"/>
          <w:sz w:val="24"/>
          <w:szCs w:val="24"/>
        </w:rPr>
        <w:t>2、项目实施时间要求</w:t>
      </w:r>
    </w:p>
    <w:p>
      <w:pPr>
        <w:pStyle w:val="356"/>
        <w:numPr>
          <w:ilvl w:val="1"/>
          <w:numId w:val="0"/>
        </w:numPr>
        <w:spacing w:line="360" w:lineRule="auto"/>
        <w:ind w:firstLine="480" w:firstLineChars="200"/>
        <w:rPr>
          <w:rFonts w:hAnsi="宋体"/>
          <w:kern w:val="2"/>
          <w:sz w:val="24"/>
          <w:szCs w:val="24"/>
        </w:rPr>
      </w:pPr>
      <w:r>
        <w:rPr>
          <w:rFonts w:hint="eastAsia" w:hAnsi="宋体"/>
          <w:kern w:val="2"/>
          <w:sz w:val="24"/>
          <w:szCs w:val="24"/>
        </w:rPr>
        <w:t>本项目要求合同签订之日起60天内，服务供应商协助采购人获得DSMM2级认证证书。</w:t>
      </w:r>
    </w:p>
    <w:p>
      <w:pPr>
        <w:rPr>
          <w:rFonts w:ascii="宋体" w:hAnsi="宋体"/>
          <w:b/>
          <w:sz w:val="24"/>
        </w:rPr>
      </w:pPr>
      <w:r>
        <w:rPr>
          <w:rFonts w:hint="eastAsia" w:ascii="宋体" w:hAnsi="宋体"/>
          <w:b/>
          <w:sz w:val="24"/>
        </w:rPr>
        <w:br w:type="page"/>
      </w:r>
    </w:p>
    <w:p>
      <w:pPr>
        <w:pStyle w:val="3"/>
        <w:numPr>
          <w:ilvl w:val="0"/>
          <w:numId w:val="0"/>
        </w:numPr>
        <w:spacing w:line="360" w:lineRule="auto"/>
        <w:rPr>
          <w:b/>
          <w:sz w:val="36"/>
          <w:szCs w:val="36"/>
        </w:rPr>
      </w:pPr>
      <w:r>
        <w:rPr>
          <w:rFonts w:hint="eastAsia"/>
          <w:b/>
          <w:sz w:val="36"/>
          <w:szCs w:val="36"/>
        </w:rPr>
        <w:t>第六章 竞争性谈判响应文件格式</w:t>
      </w:r>
      <w:bookmarkEnd w:id="38"/>
    </w:p>
    <w:p/>
    <w:p/>
    <w:p/>
    <w:p/>
    <w:p/>
    <w:p/>
    <w:p/>
    <w:p>
      <w:pPr>
        <w:jc w:val="center"/>
        <w:rPr>
          <w:rFonts w:ascii="宋体" w:hAnsi="宋体"/>
          <w:sz w:val="44"/>
          <w:szCs w:val="44"/>
        </w:rPr>
      </w:pPr>
      <w:bookmarkStart w:id="41" w:name="_Toc26259736"/>
      <w:r>
        <w:rPr>
          <w:rFonts w:hint="eastAsia" w:ascii="宋体" w:hAnsi="宋体"/>
          <w:sz w:val="44"/>
          <w:szCs w:val="44"/>
        </w:rPr>
        <w:t>江苏省广电有线信息网络股份有限公司</w:t>
      </w:r>
    </w:p>
    <w:bookmarkEnd w:id="41"/>
    <w:p>
      <w:pPr>
        <w:spacing w:after="120" w:line="360" w:lineRule="auto"/>
        <w:jc w:val="center"/>
        <w:rPr>
          <w:rFonts w:ascii="宋体" w:hAnsi="宋体"/>
          <w:sz w:val="44"/>
          <w:szCs w:val="44"/>
        </w:rPr>
      </w:pPr>
      <w:r>
        <w:rPr>
          <w:rFonts w:hint="eastAsia" w:ascii="宋体" w:hAnsi="宋体"/>
          <w:sz w:val="44"/>
          <w:szCs w:val="44"/>
        </w:rPr>
        <w:t>大数据平台DSMM2级认证服务采购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42" w:name="_Toc529538374"/>
      <w:bookmarkStart w:id="43" w:name="_Toc26259737"/>
      <w:bookmarkStart w:id="44" w:name="_Toc26260030"/>
      <w:bookmarkStart w:id="45" w:name="_Toc472689687"/>
      <w:bookmarkStart w:id="46" w:name="_Toc69378658"/>
      <w:bookmarkStart w:id="47" w:name="_Toc447265317"/>
      <w:bookmarkStart w:id="48" w:name="_Toc447265603"/>
      <w:bookmarkStart w:id="49" w:name="_Toc438052118"/>
      <w:r>
        <w:rPr>
          <w:rFonts w:hint="eastAsia"/>
        </w:rPr>
        <w:t>评审索引表</w:t>
      </w:r>
      <w:bookmarkEnd w:id="42"/>
      <w:bookmarkEnd w:id="43"/>
      <w:bookmarkEnd w:id="44"/>
      <w:bookmarkEnd w:id="45"/>
      <w:bookmarkEnd w:id="46"/>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50" w:name="_Toc26260031"/>
      <w:bookmarkStart w:id="51" w:name="_Toc401151285"/>
      <w:bookmarkStart w:id="52" w:name="_Toc429954241"/>
      <w:bookmarkStart w:id="53" w:name="_Toc26259738"/>
      <w:bookmarkStart w:id="54" w:name="_Toc401133270"/>
      <w:bookmarkStart w:id="55" w:name="_Toc529538375"/>
      <w:bookmarkStart w:id="56" w:name="_Toc485737092"/>
      <w:bookmarkStart w:id="57" w:name="_Toc401216443"/>
      <w:bookmarkStart w:id="58" w:name="_Toc427071030"/>
    </w:p>
    <w:p>
      <w:pPr>
        <w:pStyle w:val="5"/>
        <w:spacing w:before="260" w:after="260" w:line="416" w:lineRule="auto"/>
        <w:jc w:val="center"/>
        <w:rPr>
          <w:rFonts w:ascii="宋体" w:hAnsi="宋体" w:eastAsia="宋体"/>
          <w:b/>
          <w:bCs/>
          <w:sz w:val="22"/>
          <w:szCs w:val="28"/>
        </w:rPr>
      </w:pPr>
      <w:bookmarkStart w:id="59" w:name="_Toc69378659"/>
      <w:r>
        <w:rPr>
          <w:rFonts w:hint="eastAsia" w:ascii="宋体" w:hAnsi="宋体" w:eastAsia="宋体"/>
          <w:b/>
          <w:bCs/>
          <w:sz w:val="22"/>
          <w:szCs w:val="28"/>
        </w:rPr>
        <w:t>初步</w:t>
      </w:r>
      <w:r>
        <w:rPr>
          <w:rFonts w:ascii="宋体" w:hAnsi="宋体" w:eastAsia="宋体"/>
          <w:b/>
          <w:bCs/>
          <w:sz w:val="22"/>
          <w:szCs w:val="28"/>
        </w:rPr>
        <w:t>评审索引表</w:t>
      </w:r>
      <w:bookmarkEnd w:id="50"/>
      <w:bookmarkEnd w:id="51"/>
      <w:bookmarkEnd w:id="52"/>
      <w:bookmarkEnd w:id="53"/>
      <w:bookmarkEnd w:id="54"/>
      <w:bookmarkEnd w:id="55"/>
      <w:bookmarkEnd w:id="56"/>
      <w:bookmarkEnd w:id="57"/>
      <w:bookmarkEnd w:id="58"/>
      <w:bookmarkEnd w:id="59"/>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60" w:name="_Toc69378660"/>
      <w:bookmarkStart w:id="61" w:name="_Toc26260032"/>
      <w:bookmarkStart w:id="62" w:name="_Toc26259739"/>
      <w:r>
        <w:rPr>
          <w:rFonts w:hint="eastAsia" w:ascii="宋体" w:hAnsi="宋体" w:eastAsia="宋体"/>
          <w:b/>
          <w:bCs/>
          <w:sz w:val="22"/>
          <w:szCs w:val="28"/>
        </w:rPr>
        <w:t>详细</w:t>
      </w:r>
      <w:r>
        <w:rPr>
          <w:rFonts w:ascii="宋体" w:hAnsi="宋体" w:eastAsia="宋体"/>
          <w:b/>
          <w:bCs/>
          <w:sz w:val="22"/>
          <w:szCs w:val="28"/>
        </w:rPr>
        <w:t>评审索引表</w:t>
      </w:r>
      <w:bookmarkEnd w:id="60"/>
      <w:bookmarkEnd w:id="61"/>
      <w:bookmarkEnd w:id="62"/>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47"/>
    <w:bookmarkEnd w:id="48"/>
    <w:bookmarkEnd w:id="49"/>
    <w:p/>
    <w:p>
      <w:p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63" w:name="_Toc135999006"/>
      <w:bookmarkStart w:id="64" w:name="_Toc161767428"/>
      <w:bookmarkStart w:id="65" w:name="_Toc26260033"/>
      <w:bookmarkStart w:id="66" w:name="_Toc69378663"/>
      <w:bookmarkStart w:id="67" w:name="_Toc529538377"/>
      <w:bookmarkStart w:id="68" w:name="_Toc438052120"/>
      <w:bookmarkStart w:id="69"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3"/>
      <w:bookmarkEnd w:id="64"/>
      <w:r>
        <w:rPr>
          <w:rStyle w:val="106"/>
          <w:rFonts w:hint="eastAsia" w:hAnsi="宋体"/>
          <w:b w:val="0"/>
          <w:bCs w:val="0"/>
          <w:sz w:val="24"/>
          <w:szCs w:val="24"/>
        </w:rPr>
        <w:t>响应函</w:t>
      </w:r>
      <w:bookmarkEnd w:id="65"/>
      <w:bookmarkEnd w:id="66"/>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（11）与本响应文件有关的一切往来通讯请寄：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rPr>
          <w:rFonts w:ascii="宋体" w:hAnsi="宋体"/>
          <w:sz w:val="24"/>
        </w:rPr>
      </w:pPr>
      <w:r>
        <w:rPr>
          <w:rFonts w:hint="eastAsia" w:ascii="宋体" w:hAnsi="宋体"/>
          <w:sz w:val="24"/>
        </w:rPr>
        <w:t>日期：</w:t>
      </w:r>
    </w:p>
    <w:p>
      <w:pPr>
        <w:rPr>
          <w:rFonts w:ascii="宋体" w:hAnsi="宋体"/>
          <w:sz w:val="24"/>
        </w:rPr>
      </w:pPr>
      <w:r>
        <w:rPr>
          <w:rFonts w:hint="eastAsia" w:ascii="宋体" w:hAnsi="宋体"/>
          <w:sz w:val="24"/>
        </w:rPr>
        <w:br w:type="page"/>
      </w:r>
    </w:p>
    <w:p>
      <w:pPr>
        <w:pStyle w:val="4"/>
        <w:numPr>
          <w:ilvl w:val="0"/>
          <w:numId w:val="0"/>
        </w:numPr>
        <w:snapToGrid w:val="0"/>
        <w:spacing w:before="0" w:after="0"/>
        <w:ind w:right="210" w:rightChars="100"/>
        <w:rPr>
          <w:rFonts w:ascii="黑体"/>
          <w:b/>
          <w:kern w:val="44"/>
          <w:sz w:val="32"/>
        </w:rPr>
      </w:pPr>
      <w:r>
        <w:rPr>
          <w:rStyle w:val="106"/>
          <w:rFonts w:hint="eastAsia" w:hAnsi="宋体"/>
          <w:b w:val="0"/>
          <w:bCs w:val="0"/>
          <w:sz w:val="24"/>
          <w:szCs w:val="24"/>
        </w:rPr>
        <w:t>附件2：法定代表人身份证明及授权委托书</w:t>
      </w:r>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授权代表无转委托权。</w:t>
      </w:r>
    </w:p>
    <w:p>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pPr>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ZTuGpWACAAChBAAADgAAAGRycy9lMm9Eb2MueG1srVTN&#10;btQwEL4j8Q6W7zSbbUO7UbNV1aoIqUClwgN4HWdjYXvM2LvZcoITQhx4AF6AGyeu8DTl5y2YONuy&#10;BQ49kIPl8difv+8bT/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zccl2AAAAAoBAAAPAAAAAAAAAAEAIAAAACIAAABkcnMvZG93bnJldi54bWxQSwECFAAUAAAA&#10;CACHTuJAZTuGpW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VgdiWG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qOm12gAAAAsBAAAPAAAAAAAAAAEAIAAAACIAAABkcnMvZG93bnJldi54bWxQSwECFAAUAAAA&#10;CACHTuJAg2Mrq14CAAChBAAADgAAAAAAAAABACAAAAAp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idowControl/>
        <w:jc w:val="left"/>
        <w:rPr>
          <w:rStyle w:val="106"/>
          <w:rFonts w:hAnsi="宋体"/>
          <w:b w:val="0"/>
          <w:sz w:val="24"/>
          <w:szCs w:val="24"/>
        </w:rPr>
      </w:pPr>
      <w:r>
        <w:br w:type="page"/>
      </w:r>
      <w:bookmarkStart w:id="70" w:name="_Toc69378664"/>
      <w:bookmarkStart w:id="71" w:name="_Toc26259740"/>
      <w:bookmarkStart w:id="72" w:name="_Toc26260034"/>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0"/>
      <w:bookmarkEnd w:id="71"/>
      <w:bookmarkEnd w:id="72"/>
    </w:p>
    <w:p>
      <w:pPr>
        <w:spacing w:line="360" w:lineRule="auto"/>
        <w:rPr>
          <w:sz w:val="24"/>
        </w:rPr>
      </w:pPr>
      <w:r>
        <w:rPr>
          <w:sz w:val="24"/>
        </w:rPr>
        <w:t xml:space="preserve">项目名称： </w:t>
      </w:r>
      <w:r>
        <w:rPr>
          <w:rFonts w:hint="eastAsia"/>
          <w:sz w:val="24"/>
        </w:rPr>
        <w:t>大数据平台DSMM2级认证服务采购</w:t>
      </w:r>
    </w:p>
    <w:tbl>
      <w:tblPr>
        <w:tblStyle w:val="53"/>
        <w:tblpPr w:leftFromText="180" w:rightFromText="180" w:vertAnchor="text" w:horzAnchor="page" w:tblpX="1432" w:tblpY="16"/>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39"/>
        <w:gridCol w:w="851"/>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701" w:type="dxa"/>
            <w:vAlign w:val="center"/>
          </w:tcPr>
          <w:p>
            <w:pPr>
              <w:jc w:val="center"/>
              <w:rPr>
                <w:rFonts w:ascii="宋体" w:hAnsi="宋体" w:cs="宋体"/>
                <w:b/>
                <w:szCs w:val="21"/>
              </w:rPr>
            </w:pPr>
            <w:r>
              <w:rPr>
                <w:rFonts w:hint="eastAsia" w:ascii="宋体" w:hAnsi="宋体" w:cs="宋体"/>
                <w:b/>
                <w:szCs w:val="21"/>
              </w:rPr>
              <w:t>服务名称</w:t>
            </w:r>
          </w:p>
        </w:tc>
        <w:tc>
          <w:tcPr>
            <w:tcW w:w="3539" w:type="dxa"/>
            <w:vAlign w:val="center"/>
          </w:tcPr>
          <w:p>
            <w:pPr>
              <w:jc w:val="center"/>
              <w:rPr>
                <w:rFonts w:ascii="宋体" w:hAnsi="宋体" w:cs="宋体"/>
                <w:b/>
                <w:szCs w:val="21"/>
              </w:rPr>
            </w:pPr>
            <w:r>
              <w:rPr>
                <w:rFonts w:hint="eastAsia" w:ascii="宋体" w:hAnsi="宋体" w:cs="宋体"/>
                <w:b/>
                <w:szCs w:val="21"/>
              </w:rPr>
              <w:t>服务内容</w:t>
            </w:r>
          </w:p>
        </w:tc>
        <w:tc>
          <w:tcPr>
            <w:tcW w:w="851" w:type="dxa"/>
            <w:vAlign w:val="center"/>
          </w:tcPr>
          <w:p>
            <w:pPr>
              <w:jc w:val="center"/>
              <w:rPr>
                <w:rFonts w:ascii="宋体" w:hAnsi="宋体" w:cs="宋体"/>
                <w:b/>
                <w:szCs w:val="21"/>
              </w:rPr>
            </w:pPr>
            <w:r>
              <w:rPr>
                <w:rFonts w:hint="eastAsia" w:ascii="宋体" w:hAnsi="宋体" w:cs="宋体"/>
                <w:b/>
                <w:szCs w:val="21"/>
              </w:rPr>
              <w:t>数量</w:t>
            </w:r>
          </w:p>
        </w:tc>
        <w:tc>
          <w:tcPr>
            <w:tcW w:w="1417" w:type="dxa"/>
            <w:vAlign w:val="center"/>
          </w:tcPr>
          <w:p>
            <w:pPr>
              <w:jc w:val="center"/>
              <w:rPr>
                <w:rFonts w:ascii="宋体" w:hAnsi="宋体" w:cs="宋体"/>
                <w:b/>
                <w:szCs w:val="21"/>
              </w:rPr>
            </w:pPr>
            <w:r>
              <w:rPr>
                <w:rFonts w:hint="eastAsia" w:ascii="宋体" w:hAnsi="宋体" w:cs="宋体"/>
                <w:b/>
                <w:szCs w:val="21"/>
              </w:rPr>
              <w:t>含税总价（元）</w:t>
            </w:r>
          </w:p>
        </w:tc>
        <w:tc>
          <w:tcPr>
            <w:tcW w:w="1418" w:type="dxa"/>
            <w:vAlign w:val="center"/>
          </w:tcPr>
          <w:p>
            <w:pPr>
              <w:jc w:val="center"/>
              <w:rPr>
                <w:rFonts w:ascii="宋体" w:hAnsi="宋体" w:cs="宋体"/>
                <w:b/>
                <w:szCs w:val="21"/>
              </w:rPr>
            </w:pPr>
            <w:r>
              <w:rPr>
                <w:rFonts w:hint="eastAsia" w:ascii="宋体" w:hAnsi="宋体" w:cs="宋体"/>
                <w:b/>
                <w:szCs w:val="21"/>
              </w:rPr>
              <w:t>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before="120"/>
              <w:jc w:val="center"/>
              <w:rPr>
                <w:rFonts w:ascii="宋体" w:hAnsi="宋体" w:cs="宋体"/>
                <w:kern w:val="0"/>
                <w:szCs w:val="21"/>
              </w:rPr>
            </w:pPr>
            <w:r>
              <w:rPr>
                <w:rFonts w:hint="eastAsia" w:ascii="宋体" w:hAnsi="宋体" w:cs="宋体"/>
                <w:kern w:val="0"/>
                <w:sz w:val="24"/>
              </w:rPr>
              <w:t>大数据平台DSMM 2级认证服务</w:t>
            </w:r>
          </w:p>
        </w:tc>
        <w:tc>
          <w:tcPr>
            <w:tcW w:w="3539" w:type="dxa"/>
            <w:vAlign w:val="center"/>
          </w:tcPr>
          <w:p>
            <w:pPr>
              <w:jc w:val="center"/>
              <w:rPr>
                <w:szCs w:val="21"/>
              </w:rPr>
            </w:pPr>
          </w:p>
        </w:tc>
        <w:tc>
          <w:tcPr>
            <w:tcW w:w="851" w:type="dxa"/>
            <w:vAlign w:val="center"/>
          </w:tcPr>
          <w:p>
            <w:pPr>
              <w:jc w:val="center"/>
              <w:rPr>
                <w:rFonts w:ascii="宋体" w:hAnsi="宋体" w:cs="宋体"/>
                <w:szCs w:val="21"/>
              </w:rPr>
            </w:pPr>
            <w:r>
              <w:rPr>
                <w:rFonts w:hint="eastAsia"/>
                <w:szCs w:val="21"/>
              </w:rPr>
              <w:t>1</w:t>
            </w:r>
          </w:p>
        </w:tc>
        <w:tc>
          <w:tcPr>
            <w:tcW w:w="1417" w:type="dxa"/>
            <w:vAlign w:val="center"/>
          </w:tcPr>
          <w:p>
            <w:pPr>
              <w:jc w:val="center"/>
              <w:rPr>
                <w:rFonts w:ascii="宋体" w:hAnsi="宋体" w:cs="宋体"/>
                <w:szCs w:val="21"/>
              </w:rPr>
            </w:pPr>
          </w:p>
        </w:tc>
        <w:tc>
          <w:tcPr>
            <w:tcW w:w="141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pPr>
              <w:spacing w:line="360" w:lineRule="auto"/>
              <w:jc w:val="center"/>
              <w:rPr>
                <w:rFonts w:ascii="宋体" w:hAnsi="宋体" w:cs="宋体"/>
              </w:rPr>
            </w:pPr>
            <w:r>
              <w:rPr>
                <w:rFonts w:hint="eastAsia" w:ascii="宋体" w:hAnsi="宋体" w:cs="宋体"/>
              </w:rPr>
              <w:t>服务周期</w:t>
            </w:r>
          </w:p>
        </w:tc>
        <w:tc>
          <w:tcPr>
            <w:tcW w:w="7225" w:type="dxa"/>
            <w:gridSpan w:val="4"/>
            <w:vAlign w:val="center"/>
          </w:tcPr>
          <w:p>
            <w:pPr>
              <w:spacing w:line="360" w:lineRule="auto"/>
              <w:rPr>
                <w:rFonts w:ascii="宋体" w:hAnsi="宋体"/>
                <w:szCs w:val="21"/>
              </w:rPr>
            </w:pPr>
            <w:bookmarkStart w:id="73"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1" w:type="dxa"/>
            <w:vAlign w:val="center"/>
          </w:tcPr>
          <w:p>
            <w:pPr>
              <w:jc w:val="center"/>
              <w:rPr>
                <w:rFonts w:ascii="宋体" w:hAnsi="宋体" w:cs="宋体"/>
              </w:rPr>
            </w:pPr>
            <w:r>
              <w:rPr>
                <w:rFonts w:hint="eastAsia" w:ascii="宋体" w:hAnsi="宋体" w:cs="宋体"/>
              </w:rPr>
              <w:t>备注</w:t>
            </w:r>
          </w:p>
        </w:tc>
        <w:tc>
          <w:tcPr>
            <w:tcW w:w="7225" w:type="dxa"/>
            <w:gridSpan w:val="4"/>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2.报价时请仔细阅读竞争性谈判文件《竞争性谈判须知》中关于报价的要求。</w:t>
      </w:r>
    </w:p>
    <w:p>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snapToGrid w:val="0"/>
        <w:spacing w:line="360" w:lineRule="auto"/>
        <w:rPr>
          <w:color w:val="000000"/>
          <w:szCs w:val="21"/>
        </w:rPr>
      </w:pPr>
      <w:r>
        <w:rPr>
          <w:rFonts w:hint="eastAsia"/>
        </w:rPr>
        <w:br w:type="page"/>
      </w:r>
      <w:bookmarkStart w:id="74" w:name="_Toc26259742"/>
      <w:bookmarkStart w:id="75" w:name="_Toc69378666"/>
      <w:bookmarkStart w:id="76" w:name="_Toc26260036"/>
      <w:bookmarkStart w:id="77" w:name="_Toc161767431"/>
      <w:bookmarkStart w:id="78" w:name="_Toc135999010"/>
      <w:bookmarkStart w:id="79" w:name="_Toc69378665"/>
      <w:bookmarkStart w:id="80" w:name="_Toc26259741"/>
      <w:bookmarkStart w:id="81" w:name="_Toc26260035"/>
    </w:p>
    <w:p>
      <w:pPr>
        <w:pStyle w:val="4"/>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附件4：商务条款偏离表</w:t>
      </w:r>
      <w:bookmarkEnd w:id="74"/>
      <w:bookmarkEnd w:id="75"/>
      <w:bookmarkEnd w:id="76"/>
      <w:bookmarkEnd w:id="77"/>
      <w:bookmarkEnd w:id="78"/>
    </w:p>
    <w:p>
      <w:pPr>
        <w:spacing w:line="360" w:lineRule="auto"/>
        <w:rPr>
          <w:sz w:val="24"/>
        </w:rPr>
      </w:pPr>
      <w:r>
        <w:rPr>
          <w:sz w:val="24"/>
        </w:rPr>
        <w:t>项目名称：</w:t>
      </w:r>
      <w:r>
        <w:rPr>
          <w:rFonts w:hint="eastAsia" w:ascii="宋体" w:hAnsi="宋体"/>
          <w:szCs w:val="21"/>
        </w:rPr>
        <w:t xml:space="preserve"> </w:t>
      </w:r>
      <w:r>
        <w:rPr>
          <w:rFonts w:hint="eastAsia"/>
          <w:sz w:val="24"/>
        </w:rPr>
        <w:t>大数据平台DSMM2级认证服务采购</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bookmarkEnd w:id="79"/>
    <w:bookmarkEnd w:id="80"/>
    <w:bookmarkEnd w:id="81"/>
    <w:p>
      <w:pPr>
        <w:pStyle w:val="4"/>
        <w:numPr>
          <w:ilvl w:val="0"/>
          <w:numId w:val="0"/>
        </w:numPr>
        <w:snapToGrid w:val="0"/>
        <w:spacing w:before="312" w:beforeLines="100" w:after="312" w:afterLines="100"/>
        <w:ind w:right="210" w:rightChars="100"/>
        <w:rPr>
          <w:rStyle w:val="106"/>
          <w:bCs/>
          <w:sz w:val="24"/>
          <w:szCs w:val="24"/>
        </w:rPr>
      </w:pPr>
      <w:bookmarkStart w:id="82" w:name="_Toc26260037"/>
      <w:bookmarkStart w:id="83" w:name="_Toc69378667"/>
      <w:bookmarkStart w:id="84" w:name="_Toc26259743"/>
      <w:r>
        <w:rPr>
          <w:rStyle w:val="106"/>
          <w:rFonts w:hint="eastAsia" w:hAnsi="宋体"/>
          <w:b w:val="0"/>
          <w:bCs w:val="0"/>
          <w:sz w:val="24"/>
          <w:szCs w:val="24"/>
        </w:rPr>
        <w:t>附件5：技术规范偏离表</w:t>
      </w:r>
      <w:bookmarkEnd w:id="82"/>
      <w:bookmarkEnd w:id="83"/>
      <w:bookmarkEnd w:id="84"/>
    </w:p>
    <w:p>
      <w:pPr>
        <w:spacing w:line="360" w:lineRule="auto"/>
        <w:rPr>
          <w:sz w:val="24"/>
        </w:rPr>
      </w:pPr>
      <w:r>
        <w:rPr>
          <w:sz w:val="24"/>
        </w:rPr>
        <w:t>项目名称：</w:t>
      </w:r>
      <w:r>
        <w:rPr>
          <w:rFonts w:hint="eastAsia" w:ascii="宋体" w:hAnsi="宋体"/>
          <w:szCs w:val="21"/>
        </w:rPr>
        <w:t xml:space="preserve"> </w:t>
      </w:r>
      <w:r>
        <w:rPr>
          <w:rFonts w:hint="eastAsia"/>
          <w:sz w:val="24"/>
        </w:rPr>
        <w:t>大数据平台DSMM2级认证服务采购</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pacing w:line="360" w:lineRule="auto"/>
              <w:rPr>
                <w:rFonts w:ascii="宋体" w:hAnsi="宋体"/>
                <w:szCs w:val="21"/>
              </w:rPr>
            </w:pPr>
            <w:r>
              <w:rPr>
                <w:rFonts w:hint="eastAsia" w:ascii="宋体" w:hAnsi="宋体"/>
                <w:szCs w:val="21"/>
              </w:rPr>
              <w:t xml:space="preserve"> 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85" w:name="_Toc26260038"/>
      <w:bookmarkStart w:id="86" w:name="_Toc26259744"/>
      <w:bookmarkStart w:id="87" w:name="_Toc161767433"/>
      <w:bookmarkStart w:id="88" w:name="_Toc135999012"/>
      <w:bookmarkStart w:id="89" w:name="_Toc69378668"/>
      <w:r>
        <w:rPr>
          <w:rStyle w:val="106"/>
          <w:rFonts w:hint="eastAsia" w:hAnsi="宋体"/>
          <w:b w:val="0"/>
          <w:bCs w:val="0"/>
          <w:sz w:val="24"/>
          <w:szCs w:val="24"/>
        </w:rPr>
        <w:t>附件6：资格证明文件</w:t>
      </w:r>
      <w:bookmarkEnd w:id="85"/>
      <w:bookmarkEnd w:id="86"/>
      <w:bookmarkEnd w:id="87"/>
      <w:bookmarkEnd w:id="88"/>
      <w:bookmarkEnd w:id="89"/>
    </w:p>
    <w:p>
      <w:r>
        <w:rPr>
          <w:rFonts w:hint="eastAsia"/>
        </w:rPr>
        <w:t>填写须知</w:t>
      </w:r>
    </w:p>
    <w:p>
      <w:pPr>
        <w:numPr>
          <w:ilvl w:val="0"/>
          <w:numId w:val="15"/>
        </w:numPr>
        <w:spacing w:line="360" w:lineRule="auto"/>
        <w:rPr>
          <w:rFonts w:ascii="宋体"/>
          <w:szCs w:val="21"/>
        </w:rPr>
      </w:pPr>
      <w:r>
        <w:rPr>
          <w:rFonts w:hint="eastAsia" w:ascii="宋体"/>
          <w:szCs w:val="21"/>
        </w:rPr>
        <w:t>供应商应填写和提交下述规定的全部格式以及其它有关资料。</w:t>
      </w:r>
    </w:p>
    <w:p>
      <w:pPr>
        <w:numPr>
          <w:ilvl w:val="0"/>
          <w:numId w:val="15"/>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15"/>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15"/>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15"/>
        </w:numPr>
        <w:spacing w:line="360" w:lineRule="auto"/>
        <w:rPr>
          <w:rFonts w:ascii="宋体"/>
          <w:szCs w:val="21"/>
        </w:rPr>
      </w:pPr>
      <w:r>
        <w:rPr>
          <w:rFonts w:hint="eastAsia" w:ascii="宋体"/>
          <w:szCs w:val="21"/>
        </w:rPr>
        <w:t>供应商提交的材料将被保密，但不退还。</w:t>
      </w:r>
    </w:p>
    <w:p>
      <w:pPr>
        <w:numPr>
          <w:ilvl w:val="0"/>
          <w:numId w:val="15"/>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right="210" w:rightChars="100"/>
        <w:rPr>
          <w:rFonts w:ascii="黑体" w:eastAsia="黑体"/>
          <w:b/>
        </w:rPr>
      </w:pPr>
      <w:r>
        <w:rPr>
          <w:rFonts w:ascii="宋体"/>
        </w:rPr>
        <w:br w:type="page"/>
      </w:r>
      <w:r>
        <w:rPr>
          <w:rFonts w:hint="eastAsia" w:ascii="黑体" w:eastAsia="黑体"/>
          <w:b/>
        </w:rPr>
        <w:t>6</w:t>
      </w:r>
      <w:r>
        <w:rPr>
          <w:rFonts w:ascii="黑体" w:eastAsia="黑体"/>
          <w:b/>
        </w:rPr>
        <w:t xml:space="preserve">-1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16"/>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16"/>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16"/>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color w:val="000000"/>
        </w:rPr>
      </w:pPr>
      <w:r>
        <w:rPr>
          <w:rFonts w:hint="eastAsia"/>
          <w:b/>
          <w:color w:val="000000"/>
        </w:rPr>
        <w:t>供应商</w:t>
      </w:r>
      <w:r>
        <w:rPr>
          <w:b/>
          <w:color w:val="000000"/>
        </w:rPr>
        <w:t xml:space="preserve"> </w:t>
      </w:r>
      <w:r>
        <w:rPr>
          <w:color w:val="000000"/>
        </w:rPr>
        <w:t xml:space="preserve">                                授权签署本资格文件</w:t>
      </w:r>
    </w:p>
    <w:p>
      <w:pPr>
        <w:spacing w:line="360" w:lineRule="auto"/>
        <w:rPr>
          <w:color w:val="000000"/>
        </w:rPr>
      </w:pPr>
      <w:r>
        <w:rPr>
          <w:color w:val="000000"/>
        </w:rPr>
        <w:t>名称（盖章）</w:t>
      </w:r>
      <w:r>
        <w:rPr>
          <w:color w:val="000000"/>
          <w:u w:val="single"/>
        </w:rPr>
        <w:t xml:space="preserve">                     </w:t>
      </w:r>
      <w:r>
        <w:rPr>
          <w:color w:val="000000"/>
        </w:rPr>
        <w:t xml:space="preserve">      签字人姓名、职务（印刷字体）</w:t>
      </w:r>
    </w:p>
    <w:p>
      <w:pPr>
        <w:spacing w:line="360" w:lineRule="auto"/>
        <w:rPr>
          <w:color w:val="000000"/>
        </w:rPr>
      </w:pPr>
      <w:r>
        <w:rPr>
          <w:color w:val="000000"/>
        </w:rPr>
        <w:t>地址</w:t>
      </w:r>
      <w:r>
        <w:rPr>
          <w:color w:val="000000"/>
          <w:u w:val="single"/>
        </w:rPr>
        <w:t xml:space="preserve">                             </w:t>
      </w:r>
      <w:r>
        <w:rPr>
          <w:color w:val="000000"/>
        </w:rPr>
        <w:t xml:space="preserve">      </w:t>
      </w:r>
      <w:r>
        <w:rPr>
          <w:color w:val="000000"/>
          <w:u w:val="single"/>
        </w:rPr>
        <w:t xml:space="preserve">                            </w:t>
      </w:r>
    </w:p>
    <w:p>
      <w:pPr>
        <w:spacing w:line="360" w:lineRule="auto"/>
        <w:rPr>
          <w:color w:val="000000"/>
          <w:u w:val="single"/>
        </w:rPr>
      </w:pPr>
      <w:r>
        <w:rPr>
          <w:color w:val="000000"/>
        </w:rPr>
        <w:t>传真</w:t>
      </w:r>
      <w:r>
        <w:rPr>
          <w:color w:val="000000"/>
          <w:u w:val="single"/>
        </w:rPr>
        <w:t xml:space="preserve">                             </w:t>
      </w:r>
      <w:r>
        <w:rPr>
          <w:color w:val="000000"/>
        </w:rPr>
        <w:t xml:space="preserve">      签字</w:t>
      </w:r>
      <w:r>
        <w:rPr>
          <w:color w:val="000000"/>
          <w:u w:val="single"/>
        </w:rPr>
        <w:t xml:space="preserve">                        </w:t>
      </w:r>
    </w:p>
    <w:p>
      <w:pPr>
        <w:spacing w:line="360" w:lineRule="auto"/>
        <w:rPr>
          <w:rFonts w:ascii="宋体"/>
          <w:u w:val="single"/>
        </w:rPr>
      </w:pPr>
      <w:r>
        <w:rPr>
          <w:color w:val="000000"/>
        </w:rPr>
        <w:t>邮编</w:t>
      </w:r>
      <w:r>
        <w:rPr>
          <w:color w:val="000000"/>
          <w:u w:val="single"/>
        </w:rPr>
        <w:t xml:space="preserve">                             </w:t>
      </w:r>
      <w:r>
        <w:rPr>
          <w:color w:val="000000"/>
        </w:rPr>
        <w:t xml:space="preserve">      电话</w:t>
      </w:r>
      <w:r>
        <w:rPr>
          <w:color w:val="000000"/>
          <w:u w:val="single"/>
        </w:rPr>
        <w:t xml:space="preserve">                        </w:t>
      </w:r>
    </w:p>
    <w:p>
      <w:pPr>
        <w:snapToGrid w:val="0"/>
        <w:spacing w:before="312" w:beforeLines="100" w:after="312" w:afterLines="100"/>
        <w:ind w:right="210" w:rightChars="100"/>
        <w:rPr>
          <w:rFonts w:ascii="黑体" w:eastAsia="黑体"/>
          <w:b/>
        </w:rPr>
      </w:pPr>
      <w:r>
        <w:rPr>
          <w:rFonts w:ascii="宋体"/>
          <w:u w:val="single"/>
        </w:rPr>
        <w:br w:type="page"/>
      </w:r>
      <w:r>
        <w:rPr>
          <w:rFonts w:hint="eastAsia" w:ascii="黑体" w:eastAsia="黑体"/>
          <w:b/>
        </w:rPr>
        <w:t>6</w:t>
      </w:r>
      <w:r>
        <w:rPr>
          <w:rFonts w:ascii="黑体" w:eastAsia="黑体"/>
          <w:b/>
        </w:rPr>
        <w:t xml:space="preserve">-2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17"/>
        </w:numPr>
        <w:spacing w:line="360" w:lineRule="auto"/>
        <w:rPr>
          <w:rFonts w:ascii="宋体" w:hAnsi="宋体"/>
          <w:szCs w:val="21"/>
          <w:u w:val="single"/>
        </w:rPr>
      </w:pPr>
      <w:r>
        <w:rPr>
          <w:rFonts w:hint="eastAsia" w:ascii="宋体" w:hAnsi="宋体"/>
          <w:szCs w:val="21"/>
        </w:rPr>
        <w:t>供应商名称：</w:t>
      </w:r>
    </w:p>
    <w:p>
      <w:pPr>
        <w:numPr>
          <w:ilvl w:val="0"/>
          <w:numId w:val="17"/>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17"/>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17"/>
        </w:numPr>
        <w:spacing w:line="360" w:lineRule="auto"/>
        <w:rPr>
          <w:rFonts w:ascii="宋体" w:hAnsi="宋体"/>
          <w:szCs w:val="21"/>
        </w:rPr>
      </w:pPr>
      <w:r>
        <w:rPr>
          <w:rFonts w:hint="eastAsia" w:ascii="宋体" w:hAnsi="宋体"/>
          <w:szCs w:val="21"/>
        </w:rPr>
        <w:t>实收资本：</w:t>
      </w:r>
    </w:p>
    <w:p>
      <w:pPr>
        <w:numPr>
          <w:ilvl w:val="0"/>
          <w:numId w:val="17"/>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17"/>
        </w:numPr>
        <w:spacing w:line="360" w:lineRule="auto"/>
        <w:rPr>
          <w:rFonts w:ascii="宋体" w:hAnsi="宋体"/>
          <w:szCs w:val="21"/>
          <w:u w:val="single"/>
        </w:rPr>
      </w:pPr>
      <w:r>
        <w:rPr>
          <w:rFonts w:hint="eastAsia" w:ascii="宋体" w:hAnsi="宋体"/>
          <w:szCs w:val="21"/>
        </w:rPr>
        <w:t>主要负责人名称：（可选填）</w:t>
      </w:r>
    </w:p>
    <w:p>
      <w:pPr>
        <w:numPr>
          <w:ilvl w:val="0"/>
          <w:numId w:val="17"/>
        </w:numPr>
        <w:spacing w:line="360" w:lineRule="auto"/>
        <w:rPr>
          <w:rFonts w:ascii="宋体" w:hAnsi="宋体"/>
          <w:szCs w:val="21"/>
        </w:rPr>
      </w:pPr>
      <w:r>
        <w:rPr>
          <w:rFonts w:hint="eastAsia" w:ascii="宋体" w:hAnsi="宋体"/>
          <w:szCs w:val="21"/>
        </w:rPr>
        <w:t>供应商在中国的代表的姓名和地址：（可选填）</w:t>
      </w:r>
    </w:p>
    <w:p>
      <w:pPr>
        <w:numPr>
          <w:ilvl w:val="0"/>
          <w:numId w:val="17"/>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17"/>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17"/>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rPr>
      </w:pPr>
      <w:r>
        <w:rPr>
          <w:rFonts w:hint="eastAsia" w:ascii="宋体" w:hAnsi="宋体"/>
          <w:szCs w:val="21"/>
        </w:rPr>
        <w:t>电子函件：</w:t>
      </w:r>
    </w:p>
    <w:p>
      <w:pPr>
        <w:rPr>
          <w:rFonts w:ascii="宋体" w:hAnsi="宋体"/>
          <w:szCs w:val="21"/>
        </w:rPr>
      </w:pPr>
      <w:r>
        <w:rPr>
          <w:rFonts w:hint="eastAsia" w:ascii="宋体" w:hAnsi="宋体"/>
          <w:szCs w:val="21"/>
        </w:rPr>
        <w:br w:type="page"/>
      </w:r>
    </w:p>
    <w:p>
      <w:pPr>
        <w:pStyle w:val="2"/>
        <w:rPr>
          <w:rFonts w:ascii="黑体" w:eastAsia="黑体"/>
          <w:b/>
          <w:sz w:val="21"/>
          <w:szCs w:val="24"/>
        </w:rPr>
      </w:pPr>
      <w:r>
        <w:rPr>
          <w:rFonts w:hint="eastAsia" w:ascii="黑体" w:eastAsia="黑体"/>
          <w:b/>
          <w:sz w:val="21"/>
          <w:szCs w:val="24"/>
        </w:rPr>
        <w:t>6-3  资格要求证明材料</w:t>
      </w:r>
    </w:p>
    <w:p>
      <w:pPr>
        <w:snapToGrid w:val="0"/>
        <w:spacing w:before="312" w:beforeLines="100" w:after="312" w:afterLines="100"/>
        <w:ind w:left="210" w:leftChars="100" w:right="210" w:rightChars="100" w:firstLine="420" w:firstLineChars="200"/>
        <w:rPr>
          <w:rFonts w:ascii="宋体" w:hAnsi="宋体"/>
          <w:szCs w:val="21"/>
          <w:u w:val="single"/>
        </w:rPr>
      </w:pPr>
    </w:p>
    <w:bookmarkEnd w:id="39"/>
    <w:bookmarkEnd w:id="67"/>
    <w:bookmarkEnd w:id="68"/>
    <w:bookmarkEnd w:id="69"/>
    <w:p>
      <w:r>
        <w:br w:type="page"/>
      </w:r>
    </w:p>
    <w:p>
      <w:pPr>
        <w:pStyle w:val="2"/>
        <w:rPr>
          <w:rFonts w:ascii="黑体" w:eastAsia="黑体"/>
          <w:b/>
          <w:sz w:val="21"/>
          <w:szCs w:val="24"/>
        </w:rPr>
      </w:pPr>
      <w:bookmarkStart w:id="90" w:name="_Toc19572"/>
      <w:r>
        <w:rPr>
          <w:rFonts w:hint="eastAsia" w:ascii="黑体" w:eastAsia="黑体"/>
          <w:b/>
          <w:sz w:val="21"/>
          <w:szCs w:val="24"/>
        </w:rPr>
        <w:t>6-4  供应商认为需要提供的其它证明材料</w:t>
      </w:r>
      <w:bookmarkEnd w:id="90"/>
    </w:p>
    <w:p>
      <w:pPr>
        <w:pStyle w:val="2"/>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D5D3C"/>
    <w:multiLevelType w:val="singleLevel"/>
    <w:tmpl w:val="88FD5D3C"/>
    <w:lvl w:ilvl="0" w:tentative="0">
      <w:start w:val="1"/>
      <w:numFmt w:val="decimal"/>
      <w:suff w:val="nothing"/>
      <w:lvlText w:val="%1、"/>
      <w:lvlJc w:val="left"/>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6">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7">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8">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1">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2">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3">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5">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4"/>
  </w:num>
  <w:num w:numId="2">
    <w:abstractNumId w:val="12"/>
  </w:num>
  <w:num w:numId="3">
    <w:abstractNumId w:val="4"/>
  </w:num>
  <w:num w:numId="4">
    <w:abstractNumId w:val="2"/>
  </w:num>
  <w:num w:numId="5">
    <w:abstractNumId w:val="1"/>
  </w:num>
  <w:num w:numId="6">
    <w:abstractNumId w:val="3"/>
  </w:num>
  <w:num w:numId="7">
    <w:abstractNumId w:val="13"/>
  </w:num>
  <w:num w:numId="8">
    <w:abstractNumId w:val="16"/>
  </w:num>
  <w:num w:numId="9">
    <w:abstractNumId w:val="8"/>
  </w:num>
  <w:num w:numId="10">
    <w:abstractNumId w:val="6"/>
  </w:num>
  <w:num w:numId="11">
    <w:abstractNumId w:val="7"/>
  </w:num>
  <w:num w:numId="12">
    <w:abstractNumId w:val="5"/>
  </w:num>
  <w:num w:numId="13">
    <w:abstractNumId w:val="9"/>
  </w:num>
  <w:num w:numId="14">
    <w:abstractNumId w:val="0"/>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C31D55"/>
    <w:rsid w:val="0000165B"/>
    <w:rsid w:val="00001D1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2584"/>
    <w:rsid w:val="000438A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59B2"/>
    <w:rsid w:val="00175A52"/>
    <w:rsid w:val="001764D0"/>
    <w:rsid w:val="00176D2C"/>
    <w:rsid w:val="00176FDB"/>
    <w:rsid w:val="00177676"/>
    <w:rsid w:val="00177E3C"/>
    <w:rsid w:val="00181462"/>
    <w:rsid w:val="0018189F"/>
    <w:rsid w:val="0018438A"/>
    <w:rsid w:val="00185166"/>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38C7"/>
    <w:rsid w:val="00233F18"/>
    <w:rsid w:val="0023456B"/>
    <w:rsid w:val="002347CA"/>
    <w:rsid w:val="00235732"/>
    <w:rsid w:val="00235961"/>
    <w:rsid w:val="00236180"/>
    <w:rsid w:val="00237DAF"/>
    <w:rsid w:val="00237FA2"/>
    <w:rsid w:val="00240411"/>
    <w:rsid w:val="00240D7C"/>
    <w:rsid w:val="00240F58"/>
    <w:rsid w:val="00241B08"/>
    <w:rsid w:val="00242670"/>
    <w:rsid w:val="00242D72"/>
    <w:rsid w:val="0024300F"/>
    <w:rsid w:val="002430DE"/>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28B4"/>
    <w:rsid w:val="00263946"/>
    <w:rsid w:val="00263ECA"/>
    <w:rsid w:val="0026496B"/>
    <w:rsid w:val="00265008"/>
    <w:rsid w:val="0026539D"/>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2C2"/>
    <w:rsid w:val="002848E8"/>
    <w:rsid w:val="00285002"/>
    <w:rsid w:val="0028542B"/>
    <w:rsid w:val="002871C9"/>
    <w:rsid w:val="0028791B"/>
    <w:rsid w:val="002912E5"/>
    <w:rsid w:val="00293B1A"/>
    <w:rsid w:val="00293EF5"/>
    <w:rsid w:val="00296281"/>
    <w:rsid w:val="00296FB0"/>
    <w:rsid w:val="002977C3"/>
    <w:rsid w:val="002A09B2"/>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0B99"/>
    <w:rsid w:val="002D24AE"/>
    <w:rsid w:val="002D3C6B"/>
    <w:rsid w:val="002D3F7C"/>
    <w:rsid w:val="002D5AC3"/>
    <w:rsid w:val="002D706B"/>
    <w:rsid w:val="002E0999"/>
    <w:rsid w:val="002E1BA5"/>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B3E"/>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94B"/>
    <w:rsid w:val="003E7A69"/>
    <w:rsid w:val="003F0D93"/>
    <w:rsid w:val="003F216D"/>
    <w:rsid w:val="003F360C"/>
    <w:rsid w:val="003F4C7C"/>
    <w:rsid w:val="003F4E03"/>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316"/>
    <w:rsid w:val="00414C51"/>
    <w:rsid w:val="004151B4"/>
    <w:rsid w:val="004166D8"/>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D27"/>
    <w:rsid w:val="00440AA3"/>
    <w:rsid w:val="004416B7"/>
    <w:rsid w:val="00441BA6"/>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3602"/>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4518"/>
    <w:rsid w:val="00515427"/>
    <w:rsid w:val="00516300"/>
    <w:rsid w:val="00516A5B"/>
    <w:rsid w:val="00516F8D"/>
    <w:rsid w:val="00517D26"/>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66F2"/>
    <w:rsid w:val="005E69F1"/>
    <w:rsid w:val="005E739F"/>
    <w:rsid w:val="005E7520"/>
    <w:rsid w:val="005F0CAB"/>
    <w:rsid w:val="005F0D66"/>
    <w:rsid w:val="005F0E61"/>
    <w:rsid w:val="005F1861"/>
    <w:rsid w:val="005F2B9A"/>
    <w:rsid w:val="005F2BD7"/>
    <w:rsid w:val="005F3181"/>
    <w:rsid w:val="005F4163"/>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416E7"/>
    <w:rsid w:val="006432A5"/>
    <w:rsid w:val="00644070"/>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5A2F"/>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38D5"/>
    <w:rsid w:val="00723B29"/>
    <w:rsid w:val="00726076"/>
    <w:rsid w:val="00727269"/>
    <w:rsid w:val="007275F8"/>
    <w:rsid w:val="00727962"/>
    <w:rsid w:val="00727BC4"/>
    <w:rsid w:val="00727BFE"/>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2A3A"/>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411"/>
    <w:rsid w:val="008743A0"/>
    <w:rsid w:val="00874CD3"/>
    <w:rsid w:val="008759DE"/>
    <w:rsid w:val="00877089"/>
    <w:rsid w:val="00877F6A"/>
    <w:rsid w:val="0088273E"/>
    <w:rsid w:val="00883A60"/>
    <w:rsid w:val="00883F0F"/>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65F7"/>
    <w:rsid w:val="009577FB"/>
    <w:rsid w:val="00960216"/>
    <w:rsid w:val="00960257"/>
    <w:rsid w:val="009603FE"/>
    <w:rsid w:val="00961795"/>
    <w:rsid w:val="00962378"/>
    <w:rsid w:val="00962CB4"/>
    <w:rsid w:val="00963201"/>
    <w:rsid w:val="00963D0F"/>
    <w:rsid w:val="00963DEF"/>
    <w:rsid w:val="00964107"/>
    <w:rsid w:val="00964591"/>
    <w:rsid w:val="0096551F"/>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5023"/>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B57C8"/>
    <w:rsid w:val="009C01D5"/>
    <w:rsid w:val="009C02FA"/>
    <w:rsid w:val="009C08A1"/>
    <w:rsid w:val="009C0F6A"/>
    <w:rsid w:val="009C1119"/>
    <w:rsid w:val="009C1A8B"/>
    <w:rsid w:val="009C1EAD"/>
    <w:rsid w:val="009C3607"/>
    <w:rsid w:val="009C37F0"/>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DDB"/>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43F"/>
    <w:rsid w:val="00B27F15"/>
    <w:rsid w:val="00B3059B"/>
    <w:rsid w:val="00B32917"/>
    <w:rsid w:val="00B32C50"/>
    <w:rsid w:val="00B3314B"/>
    <w:rsid w:val="00B36610"/>
    <w:rsid w:val="00B36A21"/>
    <w:rsid w:val="00B37CF6"/>
    <w:rsid w:val="00B412A6"/>
    <w:rsid w:val="00B42520"/>
    <w:rsid w:val="00B43956"/>
    <w:rsid w:val="00B4510D"/>
    <w:rsid w:val="00B47E12"/>
    <w:rsid w:val="00B51D10"/>
    <w:rsid w:val="00B51D89"/>
    <w:rsid w:val="00B51F3B"/>
    <w:rsid w:val="00B52EB5"/>
    <w:rsid w:val="00B53070"/>
    <w:rsid w:val="00B53E0C"/>
    <w:rsid w:val="00B540D6"/>
    <w:rsid w:val="00B54B12"/>
    <w:rsid w:val="00B554C6"/>
    <w:rsid w:val="00B55B59"/>
    <w:rsid w:val="00B55DFC"/>
    <w:rsid w:val="00B55FB6"/>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31FD"/>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F4B"/>
    <w:rsid w:val="00BE2111"/>
    <w:rsid w:val="00BE286C"/>
    <w:rsid w:val="00BE3108"/>
    <w:rsid w:val="00BE320A"/>
    <w:rsid w:val="00BE3C86"/>
    <w:rsid w:val="00BE5398"/>
    <w:rsid w:val="00BE6786"/>
    <w:rsid w:val="00BE7242"/>
    <w:rsid w:val="00BF2ABC"/>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16A2"/>
    <w:rsid w:val="00C52197"/>
    <w:rsid w:val="00C5222B"/>
    <w:rsid w:val="00C527C1"/>
    <w:rsid w:val="00C52B66"/>
    <w:rsid w:val="00C53915"/>
    <w:rsid w:val="00C55F2D"/>
    <w:rsid w:val="00C56740"/>
    <w:rsid w:val="00C577AE"/>
    <w:rsid w:val="00C61B66"/>
    <w:rsid w:val="00C61CF0"/>
    <w:rsid w:val="00C625CB"/>
    <w:rsid w:val="00C654BF"/>
    <w:rsid w:val="00C65931"/>
    <w:rsid w:val="00C670CA"/>
    <w:rsid w:val="00C67FD0"/>
    <w:rsid w:val="00C703FE"/>
    <w:rsid w:val="00C70483"/>
    <w:rsid w:val="00C7065B"/>
    <w:rsid w:val="00C70D43"/>
    <w:rsid w:val="00C70DBB"/>
    <w:rsid w:val="00C745A7"/>
    <w:rsid w:val="00C7472D"/>
    <w:rsid w:val="00C74BF9"/>
    <w:rsid w:val="00C77881"/>
    <w:rsid w:val="00C77DD1"/>
    <w:rsid w:val="00C77E1E"/>
    <w:rsid w:val="00C80BD4"/>
    <w:rsid w:val="00C833BA"/>
    <w:rsid w:val="00C83A12"/>
    <w:rsid w:val="00C84C1D"/>
    <w:rsid w:val="00C85E2D"/>
    <w:rsid w:val="00C86304"/>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2048"/>
    <w:rsid w:val="00CC2C14"/>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8A8"/>
    <w:rsid w:val="00D558F1"/>
    <w:rsid w:val="00D56B38"/>
    <w:rsid w:val="00D56E99"/>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5E07"/>
    <w:rsid w:val="00E56AE2"/>
    <w:rsid w:val="00E57115"/>
    <w:rsid w:val="00E5738A"/>
    <w:rsid w:val="00E57ADB"/>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5613"/>
    <w:rsid w:val="00F25AE6"/>
    <w:rsid w:val="00F30966"/>
    <w:rsid w:val="00F30BAE"/>
    <w:rsid w:val="00F31777"/>
    <w:rsid w:val="00F31C86"/>
    <w:rsid w:val="00F3224A"/>
    <w:rsid w:val="00F3377A"/>
    <w:rsid w:val="00F348CA"/>
    <w:rsid w:val="00F34CDD"/>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67CFF"/>
    <w:rsid w:val="00F70EFF"/>
    <w:rsid w:val="00F71698"/>
    <w:rsid w:val="00F71905"/>
    <w:rsid w:val="00F71F8F"/>
    <w:rsid w:val="00F72153"/>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72C1"/>
    <w:rsid w:val="00FA0074"/>
    <w:rsid w:val="00FA1553"/>
    <w:rsid w:val="00FA55E5"/>
    <w:rsid w:val="00FA5A55"/>
    <w:rsid w:val="00FA7232"/>
    <w:rsid w:val="00FB0122"/>
    <w:rsid w:val="00FB220A"/>
    <w:rsid w:val="00FB29A7"/>
    <w:rsid w:val="00FB2E48"/>
    <w:rsid w:val="00FB5555"/>
    <w:rsid w:val="00FB6124"/>
    <w:rsid w:val="00FB61C8"/>
    <w:rsid w:val="00FB635A"/>
    <w:rsid w:val="00FB64F3"/>
    <w:rsid w:val="00FB7291"/>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6C26"/>
    <w:rsid w:val="00FF6E9B"/>
    <w:rsid w:val="00FF7AC6"/>
    <w:rsid w:val="033F683B"/>
    <w:rsid w:val="043013E0"/>
    <w:rsid w:val="05765502"/>
    <w:rsid w:val="061C0CA8"/>
    <w:rsid w:val="062C280A"/>
    <w:rsid w:val="06D67825"/>
    <w:rsid w:val="07215040"/>
    <w:rsid w:val="07285B25"/>
    <w:rsid w:val="07BB05D6"/>
    <w:rsid w:val="07C0798B"/>
    <w:rsid w:val="08417FA7"/>
    <w:rsid w:val="0942292F"/>
    <w:rsid w:val="0A632019"/>
    <w:rsid w:val="0AAE62EE"/>
    <w:rsid w:val="0B306A87"/>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EAE4C7B"/>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9681B"/>
    <w:rsid w:val="31014D28"/>
    <w:rsid w:val="32F84944"/>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40865941"/>
    <w:rsid w:val="416318D4"/>
    <w:rsid w:val="417F239B"/>
    <w:rsid w:val="41F25792"/>
    <w:rsid w:val="42974085"/>
    <w:rsid w:val="444F3EA9"/>
    <w:rsid w:val="452B5932"/>
    <w:rsid w:val="45497D2B"/>
    <w:rsid w:val="45820476"/>
    <w:rsid w:val="45C11FF3"/>
    <w:rsid w:val="47775AD7"/>
    <w:rsid w:val="47B916EB"/>
    <w:rsid w:val="49212D14"/>
    <w:rsid w:val="49A773FE"/>
    <w:rsid w:val="4A1F4764"/>
    <w:rsid w:val="4A441B1A"/>
    <w:rsid w:val="4B0D67DA"/>
    <w:rsid w:val="4B104729"/>
    <w:rsid w:val="4B561588"/>
    <w:rsid w:val="4B5A2526"/>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C64EB3"/>
    <w:rsid w:val="648D0D03"/>
    <w:rsid w:val="66C24EF1"/>
    <w:rsid w:val="66CC0AAD"/>
    <w:rsid w:val="67A41618"/>
    <w:rsid w:val="689A3E47"/>
    <w:rsid w:val="689F1CB4"/>
    <w:rsid w:val="68AE5B14"/>
    <w:rsid w:val="697A70E8"/>
    <w:rsid w:val="6A4B47BB"/>
    <w:rsid w:val="6AB96073"/>
    <w:rsid w:val="6B0845B4"/>
    <w:rsid w:val="6B912F3A"/>
    <w:rsid w:val="6BCC359A"/>
    <w:rsid w:val="6D515C31"/>
    <w:rsid w:val="6D870C0C"/>
    <w:rsid w:val="6EA339BF"/>
    <w:rsid w:val="6F207AEE"/>
    <w:rsid w:val="6F9D1206"/>
    <w:rsid w:val="700D04E3"/>
    <w:rsid w:val="70495C48"/>
    <w:rsid w:val="70550787"/>
    <w:rsid w:val="7086429A"/>
    <w:rsid w:val="70C03EA1"/>
    <w:rsid w:val="710A6D7C"/>
    <w:rsid w:val="72147D8C"/>
    <w:rsid w:val="721C1710"/>
    <w:rsid w:val="72684F31"/>
    <w:rsid w:val="72C735DA"/>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E9064-DC5F-482F-9BEF-77A079F46001}">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52</Pages>
  <Words>4227</Words>
  <Characters>24095</Characters>
  <Lines>200</Lines>
  <Paragraphs>56</Paragraphs>
  <TotalTime>0</TotalTime>
  <ScaleCrop>false</ScaleCrop>
  <LinksUpToDate>false</LinksUpToDate>
  <CharactersWithSpaces>28266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2022-06-05T14:53:00Z</dcterms:created>
  <dc:creator>Administrator</dc:creator>
  <cp:lastModifiedBy>氨基酸</cp:lastModifiedBy>
  <cp:lastPrinted>2017-04-10T13:36:00Z</cp:lastPrinted>
  <dcterms:modified xsi:type="dcterms:W3CDTF">2023-09-27T08:55:14Z</dcterms:modified>
  <cp:revision>594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4A2A4532DCD04C2E9B2DB582E6EDC4BC_13</vt:lpwstr>
  </property>
</Properties>
</file>