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p>
    <w:p>
      <w:pPr>
        <w:tabs>
          <w:tab w:val="left" w:pos="5301"/>
        </w:tabs>
        <w:spacing w:line="360" w:lineRule="auto"/>
        <w:ind w:firstLine="560"/>
        <w:rPr>
          <w:rFonts w:eastAsia="仿宋_GB2312"/>
          <w:sz w:val="28"/>
          <w:szCs w:val="28"/>
        </w:rPr>
      </w:pPr>
      <w:r>
        <w:rPr>
          <w:rFonts w:hint="eastAsia" w:eastAsia="仿宋_GB2312"/>
          <w:sz w:val="28"/>
          <w:szCs w:val="28"/>
        </w:rPr>
        <w:tab/>
      </w:r>
    </w:p>
    <w:p>
      <w:pPr>
        <w:spacing w:line="360" w:lineRule="auto"/>
        <w:ind w:firstLine="560"/>
        <w:jc w:val="center"/>
        <w:rPr>
          <w:rFonts w:ascii="宋体" w:hAnsi="宋体"/>
          <w:sz w:val="44"/>
          <w:szCs w:val="44"/>
        </w:rPr>
      </w:pPr>
      <w:r>
        <w:rPr>
          <w:rFonts w:hint="eastAsia" w:ascii="宋体" w:hAnsi="宋体"/>
          <w:sz w:val="44"/>
          <w:szCs w:val="44"/>
        </w:rPr>
        <w:t>江苏省广电有线信息网络股份有限公司</w:t>
      </w:r>
    </w:p>
    <w:p>
      <w:pPr>
        <w:spacing w:after="120" w:line="360" w:lineRule="auto"/>
        <w:jc w:val="center"/>
        <w:rPr>
          <w:rFonts w:ascii="黑体" w:hAnsi="宋体" w:eastAsia="黑体"/>
          <w:sz w:val="44"/>
          <w:szCs w:val="44"/>
        </w:rPr>
      </w:pPr>
      <w:bookmarkStart w:id="0" w:name="_Hlk145406782"/>
      <w:bookmarkStart w:id="1" w:name="_Hlk107491752"/>
      <w:bookmarkStart w:id="2" w:name="_Toc227057880"/>
      <w:r>
        <w:rPr>
          <w:rFonts w:hint="eastAsia" w:ascii="黑体" w:hAnsi="宋体" w:eastAsia="黑体"/>
          <w:sz w:val="44"/>
          <w:szCs w:val="44"/>
        </w:rPr>
        <w:t>DRM+DTMB融合覆盖系统研发服务</w:t>
      </w:r>
      <w:bookmarkEnd w:id="0"/>
      <w:r>
        <w:rPr>
          <w:rFonts w:hint="eastAsia" w:ascii="黑体" w:hAnsi="宋体" w:eastAsia="黑体"/>
          <w:sz w:val="44"/>
          <w:szCs w:val="44"/>
        </w:rPr>
        <w:t>项目</w:t>
      </w:r>
      <w:bookmarkEnd w:id="1"/>
    </w:p>
    <w:p>
      <w:pPr>
        <w:spacing w:after="120" w:line="360" w:lineRule="auto"/>
        <w:jc w:val="center"/>
        <w:rPr>
          <w:rFonts w:ascii="黑体" w:hAnsi="宋体" w:eastAsia="黑体"/>
          <w:sz w:val="44"/>
          <w:szCs w:val="44"/>
        </w:rPr>
      </w:pPr>
      <w:r>
        <w:rPr>
          <w:rFonts w:hint="eastAsia" w:ascii="黑体" w:hAnsi="宋体" w:eastAsia="黑体"/>
          <w:sz w:val="44"/>
          <w:szCs w:val="44"/>
        </w:rPr>
        <w:t>竞争性谈判文件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二〇二三年九月</w:t>
      </w:r>
    </w:p>
    <w:p>
      <w:pPr>
        <w:spacing w:after="120" w:line="360" w:lineRule="auto"/>
        <w:ind w:firstLine="1405" w:firstLineChars="500"/>
        <w:rPr>
          <w:b/>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20"/>
        <w:numPr>
          <w:ilvl w:val="0"/>
          <w:numId w:val="0"/>
        </w:numPr>
        <w:ind w:left="288"/>
        <w:jc w:val="center"/>
        <w:rPr>
          <w:color w:val="auto"/>
        </w:rP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color w:val="auto"/>
        </w:rPr>
        <w:t>第一章竞争性谈判公告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color w:val="auto"/>
        </w:rPr>
        <w:t>第二章竞争性谈判须知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color w:val="auto"/>
        </w:rPr>
        <w:t>第三章评审办法</w:t>
      </w:r>
      <w:r>
        <w:tab/>
      </w:r>
      <w:r>
        <w:rPr>
          <w:rFonts w:hint="eastAsia"/>
        </w:rPr>
        <w:t>1</w:t>
      </w:r>
      <w:r>
        <w:rPr>
          <w:rFonts w:hint="eastAsia"/>
        </w:rPr>
        <w:fldChar w:fldCharType="end"/>
      </w:r>
      <w:r>
        <w:t>8</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color w:val="auto"/>
        </w:rPr>
        <w:t>第四章合同格式</w:t>
      </w:r>
      <w:r>
        <w:tab/>
      </w:r>
      <w:r>
        <w:fldChar w:fldCharType="end"/>
      </w:r>
      <w:r>
        <w:rPr>
          <w:rFonts w:hint="eastAsia"/>
        </w:rPr>
        <w:t>2</w:t>
      </w:r>
      <w:r>
        <w:t>2</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color w:val="auto"/>
        </w:rPr>
        <w:t>第五章技术需求书</w:t>
      </w:r>
      <w:r>
        <w:tab/>
      </w:r>
      <w:r>
        <w:fldChar w:fldCharType="end"/>
      </w:r>
      <w:r>
        <w:rPr>
          <w:rFonts w:hint="eastAsia"/>
        </w:rPr>
        <w:t>3</w:t>
      </w:r>
      <w:r>
        <w:t>4</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color w:val="auto"/>
          <w:kern w:val="44"/>
        </w:rPr>
        <w:t>第六章竞争性谈判响应文件格式</w:t>
      </w:r>
      <w:r>
        <w:tab/>
      </w:r>
      <w:r>
        <w:rPr>
          <w:rFonts w:hint="eastAsia"/>
        </w:rPr>
        <w:t>3</w:t>
      </w:r>
      <w:r>
        <w:rPr>
          <w:rFonts w:hint="eastAsia"/>
        </w:rPr>
        <w:fldChar w:fldCharType="end"/>
      </w:r>
      <w:r>
        <w:t>7</w:t>
      </w:r>
    </w:p>
    <w:p>
      <w:pPr>
        <w:pStyle w:val="38"/>
        <w:rPr>
          <w:rFonts w:ascii="Calibri" w:hAnsi="Calibri"/>
          <w:caps w:val="0"/>
          <w:kern w:val="2"/>
          <w:szCs w:val="22"/>
        </w:rPr>
      </w:pPr>
      <w:r>
        <w:rPr>
          <w:rFonts w:ascii="宋体" w:hAnsi="宋体" w:eastAsia="宋体"/>
          <w:sz w:val="20"/>
          <w:szCs w:val="20"/>
        </w:rPr>
        <w:fldChar w:fldCharType="end"/>
      </w:r>
      <w:r>
        <w:fldChar w:fldCharType="begin"/>
      </w:r>
      <w:r>
        <w:instrText xml:space="preserve"> HYPERLINK \l "_Toc69378657" </w:instrText>
      </w:r>
      <w:r>
        <w:fldChar w:fldCharType="separate"/>
      </w:r>
      <w:r>
        <w:rPr>
          <w:rStyle w:val="60"/>
          <w:rFonts w:hint="eastAsia"/>
          <w:b/>
          <w:bCs/>
          <w:color w:val="auto"/>
          <w:kern w:val="44"/>
        </w:rPr>
        <w:t>第七章其他</w:t>
      </w:r>
      <w:r>
        <w:tab/>
      </w:r>
      <w:r>
        <w:fldChar w:fldCharType="end"/>
      </w:r>
      <w:r>
        <w:t>56</w:t>
      </w:r>
    </w:p>
    <w:p>
      <w:pPr>
        <w:pStyle w:val="38"/>
        <w:rPr>
          <w:rFonts w:ascii="Calibri" w:hAnsi="Calibri" w:eastAsia="宋体"/>
          <w:caps w:val="0"/>
          <w:kern w:val="2"/>
          <w:szCs w:val="22"/>
        </w:rPr>
      </w:pP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3" w:name="_Toc69378615"/>
      <w:r>
        <w:rPr>
          <w:rFonts w:hint="eastAsia"/>
          <w:b/>
          <w:sz w:val="36"/>
          <w:szCs w:val="36"/>
        </w:rPr>
        <w:t>第一章竞争性谈判公告</w:t>
      </w:r>
      <w:bookmarkEnd w:id="3"/>
    </w:p>
    <w:bookmarkEnd w:id="2"/>
    <w:p>
      <w:pPr>
        <w:spacing w:line="360" w:lineRule="auto"/>
        <w:rPr>
          <w:rFonts w:ascii="宋体" w:hAnsi="宋体"/>
          <w:b/>
          <w:sz w:val="24"/>
        </w:rPr>
      </w:pPr>
      <w:bookmarkStart w:id="4" w:name="_Hlk145406906"/>
      <w:r>
        <w:rPr>
          <w:rFonts w:hint="eastAsia" w:ascii="宋体" w:hAnsi="宋体" w:cs="宋体"/>
          <w:b/>
          <w:kern w:val="0"/>
          <w:sz w:val="24"/>
        </w:rPr>
        <w:t>一、项目概况</w:t>
      </w:r>
    </w:p>
    <w:p>
      <w:pPr>
        <w:pStyle w:val="91"/>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bookmarkStart w:id="5" w:name="_Hlk144883556"/>
      <w:r>
        <w:rPr>
          <w:rFonts w:hint="eastAsia" w:ascii="宋体" w:hAnsi="宋体"/>
          <w:sz w:val="24"/>
        </w:rPr>
        <w:t>DRM+DTMB融合覆盖系统研发服务</w:t>
      </w:r>
      <w:bookmarkEnd w:id="5"/>
      <w:r>
        <w:rPr>
          <w:rFonts w:hint="eastAsia" w:ascii="宋体" w:hAnsi="宋体"/>
          <w:sz w:val="24"/>
        </w:rPr>
        <w:t>项目</w:t>
      </w:r>
    </w:p>
    <w:p>
      <w:pPr>
        <w:pStyle w:val="91"/>
        <w:numPr>
          <w:ilvl w:val="0"/>
          <w:numId w:val="5"/>
        </w:numPr>
        <w:spacing w:line="360" w:lineRule="auto"/>
        <w:ind w:firstLineChars="0"/>
        <w:rPr>
          <w:rFonts w:ascii="宋体" w:hAnsi="宋体"/>
          <w:sz w:val="24"/>
        </w:rPr>
      </w:pPr>
      <w:r>
        <w:rPr>
          <w:rFonts w:hint="eastAsia" w:ascii="宋体" w:hAnsi="宋体"/>
          <w:sz w:val="24"/>
        </w:rPr>
        <w:t>项目内容</w:t>
      </w:r>
    </w:p>
    <w:p>
      <w:pPr>
        <w:spacing w:line="360" w:lineRule="auto"/>
        <w:ind w:firstLine="480" w:firstLineChars="200"/>
        <w:rPr>
          <w:rFonts w:ascii="宋体" w:hAnsi="宋体"/>
          <w:sz w:val="24"/>
        </w:rPr>
      </w:pPr>
      <w:r>
        <w:rPr>
          <w:rFonts w:hint="eastAsia" w:ascii="宋体" w:hAnsi="宋体"/>
          <w:sz w:val="24"/>
        </w:rPr>
        <w:t>研究利用</w:t>
      </w:r>
      <w:r>
        <w:rPr>
          <w:rFonts w:ascii="宋体" w:hAnsi="宋体"/>
          <w:sz w:val="24"/>
        </w:rPr>
        <w:t>DRM技术实现对清流信号加密保护，并利用DTMB调制技术，输出加密的DTMB调制信号；研究开发智能电视APP，实现DTMB的信号接入智能电视，实现视频信号解密和播放，实现终端开户、授权、收视控制等功能，解决DTMB信号接入控制问题，提升公司视频业务覆盖面。</w:t>
      </w:r>
    </w:p>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475" w:firstLineChars="197"/>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w:t>
      </w:r>
      <w:bookmarkStart w:id="119" w:name="_GoBack"/>
      <w:bookmarkEnd w:id="119"/>
      <w:r>
        <w:rPr>
          <w:rFonts w:hint="eastAsia" w:ascii="宋体" w:hAnsi="宋体" w:cs="宋体"/>
          <w:b/>
          <w:bCs/>
          <w:kern w:val="0"/>
          <w:sz w:val="24"/>
        </w:rPr>
        <w:t>通过资格审查；供应商资格要求有一项不满足则应判定为资格审查不合格，资格审查不合格的供应商不得参与后续评审，作无效应答处理。</w:t>
      </w:r>
    </w:p>
    <w:p>
      <w:pPr>
        <w:spacing w:line="360" w:lineRule="auto"/>
        <w:ind w:firstLine="241" w:firstLineChars="1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6" w:name="_Hlk74838219"/>
      <w:r>
        <w:rPr>
          <w:rFonts w:hint="eastAsia" w:ascii="宋体" w:hAnsi="宋体" w:cs="宋体"/>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p>
      <w:pPr>
        <w:spacing w:line="360" w:lineRule="auto"/>
        <w:ind w:firstLine="480" w:firstLineChars="200"/>
      </w:pPr>
      <w:r>
        <w:rPr>
          <w:rFonts w:ascii="宋体" w:hAnsi="宋体" w:cs="宋体"/>
          <w:kern w:val="0"/>
          <w:sz w:val="24"/>
          <w:szCs w:val="22"/>
        </w:rPr>
        <w:t>2</w:t>
      </w:r>
      <w:r>
        <w:rPr>
          <w:rFonts w:hint="eastAsia" w:ascii="宋体" w:hAnsi="宋体" w:cs="宋体"/>
          <w:kern w:val="0"/>
          <w:sz w:val="24"/>
          <w:szCs w:val="22"/>
        </w:rPr>
        <w:t>供应商须为软件原厂商，或获得软件原厂商授权的唯一代理。供应商如为授权代理商，须提供软件原厂商针对本项目出具的授权书原件。（提供相关证明材料并加盖公章）。原厂商和授权代理商不得同时参与本项目投标。如供应商为原厂商授权的代理，则供应商须负责本项目后期维护服务。。</w:t>
      </w:r>
    </w:p>
    <w:bookmarkEnd w:id="6"/>
    <w:p>
      <w:pPr>
        <w:spacing w:line="360" w:lineRule="auto"/>
        <w:ind w:firstLine="480" w:firstLineChars="200"/>
        <w:rPr>
          <w:rFonts w:ascii="宋体" w:hAnsi="宋体" w:cs="宋体"/>
          <w:kern w:val="0"/>
          <w:sz w:val="24"/>
          <w:szCs w:val="22"/>
        </w:rPr>
      </w:pPr>
      <w:r>
        <w:rPr>
          <w:rFonts w:ascii="宋体" w:hAnsi="宋体" w:cs="宋体"/>
          <w:kern w:val="0"/>
          <w:sz w:val="24"/>
          <w:szCs w:val="22"/>
        </w:rPr>
        <w:t>3</w:t>
      </w:r>
      <w:r>
        <w:rPr>
          <w:rFonts w:hint="eastAsia" w:ascii="宋体" w:hAnsi="宋体" w:cs="宋体"/>
          <w:kern w:val="0"/>
          <w:sz w:val="24"/>
          <w:szCs w:val="22"/>
        </w:rPr>
        <w:t>.供应商注册资金须不少于1000万元人民币或等值外币（若注册资金为外币的，须提供在法律上有效的文件证明在注册当日，注册资金核算成的人民币金额）。</w:t>
      </w:r>
    </w:p>
    <w:p>
      <w:pPr>
        <w:spacing w:line="360" w:lineRule="auto"/>
        <w:ind w:firstLine="480" w:firstLineChars="200"/>
        <w:jc w:val="left"/>
        <w:rPr>
          <w:rFonts w:ascii="宋体" w:hAnsi="宋体" w:cs="宋体"/>
          <w:kern w:val="0"/>
          <w:sz w:val="24"/>
          <w:szCs w:val="22"/>
        </w:rPr>
      </w:pPr>
      <w:r>
        <w:rPr>
          <w:rFonts w:ascii="宋体" w:hAnsi="宋体" w:cs="宋体"/>
          <w:kern w:val="0"/>
          <w:sz w:val="24"/>
          <w:szCs w:val="22"/>
        </w:rPr>
        <w:t>4.</w:t>
      </w:r>
      <w:r>
        <w:rPr>
          <w:rFonts w:hint="eastAsia" w:ascii="宋体" w:hAnsi="宋体" w:cs="宋体"/>
          <w:kern w:val="0"/>
          <w:sz w:val="24"/>
          <w:szCs w:val="22"/>
        </w:rPr>
        <w:t>供应商须具有良好的业绩和经验，自20</w:t>
      </w:r>
      <w:r>
        <w:rPr>
          <w:rFonts w:ascii="宋体" w:hAnsi="宋体" w:cs="宋体"/>
          <w:kern w:val="0"/>
          <w:sz w:val="24"/>
          <w:szCs w:val="22"/>
        </w:rPr>
        <w:t>20</w:t>
      </w:r>
      <w:r>
        <w:rPr>
          <w:rFonts w:hint="eastAsia" w:ascii="宋体" w:hAnsi="宋体" w:cs="宋体"/>
          <w:kern w:val="0"/>
          <w:sz w:val="24"/>
          <w:szCs w:val="22"/>
        </w:rPr>
        <w:t>年1月1日至响应截止日前在国内相关行业实施过类似项目。（提供相关业绩证明材料，包括：合同&lt;或框架合同及订单&gt;关键页和相应发票等证明材料，需提供合同复印件，原件备查）。</w:t>
      </w:r>
    </w:p>
    <w:p>
      <w:pPr>
        <w:spacing w:line="360" w:lineRule="auto"/>
        <w:ind w:firstLine="480" w:firstLineChars="200"/>
        <w:jc w:val="left"/>
        <w:rPr>
          <w:rFonts w:ascii="宋体" w:hAnsi="宋体" w:cs="宋体"/>
          <w:kern w:val="0"/>
          <w:sz w:val="24"/>
          <w:szCs w:val="22"/>
        </w:rPr>
      </w:pPr>
      <w:r>
        <w:rPr>
          <w:rFonts w:ascii="宋体" w:hAnsi="宋体" w:cs="宋体"/>
          <w:kern w:val="0"/>
          <w:sz w:val="24"/>
          <w:shd w:val="clear" w:color="auto" w:fill="FFFFFF"/>
        </w:rPr>
        <w:t>5.</w:t>
      </w:r>
      <w:r>
        <w:rPr>
          <w:rFonts w:hint="eastAsia" w:ascii="宋体" w:hAnsi="宋体" w:cs="宋体"/>
          <w:kern w:val="0"/>
          <w:sz w:val="24"/>
          <w:shd w:val="clear" w:color="auto" w:fill="FFFFFF"/>
        </w:rPr>
        <w:t>供应商须提供对本项目直接保修和服务的承诺。</w:t>
      </w:r>
    </w:p>
    <w:p>
      <w:pPr>
        <w:spacing w:line="360" w:lineRule="auto"/>
        <w:ind w:firstLine="480" w:firstLineChars="200"/>
        <w:jc w:val="left"/>
        <w:rPr>
          <w:rFonts w:ascii="宋体" w:hAnsi="宋体" w:cs="宋体"/>
          <w:kern w:val="0"/>
          <w:sz w:val="24"/>
          <w:szCs w:val="22"/>
        </w:rPr>
      </w:pPr>
      <w:r>
        <w:rPr>
          <w:rFonts w:ascii="宋体" w:hAnsi="宋体" w:cs="宋体"/>
          <w:kern w:val="0"/>
          <w:sz w:val="24"/>
          <w:szCs w:val="22"/>
        </w:rPr>
        <w:t>6</w:t>
      </w:r>
      <w:r>
        <w:rPr>
          <w:rFonts w:hint="eastAsia" w:ascii="宋体" w:hAnsi="宋体" w:cs="宋体"/>
          <w:kern w:val="0"/>
          <w:sz w:val="24"/>
          <w:szCs w:val="22"/>
        </w:rPr>
        <w:t>.供应商须具备完整的售后服务体系、具有快速响应维护能力，在江苏须具有销售和售后服务的组织机构及完善快捷的技术支持能力。如供应商在江苏尚未设立技术支持机构，供应商承诺在中选后30天内在江苏设立技术支持机构并配备不少于1名技术支持人员（提供承诺函加盖公章）。</w:t>
      </w:r>
    </w:p>
    <w:p>
      <w:pPr>
        <w:spacing w:line="360" w:lineRule="auto"/>
        <w:ind w:firstLine="480" w:firstLineChars="200"/>
        <w:jc w:val="left"/>
        <w:rPr>
          <w:rFonts w:ascii="宋体" w:hAnsi="宋体" w:cs="宋体"/>
          <w:kern w:val="0"/>
          <w:sz w:val="24"/>
          <w:szCs w:val="22"/>
        </w:rPr>
      </w:pPr>
      <w:r>
        <w:rPr>
          <w:rFonts w:ascii="宋体" w:hAnsi="宋体" w:cs="宋体"/>
          <w:kern w:val="0"/>
          <w:sz w:val="24"/>
          <w:szCs w:val="22"/>
        </w:rPr>
        <w:t>7</w:t>
      </w:r>
      <w:r>
        <w:rPr>
          <w:rFonts w:hint="eastAsia" w:ascii="宋体" w:hAnsi="宋体" w:cs="宋体"/>
          <w:kern w:val="0"/>
          <w:sz w:val="24"/>
          <w:szCs w:val="22"/>
        </w:rPr>
        <w:t>.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rPr>
      </w:pPr>
      <w:r>
        <w:rPr>
          <w:rFonts w:ascii="宋体" w:hAnsi="宋体" w:cs="宋体"/>
          <w:kern w:val="0"/>
          <w:sz w:val="24"/>
          <w:szCs w:val="22"/>
        </w:rPr>
        <w:t>8</w:t>
      </w:r>
      <w:r>
        <w:rPr>
          <w:rFonts w:hint="eastAsia" w:ascii="宋体" w:hAnsi="宋体" w:cs="宋体"/>
          <w:kern w:val="0"/>
          <w:sz w:val="24"/>
          <w:szCs w:val="22"/>
        </w:rPr>
        <w:t>.供应商单位负责人为同一人或者存在直接控股、管理关系的不同供应商，不得参加同一标段磋商或者未划分标段的同一采购项目磋商。</w:t>
      </w:r>
    </w:p>
    <w:p>
      <w:pPr>
        <w:spacing w:line="360" w:lineRule="auto"/>
        <w:ind w:firstLine="480" w:firstLineChars="200"/>
        <w:jc w:val="left"/>
      </w:pPr>
      <w:r>
        <w:rPr>
          <w:rFonts w:ascii="宋体" w:hAnsi="宋体" w:cs="宋体"/>
          <w:kern w:val="0"/>
          <w:sz w:val="24"/>
          <w:szCs w:val="22"/>
        </w:rPr>
        <w:t>9</w:t>
      </w:r>
      <w:r>
        <w:rPr>
          <w:rFonts w:hint="eastAsia" w:ascii="宋体" w:hAnsi="宋体" w:cs="宋体"/>
          <w:kern w:val="0"/>
          <w:sz w:val="24"/>
          <w:szCs w:val="22"/>
        </w:rPr>
        <w:t>.法定代表人为同一个人的两个及两个以上法人，母公司与全资子公司/由其控股的子公司，不得同时参与本项目</w:t>
      </w:r>
      <w:r>
        <w:rPr>
          <w:rFonts w:ascii="宋体" w:hAnsi="宋体" w:cs="宋体"/>
          <w:kern w:val="0"/>
          <w:sz w:val="24"/>
          <w:szCs w:val="22"/>
        </w:rPr>
        <w:t>。</w:t>
      </w:r>
    </w:p>
    <w:p>
      <w:pPr>
        <w:spacing w:line="360" w:lineRule="auto"/>
        <w:ind w:firstLine="480" w:firstLineChars="200"/>
        <w:jc w:val="left"/>
        <w:rPr>
          <w:rFonts w:ascii="宋体" w:hAnsi="宋体" w:cs="宋体"/>
          <w:kern w:val="0"/>
          <w:sz w:val="24"/>
          <w:szCs w:val="22"/>
        </w:rPr>
      </w:pPr>
      <w:r>
        <w:rPr>
          <w:rFonts w:ascii="宋体" w:hAnsi="宋体" w:cs="宋体"/>
          <w:kern w:val="0"/>
          <w:sz w:val="24"/>
          <w:szCs w:val="22"/>
        </w:rPr>
        <w:t>10</w:t>
      </w:r>
      <w:r>
        <w:rPr>
          <w:rFonts w:hint="eastAsia" w:ascii="宋体" w:hAnsi="宋体" w:cs="宋体"/>
          <w:kern w:val="0"/>
          <w:sz w:val="24"/>
          <w:szCs w:val="22"/>
        </w:rPr>
        <w:t>.本项目不接受联合体响应。</w:t>
      </w:r>
    </w:p>
    <w:p>
      <w:pPr>
        <w:widowControl/>
        <w:spacing w:line="360" w:lineRule="auto"/>
        <w:jc w:val="left"/>
      </w:pPr>
      <w:r>
        <w:rPr>
          <w:rFonts w:hint="eastAsia" w:ascii="宋体" w:hAnsi="宋体" w:cs="宋体"/>
          <w:b/>
          <w:bCs/>
          <w:kern w:val="0"/>
          <w:sz w:val="24"/>
          <w:shd w:val="clear" w:color="auto" w:fill="FFFFFF"/>
        </w:rPr>
        <w:t>四、竞争性谈判文件的获取</w:t>
      </w:r>
    </w:p>
    <w:p>
      <w:pPr>
        <w:widowControl/>
        <w:spacing w:line="360" w:lineRule="auto"/>
        <w:ind w:firstLine="42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发布及登记时间：</w:t>
      </w:r>
      <w:r>
        <w:rPr>
          <w:rFonts w:ascii="宋体" w:hAnsi="宋体" w:cs="宋体"/>
          <w:color w:val="000000"/>
          <w:kern w:val="0"/>
          <w:sz w:val="24"/>
          <w:shd w:val="clear" w:color="auto" w:fill="FFFFFF"/>
        </w:rPr>
        <w:t>2023年10</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18日至2023年10</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lang w:val="en-US" w:eastAsia="zh-CN"/>
        </w:rPr>
        <w:t>3</w:t>
      </w:r>
      <w:r>
        <w:rPr>
          <w:rFonts w:ascii="宋体" w:hAnsi="宋体" w:cs="宋体"/>
          <w:color w:val="000000"/>
          <w:kern w:val="0"/>
          <w:sz w:val="24"/>
          <w:shd w:val="clear" w:color="auto" w:fill="FFFFFF"/>
        </w:rPr>
        <w:t>日止，每日上午9：00-12：00，下午14：00-17：00（北京时间）。</w:t>
      </w:r>
    </w:p>
    <w:p>
      <w:pPr>
        <w:widowControl/>
        <w:spacing w:line="360" w:lineRule="auto"/>
        <w:ind w:firstLine="42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发放方式：竞争性谈判文件在报名后自行下载。</w:t>
      </w:r>
    </w:p>
    <w:p>
      <w:pPr>
        <w:widowControl/>
        <w:spacing w:line="360" w:lineRule="auto"/>
        <w:ind w:firstLine="42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登记方式：请响应人将该项目负责人姓名、联系电话（手机）、联系信箱发至采购人该项目联系人（参考竞争性谈判文件第七章响应确认信息表），同时附营业执照扫面件和法定代表人授权委托函，发至</w:t>
      </w:r>
      <w:r>
        <w:rPr>
          <w:rFonts w:hint="eastAsia" w:ascii="宋体" w:hAnsi="宋体" w:cs="宋体"/>
          <w:color w:val="000000"/>
          <w:kern w:val="0"/>
          <w:sz w:val="24"/>
        </w:rPr>
        <w:t>邮箱</w:t>
      </w:r>
      <w:r>
        <w:rPr>
          <w:rFonts w:ascii="宋体" w:hAnsi="宋体" w:cs="宋体"/>
          <w:color w:val="000000"/>
          <w:kern w:val="0"/>
          <w:sz w:val="24"/>
        </w:rPr>
        <w:t>lijing@jscnnet.com</w:t>
      </w:r>
      <w:r>
        <w:rPr>
          <w:rFonts w:hint="eastAsia" w:ascii="宋体" w:hAnsi="宋体" w:cs="宋体"/>
          <w:color w:val="000000"/>
          <w:kern w:val="0"/>
          <w:sz w:val="24"/>
          <w:shd w:val="clear" w:color="auto" w:fill="FFFFFF"/>
        </w:rPr>
        <w:t>，未在文件发放日内完成登记的不得参与本项目，超过</w:t>
      </w:r>
      <w:r>
        <w:rPr>
          <w:rFonts w:ascii="宋体" w:hAnsi="宋体" w:cs="宋体"/>
          <w:color w:val="000000"/>
          <w:kern w:val="0"/>
          <w:sz w:val="24"/>
          <w:shd w:val="clear" w:color="auto" w:fill="FFFFFF"/>
        </w:rPr>
        <w:t>2023年10</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22日下午17:00再登记的视为无效。</w:t>
      </w:r>
    </w:p>
    <w:p>
      <w:pPr>
        <w:widowControl/>
        <w:spacing w:line="360" w:lineRule="auto"/>
        <w:ind w:firstLine="420"/>
        <w:jc w:val="left"/>
        <w:rPr>
          <w:rFonts w:ascii="宋体" w:hAnsi="宋体" w:cs="宋体"/>
          <w:color w:val="000000"/>
          <w:kern w:val="0"/>
          <w:sz w:val="24"/>
        </w:rPr>
      </w:pPr>
      <w:r>
        <w:rPr>
          <w:rFonts w:hint="eastAsia" w:ascii="宋体" w:hAnsi="宋体" w:cs="宋体"/>
          <w:color w:val="000000"/>
          <w:kern w:val="0"/>
          <w:sz w:val="24"/>
          <w:shd w:val="clear" w:color="auto" w:fill="FFFFFF"/>
        </w:rPr>
        <w:t>项目联系人：李晶（025-86</w:t>
      </w:r>
      <w:r>
        <w:rPr>
          <w:rFonts w:ascii="宋体" w:hAnsi="宋体" w:cs="宋体"/>
          <w:color w:val="000000"/>
          <w:kern w:val="0"/>
          <w:sz w:val="24"/>
        </w:rPr>
        <w:t>731692）</w:t>
      </w:r>
    </w:p>
    <w:p>
      <w:pPr>
        <w:widowControl/>
        <w:spacing w:line="360" w:lineRule="auto"/>
        <w:jc w:val="left"/>
        <w:rPr>
          <w:color w:val="000000"/>
        </w:rPr>
      </w:pPr>
      <w:r>
        <w:rPr>
          <w:rFonts w:hint="eastAsia" w:ascii="宋体" w:hAnsi="宋体" w:cs="宋体"/>
          <w:b/>
          <w:bCs/>
          <w:color w:val="000000"/>
          <w:kern w:val="0"/>
          <w:sz w:val="24"/>
          <w:shd w:val="clear" w:color="auto" w:fill="FFFFFF"/>
        </w:rPr>
        <w:t>五、响应文件的递交和谈判</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递交竞争性谈判响应文件截止时间：</w:t>
      </w:r>
      <w:r>
        <w:rPr>
          <w:rFonts w:eastAsia="微软雅黑"/>
          <w:color w:val="000000"/>
          <w:kern w:val="0"/>
          <w:sz w:val="24"/>
          <w:shd w:val="clear" w:color="auto" w:fill="FFFFFF"/>
        </w:rPr>
        <w:t>2023</w:t>
      </w:r>
      <w:r>
        <w:rPr>
          <w:rFonts w:hint="eastAsia" w:ascii="宋体" w:hAnsi="宋体" w:cs="宋体"/>
          <w:color w:val="000000"/>
          <w:kern w:val="0"/>
          <w:sz w:val="24"/>
          <w:shd w:val="clear" w:color="auto" w:fill="FFFFFF"/>
        </w:rPr>
        <w:t>年</w:t>
      </w:r>
      <w:r>
        <w:rPr>
          <w:rFonts w:ascii="宋体" w:hAnsi="宋体" w:cs="宋体"/>
          <w:color w:val="000000"/>
          <w:kern w:val="0"/>
          <w:sz w:val="24"/>
          <w:shd w:val="clear" w:color="auto" w:fill="FFFFFF"/>
        </w:rPr>
        <w:t>10</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25</w:t>
      </w:r>
      <w:r>
        <w:rPr>
          <w:rFonts w:hint="eastAsia" w:ascii="宋体" w:hAnsi="宋体" w:cs="宋体"/>
          <w:color w:val="000000"/>
          <w:kern w:val="0"/>
          <w:sz w:val="24"/>
          <w:shd w:val="clear" w:color="auto" w:fill="FFFFFF"/>
        </w:rPr>
        <w:t>日</w:t>
      </w:r>
      <w:r>
        <w:rPr>
          <w:rFonts w:ascii="宋体" w:hAnsi="宋体" w:cs="宋体"/>
          <w:color w:val="000000"/>
          <w:kern w:val="0"/>
          <w:sz w:val="24"/>
          <w:shd w:val="clear" w:color="auto" w:fill="FFFFFF"/>
        </w:rPr>
        <w:t>14</w:t>
      </w:r>
      <w:r>
        <w:rPr>
          <w:rFonts w:eastAsia="微软雅黑"/>
          <w:color w:val="000000"/>
          <w:kern w:val="0"/>
          <w:sz w:val="24"/>
          <w:shd w:val="clear" w:color="auto" w:fill="FFFFFF"/>
        </w:rPr>
        <w:t>:</w:t>
      </w:r>
      <w:r>
        <w:rPr>
          <w:rFonts w:ascii="宋体" w:hAnsi="宋体" w:cs="宋体"/>
          <w:color w:val="000000"/>
          <w:kern w:val="0"/>
          <w:sz w:val="24"/>
          <w:shd w:val="clear" w:color="auto" w:fill="FFFFFF"/>
        </w:rPr>
        <w:t>00</w:t>
      </w:r>
      <w:r>
        <w:rPr>
          <w:rFonts w:hint="eastAsia" w:ascii="宋体" w:hAnsi="宋体" w:cs="宋体"/>
          <w:color w:val="000000"/>
          <w:kern w:val="0"/>
          <w:sz w:val="24"/>
          <w:shd w:val="clear" w:color="auto" w:fill="FFFFFF"/>
        </w:rPr>
        <w:t>，逾期收到或不按照竞争性谈判文件要求密封的响应文件恕不接受。</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递交竞争性谈判响应文件地点：南京市玄武区运粮河西路</w:t>
      </w:r>
      <w:r>
        <w:rPr>
          <w:rFonts w:eastAsia="微软雅黑"/>
          <w:color w:val="000000"/>
          <w:kern w:val="0"/>
          <w:sz w:val="24"/>
          <w:shd w:val="clear" w:color="auto" w:fill="FFFFFF"/>
        </w:rPr>
        <w:t>101</w:t>
      </w:r>
      <w:r>
        <w:rPr>
          <w:rFonts w:hint="eastAsia" w:ascii="宋体" w:hAnsi="宋体" w:cs="宋体"/>
          <w:color w:val="000000"/>
          <w:kern w:val="0"/>
          <w:sz w:val="24"/>
          <w:shd w:val="clear" w:color="auto" w:fill="FFFFFF"/>
        </w:rPr>
        <w:t>号</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号楼</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楼。</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响应文件接收人：李晶（025-86</w:t>
      </w:r>
      <w:r>
        <w:rPr>
          <w:rFonts w:ascii="宋体" w:hAnsi="宋体" w:cs="宋体"/>
          <w:color w:val="000000"/>
          <w:kern w:val="0"/>
          <w:sz w:val="24"/>
        </w:rPr>
        <w:t>731692）。</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竞争性谈判时间：</w:t>
      </w:r>
      <w:r>
        <w:rPr>
          <w:rFonts w:eastAsia="微软雅黑"/>
          <w:color w:val="000000"/>
          <w:kern w:val="0"/>
          <w:sz w:val="24"/>
          <w:shd w:val="clear" w:color="auto" w:fill="FFFFFF"/>
        </w:rPr>
        <w:t>2023</w:t>
      </w:r>
      <w:r>
        <w:rPr>
          <w:rFonts w:hint="eastAsia" w:ascii="宋体" w:hAnsi="宋体" w:cs="宋体"/>
          <w:color w:val="000000"/>
          <w:kern w:val="0"/>
          <w:sz w:val="24"/>
          <w:shd w:val="clear" w:color="auto" w:fill="FFFFFF"/>
        </w:rPr>
        <w:t>年</w:t>
      </w:r>
      <w:r>
        <w:rPr>
          <w:rFonts w:ascii="宋体" w:hAnsi="宋体" w:cs="宋体"/>
          <w:color w:val="000000"/>
          <w:kern w:val="0"/>
          <w:sz w:val="24"/>
          <w:shd w:val="clear" w:color="auto" w:fill="FFFFFF"/>
        </w:rPr>
        <w:t>10</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25</w:t>
      </w:r>
      <w:r>
        <w:rPr>
          <w:rFonts w:hint="eastAsia" w:ascii="宋体" w:hAnsi="宋体" w:cs="宋体"/>
          <w:color w:val="000000"/>
          <w:kern w:val="0"/>
          <w:sz w:val="24"/>
          <w:shd w:val="clear" w:color="auto" w:fill="FFFFFF"/>
        </w:rPr>
        <w:t>日</w:t>
      </w:r>
      <w:r>
        <w:rPr>
          <w:rFonts w:ascii="宋体" w:hAnsi="宋体" w:cs="宋体"/>
          <w:color w:val="000000"/>
          <w:kern w:val="0"/>
          <w:sz w:val="24"/>
          <w:shd w:val="clear" w:color="auto" w:fill="FFFFFF"/>
        </w:rPr>
        <w:t>14</w:t>
      </w:r>
      <w:r>
        <w:rPr>
          <w:rFonts w:eastAsia="微软雅黑"/>
          <w:color w:val="000000"/>
          <w:kern w:val="0"/>
          <w:sz w:val="24"/>
          <w:shd w:val="clear" w:color="auto" w:fill="FFFFFF"/>
        </w:rPr>
        <w:t>:</w:t>
      </w:r>
      <w:r>
        <w:rPr>
          <w:rFonts w:ascii="宋体" w:hAnsi="宋体" w:cs="宋体"/>
          <w:color w:val="000000"/>
          <w:kern w:val="0"/>
          <w:sz w:val="24"/>
          <w:shd w:val="clear" w:color="auto" w:fill="FFFFFF"/>
        </w:rPr>
        <w:t>00</w:t>
      </w:r>
      <w:r>
        <w:rPr>
          <w:rFonts w:hint="eastAsia" w:ascii="宋体" w:hAnsi="宋体" w:cs="宋体"/>
          <w:color w:val="000000"/>
          <w:kern w:val="0"/>
          <w:sz w:val="24"/>
          <w:shd w:val="clear" w:color="auto" w:fill="FFFFFF"/>
        </w:rPr>
        <w:t>。</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竞争性谈判地点：南京市玄武区运粮河西路</w:t>
      </w:r>
      <w:r>
        <w:rPr>
          <w:rFonts w:eastAsia="微软雅黑"/>
          <w:color w:val="000000"/>
          <w:kern w:val="0"/>
          <w:sz w:val="24"/>
          <w:shd w:val="clear" w:color="auto" w:fill="FFFFFF"/>
        </w:rPr>
        <w:t>101</w:t>
      </w:r>
      <w:r>
        <w:rPr>
          <w:rFonts w:hint="eastAsia" w:ascii="宋体" w:hAnsi="宋体" w:cs="宋体"/>
          <w:color w:val="000000"/>
          <w:kern w:val="0"/>
          <w:sz w:val="24"/>
          <w:shd w:val="clear" w:color="auto" w:fill="FFFFFF"/>
        </w:rPr>
        <w:t>号</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号楼</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楼会议室。</w:t>
      </w:r>
    </w:p>
    <w:p>
      <w:pPr>
        <w:widowControl/>
        <w:spacing w:line="360" w:lineRule="auto"/>
        <w:jc w:val="left"/>
      </w:pPr>
      <w:r>
        <w:rPr>
          <w:rFonts w:hint="eastAsia" w:ascii="宋体" w:hAnsi="宋体" w:cs="宋体"/>
          <w:b/>
          <w:bCs/>
          <w:kern w:val="0"/>
          <w:sz w:val="24"/>
          <w:shd w:val="clear" w:color="auto" w:fill="FFFFFF"/>
        </w:rPr>
        <w:t>六、发布公告的媒介</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本次采购事宜相关公告将在江苏省广电有线信息网络股份有限公司网站（网址：</w:t>
      </w:r>
      <w:r>
        <w:rPr>
          <w:rFonts w:eastAsia="微软雅黑"/>
          <w:color w:val="000000"/>
          <w:kern w:val="0"/>
          <w:sz w:val="24"/>
          <w:shd w:val="clear" w:color="auto" w:fill="FFFFFF"/>
        </w:rPr>
        <w:t>http://www.jscnnet.com/zbcg/</w:t>
      </w:r>
      <w:r>
        <w:rPr>
          <w:rFonts w:hint="eastAsia" w:ascii="宋体" w:hAnsi="宋体" w:cs="宋体"/>
          <w:color w:val="000000"/>
          <w:kern w:val="0"/>
          <w:sz w:val="24"/>
          <w:shd w:val="clear" w:color="auto" w:fill="FFFFFF"/>
        </w:rPr>
        <w:t>）“招标采购”栏目和江苏省招标投标公共服务平台（https://www.jszbtb.com/#/newindex）发布，其他媒介转载需注明出处。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80" w:firstLineChars="200"/>
        <w:jc w:val="left"/>
        <w:rPr>
          <w:rFonts w:hint="eastAsia" w:ascii="宋体" w:cs="宋体"/>
          <w:bCs/>
          <w:sz w:val="24"/>
        </w:rPr>
      </w:pPr>
      <w:r>
        <w:rPr>
          <w:rFonts w:hint="eastAsia" w:ascii="宋体" w:cs="宋体"/>
          <w:bCs/>
          <w:sz w:val="24"/>
        </w:rPr>
        <w:t>有关本次谈判的事项若存在变动或修改，敬请及时关注网上发布的信息更正公告</w:t>
      </w:r>
      <w:bookmarkStart w:id="7" w:name="bookmark1"/>
      <w:bookmarkEnd w:id="7"/>
      <w:r>
        <w:rPr>
          <w:rFonts w:hint="eastAsia" w:ascii="宋体" w:cs="宋体"/>
          <w:bCs/>
          <w:sz w:val="24"/>
        </w:rPr>
        <w:t>。</w:t>
      </w:r>
      <w:bookmarkEnd w:id="4"/>
    </w:p>
    <w:p>
      <w:pPr>
        <w:widowControl/>
        <w:spacing w:line="360" w:lineRule="auto"/>
        <w:ind w:firstLine="480" w:firstLineChars="200"/>
        <w:jc w:val="right"/>
        <w:rPr>
          <w:rFonts w:hint="eastAsia" w:ascii="宋体" w:cs="宋体"/>
          <w:bCs/>
          <w:sz w:val="24"/>
          <w:lang w:val="en-US" w:eastAsia="zh-CN"/>
        </w:rPr>
      </w:pPr>
    </w:p>
    <w:p>
      <w:pPr>
        <w:widowControl/>
        <w:spacing w:line="360" w:lineRule="auto"/>
        <w:ind w:firstLine="480" w:firstLineChars="200"/>
        <w:jc w:val="right"/>
        <w:rPr>
          <w:rFonts w:hint="eastAsia" w:ascii="宋体" w:cs="宋体"/>
          <w:bCs/>
          <w:sz w:val="24"/>
        </w:rPr>
      </w:pPr>
      <w:r>
        <w:rPr>
          <w:rFonts w:hint="eastAsia" w:ascii="宋体" w:cs="宋体"/>
          <w:bCs/>
          <w:sz w:val="24"/>
          <w:lang w:val="en-US" w:eastAsia="zh-CN"/>
        </w:rPr>
        <w:t>采购</w:t>
      </w:r>
      <w:r>
        <w:rPr>
          <w:rFonts w:hint="eastAsia" w:ascii="宋体" w:cs="宋体"/>
          <w:bCs/>
          <w:sz w:val="24"/>
        </w:rPr>
        <w:t>人：江苏省广电有线信息网络股份有限公司</w:t>
      </w:r>
    </w:p>
    <w:p>
      <w:pPr>
        <w:widowControl/>
        <w:spacing w:line="360" w:lineRule="auto"/>
        <w:ind w:firstLine="480" w:firstLineChars="200"/>
        <w:jc w:val="right"/>
        <w:rPr>
          <w:rFonts w:ascii="宋体" w:hAnsi="宋体"/>
          <w:sz w:val="24"/>
        </w:rPr>
      </w:pPr>
      <w:r>
        <w:rPr>
          <w:rFonts w:hint="eastAsia" w:ascii="宋体" w:cs="宋体"/>
          <w:bCs/>
          <w:sz w:val="24"/>
        </w:rPr>
        <w:t>2023年</w:t>
      </w:r>
      <w:r>
        <w:rPr>
          <w:rFonts w:hint="eastAsia" w:ascii="宋体" w:cs="宋体"/>
          <w:bCs/>
          <w:sz w:val="24"/>
          <w:lang w:val="en-US" w:eastAsia="zh-CN"/>
        </w:rPr>
        <w:t>10</w:t>
      </w:r>
      <w:r>
        <w:rPr>
          <w:rFonts w:hint="eastAsia" w:ascii="宋体" w:cs="宋体"/>
          <w:bCs/>
          <w:sz w:val="24"/>
        </w:rPr>
        <w:t>月</w:t>
      </w:r>
      <w:r>
        <w:rPr>
          <w:rFonts w:hint="eastAsia" w:ascii="宋体" w:cs="宋体"/>
          <w:bCs/>
          <w:sz w:val="24"/>
          <w:lang w:val="en-US" w:eastAsia="zh-CN"/>
        </w:rPr>
        <w:t>18</w:t>
      </w:r>
      <w:r>
        <w:rPr>
          <w:rFonts w:hint="eastAsia" w:ascii="宋体" w:cs="宋体"/>
          <w:bCs/>
          <w:sz w:val="24"/>
        </w:rPr>
        <w:t>日</w:t>
      </w:r>
      <w:r>
        <w:rPr>
          <w:rFonts w:ascii="宋体" w:hAnsi="宋体"/>
          <w:sz w:val="24"/>
        </w:rPr>
        <w:br w:type="page"/>
      </w:r>
    </w:p>
    <w:p>
      <w:pPr>
        <w:pStyle w:val="3"/>
        <w:numPr>
          <w:ilvl w:val="0"/>
          <w:numId w:val="0"/>
        </w:numPr>
        <w:spacing w:before="0" w:after="0" w:line="360" w:lineRule="auto"/>
        <w:rPr>
          <w:b/>
          <w:sz w:val="36"/>
          <w:szCs w:val="36"/>
        </w:rPr>
      </w:pPr>
      <w:bookmarkStart w:id="8" w:name="_Toc227057883"/>
      <w:bookmarkStart w:id="9" w:name="_Toc226969276"/>
      <w:bookmarkStart w:id="10" w:name="_Toc69378616"/>
      <w:bookmarkStart w:id="11" w:name="_Toc107822483"/>
      <w:r>
        <w:rPr>
          <w:rFonts w:hint="eastAsia"/>
          <w:b/>
          <w:sz w:val="36"/>
          <w:szCs w:val="36"/>
        </w:rPr>
        <w:t>第二章</w:t>
      </w:r>
      <w:bookmarkStart w:id="12" w:name="_Hlk113980198"/>
      <w:r>
        <w:rPr>
          <w:rFonts w:hint="eastAsia"/>
          <w:b/>
          <w:sz w:val="36"/>
          <w:szCs w:val="36"/>
        </w:rPr>
        <w:t>竞争性谈判</w:t>
      </w:r>
      <w:r>
        <w:rPr>
          <w:b/>
          <w:sz w:val="36"/>
          <w:szCs w:val="36"/>
        </w:rPr>
        <w:t>须知</w:t>
      </w:r>
      <w:bookmarkEnd w:id="12"/>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76"/>
        <w:gridCol w:w="1350"/>
        <w:gridCol w:w="6026"/>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tcBorders>
              <w:top w:val="single" w:color="auto" w:sz="6" w:space="0"/>
            </w:tcBorders>
            <w:vAlign w:val="center"/>
          </w:tcPr>
          <w:p>
            <w:pPr>
              <w:jc w:val="center"/>
              <w:rPr>
                <w:b/>
                <w:sz w:val="24"/>
              </w:rPr>
            </w:pPr>
            <w:r>
              <w:rPr>
                <w:rFonts w:hint="eastAsia"/>
                <w:b/>
                <w:sz w:val="24"/>
              </w:rPr>
              <w:t>序号</w:t>
            </w:r>
          </w:p>
        </w:tc>
        <w:tc>
          <w:tcPr>
            <w:tcW w:w="268" w:type="pct"/>
            <w:tcBorders>
              <w:top w:val="single" w:color="auto" w:sz="6" w:space="0"/>
            </w:tcBorders>
            <w:vAlign w:val="center"/>
          </w:tcPr>
          <w:p>
            <w:pPr>
              <w:jc w:val="center"/>
              <w:rPr>
                <w:b/>
                <w:sz w:val="24"/>
              </w:rPr>
            </w:pPr>
            <w:r>
              <w:rPr>
                <w:rFonts w:hint="eastAsia"/>
                <w:b/>
                <w:sz w:val="24"/>
              </w:rPr>
              <w:t>条款号</w:t>
            </w:r>
          </w:p>
        </w:tc>
        <w:tc>
          <w:tcPr>
            <w:tcW w:w="762" w:type="pct"/>
            <w:tcBorders>
              <w:top w:val="single" w:color="auto" w:sz="6" w:space="0"/>
            </w:tcBorders>
            <w:vAlign w:val="center"/>
          </w:tcPr>
          <w:p>
            <w:pPr>
              <w:jc w:val="center"/>
              <w:rPr>
                <w:b/>
                <w:sz w:val="24"/>
              </w:rPr>
            </w:pPr>
            <w:r>
              <w:rPr>
                <w:rFonts w:hint="eastAsia"/>
                <w:b/>
                <w:sz w:val="24"/>
              </w:rPr>
              <w:t>内容</w:t>
            </w:r>
          </w:p>
        </w:tc>
        <w:tc>
          <w:tcPr>
            <w:tcW w:w="3401" w:type="pct"/>
            <w:tcBorders>
              <w:top w:val="single" w:color="auto" w:sz="6" w:space="0"/>
            </w:tcBorders>
            <w:vAlign w:val="center"/>
          </w:tcPr>
          <w:p>
            <w:pPr>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1</w:t>
            </w:r>
          </w:p>
        </w:tc>
        <w:tc>
          <w:tcPr>
            <w:tcW w:w="268" w:type="pct"/>
            <w:vAlign w:val="center"/>
          </w:tcPr>
          <w:p>
            <w:pPr>
              <w:jc w:val="center"/>
              <w:rPr>
                <w:sz w:val="24"/>
              </w:rPr>
            </w:pPr>
            <w:r>
              <w:rPr>
                <w:sz w:val="24"/>
              </w:rPr>
              <w:t>1.1</w:t>
            </w:r>
          </w:p>
        </w:tc>
        <w:tc>
          <w:tcPr>
            <w:tcW w:w="762" w:type="pct"/>
            <w:vAlign w:val="center"/>
          </w:tcPr>
          <w:p>
            <w:pPr>
              <w:jc w:val="center"/>
              <w:rPr>
                <w:sz w:val="24"/>
              </w:rPr>
            </w:pPr>
            <w:r>
              <w:rPr>
                <w:rFonts w:hint="eastAsia"/>
                <w:sz w:val="24"/>
              </w:rPr>
              <w:t>采购人</w:t>
            </w:r>
          </w:p>
        </w:tc>
        <w:tc>
          <w:tcPr>
            <w:tcW w:w="3401" w:type="pct"/>
            <w:vAlign w:val="center"/>
          </w:tcPr>
          <w:p>
            <w:pPr>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2</w:t>
            </w:r>
          </w:p>
        </w:tc>
        <w:tc>
          <w:tcPr>
            <w:tcW w:w="268" w:type="pct"/>
            <w:vAlign w:val="center"/>
          </w:tcPr>
          <w:p>
            <w:pPr>
              <w:jc w:val="center"/>
              <w:rPr>
                <w:sz w:val="24"/>
              </w:rPr>
            </w:pPr>
            <w:r>
              <w:rPr>
                <w:sz w:val="24"/>
              </w:rPr>
              <w:t>1.2</w:t>
            </w:r>
          </w:p>
        </w:tc>
        <w:tc>
          <w:tcPr>
            <w:tcW w:w="762" w:type="pct"/>
            <w:vAlign w:val="center"/>
          </w:tcPr>
          <w:p>
            <w:pPr>
              <w:jc w:val="center"/>
              <w:rPr>
                <w:sz w:val="24"/>
              </w:rPr>
            </w:pPr>
            <w:r>
              <w:rPr>
                <w:rFonts w:hint="eastAsia"/>
                <w:sz w:val="24"/>
              </w:rPr>
              <w:t>代理机构</w:t>
            </w:r>
          </w:p>
        </w:tc>
        <w:tc>
          <w:tcPr>
            <w:tcW w:w="3401" w:type="pct"/>
            <w:vAlign w:val="center"/>
          </w:tcPr>
          <w:p>
            <w:pPr>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66" w:type="pct"/>
            <w:vAlign w:val="center"/>
          </w:tcPr>
          <w:p>
            <w:pPr>
              <w:jc w:val="center"/>
              <w:rPr>
                <w:sz w:val="24"/>
              </w:rPr>
            </w:pPr>
            <w:r>
              <w:rPr>
                <w:sz w:val="24"/>
              </w:rPr>
              <w:t>3</w:t>
            </w:r>
          </w:p>
        </w:tc>
        <w:tc>
          <w:tcPr>
            <w:tcW w:w="268" w:type="pct"/>
            <w:vAlign w:val="center"/>
          </w:tcPr>
          <w:p>
            <w:pPr>
              <w:jc w:val="center"/>
              <w:rPr>
                <w:sz w:val="24"/>
              </w:rPr>
            </w:pPr>
            <w:r>
              <w:rPr>
                <w:sz w:val="24"/>
              </w:rPr>
              <w:t>1.3</w:t>
            </w:r>
          </w:p>
        </w:tc>
        <w:tc>
          <w:tcPr>
            <w:tcW w:w="762" w:type="pct"/>
            <w:vAlign w:val="center"/>
          </w:tcPr>
          <w:p>
            <w:pPr>
              <w:jc w:val="center"/>
              <w:rPr>
                <w:sz w:val="24"/>
              </w:rPr>
            </w:pPr>
            <w:r>
              <w:rPr>
                <w:rFonts w:hint="eastAsia"/>
                <w:sz w:val="24"/>
              </w:rPr>
              <w:t>合格的供应商</w:t>
            </w:r>
          </w:p>
        </w:tc>
        <w:tc>
          <w:tcPr>
            <w:tcW w:w="3401" w:type="pct"/>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4</w:t>
            </w:r>
          </w:p>
        </w:tc>
        <w:tc>
          <w:tcPr>
            <w:tcW w:w="268" w:type="pct"/>
            <w:vAlign w:val="center"/>
          </w:tcPr>
          <w:p>
            <w:pPr>
              <w:jc w:val="center"/>
              <w:rPr>
                <w:sz w:val="24"/>
              </w:rPr>
            </w:pPr>
            <w:r>
              <w:rPr>
                <w:sz w:val="24"/>
              </w:rPr>
              <w:t>20.1</w:t>
            </w:r>
          </w:p>
        </w:tc>
        <w:tc>
          <w:tcPr>
            <w:tcW w:w="762" w:type="pct"/>
            <w:vAlign w:val="center"/>
          </w:tcPr>
          <w:p>
            <w:pPr>
              <w:jc w:val="center"/>
              <w:rPr>
                <w:sz w:val="24"/>
              </w:rPr>
            </w:pPr>
            <w:r>
              <w:rPr>
                <w:rFonts w:hint="eastAsia"/>
                <w:sz w:val="24"/>
              </w:rPr>
              <w:t>保密</w:t>
            </w:r>
          </w:p>
        </w:tc>
        <w:tc>
          <w:tcPr>
            <w:tcW w:w="3401" w:type="pct"/>
            <w:vAlign w:val="center"/>
          </w:tcPr>
          <w:p>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5</w:t>
            </w:r>
          </w:p>
        </w:tc>
        <w:tc>
          <w:tcPr>
            <w:tcW w:w="268" w:type="pct"/>
            <w:vAlign w:val="center"/>
          </w:tcPr>
          <w:p>
            <w:pPr>
              <w:jc w:val="center"/>
              <w:rPr>
                <w:sz w:val="24"/>
              </w:rPr>
            </w:pPr>
            <w:r>
              <w:rPr>
                <w:sz w:val="24"/>
              </w:rPr>
              <w:t>7.1</w:t>
            </w:r>
          </w:p>
          <w:p>
            <w:pPr>
              <w:jc w:val="center"/>
              <w:rPr>
                <w:sz w:val="24"/>
              </w:rPr>
            </w:pPr>
            <w:r>
              <w:rPr>
                <w:rFonts w:hint="eastAsia"/>
                <w:sz w:val="24"/>
              </w:rPr>
              <w:t>2）</w:t>
            </w:r>
          </w:p>
        </w:tc>
        <w:tc>
          <w:tcPr>
            <w:tcW w:w="762" w:type="pct"/>
            <w:vAlign w:val="center"/>
          </w:tcPr>
          <w:p>
            <w:pPr>
              <w:jc w:val="center"/>
              <w:rPr>
                <w:sz w:val="24"/>
              </w:rPr>
            </w:pPr>
            <w:r>
              <w:rPr>
                <w:rFonts w:hint="eastAsia"/>
                <w:sz w:val="24"/>
              </w:rPr>
              <w:t>经第三方审计的财务报表</w:t>
            </w:r>
          </w:p>
        </w:tc>
        <w:tc>
          <w:tcPr>
            <w:tcW w:w="3401" w:type="pct"/>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6</w:t>
            </w:r>
          </w:p>
        </w:tc>
        <w:tc>
          <w:tcPr>
            <w:tcW w:w="268" w:type="pct"/>
            <w:vAlign w:val="center"/>
          </w:tcPr>
          <w:p>
            <w:pPr>
              <w:jc w:val="center"/>
              <w:rPr>
                <w:sz w:val="24"/>
              </w:rPr>
            </w:pPr>
            <w:r>
              <w:rPr>
                <w:sz w:val="24"/>
              </w:rPr>
              <w:t>7.1</w:t>
            </w:r>
          </w:p>
          <w:p>
            <w:pPr>
              <w:jc w:val="center"/>
              <w:rPr>
                <w:sz w:val="24"/>
              </w:rPr>
            </w:pPr>
            <w:r>
              <w:rPr>
                <w:rFonts w:hint="eastAsia"/>
                <w:sz w:val="24"/>
              </w:rPr>
              <w:t>3）</w:t>
            </w:r>
          </w:p>
        </w:tc>
        <w:tc>
          <w:tcPr>
            <w:tcW w:w="762" w:type="pct"/>
            <w:vAlign w:val="center"/>
          </w:tcPr>
          <w:p>
            <w:pPr>
              <w:jc w:val="center"/>
              <w:rPr>
                <w:sz w:val="24"/>
              </w:rPr>
            </w:pPr>
            <w:r>
              <w:rPr>
                <w:rFonts w:hint="eastAsia"/>
                <w:sz w:val="24"/>
              </w:rPr>
              <w:t>响应文件的技术部分中必须包括的内容</w:t>
            </w:r>
          </w:p>
        </w:tc>
        <w:tc>
          <w:tcPr>
            <w:tcW w:w="3401" w:type="pct"/>
          </w:tcPr>
          <w:p>
            <w:pPr>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7</w:t>
            </w:r>
          </w:p>
        </w:tc>
        <w:tc>
          <w:tcPr>
            <w:tcW w:w="268" w:type="pct"/>
            <w:vAlign w:val="center"/>
          </w:tcPr>
          <w:p>
            <w:pPr>
              <w:jc w:val="center"/>
              <w:rPr>
                <w:sz w:val="24"/>
              </w:rPr>
            </w:pPr>
            <w:r>
              <w:rPr>
                <w:sz w:val="24"/>
              </w:rPr>
              <w:t>7.1</w:t>
            </w:r>
          </w:p>
          <w:p>
            <w:pPr>
              <w:jc w:val="center"/>
              <w:rPr>
                <w:sz w:val="24"/>
              </w:rPr>
            </w:pPr>
            <w:r>
              <w:rPr>
                <w:rFonts w:hint="eastAsia"/>
                <w:sz w:val="24"/>
              </w:rPr>
              <w:t>6）</w:t>
            </w:r>
          </w:p>
        </w:tc>
        <w:tc>
          <w:tcPr>
            <w:tcW w:w="762" w:type="pct"/>
            <w:vAlign w:val="center"/>
          </w:tcPr>
          <w:p>
            <w:pPr>
              <w:jc w:val="center"/>
              <w:rPr>
                <w:sz w:val="24"/>
              </w:rPr>
            </w:pPr>
            <w:r>
              <w:rPr>
                <w:rFonts w:hint="eastAsia"/>
                <w:sz w:val="24"/>
              </w:rPr>
              <w:t>合同文本的提供</w:t>
            </w:r>
          </w:p>
        </w:tc>
        <w:tc>
          <w:tcPr>
            <w:tcW w:w="3401" w:type="pct"/>
            <w:vAlign w:val="center"/>
          </w:tcPr>
          <w:p>
            <w:pPr>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8</w:t>
            </w:r>
          </w:p>
        </w:tc>
        <w:tc>
          <w:tcPr>
            <w:tcW w:w="268" w:type="pct"/>
            <w:vAlign w:val="center"/>
          </w:tcPr>
          <w:p>
            <w:pPr>
              <w:jc w:val="center"/>
              <w:rPr>
                <w:sz w:val="24"/>
              </w:rPr>
            </w:pPr>
            <w:r>
              <w:rPr>
                <w:sz w:val="24"/>
              </w:rPr>
              <w:t>8.1</w:t>
            </w:r>
          </w:p>
        </w:tc>
        <w:tc>
          <w:tcPr>
            <w:tcW w:w="762" w:type="pct"/>
            <w:vAlign w:val="center"/>
          </w:tcPr>
          <w:p>
            <w:pPr>
              <w:jc w:val="center"/>
              <w:rPr>
                <w:sz w:val="24"/>
              </w:rPr>
            </w:pPr>
            <w:r>
              <w:rPr>
                <w:rFonts w:hint="eastAsia"/>
                <w:sz w:val="24"/>
              </w:rPr>
              <w:t>响应文件的式样和签署</w:t>
            </w:r>
          </w:p>
        </w:tc>
        <w:tc>
          <w:tcPr>
            <w:tcW w:w="3401" w:type="pct"/>
            <w:vAlign w:val="center"/>
          </w:tcPr>
          <w:p>
            <w:pPr>
              <w:rPr>
                <w:sz w:val="24"/>
              </w:rPr>
            </w:pPr>
            <w:r>
              <w:rPr>
                <w:rFonts w:hint="eastAsia"/>
                <w:sz w:val="24"/>
              </w:rPr>
              <w:t>响应文件一式</w:t>
            </w:r>
            <w:r>
              <w:rPr>
                <w:sz w:val="24"/>
              </w:rPr>
              <w:t>3</w:t>
            </w:r>
            <w:r>
              <w:rPr>
                <w:rFonts w:hint="eastAsia"/>
                <w:sz w:val="24"/>
              </w:rPr>
              <w:t>份（</w:t>
            </w:r>
            <w:r>
              <w:rPr>
                <w:sz w:val="24"/>
              </w:rPr>
              <w:t>1</w:t>
            </w:r>
            <w:r>
              <w:rPr>
                <w:rFonts w:hint="eastAsia"/>
                <w:sz w:val="24"/>
              </w:rPr>
              <w:t>份正本、</w:t>
            </w:r>
            <w:r>
              <w:rPr>
                <w:sz w:val="24"/>
              </w:rPr>
              <w:t>2</w:t>
            </w:r>
            <w:r>
              <w:rPr>
                <w:rFonts w:hint="eastAsia"/>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9</w:t>
            </w:r>
          </w:p>
        </w:tc>
        <w:tc>
          <w:tcPr>
            <w:tcW w:w="268" w:type="pct"/>
            <w:vAlign w:val="center"/>
          </w:tcPr>
          <w:p>
            <w:pPr>
              <w:jc w:val="center"/>
              <w:rPr>
                <w:sz w:val="24"/>
              </w:rPr>
            </w:pPr>
            <w:r>
              <w:rPr>
                <w:sz w:val="24"/>
              </w:rPr>
              <w:t>9.1</w:t>
            </w:r>
          </w:p>
        </w:tc>
        <w:tc>
          <w:tcPr>
            <w:tcW w:w="762" w:type="pct"/>
            <w:vAlign w:val="center"/>
          </w:tcPr>
          <w:p>
            <w:pPr>
              <w:jc w:val="center"/>
              <w:rPr>
                <w:sz w:val="24"/>
              </w:rPr>
            </w:pPr>
            <w:r>
              <w:rPr>
                <w:rFonts w:hint="eastAsia"/>
                <w:sz w:val="24"/>
              </w:rPr>
              <w:t>报价</w:t>
            </w:r>
          </w:p>
        </w:tc>
        <w:tc>
          <w:tcPr>
            <w:tcW w:w="3401" w:type="pct"/>
            <w:vAlign w:val="center"/>
          </w:tcPr>
          <w:p>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10</w:t>
            </w:r>
          </w:p>
        </w:tc>
        <w:tc>
          <w:tcPr>
            <w:tcW w:w="268" w:type="pct"/>
            <w:vAlign w:val="center"/>
          </w:tcPr>
          <w:p>
            <w:pPr>
              <w:jc w:val="center"/>
              <w:rPr>
                <w:sz w:val="24"/>
              </w:rPr>
            </w:pPr>
          </w:p>
        </w:tc>
        <w:tc>
          <w:tcPr>
            <w:tcW w:w="762" w:type="pct"/>
            <w:vAlign w:val="center"/>
          </w:tcPr>
          <w:p>
            <w:pPr>
              <w:jc w:val="center"/>
              <w:rPr>
                <w:sz w:val="24"/>
              </w:rPr>
            </w:pPr>
            <w:r>
              <w:rPr>
                <w:rFonts w:hint="eastAsia"/>
                <w:sz w:val="24"/>
              </w:rPr>
              <w:t>响应文件的盖章或签字</w:t>
            </w:r>
          </w:p>
        </w:tc>
        <w:tc>
          <w:tcPr>
            <w:tcW w:w="3401" w:type="pct"/>
            <w:vAlign w:val="center"/>
          </w:tcPr>
          <w:p>
            <w:pPr>
              <w:rPr>
                <w:sz w:val="24"/>
              </w:rPr>
            </w:pPr>
            <w:r>
              <w:rPr>
                <w:rFonts w:hint="eastAsia"/>
                <w:sz w:val="24"/>
              </w:rPr>
              <w:t>本条款增加规定：</w:t>
            </w:r>
          </w:p>
          <w:p>
            <w:pPr>
              <w:rPr>
                <w:sz w:val="24"/>
              </w:rPr>
            </w:pPr>
            <w:r>
              <w:rPr>
                <w:rFonts w:hint="eastAsia"/>
                <w:sz w:val="24"/>
              </w:rPr>
              <w:t>（1）竞争性谈判文件第六章“响应文件格式”中有单位名称和法定代表人或其委托代理人签字落款的响应文件必须加盖单位公章。</w:t>
            </w:r>
          </w:p>
          <w:p>
            <w:pPr>
              <w:rPr>
                <w:sz w:val="24"/>
              </w:rPr>
            </w:pPr>
            <w:r>
              <w:rPr>
                <w:rFonts w:hint="eastAsia"/>
                <w:sz w:val="24"/>
              </w:rPr>
              <w:t>（2）除上述文件以外的其他响应文件组成部分必须加盖骑缝章（骑缝章必须覆盖所有响应文件），或由法定代表人或其委托代理人逐页手签。</w:t>
            </w:r>
          </w:p>
          <w:p>
            <w:pPr>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11</w:t>
            </w:r>
          </w:p>
        </w:tc>
        <w:tc>
          <w:tcPr>
            <w:tcW w:w="268" w:type="pct"/>
            <w:vAlign w:val="center"/>
          </w:tcPr>
          <w:p>
            <w:pPr>
              <w:jc w:val="center"/>
              <w:rPr>
                <w:sz w:val="24"/>
              </w:rPr>
            </w:pPr>
            <w:r>
              <w:rPr>
                <w:sz w:val="24"/>
              </w:rPr>
              <w:t>10.1</w:t>
            </w:r>
          </w:p>
        </w:tc>
        <w:tc>
          <w:tcPr>
            <w:tcW w:w="762" w:type="pct"/>
            <w:vAlign w:val="center"/>
          </w:tcPr>
          <w:p>
            <w:pPr>
              <w:jc w:val="center"/>
              <w:rPr>
                <w:sz w:val="24"/>
              </w:rPr>
            </w:pPr>
            <w:r>
              <w:rPr>
                <w:rFonts w:hint="eastAsia"/>
                <w:sz w:val="24"/>
              </w:rPr>
              <w:t>响应有效期</w:t>
            </w:r>
          </w:p>
        </w:tc>
        <w:tc>
          <w:tcPr>
            <w:tcW w:w="3401" w:type="pct"/>
            <w:vAlign w:val="center"/>
          </w:tcPr>
          <w:p>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12</w:t>
            </w:r>
          </w:p>
        </w:tc>
        <w:tc>
          <w:tcPr>
            <w:tcW w:w="268" w:type="pct"/>
            <w:vAlign w:val="center"/>
          </w:tcPr>
          <w:p>
            <w:pPr>
              <w:jc w:val="center"/>
              <w:rPr>
                <w:sz w:val="24"/>
              </w:rPr>
            </w:pPr>
            <w:r>
              <w:rPr>
                <w:sz w:val="24"/>
              </w:rPr>
              <w:t>12.1</w:t>
            </w:r>
          </w:p>
        </w:tc>
        <w:tc>
          <w:tcPr>
            <w:tcW w:w="762" w:type="pct"/>
            <w:vAlign w:val="center"/>
          </w:tcPr>
          <w:p>
            <w:pPr>
              <w:jc w:val="center"/>
              <w:rPr>
                <w:sz w:val="24"/>
              </w:rPr>
            </w:pPr>
            <w:r>
              <w:rPr>
                <w:rFonts w:hint="eastAsia"/>
                <w:sz w:val="24"/>
              </w:rPr>
              <w:t>递交响应文件截止时间、地点</w:t>
            </w:r>
          </w:p>
        </w:tc>
        <w:tc>
          <w:tcPr>
            <w:tcW w:w="3401" w:type="pct"/>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pPr>
              <w:jc w:val="center"/>
              <w:rPr>
                <w:sz w:val="24"/>
              </w:rPr>
            </w:pPr>
            <w:r>
              <w:rPr>
                <w:sz w:val="24"/>
              </w:rPr>
              <w:t>1</w:t>
            </w:r>
            <w:r>
              <w:rPr>
                <w:rFonts w:hint="eastAsia"/>
                <w:sz w:val="24"/>
              </w:rPr>
              <w:t>3</w:t>
            </w:r>
          </w:p>
        </w:tc>
        <w:tc>
          <w:tcPr>
            <w:tcW w:w="268" w:type="pct"/>
            <w:vAlign w:val="center"/>
          </w:tcPr>
          <w:p>
            <w:pPr>
              <w:jc w:val="center"/>
              <w:rPr>
                <w:sz w:val="24"/>
              </w:rPr>
            </w:pPr>
            <w:r>
              <w:rPr>
                <w:sz w:val="24"/>
              </w:rPr>
              <w:t>17.5</w:t>
            </w:r>
          </w:p>
        </w:tc>
        <w:tc>
          <w:tcPr>
            <w:tcW w:w="762" w:type="pct"/>
            <w:vAlign w:val="center"/>
          </w:tcPr>
          <w:p>
            <w:pPr>
              <w:jc w:val="center"/>
              <w:rPr>
                <w:sz w:val="24"/>
              </w:rPr>
            </w:pPr>
            <w:r>
              <w:rPr>
                <w:rFonts w:hint="eastAsia"/>
                <w:sz w:val="24"/>
              </w:rPr>
              <w:t>如发现下列情况之一的，其响应文件将可能被拒绝</w:t>
            </w:r>
          </w:p>
        </w:tc>
        <w:tc>
          <w:tcPr>
            <w:tcW w:w="3401" w:type="pct"/>
            <w:vAlign w:val="center"/>
          </w:tcPr>
          <w:p>
            <w:pPr>
              <w:rPr>
                <w:sz w:val="24"/>
              </w:rPr>
            </w:pPr>
            <w:r>
              <w:rPr>
                <w:sz w:val="24"/>
              </w:rPr>
              <w:t>1</w:t>
            </w:r>
            <w:r>
              <w:rPr>
                <w:rFonts w:hint="eastAsia"/>
                <w:sz w:val="24"/>
              </w:rPr>
              <w:t>）不满足竞争性谈判文件对合格供应商的基本资质要求的；</w:t>
            </w:r>
          </w:p>
          <w:p>
            <w:pPr>
              <w:rPr>
                <w:sz w:val="24"/>
              </w:rPr>
            </w:pPr>
            <w:r>
              <w:rPr>
                <w:rFonts w:hint="eastAsia"/>
                <w:sz w:val="24"/>
              </w:rPr>
              <w:t>2）供应商在响应文件中提供的服务内容及质量不能实质性满足竞争性谈判文件要求或不能提供实质性满足证明的；</w:t>
            </w:r>
          </w:p>
          <w:p>
            <w:pPr>
              <w:rPr>
                <w:sz w:val="24"/>
              </w:rPr>
            </w:pPr>
            <w:r>
              <w:rPr>
                <w:rFonts w:hint="eastAsia"/>
                <w:sz w:val="24"/>
              </w:rPr>
              <w:t>3）供应商在响应文件中对于第四章《合同格式》有任何负偏离的；</w:t>
            </w:r>
          </w:p>
          <w:p>
            <w:pPr>
              <w:rPr>
                <w:sz w:val="24"/>
              </w:rPr>
            </w:pPr>
            <w:r>
              <w:rPr>
                <w:rFonts w:hint="eastAsia"/>
                <w:sz w:val="24"/>
              </w:rPr>
              <w:t>4）响应函、法人代表授权书不按照第六章《附件》的格式提供的；</w:t>
            </w:r>
          </w:p>
          <w:p>
            <w:pPr>
              <w:rPr>
                <w:sz w:val="24"/>
              </w:rPr>
            </w:pPr>
            <w:r>
              <w:rPr>
                <w:rFonts w:hint="eastAsia"/>
                <w:sz w:val="24"/>
              </w:rPr>
              <w:t>5）资格证明文件不全、失效或不符合竞争性谈判文件要求的；</w:t>
            </w:r>
          </w:p>
          <w:p>
            <w:pPr>
              <w:rPr>
                <w:sz w:val="24"/>
              </w:rPr>
            </w:pPr>
            <w:r>
              <w:rPr>
                <w:rFonts w:hint="eastAsia"/>
                <w:sz w:val="24"/>
              </w:rPr>
              <w:t>6）响应文件无法定代表人签字，或签字人无法定代表人有效授权的；</w:t>
            </w:r>
          </w:p>
          <w:p>
            <w:pPr>
              <w:rPr>
                <w:sz w:val="24"/>
              </w:rPr>
            </w:pPr>
            <w:r>
              <w:rPr>
                <w:rFonts w:hint="eastAsia"/>
                <w:sz w:val="24"/>
              </w:rPr>
              <w:t>8）响应文件或响应有效期不足的；</w:t>
            </w:r>
          </w:p>
          <w:p>
            <w:pPr>
              <w:rPr>
                <w:sz w:val="24"/>
              </w:rPr>
            </w:pPr>
            <w:r>
              <w:rPr>
                <w:rFonts w:hint="eastAsia"/>
                <w:sz w:val="24"/>
              </w:rPr>
              <w:t>8）响应文件中提供虚假或失实资料的；</w:t>
            </w:r>
          </w:p>
          <w:p>
            <w:pPr>
              <w:rPr>
                <w:sz w:val="24"/>
              </w:rPr>
            </w:pPr>
            <w:r>
              <w:rPr>
                <w:rFonts w:hint="eastAsia"/>
                <w:sz w:val="24"/>
              </w:rPr>
              <w:t>9）未按照竞争性谈判文件规定的方式领取竞争性谈判文件并按要求递交响应文件的；</w:t>
            </w:r>
          </w:p>
          <w:p>
            <w:pPr>
              <w:rPr>
                <w:sz w:val="24"/>
              </w:rPr>
            </w:pPr>
            <w:r>
              <w:rPr>
                <w:sz w:val="24"/>
              </w:rPr>
              <w:t>1</w:t>
            </w:r>
            <w:r>
              <w:rPr>
                <w:rFonts w:hint="eastAsia"/>
                <w:sz w:val="24"/>
              </w:rPr>
              <w:t>0）评审委员会认为不能实质上满足竞争性谈判文件其它要求的；</w:t>
            </w:r>
          </w:p>
          <w:p>
            <w:pPr>
              <w:pStyle w:val="2"/>
              <w:rPr>
                <w:rFonts w:ascii="Arial" w:hAnsi="Arial"/>
                <w:sz w:val="24"/>
              </w:rPr>
            </w:pPr>
            <w:r>
              <w:rPr>
                <w:sz w:val="24"/>
                <w:szCs w:val="24"/>
              </w:rPr>
              <w:t>11</w:t>
            </w:r>
            <w:r>
              <w:rPr>
                <w:rFonts w:hint="eastAsia"/>
                <w:sz w:val="24"/>
                <w:szCs w:val="24"/>
              </w:rPr>
              <w:t>）采购人享有招标后对采购设备进行测试的权力，若发现其与招标需求不符，可判定供应商响应文件无效。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pPr>
              <w:jc w:val="center"/>
              <w:rPr>
                <w:sz w:val="24"/>
              </w:rPr>
            </w:pPr>
            <w:r>
              <w:rPr>
                <w:sz w:val="24"/>
              </w:rPr>
              <w:t>1</w:t>
            </w:r>
            <w:r>
              <w:rPr>
                <w:rFonts w:hint="eastAsia"/>
                <w:sz w:val="24"/>
              </w:rPr>
              <w:t>4</w:t>
            </w:r>
          </w:p>
        </w:tc>
        <w:tc>
          <w:tcPr>
            <w:tcW w:w="268" w:type="pct"/>
            <w:vAlign w:val="center"/>
          </w:tcPr>
          <w:p>
            <w:pPr>
              <w:jc w:val="center"/>
              <w:rPr>
                <w:sz w:val="24"/>
              </w:rPr>
            </w:pPr>
            <w:r>
              <w:rPr>
                <w:sz w:val="24"/>
              </w:rPr>
              <w:t>19</w:t>
            </w:r>
          </w:p>
        </w:tc>
        <w:tc>
          <w:tcPr>
            <w:tcW w:w="762" w:type="pct"/>
            <w:vAlign w:val="center"/>
          </w:tcPr>
          <w:p>
            <w:pPr>
              <w:jc w:val="center"/>
              <w:rPr>
                <w:sz w:val="24"/>
              </w:rPr>
            </w:pPr>
            <w:r>
              <w:rPr>
                <w:rFonts w:hint="eastAsia"/>
                <w:sz w:val="24"/>
              </w:rPr>
              <w:t>评审</w:t>
            </w:r>
          </w:p>
        </w:tc>
        <w:tc>
          <w:tcPr>
            <w:tcW w:w="3401" w:type="pct"/>
            <w:vAlign w:val="center"/>
          </w:tcPr>
          <w:p>
            <w:pPr>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pPr>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rPr>
                <w:sz w:val="24"/>
              </w:rPr>
            </w:pPr>
            <w:r>
              <w:rPr>
                <w:sz w:val="24"/>
              </w:rPr>
              <w:t>5</w:t>
            </w:r>
            <w:r>
              <w:rPr>
                <w:rFonts w:hint="eastAsia"/>
                <w:sz w:val="24"/>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66" w:type="pct"/>
            <w:vAlign w:val="center"/>
          </w:tcPr>
          <w:p>
            <w:pPr>
              <w:jc w:val="center"/>
              <w:rPr>
                <w:sz w:val="24"/>
              </w:rPr>
            </w:pPr>
            <w:r>
              <w:rPr>
                <w:sz w:val="24"/>
              </w:rPr>
              <w:t>1</w:t>
            </w:r>
            <w:r>
              <w:rPr>
                <w:rFonts w:hint="eastAsia"/>
                <w:sz w:val="24"/>
              </w:rPr>
              <w:t>5</w:t>
            </w:r>
          </w:p>
        </w:tc>
        <w:tc>
          <w:tcPr>
            <w:tcW w:w="268" w:type="pct"/>
            <w:vAlign w:val="center"/>
          </w:tcPr>
          <w:p>
            <w:pPr>
              <w:jc w:val="center"/>
              <w:rPr>
                <w:sz w:val="24"/>
              </w:rPr>
            </w:pPr>
            <w:r>
              <w:rPr>
                <w:sz w:val="24"/>
              </w:rPr>
              <w:t>22.1</w:t>
            </w:r>
          </w:p>
        </w:tc>
        <w:tc>
          <w:tcPr>
            <w:tcW w:w="762" w:type="pct"/>
            <w:vAlign w:val="center"/>
          </w:tcPr>
          <w:p>
            <w:pPr>
              <w:jc w:val="center"/>
              <w:rPr>
                <w:sz w:val="24"/>
              </w:rPr>
            </w:pPr>
            <w:r>
              <w:rPr>
                <w:rFonts w:hint="eastAsia"/>
                <w:sz w:val="24"/>
              </w:rPr>
              <w:t>成交</w:t>
            </w:r>
          </w:p>
          <w:p>
            <w:pPr>
              <w:jc w:val="center"/>
              <w:rPr>
                <w:sz w:val="24"/>
              </w:rPr>
            </w:pPr>
            <w:r>
              <w:rPr>
                <w:rFonts w:hint="eastAsia"/>
                <w:sz w:val="24"/>
              </w:rPr>
              <w:t>供应商数量</w:t>
            </w:r>
          </w:p>
        </w:tc>
        <w:tc>
          <w:tcPr>
            <w:tcW w:w="3401" w:type="pct"/>
            <w:vAlign w:val="center"/>
          </w:tcPr>
          <w:p>
            <w:pPr>
              <w:rPr>
                <w:sz w:val="24"/>
              </w:rPr>
            </w:pPr>
            <w:r>
              <w:rPr>
                <w:rFonts w:hint="eastAsia"/>
                <w:sz w:val="24"/>
              </w:rPr>
              <w:t>1名成交供应商。推荐3名中标候选人。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66" w:type="pct"/>
            <w:vAlign w:val="center"/>
          </w:tcPr>
          <w:p>
            <w:pPr>
              <w:jc w:val="center"/>
              <w:rPr>
                <w:sz w:val="24"/>
              </w:rPr>
            </w:pPr>
            <w:r>
              <w:rPr>
                <w:sz w:val="24"/>
              </w:rPr>
              <w:t>1</w:t>
            </w:r>
            <w:r>
              <w:rPr>
                <w:rFonts w:hint="eastAsia"/>
                <w:sz w:val="24"/>
              </w:rPr>
              <w:t>6</w:t>
            </w:r>
          </w:p>
        </w:tc>
        <w:tc>
          <w:tcPr>
            <w:tcW w:w="268" w:type="pct"/>
            <w:vAlign w:val="center"/>
          </w:tcPr>
          <w:p>
            <w:pPr>
              <w:jc w:val="center"/>
              <w:rPr>
                <w:sz w:val="24"/>
              </w:rPr>
            </w:pPr>
            <w:r>
              <w:rPr>
                <w:sz w:val="24"/>
              </w:rPr>
              <w:t>24</w:t>
            </w:r>
          </w:p>
        </w:tc>
        <w:tc>
          <w:tcPr>
            <w:tcW w:w="762" w:type="pct"/>
            <w:vAlign w:val="center"/>
          </w:tcPr>
          <w:p>
            <w:pPr>
              <w:jc w:val="center"/>
              <w:rPr>
                <w:sz w:val="24"/>
              </w:rPr>
            </w:pPr>
            <w:r>
              <w:rPr>
                <w:rFonts w:hint="eastAsia"/>
                <w:sz w:val="24"/>
              </w:rPr>
              <w:t>签约</w:t>
            </w:r>
          </w:p>
        </w:tc>
        <w:tc>
          <w:tcPr>
            <w:tcW w:w="3401" w:type="pct"/>
            <w:vAlign w:val="center"/>
          </w:tcPr>
          <w:p>
            <w:pPr>
              <w:rPr>
                <w:sz w:val="24"/>
              </w:rPr>
            </w:pPr>
            <w:r>
              <w:rPr>
                <w:rFonts w:hint="eastAsia"/>
                <w:sz w:val="24"/>
              </w:rPr>
              <w:t>采购人与本次成交供应商按本竞争性谈判文件第四章合同格式签订合同。</w:t>
            </w:r>
          </w:p>
        </w:tc>
      </w:tr>
    </w:tbl>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二、竞争性谈判文件</w:t>
      </w:r>
    </w:p>
    <w:p>
      <w:pPr>
        <w:spacing w:line="360" w:lineRule="auto"/>
        <w:rPr>
          <w:rFonts w:ascii="宋体" w:hAnsi="宋体"/>
          <w:sz w:val="24"/>
        </w:rPr>
      </w:pPr>
      <w:r>
        <w:rPr>
          <w:rFonts w:ascii="宋体" w:hAnsi="宋体"/>
          <w:sz w:val="24"/>
        </w:rPr>
        <w:t>3.</w:t>
      </w:r>
      <w:r>
        <w:rPr>
          <w:rFonts w:hint="eastAsia" w:ascii="宋体" w:hAnsi="宋体"/>
          <w:sz w:val="24"/>
        </w:rPr>
        <w:t>竞争性谈判文件构成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竞争性谈判文件共七章，内容如下：</w:t>
      </w:r>
    </w:p>
    <w:p>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pPr>
        <w:spacing w:line="360" w:lineRule="auto"/>
        <w:rPr>
          <w:rFonts w:ascii="宋体" w:hAnsi="宋体"/>
          <w:sz w:val="24"/>
        </w:rPr>
      </w:pPr>
      <w:r>
        <w:rPr>
          <w:rFonts w:hint="eastAsia" w:ascii="宋体" w:hAnsi="宋体"/>
          <w:sz w:val="24"/>
        </w:rPr>
        <w:t>第二章竞争性谈判须知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第六章竞争性谈判响应文件格式</w:t>
      </w:r>
    </w:p>
    <w:p>
      <w:pPr>
        <w:spacing w:line="360" w:lineRule="auto"/>
        <w:rPr>
          <w:rFonts w:ascii="宋体" w:hAnsi="宋体"/>
          <w:sz w:val="24"/>
        </w:rPr>
      </w:pPr>
      <w:r>
        <w:rPr>
          <w:rFonts w:hint="eastAsia" w:ascii="宋体" w:hAnsi="宋体"/>
          <w:sz w:val="24"/>
        </w:rPr>
        <w:t>第七章其他</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3</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2</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供应商根据本须知规定将报价分成几部分并按附件格式填写扩容报价表，是为了方便采购人对响应文件进行比较，并不限制采购人以上述任何条件订立合同的权利。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pPr>
        <w:spacing w:line="360" w:lineRule="auto"/>
        <w:rPr>
          <w:rFonts w:ascii="宋体" w:hAnsi="宋体"/>
          <w:b/>
          <w:sz w:val="28"/>
          <w:szCs w:val="28"/>
        </w:rPr>
      </w:pPr>
      <w:r>
        <w:rPr>
          <w:rFonts w:hint="eastAsia" w:ascii="宋体" w:hAnsi="宋体"/>
          <w:b/>
          <w:sz w:val="28"/>
          <w:szCs w:val="28"/>
        </w:rPr>
        <w:t>六、谈判和成交供应商评审</w:t>
      </w:r>
    </w:p>
    <w:p>
      <w:pPr>
        <w:spacing w:line="360" w:lineRule="auto"/>
        <w:rPr>
          <w:rFonts w:ascii="宋体" w:hAnsi="宋体"/>
          <w:sz w:val="24"/>
        </w:rPr>
      </w:pPr>
      <w:r>
        <w:rPr>
          <w:rFonts w:ascii="宋体" w:hAnsi="宋体"/>
          <w:sz w:val="24"/>
        </w:rPr>
        <w:t>18.谈判</w:t>
      </w:r>
    </w:p>
    <w:p>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供应商应将其最终报价和相关承诺的正本一份密封装在一个信封中，信封上标明“项目名称及编号”、“供应商名称和地址”字样，并在规定的时间内递交至采购人。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spacing w:line="360" w:lineRule="auto"/>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bookmarkEnd w:id="8"/>
      <w:bookmarkEnd w:id="9"/>
      <w:bookmarkEnd w:id="10"/>
      <w:bookmarkEnd w:id="11"/>
      <w:bookmarkStart w:id="13" w:name="_Toc227057922"/>
      <w:bookmarkStart w:id="14" w:name="_Toc226969316"/>
      <w:bookmarkStart w:id="15" w:name="_Toc107822520"/>
      <w:r>
        <w:br w:type="page"/>
      </w:r>
    </w:p>
    <w:bookmarkEnd w:id="13"/>
    <w:bookmarkEnd w:id="14"/>
    <w:bookmarkEnd w:id="15"/>
    <w:p>
      <w:pPr>
        <w:pStyle w:val="3"/>
        <w:numPr>
          <w:ilvl w:val="0"/>
          <w:numId w:val="0"/>
        </w:numPr>
        <w:spacing w:before="0" w:after="0" w:line="360" w:lineRule="auto"/>
        <w:rPr>
          <w:b/>
          <w:sz w:val="36"/>
          <w:szCs w:val="36"/>
        </w:rPr>
      </w:pPr>
      <w:bookmarkStart w:id="16" w:name="_Toc69378617"/>
      <w:bookmarkStart w:id="17" w:name="_Toc226969352"/>
      <w:bookmarkStart w:id="18" w:name="_Toc107822556"/>
      <w:bookmarkStart w:id="19" w:name="_Toc227057958"/>
      <w:r>
        <w:rPr>
          <w:rFonts w:hint="eastAsia"/>
          <w:b/>
          <w:sz w:val="36"/>
          <w:szCs w:val="36"/>
        </w:rPr>
        <w:t>第三章</w:t>
      </w:r>
      <w:bookmarkStart w:id="20" w:name="_Hlk113980362"/>
      <w:r>
        <w:rPr>
          <w:rFonts w:hint="eastAsia"/>
          <w:b/>
          <w:sz w:val="36"/>
          <w:szCs w:val="36"/>
        </w:rPr>
        <w:t>评审办法</w:t>
      </w:r>
      <w:bookmarkEnd w:id="16"/>
      <w:bookmarkEnd w:id="20"/>
    </w:p>
    <w:p>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
                <w:bCs/>
                <w:kern w:val="0"/>
                <w:szCs w:val="21"/>
              </w:rPr>
            </w:pPr>
            <w:r>
              <w:rPr>
                <w:b/>
                <w:kern w:val="0"/>
                <w:szCs w:val="21"/>
              </w:rPr>
              <w:t>评标项目</w:t>
            </w: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cs="宋体"/>
                <w:b/>
                <w:kern w:val="0"/>
                <w:szCs w:val="21"/>
              </w:rPr>
            </w:pPr>
            <w:r>
              <w:rPr>
                <w:rFonts w:cs="宋体"/>
                <w:b/>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bookmarkStart w:id="21" w:name="_Hlk113980628"/>
            <w:r>
              <w:rPr>
                <w:rFonts w:hint="eastAsia" w:ascii="宋体" w:hAnsi="宋体"/>
                <w:szCs w:val="21"/>
              </w:rPr>
              <w:t>价格</w:t>
            </w:r>
            <w:bookmarkEnd w:id="21"/>
            <w:r>
              <w:rPr>
                <w:rFonts w:hint="eastAsia" w:ascii="宋体" w:hAnsi="宋体"/>
                <w:szCs w:val="21"/>
              </w:rPr>
              <w:t>（</w:t>
            </w:r>
            <w:r>
              <w:rPr>
                <w:rFonts w:ascii="宋体" w:hAnsi="宋体"/>
                <w:szCs w:val="21"/>
              </w:rPr>
              <w:t>40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A、评审价的计算：</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1、供应商的最终报价如有缺漏项均视为不实质性响应；</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2、不接受选择性报价或者具有附加条件的报价；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3、响应文件中如果申报了非竞争性谈判文件所要求的服务和产品，评审时不予以折价降低评审价；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4、供应商的报价经勘误后的值作为该供应商的评审价。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B、价格分的计算（保留小数点后2位）</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1、供应商评审价=经评审的该供应商含税总价。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2、评审基准价：</w:t>
            </w:r>
            <w:r>
              <w:rPr>
                <w:rFonts w:hint="eastAsia"/>
              </w:rPr>
              <w:t>将满足响应文件要求的所有供应商的最低价为评标基准价。</w:t>
            </w:r>
          </w:p>
          <w:p>
            <w:pPr>
              <w:keepLines/>
              <w:widowControl/>
              <w:tabs>
                <w:tab w:val="left" w:pos="794"/>
                <w:tab w:val="left" w:pos="1191"/>
                <w:tab w:val="left" w:pos="1588"/>
                <w:tab w:val="left" w:pos="1985"/>
              </w:tabs>
              <w:autoSpaceDE w:val="0"/>
              <w:autoSpaceDN w:val="0"/>
              <w:adjustRightInd w:val="0"/>
              <w:jc w:val="left"/>
            </w:pPr>
            <w:r>
              <w:rPr>
                <w:rFonts w:hint="eastAsia" w:ascii="宋体" w:hAnsi="宋体"/>
                <w:szCs w:val="21"/>
              </w:rPr>
              <w:t>3、计算价格得分：</w:t>
            </w:r>
            <w:r>
              <w:rPr>
                <w:rFonts w:hint="eastAsia"/>
              </w:rPr>
              <w:t>（评审基准价/供应商评标价）×</w:t>
            </w:r>
            <w:r>
              <w:t>40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rPr>
            </w:pPr>
            <w:bookmarkStart w:id="22" w:name="_Hlk113980401"/>
            <w:r>
              <w:rPr>
                <w:rFonts w:hint="eastAsia" w:ascii="宋体" w:hAnsi="宋体"/>
                <w:bCs/>
              </w:rPr>
              <w:t>响应文件</w:t>
            </w:r>
          </w:p>
          <w:p>
            <w:pPr>
              <w:keepLines/>
              <w:widowControl/>
              <w:tabs>
                <w:tab w:val="left" w:pos="794"/>
                <w:tab w:val="left" w:pos="1191"/>
                <w:tab w:val="left" w:pos="1588"/>
                <w:tab w:val="left" w:pos="1985"/>
              </w:tabs>
              <w:autoSpaceDE w:val="0"/>
              <w:autoSpaceDN w:val="0"/>
              <w:adjustRightInd w:val="0"/>
              <w:jc w:val="center"/>
              <w:rPr>
                <w:bCs/>
              </w:rPr>
            </w:pPr>
            <w:r>
              <w:rPr>
                <w:rFonts w:hint="eastAsia" w:ascii="宋体" w:hAnsi="宋体"/>
                <w:bCs/>
              </w:rPr>
              <w:t>有效性</w:t>
            </w:r>
            <w:bookmarkEnd w:id="22"/>
            <w:r>
              <w:rPr>
                <w:rFonts w:hint="eastAsia" w:ascii="宋体" w:hAnsi="宋体"/>
                <w:bCs/>
              </w:rPr>
              <w:t>（2分）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bCs/>
              </w:rPr>
            </w:pPr>
            <w:bookmarkStart w:id="23" w:name="_Hlk113980426"/>
            <w:r>
              <w:rPr>
                <w:rFonts w:hint="eastAsia" w:ascii="宋体" w:hAnsi="宋体"/>
                <w:bCs/>
              </w:rPr>
              <w:t>响应文件需完全符合采购文件的形式要件，资料齐全完整、无缺漏项；文字清晰、描述清楚、数据严谨；报价表准确无误、符合要求，全部满足得2分，其他不得分。</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41" w:type="dxa"/>
            <w:vMerge w:val="restart"/>
            <w:tcBorders>
              <w:top w:val="single" w:color="auto" w:sz="4" w:space="0"/>
              <w:left w:val="single" w:color="auto" w:sz="4" w:space="0"/>
              <w:right w:val="single" w:color="auto" w:sz="4" w:space="0"/>
            </w:tcBorders>
            <w:vAlign w:val="center"/>
          </w:tcPr>
          <w:p>
            <w:pPr>
              <w:widowControl/>
              <w:jc w:val="center"/>
              <w:rPr>
                <w:rFonts w:ascii="宋体" w:hAnsi="宋体"/>
                <w:szCs w:val="21"/>
              </w:rPr>
            </w:pPr>
            <w:bookmarkStart w:id="24" w:name="_Hlk113980458"/>
            <w:r>
              <w:rPr>
                <w:rFonts w:hint="eastAsia" w:ascii="宋体" w:hAnsi="宋体"/>
                <w:bCs/>
              </w:rPr>
              <w:t>综合实力</w:t>
            </w:r>
            <w:bookmarkEnd w:id="24"/>
            <w:r>
              <w:rPr>
                <w:rFonts w:hint="eastAsia" w:ascii="宋体" w:hAnsi="宋体"/>
                <w:bCs/>
              </w:rPr>
              <w:t>（</w:t>
            </w:r>
            <w:r>
              <w:rPr>
                <w:rFonts w:hint="eastAsia"/>
                <w:bCs/>
              </w:rPr>
              <w:t>1</w:t>
            </w:r>
            <w:r>
              <w:rPr>
                <w:bCs/>
              </w:rPr>
              <w:t>5</w:t>
            </w:r>
            <w:r>
              <w:rPr>
                <w:rFonts w:hint="eastAsia" w:ascii="宋体" w:hAnsi="宋体"/>
                <w:bCs/>
              </w:rPr>
              <w:t>分）</w:t>
            </w:r>
          </w:p>
        </w:tc>
        <w:tc>
          <w:tcPr>
            <w:tcW w:w="912"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企业综合实力（3分）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tabs>
                <w:tab w:val="left" w:pos="794"/>
                <w:tab w:val="left" w:pos="1191"/>
                <w:tab w:val="left" w:pos="1588"/>
                <w:tab w:val="left" w:pos="1985"/>
              </w:tabs>
              <w:autoSpaceDE w:val="0"/>
              <w:autoSpaceDN w:val="0"/>
              <w:adjustRightInd w:val="0"/>
              <w:jc w:val="left"/>
              <w:rPr>
                <w:rFonts w:ascii="宋体" w:hAnsi="宋体"/>
                <w:bCs/>
              </w:rPr>
            </w:pPr>
            <w:bookmarkStart w:id="25" w:name="_Hlk113980493"/>
            <w:r>
              <w:rPr>
                <w:rFonts w:hint="eastAsia" w:ascii="宋体" w:hAnsi="宋体"/>
                <w:bCs/>
              </w:rPr>
              <w:t>根据供应商的企业规模、业务范围、组织及研发机构、软硬件设施、发展情况、财务状况（总资产、利润等）、经营信誉（荣誉奖项等）、管理制度等情况进行打分，提供综合实力相关证明文件。</w:t>
            </w:r>
          </w:p>
          <w:p>
            <w:pPr>
              <w:keepLines/>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w:t>
            </w: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]分；较好[</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w:t>
            </w:r>
            <w:r>
              <w:rPr>
                <w:rFonts w:ascii="宋体" w:hAnsi="宋体"/>
                <w:szCs w:val="21"/>
              </w:rPr>
              <w:t>1</w:t>
            </w:r>
            <w:r>
              <w:rPr>
                <w:rFonts w:hint="eastAsia" w:ascii="宋体" w:hAnsi="宋体"/>
                <w:szCs w:val="21"/>
              </w:rPr>
              <w:t>)分。</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141" w:type="dxa"/>
            <w:vMerge w:val="continue"/>
            <w:tcBorders>
              <w:left w:val="single" w:color="auto" w:sz="4" w:space="0"/>
              <w:right w:val="single" w:color="auto" w:sz="4" w:space="0"/>
            </w:tcBorders>
            <w:vAlign w:val="center"/>
          </w:tcPr>
          <w:p>
            <w:pPr>
              <w:widowControl/>
              <w:jc w:val="center"/>
              <w:rPr>
                <w:rFonts w:ascii="宋体" w:hAnsi="宋体"/>
                <w:bCs/>
              </w:rPr>
            </w:pPr>
          </w:p>
        </w:tc>
        <w:tc>
          <w:tcPr>
            <w:tcW w:w="912"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Cs/>
              </w:rPr>
            </w:pPr>
            <w:r>
              <w:rPr>
                <w:rFonts w:hint="eastAsia"/>
                <w:bCs/>
              </w:rPr>
              <w:t>财务状况（2分）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tabs>
                <w:tab w:val="left" w:pos="794"/>
                <w:tab w:val="left" w:pos="1191"/>
                <w:tab w:val="left" w:pos="1588"/>
                <w:tab w:val="left" w:pos="1985"/>
              </w:tabs>
              <w:autoSpaceDE w:val="0"/>
              <w:autoSpaceDN w:val="0"/>
              <w:adjustRightInd w:val="0"/>
              <w:jc w:val="left"/>
              <w:rPr>
                <w:rFonts w:ascii="宋体" w:hAnsi="宋体"/>
                <w:bCs/>
              </w:rPr>
            </w:pPr>
            <w:r>
              <w:rPr>
                <w:rFonts w:hint="eastAsia" w:ascii="宋体" w:hAnsi="宋体"/>
                <w:bCs/>
              </w:rPr>
              <w:t>根据供应商公司财务状况进行评分。</w:t>
            </w:r>
          </w:p>
          <w:p>
            <w:pPr>
              <w:keepLines/>
              <w:tabs>
                <w:tab w:val="left" w:pos="794"/>
                <w:tab w:val="left" w:pos="1191"/>
                <w:tab w:val="left" w:pos="1588"/>
                <w:tab w:val="left" w:pos="1985"/>
              </w:tabs>
              <w:autoSpaceDE w:val="0"/>
              <w:autoSpaceDN w:val="0"/>
              <w:adjustRightInd w:val="0"/>
              <w:jc w:val="left"/>
              <w:rPr>
                <w:rFonts w:ascii="宋体" w:hAnsi="宋体"/>
                <w:bCs/>
              </w:rPr>
            </w:pPr>
            <w:r>
              <w:rPr>
                <w:rFonts w:hint="eastAsia" w:ascii="宋体" w:hAnsi="宋体"/>
                <w:bCs/>
              </w:rPr>
              <w:t>近</w:t>
            </w:r>
            <w:r>
              <w:rPr>
                <w:rFonts w:ascii="宋体" w:hAnsi="宋体"/>
                <w:bCs/>
              </w:rPr>
              <w:t>3</w:t>
            </w:r>
            <w:r>
              <w:rPr>
                <w:rFonts w:hint="eastAsia" w:ascii="宋体" w:hAnsi="宋体"/>
                <w:bCs/>
              </w:rPr>
              <w:t>年（202</w:t>
            </w:r>
            <w:r>
              <w:rPr>
                <w:rFonts w:ascii="宋体" w:hAnsi="宋体"/>
                <w:bCs/>
              </w:rPr>
              <w:t>0</w:t>
            </w:r>
            <w:r>
              <w:rPr>
                <w:rFonts w:hint="eastAsia" w:ascii="宋体" w:hAnsi="宋体"/>
                <w:bCs/>
              </w:rPr>
              <w:t>年1月1日至谈判截止之日）财务审计报告的净利润连续3年为正，得</w:t>
            </w:r>
            <w:r>
              <w:rPr>
                <w:rFonts w:ascii="宋体" w:hAnsi="宋体"/>
                <w:bCs/>
              </w:rPr>
              <w:t>2</w:t>
            </w:r>
            <w:r>
              <w:rPr>
                <w:rFonts w:hint="eastAsia" w:ascii="宋体" w:hAnsi="宋体"/>
                <w:bCs/>
              </w:rPr>
              <w:t>分；净利润连续</w:t>
            </w:r>
            <w:r>
              <w:rPr>
                <w:rFonts w:ascii="宋体" w:hAnsi="宋体"/>
                <w:bCs/>
              </w:rPr>
              <w:t>2</w:t>
            </w:r>
            <w:r>
              <w:rPr>
                <w:rFonts w:hint="eastAsia" w:ascii="宋体" w:hAnsi="宋体"/>
                <w:bCs/>
              </w:rPr>
              <w:t>年为正，得</w:t>
            </w:r>
            <w:r>
              <w:rPr>
                <w:rFonts w:ascii="宋体" w:hAnsi="宋体"/>
                <w:bCs/>
              </w:rPr>
              <w:t>1</w:t>
            </w:r>
            <w:r>
              <w:rPr>
                <w:rFonts w:hint="eastAsia" w:ascii="宋体" w:hAnsi="宋体"/>
                <w:bCs/>
              </w:rPr>
              <w:t>分；其余不得分。（提供财务审计报告并加盖供应商公章）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1141" w:type="dxa"/>
            <w:vMerge w:val="continue"/>
            <w:tcBorders>
              <w:left w:val="single" w:color="auto" w:sz="4" w:space="0"/>
              <w:right w:val="single" w:color="auto" w:sz="4" w:space="0"/>
            </w:tcBorders>
            <w:vAlign w:val="center"/>
          </w:tcPr>
          <w:p>
            <w:pPr>
              <w:widowControl/>
              <w:jc w:val="center"/>
              <w:rPr>
                <w:rFonts w:ascii="宋体" w:hAnsi="宋体"/>
                <w:bCs/>
              </w:rPr>
            </w:pPr>
          </w:p>
        </w:tc>
        <w:tc>
          <w:tcPr>
            <w:tcW w:w="912" w:type="dxa"/>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Cs/>
              </w:rPr>
            </w:pPr>
            <w:r>
              <w:rPr>
                <w:rFonts w:hint="eastAsia"/>
                <w:bCs/>
              </w:rPr>
              <w:t>企业认证（</w:t>
            </w:r>
            <w:r>
              <w:rPr>
                <w:bCs/>
              </w:rPr>
              <w:t>8</w:t>
            </w:r>
            <w:r>
              <w:rPr>
                <w:rFonts w:hint="eastAsia"/>
                <w:bCs/>
              </w:rPr>
              <w:t>分）</w:t>
            </w:r>
          </w:p>
        </w:tc>
        <w:tc>
          <w:tcPr>
            <w:tcW w:w="6993" w:type="dxa"/>
            <w:tcBorders>
              <w:top w:val="single" w:color="auto" w:sz="4" w:space="0"/>
              <w:left w:val="single" w:color="auto" w:sz="4" w:space="0"/>
              <w:bottom w:val="single" w:color="auto" w:sz="4" w:space="0"/>
              <w:right w:val="single" w:color="auto" w:sz="4" w:space="0"/>
            </w:tcBorders>
            <w:vAlign w:val="center"/>
          </w:tcPr>
          <w:p>
            <w:pPr>
              <w:pStyle w:val="48"/>
              <w:rPr>
                <w:rFonts w:ascii="宋体" w:hAnsi="宋体"/>
                <w:bCs/>
                <w:color w:val="auto"/>
                <w:kern w:val="2"/>
                <w:sz w:val="21"/>
                <w:szCs w:val="24"/>
              </w:rPr>
            </w:pPr>
            <w:bookmarkStart w:id="26" w:name="_Hlk113980517"/>
            <w:r>
              <w:rPr>
                <w:rFonts w:hint="eastAsia" w:ascii="宋体" w:hAnsi="宋体"/>
                <w:bCs/>
                <w:color w:val="auto"/>
                <w:kern w:val="2"/>
                <w:sz w:val="21"/>
                <w:szCs w:val="24"/>
              </w:rPr>
              <w:t>根据供应商的综合实力和资质情况打分。满分8分。</w:t>
            </w:r>
          </w:p>
          <w:p>
            <w:pPr>
              <w:pStyle w:val="48"/>
              <w:rPr>
                <w:rFonts w:ascii="宋体" w:hAnsi="宋体"/>
                <w:bCs/>
                <w:color w:val="auto"/>
                <w:kern w:val="2"/>
                <w:sz w:val="21"/>
                <w:szCs w:val="24"/>
              </w:rPr>
            </w:pPr>
            <w:r>
              <w:rPr>
                <w:rFonts w:hint="eastAsia" w:ascii="宋体" w:hAnsi="宋体"/>
                <w:bCs/>
                <w:color w:val="auto"/>
                <w:kern w:val="2"/>
                <w:sz w:val="21"/>
                <w:szCs w:val="24"/>
              </w:rPr>
              <w:t>1、</w:t>
            </w:r>
            <w:r>
              <w:rPr>
                <w:rFonts w:hint="eastAsia" w:ascii="宋体" w:hAnsi="宋体"/>
                <w:bCs/>
                <w:color w:val="auto"/>
                <w:kern w:val="2"/>
                <w:sz w:val="21"/>
                <w:szCs w:val="24"/>
              </w:rPr>
              <w:tab/>
            </w:r>
            <w:r>
              <w:rPr>
                <w:rFonts w:hint="eastAsia" w:ascii="宋体" w:hAnsi="宋体"/>
                <w:bCs/>
                <w:color w:val="auto"/>
                <w:kern w:val="2"/>
                <w:sz w:val="21"/>
                <w:szCs w:val="24"/>
              </w:rPr>
              <w:t>供应商通过质量管理体系认证证书、环境管理体系认证证书、职业健康安全管理体系认证证书、信息安全管理体系认证证书，每提供一项得0.5分，此项最高得2分。响应文件中提供证书扫描件并加盖供应商公章。</w:t>
            </w:r>
          </w:p>
          <w:p>
            <w:pPr>
              <w:pStyle w:val="48"/>
              <w:rPr>
                <w:rFonts w:ascii="宋体" w:hAnsi="宋体"/>
                <w:bCs/>
                <w:color w:val="auto"/>
                <w:kern w:val="2"/>
                <w:sz w:val="21"/>
                <w:szCs w:val="24"/>
              </w:rPr>
            </w:pPr>
            <w:r>
              <w:rPr>
                <w:rFonts w:hint="eastAsia" w:ascii="宋体" w:hAnsi="宋体"/>
                <w:bCs/>
                <w:color w:val="auto"/>
                <w:kern w:val="2"/>
                <w:sz w:val="21"/>
                <w:szCs w:val="24"/>
              </w:rPr>
              <w:t>2. 供应商具有《音视频集成工程企业能力等级一级》证书，得</w:t>
            </w:r>
            <w:r>
              <w:rPr>
                <w:rFonts w:ascii="宋体" w:hAnsi="宋体"/>
                <w:bCs/>
                <w:color w:val="auto"/>
                <w:kern w:val="2"/>
                <w:sz w:val="21"/>
                <w:szCs w:val="24"/>
              </w:rPr>
              <w:t>2</w:t>
            </w:r>
            <w:r>
              <w:rPr>
                <w:rFonts w:hint="eastAsia" w:ascii="宋体" w:hAnsi="宋体"/>
                <w:bCs/>
                <w:color w:val="auto"/>
                <w:kern w:val="2"/>
                <w:sz w:val="21"/>
                <w:szCs w:val="24"/>
              </w:rPr>
              <w:t>分。（提供有效期内的证书复印件加盖</w:t>
            </w:r>
            <w:r>
              <w:rPr>
                <w:rFonts w:hint="eastAsia" w:ascii="宋体" w:hAnsi="宋体"/>
                <w:bCs/>
                <w:color w:val="auto"/>
              </w:rPr>
              <w:t>供应商</w:t>
            </w:r>
            <w:r>
              <w:rPr>
                <w:rFonts w:hint="eastAsia" w:ascii="宋体" w:hAnsi="宋体"/>
                <w:bCs/>
                <w:color w:val="auto"/>
                <w:kern w:val="2"/>
                <w:sz w:val="21"/>
                <w:szCs w:val="24"/>
              </w:rPr>
              <w:t>公章，不提供不得分</w:t>
            </w:r>
          </w:p>
          <w:p>
            <w:pPr>
              <w:pStyle w:val="48"/>
              <w:rPr>
                <w:rFonts w:ascii="宋体" w:hAnsi="宋体"/>
                <w:bCs/>
                <w:color w:val="auto"/>
                <w:kern w:val="2"/>
                <w:sz w:val="21"/>
                <w:szCs w:val="24"/>
              </w:rPr>
            </w:pPr>
            <w:r>
              <w:rPr>
                <w:rFonts w:hint="eastAsia" w:ascii="宋体" w:hAnsi="宋体"/>
                <w:bCs/>
                <w:color w:val="auto"/>
                <w:kern w:val="2"/>
                <w:sz w:val="21"/>
                <w:szCs w:val="24"/>
              </w:rPr>
              <w:t>3供应商具有中国电子工业标准化技术协会颁发ITSS信息技术服务运行维护标准符合性证书-成熟等级三级或以上资质证书的，得</w:t>
            </w:r>
            <w:r>
              <w:rPr>
                <w:rFonts w:ascii="宋体" w:hAnsi="宋体"/>
                <w:bCs/>
                <w:color w:val="auto"/>
                <w:kern w:val="2"/>
                <w:sz w:val="21"/>
                <w:szCs w:val="24"/>
              </w:rPr>
              <w:t>2</w:t>
            </w:r>
            <w:r>
              <w:rPr>
                <w:rFonts w:hint="eastAsia" w:ascii="宋体" w:hAnsi="宋体"/>
                <w:bCs/>
                <w:color w:val="auto"/>
                <w:kern w:val="2"/>
                <w:sz w:val="21"/>
                <w:szCs w:val="24"/>
              </w:rPr>
              <w:t>分。（提供有效期内的证书复印件加盖</w:t>
            </w:r>
            <w:r>
              <w:rPr>
                <w:rFonts w:hint="eastAsia" w:ascii="宋体" w:hAnsi="宋体"/>
                <w:bCs/>
                <w:color w:val="auto"/>
              </w:rPr>
              <w:t>供应商</w:t>
            </w:r>
            <w:r>
              <w:rPr>
                <w:rFonts w:hint="eastAsia" w:ascii="宋体" w:hAnsi="宋体"/>
                <w:bCs/>
                <w:color w:val="auto"/>
                <w:kern w:val="2"/>
                <w:sz w:val="21"/>
                <w:szCs w:val="24"/>
              </w:rPr>
              <w:t>公章，不提供不得分）</w:t>
            </w:r>
          </w:p>
          <w:p>
            <w:pPr>
              <w:pStyle w:val="48"/>
              <w:rPr>
                <w:rFonts w:ascii="宋体" w:hAnsi="宋体"/>
                <w:bCs/>
                <w:color w:val="auto"/>
                <w:kern w:val="2"/>
                <w:sz w:val="21"/>
                <w:szCs w:val="24"/>
              </w:rPr>
            </w:pPr>
            <w:r>
              <w:rPr>
                <w:rFonts w:hint="eastAsia" w:ascii="宋体" w:hAnsi="宋体"/>
                <w:bCs/>
                <w:color w:val="auto"/>
                <w:kern w:val="2"/>
                <w:sz w:val="21"/>
                <w:szCs w:val="24"/>
              </w:rPr>
              <w:t>4.供应商具备CMMI3级及以上认证证书得</w:t>
            </w:r>
            <w:r>
              <w:rPr>
                <w:rFonts w:ascii="宋体" w:hAnsi="宋体"/>
                <w:bCs/>
                <w:color w:val="auto"/>
                <w:kern w:val="2"/>
                <w:sz w:val="21"/>
                <w:szCs w:val="24"/>
              </w:rPr>
              <w:t>2</w:t>
            </w:r>
            <w:r>
              <w:rPr>
                <w:rFonts w:hint="eastAsia" w:ascii="宋体" w:hAnsi="宋体"/>
                <w:bCs/>
                <w:color w:val="auto"/>
                <w:kern w:val="2"/>
                <w:sz w:val="21"/>
                <w:szCs w:val="24"/>
              </w:rPr>
              <w:t>分，2级及以下或不具备不得分。</w:t>
            </w:r>
            <w:bookmarkEnd w:id="26"/>
            <w:r>
              <w:rPr>
                <w:rFonts w:hint="eastAsia" w:ascii="宋体" w:hAnsi="宋体"/>
                <w:bCs/>
                <w:color w:val="auto"/>
                <w:kern w:val="2"/>
                <w:sz w:val="21"/>
                <w:szCs w:val="24"/>
              </w:rPr>
              <w:t>（提供有效期内的证书复印件加盖供应商公章，不提供不得分）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4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Cs/>
              </w:rPr>
            </w:pPr>
          </w:p>
        </w:tc>
        <w:tc>
          <w:tcPr>
            <w:tcW w:w="912" w:type="dxa"/>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Cs/>
              </w:rPr>
            </w:pPr>
            <w:r>
              <w:rPr>
                <w:rFonts w:hint="eastAsia"/>
                <w:bCs/>
              </w:rPr>
              <w:t>软件著作权（2分）</w:t>
            </w:r>
          </w:p>
        </w:tc>
        <w:tc>
          <w:tcPr>
            <w:tcW w:w="6993" w:type="dxa"/>
            <w:tcBorders>
              <w:top w:val="single" w:color="auto" w:sz="4" w:space="0"/>
              <w:left w:val="single" w:color="auto" w:sz="4" w:space="0"/>
              <w:bottom w:val="single" w:color="auto" w:sz="4" w:space="0"/>
              <w:right w:val="single" w:color="auto" w:sz="4" w:space="0"/>
            </w:tcBorders>
            <w:vAlign w:val="center"/>
          </w:tcPr>
          <w:p>
            <w:pPr>
              <w:pStyle w:val="48"/>
              <w:rPr>
                <w:rFonts w:ascii="宋体" w:hAnsi="宋体"/>
                <w:bCs/>
                <w:color w:val="auto"/>
                <w:kern w:val="2"/>
                <w:sz w:val="21"/>
                <w:szCs w:val="24"/>
              </w:rPr>
            </w:pPr>
            <w:r>
              <w:rPr>
                <w:rFonts w:hint="eastAsia" w:ascii="宋体" w:hAnsi="宋体"/>
                <w:bCs/>
                <w:color w:val="auto"/>
                <w:kern w:val="2"/>
                <w:sz w:val="21"/>
                <w:szCs w:val="24"/>
              </w:rPr>
              <w:t>软件制造商具有DRM相关的软件著作权证书的，每提供</w:t>
            </w:r>
            <w:r>
              <w:rPr>
                <w:rFonts w:ascii="宋体" w:hAnsi="宋体"/>
                <w:bCs/>
                <w:color w:val="auto"/>
                <w:kern w:val="2"/>
                <w:sz w:val="21"/>
                <w:szCs w:val="24"/>
              </w:rPr>
              <w:t>1</w:t>
            </w:r>
            <w:r>
              <w:rPr>
                <w:rFonts w:hint="eastAsia" w:ascii="宋体" w:hAnsi="宋体"/>
                <w:bCs/>
                <w:color w:val="auto"/>
                <w:kern w:val="2"/>
                <w:sz w:val="21"/>
                <w:szCs w:val="24"/>
              </w:rPr>
              <w:t>个得</w:t>
            </w:r>
            <w:r>
              <w:rPr>
                <w:rFonts w:ascii="宋体" w:hAnsi="宋体"/>
                <w:bCs/>
                <w:color w:val="auto"/>
                <w:kern w:val="2"/>
                <w:sz w:val="21"/>
                <w:szCs w:val="24"/>
              </w:rPr>
              <w:t>1</w:t>
            </w:r>
            <w:r>
              <w:rPr>
                <w:rFonts w:hint="eastAsia" w:ascii="宋体" w:hAnsi="宋体"/>
                <w:bCs/>
                <w:color w:val="auto"/>
                <w:kern w:val="2"/>
                <w:sz w:val="21"/>
                <w:szCs w:val="24"/>
              </w:rPr>
              <w:t>分，满分</w:t>
            </w:r>
            <w:r>
              <w:rPr>
                <w:rFonts w:ascii="宋体" w:hAnsi="宋体"/>
                <w:bCs/>
                <w:color w:val="auto"/>
                <w:kern w:val="2"/>
                <w:sz w:val="21"/>
                <w:szCs w:val="24"/>
              </w:rPr>
              <w:t>2</w:t>
            </w:r>
            <w:r>
              <w:rPr>
                <w:rFonts w:hint="eastAsia" w:ascii="宋体" w:hAnsi="宋体"/>
                <w:bCs/>
                <w:color w:val="auto"/>
                <w:kern w:val="2"/>
                <w:sz w:val="21"/>
                <w:szCs w:val="24"/>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bookmarkStart w:id="27" w:name="_Hlk113980553"/>
            <w:r>
              <w:rPr>
                <w:rFonts w:hint="eastAsia" w:ascii="宋体" w:hAnsi="宋体"/>
                <w:szCs w:val="21"/>
              </w:rPr>
              <w:t>产品业绩经验</w:t>
            </w:r>
            <w:bookmarkEnd w:id="27"/>
            <w:r>
              <w:rPr>
                <w:rFonts w:hint="eastAsia" w:ascii="宋体" w:hAnsi="宋体"/>
                <w:szCs w:val="21"/>
              </w:rPr>
              <w:t>（</w:t>
            </w:r>
            <w:r>
              <w:rPr>
                <w:rFonts w:ascii="宋体" w:hAnsi="宋体"/>
                <w:szCs w:val="21"/>
              </w:rPr>
              <w:t>6</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pStyle w:val="48"/>
              <w:rPr>
                <w:rFonts w:ascii="宋体" w:hAnsi="宋体"/>
                <w:bCs/>
                <w:color w:val="auto"/>
                <w:kern w:val="2"/>
                <w:sz w:val="21"/>
                <w:szCs w:val="24"/>
              </w:rPr>
            </w:pPr>
            <w:r>
              <w:rPr>
                <w:rFonts w:hint="eastAsia" w:ascii="宋体" w:hAnsi="宋体"/>
                <w:bCs/>
                <w:color w:val="auto"/>
                <w:kern w:val="2"/>
                <w:sz w:val="21"/>
                <w:szCs w:val="24"/>
              </w:rPr>
              <w:t>合同业绩情况：根据近</w:t>
            </w:r>
            <w:r>
              <w:rPr>
                <w:rFonts w:ascii="宋体" w:hAnsi="宋体"/>
                <w:bCs/>
                <w:color w:val="auto"/>
                <w:kern w:val="2"/>
                <w:sz w:val="21"/>
                <w:szCs w:val="24"/>
              </w:rPr>
              <w:t>5</w:t>
            </w:r>
            <w:r>
              <w:rPr>
                <w:rFonts w:hint="eastAsia" w:ascii="宋体" w:hAnsi="宋体"/>
                <w:bCs/>
                <w:color w:val="auto"/>
                <w:kern w:val="2"/>
                <w:sz w:val="21"/>
                <w:szCs w:val="24"/>
              </w:rPr>
              <w:t>年DRM项目成功案例情况进行打分。</w:t>
            </w:r>
          </w:p>
          <w:p>
            <w:pPr>
              <w:pStyle w:val="48"/>
              <w:rPr>
                <w:rFonts w:ascii="宋体" w:hAnsi="宋体"/>
                <w:bCs/>
                <w:color w:val="auto"/>
                <w:kern w:val="2"/>
                <w:sz w:val="21"/>
                <w:szCs w:val="24"/>
              </w:rPr>
            </w:pPr>
            <w:r>
              <w:rPr>
                <w:rFonts w:hint="eastAsia" w:ascii="宋体" w:hAnsi="宋体"/>
                <w:bCs/>
                <w:color w:val="auto"/>
                <w:kern w:val="2"/>
                <w:sz w:val="21"/>
                <w:szCs w:val="24"/>
              </w:rPr>
              <w:t>提供自20</w:t>
            </w:r>
            <w:r>
              <w:rPr>
                <w:rFonts w:ascii="宋体" w:hAnsi="宋体"/>
                <w:bCs/>
                <w:color w:val="auto"/>
                <w:kern w:val="2"/>
                <w:sz w:val="21"/>
                <w:szCs w:val="24"/>
              </w:rPr>
              <w:t>19</w:t>
            </w:r>
            <w:r>
              <w:rPr>
                <w:rFonts w:hint="eastAsia" w:ascii="宋体" w:hAnsi="宋体"/>
                <w:bCs/>
                <w:color w:val="auto"/>
                <w:kern w:val="2"/>
                <w:sz w:val="21"/>
                <w:szCs w:val="24"/>
              </w:rPr>
              <w:t>年1月1日（含）至</w:t>
            </w:r>
            <w:r>
              <w:rPr>
                <w:rFonts w:hint="eastAsia" w:ascii="宋体" w:hAnsi="宋体"/>
                <w:bCs/>
                <w:color w:val="auto"/>
              </w:rPr>
              <w:t>谈判</w:t>
            </w:r>
            <w:r>
              <w:rPr>
                <w:rFonts w:hint="eastAsia" w:ascii="宋体" w:hAnsi="宋体"/>
                <w:bCs/>
                <w:color w:val="auto"/>
                <w:kern w:val="2"/>
                <w:sz w:val="21"/>
                <w:szCs w:val="24"/>
              </w:rPr>
              <w:t>截止之日，签订的单个DRM相关合同数量进行评分：每提供1份有效合同得</w:t>
            </w:r>
            <w:r>
              <w:rPr>
                <w:rFonts w:ascii="宋体" w:hAnsi="宋体"/>
                <w:bCs/>
                <w:color w:val="auto"/>
                <w:kern w:val="2"/>
                <w:sz w:val="21"/>
                <w:szCs w:val="24"/>
              </w:rPr>
              <w:t>1</w:t>
            </w:r>
            <w:r>
              <w:rPr>
                <w:rFonts w:hint="eastAsia" w:ascii="宋体" w:hAnsi="宋体"/>
                <w:bCs/>
                <w:color w:val="auto"/>
                <w:kern w:val="2"/>
                <w:sz w:val="21"/>
                <w:szCs w:val="24"/>
              </w:rPr>
              <w:t>分，最高得</w:t>
            </w:r>
            <w:r>
              <w:rPr>
                <w:rFonts w:ascii="宋体" w:hAnsi="宋体"/>
                <w:bCs/>
                <w:color w:val="auto"/>
                <w:kern w:val="2"/>
                <w:sz w:val="21"/>
                <w:szCs w:val="24"/>
              </w:rPr>
              <w:t>6</w:t>
            </w:r>
            <w:r>
              <w:rPr>
                <w:rFonts w:hint="eastAsia" w:ascii="宋体" w:hAnsi="宋体"/>
                <w:bCs/>
                <w:color w:val="auto"/>
                <w:kern w:val="2"/>
                <w:sz w:val="21"/>
                <w:szCs w:val="24"/>
              </w:rPr>
              <w:t xml:space="preserve">分。 </w:t>
            </w:r>
          </w:p>
          <w:p>
            <w:pPr>
              <w:pStyle w:val="48"/>
              <w:rPr>
                <w:rFonts w:ascii="宋体" w:hAnsi="宋体"/>
                <w:bCs/>
                <w:color w:val="auto"/>
                <w:kern w:val="2"/>
                <w:sz w:val="21"/>
                <w:szCs w:val="24"/>
              </w:rPr>
            </w:pPr>
            <w:r>
              <w:rPr>
                <w:rStyle w:val="374"/>
                <w:rFonts w:hint="default"/>
                <w:color w:val="auto"/>
                <w:sz w:val="21"/>
                <w:szCs w:val="21"/>
              </w:rPr>
              <w:t>需提供与供应商（作为被委托方/乙方）签署的合同关键页扫描件（至少包含合同封面、内容、金额、签字盖章页；或能体现前述内容的合同关键页）；如提供的合同为框架合同且不能体现具体金额的，须另附该合同项下的结算单或订单，该框架合同金额以结算单或订单累计金额为准；每份合同均须同时提供至少一张对应的发票复印件，未按要求提供证明材料的该份合同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bookmarkStart w:id="28" w:name="_Hlk113980701"/>
            <w:r>
              <w:rPr>
                <w:rFonts w:hint="eastAsia" w:ascii="宋体" w:hAnsi="宋体"/>
                <w:szCs w:val="21"/>
              </w:rPr>
              <w:t>技术需求应答</w:t>
            </w:r>
            <w:bookmarkEnd w:id="28"/>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bookmarkStart w:id="29" w:name="_Hlk113980732"/>
            <w:r>
              <w:rPr>
                <w:rFonts w:hint="eastAsia" w:ascii="宋体" w:hAnsi="宋体"/>
                <w:szCs w:val="21"/>
              </w:rPr>
              <w:t>1、根据供应商对竞争性谈判文件第五章《技术需求书》的偏离情况打分。基本分1</w:t>
            </w:r>
            <w:r>
              <w:rPr>
                <w:rFonts w:ascii="宋体" w:hAnsi="宋体"/>
                <w:szCs w:val="21"/>
              </w:rPr>
              <w:t>2</w:t>
            </w:r>
            <w:r>
              <w:rPr>
                <w:rFonts w:hint="eastAsia" w:ascii="宋体" w:hAnsi="宋体"/>
                <w:szCs w:val="21"/>
              </w:rPr>
              <w:t>分，关键条款（“★”号条款）不满足的直接否决投标；非关键条款每项不满足扣</w:t>
            </w:r>
            <w:r>
              <w:rPr>
                <w:rFonts w:ascii="宋体" w:hAnsi="宋体"/>
                <w:szCs w:val="21"/>
              </w:rPr>
              <w:t>4</w:t>
            </w:r>
            <w:r>
              <w:rPr>
                <w:rFonts w:hint="eastAsia" w:ascii="宋体" w:hAnsi="宋体"/>
                <w:szCs w:val="21"/>
              </w:rPr>
              <w:t>分，基本分扣完为止。；</w:t>
            </w:r>
          </w:p>
          <w:bookmarkEnd w:id="29"/>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szCs w:val="21"/>
              </w:rPr>
              <w:t>2</w:t>
            </w:r>
            <w:r>
              <w:rPr>
                <w:rFonts w:hint="eastAsia" w:ascii="宋体" w:hAnsi="宋体"/>
                <w:szCs w:val="21"/>
              </w:rPr>
              <w:t>、DRM产品软件具备China DRM安全评估报告，每提供一份报告得1分，满分4分，不提供不得分。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bookmarkStart w:id="30" w:name="_Hlk113980754"/>
            <w:r>
              <w:rPr>
                <w:rFonts w:hint="eastAsia" w:ascii="宋体" w:hAnsi="宋体"/>
                <w:szCs w:val="21"/>
              </w:rPr>
              <w:t>项目技术方案</w:t>
            </w:r>
            <w:bookmarkEnd w:id="30"/>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3</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bookmarkStart w:id="31" w:name="_Hlk113980776"/>
            <w:r>
              <w:rPr>
                <w:rFonts w:hint="eastAsia" w:ascii="宋体" w:hAnsi="宋体"/>
                <w:szCs w:val="21"/>
              </w:rPr>
              <w:t>本次招标不统一组织现场踏勘。供应商应自行踏勘并充分了解本项目实际情况，对项目的不确定性和完整性进行充分考虑。结合现场踏勘情况，最大限度满足招标人需求、针对建设目标、业务现状、能够提供完整的技术方案。根据供应商提供的技术方案，包括方案设计完整性、合理性、安全性进行打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w:t>
            </w: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]分；较好[</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w:t>
            </w:r>
            <w:r>
              <w:rPr>
                <w:rFonts w:ascii="宋体" w:hAnsi="宋体"/>
                <w:szCs w:val="21"/>
              </w:rPr>
              <w:t>1</w:t>
            </w:r>
            <w:r>
              <w:rPr>
                <w:rFonts w:hint="eastAsia" w:ascii="宋体" w:hAnsi="宋体"/>
                <w:szCs w:val="21"/>
              </w:rPr>
              <w:t>)分。</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3" w:type="dxa"/>
            <w:gridSpan w:val="2"/>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服务能力</w:t>
            </w:r>
          </w:p>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供应商应针对项目组建完善的项目团队；</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供应商项目技术负责人同时具备“信息系统项目管理师证书、PMP证书、高级网络工程师证书、高级综合布线工程师证书、智能建筑弱电高级工程师证书”的，得</w:t>
            </w:r>
            <w:r>
              <w:rPr>
                <w:kern w:val="0"/>
                <w:szCs w:val="21"/>
              </w:rPr>
              <w:t>2</w:t>
            </w:r>
            <w:r>
              <w:rPr>
                <w:rFonts w:hint="eastAsia"/>
                <w:kern w:val="0"/>
                <w:szCs w:val="21"/>
              </w:rPr>
              <w:t>分，满分</w:t>
            </w:r>
            <w:r>
              <w:rPr>
                <w:kern w:val="0"/>
                <w:szCs w:val="21"/>
              </w:rPr>
              <w:t>2</w:t>
            </w:r>
            <w:r>
              <w:rPr>
                <w:rFonts w:hint="eastAsia"/>
                <w:kern w:val="0"/>
                <w:szCs w:val="21"/>
              </w:rPr>
              <w:t>分。响应文件中须提供证书扫描件并加盖供应商公章，未提供的不得分。</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供应商项目团队中每有—人获得“信息系统运维管理工程师（高级）”证书的，得</w:t>
            </w:r>
            <w:r>
              <w:rPr>
                <w:kern w:val="0"/>
                <w:szCs w:val="21"/>
              </w:rPr>
              <w:t>1</w:t>
            </w:r>
            <w:r>
              <w:rPr>
                <w:rFonts w:hint="eastAsia"/>
                <w:kern w:val="0"/>
                <w:szCs w:val="21"/>
              </w:rPr>
              <w:t>分，满分</w:t>
            </w:r>
            <w:r>
              <w:rPr>
                <w:kern w:val="0"/>
                <w:szCs w:val="21"/>
              </w:rPr>
              <w:t>2</w:t>
            </w:r>
            <w:r>
              <w:rPr>
                <w:rFonts w:hint="eastAsia"/>
                <w:kern w:val="0"/>
                <w:szCs w:val="21"/>
              </w:rPr>
              <w:t>分。响应文件中须提供证书扫描件并加盖供应商公章，未提供的不得分。</w:t>
            </w:r>
          </w:p>
          <w:p>
            <w:pPr>
              <w:keepLines/>
              <w:widowControl/>
              <w:tabs>
                <w:tab w:val="left" w:pos="794"/>
                <w:tab w:val="left" w:pos="1191"/>
                <w:tab w:val="left" w:pos="1588"/>
                <w:tab w:val="left" w:pos="1985"/>
              </w:tabs>
              <w:autoSpaceDE w:val="0"/>
              <w:autoSpaceDN w:val="0"/>
              <w:adjustRightInd w:val="0"/>
              <w:jc w:val="left"/>
            </w:pPr>
            <w:r>
              <w:rPr>
                <w:rFonts w:hint="eastAsia"/>
                <w:kern w:val="0"/>
                <w:szCs w:val="21"/>
              </w:rPr>
              <w:t>注：提供供应商所属社保机构出具的上述人员</w:t>
            </w:r>
            <w:r>
              <w:t>近</w:t>
            </w:r>
            <w:r>
              <w:rPr>
                <w:rFonts w:hint="eastAsia"/>
              </w:rPr>
              <w:t>6个月</w:t>
            </w:r>
            <w:r>
              <w:t>社保关系证明材料复印件</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snapToGrid w:val="0"/>
              <w:rPr>
                <w:kern w:val="0"/>
                <w:szCs w:val="21"/>
              </w:rPr>
            </w:pPr>
            <w:r>
              <w:rPr>
                <w:kern w:val="0"/>
                <w:szCs w:val="21"/>
              </w:rPr>
              <w:t>根据</w:t>
            </w:r>
            <w:r>
              <w:rPr>
                <w:rFonts w:hint="eastAsia"/>
                <w:kern w:val="0"/>
                <w:szCs w:val="21"/>
              </w:rPr>
              <w:t>供应商包修期内服务承诺</w:t>
            </w:r>
            <w:r>
              <w:rPr>
                <w:kern w:val="0"/>
                <w:szCs w:val="21"/>
              </w:rPr>
              <w:t>横向比较打分</w:t>
            </w:r>
            <w:r>
              <w:rPr>
                <w:rFonts w:hint="eastAsia"/>
                <w:kern w:val="0"/>
                <w:szCs w:val="21"/>
              </w:rPr>
              <w:t>，包含日常维护方案、故障检修方案、应急处理预案、免费包修服务承诺、上门现场服务、故障响应支持、电话及现场技术支持、软件维护升级服务、定期巡检等，所提供的技术服务都由各产品制造商原厂提供7×24小时原厂服务等</w:t>
            </w:r>
            <w:r>
              <w:rPr>
                <w:kern w:val="0"/>
                <w:szCs w:val="21"/>
              </w:rPr>
              <w:t>。</w:t>
            </w:r>
          </w:p>
          <w:p>
            <w:pPr>
              <w:snapToGrid w:val="0"/>
              <w:rPr>
                <w:kern w:val="0"/>
                <w:szCs w:val="21"/>
              </w:rPr>
            </w:pPr>
            <w:r>
              <w:rPr>
                <w:rFonts w:hint="eastAsia" w:ascii="宋体" w:hAnsi="宋体"/>
                <w:szCs w:val="21"/>
              </w:rPr>
              <w:t>优良（</w:t>
            </w: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]分；较好[</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w:t>
            </w:r>
            <w:r>
              <w:rPr>
                <w:rFonts w:ascii="宋体" w:hAnsi="宋体"/>
                <w:szCs w:val="21"/>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pStyle w:val="48"/>
              <w:rPr>
                <w:rFonts w:ascii="宋体" w:hAnsi="宋体"/>
                <w:bCs/>
                <w:color w:val="auto"/>
                <w:kern w:val="2"/>
                <w:sz w:val="21"/>
                <w:szCs w:val="24"/>
              </w:rPr>
            </w:pPr>
            <w:r>
              <w:rPr>
                <w:rFonts w:hint="eastAsia" w:ascii="宋体" w:hAnsi="宋体"/>
                <w:bCs/>
                <w:color w:val="auto"/>
                <w:kern w:val="2"/>
                <w:sz w:val="21"/>
                <w:szCs w:val="24"/>
              </w:rPr>
              <w:t>软件制造商应具备完备的DRM相关服务资质。具备数字版权管理（DRM）相关服务资质C级及以上证书的，每提供一个证书得</w:t>
            </w:r>
            <w:r>
              <w:rPr>
                <w:rFonts w:ascii="宋体" w:hAnsi="宋体"/>
                <w:bCs/>
                <w:color w:val="auto"/>
                <w:kern w:val="2"/>
                <w:sz w:val="21"/>
                <w:szCs w:val="24"/>
              </w:rPr>
              <w:t>2</w:t>
            </w:r>
            <w:r>
              <w:rPr>
                <w:rFonts w:hint="eastAsia" w:ascii="宋体" w:hAnsi="宋体"/>
                <w:bCs/>
                <w:color w:val="auto"/>
                <w:kern w:val="2"/>
                <w:sz w:val="21"/>
                <w:szCs w:val="24"/>
              </w:rPr>
              <w:t>分，满分</w:t>
            </w:r>
            <w:r>
              <w:rPr>
                <w:rFonts w:ascii="宋体" w:hAnsi="宋体"/>
                <w:bCs/>
                <w:color w:val="auto"/>
                <w:kern w:val="2"/>
                <w:sz w:val="21"/>
                <w:szCs w:val="24"/>
              </w:rPr>
              <w:t>4</w:t>
            </w:r>
            <w:r>
              <w:rPr>
                <w:rFonts w:hint="eastAsia" w:ascii="宋体" w:hAnsi="宋体"/>
                <w:bCs/>
                <w:color w:val="auto"/>
                <w:kern w:val="2"/>
                <w:sz w:val="21"/>
                <w:szCs w:val="24"/>
              </w:rPr>
              <w:t>分；需提供证书复印件加盖供应商公章，不提供不得分。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snapToGrid w:val="0"/>
              <w:rPr>
                <w:kern w:val="0"/>
                <w:szCs w:val="21"/>
              </w:rPr>
            </w:pPr>
            <w:r>
              <w:rPr>
                <w:rFonts w:hint="eastAsia"/>
                <w:kern w:val="0"/>
                <w:szCs w:val="21"/>
              </w:rPr>
              <w:t>软件制造商应具备良好的软件开发服务能力，具备软件安全开发服务资质</w:t>
            </w:r>
            <w:r>
              <w:rPr>
                <w:rFonts w:hint="eastAsia"/>
              </w:rPr>
              <w:t>二级及以上证书的，得2分；</w:t>
            </w:r>
            <w:r>
              <w:rPr>
                <w:rFonts w:hint="eastAsia" w:ascii="宋体" w:hAnsi="宋体"/>
                <w:bCs/>
              </w:rPr>
              <w:t>需提供证书复印件加盖供应商公章，不提供不得分。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snapToGrid w:val="0"/>
              <w:rPr>
                <w:kern w:val="0"/>
                <w:szCs w:val="21"/>
              </w:rPr>
            </w:pPr>
            <w:r>
              <w:rPr>
                <w:rFonts w:hint="eastAsia"/>
                <w:kern w:val="0"/>
                <w:szCs w:val="21"/>
              </w:rPr>
              <w:t>根据供应商对采购方现有系统架构的了解程度、对采购方现有网络架构现状的熟悉程度进行综合评价打分。</w:t>
            </w:r>
          </w:p>
          <w:p>
            <w:pPr>
              <w:snapToGrid w:val="0"/>
              <w:rPr>
                <w:kern w:val="0"/>
                <w:szCs w:val="21"/>
              </w:rPr>
            </w:pPr>
            <w:r>
              <w:rPr>
                <w:rFonts w:hint="eastAsia" w:ascii="宋体" w:hAnsi="宋体"/>
                <w:szCs w:val="21"/>
              </w:rPr>
              <w:t>优良（</w:t>
            </w: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]分；较好[</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w:t>
            </w:r>
            <w:r>
              <w:rPr>
                <w:rFonts w:ascii="宋体" w:hAnsi="宋体"/>
                <w:szCs w:val="21"/>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snapToGrid w:val="0"/>
              <w:rPr>
                <w:kern w:val="0"/>
                <w:szCs w:val="21"/>
              </w:rPr>
            </w:pPr>
            <w:r>
              <w:rPr>
                <w:rFonts w:hint="eastAsia" w:ascii="宋体" w:hAnsi="宋体" w:cs="宋体"/>
                <w:szCs w:val="21"/>
              </w:rPr>
              <w:t>供应商应具备一定的本地化服务能力，及时响应售后服务需求。在南京本地设有办事处的。需提供房屋产权或租赁证明复印件加盖供应商公章。若无当地办事处的，须提供本地化服务的承诺书，承诺按招标人要求提供本地化服务，并提供相应服务方案。本项最多得</w:t>
            </w:r>
            <w:r>
              <w:rPr>
                <w:rFonts w:ascii="宋体" w:hAnsi="宋体" w:cs="宋体"/>
                <w:szCs w:val="21"/>
              </w:rPr>
              <w:t>2</w:t>
            </w:r>
            <w:r>
              <w:rPr>
                <w:rFonts w:hint="eastAsia" w:ascii="宋体" w:hAnsi="宋体" w:cs="宋体"/>
                <w:szCs w:val="21"/>
              </w:rPr>
              <w:t>分，未按要求提供证明文件不得分。</w:t>
            </w:r>
          </w:p>
        </w:tc>
      </w:tr>
    </w:tbl>
    <w:p>
      <w:pPr>
        <w:pStyle w:val="3"/>
        <w:numPr>
          <w:ilvl w:val="0"/>
          <w:numId w:val="0"/>
        </w:numPr>
        <w:spacing w:before="0" w:after="0" w:line="360" w:lineRule="auto"/>
        <w:rPr>
          <w:b/>
          <w:sz w:val="36"/>
          <w:szCs w:val="36"/>
        </w:rPr>
      </w:pPr>
      <w:r>
        <w:br w:type="page"/>
      </w:r>
      <w:bookmarkStart w:id="32" w:name="_Toc69378618"/>
      <w:r>
        <w:rPr>
          <w:rFonts w:hint="eastAsia"/>
          <w:b/>
          <w:sz w:val="36"/>
          <w:szCs w:val="36"/>
        </w:rPr>
        <w:t>第四章</w:t>
      </w:r>
      <w:r>
        <w:rPr>
          <w:b/>
          <w:sz w:val="36"/>
          <w:szCs w:val="36"/>
        </w:rPr>
        <w:t>合同格式</w:t>
      </w:r>
      <w:bookmarkEnd w:id="32"/>
    </w:p>
    <w:p>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章《合同格式》内容的任何负偏离均将导致废标。</w:t>
      </w:r>
    </w:p>
    <w:p>
      <w:pPr>
        <w:widowControl/>
        <w:spacing w:line="300" w:lineRule="auto"/>
        <w:jc w:val="left"/>
        <w:rPr>
          <w:b/>
        </w:rPr>
      </w:pPr>
      <w:r>
        <w:rPr>
          <w:rFonts w:eastAsia="黑体"/>
          <w:bCs/>
          <w:sz w:val="52"/>
          <w:szCs w:val="52"/>
        </w:rPr>
        <w:br w:type="page"/>
      </w:r>
    </w:p>
    <w:p>
      <w:pPr>
        <w:spacing w:line="360" w:lineRule="auto"/>
        <w:ind w:firstLine="424" w:firstLineChars="132"/>
        <w:jc w:val="center"/>
        <w:outlineLvl w:val="1"/>
        <w:rPr>
          <w:rStyle w:val="108"/>
          <w:rFonts w:ascii="宋体" w:hAnsi="宋体"/>
        </w:rPr>
      </w:pPr>
      <w:r>
        <w:rPr>
          <w:rStyle w:val="108"/>
          <w:rFonts w:hint="eastAsia" w:ascii="宋体" w:hAnsi="宋体"/>
        </w:rPr>
        <w:t>合同格式</w:t>
      </w:r>
    </w:p>
    <w:p>
      <w:pPr>
        <w:pStyle w:val="3"/>
        <w:numPr>
          <w:ilvl w:val="0"/>
          <w:numId w:val="0"/>
        </w:numPr>
        <w:tabs>
          <w:tab w:val="left" w:pos="425"/>
        </w:tabs>
        <w:spacing w:line="360" w:lineRule="auto"/>
        <w:ind w:left="425" w:hanging="425"/>
        <w:rPr>
          <w:rFonts w:ascii="宋体" w:hAnsi="宋体"/>
          <w:kern w:val="2"/>
          <w:szCs w:val="30"/>
        </w:rPr>
      </w:pPr>
      <w:r>
        <w:rPr>
          <w:rFonts w:hint="eastAsia" w:ascii="宋体" w:hAnsi="宋体"/>
          <w:kern w:val="2"/>
          <w:szCs w:val="30"/>
        </w:rPr>
        <w:t>DRM+DTMB融合覆盖系统研发服务合同</w:t>
      </w:r>
    </w:p>
    <w:p>
      <w:pPr>
        <w:widowControl/>
        <w:spacing w:line="300" w:lineRule="auto"/>
        <w:ind w:firstLine="422"/>
        <w:rPr>
          <w:rFonts w:ascii="宋体" w:hAnsi="宋体"/>
          <w:b/>
          <w:szCs w:val="21"/>
        </w:rPr>
      </w:pPr>
    </w:p>
    <w:p>
      <w:pPr>
        <w:spacing w:line="360" w:lineRule="auto"/>
        <w:ind w:firstLine="422" w:firstLineChars="200"/>
        <w:rPr>
          <w:rFonts w:ascii="宋体" w:hAnsi="宋体"/>
          <w:szCs w:val="21"/>
        </w:rPr>
      </w:pPr>
      <w:r>
        <w:rPr>
          <w:b/>
          <w:szCs w:val="21"/>
          <w:u w:val="single"/>
        </w:rPr>
        <w:t>江苏省广电有线信息网络股份有限公司（以下简称“甲方”）</w:t>
      </w:r>
      <w:r>
        <w:rPr>
          <w:rFonts w:ascii="宋体" w:hAnsi="宋体"/>
          <w:szCs w:val="21"/>
        </w:rPr>
        <w:t xml:space="preserve"> 就</w:t>
      </w:r>
      <w:r>
        <w:rPr>
          <w:rFonts w:ascii="宋体" w:hAnsi="宋体"/>
          <w:b/>
          <w:szCs w:val="21"/>
          <w:u w:val="single"/>
        </w:rPr>
        <w:t xml:space="preserve">       </w:t>
      </w:r>
      <w:r>
        <w:rPr>
          <w:rFonts w:hint="eastAsia" w:ascii="宋体" w:hAnsi="宋体"/>
          <w:b/>
          <w:szCs w:val="21"/>
          <w:u w:val="single"/>
        </w:rPr>
        <w:t>项目</w:t>
      </w:r>
      <w:r>
        <w:rPr>
          <w:rFonts w:ascii="宋体" w:hAnsi="宋体"/>
          <w:szCs w:val="21"/>
        </w:rPr>
        <w:t>的采购及相关服务组织了</w:t>
      </w:r>
      <w:r>
        <w:rPr>
          <w:rFonts w:hint="eastAsia" w:ascii="宋体" w:hAnsi="宋体"/>
          <w:szCs w:val="21"/>
        </w:rPr>
        <w:t>竞争性磋商</w:t>
      </w:r>
      <w:r>
        <w:rPr>
          <w:rFonts w:ascii="宋体" w:hAnsi="宋体"/>
          <w:szCs w:val="21"/>
        </w:rPr>
        <w:t>，经评委会严格评审，本项目由</w:t>
      </w:r>
      <w:r>
        <w:rPr>
          <w:rFonts w:hint="eastAsia" w:ascii="宋体" w:hAnsi="宋体"/>
          <w:szCs w:val="21"/>
          <w:u w:val="single"/>
        </w:rPr>
        <w:t xml:space="preserve">               </w:t>
      </w:r>
      <w:r>
        <w:rPr>
          <w:rFonts w:ascii="宋体" w:hAnsi="宋体"/>
          <w:b/>
          <w:szCs w:val="21"/>
          <w:u w:val="single"/>
        </w:rPr>
        <w:t>公司</w:t>
      </w:r>
      <w:r>
        <w:rPr>
          <w:rFonts w:ascii="宋体" w:hAnsi="宋体"/>
          <w:b/>
          <w:szCs w:val="21"/>
        </w:rPr>
        <w:t>（以下简称“乙方”）</w:t>
      </w:r>
      <w:r>
        <w:rPr>
          <w:rFonts w:ascii="宋体" w:hAnsi="宋体"/>
          <w:szCs w:val="21"/>
        </w:rPr>
        <w:t>中</w:t>
      </w:r>
      <w:r>
        <w:rPr>
          <w:rFonts w:hint="eastAsia" w:ascii="宋体" w:hAnsi="宋体"/>
          <w:szCs w:val="21"/>
        </w:rPr>
        <w:t>选</w:t>
      </w:r>
      <w:r>
        <w:rPr>
          <w:rFonts w:ascii="宋体" w:hAnsi="宋体"/>
          <w:szCs w:val="21"/>
        </w:rPr>
        <w:t>。</w:t>
      </w:r>
    </w:p>
    <w:p>
      <w:pPr>
        <w:spacing w:line="360" w:lineRule="auto"/>
        <w:ind w:firstLine="420" w:firstLineChars="200"/>
        <w:rPr>
          <w:rFonts w:ascii="宋体" w:hAnsi="宋体"/>
          <w:szCs w:val="21"/>
        </w:rPr>
      </w:pPr>
      <w:r>
        <w:rPr>
          <w:rFonts w:hint="eastAsia" w:ascii="宋体" w:hAnsi="宋体"/>
          <w:bCs/>
          <w:szCs w:val="21"/>
        </w:rPr>
        <w:t>甲</w:t>
      </w:r>
      <w:r>
        <w:rPr>
          <w:rFonts w:ascii="宋体" w:hAnsi="宋体"/>
          <w:bCs/>
          <w:szCs w:val="21"/>
        </w:rPr>
        <w:t>、</w:t>
      </w:r>
      <w:r>
        <w:rPr>
          <w:rFonts w:hint="eastAsia" w:ascii="宋体" w:hAnsi="宋体"/>
          <w:bCs/>
          <w:szCs w:val="21"/>
        </w:rPr>
        <w:t>乙</w:t>
      </w:r>
      <w:r>
        <w:rPr>
          <w:rFonts w:ascii="宋体" w:hAnsi="宋体"/>
          <w:bCs/>
          <w:szCs w:val="21"/>
        </w:rPr>
        <w:t>双方根据</w:t>
      </w:r>
      <w:r>
        <w:rPr>
          <w:rFonts w:hint="eastAsia" w:ascii="宋体" w:hAnsi="宋体"/>
          <w:szCs w:val="21"/>
        </w:rPr>
        <w:t>竞争性磋商</w:t>
      </w:r>
      <w:r>
        <w:rPr>
          <w:rFonts w:ascii="宋体" w:hAnsi="宋体"/>
          <w:szCs w:val="21"/>
        </w:rPr>
        <w:t>文件的规定、乙方</w:t>
      </w:r>
      <w:r>
        <w:rPr>
          <w:rFonts w:hint="eastAsia" w:ascii="宋体" w:hAnsi="宋体"/>
          <w:szCs w:val="21"/>
        </w:rPr>
        <w:t>响应</w:t>
      </w:r>
      <w:r>
        <w:rPr>
          <w:rFonts w:ascii="宋体" w:hAnsi="宋体"/>
          <w:szCs w:val="21"/>
        </w:rPr>
        <w:t>文件及</w:t>
      </w:r>
      <w:r>
        <w:rPr>
          <w:rFonts w:hint="eastAsia" w:ascii="宋体" w:hAnsi="宋体"/>
          <w:szCs w:val="21"/>
        </w:rPr>
        <w:t>磋商</w:t>
      </w:r>
      <w:r>
        <w:rPr>
          <w:rFonts w:ascii="宋体" w:hAnsi="宋体"/>
          <w:szCs w:val="21"/>
        </w:rPr>
        <w:t>时乙方做出的书面承诺，依法签订本合同。</w:t>
      </w:r>
    </w:p>
    <w:p>
      <w:pPr>
        <w:spacing w:line="360" w:lineRule="auto"/>
        <w:ind w:left="2" w:firstLine="422"/>
        <w:rPr>
          <w:szCs w:val="21"/>
        </w:rPr>
      </w:pPr>
    </w:p>
    <w:p>
      <w:pPr>
        <w:pStyle w:val="5"/>
        <w:spacing w:before="0" w:after="0" w:line="360" w:lineRule="auto"/>
        <w:rPr>
          <w:sz w:val="20"/>
        </w:rPr>
      </w:pPr>
      <w:bookmarkStart w:id="33" w:name="_Toc25256"/>
      <w:bookmarkStart w:id="34" w:name="_Toc24729"/>
      <w:bookmarkStart w:id="35" w:name="_Toc51053550"/>
      <w:bookmarkStart w:id="36" w:name="_Toc2889"/>
      <w:r>
        <w:rPr>
          <w:sz w:val="20"/>
        </w:rPr>
        <w:t>一、项目标的和内容</w:t>
      </w:r>
      <w:bookmarkEnd w:id="33"/>
      <w:bookmarkEnd w:id="34"/>
      <w:bookmarkEnd w:id="35"/>
      <w:bookmarkEnd w:id="36"/>
    </w:p>
    <w:p>
      <w:pPr>
        <w:spacing w:line="360" w:lineRule="auto"/>
        <w:ind w:firstLine="420"/>
        <w:rPr>
          <w:szCs w:val="21"/>
        </w:rPr>
      </w:pPr>
      <w:r>
        <w:rPr>
          <w:szCs w:val="21"/>
        </w:rPr>
        <w:t>项目标的内容包括乙方按照甲方具体要求</w:t>
      </w:r>
      <w:r>
        <w:rPr>
          <w:rFonts w:hint="eastAsia"/>
          <w:szCs w:val="21"/>
        </w:rPr>
        <w:t>对“</w:t>
      </w:r>
      <w:r>
        <w:rPr>
          <w:rFonts w:hint="eastAsia"/>
          <w:szCs w:val="21"/>
          <w:u w:val="single"/>
        </w:rPr>
        <w:t xml:space="preserve"> </w:t>
      </w:r>
      <w:r>
        <w:rPr>
          <w:szCs w:val="21"/>
          <w:u w:val="single"/>
        </w:rPr>
        <w:t xml:space="preserve">        </w:t>
      </w:r>
      <w:r>
        <w:rPr>
          <w:rFonts w:hint="eastAsia"/>
          <w:szCs w:val="21"/>
        </w:rPr>
        <w:t>”</w:t>
      </w:r>
      <w:r>
        <w:rPr>
          <w:rFonts w:hint="eastAsia"/>
        </w:rPr>
        <w:t xml:space="preserve"> </w:t>
      </w:r>
      <w:r>
        <w:rPr>
          <w:rFonts w:hint="eastAsia"/>
          <w:szCs w:val="21"/>
        </w:rPr>
        <w:t>相关软件研发，并完成所有软件的安装、调试及操作培训工作，同时乙方承诺配合甲方及甲方指定的厂商完成相关的系统集成。具体内容详见附件一。</w:t>
      </w:r>
      <w:r>
        <w:rPr>
          <w:szCs w:val="21"/>
        </w:rPr>
        <w:t>具体</w:t>
      </w:r>
      <w:r>
        <w:rPr>
          <w:rFonts w:hint="eastAsia"/>
          <w:szCs w:val="21"/>
        </w:rPr>
        <w:t>开发内容</w:t>
      </w:r>
      <w:r>
        <w:rPr>
          <w:szCs w:val="21"/>
        </w:rPr>
        <w:t>明细及总价等详见附件一：</w:t>
      </w:r>
      <w:r>
        <w:rPr>
          <w:rFonts w:hint="eastAsia"/>
          <w:szCs w:val="21"/>
        </w:rPr>
        <w:t>价格表</w:t>
      </w:r>
      <w:r>
        <w:rPr>
          <w:szCs w:val="21"/>
        </w:rPr>
        <w:t>。</w:t>
      </w:r>
    </w:p>
    <w:p>
      <w:pPr>
        <w:pStyle w:val="5"/>
        <w:spacing w:before="0" w:after="0" w:line="360" w:lineRule="auto"/>
        <w:rPr>
          <w:sz w:val="20"/>
        </w:rPr>
      </w:pPr>
      <w:bookmarkStart w:id="37" w:name="_Toc51053551"/>
      <w:bookmarkStart w:id="38" w:name="_Toc17277"/>
      <w:bookmarkStart w:id="39" w:name="_Toc19180"/>
      <w:bookmarkStart w:id="40" w:name="_Toc31119"/>
      <w:r>
        <w:rPr>
          <w:sz w:val="20"/>
        </w:rPr>
        <w:t>二、合同总价</w:t>
      </w:r>
      <w:bookmarkEnd w:id="37"/>
      <w:bookmarkEnd w:id="38"/>
      <w:bookmarkEnd w:id="39"/>
      <w:bookmarkEnd w:id="40"/>
    </w:p>
    <w:p>
      <w:pPr>
        <w:numPr>
          <w:ilvl w:val="1"/>
          <w:numId w:val="6"/>
        </w:numPr>
        <w:tabs>
          <w:tab w:val="left" w:pos="0"/>
          <w:tab w:val="clear" w:pos="1155"/>
        </w:tabs>
        <w:spacing w:line="360" w:lineRule="auto"/>
        <w:ind w:left="0" w:firstLine="420" w:firstLineChars="200"/>
        <w:rPr>
          <w:szCs w:val="21"/>
        </w:rPr>
      </w:pPr>
      <w:r>
        <w:rPr>
          <w:szCs w:val="21"/>
        </w:rPr>
        <w:t>合同总价</w:t>
      </w:r>
      <w:r>
        <w:rPr>
          <w:rFonts w:hint="eastAsia"/>
          <w:szCs w:val="21"/>
        </w:rPr>
        <w:t>（含税）</w:t>
      </w:r>
      <w:r>
        <w:rPr>
          <w:b/>
          <w:szCs w:val="21"/>
        </w:rPr>
        <w:t>（人民币大写）：</w:t>
      </w:r>
      <w:r>
        <w:rPr>
          <w:rFonts w:hint="eastAsia"/>
          <w:b/>
          <w:szCs w:val="21"/>
          <w:u w:val="single"/>
        </w:rPr>
        <w:t xml:space="preserve">            </w:t>
      </w:r>
      <w:r>
        <w:rPr>
          <w:szCs w:val="21"/>
        </w:rPr>
        <w:t>。</w:t>
      </w:r>
    </w:p>
    <w:p>
      <w:pPr>
        <w:spacing w:line="360" w:lineRule="auto"/>
        <w:ind w:firstLine="2108" w:firstLineChars="1000"/>
        <w:rPr>
          <w:szCs w:val="21"/>
        </w:rPr>
      </w:pPr>
      <w:r>
        <w:rPr>
          <w:b/>
          <w:szCs w:val="21"/>
        </w:rPr>
        <w:t>（人民币小写）：</w:t>
      </w:r>
      <w:r>
        <w:rPr>
          <w:b/>
          <w:szCs w:val="21"/>
          <w:u w:val="single"/>
        </w:rPr>
        <w:t>￥</w:t>
      </w:r>
      <w:r>
        <w:rPr>
          <w:rFonts w:hint="eastAsia"/>
          <w:b/>
          <w:szCs w:val="21"/>
          <w:u w:val="single"/>
        </w:rPr>
        <w:t xml:space="preserve">               </w:t>
      </w:r>
      <w:r>
        <w:rPr>
          <w:b/>
          <w:szCs w:val="21"/>
          <w:u w:val="single"/>
        </w:rPr>
        <w:t xml:space="preserve"> </w:t>
      </w:r>
      <w:r>
        <w:rPr>
          <w:szCs w:val="21"/>
        </w:rPr>
        <w:t>。</w:t>
      </w:r>
    </w:p>
    <w:p>
      <w:pPr>
        <w:numPr>
          <w:ilvl w:val="1"/>
          <w:numId w:val="6"/>
        </w:numPr>
        <w:tabs>
          <w:tab w:val="left" w:pos="0"/>
          <w:tab w:val="clear" w:pos="1155"/>
        </w:tabs>
        <w:spacing w:line="360" w:lineRule="auto"/>
        <w:ind w:left="0" w:firstLine="420" w:firstLineChars="200"/>
        <w:rPr>
          <w:szCs w:val="21"/>
        </w:rPr>
      </w:pPr>
      <w:r>
        <w:rPr>
          <w:szCs w:val="21"/>
        </w:rPr>
        <w:t>合同总价系指按本合同的规定，乙方在完全履行了合同的义务后，甲方支付给乙方的总价款，包括但不限于</w:t>
      </w:r>
      <w:r>
        <w:rPr>
          <w:rFonts w:hint="eastAsia"/>
          <w:szCs w:val="21"/>
        </w:rPr>
        <w:t>软件系统的安装调试费、软件备份和专用工具费、检测验收费、培训费、售后服务费，以及与所供产品和服务有关的一切税费</w:t>
      </w:r>
      <w:r>
        <w:rPr>
          <w:szCs w:val="21"/>
        </w:rPr>
        <w:t>。</w:t>
      </w:r>
      <w:r>
        <w:rPr>
          <w:rFonts w:hint="eastAsia"/>
          <w:szCs w:val="21"/>
        </w:rPr>
        <w:t>除此之外，甲方不再以任何名义、任何方式向乙方支付费用。</w:t>
      </w:r>
    </w:p>
    <w:p>
      <w:pPr>
        <w:numPr>
          <w:ilvl w:val="1"/>
          <w:numId w:val="6"/>
        </w:numPr>
        <w:tabs>
          <w:tab w:val="left" w:pos="0"/>
          <w:tab w:val="clear" w:pos="1155"/>
        </w:tabs>
        <w:spacing w:line="360" w:lineRule="auto"/>
        <w:ind w:left="0" w:firstLine="420" w:firstLineChars="200"/>
        <w:rPr>
          <w:szCs w:val="21"/>
        </w:rPr>
      </w:pPr>
      <w:r>
        <w:t>当国家法定增值税税率发生变更，甲乙双方约定以含税价格不变作为基准，调整增值税税额</w:t>
      </w:r>
      <w:r>
        <w:rPr>
          <w:rFonts w:hint="eastAsia"/>
        </w:rPr>
        <w:t>。</w:t>
      </w:r>
    </w:p>
    <w:p>
      <w:pPr>
        <w:pStyle w:val="5"/>
        <w:spacing w:before="0" w:after="0" w:line="360" w:lineRule="auto"/>
        <w:rPr>
          <w:sz w:val="20"/>
        </w:rPr>
      </w:pPr>
      <w:bookmarkStart w:id="41" w:name="_Toc11256"/>
      <w:bookmarkStart w:id="42" w:name="_Toc51053552"/>
      <w:bookmarkStart w:id="43" w:name="_Toc6107"/>
      <w:bookmarkStart w:id="44" w:name="_Toc643"/>
      <w:r>
        <w:rPr>
          <w:rFonts w:hint="eastAsia"/>
          <w:sz w:val="20"/>
        </w:rPr>
        <w:t>三</w:t>
      </w:r>
      <w:r>
        <w:rPr>
          <w:sz w:val="20"/>
        </w:rPr>
        <w:t>、付款方式及期限</w:t>
      </w:r>
      <w:bookmarkEnd w:id="41"/>
      <w:bookmarkEnd w:id="42"/>
      <w:bookmarkEnd w:id="43"/>
      <w:bookmarkEnd w:id="44"/>
    </w:p>
    <w:p>
      <w:pPr>
        <w:numPr>
          <w:ilvl w:val="0"/>
          <w:numId w:val="7"/>
        </w:numPr>
        <w:tabs>
          <w:tab w:val="left" w:pos="0"/>
        </w:tabs>
        <w:spacing w:line="360" w:lineRule="auto"/>
        <w:ind w:left="0" w:firstLine="426"/>
        <w:rPr>
          <w:szCs w:val="21"/>
        </w:rPr>
      </w:pPr>
      <w:r>
        <w:rPr>
          <w:szCs w:val="21"/>
        </w:rPr>
        <w:t>付款方式：</w:t>
      </w:r>
      <w:r>
        <w:rPr>
          <w:rFonts w:hint="eastAsia"/>
          <w:szCs w:val="21"/>
        </w:rPr>
        <w:t>合同总价的</w:t>
      </w:r>
      <w:r>
        <w:rPr>
          <w:szCs w:val="21"/>
        </w:rPr>
        <w:t>3</w:t>
      </w:r>
      <w:r>
        <w:rPr>
          <w:rFonts w:hint="eastAsia"/>
          <w:szCs w:val="21"/>
        </w:rPr>
        <w:t>0%，以半年期银行承兑汇票或供应链金融方式支付，剩余部分以转账的方式支付。</w:t>
      </w:r>
      <w:r>
        <w:t>禁止将货款划入其他账号或支付现金。如乙方的收款账号和开户行变更，须及时以书面形式通知甲方，通知须盖有乙方的</w:t>
      </w:r>
      <w:r>
        <w:rPr>
          <w:rFonts w:hint="eastAsia"/>
        </w:rPr>
        <w:t>公</w:t>
      </w:r>
      <w:r>
        <w:t>章</w:t>
      </w:r>
      <w:r>
        <w:rPr>
          <w:rFonts w:hint="eastAsia"/>
        </w:rPr>
        <w:t>或</w:t>
      </w:r>
      <w:r>
        <w:t>财务</w:t>
      </w:r>
      <w:r>
        <w:rPr>
          <w:rFonts w:hint="eastAsia"/>
        </w:rPr>
        <w:t>专用</w:t>
      </w:r>
      <w:r>
        <w:t>章</w:t>
      </w:r>
      <w:r>
        <w:rPr>
          <w:szCs w:val="21"/>
        </w:rPr>
        <w:t>。</w:t>
      </w:r>
    </w:p>
    <w:p>
      <w:pPr>
        <w:numPr>
          <w:ilvl w:val="0"/>
          <w:numId w:val="7"/>
        </w:numPr>
        <w:tabs>
          <w:tab w:val="left" w:pos="0"/>
          <w:tab w:val="left" w:pos="142"/>
        </w:tabs>
        <w:spacing w:line="360" w:lineRule="auto"/>
        <w:ind w:left="0" w:firstLine="426"/>
        <w:rPr>
          <w:szCs w:val="21"/>
        </w:rPr>
      </w:pPr>
      <w:r>
        <w:rPr>
          <w:rFonts w:hint="eastAsia"/>
          <w:szCs w:val="21"/>
        </w:rPr>
        <w:t>付款期限：合同签订后1个月转账支付合同总额的30%，即人民币：</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，系统通过初验后转账支付合同总额的30%，即人民币：</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，系统通过终验后银行承兑汇票或供应链金融方式支付合同总额的</w:t>
      </w:r>
      <w:r>
        <w:rPr>
          <w:szCs w:val="21"/>
        </w:rPr>
        <w:t>3</w:t>
      </w:r>
      <w:r>
        <w:rPr>
          <w:rFonts w:hint="eastAsia"/>
          <w:szCs w:val="21"/>
        </w:rPr>
        <w:t>0%，即人民币：</w:t>
      </w:r>
      <w:r>
        <w:rPr>
          <w:szCs w:val="21"/>
          <w:u w:val="single"/>
        </w:rPr>
        <w:t xml:space="preserve">     </w:t>
      </w:r>
      <w:r>
        <w:rPr>
          <w:rFonts w:hint="eastAsia"/>
          <w:szCs w:val="21"/>
        </w:rPr>
        <w:t>，尾款10%作为质量保证金，即人民币：</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，在终验合格一年后的10个工作日之内支付7%，如乙方此时向甲方开据3%的银行保函（此保函须在免费包修期结束后到期），甲方在收到银行保函4</w:t>
      </w:r>
      <w:r>
        <w:rPr>
          <w:szCs w:val="21"/>
        </w:rPr>
        <w:t>5</w:t>
      </w:r>
      <w:r>
        <w:rPr>
          <w:rFonts w:hint="eastAsia"/>
          <w:szCs w:val="21"/>
        </w:rPr>
        <w:t>日内将尾款结清（即合同总价的10%），否则甲方将在免费保修期结束后的10个工作日之内支付剩余的3%给乙方。</w:t>
      </w:r>
    </w:p>
    <w:p>
      <w:pPr>
        <w:numPr>
          <w:ilvl w:val="0"/>
          <w:numId w:val="7"/>
        </w:numPr>
        <w:tabs>
          <w:tab w:val="left" w:pos="0"/>
        </w:tabs>
        <w:spacing w:line="360" w:lineRule="auto"/>
        <w:ind w:left="0" w:firstLine="426"/>
        <w:rPr>
          <w:szCs w:val="21"/>
        </w:rPr>
      </w:pPr>
      <w: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pPr>
        <w:numPr>
          <w:ilvl w:val="0"/>
          <w:numId w:val="7"/>
        </w:numPr>
        <w:tabs>
          <w:tab w:val="left" w:pos="0"/>
        </w:tabs>
        <w:spacing w:line="360" w:lineRule="auto"/>
        <w:ind w:left="0" w:firstLine="426"/>
        <w:rPr>
          <w:szCs w:val="21"/>
        </w:rPr>
      </w:pPr>
      <w:r>
        <w:rPr>
          <w:rFonts w:hint="eastAsia"/>
          <w:szCs w:val="21"/>
        </w:rPr>
        <w:t>付款前，乙方必须按照国家有关发票管理规定，向甲方一次性提供</w:t>
      </w:r>
      <w:r>
        <w:rPr>
          <w:rFonts w:hint="eastAsia"/>
        </w:rPr>
        <w:t>合同总额的增值税专用发票</w:t>
      </w:r>
      <w:r>
        <w:rPr>
          <w:rFonts w:hint="eastAsia"/>
          <w:szCs w:val="21"/>
        </w:rPr>
        <w:t>，由甲方审核无误后再支付相应款项，否则甲方有权拒绝或迟延支付货款，且不影响乙方履行本合同项下的义务，由此给甲方造成的全部损失由乙方承担。</w:t>
      </w:r>
    </w:p>
    <w:p>
      <w:pPr>
        <w:tabs>
          <w:tab w:val="left" w:pos="0"/>
        </w:tabs>
        <w:spacing w:line="360" w:lineRule="auto"/>
        <w:ind w:firstLine="420"/>
        <w:rPr>
          <w:szCs w:val="21"/>
        </w:rPr>
      </w:pPr>
      <w:r>
        <w:rPr>
          <w:rFonts w:hint="eastAsia"/>
          <w:szCs w:val="21"/>
        </w:rPr>
        <w:t>5、扣款细则</w:t>
      </w:r>
    </w:p>
    <w:p>
      <w:pPr>
        <w:spacing w:line="360" w:lineRule="auto"/>
        <w:ind w:firstLine="420"/>
        <w:rPr>
          <w:szCs w:val="21"/>
        </w:rPr>
      </w:pPr>
      <w:r>
        <w:rPr>
          <w:rFonts w:hint="eastAsia"/>
          <w:szCs w:val="21"/>
        </w:rPr>
        <w:t>乙方履行义务期间，存在以下情况时，甲方可视情况进行相应的扣款。</w:t>
      </w:r>
    </w:p>
    <w:tbl>
      <w:tblPr>
        <w:tblStyle w:val="53"/>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268"/>
        <w:gridCol w:w="2385"/>
        <w:gridCol w:w="1972"/>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74" w:type="dxa"/>
            <w:vAlign w:val="center"/>
          </w:tcPr>
          <w:p>
            <w:pPr>
              <w:jc w:val="center"/>
              <w:rPr>
                <w:rFonts w:ascii="宋体" w:hAnsi="宋体"/>
                <w:b/>
                <w:szCs w:val="21"/>
              </w:rPr>
            </w:pPr>
            <w:r>
              <w:rPr>
                <w:rFonts w:hint="eastAsia" w:ascii="宋体" w:hAnsi="宋体"/>
                <w:b/>
                <w:szCs w:val="21"/>
              </w:rPr>
              <w:t>序号</w:t>
            </w:r>
          </w:p>
        </w:tc>
        <w:tc>
          <w:tcPr>
            <w:tcW w:w="1268" w:type="dxa"/>
            <w:vAlign w:val="center"/>
          </w:tcPr>
          <w:p>
            <w:pPr>
              <w:jc w:val="center"/>
              <w:rPr>
                <w:rFonts w:ascii="宋体" w:hAnsi="宋体"/>
                <w:b/>
                <w:szCs w:val="21"/>
              </w:rPr>
            </w:pPr>
            <w:r>
              <w:rPr>
                <w:rFonts w:hint="eastAsia" w:ascii="宋体" w:hAnsi="宋体"/>
                <w:b/>
                <w:szCs w:val="21"/>
              </w:rPr>
              <w:t>费用类别</w:t>
            </w:r>
          </w:p>
        </w:tc>
        <w:tc>
          <w:tcPr>
            <w:tcW w:w="2385" w:type="dxa"/>
            <w:vAlign w:val="center"/>
          </w:tcPr>
          <w:p>
            <w:pPr>
              <w:jc w:val="center"/>
              <w:rPr>
                <w:rFonts w:ascii="宋体" w:hAnsi="宋体"/>
                <w:b/>
                <w:szCs w:val="21"/>
              </w:rPr>
            </w:pPr>
            <w:r>
              <w:rPr>
                <w:rFonts w:hint="eastAsia" w:ascii="宋体" w:hAnsi="宋体"/>
                <w:b/>
                <w:szCs w:val="21"/>
              </w:rPr>
              <w:t>适用状况</w:t>
            </w:r>
          </w:p>
        </w:tc>
        <w:tc>
          <w:tcPr>
            <w:tcW w:w="1972" w:type="dxa"/>
            <w:vAlign w:val="center"/>
          </w:tcPr>
          <w:p>
            <w:pPr>
              <w:jc w:val="center"/>
              <w:rPr>
                <w:rFonts w:ascii="宋体" w:hAnsi="宋体"/>
                <w:b/>
                <w:szCs w:val="21"/>
              </w:rPr>
            </w:pPr>
            <w:r>
              <w:rPr>
                <w:rFonts w:hint="eastAsia" w:ascii="宋体" w:hAnsi="宋体"/>
                <w:b/>
                <w:szCs w:val="21"/>
              </w:rPr>
              <w:t>执行方法</w:t>
            </w:r>
          </w:p>
        </w:tc>
        <w:tc>
          <w:tcPr>
            <w:tcW w:w="1476" w:type="dxa"/>
            <w:vAlign w:val="center"/>
          </w:tcPr>
          <w:p>
            <w:pPr>
              <w:jc w:val="center"/>
              <w:rPr>
                <w:rFonts w:ascii="宋体" w:hAnsi="宋体"/>
                <w:b/>
                <w:szCs w:val="21"/>
              </w:rPr>
            </w:pPr>
            <w:r>
              <w:rPr>
                <w:rFonts w:hint="eastAsia" w:ascii="宋体" w:hAnsi="宋体"/>
                <w:b/>
                <w:szCs w:val="21"/>
              </w:rPr>
              <w:t>罚款金额</w:t>
            </w:r>
          </w:p>
        </w:tc>
        <w:tc>
          <w:tcPr>
            <w:tcW w:w="1810" w:type="dxa"/>
            <w:vAlign w:val="center"/>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ascii="宋体" w:hAnsi="宋体"/>
                <w:szCs w:val="21"/>
              </w:rPr>
            </w:pPr>
            <w:r>
              <w:rPr>
                <w:rFonts w:ascii="宋体" w:hAnsi="宋体"/>
                <w:szCs w:val="21"/>
              </w:rPr>
              <w:t>1</w:t>
            </w:r>
          </w:p>
        </w:tc>
        <w:tc>
          <w:tcPr>
            <w:tcW w:w="1268" w:type="dxa"/>
            <w:vAlign w:val="center"/>
          </w:tcPr>
          <w:p>
            <w:pPr>
              <w:jc w:val="center"/>
              <w:rPr>
                <w:rFonts w:ascii="宋体" w:hAnsi="宋体"/>
                <w:szCs w:val="21"/>
              </w:rPr>
            </w:pPr>
            <w:r>
              <w:rPr>
                <w:rFonts w:hint="eastAsia" w:ascii="宋体" w:hAnsi="宋体"/>
                <w:szCs w:val="21"/>
              </w:rPr>
              <w:t>项目人员缺勤费用</w:t>
            </w:r>
          </w:p>
        </w:tc>
        <w:tc>
          <w:tcPr>
            <w:tcW w:w="2385" w:type="dxa"/>
            <w:vAlign w:val="center"/>
          </w:tcPr>
          <w:p>
            <w:pPr>
              <w:jc w:val="center"/>
              <w:rPr>
                <w:rFonts w:ascii="宋体" w:hAnsi="宋体"/>
                <w:szCs w:val="21"/>
              </w:rPr>
            </w:pPr>
            <w:r>
              <w:rPr>
                <w:rFonts w:hint="eastAsia" w:ascii="宋体" w:hAnsi="宋体"/>
                <w:szCs w:val="21"/>
              </w:rPr>
              <w:t>乙方未按照甲方的考勤要求开展工作或未经甲方同意擅自更换项目人员。</w:t>
            </w:r>
          </w:p>
        </w:tc>
        <w:tc>
          <w:tcPr>
            <w:tcW w:w="1972" w:type="dxa"/>
            <w:vAlign w:val="center"/>
          </w:tcPr>
          <w:p>
            <w:pPr>
              <w:jc w:val="center"/>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476" w:type="dxa"/>
            <w:vAlign w:val="center"/>
          </w:tcPr>
          <w:p>
            <w:pPr>
              <w:jc w:val="cente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pPr>
              <w:ind w:firstLine="42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ascii="宋体" w:hAnsi="宋体"/>
                <w:szCs w:val="21"/>
              </w:rPr>
            </w:pPr>
            <w:r>
              <w:rPr>
                <w:rFonts w:ascii="宋体" w:hAnsi="宋体"/>
                <w:szCs w:val="21"/>
              </w:rPr>
              <w:t>2</w:t>
            </w:r>
          </w:p>
        </w:tc>
        <w:tc>
          <w:tcPr>
            <w:tcW w:w="1268" w:type="dxa"/>
            <w:vAlign w:val="center"/>
          </w:tcPr>
          <w:p>
            <w:pPr>
              <w:jc w:val="center"/>
              <w:rPr>
                <w:rFonts w:ascii="宋体" w:hAnsi="宋体"/>
                <w:szCs w:val="21"/>
              </w:rPr>
            </w:pPr>
            <w:r>
              <w:rPr>
                <w:rFonts w:hint="eastAsia" w:ascii="宋体" w:hAnsi="宋体"/>
                <w:szCs w:val="21"/>
              </w:rPr>
              <w:t>项目进度滞后费用</w:t>
            </w:r>
          </w:p>
        </w:tc>
        <w:tc>
          <w:tcPr>
            <w:tcW w:w="2385" w:type="dxa"/>
            <w:vAlign w:val="center"/>
          </w:tcPr>
          <w:p>
            <w:pPr>
              <w:jc w:val="center"/>
              <w:rPr>
                <w:rFonts w:ascii="宋体" w:hAnsi="宋体"/>
                <w:szCs w:val="21"/>
              </w:rPr>
            </w:pPr>
            <w:r>
              <w:rPr>
                <w:rFonts w:hint="eastAsia" w:ascii="宋体" w:hAnsi="宋体"/>
                <w:szCs w:val="21"/>
              </w:rPr>
              <w:t>乙方未按照提交的项目进度按时完成阶段性工作。</w:t>
            </w:r>
          </w:p>
        </w:tc>
        <w:tc>
          <w:tcPr>
            <w:tcW w:w="1972" w:type="dxa"/>
            <w:vAlign w:val="center"/>
          </w:tcPr>
          <w:p>
            <w:pPr>
              <w:jc w:val="center"/>
              <w:rPr>
                <w:rFonts w:ascii="宋体" w:hAnsi="宋体"/>
                <w:szCs w:val="21"/>
              </w:rPr>
            </w:pPr>
            <w:r>
              <w:rPr>
                <w:rFonts w:hint="eastAsia" w:ascii="宋体" w:hAnsi="宋体"/>
                <w:szCs w:val="21"/>
              </w:rPr>
              <w:t>由甲方项目经理完成项目进度确认表，提交财务部扣款</w:t>
            </w:r>
          </w:p>
        </w:tc>
        <w:tc>
          <w:tcPr>
            <w:tcW w:w="1476" w:type="dxa"/>
            <w:vAlign w:val="center"/>
          </w:tcPr>
          <w:p>
            <w:pPr>
              <w:jc w:val="center"/>
              <w:rPr>
                <w:szCs w:val="21"/>
              </w:rPr>
            </w:pPr>
            <w:r>
              <w:rPr>
                <w:szCs w:val="21"/>
              </w:rPr>
              <w:t>10,000</w:t>
            </w:r>
            <w:r>
              <w:rPr>
                <w:rFonts w:hAnsi="宋体"/>
                <w:szCs w:val="21"/>
              </w:rPr>
              <w:t>元</w:t>
            </w:r>
            <w:r>
              <w:rPr>
                <w:szCs w:val="21"/>
              </w:rPr>
              <w:t>/</w:t>
            </w:r>
            <w:r>
              <w:rPr>
                <w:rFonts w:hAnsi="宋体"/>
                <w:szCs w:val="21"/>
              </w:rPr>
              <w:t>天</w:t>
            </w:r>
          </w:p>
        </w:tc>
        <w:tc>
          <w:tcPr>
            <w:tcW w:w="1810" w:type="dxa"/>
            <w:vAlign w:val="center"/>
          </w:tcPr>
          <w:p>
            <w:pPr>
              <w:jc w:val="center"/>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ascii="宋体" w:hAnsi="宋体"/>
                <w:szCs w:val="21"/>
              </w:rPr>
            </w:pPr>
            <w:r>
              <w:rPr>
                <w:rFonts w:ascii="宋体" w:hAnsi="宋体"/>
                <w:szCs w:val="21"/>
              </w:rPr>
              <w:t>3</w:t>
            </w:r>
          </w:p>
        </w:tc>
        <w:tc>
          <w:tcPr>
            <w:tcW w:w="1268" w:type="dxa"/>
            <w:vAlign w:val="center"/>
          </w:tcPr>
          <w:p>
            <w:pPr>
              <w:jc w:val="center"/>
              <w:rPr>
                <w:rFonts w:ascii="宋体" w:hAnsi="宋体"/>
                <w:szCs w:val="21"/>
              </w:rPr>
            </w:pPr>
            <w:r>
              <w:rPr>
                <w:rFonts w:hint="eastAsia" w:ascii="宋体" w:hAnsi="宋体"/>
                <w:szCs w:val="21"/>
              </w:rPr>
              <w:t>产品质量不合格</w:t>
            </w:r>
          </w:p>
        </w:tc>
        <w:tc>
          <w:tcPr>
            <w:tcW w:w="2385" w:type="dxa"/>
            <w:vAlign w:val="center"/>
          </w:tcPr>
          <w:p>
            <w:pPr>
              <w:jc w:val="center"/>
              <w:rPr>
                <w:rFonts w:ascii="宋体" w:hAnsi="宋体"/>
                <w:szCs w:val="21"/>
              </w:rPr>
            </w:pPr>
            <w:r>
              <w:rPr>
                <w:rFonts w:hint="eastAsia" w:ascii="宋体" w:hAnsi="宋体"/>
                <w:szCs w:val="21"/>
              </w:rPr>
              <w:t>乙方提交的产品不满足事先约定的质量要求。</w:t>
            </w:r>
          </w:p>
        </w:tc>
        <w:tc>
          <w:tcPr>
            <w:tcW w:w="1972" w:type="dxa"/>
            <w:vAlign w:val="center"/>
          </w:tcPr>
          <w:p>
            <w:pPr>
              <w:jc w:val="center"/>
              <w:rPr>
                <w:rFonts w:ascii="宋体" w:hAnsi="宋体"/>
                <w:szCs w:val="21"/>
              </w:rPr>
            </w:pPr>
            <w:r>
              <w:rPr>
                <w:rFonts w:hint="eastAsia" w:ascii="宋体" w:hAnsi="宋体"/>
                <w:szCs w:val="21"/>
              </w:rPr>
              <w:t>由甲方项目经理完成产品质量缺陷说明，提交财务部扣款</w:t>
            </w:r>
          </w:p>
        </w:tc>
        <w:tc>
          <w:tcPr>
            <w:tcW w:w="1476" w:type="dxa"/>
            <w:vAlign w:val="center"/>
          </w:tcPr>
          <w:p>
            <w:pPr>
              <w:ind w:firstLine="420"/>
              <w:jc w:val="center"/>
              <w:rPr>
                <w:szCs w:val="21"/>
              </w:rPr>
            </w:pPr>
            <w:r>
              <w:rPr>
                <w:rFonts w:hAnsi="宋体"/>
                <w:szCs w:val="21"/>
              </w:rPr>
              <w:t>合同款</w:t>
            </w:r>
            <w:r>
              <w:rPr>
                <w:szCs w:val="21"/>
              </w:rPr>
              <w:t>*5%~10%</w:t>
            </w:r>
          </w:p>
        </w:tc>
        <w:tc>
          <w:tcPr>
            <w:tcW w:w="1810" w:type="dxa"/>
            <w:vAlign w:val="center"/>
          </w:tcPr>
          <w:p>
            <w:pPr>
              <w:jc w:val="cente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ascii="宋体" w:hAnsi="宋体"/>
                <w:szCs w:val="21"/>
              </w:rPr>
            </w:pPr>
            <w:r>
              <w:rPr>
                <w:rFonts w:ascii="宋体" w:hAnsi="宋体"/>
                <w:szCs w:val="21"/>
              </w:rPr>
              <w:t>4</w:t>
            </w:r>
          </w:p>
        </w:tc>
        <w:tc>
          <w:tcPr>
            <w:tcW w:w="1268" w:type="dxa"/>
            <w:vAlign w:val="center"/>
          </w:tcPr>
          <w:p>
            <w:pPr>
              <w:jc w:val="center"/>
              <w:rPr>
                <w:rFonts w:ascii="宋体" w:hAnsi="宋体"/>
                <w:szCs w:val="21"/>
              </w:rPr>
            </w:pPr>
            <w:r>
              <w:rPr>
                <w:rFonts w:hint="eastAsia" w:ascii="宋体" w:hAnsi="宋体"/>
                <w:szCs w:val="21"/>
              </w:rPr>
              <w:t>技术支持延迟或售后不合格</w:t>
            </w:r>
          </w:p>
        </w:tc>
        <w:tc>
          <w:tcPr>
            <w:tcW w:w="2385" w:type="dxa"/>
            <w:vAlign w:val="center"/>
          </w:tcPr>
          <w:p>
            <w:pPr>
              <w:jc w:val="center"/>
              <w:rPr>
                <w:rFonts w:ascii="宋体" w:hAnsi="宋体"/>
                <w:szCs w:val="21"/>
              </w:rPr>
            </w:pPr>
            <w:r>
              <w:rPr>
                <w:rFonts w:hint="eastAsia" w:ascii="宋体" w:hAnsi="宋体"/>
                <w:szCs w:val="21"/>
              </w:rPr>
              <w:t>乙方未在要求的时间内解决甲方提出的符合包修或技术支持范围的问题</w:t>
            </w:r>
          </w:p>
        </w:tc>
        <w:tc>
          <w:tcPr>
            <w:tcW w:w="1972" w:type="dxa"/>
            <w:vAlign w:val="center"/>
          </w:tcPr>
          <w:p>
            <w:pPr>
              <w:jc w:val="center"/>
              <w:rPr>
                <w:rFonts w:ascii="宋体" w:hAnsi="宋体"/>
                <w:szCs w:val="21"/>
              </w:rPr>
            </w:pPr>
            <w:r>
              <w:rPr>
                <w:rFonts w:hint="eastAsia" w:ascii="宋体" w:hAnsi="宋体"/>
                <w:szCs w:val="21"/>
              </w:rPr>
              <w:t>由甲方项目经理完成售后反馈表，提交财务部扣款</w:t>
            </w:r>
          </w:p>
        </w:tc>
        <w:tc>
          <w:tcPr>
            <w:tcW w:w="1476" w:type="dxa"/>
            <w:vAlign w:val="center"/>
          </w:tcPr>
          <w:p>
            <w:pPr>
              <w:jc w:val="center"/>
              <w:rPr>
                <w:szCs w:val="21"/>
              </w:rPr>
            </w:pPr>
            <w:r>
              <w:rPr>
                <w:szCs w:val="21"/>
              </w:rPr>
              <w:t>5,000~50,000</w:t>
            </w:r>
            <w:r>
              <w:rPr>
                <w:rFonts w:hAnsi="宋体"/>
                <w:szCs w:val="21"/>
              </w:rPr>
              <w:t>元</w:t>
            </w:r>
          </w:p>
        </w:tc>
        <w:tc>
          <w:tcPr>
            <w:tcW w:w="1810" w:type="dxa"/>
            <w:vAlign w:val="center"/>
          </w:tcPr>
          <w:p>
            <w:pPr>
              <w:jc w:val="cente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ascii="宋体" w:hAnsi="宋体"/>
                <w:szCs w:val="21"/>
              </w:rPr>
            </w:pPr>
            <w:r>
              <w:rPr>
                <w:rFonts w:hint="eastAsia" w:ascii="宋体" w:hAnsi="宋体"/>
                <w:szCs w:val="21"/>
              </w:rPr>
              <w:t>5</w:t>
            </w:r>
          </w:p>
        </w:tc>
        <w:tc>
          <w:tcPr>
            <w:tcW w:w="1268" w:type="dxa"/>
            <w:vAlign w:val="center"/>
          </w:tcPr>
          <w:p>
            <w:pPr>
              <w:jc w:val="center"/>
              <w:rPr>
                <w:rFonts w:ascii="宋体" w:hAnsi="宋体"/>
                <w:szCs w:val="21"/>
              </w:rPr>
            </w:pPr>
            <w:r>
              <w:rPr>
                <w:rFonts w:hint="eastAsia" w:ascii="宋体" w:hAnsi="宋体"/>
                <w:szCs w:val="21"/>
              </w:rPr>
              <w:t>文档缺失或质量不合格</w:t>
            </w:r>
          </w:p>
        </w:tc>
        <w:tc>
          <w:tcPr>
            <w:tcW w:w="2385" w:type="dxa"/>
            <w:vAlign w:val="center"/>
          </w:tcPr>
          <w:p>
            <w:pPr>
              <w:jc w:val="center"/>
              <w:rPr>
                <w:rFonts w:ascii="宋体" w:hAnsi="宋体"/>
                <w:szCs w:val="21"/>
              </w:rPr>
            </w:pPr>
            <w:r>
              <w:rPr>
                <w:rFonts w:hint="eastAsia" w:ascii="宋体" w:hAnsi="宋体"/>
                <w:szCs w:val="21"/>
              </w:rPr>
              <w:t>乙方未提供或提供的技术规范、培训材料等文档</w:t>
            </w:r>
          </w:p>
        </w:tc>
        <w:tc>
          <w:tcPr>
            <w:tcW w:w="1972" w:type="dxa"/>
            <w:vAlign w:val="center"/>
          </w:tcPr>
          <w:p>
            <w:pPr>
              <w:jc w:val="center"/>
              <w:rPr>
                <w:rFonts w:ascii="宋体" w:hAnsi="宋体"/>
                <w:szCs w:val="21"/>
              </w:rPr>
            </w:pPr>
            <w:r>
              <w:rPr>
                <w:rFonts w:hint="eastAsia" w:ascii="宋体" w:hAnsi="宋体"/>
                <w:szCs w:val="21"/>
              </w:rPr>
              <w:t>由甲方项目经理确认文档条目，提交财务部扣款</w:t>
            </w:r>
          </w:p>
        </w:tc>
        <w:tc>
          <w:tcPr>
            <w:tcW w:w="1476" w:type="dxa"/>
            <w:vAlign w:val="center"/>
          </w:tcPr>
          <w:p>
            <w:pPr>
              <w:jc w:val="center"/>
              <w:rPr>
                <w:szCs w:val="21"/>
              </w:rPr>
            </w:pPr>
            <w:r>
              <w:rPr>
                <w:szCs w:val="21"/>
              </w:rPr>
              <w:t>1,000~5,0000</w:t>
            </w:r>
            <w:r>
              <w:rPr>
                <w:rFonts w:hAnsi="宋体"/>
                <w:szCs w:val="21"/>
              </w:rPr>
              <w:t>元</w:t>
            </w:r>
          </w:p>
        </w:tc>
        <w:tc>
          <w:tcPr>
            <w:tcW w:w="1810" w:type="dxa"/>
            <w:vAlign w:val="center"/>
          </w:tcPr>
          <w:p>
            <w:pPr>
              <w:jc w:val="center"/>
              <w:rPr>
                <w:rFonts w:ascii="宋体" w:hAnsi="宋体"/>
                <w:szCs w:val="21"/>
              </w:rPr>
            </w:pPr>
            <w:r>
              <w:rPr>
                <w:rFonts w:hint="eastAsia" w:ascii="宋体" w:hAnsi="宋体"/>
                <w:szCs w:val="21"/>
              </w:rPr>
              <w:t>视文档重要性</w:t>
            </w:r>
          </w:p>
        </w:tc>
      </w:tr>
    </w:tbl>
    <w:p>
      <w:pPr>
        <w:pStyle w:val="5"/>
        <w:spacing w:before="0" w:after="0" w:line="360" w:lineRule="auto"/>
        <w:rPr>
          <w:sz w:val="20"/>
        </w:rPr>
      </w:pPr>
      <w:bookmarkStart w:id="45" w:name="_Toc51053553"/>
      <w:bookmarkStart w:id="46" w:name="_Toc16718"/>
      <w:bookmarkStart w:id="47" w:name="_Toc30768"/>
      <w:bookmarkStart w:id="48" w:name="_Toc24786"/>
      <w:r>
        <w:rPr>
          <w:rFonts w:hint="eastAsia"/>
          <w:sz w:val="20"/>
        </w:rPr>
        <w:t>四、</w:t>
      </w:r>
      <w:r>
        <w:rPr>
          <w:sz w:val="20"/>
        </w:rPr>
        <w:t>产品的质量要求</w:t>
      </w:r>
      <w:bookmarkEnd w:id="45"/>
      <w:bookmarkEnd w:id="46"/>
      <w:bookmarkEnd w:id="47"/>
      <w:bookmarkEnd w:id="48"/>
    </w:p>
    <w:p>
      <w:pPr>
        <w:snapToGrid w:val="0"/>
        <w:spacing w:line="360" w:lineRule="auto"/>
        <w:ind w:firstLine="420"/>
        <w:rPr>
          <w:rFonts w:ascii="宋体" w:hAnsi="宋体"/>
          <w:szCs w:val="21"/>
        </w:rPr>
      </w:pPr>
      <w:r>
        <w:rPr>
          <w:rFonts w:hint="eastAsia" w:ascii="宋体" w:hAnsi="宋体"/>
          <w:szCs w:val="21"/>
        </w:rPr>
        <w:t>1、乙方所提供的软件的技术指标和技术性能必须完全满足甲方在“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采购文件中提出的技术要求，乙方所提供的软件的功能与服务实现必须完全遵守响应文件和谈判时做出的书面承诺；乙方保证所开发软件没有任何版权或其他权属争议，且符合相应技术规定的品质和技术要求。若项目涉及的技术性能无相应说明，则按国家或国际有关部门最新颁布的标准及规范为准。同时，乙方保证提供的所有技术是现阶段主流技术。</w:t>
      </w:r>
    </w:p>
    <w:p>
      <w:pPr>
        <w:spacing w:line="360" w:lineRule="auto"/>
        <w:ind w:firstLine="420"/>
        <w:rPr>
          <w:szCs w:val="21"/>
        </w:rPr>
      </w:pPr>
      <w:r>
        <w:rPr>
          <w:rFonts w:hint="eastAsia" w:ascii="宋体" w:hAnsi="宋体"/>
          <w:szCs w:val="21"/>
        </w:rPr>
        <w:t>2、软件的技术文档乙方必须以光盘、电子文档和纸质等的包装方式提供所开发软件安装及日常运行维护所需的全部技术文件（含软件），提供软件的全部技术文档包括但不限于源代码、接口文档、设计方案、模块开发卷宗、测试方案、用户手册、系统业务规则等，提供软件及安装调试、系统集成及日常运行维护所需的全部技术文件</w:t>
      </w:r>
      <w:r>
        <w:rPr>
          <w:szCs w:val="21"/>
        </w:rPr>
        <w:t>。</w:t>
      </w:r>
    </w:p>
    <w:p>
      <w:pPr>
        <w:pStyle w:val="5"/>
        <w:spacing w:before="0" w:after="0" w:line="360" w:lineRule="auto"/>
        <w:rPr>
          <w:sz w:val="20"/>
        </w:rPr>
      </w:pPr>
      <w:bookmarkStart w:id="49" w:name="_Toc51053554"/>
      <w:bookmarkStart w:id="50" w:name="_Hlk90459172"/>
      <w:bookmarkStart w:id="51" w:name="_Toc2480"/>
      <w:bookmarkStart w:id="52" w:name="_Toc14398"/>
      <w:bookmarkStart w:id="53" w:name="_Toc513"/>
      <w:r>
        <w:rPr>
          <w:rFonts w:hint="eastAsia"/>
          <w:sz w:val="20"/>
        </w:rPr>
        <w:t>五</w:t>
      </w:r>
      <w:r>
        <w:rPr>
          <w:sz w:val="20"/>
        </w:rPr>
        <w:t>、</w:t>
      </w:r>
      <w:bookmarkEnd w:id="49"/>
      <w:bookmarkEnd w:id="50"/>
      <w:bookmarkEnd w:id="51"/>
      <w:bookmarkEnd w:id="52"/>
      <w:bookmarkEnd w:id="53"/>
      <w:r>
        <w:rPr>
          <w:sz w:val="20"/>
        </w:rPr>
        <w:t>运输费用</w:t>
      </w:r>
    </w:p>
    <w:p>
      <w:pPr>
        <w:spacing w:line="360" w:lineRule="auto"/>
        <w:ind w:firstLine="420"/>
        <w:rPr>
          <w:szCs w:val="21"/>
        </w:rPr>
      </w:pPr>
      <w:r>
        <w:rPr>
          <w:szCs w:val="21"/>
        </w:rPr>
        <w:t>乙方承担所有产品</w:t>
      </w:r>
      <w:r>
        <w:rPr>
          <w:rFonts w:hint="eastAsia"/>
          <w:szCs w:val="21"/>
        </w:rPr>
        <w:t>/服务</w:t>
      </w:r>
      <w:r>
        <w:rPr>
          <w:szCs w:val="21"/>
        </w:rPr>
        <w:t>的保险等费用。</w:t>
      </w:r>
    </w:p>
    <w:p>
      <w:pPr>
        <w:pStyle w:val="5"/>
        <w:spacing w:before="0" w:after="0" w:line="360" w:lineRule="auto"/>
        <w:rPr>
          <w:sz w:val="20"/>
        </w:rPr>
      </w:pPr>
      <w:r>
        <w:rPr>
          <w:rFonts w:hint="eastAsia"/>
          <w:sz w:val="20"/>
        </w:rPr>
        <w:t>六</w:t>
      </w:r>
      <w:r>
        <w:rPr>
          <w:sz w:val="20"/>
        </w:rPr>
        <w:t>、</w:t>
      </w:r>
      <w:r>
        <w:rPr>
          <w:rFonts w:hint="eastAsia"/>
          <w:sz w:val="20"/>
        </w:rPr>
        <w:t>供货周期</w:t>
      </w:r>
    </w:p>
    <w:p>
      <w:pPr>
        <w:spacing w:line="360" w:lineRule="auto"/>
        <w:ind w:firstLine="420"/>
        <w:rPr>
          <w:szCs w:val="21"/>
        </w:rPr>
      </w:pPr>
      <w:bookmarkStart w:id="54" w:name="_Toc31014"/>
      <w:bookmarkStart w:id="55" w:name="_Toc51053557"/>
      <w:bookmarkStart w:id="56" w:name="_Toc105"/>
      <w:bookmarkStart w:id="57" w:name="_Toc19966"/>
      <w:r>
        <w:rPr>
          <w:rFonts w:hint="eastAsia"/>
          <w:szCs w:val="21"/>
        </w:rPr>
        <w:t>要求于签订合同后的</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天（不超过3</w:t>
      </w:r>
      <w:r>
        <w:rPr>
          <w:szCs w:val="21"/>
        </w:rPr>
        <w:t>0</w:t>
      </w:r>
      <w:r>
        <w:rPr>
          <w:rFonts w:hint="eastAsia"/>
          <w:szCs w:val="21"/>
        </w:rPr>
        <w:t>天）内完成系统所有功能模块与接口的开发、改造、现场安装和调试以及相应的集成对接工作。乙方每逾期一天交付（不足一天按一天计算），按合同总价的1%收取滞纳金，滞纳金从合同款中扣除。如逾期时间超过6周仍未能交付全部或部分开发系统，在不妨碍甲方其他救济手段的情况下，甲方可以向乙方发出书面违约通知从而全部或部分地终止合同，并向乙方索赔。</w:t>
      </w:r>
    </w:p>
    <w:p>
      <w:pPr>
        <w:spacing w:line="360" w:lineRule="auto"/>
        <w:ind w:firstLine="420"/>
        <w:rPr>
          <w:szCs w:val="21"/>
        </w:rPr>
      </w:pPr>
      <w:r>
        <w:rPr>
          <w:rFonts w:hint="eastAsia"/>
          <w:szCs w:val="21"/>
        </w:rPr>
        <w:t>乙方逾期交付，甲方接受的，不影响甲方追究乙方逾期交付的违约责任。</w:t>
      </w:r>
    </w:p>
    <w:p>
      <w:pPr>
        <w:pStyle w:val="5"/>
        <w:spacing w:before="0" w:after="0" w:line="360" w:lineRule="auto"/>
        <w:rPr>
          <w:sz w:val="20"/>
        </w:rPr>
      </w:pPr>
      <w:r>
        <w:rPr>
          <w:rFonts w:hint="eastAsia"/>
          <w:sz w:val="20"/>
        </w:rPr>
        <w:t>七、</w:t>
      </w:r>
      <w:bookmarkEnd w:id="54"/>
      <w:bookmarkEnd w:id="55"/>
      <w:bookmarkEnd w:id="56"/>
      <w:bookmarkEnd w:id="57"/>
      <w:r>
        <w:rPr>
          <w:rFonts w:hint="eastAsia"/>
          <w:sz w:val="20"/>
        </w:rPr>
        <w:t>开发周期</w:t>
      </w:r>
    </w:p>
    <w:p>
      <w:pPr>
        <w:numPr>
          <w:ilvl w:val="0"/>
          <w:numId w:val="8"/>
        </w:numPr>
        <w:spacing w:line="360" w:lineRule="auto"/>
        <w:ind w:left="0" w:firstLine="426"/>
        <w:rPr>
          <w:szCs w:val="21"/>
        </w:rPr>
      </w:pPr>
      <w:r>
        <w:rPr>
          <w:rFonts w:hint="eastAsia"/>
          <w:szCs w:val="21"/>
        </w:rPr>
        <w:t>开发周期</w:t>
      </w:r>
    </w:p>
    <w:p>
      <w:pPr>
        <w:spacing w:line="360" w:lineRule="auto"/>
        <w:ind w:firstLine="420"/>
        <w:rPr>
          <w:szCs w:val="21"/>
        </w:rPr>
      </w:pPr>
      <w:r>
        <w:rPr>
          <w:rFonts w:hint="eastAsia"/>
          <w:szCs w:val="21"/>
        </w:rPr>
        <w:t>软件开发和系统调试的进度严格按照双方约定的工程进度表进行</w:t>
      </w:r>
      <w:r>
        <w:rPr>
          <w:rFonts w:hint="eastAsia"/>
        </w:rPr>
        <w:t>，要求60天内</w:t>
      </w:r>
      <w:r>
        <w:rPr>
          <w:rFonts w:hint="eastAsia" w:ascii="宋体" w:hAnsi="宋体"/>
          <w:szCs w:val="21"/>
        </w:rPr>
        <w:t>完成系统所有功能模块与接口的开发、改造、测试、现场安装和调试以及相应的系统集成工作</w:t>
      </w:r>
      <w:r>
        <w:rPr>
          <w:rFonts w:hint="eastAsia"/>
        </w:rPr>
        <w:t>。针对此项目的系统集成部分，要求质保期内，在接到明确集成厂家任务（不超过两家）时，30天内完成相关集成配合工作。</w:t>
      </w:r>
    </w:p>
    <w:p>
      <w:pPr>
        <w:pStyle w:val="5"/>
        <w:spacing w:before="0" w:after="0" w:line="360" w:lineRule="auto"/>
        <w:rPr>
          <w:sz w:val="20"/>
        </w:rPr>
      </w:pPr>
      <w:r>
        <w:rPr>
          <w:rFonts w:hint="eastAsia"/>
          <w:sz w:val="20"/>
        </w:rPr>
        <w:t>八、验收标准</w:t>
      </w:r>
    </w:p>
    <w:p>
      <w:pPr>
        <w:numPr>
          <w:ilvl w:val="0"/>
          <w:numId w:val="9"/>
        </w:numPr>
        <w:tabs>
          <w:tab w:val="left" w:pos="0"/>
          <w:tab w:val="clear" w:pos="1155"/>
        </w:tabs>
        <w:spacing w:line="360" w:lineRule="auto"/>
        <w:ind w:left="0" w:firstLine="420" w:firstLineChars="200"/>
        <w:rPr>
          <w:rFonts w:ascii="宋体" w:hAnsi="宋体"/>
          <w:szCs w:val="21"/>
        </w:rPr>
      </w:pPr>
      <w:r>
        <w:rPr>
          <w:rFonts w:hint="eastAsia" w:ascii="宋体" w:hAnsi="宋体"/>
          <w:szCs w:val="21"/>
        </w:rPr>
        <w:t>乙方需免费提供验收所需的测试工具、并搭建测试环境，按甲方谈判文件、乙方谈判响应文件、谈判时乙方做出的书面承诺以及甲乙双方共同签订的补充协议的要求进行验收。乙方在货到安装调试完毕、系统达到甲方要求的技术功能和指标后，向甲方提交“DRM+DTMB融合覆盖系统研发服务项目”系统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9"/>
        </w:numPr>
        <w:tabs>
          <w:tab w:val="left" w:pos="0"/>
          <w:tab w:val="clear" w:pos="1155"/>
        </w:tabs>
        <w:spacing w:line="360" w:lineRule="auto"/>
        <w:ind w:left="0" w:firstLine="420" w:firstLineChars="200"/>
        <w:rPr>
          <w:rFonts w:ascii="宋体" w:hAns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9"/>
        </w:numPr>
        <w:tabs>
          <w:tab w:val="left" w:pos="0"/>
          <w:tab w:val="clear" w:pos="1155"/>
        </w:tabs>
        <w:spacing w:line="360" w:lineRule="auto"/>
        <w:ind w:left="0" w:firstLine="420" w:firstLineChars="200"/>
        <w:rPr>
          <w:rFonts w:ascii="宋体" w:hAnsi="宋体"/>
          <w:szCs w:val="21"/>
        </w:rPr>
      </w:pPr>
      <w:r>
        <w:rPr>
          <w:rFonts w:hint="eastAsia" w:ascii="宋体" w:hAnsi="宋体"/>
          <w:szCs w:val="21"/>
        </w:rPr>
        <w:t>因甲方原因未能及时组织初验或终验，甲方应在乙方的协助下尽快解决问题。在乙方提出书面申请后，如甲方无正当理由在一个月内不予响应的，则视为系统验收通过。</w:t>
      </w:r>
    </w:p>
    <w:p>
      <w:pPr>
        <w:numPr>
          <w:ilvl w:val="0"/>
          <w:numId w:val="9"/>
        </w:numPr>
        <w:tabs>
          <w:tab w:val="left" w:pos="0"/>
          <w:tab w:val="clear" w:pos="1155"/>
        </w:tabs>
        <w:spacing w:line="360" w:lineRule="auto"/>
        <w:ind w:left="0" w:firstLine="420" w:firstLineChars="200"/>
        <w:rPr>
          <w:rFonts w:ascii="宋体" w:hAns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9"/>
        </w:numPr>
        <w:tabs>
          <w:tab w:val="left" w:pos="0"/>
          <w:tab w:val="clear" w:pos="1155"/>
        </w:tabs>
        <w:spacing w:line="360" w:lineRule="auto"/>
        <w:ind w:left="0" w:firstLine="420" w:firstLineChars="200"/>
        <w:rPr>
          <w:rFonts w:ascii="宋体" w:hAns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pStyle w:val="5"/>
        <w:spacing w:before="0" w:after="0" w:line="360" w:lineRule="auto"/>
        <w:rPr>
          <w:sz w:val="20"/>
        </w:rPr>
      </w:pPr>
      <w:r>
        <w:rPr>
          <w:rFonts w:hint="eastAsia"/>
          <w:sz w:val="20"/>
        </w:rPr>
        <w:t>九</w:t>
      </w:r>
      <w:r>
        <w:rPr>
          <w:sz w:val="20"/>
        </w:rPr>
        <w:t>、售后服务</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服务响应时间：乙方提供每周7天×24小时的技术支持和服务。如果出现技术问题或故障，乙方应按谈判响应文件和谈判时做出的书面承诺提供相应的服务和技术支持。在接到通知后1小时内应答，6小时内派出代表到达现场进行处理。在得到乙方同意后，或在规定期限内，乙方代表仍未到达现场，甲方可以自己进行故障处理，并要求乙方承担相应费用。重大技术故障乙方需要明确CASE处理的时间。</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包修期：包修期</w:t>
      </w:r>
      <w:r>
        <w:rPr>
          <w:rFonts w:ascii="宋体" w:hAnsi="宋体"/>
          <w:szCs w:val="21"/>
          <w:u w:val="single"/>
        </w:rPr>
        <w:t xml:space="preserve">   </w:t>
      </w:r>
      <w:r>
        <w:rPr>
          <w:rFonts w:hint="eastAsia" w:ascii="宋体" w:hAnsi="宋体"/>
          <w:szCs w:val="21"/>
        </w:rPr>
        <w:t>年（不少于3年），自终验通过之日起计算超过免费质保期后，乙方对其提供的产品在设备寿命期内提供有偿保修服务。超过免费质保期后，乙方对其提供的产品在寿命期内提供有偿保修服务。每年</w:t>
      </w:r>
      <w:r>
        <w:rPr>
          <w:rFonts w:hint="eastAsia"/>
          <w:szCs w:val="21"/>
        </w:rPr>
        <w:t>价格不得高于需要保修系统成交价的</w:t>
      </w:r>
      <w:r>
        <w:rPr>
          <w:szCs w:val="21"/>
          <w:u w:val="single"/>
        </w:rPr>
        <w:t xml:space="preserve">   </w:t>
      </w:r>
      <w:r>
        <w:rPr>
          <w:rFonts w:hint="eastAsia"/>
          <w:szCs w:val="21"/>
        </w:rPr>
        <w:t>%（不高于5%）。</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培训：乙方应对甲方人员进行技术培训，使甲方人员具备独立进行管理、维护测试和故障处理等工作的能力，以保证乙方所提供的设备能够正常、安全运行。培训内容不限于软、硬件设备的相关技术原理、性能、操作使用方法、维护管理的技术、实际的操作练习等。在项目现场的培训不不少于半天，参训人员由甲方指定。包括谈判响应文件和谈判时做出的书面承诺的培训。乙方另行提供的其它培训，往返路程费用、住宿及餐饮等费用由乙方承担。</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原厂服务：乙方所提供的技术服务都由各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项目上线一年内，乙方至少有一名技术人员常驻现场进行支撑，遵守采购人的考勤制度。</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谈判响应文件中应明确指定负责本项目合格的维修保养单位，应建立相当规模的备用软件库以满足日常检验及应急修理的需要。</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无论在质保期内还是在质保期后，乙方保证系统发生故障后6小时内，解决系统问题。</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如果在系统发生故障后，乙方未能按照要求时间排除系统故障，甲方有权请第三方解决问题，由此产生的费用由乙方承担。造成甲方业务损失的，由乙方承担相应责任。</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在质保期内，甲方在使用软件中不论何种原因造成的故障，乙方在接到甲方要求修复的电话或书面通知后：</w:t>
      </w:r>
    </w:p>
    <w:p>
      <w:pPr>
        <w:tabs>
          <w:tab w:val="left" w:pos="0"/>
        </w:tabs>
        <w:spacing w:line="360" w:lineRule="auto"/>
        <w:ind w:firstLine="426"/>
        <w:rPr>
          <w:rFonts w:ascii="宋体" w:hAnsi="宋体"/>
          <w:szCs w:val="21"/>
        </w:rPr>
      </w:pPr>
      <w:r>
        <w:rPr>
          <w:rFonts w:hint="eastAsia" w:ascii="宋体" w:hAnsi="宋体"/>
          <w:szCs w:val="21"/>
        </w:rPr>
        <w:t>（1）乙方保证立即响应并至少通过电话做远程诊断，尝试排除故障或进行紧急处理。</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）乙方保证提供完善的备用软件支持服务，用以保障甲方应急替换。若相关软件组件发生故障，乙方承诺在6小时内为甲方替换相应组件。</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质保期后：如软件出现故障，乙方应负责及时维修，若维修时间超过半个月，乙方应负责免费提供代替软件，保证系统正常运行。</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在双方商定的一定期限内对乙方所供货物实施运行维护及修理，但前提条件是该服务并不能免除乙方在合同有效期内所承担的义务。</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及时提供合同软件使用和维护方面的最新技术信息和资料。</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乙方在软件调试期间，一切费用由乙方自理。</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谈判文件中要求的其他内容。</w:t>
      </w:r>
    </w:p>
    <w:p>
      <w:pPr>
        <w:pStyle w:val="5"/>
        <w:spacing w:before="0" w:after="0" w:line="360" w:lineRule="auto"/>
        <w:rPr>
          <w:sz w:val="20"/>
        </w:rPr>
      </w:pPr>
      <w:r>
        <w:rPr>
          <w:rFonts w:hint="eastAsia"/>
          <w:sz w:val="20"/>
        </w:rPr>
        <w:t>十、技术支持</w:t>
      </w:r>
    </w:p>
    <w:p>
      <w:pPr>
        <w:numPr>
          <w:ilvl w:val="0"/>
          <w:numId w:val="11"/>
        </w:numPr>
        <w:tabs>
          <w:tab w:val="left" w:pos="0"/>
        </w:tabs>
        <w:spacing w:line="360" w:lineRule="auto"/>
        <w:ind w:left="0" w:firstLine="426"/>
        <w:rPr>
          <w:rFonts w:ascii="宋体" w:hAnsi="宋体"/>
          <w:szCs w:val="21"/>
        </w:rPr>
      </w:pPr>
      <w:r>
        <w:rPr>
          <w:rFonts w:hint="eastAsia" w:ascii="宋体" w:hAnsi="宋体"/>
          <w:szCs w:val="21"/>
        </w:rPr>
        <w:t>乙方需提供软件的全套技术文件。文档内容须覆盖承建人所提供软件功能使用及管理应用。如乙方提供的项目/软件文档错误或不达要求，须无条件根据甲方提出细化要求予以补充或修订。文档资料包含但不限于以下内容：</w:t>
      </w:r>
    </w:p>
    <w:p>
      <w:pPr>
        <w:tabs>
          <w:tab w:val="left" w:pos="0"/>
        </w:tabs>
        <w:spacing w:line="360" w:lineRule="auto"/>
        <w:ind w:firstLine="420"/>
        <w:rPr>
          <w:rFonts w:ascii="宋体" w:hAnsi="宋体"/>
          <w:szCs w:val="21"/>
        </w:rPr>
      </w:pPr>
      <w:r>
        <w:rPr>
          <w:rFonts w:hint="eastAsia" w:ascii="宋体" w:hAnsi="宋体"/>
          <w:szCs w:val="21"/>
        </w:rPr>
        <w:t>（1）系统需求分析文档。</w:t>
      </w:r>
    </w:p>
    <w:p>
      <w:pPr>
        <w:tabs>
          <w:tab w:val="left" w:pos="0"/>
        </w:tabs>
        <w:spacing w:line="360" w:lineRule="auto"/>
        <w:ind w:firstLine="420"/>
        <w:rPr>
          <w:rFonts w:ascii="宋体" w:hAnsi="宋体"/>
          <w:szCs w:val="21"/>
        </w:rPr>
      </w:pPr>
      <w:r>
        <w:rPr>
          <w:rFonts w:hint="eastAsia" w:ascii="宋体" w:hAnsi="宋体"/>
          <w:szCs w:val="21"/>
        </w:rPr>
        <w:t>（2）系统设计说明书，包含软件结构图、部署视图、系统接口调用视图、各类设计的详细说明等。</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）数据结构和数据字典说明。</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）用户操作手册，包含系统所有功能、页面、关键页面信息项的操作指引及信息说明等。</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）系统运行维护手册，包含系统的安装、升级、迁移、维护等方面内容的说明。</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）系统接口手册，包含系统提供或定制开发的接口类库、说明、示例代码等。</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）谈判文件中要求的其他内容。</w:t>
      </w:r>
    </w:p>
    <w:p>
      <w:pPr>
        <w:numPr>
          <w:ilvl w:val="0"/>
          <w:numId w:val="11"/>
        </w:numPr>
        <w:tabs>
          <w:tab w:val="left" w:pos="0"/>
        </w:tabs>
        <w:spacing w:line="360" w:lineRule="auto"/>
        <w:ind w:left="0" w:firstLine="426"/>
        <w:rPr>
          <w:rFonts w:ascii="宋体" w:hAnsi="宋体"/>
          <w:szCs w:val="21"/>
        </w:rPr>
      </w:pPr>
      <w:r>
        <w:rPr>
          <w:rFonts w:hint="eastAsia" w:ascii="宋体" w:hAnsi="宋体"/>
          <w:szCs w:val="21"/>
        </w:rPr>
        <w:t>乙方须按甲方要求派驻相应的技术人员至项目现场完成甲方指定的相关工作。</w:t>
      </w:r>
    </w:p>
    <w:p>
      <w:pPr>
        <w:pStyle w:val="5"/>
        <w:spacing w:before="0" w:after="0" w:line="360" w:lineRule="auto"/>
        <w:rPr>
          <w:sz w:val="20"/>
        </w:rPr>
      </w:pPr>
      <w:r>
        <w:rPr>
          <w:rFonts w:hint="eastAsia"/>
          <w:sz w:val="20"/>
        </w:rPr>
        <w:t>十一、技术升级和优惠条件</w:t>
      </w:r>
    </w:p>
    <w:p>
      <w:pPr>
        <w:numPr>
          <w:ilvl w:val="0"/>
          <w:numId w:val="12"/>
        </w:numPr>
        <w:tabs>
          <w:tab w:val="left" w:pos="0"/>
        </w:tabs>
        <w:spacing w:line="360" w:lineRule="auto"/>
        <w:ind w:left="0" w:firstLine="426"/>
        <w:rPr>
          <w:rFonts w:ascii="宋体" w:hAnsi="宋体"/>
          <w:szCs w:val="21"/>
        </w:rPr>
      </w:pPr>
      <w:r>
        <w:rPr>
          <w:rFonts w:hint="eastAsia" w:ascii="宋体" w:hAnsi="宋体"/>
          <w:szCs w:val="21"/>
        </w:rPr>
        <w:t>乙方对所供硬件及第三方软件在设备寿命期内提供免费的软件升级服务（包括设备模板），并在升级后为甲方提供免费的培训。</w:t>
      </w:r>
    </w:p>
    <w:p>
      <w:pPr>
        <w:numPr>
          <w:ilvl w:val="0"/>
          <w:numId w:val="12"/>
        </w:numPr>
        <w:tabs>
          <w:tab w:val="left" w:pos="0"/>
        </w:tabs>
        <w:spacing w:line="360" w:lineRule="auto"/>
        <w:ind w:left="0" w:firstLine="426"/>
        <w:rPr>
          <w:rFonts w:ascii="宋体" w:hAnsi="宋体"/>
          <w:szCs w:val="21"/>
        </w:rPr>
      </w:pPr>
      <w:r>
        <w:rPr>
          <w:rFonts w:hint="eastAsia" w:ascii="宋体" w:hAnsi="宋体"/>
          <w:szCs w:val="21"/>
        </w:rPr>
        <w:t>乙方承诺升级后的软件没有版权及权属争议等其它问题，并且保证到下次升级时可正常使用。</w:t>
      </w:r>
    </w:p>
    <w:p>
      <w:pPr>
        <w:numPr>
          <w:ilvl w:val="0"/>
          <w:numId w:val="12"/>
        </w:numPr>
        <w:tabs>
          <w:tab w:val="left" w:pos="0"/>
        </w:tabs>
        <w:spacing w:line="360" w:lineRule="auto"/>
        <w:ind w:left="0" w:firstLine="426"/>
        <w:rPr>
          <w:rFonts w:ascii="宋体" w:hAnsi="宋体"/>
          <w:szCs w:val="21"/>
        </w:rPr>
      </w:pPr>
      <w:r>
        <w:rPr>
          <w:rFonts w:hint="eastAsia" w:ascii="宋体" w:hAnsi="宋体"/>
          <w:szCs w:val="21"/>
        </w:rPr>
        <w:t>本次合同范围，对于系统今后新增设备和软件的所有集成，乙方全部免收集成费。</w:t>
      </w:r>
    </w:p>
    <w:p>
      <w:pPr>
        <w:numPr>
          <w:ilvl w:val="0"/>
          <w:numId w:val="12"/>
        </w:numPr>
        <w:tabs>
          <w:tab w:val="left" w:pos="0"/>
        </w:tabs>
        <w:spacing w:line="360" w:lineRule="auto"/>
        <w:ind w:left="0" w:firstLine="426"/>
        <w:rPr>
          <w:rFonts w:ascii="宋体" w:hAnsi="宋体"/>
          <w:szCs w:val="21"/>
        </w:rPr>
      </w:pPr>
      <w:r>
        <w:rPr>
          <w:rFonts w:hint="eastAsia" w:ascii="宋体" w:hAnsi="宋体"/>
          <w:szCs w:val="21"/>
        </w:rPr>
        <w:t>甲方扩充设备时，乙方提供的设备及配件报价应不高于本项目的成交价格、折扣，且不高于当时市场价格。</w:t>
      </w:r>
    </w:p>
    <w:p>
      <w:pPr>
        <w:pStyle w:val="5"/>
        <w:spacing w:before="0" w:after="0" w:line="360" w:lineRule="auto"/>
        <w:rPr>
          <w:sz w:val="20"/>
        </w:rPr>
      </w:pPr>
      <w:r>
        <w:rPr>
          <w:rFonts w:hint="eastAsia"/>
          <w:sz w:val="20"/>
        </w:rPr>
        <w:t>十二、软件维护与升级</w:t>
      </w:r>
    </w:p>
    <w:p>
      <w:pPr>
        <w:numPr>
          <w:ilvl w:val="0"/>
          <w:numId w:val="13"/>
        </w:numPr>
        <w:tabs>
          <w:tab w:val="left" w:pos="0"/>
        </w:tabs>
        <w:spacing w:line="360" w:lineRule="auto"/>
        <w:ind w:left="0" w:firstLine="426"/>
        <w:rPr>
          <w:rFonts w:ascii="宋体" w:hAnsi="宋体"/>
          <w:szCs w:val="21"/>
        </w:rPr>
      </w:pPr>
      <w:r>
        <w:rPr>
          <w:rFonts w:hint="eastAsia" w:ascii="宋体" w:hAnsi="宋体"/>
          <w:szCs w:val="21"/>
        </w:rPr>
        <w:t>乙方必须终身提供软件免费维护和免费升级，对于不在此范围内的情况需列表说明。</w:t>
      </w:r>
    </w:p>
    <w:p>
      <w:pPr>
        <w:numPr>
          <w:ilvl w:val="0"/>
          <w:numId w:val="13"/>
        </w:numPr>
        <w:tabs>
          <w:tab w:val="left" w:pos="0"/>
        </w:tabs>
        <w:spacing w:line="360" w:lineRule="auto"/>
        <w:ind w:left="0" w:firstLine="426"/>
        <w:rPr>
          <w:rFonts w:ascii="宋体" w:hAnsi="宋体"/>
          <w:szCs w:val="21"/>
        </w:rPr>
      </w:pPr>
      <w:r>
        <w:rPr>
          <w:rFonts w:hint="eastAsia" w:ascii="宋体" w:hAnsi="宋体"/>
          <w:szCs w:val="21"/>
        </w:rPr>
        <w:t>乙方所供货物要求实行终身license授权许可，若涉及到license更新操作，需在到期前7日安排技术人员现场更新，并由甲方确认授权生效。</w:t>
      </w:r>
    </w:p>
    <w:p>
      <w:pPr>
        <w:pStyle w:val="5"/>
        <w:spacing w:before="0" w:after="0" w:line="360" w:lineRule="auto"/>
        <w:rPr>
          <w:sz w:val="20"/>
        </w:rPr>
      </w:pPr>
      <w:r>
        <w:rPr>
          <w:rFonts w:hint="eastAsia"/>
          <w:sz w:val="20"/>
        </w:rPr>
        <w:t>十三、培训</w:t>
      </w:r>
    </w:p>
    <w:p>
      <w:pPr>
        <w:numPr>
          <w:ilvl w:val="0"/>
          <w:numId w:val="14"/>
        </w:numPr>
        <w:tabs>
          <w:tab w:val="left" w:pos="0"/>
        </w:tabs>
        <w:spacing w:line="360" w:lineRule="auto"/>
        <w:ind w:left="0" w:firstLine="426"/>
        <w:rPr>
          <w:rFonts w:ascii="宋体" w:hAnsi="宋体"/>
          <w:szCs w:val="21"/>
        </w:rPr>
      </w:pPr>
      <w:r>
        <w:rPr>
          <w:rFonts w:hint="eastAsia" w:ascii="宋体" w:hAnsi="宋体"/>
          <w:szCs w:val="21"/>
        </w:rPr>
        <w:t>乙方在进行系统安装、调试过程中，应在每一个施工现场免费提供不少于半天专项现场培训。</w:t>
      </w:r>
    </w:p>
    <w:p>
      <w:pPr>
        <w:numPr>
          <w:ilvl w:val="0"/>
          <w:numId w:val="14"/>
        </w:numPr>
        <w:tabs>
          <w:tab w:val="left" w:pos="0"/>
        </w:tabs>
        <w:spacing w:line="360" w:lineRule="auto"/>
        <w:ind w:left="0" w:firstLine="426"/>
        <w:rPr>
          <w:rFonts w:ascii="宋体" w:hAnsi="宋体"/>
          <w:szCs w:val="21"/>
        </w:rPr>
      </w:pPr>
      <w:r>
        <w:rPr>
          <w:rFonts w:hint="eastAsia" w:ascii="宋体" w:hAnsi="宋体"/>
          <w:szCs w:val="21"/>
        </w:rPr>
        <w:t>乙方应提供免费不少于3次集中培训，并提供相应讲师以及培训计划。</w:t>
      </w:r>
    </w:p>
    <w:p>
      <w:pPr>
        <w:pStyle w:val="5"/>
        <w:spacing w:before="0" w:after="0" w:line="360" w:lineRule="auto"/>
        <w:rPr>
          <w:sz w:val="20"/>
        </w:rPr>
      </w:pPr>
      <w:r>
        <w:rPr>
          <w:rFonts w:hint="eastAsia"/>
          <w:sz w:val="20"/>
        </w:rPr>
        <w:t>十四、技术和资料的保密事项</w:t>
      </w:r>
    </w:p>
    <w:p>
      <w:pPr>
        <w:numPr>
          <w:ilvl w:val="0"/>
          <w:numId w:val="15"/>
        </w:numPr>
        <w:tabs>
          <w:tab w:val="left" w:pos="0"/>
        </w:tabs>
        <w:spacing w:line="360" w:lineRule="auto"/>
        <w:ind w:left="0" w:firstLine="426"/>
        <w:rPr>
          <w:rFonts w:ascii="宋体" w:hAnsi="宋体"/>
          <w:szCs w:val="21"/>
        </w:rPr>
      </w:pPr>
      <w:r>
        <w:rPr>
          <w:rFonts w:hint="eastAsia" w:ascii="宋体" w:hAnsi="宋体"/>
          <w:szCs w:val="21"/>
        </w:rPr>
        <w:t>甲乙双方同意，在任何时候，不论是合同有效期内还是合同终止以后，对任何一方提供的秘密信息或双方共有的秘密信息均实行严格保密。</w:t>
      </w:r>
    </w:p>
    <w:p>
      <w:pPr>
        <w:numPr>
          <w:ilvl w:val="0"/>
          <w:numId w:val="15"/>
        </w:numPr>
        <w:tabs>
          <w:tab w:val="left" w:pos="0"/>
        </w:tabs>
        <w:spacing w:line="360" w:lineRule="auto"/>
        <w:ind w:left="0" w:firstLine="426"/>
        <w:rPr>
          <w:rFonts w:ascii="宋体" w:hAnsi="宋体"/>
          <w:szCs w:val="21"/>
        </w:rPr>
      </w:pPr>
      <w:r>
        <w:rPr>
          <w:rFonts w:hint="eastAsia" w:ascii="宋体" w:hAnsi="宋体"/>
          <w:szCs w:val="21"/>
        </w:rPr>
        <w:t>甲方在未得到乙方许可前提下，不得向任何第三方透露乙方提供的软件及所附全部文档和资料的商业秘密和技术秘密。</w:t>
      </w:r>
    </w:p>
    <w:p>
      <w:pPr>
        <w:numPr>
          <w:ilvl w:val="0"/>
          <w:numId w:val="15"/>
        </w:numPr>
        <w:tabs>
          <w:tab w:val="left" w:pos="0"/>
        </w:tabs>
        <w:spacing w:line="360" w:lineRule="auto"/>
        <w:ind w:left="0" w:firstLine="426"/>
        <w:rPr>
          <w:rFonts w:ascii="宋体" w:hAnsi="宋体"/>
          <w:szCs w:val="21"/>
        </w:rPr>
      </w:pPr>
      <w:r>
        <w:rPr>
          <w:rFonts w:hint="eastAsia" w:ascii="宋体" w:hAnsi="宋体"/>
          <w:szCs w:val="21"/>
        </w:rPr>
        <w:t>乙方有责任对技术开发中涉及的甲方商业情报、技术情报及相关文档资料保密。未得到甲方书面许可前提下，不得向任何第三方透露软件开发或使用过程中所涉及的甲方的商业秘密和技术秘密。</w:t>
      </w:r>
    </w:p>
    <w:p>
      <w:pPr>
        <w:pStyle w:val="5"/>
        <w:spacing w:before="0" w:after="0" w:line="360" w:lineRule="auto"/>
        <w:rPr>
          <w:sz w:val="20"/>
        </w:rPr>
      </w:pPr>
      <w:r>
        <w:rPr>
          <w:rFonts w:hint="eastAsia"/>
          <w:sz w:val="20"/>
        </w:rPr>
        <w:t>十五、双方责任</w:t>
      </w:r>
    </w:p>
    <w:p>
      <w:pPr>
        <w:numPr>
          <w:ilvl w:val="0"/>
          <w:numId w:val="16"/>
        </w:numPr>
        <w:tabs>
          <w:tab w:val="left" w:pos="0"/>
        </w:tabs>
        <w:spacing w:line="360" w:lineRule="auto"/>
        <w:ind w:left="0" w:firstLine="426"/>
        <w:rPr>
          <w:rFonts w:ascii="宋体" w:hAnsi="宋体"/>
          <w:szCs w:val="21"/>
        </w:rPr>
      </w:pPr>
      <w:r>
        <w:rPr>
          <w:rFonts w:hint="eastAsia" w:ascii="宋体" w:hAnsi="宋体"/>
          <w:szCs w:val="21"/>
        </w:rPr>
        <w:t>甲方责任</w:t>
      </w:r>
    </w:p>
    <w:p>
      <w:pPr>
        <w:tabs>
          <w:tab w:val="left" w:pos="0"/>
        </w:tabs>
        <w:spacing w:line="360" w:lineRule="auto"/>
        <w:ind w:firstLine="420"/>
        <w:rPr>
          <w:rFonts w:ascii="宋体" w:hAnsi="宋体"/>
          <w:szCs w:val="21"/>
        </w:rPr>
      </w:pPr>
      <w:r>
        <w:rPr>
          <w:rFonts w:hint="eastAsia" w:ascii="宋体" w:hAnsi="宋体"/>
          <w:szCs w:val="21"/>
        </w:rPr>
        <w:t>（1）甲方需为乙方提供项目实施便利，积极配合乙方进行项目实施安装及调试。</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）甲方需为乙方协调各方关系提供便利。</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）甲方应指派管理人员、技术人员参加项目系统安装、系统对接和其它工作。</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）因乙方未按合同质量或要求交付产品，甲方有权拒收，甲方的该项权利不因产品在启运前通过甲方的验收而受到任何限制或影响。</w:t>
      </w:r>
    </w:p>
    <w:p>
      <w:pPr>
        <w:numPr>
          <w:ilvl w:val="0"/>
          <w:numId w:val="16"/>
        </w:numPr>
        <w:tabs>
          <w:tab w:val="left" w:pos="0"/>
        </w:tabs>
        <w:spacing w:line="360" w:lineRule="auto"/>
        <w:ind w:left="0" w:firstLine="426"/>
        <w:rPr>
          <w:rFonts w:ascii="宋体" w:hAnsi="宋体"/>
          <w:szCs w:val="21"/>
        </w:rPr>
      </w:pPr>
      <w:r>
        <w:rPr>
          <w:rFonts w:hint="eastAsia" w:ascii="宋体" w:hAnsi="宋体"/>
          <w:szCs w:val="21"/>
        </w:rPr>
        <w:t>乙方责任</w:t>
      </w:r>
    </w:p>
    <w:p>
      <w:pPr>
        <w:tabs>
          <w:tab w:val="left" w:pos="0"/>
        </w:tabs>
        <w:spacing w:line="360" w:lineRule="auto"/>
        <w:ind w:firstLine="420"/>
        <w:rPr>
          <w:rFonts w:ascii="宋体" w:hAnsi="宋体"/>
          <w:szCs w:val="21"/>
        </w:rPr>
      </w:pPr>
      <w:r>
        <w:rPr>
          <w:rFonts w:hint="eastAsia" w:ascii="宋体" w:hAnsi="宋体"/>
          <w:szCs w:val="21"/>
        </w:rPr>
        <w:t>（1）乙方承诺：除谈判响应文件及后续书面承诺标明的偏离外，乙方提供的产品和服务均满足谈判文件要求。</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）乙方应按照谈判文件、谈判响应文件、乙方后续书面承诺的技术要求以及甲乙双方协定补充文件，提供合格的产品，并保证通过甲方的验收。</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）在系统安装、调试、开发过程中，乙方须保证不影响甲方现有系统的正常运行和现有业务的正常发展。</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）乙方保证在系统安装、调试、开发过程中不非法使用第三方软件。</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）乙方在产品安装、调试、开发过程中须派驻足够的有经验的工程技术人员到施工现场进行安装指导，在甲方的组织安排下负责完成系统调试、现场性能试验和验收，服从甲方的现场安排。</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）乙方按照要求提供产品合格证书、产品检测记录、调试记录等技术资料。</w:t>
      </w:r>
    </w:p>
    <w:p>
      <w:pPr>
        <w:tabs>
          <w:tab w:val="left" w:pos="0"/>
        </w:tabs>
        <w:spacing w:line="360" w:lineRule="auto"/>
        <w:ind w:firstLine="420"/>
        <w:rPr>
          <w:rFonts w:ascii="宋体" w:hAnsi="宋体"/>
          <w:szCs w:val="21"/>
        </w:rPr>
      </w:pPr>
      <w:r>
        <w:rPr>
          <w:rFonts w:hint="eastAsia" w:ascii="宋体" w:hAnsi="宋体"/>
          <w:szCs w:val="21"/>
        </w:rPr>
        <w:t>（7）乙方负责与硬件设备相配套的软件厂家、其它设备的制造商、第三方软件厂家和售后服务部门等联系沟通，完成安装、调试，配置相关的产品，并且不得向甲方或机顶盒供应商等与甲方有关联采购的第三方收取调试费、集成费等任何费用。</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）乙方负责配合相关厂家，定期检查产品、及时排查故障。</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）乙方未按合同规定的质量要求交付产品，甲方拒收时，乙方应承担合同的违约责任。</w:t>
      </w:r>
    </w:p>
    <w:p>
      <w:pPr>
        <w:tabs>
          <w:tab w:val="left" w:pos="0"/>
        </w:tabs>
        <w:spacing w:line="360" w:lineRule="auto"/>
        <w:ind w:firstLine="42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）迟延履行，甲方书面确定一个合理的期限，如乙方仍不能履行，按乙方不履行合同处理。</w:t>
      </w:r>
    </w:p>
    <w:p>
      <w:pPr>
        <w:tabs>
          <w:tab w:val="left" w:pos="0"/>
        </w:tabs>
        <w:spacing w:line="360" w:lineRule="auto"/>
        <w:ind w:firstLine="42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）本合同所有产品的制造，都必须由谈判响应文件和谈判时做出的书面承诺中明确的制造商承担，否则将按乙方不履行合同处理。</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12</w:t>
      </w:r>
      <w:r>
        <w:rPr>
          <w:rFonts w:hint="eastAsia" w:ascii="宋体" w:hAnsi="宋体"/>
          <w:szCs w:val="21"/>
        </w:rPr>
        <w:t>）乙方保证不在软件中对功能、性能、容量进行人为限制，不得含有陷阱、逻辑炸弹、后门等非法程序代码。</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13</w:t>
      </w:r>
      <w:r>
        <w:rPr>
          <w:rFonts w:hint="eastAsia" w:ascii="宋体" w:hAnsi="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pStyle w:val="5"/>
        <w:spacing w:before="0" w:after="0" w:line="360" w:lineRule="auto"/>
        <w:rPr>
          <w:sz w:val="20"/>
        </w:rPr>
      </w:pPr>
      <w:r>
        <w:rPr>
          <w:rFonts w:hint="eastAsia"/>
          <w:sz w:val="20"/>
        </w:rPr>
        <w:t>十六、违约责任</w:t>
      </w:r>
    </w:p>
    <w:p>
      <w:pPr>
        <w:numPr>
          <w:ilvl w:val="0"/>
          <w:numId w:val="17"/>
        </w:numPr>
        <w:tabs>
          <w:tab w:val="left" w:pos="0"/>
        </w:tabs>
        <w:spacing w:line="360" w:lineRule="auto"/>
        <w:ind w:left="0" w:firstLine="426"/>
        <w:rPr>
          <w:rFonts w:ascii="宋体" w:hAnsi="宋体"/>
          <w:szCs w:val="21"/>
        </w:rPr>
      </w:pPr>
      <w:r>
        <w:rPr>
          <w:rFonts w:hint="eastAsia" w:ascii="宋体" w:hAnsi="宋体"/>
          <w:szCs w:val="21"/>
        </w:rPr>
        <w:t>乙方承担本合同约定事项的违约责任，且不因软件是由第三方制造或开发设计等因素而受到影响。</w:t>
      </w:r>
    </w:p>
    <w:p>
      <w:pPr>
        <w:numPr>
          <w:ilvl w:val="0"/>
          <w:numId w:val="17"/>
        </w:numPr>
        <w:tabs>
          <w:tab w:val="left" w:pos="0"/>
        </w:tabs>
        <w:spacing w:line="360" w:lineRule="auto"/>
        <w:ind w:left="0" w:firstLine="426"/>
        <w:rPr>
          <w:rFonts w:ascii="宋体" w:hAnsi="宋体"/>
          <w:szCs w:val="21"/>
        </w:rPr>
      </w:pPr>
      <w:r>
        <w:rPr>
          <w:rFonts w:hint="eastAsia" w:ascii="宋体" w:hAnsi="宋体"/>
          <w:szCs w:val="21"/>
        </w:rPr>
        <w:t>由于乙方提供的开发服务不符合谈判文件及本合同第五条所规定的要求时，甲方有权要求乙方更换，如果乙方产品在更换后仍不符合要求，甲方有权终止合同，乙方应支付合同总额20%的违约金给甲方。</w:t>
      </w:r>
    </w:p>
    <w:p>
      <w:pPr>
        <w:numPr>
          <w:ilvl w:val="0"/>
          <w:numId w:val="17"/>
        </w:numPr>
        <w:tabs>
          <w:tab w:val="left" w:pos="0"/>
        </w:tabs>
        <w:spacing w:line="360" w:lineRule="auto"/>
        <w:ind w:left="0" w:firstLine="426"/>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7"/>
        </w:numPr>
        <w:tabs>
          <w:tab w:val="left" w:pos="0"/>
        </w:tabs>
        <w:spacing w:line="360" w:lineRule="auto"/>
        <w:ind w:left="0" w:firstLine="426"/>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7"/>
        </w:numPr>
        <w:tabs>
          <w:tab w:val="left" w:pos="0"/>
        </w:tabs>
        <w:spacing w:line="360" w:lineRule="auto"/>
        <w:ind w:left="0" w:firstLine="426"/>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7"/>
        </w:numPr>
        <w:tabs>
          <w:tab w:val="left" w:pos="0"/>
        </w:tabs>
        <w:spacing w:line="360" w:lineRule="auto"/>
        <w:ind w:left="0" w:firstLine="426"/>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7"/>
        </w:numPr>
        <w:tabs>
          <w:tab w:val="left" w:pos="0"/>
        </w:tabs>
        <w:spacing w:line="360" w:lineRule="auto"/>
        <w:ind w:left="0" w:firstLine="426"/>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7"/>
        </w:numPr>
        <w:tabs>
          <w:tab w:val="left" w:pos="0"/>
        </w:tabs>
        <w:spacing w:line="360" w:lineRule="auto"/>
        <w:ind w:left="0" w:firstLine="426"/>
        <w:rPr>
          <w:rFonts w:ascii="宋体" w:hAnsi="宋体"/>
          <w:szCs w:val="21"/>
        </w:rPr>
      </w:pPr>
      <w:r>
        <w:rPr>
          <w:rFonts w:hint="eastAsia" w:ascii="宋体" w:hAnsi="宋体"/>
          <w:szCs w:val="21"/>
        </w:rPr>
        <w:t>乙方未按本合同第九条、十条约定提供合格的服务，甲方在行使上述权利的同时，有权向第三方寻求该服务，由此产生的费用由乙方承担。</w:t>
      </w:r>
    </w:p>
    <w:p>
      <w:pPr>
        <w:numPr>
          <w:ilvl w:val="0"/>
          <w:numId w:val="17"/>
        </w:numPr>
        <w:tabs>
          <w:tab w:val="left" w:pos="0"/>
        </w:tabs>
        <w:spacing w:line="360" w:lineRule="auto"/>
        <w:ind w:left="0" w:firstLine="426"/>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因乙方违约导致甲方终止合同的，在乙方应将甲方已付的所有合同价款及利息退还甲方，此后，甲方将相关系统成果及资料退还乙方，要求乙方承担本合同约定的违约责任，并追究乙方赔偿损失的责任。</w:t>
      </w:r>
    </w:p>
    <w:p>
      <w:pPr>
        <w:numPr>
          <w:ilvl w:val="0"/>
          <w:numId w:val="17"/>
        </w:numPr>
        <w:tabs>
          <w:tab w:val="left" w:pos="0"/>
        </w:tabs>
        <w:spacing w:line="360" w:lineRule="auto"/>
        <w:ind w:left="0" w:firstLine="426"/>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7"/>
        </w:numPr>
        <w:tabs>
          <w:tab w:val="left" w:pos="0"/>
        </w:tabs>
        <w:spacing w:line="360" w:lineRule="auto"/>
        <w:ind w:left="0" w:firstLine="42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7"/>
        </w:numPr>
        <w:tabs>
          <w:tab w:val="left" w:pos="0"/>
        </w:tabs>
        <w:spacing w:line="360" w:lineRule="auto"/>
        <w:ind w:left="0" w:firstLine="420"/>
        <w:rPr>
          <w:rFonts w:ascii="宋体" w:hAnsi="宋体"/>
          <w:szCs w:val="21"/>
        </w:rPr>
      </w:pPr>
      <w:r>
        <w:rPr>
          <w:rFonts w:hint="eastAsia" w:ascii="宋体" w:hAnsi="宋体"/>
          <w:szCs w:val="21"/>
        </w:rPr>
        <w:t>乙方须保证本项目系统正常稳定运行时间必须高于江苏有线制定的系统可用度考核指标。如由于乙方的原因导致出现系统正常运行时间低于系统可用度考核指标的或超过规定故障次数，则甲方有权开据处罚单给乙方，并直接从合同款应付款中扣除合同总额2%作为违约金；如连续多个考核周期出现不达标的情况，则翻倍扣除，由甲方开据处罚单给乙方后，直接从合同应付款中扣除。</w:t>
      </w:r>
    </w:p>
    <w:p>
      <w:pPr>
        <w:numPr>
          <w:ilvl w:val="0"/>
          <w:numId w:val="17"/>
        </w:numPr>
        <w:tabs>
          <w:tab w:val="left" w:pos="0"/>
        </w:tabs>
        <w:spacing w:line="360" w:lineRule="auto"/>
        <w:ind w:left="0" w:firstLine="420"/>
        <w:rPr>
          <w:rFonts w:ascii="宋体" w:hAnsi="宋体"/>
          <w:szCs w:val="21"/>
        </w:rPr>
      </w:pPr>
      <w:r>
        <w:rPr>
          <w:rFonts w:hint="eastAsia" w:ascii="宋体" w:hAnsi="宋体"/>
          <w:szCs w:val="21"/>
        </w:rPr>
        <w:t>乙方不得向甲方或机顶盒供应商等与甲方有关联采购的第三方收取调试费、集成费等任何费用，由此给甲方增加的成本由乙方负责。</w:t>
      </w:r>
    </w:p>
    <w:p>
      <w:pPr>
        <w:pStyle w:val="5"/>
        <w:spacing w:before="0" w:after="0" w:line="360" w:lineRule="auto"/>
        <w:rPr>
          <w:sz w:val="20"/>
        </w:rPr>
      </w:pPr>
      <w:r>
        <w:rPr>
          <w:rFonts w:hint="eastAsia"/>
          <w:sz w:val="20"/>
        </w:rPr>
        <w:t>十七、廉洁条款</w:t>
      </w:r>
    </w:p>
    <w:p>
      <w:pPr>
        <w:numPr>
          <w:ilvl w:val="0"/>
          <w:numId w:val="18"/>
        </w:numPr>
        <w:tabs>
          <w:tab w:val="left" w:pos="0"/>
        </w:tabs>
        <w:spacing w:line="360" w:lineRule="auto"/>
        <w:ind w:left="0" w:firstLine="426"/>
        <w:rPr>
          <w:rFonts w:ascii="宋体" w:hAns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8"/>
        </w:numPr>
        <w:tabs>
          <w:tab w:val="left" w:pos="0"/>
        </w:tabs>
        <w:spacing w:line="360" w:lineRule="auto"/>
        <w:ind w:left="0" w:firstLine="426"/>
        <w:rPr>
          <w:rFonts w:ascii="宋体" w:hAns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采购活动。</w:t>
      </w:r>
    </w:p>
    <w:p>
      <w:pPr>
        <w:pStyle w:val="5"/>
        <w:spacing w:before="0" w:after="0" w:line="360" w:lineRule="auto"/>
        <w:rPr>
          <w:sz w:val="20"/>
        </w:rPr>
      </w:pPr>
      <w:r>
        <w:rPr>
          <w:rFonts w:hint="eastAsia"/>
          <w:sz w:val="20"/>
        </w:rPr>
        <w:t>十八、不可抗力</w:t>
      </w:r>
    </w:p>
    <w:p>
      <w:pPr>
        <w:numPr>
          <w:ilvl w:val="0"/>
          <w:numId w:val="19"/>
        </w:numPr>
        <w:tabs>
          <w:tab w:val="left" w:pos="0"/>
        </w:tabs>
        <w:spacing w:line="360" w:lineRule="auto"/>
        <w:ind w:left="0" w:firstLine="426"/>
        <w:rPr>
          <w:rFonts w:ascii="宋体" w:hAnsi="宋体"/>
          <w:szCs w:val="21"/>
        </w:rPr>
      </w:pPr>
      <w:r>
        <w:rPr>
          <w:rFonts w:hint="eastAsia" w:ascii="宋体" w:hAnsi="宋体"/>
          <w:szCs w:val="21"/>
        </w:rPr>
        <w:t>当发生不可抗拒事故时，受影响一方应于10日内以书面形式通知对方，以减轻可能给对方造成的损失，并应当在合理期限内提供证明。</w:t>
      </w:r>
    </w:p>
    <w:p>
      <w:pPr>
        <w:numPr>
          <w:ilvl w:val="0"/>
          <w:numId w:val="19"/>
        </w:numPr>
        <w:tabs>
          <w:tab w:val="left" w:pos="0"/>
        </w:tabs>
        <w:spacing w:line="360" w:lineRule="auto"/>
        <w:ind w:left="0" w:firstLine="426"/>
        <w:rPr>
          <w:rFonts w:ascii="宋体" w:hAnsi="宋体"/>
          <w:szCs w:val="21"/>
        </w:rPr>
      </w:pPr>
      <w:r>
        <w:rPr>
          <w:rFonts w:hint="eastAsia" w:ascii="宋体" w:hAnsi="宋体"/>
          <w:szCs w:val="21"/>
        </w:rPr>
        <w:t>当不可抗力事故终止后，受影响一方应以书面的形式通知对方，双方商定合同是否继续履行。</w:t>
      </w:r>
    </w:p>
    <w:p>
      <w:pPr>
        <w:numPr>
          <w:ilvl w:val="0"/>
          <w:numId w:val="19"/>
        </w:numPr>
        <w:tabs>
          <w:tab w:val="left" w:pos="0"/>
        </w:tabs>
        <w:spacing w:line="360" w:lineRule="auto"/>
        <w:ind w:left="0" w:firstLine="426"/>
        <w:rPr>
          <w:rFonts w:ascii="宋体" w:hAnsi="宋体"/>
          <w:szCs w:val="21"/>
        </w:rPr>
      </w:pPr>
      <w:r>
        <w:rPr>
          <w:rFonts w:hint="eastAsia" w:ascii="宋体" w:hAnsi="宋体"/>
          <w:szCs w:val="21"/>
        </w:rPr>
        <w:t>不可抗力，互不追究或承担违约责任。但有违约因素的除外。</w:t>
      </w:r>
    </w:p>
    <w:p>
      <w:pPr>
        <w:pStyle w:val="5"/>
        <w:spacing w:before="0" w:after="0" w:line="360" w:lineRule="auto"/>
        <w:rPr>
          <w:sz w:val="20"/>
        </w:rPr>
      </w:pPr>
      <w:r>
        <w:rPr>
          <w:rFonts w:hint="eastAsia"/>
          <w:sz w:val="20"/>
        </w:rPr>
        <w:t>十九、解决纠纷的方式</w:t>
      </w:r>
    </w:p>
    <w:p>
      <w:pPr>
        <w:numPr>
          <w:ilvl w:val="0"/>
          <w:numId w:val="20"/>
        </w:numPr>
        <w:tabs>
          <w:tab w:val="left" w:pos="0"/>
        </w:tabs>
        <w:spacing w:line="360" w:lineRule="auto"/>
        <w:ind w:left="0" w:firstLine="426"/>
        <w:rPr>
          <w:rFonts w:ascii="宋体" w:hAnsi="宋体"/>
          <w:szCs w:val="21"/>
        </w:rPr>
      </w:pPr>
      <w:r>
        <w:rPr>
          <w:rFonts w:hint="eastAsia" w:ascii="宋体" w:hAnsi="宋体"/>
          <w:szCs w:val="21"/>
        </w:rPr>
        <w:t>凡由执行本合同引起或与合同有关的争议，均应通过友好协商解决；协商不成的，由甲方所在地人民法院裁决。</w:t>
      </w:r>
    </w:p>
    <w:p>
      <w:pPr>
        <w:numPr>
          <w:ilvl w:val="0"/>
          <w:numId w:val="20"/>
        </w:numPr>
        <w:tabs>
          <w:tab w:val="left" w:pos="0"/>
        </w:tabs>
        <w:spacing w:line="360" w:lineRule="auto"/>
        <w:ind w:left="0" w:firstLine="426"/>
        <w:rPr>
          <w:rFonts w:ascii="宋体" w:hAnsi="宋体"/>
          <w:szCs w:val="21"/>
        </w:rPr>
      </w:pPr>
      <w:r>
        <w:rPr>
          <w:rFonts w:hint="eastAsia" w:ascii="宋体" w:hAnsi="宋体"/>
          <w:szCs w:val="21"/>
        </w:rPr>
        <w:t>除争议事项待处理外，双方应继续执行合同无争议部分，除非无争议部分不可单独履行。</w:t>
      </w:r>
    </w:p>
    <w:p>
      <w:pPr>
        <w:numPr>
          <w:ilvl w:val="0"/>
          <w:numId w:val="20"/>
        </w:numPr>
        <w:tabs>
          <w:tab w:val="left" w:pos="0"/>
        </w:tabs>
        <w:spacing w:line="360" w:lineRule="auto"/>
        <w:ind w:left="0" w:firstLine="426"/>
        <w:rPr>
          <w:rFonts w:ascii="宋体" w:hAnsi="宋体"/>
          <w:szCs w:val="21"/>
        </w:rPr>
      </w:pPr>
      <w:r>
        <w:rPr>
          <w:rFonts w:hint="eastAsia" w:ascii="宋体" w:hAnsi="宋体"/>
          <w:szCs w:val="21"/>
        </w:rPr>
        <w:t>本合同适用于中华人民共和国大陆现行有效法律。</w:t>
      </w:r>
    </w:p>
    <w:p>
      <w:pPr>
        <w:pStyle w:val="5"/>
        <w:spacing w:before="0" w:after="0" w:line="360" w:lineRule="auto"/>
        <w:rPr>
          <w:sz w:val="20"/>
        </w:rPr>
      </w:pPr>
      <w:r>
        <w:rPr>
          <w:rFonts w:hint="eastAsia"/>
          <w:sz w:val="20"/>
        </w:rPr>
        <w:t>二十、合同生效及其他</w:t>
      </w:r>
    </w:p>
    <w:p>
      <w:pPr>
        <w:numPr>
          <w:ilvl w:val="0"/>
          <w:numId w:val="21"/>
        </w:numPr>
        <w:tabs>
          <w:tab w:val="left" w:pos="0"/>
        </w:tabs>
        <w:spacing w:line="360" w:lineRule="auto"/>
        <w:ind w:left="0" w:firstLine="426"/>
        <w:rPr>
          <w:rFonts w:ascii="宋体" w:hAnsi="宋体"/>
          <w:szCs w:val="21"/>
        </w:rPr>
      </w:pPr>
      <w:r>
        <w:rPr>
          <w:rFonts w:hint="eastAsia" w:ascii="宋体" w:hAnsi="宋体"/>
          <w:szCs w:val="21"/>
        </w:rPr>
        <w:t>合同的生效期：本合同壹式肆份（甲乙双方各贰份），，每份均具有同等法律效力，自甲乙双方盖章之日起生效。</w:t>
      </w:r>
    </w:p>
    <w:p>
      <w:pPr>
        <w:numPr>
          <w:ilvl w:val="0"/>
          <w:numId w:val="21"/>
        </w:numPr>
        <w:tabs>
          <w:tab w:val="left" w:pos="0"/>
        </w:tabs>
        <w:spacing w:line="360" w:lineRule="auto"/>
        <w:ind w:left="0" w:firstLine="426"/>
        <w:rPr>
          <w:rFonts w:ascii="宋体" w:hAnsi="宋体"/>
          <w:szCs w:val="21"/>
        </w:rPr>
      </w:pPr>
      <w:r>
        <w:rPr>
          <w:rFonts w:hint="eastAsia" w:ascii="宋体" w:hAnsi="宋体"/>
          <w:szCs w:val="21"/>
        </w:rPr>
        <w:t>本合同所有附件为本合同不可分割的组成部分，与合同正文有同等的法律效力：</w:t>
      </w:r>
    </w:p>
    <w:p>
      <w:pPr>
        <w:tabs>
          <w:tab w:val="left" w:pos="0"/>
        </w:tabs>
        <w:spacing w:line="360" w:lineRule="auto"/>
        <w:ind w:firstLine="420"/>
        <w:rPr>
          <w:rFonts w:ascii="宋体" w:hAnsi="宋体"/>
          <w:szCs w:val="21"/>
        </w:rPr>
      </w:pPr>
      <w:r>
        <w:rPr>
          <w:rFonts w:hint="eastAsia" w:ascii="宋体" w:hAnsi="宋体"/>
          <w:szCs w:val="21"/>
        </w:rPr>
        <w:t>（1）乙方提交的承诺函；</w:t>
      </w:r>
    </w:p>
    <w:p>
      <w:pPr>
        <w:tabs>
          <w:tab w:val="left" w:pos="0"/>
        </w:tabs>
        <w:spacing w:line="360" w:lineRule="auto"/>
        <w:ind w:firstLine="420"/>
        <w:rPr>
          <w:rFonts w:ascii="宋体" w:hAnsi="宋体"/>
          <w:szCs w:val="21"/>
        </w:rPr>
      </w:pPr>
      <w:r>
        <w:rPr>
          <w:rFonts w:hint="eastAsia" w:ascii="宋体" w:hAnsi="宋体"/>
          <w:szCs w:val="21"/>
        </w:rPr>
        <w:t>（2）甲方的谈判文件、乙方的谈判响应文件、乙方的报价表、谈判时乙方做出的书面承诺及其它补充修改的部分；</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）在执行本合同期间，甲乙双方的所有通知均应采用书面的方式。</w:t>
      </w:r>
    </w:p>
    <w:p>
      <w:pPr>
        <w:numPr>
          <w:ilvl w:val="0"/>
          <w:numId w:val="21"/>
        </w:numPr>
        <w:tabs>
          <w:tab w:val="left" w:pos="0"/>
        </w:tabs>
        <w:spacing w:line="360" w:lineRule="auto"/>
        <w:ind w:left="0" w:firstLine="426"/>
        <w:rPr>
          <w:rFonts w:ascii="宋体" w:hAnsi="宋体"/>
          <w:szCs w:val="21"/>
        </w:rPr>
      </w:pPr>
      <w:r>
        <w:rPr>
          <w:rFonts w:hint="eastAsia" w:ascii="宋体" w:hAnsi="宋体"/>
          <w:szCs w:val="21"/>
        </w:rPr>
        <w:t>本合同与上述文件如对相同内容有不同约定，且约定内容有冲突的，除另有特别约定外，依下列原则处理：</w:t>
      </w:r>
    </w:p>
    <w:p>
      <w:pPr>
        <w:tabs>
          <w:tab w:val="left" w:pos="426"/>
        </w:tabs>
        <w:spacing w:line="360" w:lineRule="auto"/>
        <w:ind w:firstLine="424" w:firstLineChars="202"/>
        <w:rPr>
          <w:rFonts w:ascii="宋体" w:hAnsi="宋体"/>
          <w:szCs w:val="21"/>
        </w:rPr>
      </w:pPr>
      <w:r>
        <w:rPr>
          <w:rFonts w:hint="eastAsia" w:ascii="宋体" w:hAnsi="宋体"/>
          <w:szCs w:val="21"/>
        </w:rPr>
        <w:t>（1）合同条款优先于谈判响应文件条款；</w:t>
      </w:r>
    </w:p>
    <w:p>
      <w:pPr>
        <w:tabs>
          <w:tab w:val="left" w:pos="426"/>
        </w:tabs>
        <w:spacing w:line="360" w:lineRule="auto"/>
        <w:ind w:firstLine="424" w:firstLineChars="202"/>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）在后文件的效力优先于在先文件的效力。</w:t>
      </w:r>
    </w:p>
    <w:p>
      <w:pPr>
        <w:numPr>
          <w:ilvl w:val="0"/>
          <w:numId w:val="21"/>
        </w:numPr>
        <w:tabs>
          <w:tab w:val="left" w:pos="426"/>
        </w:tabs>
        <w:spacing w:line="360" w:lineRule="auto"/>
        <w:ind w:left="0" w:firstLine="424" w:firstLineChars="202"/>
        <w:rPr>
          <w:rFonts w:ascii="宋体" w:hAns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21"/>
        </w:numPr>
        <w:tabs>
          <w:tab w:val="left" w:pos="426"/>
        </w:tabs>
        <w:spacing w:line="360" w:lineRule="auto"/>
        <w:ind w:left="0" w:firstLine="424" w:firstLineChars="202"/>
        <w:rPr>
          <w:rFonts w:ascii="宋体" w:hAnsi="宋体"/>
          <w:szCs w:val="21"/>
        </w:rPr>
      </w:pPr>
      <w:r>
        <w:rPr>
          <w:rFonts w:hint="eastAsia" w:ascii="宋体" w:hAnsi="宋体"/>
          <w:szCs w:val="21"/>
        </w:rPr>
        <w:t>对本合同的任何修改和增补，以双方盖章的书面文件为准。</w:t>
      </w:r>
    </w:p>
    <w:p>
      <w:pPr>
        <w:numPr>
          <w:ilvl w:val="0"/>
          <w:numId w:val="21"/>
        </w:numPr>
        <w:tabs>
          <w:tab w:val="left" w:pos="426"/>
        </w:tabs>
        <w:spacing w:line="360" w:lineRule="auto"/>
        <w:ind w:left="0" w:firstLine="424" w:firstLineChars="202"/>
        <w:rPr>
          <w:rFonts w:ascii="宋体" w:hAns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21"/>
        </w:numPr>
        <w:tabs>
          <w:tab w:val="left" w:pos="426"/>
        </w:tabs>
        <w:spacing w:line="360" w:lineRule="auto"/>
        <w:ind w:left="0" w:firstLine="424" w:firstLineChars="202"/>
        <w:rPr>
          <w:rFonts w:ascii="宋体" w:hAnsi="宋体"/>
          <w:szCs w:val="21"/>
        </w:rPr>
      </w:pPr>
      <w:r>
        <w:rPr>
          <w:rFonts w:hint="eastAsia" w:ascii="宋体" w:hAnsi="宋体"/>
          <w:szCs w:val="21"/>
        </w:rPr>
        <w:t>本合同中的未尽事宜，甲乙双方协商解决，并按《中华人民共和国民法典》调整。</w:t>
      </w:r>
    </w:p>
    <w:p>
      <w:pPr>
        <w:pStyle w:val="5"/>
        <w:spacing w:before="0" w:after="0" w:line="360" w:lineRule="auto"/>
        <w:rPr>
          <w:sz w:val="20"/>
        </w:rPr>
      </w:pPr>
      <w:r>
        <w:rPr>
          <w:rFonts w:hint="eastAsia"/>
          <w:sz w:val="20"/>
        </w:rPr>
        <w:t>二十一、附件列表</w:t>
      </w:r>
    </w:p>
    <w:p>
      <w:pPr>
        <w:spacing w:line="360" w:lineRule="auto"/>
        <w:ind w:firstLine="424" w:firstLineChars="202"/>
        <w:rPr>
          <w:rFonts w:ascii="宋体" w:hAnsi="宋体"/>
          <w:szCs w:val="21"/>
        </w:rPr>
      </w:pPr>
      <w:r>
        <w:rPr>
          <w:rFonts w:ascii="宋体" w:hAnsi="宋体"/>
          <w:szCs w:val="21"/>
        </w:rPr>
        <w:t>相关文件的优先支配地位的次序如下：</w:t>
      </w:r>
    </w:p>
    <w:p>
      <w:pPr>
        <w:spacing w:line="360" w:lineRule="auto"/>
        <w:ind w:firstLine="424" w:firstLineChars="202"/>
        <w:rPr>
          <w:rFonts w:ascii="宋体" w:hAnsi="宋体"/>
          <w:szCs w:val="21"/>
        </w:rPr>
      </w:pPr>
      <w:r>
        <w:rPr>
          <w:rFonts w:ascii="宋体" w:hAnsi="宋体"/>
          <w:szCs w:val="21"/>
        </w:rPr>
        <w:t>附件</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供货清单。包含产品名称、规格型号和配置、数量和总价。</w:t>
      </w:r>
    </w:p>
    <w:p>
      <w:pPr>
        <w:spacing w:line="360" w:lineRule="auto"/>
        <w:ind w:firstLine="1054" w:firstLineChars="502"/>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响应文件（</w:t>
      </w:r>
      <w:r>
        <w:rPr>
          <w:rFonts w:ascii="宋体" w:hAnsi="宋体"/>
          <w:szCs w:val="21"/>
        </w:rPr>
        <w:t>包括澄清文件</w:t>
      </w:r>
      <w:r>
        <w:rPr>
          <w:rFonts w:hint="eastAsia" w:ascii="宋体" w:hAnsi="宋体"/>
          <w:szCs w:val="21"/>
        </w:rPr>
        <w:t>）</w:t>
      </w:r>
    </w:p>
    <w:p>
      <w:pPr>
        <w:spacing w:line="360" w:lineRule="auto"/>
        <w:ind w:firstLine="1054" w:firstLineChars="502"/>
        <w:rPr>
          <w:rFonts w:ascii="宋体" w:hAnsi="宋体"/>
          <w:sz w:val="24"/>
        </w:rPr>
      </w:pPr>
      <w:r>
        <w:rPr>
          <w:rFonts w:hint="eastAsia" w:ascii="宋体" w:hAnsi="宋体"/>
          <w:szCs w:val="21"/>
        </w:rPr>
        <w:t>3</w:t>
      </w:r>
      <w:r>
        <w:rPr>
          <w:rFonts w:ascii="宋体" w:hAnsi="宋体"/>
          <w:szCs w:val="21"/>
        </w:rPr>
        <w:t>.</w:t>
      </w:r>
      <w:r>
        <w:rPr>
          <w:rFonts w:hint="eastAsia" w:ascii="宋体" w:hAnsi="宋体"/>
          <w:szCs w:val="21"/>
        </w:rPr>
        <w:t>采购文件（</w:t>
      </w:r>
      <w:r>
        <w:rPr>
          <w:rFonts w:ascii="宋体" w:hAnsi="宋体"/>
          <w:szCs w:val="21"/>
        </w:rPr>
        <w:t>含</w:t>
      </w:r>
      <w:r>
        <w:rPr>
          <w:rFonts w:hint="eastAsia" w:ascii="宋体" w:hAnsi="宋体"/>
          <w:szCs w:val="21"/>
        </w:rPr>
        <w:t>采购文件</w:t>
      </w:r>
      <w:r>
        <w:rPr>
          <w:rFonts w:ascii="宋体" w:hAnsi="宋体"/>
          <w:szCs w:val="21"/>
        </w:rPr>
        <w:t>补充通知</w:t>
      </w:r>
      <w:r>
        <w:rPr>
          <w:rFonts w:hint="eastAsia" w:ascii="宋体" w:hAnsi="宋体"/>
          <w:szCs w:val="21"/>
        </w:rPr>
        <w:t>）</w:t>
      </w:r>
      <w:r>
        <w:rPr>
          <w:rFonts w:ascii="宋体" w:hAnsi="宋体"/>
          <w:sz w:val="24"/>
        </w:rPr>
        <w:br w:type="page"/>
      </w:r>
    </w:p>
    <w:p>
      <w:pPr>
        <w:spacing w:line="360" w:lineRule="auto"/>
        <w:ind w:firstLine="207" w:firstLineChars="98"/>
        <w:rPr>
          <w:rFonts w:ascii="宋体" w:hAnsi="宋体"/>
          <w:szCs w:val="21"/>
        </w:rPr>
      </w:pPr>
      <w:r>
        <w:rPr>
          <w:rFonts w:ascii="宋体" w:hAnsi="宋体"/>
          <w:b/>
          <w:szCs w:val="21"/>
        </w:rPr>
        <w:t>（以下为签字页，此页无正文）</w:t>
      </w:r>
    </w:p>
    <w:p>
      <w:pPr>
        <w:spacing w:line="360" w:lineRule="auto"/>
        <w:ind w:left="210" w:hanging="210" w:hangingChars="100"/>
        <w:jc w:val="left"/>
        <w:rPr>
          <w:rFonts w:ascii="宋体" w:hAnsi="宋体"/>
          <w:szCs w:val="21"/>
        </w:rPr>
      </w:pPr>
      <w:r>
        <w:rPr>
          <w:rFonts w:ascii="宋体" w:hAnsi="宋体"/>
          <w:szCs w:val="21"/>
        </w:rPr>
        <w:t>甲方：</w:t>
      </w:r>
      <w:r>
        <w:rPr>
          <w:rFonts w:ascii="宋体" w:hAnsi="宋体"/>
          <w:szCs w:val="21"/>
          <w:u w:val="single"/>
        </w:rPr>
        <w:t>江苏省广电</w:t>
      </w:r>
      <w:r>
        <w:rPr>
          <w:rFonts w:hint="eastAsia" w:ascii="宋体" w:hAnsi="宋体"/>
          <w:szCs w:val="21"/>
          <w:u w:val="single"/>
        </w:rPr>
        <w:t>有线</w:t>
      </w:r>
      <w:r>
        <w:rPr>
          <w:rFonts w:ascii="宋体" w:hAnsi="宋体"/>
          <w:szCs w:val="21"/>
          <w:u w:val="single"/>
        </w:rPr>
        <w:t>信息网络股份有限公司</w:t>
      </w:r>
      <w:r>
        <w:rPr>
          <w:rFonts w:ascii="宋体" w:hAnsi="宋体"/>
          <w:szCs w:val="21"/>
        </w:rPr>
        <w:t xml:space="preserve">  乙方：</w:t>
      </w:r>
      <w:r>
        <w:rPr>
          <w:rFonts w:ascii="宋体" w:hAnsi="宋体"/>
          <w:szCs w:val="21"/>
          <w:u w:val="single"/>
        </w:rPr>
        <w:t xml:space="preserve">                       公司</w:t>
      </w:r>
    </w:p>
    <w:p>
      <w:pPr>
        <w:spacing w:line="360" w:lineRule="auto"/>
        <w:ind w:firstLine="420"/>
        <w:rPr>
          <w:rFonts w:ascii="宋体" w:hAnsi="宋体"/>
          <w:szCs w:val="21"/>
        </w:rPr>
      </w:pPr>
      <w:r>
        <w:rPr>
          <w:rFonts w:ascii="宋体" w:hAnsi="宋体"/>
          <w:szCs w:val="21"/>
        </w:rPr>
        <w:t>（盖章）_________________________          （盖章）_______________________</w:t>
      </w:r>
    </w:p>
    <w:p>
      <w:pPr>
        <w:spacing w:line="360" w:lineRule="auto"/>
        <w:ind w:firstLine="35" w:firstLineChars="17"/>
        <w:rPr>
          <w:rFonts w:ascii="宋体" w:hAnsi="宋体"/>
          <w:szCs w:val="21"/>
        </w:rPr>
      </w:pPr>
      <w:r>
        <w:rPr>
          <w:rFonts w:ascii="宋体" w:hAnsi="宋体"/>
          <w:szCs w:val="21"/>
        </w:rPr>
        <w:t>法人代表或授权代表：____________           法人代表或授权代表：_________________</w:t>
      </w:r>
    </w:p>
    <w:p>
      <w:pPr>
        <w:spacing w:line="360" w:lineRule="auto"/>
        <w:ind w:firstLine="105" w:firstLineChars="50"/>
        <w:rPr>
          <w:rFonts w:ascii="宋体" w:hAnsi="宋体"/>
          <w:szCs w:val="21"/>
        </w:rPr>
      </w:pPr>
      <w:r>
        <w:rPr>
          <w:rFonts w:ascii="宋体" w:hAnsi="宋体"/>
          <w:szCs w:val="21"/>
        </w:rPr>
        <w:t>地址：___________________                  地址：____________________</w:t>
      </w:r>
    </w:p>
    <w:p>
      <w:pPr>
        <w:spacing w:line="360" w:lineRule="auto"/>
        <w:ind w:firstLine="105" w:firstLineChars="50"/>
        <w:rPr>
          <w:rFonts w:ascii="宋体" w:hAnsi="宋体"/>
          <w:szCs w:val="21"/>
          <w:u w:val="single"/>
        </w:rPr>
      </w:pPr>
      <w:r>
        <w:rPr>
          <w:rFonts w:ascii="宋体" w:hAnsi="宋体"/>
          <w:szCs w:val="21"/>
        </w:rPr>
        <w:t>电话：</w:t>
      </w:r>
      <w:r>
        <w:rPr>
          <w:rFonts w:ascii="宋体" w:hAnsi="宋体"/>
          <w:szCs w:val="21"/>
          <w:u w:val="single"/>
        </w:rPr>
        <w:t xml:space="preserve">              </w:t>
      </w:r>
      <w:r>
        <w:rPr>
          <w:rFonts w:ascii="宋体" w:hAnsi="宋体"/>
          <w:szCs w:val="21"/>
        </w:rPr>
        <w:t xml:space="preserve">                       电话：</w:t>
      </w:r>
      <w:r>
        <w:rPr>
          <w:rFonts w:ascii="宋体" w:hAnsi="宋体"/>
          <w:szCs w:val="21"/>
          <w:u w:val="single"/>
        </w:rPr>
        <w:t xml:space="preserve">                 </w:t>
      </w:r>
    </w:p>
    <w:p>
      <w:pPr>
        <w:spacing w:line="360" w:lineRule="auto"/>
        <w:ind w:firstLine="105" w:firstLineChars="50"/>
        <w:rPr>
          <w:rFonts w:ascii="宋体" w:hAnsi="宋体"/>
          <w:szCs w:val="21"/>
        </w:rPr>
      </w:pPr>
      <w:r>
        <w:rPr>
          <w:rFonts w:ascii="宋体" w:hAnsi="宋体"/>
          <w:szCs w:val="21"/>
        </w:rPr>
        <w:t>传真：</w:t>
      </w:r>
      <w:r>
        <w:rPr>
          <w:rFonts w:ascii="宋体" w:hAnsi="宋体"/>
          <w:szCs w:val="21"/>
          <w:u w:val="single"/>
        </w:rPr>
        <w:t xml:space="preserve">              </w:t>
      </w:r>
      <w:r>
        <w:rPr>
          <w:rFonts w:ascii="宋体" w:hAnsi="宋体"/>
          <w:szCs w:val="21"/>
        </w:rPr>
        <w:t xml:space="preserve">                       传真：</w:t>
      </w:r>
      <w:r>
        <w:rPr>
          <w:rFonts w:ascii="宋体" w:hAnsi="宋体"/>
          <w:szCs w:val="21"/>
          <w:u w:val="single"/>
        </w:rPr>
        <w:t xml:space="preserve">                 </w:t>
      </w:r>
    </w:p>
    <w:p>
      <w:pPr>
        <w:spacing w:line="360" w:lineRule="auto"/>
        <w:ind w:firstLine="105" w:firstLineChars="50"/>
        <w:rPr>
          <w:rFonts w:ascii="宋体" w:hAnsi="宋体"/>
          <w:szCs w:val="21"/>
          <w:u w:val="single"/>
        </w:rPr>
      </w:pPr>
      <w:r>
        <w:rPr>
          <w:rFonts w:ascii="宋体" w:hAnsi="宋体"/>
          <w:szCs w:val="21"/>
        </w:rPr>
        <w:t>邮编：</w:t>
      </w:r>
      <w:r>
        <w:rPr>
          <w:rFonts w:ascii="宋体" w:hAnsi="宋体"/>
          <w:szCs w:val="21"/>
          <w:u w:val="single"/>
        </w:rPr>
        <w:t xml:space="preserve">      </w:t>
      </w:r>
      <w:r>
        <w:rPr>
          <w:rFonts w:ascii="宋体" w:hAnsi="宋体"/>
          <w:szCs w:val="21"/>
        </w:rPr>
        <w:t xml:space="preserve">                               邮编：</w:t>
      </w:r>
      <w:r>
        <w:rPr>
          <w:rFonts w:ascii="宋体" w:hAnsi="宋体"/>
          <w:szCs w:val="21"/>
          <w:u w:val="single"/>
        </w:rPr>
        <w:t xml:space="preserve">      </w:t>
      </w:r>
    </w:p>
    <w:p>
      <w:pPr>
        <w:spacing w:line="360" w:lineRule="auto"/>
        <w:ind w:firstLine="105" w:firstLineChars="50"/>
        <w:rPr>
          <w:rFonts w:ascii="宋体" w:hAnsi="宋体"/>
          <w:szCs w:val="21"/>
          <w:u w:val="single"/>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pPr>
        <w:spacing w:line="360" w:lineRule="auto"/>
        <w:ind w:firstLine="105" w:firstLineChars="50"/>
        <w:rPr>
          <w:rFonts w:ascii="宋体" w:hAnsi="宋体"/>
          <w:szCs w:val="21"/>
          <w:u w:val="single"/>
        </w:rPr>
      </w:pPr>
      <w:r>
        <w:rPr>
          <w:rFonts w:ascii="宋体" w:hAnsi="宋体"/>
          <w:szCs w:val="21"/>
        </w:rPr>
        <w:t>银行账号：</w:t>
      </w:r>
      <w:r>
        <w:rPr>
          <w:rFonts w:ascii="宋体" w:hAnsi="宋体"/>
          <w:szCs w:val="21"/>
          <w:u w:val="single"/>
        </w:rPr>
        <w:t xml:space="preserve">                      </w:t>
      </w:r>
      <w:r>
        <w:rPr>
          <w:rFonts w:ascii="宋体" w:hAnsi="宋体"/>
          <w:szCs w:val="21"/>
        </w:rPr>
        <w:t xml:space="preserve">           银行账号：</w:t>
      </w:r>
      <w:r>
        <w:rPr>
          <w:rFonts w:ascii="宋体" w:hAnsi="宋体"/>
          <w:szCs w:val="21"/>
          <w:u w:val="single"/>
        </w:rPr>
        <w:t xml:space="preserve">                </w:t>
      </w:r>
    </w:p>
    <w:p>
      <w:pPr>
        <w:spacing w:line="360" w:lineRule="auto"/>
        <w:ind w:firstLine="35" w:firstLineChars="17"/>
        <w:rPr>
          <w:rFonts w:ascii="宋体" w:hAnsi="宋体"/>
          <w:szCs w:val="21"/>
        </w:rPr>
      </w:pPr>
      <w:r>
        <w:rPr>
          <w:rFonts w:ascii="宋体" w:hAnsi="宋体"/>
          <w:szCs w:val="21"/>
        </w:rPr>
        <w:t>签订日期：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        签订日期：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20"/>
        <w:rPr>
          <w:rFonts w:ascii="宋体" w:hAnsi="宋体"/>
          <w:szCs w:val="21"/>
        </w:rPr>
      </w:pPr>
      <w:r>
        <w:rPr>
          <w:rFonts w:ascii="宋体" w:hAnsi="宋体"/>
          <w:szCs w:val="21"/>
        </w:rPr>
        <w:t>说明：该部分内容作为</w:t>
      </w:r>
      <w:r>
        <w:rPr>
          <w:rFonts w:hint="eastAsia" w:ascii="宋体" w:hAnsi="宋体"/>
          <w:szCs w:val="21"/>
        </w:rPr>
        <w:t>采购人</w:t>
      </w:r>
      <w:r>
        <w:rPr>
          <w:rFonts w:ascii="宋体" w:hAnsi="宋体"/>
          <w:szCs w:val="21"/>
        </w:rPr>
        <w:t>和中标人签订正式合同时的基本条款及原则。</w:t>
      </w:r>
    </w:p>
    <w:p>
      <w:pPr>
        <w:spacing w:line="360" w:lineRule="auto"/>
        <w:ind w:firstLine="420"/>
        <w:rPr>
          <w:szCs w:val="21"/>
        </w:rPr>
      </w:pPr>
    </w:p>
    <w:p>
      <w:pPr>
        <w:widowControl/>
        <w:ind w:firstLine="723"/>
        <w:jc w:val="left"/>
        <w:rPr>
          <w:rFonts w:eastAsia="黑体"/>
          <w:b/>
          <w:bCs/>
          <w:sz w:val="36"/>
          <w:szCs w:val="36"/>
        </w:rPr>
      </w:pPr>
    </w:p>
    <w:p>
      <w:pPr>
        <w:pStyle w:val="3"/>
        <w:numPr>
          <w:ilvl w:val="0"/>
          <w:numId w:val="0"/>
        </w:numPr>
        <w:tabs>
          <w:tab w:val="left" w:pos="425"/>
        </w:tabs>
        <w:spacing w:line="360" w:lineRule="auto"/>
        <w:ind w:left="425" w:hanging="425"/>
        <w:rPr>
          <w:b/>
          <w:sz w:val="36"/>
          <w:szCs w:val="36"/>
        </w:rPr>
      </w:pPr>
      <w:r>
        <w:rPr>
          <w:b/>
          <w:bCs w:val="0"/>
          <w:sz w:val="36"/>
          <w:szCs w:val="36"/>
        </w:rPr>
        <w:br w:type="page"/>
      </w:r>
      <w:bookmarkStart w:id="58" w:name="_Toc69378637"/>
      <w:r>
        <w:rPr>
          <w:rFonts w:hint="eastAsia"/>
          <w:b/>
          <w:sz w:val="36"/>
          <w:szCs w:val="36"/>
        </w:rPr>
        <w:t>第五章</w:t>
      </w:r>
      <w:bookmarkStart w:id="59" w:name="_Hlk113981010"/>
      <w:r>
        <w:rPr>
          <w:rFonts w:hint="eastAsia"/>
          <w:b/>
          <w:sz w:val="36"/>
          <w:szCs w:val="36"/>
        </w:rPr>
        <w:t xml:space="preserve"> 技术需求书</w:t>
      </w:r>
      <w:bookmarkEnd w:id="58"/>
      <w:bookmarkEnd w:id="59"/>
    </w:p>
    <w:p>
      <w:pPr>
        <w:pStyle w:val="91"/>
        <w:numPr>
          <w:ilvl w:val="0"/>
          <w:numId w:val="22"/>
        </w:numPr>
        <w:spacing w:line="300" w:lineRule="auto"/>
        <w:ind w:left="0" w:firstLine="426" w:firstLineChars="0"/>
        <w:rPr>
          <w:rFonts w:ascii="宋体" w:hAnsi="宋体"/>
          <w:sz w:val="21"/>
          <w:szCs w:val="21"/>
        </w:rPr>
      </w:pPr>
      <w:r>
        <w:rPr>
          <w:rFonts w:ascii="宋体" w:hAnsi="宋体"/>
          <w:sz w:val="21"/>
          <w:szCs w:val="21"/>
        </w:rPr>
        <w:t>供应商须对照本《技术需求书》，依据第三方检测报告、供应商本身产品说明书及样本，逐条说明所提供货物和服务已对竞争性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谈判文件技术要求或简单标注“符合”“满足”的响应文件将可能取消评审。供应商在合同签订中的任何偏差都不得超越技术偏离表中已被供应商确认的条款。</w:t>
      </w:r>
    </w:p>
    <w:p>
      <w:pPr>
        <w:pStyle w:val="91"/>
        <w:numPr>
          <w:ilvl w:val="0"/>
          <w:numId w:val="22"/>
        </w:numPr>
        <w:spacing w:line="300" w:lineRule="auto"/>
        <w:ind w:left="0" w:firstLine="426" w:firstLineChars="0"/>
        <w:rPr>
          <w:rFonts w:ascii="宋体" w:hAnsi="宋体"/>
          <w:sz w:val="21"/>
          <w:szCs w:val="21"/>
        </w:rPr>
      </w:pPr>
      <w:r>
        <w:rPr>
          <w:rFonts w:hint="eastAsia" w:ascii="宋体" w:hAnsi="宋体"/>
          <w:sz w:val="21"/>
          <w:szCs w:val="21"/>
        </w:rPr>
        <w:t>竞争性谈判文件技术要求中所</w:t>
      </w:r>
      <w:r>
        <w:rPr>
          <w:rFonts w:ascii="宋体" w:hAnsi="宋体"/>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91"/>
        <w:numPr>
          <w:ilvl w:val="0"/>
          <w:numId w:val="22"/>
        </w:numPr>
        <w:spacing w:line="300" w:lineRule="auto"/>
        <w:ind w:left="0" w:firstLine="426" w:firstLineChars="0"/>
        <w:rPr>
          <w:rFonts w:ascii="宋体" w:hAnsi="宋体"/>
          <w:sz w:val="21"/>
          <w:szCs w:val="21"/>
        </w:rPr>
      </w:pPr>
      <w:r>
        <w:rPr>
          <w:rFonts w:hint="eastAsia" w:ascii="宋体" w:hAnsi="宋体" w:eastAsia="宋体" w:cs="宋体"/>
          <w:sz w:val="21"/>
          <w:szCs w:val="21"/>
        </w:rPr>
        <w:t>技术需求书中</w:t>
      </w:r>
      <w:r>
        <w:rPr>
          <w:rFonts w:ascii="宋体" w:hAnsi="宋体"/>
          <w:sz w:val="21"/>
          <w:szCs w:val="21"/>
        </w:rPr>
        <w:t>带“</w:t>
      </w:r>
      <w:r>
        <w:rPr>
          <w:rFonts w:ascii="宋体" w:hAnsi="宋体" w:cs="宋体"/>
          <w:sz w:val="21"/>
          <w:szCs w:val="21"/>
        </w:rPr>
        <w:t>★</w:t>
      </w:r>
      <w:r>
        <w:rPr>
          <w:rFonts w:hint="eastAsia" w:ascii="宋体" w:hAnsi="宋体"/>
          <w:sz w:val="21"/>
          <w:szCs w:val="21"/>
        </w:rPr>
        <w:t>”</w:t>
      </w:r>
      <w:r>
        <w:rPr>
          <w:rFonts w:ascii="宋体" w:hAnsi="宋体"/>
          <w:sz w:val="21"/>
          <w:szCs w:val="21"/>
        </w:rPr>
        <w:t>部分为必须保证满足要求的条款。</w:t>
      </w:r>
    </w:p>
    <w:p>
      <w:pPr>
        <w:pStyle w:val="91"/>
        <w:numPr>
          <w:ilvl w:val="0"/>
          <w:numId w:val="22"/>
        </w:numPr>
        <w:spacing w:line="360" w:lineRule="auto"/>
        <w:ind w:left="0" w:firstLine="426" w:firstLineChars="0"/>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60" w:name="_Toc51053569"/>
      <w:bookmarkStart w:id="61" w:name="_Toc31826"/>
      <w:bookmarkStart w:id="62" w:name="_Toc30212"/>
      <w:bookmarkStart w:id="63" w:name="_Toc76996580"/>
      <w:bookmarkStart w:id="64" w:name="_Toc76856250"/>
    </w:p>
    <w:bookmarkEnd w:id="17"/>
    <w:bookmarkEnd w:id="18"/>
    <w:bookmarkEnd w:id="19"/>
    <w:bookmarkEnd w:id="60"/>
    <w:bookmarkEnd w:id="61"/>
    <w:bookmarkEnd w:id="62"/>
    <w:bookmarkEnd w:id="63"/>
    <w:bookmarkEnd w:id="64"/>
    <w:p>
      <w:pPr>
        <w:pStyle w:val="4"/>
        <w:numPr>
          <w:ilvl w:val="0"/>
          <w:numId w:val="0"/>
        </w:numPr>
        <w:spacing w:line="360" w:lineRule="auto"/>
        <w:rPr>
          <w:sz w:val="21"/>
          <w:szCs w:val="21"/>
        </w:rPr>
      </w:pPr>
      <w:bookmarkStart w:id="65" w:name="_Toc69378657"/>
      <w:bookmarkStart w:id="66" w:name="_Toc502914229"/>
      <w:r>
        <w:rPr>
          <w:rFonts w:hint="eastAsia"/>
          <w:sz w:val="21"/>
          <w:szCs w:val="21"/>
        </w:rPr>
        <w:t>1、项目总体要求</w:t>
      </w:r>
    </w:p>
    <w:p>
      <w:pPr>
        <w:spacing w:line="360" w:lineRule="auto"/>
        <w:ind w:firstLine="420" w:firstLineChars="200"/>
        <w:rPr>
          <w:rFonts w:ascii="宋体" w:hAnsi="宋体"/>
          <w:szCs w:val="21"/>
        </w:rPr>
      </w:pPr>
      <w:r>
        <w:rPr>
          <w:rFonts w:hint="eastAsia" w:ascii="宋体" w:hAnsi="宋体"/>
          <w:szCs w:val="21"/>
        </w:rPr>
        <w:t>研究利用DRM技术，开发实现对DTMB清流信号的DRM加密保护，并利用DTMB调制技术，实现加密的DTMB调制信号在前端输出。其中，实现DRM加密技术的硬件通用服务器由采购人提供两台，服务器配置为：2颗Intel Xeon Silver 4210R(10-Core,2.4GHz,100W)Intel C621芯片；2*4TB-SATA_HDD数据盘；2*240G系统盘；64GB内存；4口千兆网卡；2个500W电源。实现DTMB调制的设备由采购人提供，信号接入方式为千兆光信号，输出为DTMB调制信号。</w:t>
      </w:r>
    </w:p>
    <w:p>
      <w:pPr>
        <w:spacing w:line="360" w:lineRule="auto"/>
        <w:ind w:firstLine="420" w:firstLineChars="200"/>
        <w:rPr>
          <w:rFonts w:ascii="宋体" w:hAnsi="宋体"/>
          <w:szCs w:val="21"/>
        </w:rPr>
      </w:pPr>
      <w:r>
        <w:rPr>
          <w:rFonts w:hint="eastAsia" w:ascii="宋体" w:hAnsi="宋体"/>
          <w:szCs w:val="21"/>
        </w:rPr>
        <w:t>根据目前智慧屏终端的市场占有情况，在终端侧研究开发智能电视APP，实现DTMB的信号接入智能电视，并通过研发的智能电视APP上实现视频信号解密和播放，并能实现终端开户、授权、收视控制等功能，解决DTMB信号接入控制问题，提升公司视频业务覆盖面，并解决部分区域特殊用户覆盖需求。</w:t>
      </w:r>
    </w:p>
    <w:p>
      <w:pPr>
        <w:pStyle w:val="4"/>
        <w:numPr>
          <w:ilvl w:val="0"/>
          <w:numId w:val="0"/>
        </w:numPr>
        <w:spacing w:line="360" w:lineRule="auto"/>
        <w:rPr>
          <w:sz w:val="21"/>
          <w:szCs w:val="21"/>
        </w:rPr>
      </w:pPr>
      <w:r>
        <w:rPr>
          <w:rFonts w:hint="eastAsia"/>
          <w:sz w:val="21"/>
          <w:szCs w:val="21"/>
        </w:rPr>
        <w:t>2、具体技术要求</w:t>
      </w:r>
    </w:p>
    <w:p>
      <w:pPr>
        <w:pStyle w:val="5"/>
        <w:rPr>
          <w:rFonts w:hAnsi="黑体"/>
          <w:sz w:val="21"/>
          <w:szCs w:val="21"/>
        </w:rPr>
      </w:pPr>
      <w:r>
        <w:rPr>
          <w:rFonts w:hint="eastAsia" w:hAnsi="黑体"/>
          <w:sz w:val="21"/>
          <w:szCs w:val="21"/>
        </w:rPr>
        <w:t>2.1 DTMB前端集成开发</w:t>
      </w:r>
    </w:p>
    <w:p>
      <w:pPr>
        <w:spacing w:line="360" w:lineRule="auto"/>
        <w:ind w:firstLine="420" w:firstLineChars="200"/>
        <w:rPr>
          <w:rFonts w:ascii="宋体" w:hAnsi="宋体"/>
          <w:szCs w:val="21"/>
        </w:rPr>
      </w:pPr>
      <w:r>
        <w:rPr>
          <w:rFonts w:hint="eastAsia" w:ascii="宋体" w:hAnsi="宋体"/>
          <w:szCs w:val="21"/>
        </w:rPr>
        <w:t>DRM</w:t>
      </w:r>
      <w:r>
        <w:rPr>
          <w:rFonts w:ascii="宋体" w:hAnsi="宋体"/>
          <w:szCs w:val="21"/>
        </w:rPr>
        <w:t>+</w:t>
      </w:r>
      <w:r>
        <w:rPr>
          <w:rFonts w:hint="eastAsia" w:ascii="宋体" w:hAnsi="宋体"/>
          <w:szCs w:val="21"/>
        </w:rPr>
        <w:t>DTMB融合覆盖系统软件包括DTMB直播流保护组件、DTMB收视控制系统，以及与DTMB计费系统对接，完成DTMB终端节目流加密保护及收视控制。</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497"/>
        <w:gridCol w:w="501"/>
        <w:gridCol w:w="501"/>
        <w:gridCol w:w="5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noWrap/>
            <w:vAlign w:val="center"/>
          </w:tcPr>
          <w:p>
            <w:pPr>
              <w:widowControl/>
              <w:jc w:val="center"/>
              <w:rPr>
                <w:rFonts w:eastAsia="等线"/>
                <w:kern w:val="0"/>
                <w:sz w:val="22"/>
                <w:szCs w:val="22"/>
              </w:rPr>
            </w:pPr>
            <w:r>
              <w:rPr>
                <w:rFonts w:hint="eastAsia"/>
                <w:kern w:val="0"/>
                <w:sz w:val="20"/>
                <w:szCs w:val="20"/>
              </w:rPr>
              <w:t>序号</w:t>
            </w:r>
          </w:p>
        </w:tc>
        <w:tc>
          <w:tcPr>
            <w:tcW w:w="0" w:type="auto"/>
            <w:vAlign w:val="center"/>
          </w:tcPr>
          <w:p>
            <w:pPr>
              <w:widowControl/>
              <w:jc w:val="center"/>
              <w:rPr>
                <w:kern w:val="0"/>
                <w:sz w:val="20"/>
                <w:szCs w:val="20"/>
              </w:rPr>
            </w:pPr>
            <w:r>
              <w:rPr>
                <w:rFonts w:hint="eastAsia"/>
                <w:kern w:val="0"/>
                <w:sz w:val="20"/>
                <w:szCs w:val="20"/>
              </w:rPr>
              <w:t>名称</w:t>
            </w:r>
          </w:p>
        </w:tc>
        <w:tc>
          <w:tcPr>
            <w:tcW w:w="0" w:type="auto"/>
            <w:vAlign w:val="center"/>
          </w:tcPr>
          <w:p>
            <w:pPr>
              <w:widowControl/>
              <w:jc w:val="center"/>
              <w:rPr>
                <w:kern w:val="0"/>
                <w:sz w:val="20"/>
                <w:szCs w:val="20"/>
              </w:rPr>
            </w:pPr>
            <w:r>
              <w:rPr>
                <w:rFonts w:hint="eastAsia"/>
                <w:kern w:val="0"/>
                <w:sz w:val="20"/>
                <w:szCs w:val="20"/>
              </w:rPr>
              <w:t>数量</w:t>
            </w:r>
          </w:p>
        </w:tc>
        <w:tc>
          <w:tcPr>
            <w:tcW w:w="0" w:type="auto"/>
            <w:vAlign w:val="center"/>
          </w:tcPr>
          <w:p>
            <w:pPr>
              <w:widowControl/>
              <w:jc w:val="center"/>
              <w:rPr>
                <w:kern w:val="0"/>
                <w:sz w:val="20"/>
                <w:szCs w:val="20"/>
              </w:rPr>
            </w:pPr>
            <w:r>
              <w:rPr>
                <w:rFonts w:hint="eastAsia"/>
                <w:kern w:val="0"/>
                <w:sz w:val="20"/>
                <w:szCs w:val="20"/>
              </w:rPr>
              <w:t>单位</w:t>
            </w:r>
          </w:p>
        </w:tc>
        <w:tc>
          <w:tcPr>
            <w:tcW w:w="0" w:type="auto"/>
            <w:vAlign w:val="center"/>
          </w:tcPr>
          <w:p>
            <w:pPr>
              <w:widowControl/>
              <w:jc w:val="center"/>
              <w:rPr>
                <w:kern w:val="0"/>
                <w:sz w:val="20"/>
                <w:szCs w:val="20"/>
              </w:rPr>
            </w:pPr>
            <w:r>
              <w:rPr>
                <w:rFonts w:hint="eastAsia"/>
                <w:kern w:val="0"/>
                <w:sz w:val="20"/>
                <w:szCs w:val="20"/>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noWrap/>
            <w:vAlign w:val="center"/>
          </w:tcPr>
          <w:p>
            <w:pPr>
              <w:widowControl/>
              <w:jc w:val="center"/>
              <w:rPr>
                <w:rFonts w:eastAsia="等线"/>
                <w:kern w:val="0"/>
                <w:sz w:val="22"/>
                <w:szCs w:val="22"/>
              </w:rPr>
            </w:pPr>
            <w:r>
              <w:rPr>
                <w:rFonts w:eastAsia="等线"/>
                <w:kern w:val="0"/>
                <w:sz w:val="22"/>
                <w:szCs w:val="22"/>
              </w:rPr>
              <w:t>1</w:t>
            </w:r>
          </w:p>
        </w:tc>
        <w:tc>
          <w:tcPr>
            <w:tcW w:w="0" w:type="auto"/>
            <w:vAlign w:val="center"/>
          </w:tcPr>
          <w:p>
            <w:pPr>
              <w:widowControl/>
              <w:jc w:val="center"/>
              <w:rPr>
                <w:kern w:val="0"/>
                <w:sz w:val="20"/>
                <w:szCs w:val="20"/>
              </w:rPr>
            </w:pPr>
            <w:r>
              <w:rPr>
                <w:rFonts w:hint="eastAsia"/>
                <w:kern w:val="0"/>
                <w:sz w:val="20"/>
                <w:szCs w:val="20"/>
              </w:rPr>
              <w:t>DTMB直播流保护组件</w:t>
            </w:r>
          </w:p>
        </w:tc>
        <w:tc>
          <w:tcPr>
            <w:tcW w:w="0" w:type="auto"/>
            <w:vAlign w:val="center"/>
          </w:tcPr>
          <w:p>
            <w:pPr>
              <w:widowControl/>
              <w:jc w:val="center"/>
              <w:rPr>
                <w:kern w:val="0"/>
                <w:sz w:val="20"/>
                <w:szCs w:val="20"/>
              </w:rPr>
            </w:pPr>
            <w:r>
              <w:rPr>
                <w:kern w:val="0"/>
                <w:sz w:val="20"/>
                <w:szCs w:val="20"/>
              </w:rPr>
              <w:t>1</w:t>
            </w:r>
          </w:p>
        </w:tc>
        <w:tc>
          <w:tcPr>
            <w:tcW w:w="0" w:type="auto"/>
            <w:vAlign w:val="center"/>
          </w:tcPr>
          <w:p>
            <w:pPr>
              <w:widowControl/>
              <w:jc w:val="center"/>
              <w:rPr>
                <w:kern w:val="0"/>
                <w:sz w:val="20"/>
                <w:szCs w:val="20"/>
              </w:rPr>
            </w:pPr>
            <w:r>
              <w:rPr>
                <w:kern w:val="0"/>
                <w:sz w:val="20"/>
                <w:szCs w:val="20"/>
              </w:rPr>
              <w:t>个</w:t>
            </w:r>
          </w:p>
        </w:tc>
        <w:tc>
          <w:tcPr>
            <w:tcW w:w="0" w:type="auto"/>
            <w:vAlign w:val="center"/>
          </w:tcPr>
          <w:p>
            <w:pPr>
              <w:widowControl/>
              <w:jc w:val="left"/>
              <w:rPr>
                <w:kern w:val="0"/>
                <w:sz w:val="20"/>
                <w:szCs w:val="20"/>
              </w:rPr>
            </w:pPr>
            <w:r>
              <w:rPr>
                <w:kern w:val="0"/>
                <w:sz w:val="20"/>
                <w:szCs w:val="20"/>
              </w:rPr>
              <w:t>DRM专用，对视音频流进行加密，向密钥管理同步内容密钥</w:t>
            </w:r>
            <w:r>
              <w:rPr>
                <w:rFonts w:hint="eastAsia"/>
                <w:kern w:val="0"/>
                <w:sz w:val="20"/>
                <w:szCs w:val="20"/>
              </w:rPr>
              <w:t>，受限于利旧设备性能，提供不少于</w:t>
            </w:r>
            <w:r>
              <w:rPr>
                <w:kern w:val="0"/>
                <w:sz w:val="20"/>
                <w:szCs w:val="20"/>
              </w:rPr>
              <w:t>50套高标清节目内容加密</w:t>
            </w:r>
            <w:r>
              <w:rPr>
                <w:rFonts w:hint="eastAsia"/>
                <w:kern w:val="0"/>
                <w:sz w:val="20"/>
                <w:szCs w:val="20"/>
              </w:rPr>
              <w:t>能力</w:t>
            </w:r>
            <w:r>
              <w:rPr>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noWrap/>
            <w:vAlign w:val="center"/>
          </w:tcPr>
          <w:p>
            <w:pPr>
              <w:widowControl/>
              <w:jc w:val="center"/>
              <w:rPr>
                <w:rFonts w:eastAsia="等线"/>
                <w:kern w:val="0"/>
                <w:sz w:val="22"/>
                <w:szCs w:val="22"/>
              </w:rPr>
            </w:pPr>
            <w:r>
              <w:rPr>
                <w:rFonts w:hint="eastAsia" w:eastAsia="等线"/>
                <w:kern w:val="0"/>
                <w:sz w:val="22"/>
                <w:szCs w:val="22"/>
              </w:rPr>
              <w:t>2</w:t>
            </w:r>
          </w:p>
        </w:tc>
        <w:tc>
          <w:tcPr>
            <w:tcW w:w="0" w:type="auto"/>
            <w:vAlign w:val="center"/>
          </w:tcPr>
          <w:p>
            <w:pPr>
              <w:widowControl/>
              <w:jc w:val="center"/>
              <w:rPr>
                <w:kern w:val="0"/>
                <w:sz w:val="20"/>
                <w:szCs w:val="20"/>
              </w:rPr>
            </w:pPr>
            <w:r>
              <w:rPr>
                <w:rFonts w:hint="eastAsia"/>
                <w:kern w:val="0"/>
                <w:sz w:val="20"/>
                <w:szCs w:val="20"/>
              </w:rPr>
              <w:t>D</w:t>
            </w:r>
            <w:r>
              <w:rPr>
                <w:kern w:val="0"/>
                <w:sz w:val="20"/>
                <w:szCs w:val="20"/>
              </w:rPr>
              <w:t>TMB</w:t>
            </w:r>
            <w:r>
              <w:rPr>
                <w:rFonts w:hint="eastAsia"/>
                <w:kern w:val="0"/>
                <w:sz w:val="20"/>
                <w:szCs w:val="20"/>
              </w:rPr>
              <w:t>收视控制系统开发</w:t>
            </w:r>
          </w:p>
        </w:tc>
        <w:tc>
          <w:tcPr>
            <w:tcW w:w="0" w:type="auto"/>
            <w:vAlign w:val="center"/>
          </w:tcPr>
          <w:p>
            <w:pPr>
              <w:widowControl/>
              <w:jc w:val="center"/>
              <w:rPr>
                <w:kern w:val="0"/>
                <w:sz w:val="20"/>
                <w:szCs w:val="20"/>
              </w:rPr>
            </w:pPr>
            <w:r>
              <w:rPr>
                <w:kern w:val="0"/>
                <w:sz w:val="20"/>
                <w:szCs w:val="20"/>
              </w:rPr>
              <w:t>2</w:t>
            </w:r>
          </w:p>
        </w:tc>
        <w:tc>
          <w:tcPr>
            <w:tcW w:w="0" w:type="auto"/>
            <w:vAlign w:val="center"/>
          </w:tcPr>
          <w:p>
            <w:pPr>
              <w:widowControl/>
              <w:jc w:val="center"/>
              <w:rPr>
                <w:kern w:val="0"/>
                <w:sz w:val="20"/>
                <w:szCs w:val="20"/>
              </w:rPr>
            </w:pPr>
            <w:r>
              <w:rPr>
                <w:kern w:val="0"/>
                <w:sz w:val="20"/>
                <w:szCs w:val="20"/>
              </w:rPr>
              <w:t>个</w:t>
            </w:r>
          </w:p>
        </w:tc>
        <w:tc>
          <w:tcPr>
            <w:tcW w:w="0" w:type="auto"/>
            <w:vAlign w:val="center"/>
          </w:tcPr>
          <w:p>
            <w:pPr>
              <w:widowControl/>
              <w:jc w:val="left"/>
              <w:rPr>
                <w:kern w:val="0"/>
                <w:sz w:val="20"/>
                <w:szCs w:val="20"/>
              </w:rPr>
            </w:pPr>
            <w:r>
              <w:rPr>
                <w:rFonts w:hint="eastAsia"/>
                <w:kern w:val="0"/>
                <w:sz w:val="20"/>
                <w:szCs w:val="20"/>
              </w:rPr>
              <w:t>研究并开发实现</w:t>
            </w:r>
            <w:r>
              <w:rPr>
                <w:kern w:val="0"/>
                <w:sz w:val="20"/>
                <w:szCs w:val="20"/>
              </w:rPr>
              <w:t>用于</w:t>
            </w:r>
            <w:r>
              <w:rPr>
                <w:rFonts w:hint="eastAsia"/>
                <w:kern w:val="0"/>
                <w:sz w:val="20"/>
                <w:szCs w:val="20"/>
              </w:rPr>
              <w:t>在单向网络中，向DTMB终端提供DRM许可的服务系统，实现对终端开户、授权的管控</w:t>
            </w:r>
            <w:r>
              <w:rPr>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noWrap/>
            <w:vAlign w:val="center"/>
          </w:tcPr>
          <w:p>
            <w:pPr>
              <w:widowControl/>
              <w:jc w:val="center"/>
              <w:rPr>
                <w:rFonts w:eastAsia="等线"/>
                <w:kern w:val="0"/>
                <w:sz w:val="22"/>
                <w:szCs w:val="22"/>
              </w:rPr>
            </w:pPr>
            <w:r>
              <w:rPr>
                <w:rFonts w:eastAsia="等线"/>
                <w:kern w:val="0"/>
                <w:sz w:val="22"/>
                <w:szCs w:val="22"/>
              </w:rPr>
              <w:t>3</w:t>
            </w:r>
          </w:p>
        </w:tc>
        <w:tc>
          <w:tcPr>
            <w:tcW w:w="0" w:type="auto"/>
            <w:vAlign w:val="center"/>
          </w:tcPr>
          <w:p>
            <w:pPr>
              <w:widowControl/>
              <w:jc w:val="center"/>
              <w:rPr>
                <w:kern w:val="0"/>
                <w:sz w:val="20"/>
                <w:szCs w:val="20"/>
              </w:rPr>
            </w:pPr>
            <w:r>
              <w:rPr>
                <w:rFonts w:hint="eastAsia"/>
                <w:kern w:val="0"/>
                <w:sz w:val="20"/>
                <w:szCs w:val="20"/>
              </w:rPr>
              <w:t>DTMB计费系统对接</w:t>
            </w:r>
          </w:p>
        </w:tc>
        <w:tc>
          <w:tcPr>
            <w:tcW w:w="0" w:type="auto"/>
            <w:vAlign w:val="center"/>
          </w:tcPr>
          <w:p>
            <w:pPr>
              <w:widowControl/>
              <w:jc w:val="center"/>
              <w:rPr>
                <w:kern w:val="0"/>
                <w:sz w:val="20"/>
                <w:szCs w:val="20"/>
              </w:rPr>
            </w:pPr>
            <w:r>
              <w:rPr>
                <w:kern w:val="0"/>
                <w:sz w:val="20"/>
                <w:szCs w:val="20"/>
              </w:rPr>
              <w:t>1</w:t>
            </w:r>
          </w:p>
        </w:tc>
        <w:tc>
          <w:tcPr>
            <w:tcW w:w="0" w:type="auto"/>
            <w:vAlign w:val="center"/>
          </w:tcPr>
          <w:p>
            <w:pPr>
              <w:widowControl/>
              <w:jc w:val="center"/>
              <w:rPr>
                <w:kern w:val="0"/>
                <w:sz w:val="20"/>
                <w:szCs w:val="20"/>
              </w:rPr>
            </w:pPr>
            <w:r>
              <w:rPr>
                <w:kern w:val="0"/>
                <w:sz w:val="20"/>
                <w:szCs w:val="20"/>
              </w:rPr>
              <w:t>个</w:t>
            </w:r>
          </w:p>
        </w:tc>
        <w:tc>
          <w:tcPr>
            <w:tcW w:w="0" w:type="auto"/>
            <w:vAlign w:val="center"/>
          </w:tcPr>
          <w:p>
            <w:pPr>
              <w:widowControl/>
              <w:jc w:val="left"/>
              <w:rPr>
                <w:kern w:val="0"/>
                <w:sz w:val="20"/>
                <w:szCs w:val="20"/>
              </w:rPr>
            </w:pPr>
            <w:r>
              <w:rPr>
                <w:rFonts w:hint="eastAsia"/>
                <w:kern w:val="0"/>
                <w:sz w:val="20"/>
                <w:szCs w:val="20"/>
              </w:rPr>
              <w:t>支持与计费系统就DTMB终端用户的开户及授权控制指令的对接。</w:t>
            </w:r>
          </w:p>
        </w:tc>
      </w:tr>
    </w:tbl>
    <w:p>
      <w:pPr>
        <w:pStyle w:val="48"/>
        <w:outlineLvl w:val="3"/>
        <w:rPr>
          <w:rFonts w:ascii="黑体" w:hAnsi="黑体" w:eastAsia="黑体"/>
          <w:b/>
          <w:bCs/>
          <w:color w:val="auto"/>
        </w:rPr>
      </w:pPr>
      <w:r>
        <w:rPr>
          <w:rFonts w:hint="eastAsia" w:ascii="黑体" w:hAnsi="黑体" w:eastAsia="黑体"/>
          <w:b/>
          <w:bCs/>
          <w:color w:val="auto"/>
        </w:rPr>
        <w:t>2.1.1 DTMB直播流保护</w:t>
      </w:r>
    </w:p>
    <w:p>
      <w:pPr>
        <w:numPr>
          <w:ilvl w:val="0"/>
          <w:numId w:val="23"/>
        </w:numPr>
        <w:tabs>
          <w:tab w:val="left" w:pos="0"/>
        </w:tabs>
        <w:spacing w:line="360" w:lineRule="auto"/>
        <w:rPr>
          <w:szCs w:val="21"/>
        </w:rPr>
      </w:pPr>
      <w:r>
        <w:rPr>
          <w:rFonts w:ascii="宋体" w:hAnsi="宋体" w:cs="宋体"/>
          <w:szCs w:val="21"/>
        </w:rPr>
        <w:t>★</w:t>
      </w:r>
      <w:r>
        <w:rPr>
          <w:szCs w:val="21"/>
        </w:rPr>
        <w:t>具备对DTMB直播流的加密保护能力，加密规范符合《GY/T 277-2019视音频内容分发数字版权管理技术规范》；</w:t>
      </w:r>
    </w:p>
    <w:p>
      <w:pPr>
        <w:numPr>
          <w:ilvl w:val="0"/>
          <w:numId w:val="23"/>
        </w:numPr>
        <w:tabs>
          <w:tab w:val="left" w:pos="0"/>
        </w:tabs>
        <w:spacing w:line="360" w:lineRule="auto"/>
        <w:rPr>
          <w:szCs w:val="21"/>
        </w:rPr>
      </w:pPr>
      <w:r>
        <w:rPr>
          <w:rFonts w:ascii="宋体" w:hAnsi="宋体" w:cs="宋体"/>
          <w:szCs w:val="21"/>
        </w:rPr>
        <w:t>★</w:t>
      </w:r>
      <w:r>
        <w:rPr>
          <w:szCs w:val="21"/>
        </w:rPr>
        <w:t>支持对于H264/H265/AVS2编码DTMB直播流的加密保护；</w:t>
      </w:r>
    </w:p>
    <w:p>
      <w:pPr>
        <w:numPr>
          <w:ilvl w:val="0"/>
          <w:numId w:val="23"/>
        </w:numPr>
        <w:tabs>
          <w:tab w:val="left" w:pos="0"/>
        </w:tabs>
        <w:spacing w:line="360" w:lineRule="auto"/>
        <w:rPr>
          <w:szCs w:val="21"/>
        </w:rPr>
      </w:pPr>
      <w:r>
        <w:rPr>
          <w:rFonts w:ascii="宋体" w:hAnsi="宋体" w:cs="宋体"/>
          <w:szCs w:val="21"/>
        </w:rPr>
        <w:t>★</w:t>
      </w:r>
      <w:r>
        <w:rPr>
          <w:szCs w:val="21"/>
        </w:rPr>
        <w:t>支持对于DTMB复用流的加密保护；</w:t>
      </w:r>
    </w:p>
    <w:p>
      <w:pPr>
        <w:numPr>
          <w:ilvl w:val="0"/>
          <w:numId w:val="23"/>
        </w:numPr>
        <w:tabs>
          <w:tab w:val="left" w:pos="0"/>
        </w:tabs>
        <w:spacing w:line="360" w:lineRule="auto"/>
      </w:pPr>
      <w:r>
        <w:t>支持IPv4/IPv6协议，支持ARP、ICMP、IGMPv2/v3协议；</w:t>
      </w:r>
    </w:p>
    <w:p>
      <w:pPr>
        <w:numPr>
          <w:ilvl w:val="0"/>
          <w:numId w:val="23"/>
        </w:numPr>
        <w:tabs>
          <w:tab w:val="left" w:pos="0"/>
        </w:tabs>
        <w:spacing w:line="360" w:lineRule="auto"/>
      </w:pPr>
      <w:r>
        <w:t>任何一个输入端口可指定VLAN接收，任何一个输出端口可划分VLAN输出</w:t>
      </w:r>
      <w:r>
        <w:rPr>
          <w:rFonts w:hint="eastAsia"/>
        </w:rPr>
        <w:t>；</w:t>
      </w:r>
    </w:p>
    <w:p>
      <w:pPr>
        <w:numPr>
          <w:ilvl w:val="0"/>
          <w:numId w:val="23"/>
        </w:numPr>
        <w:tabs>
          <w:tab w:val="left" w:pos="0"/>
        </w:tabs>
        <w:spacing w:line="360" w:lineRule="auto"/>
      </w:pPr>
      <w:r>
        <w:t>支持输入码流的PSI/SI的解析功能；</w:t>
      </w:r>
    </w:p>
    <w:p>
      <w:pPr>
        <w:numPr>
          <w:ilvl w:val="0"/>
          <w:numId w:val="23"/>
        </w:numPr>
        <w:tabs>
          <w:tab w:val="left" w:pos="0"/>
        </w:tabs>
        <w:spacing w:line="360" w:lineRule="auto"/>
      </w:pPr>
      <w:r>
        <w:t>支持PAT/PMT/SDT/NIT/BAT/CAT等表格的生成、编辑、删除、替换；</w:t>
      </w:r>
    </w:p>
    <w:p>
      <w:pPr>
        <w:numPr>
          <w:ilvl w:val="0"/>
          <w:numId w:val="23"/>
        </w:numPr>
        <w:tabs>
          <w:tab w:val="left" w:pos="0"/>
        </w:tabs>
        <w:spacing w:line="360" w:lineRule="auto"/>
      </w:pPr>
      <w:r>
        <w:t>支持PID的重新映射，支持对PID码流的过滤，具有PID优先级设置功能；</w:t>
      </w:r>
    </w:p>
    <w:p>
      <w:pPr>
        <w:numPr>
          <w:ilvl w:val="0"/>
          <w:numId w:val="23"/>
        </w:numPr>
        <w:tabs>
          <w:tab w:val="left" w:pos="0"/>
        </w:tabs>
        <w:spacing w:line="360" w:lineRule="auto"/>
      </w:pPr>
      <w:r>
        <w:t>支持多种加扰算法，DVB-CSA1、DVB-CSA2、Biss-1/Biss-E、AES-ECB、AES-CBC、SM4-ECB、SM4-CBC；</w:t>
      </w:r>
    </w:p>
    <w:p>
      <w:pPr>
        <w:numPr>
          <w:ilvl w:val="0"/>
          <w:numId w:val="23"/>
        </w:numPr>
        <w:tabs>
          <w:tab w:val="left" w:pos="0"/>
        </w:tabs>
        <w:spacing w:line="360" w:lineRule="auto"/>
      </w:pPr>
      <w:r>
        <w:t>支持直播加密密钥按照可配置的频率更新，应支持秒级密钥更新频率；</w:t>
      </w:r>
    </w:p>
    <w:p>
      <w:pPr>
        <w:numPr>
          <w:ilvl w:val="0"/>
          <w:numId w:val="23"/>
        </w:numPr>
        <w:tabs>
          <w:tab w:val="left" w:pos="0"/>
        </w:tabs>
        <w:spacing w:line="360" w:lineRule="auto"/>
      </w:pPr>
      <w:r>
        <w:t>直播加密延时应不高于500ms；</w:t>
      </w:r>
    </w:p>
    <w:p>
      <w:pPr>
        <w:numPr>
          <w:ilvl w:val="0"/>
          <w:numId w:val="23"/>
        </w:numPr>
        <w:tabs>
          <w:tab w:val="left" w:pos="0"/>
        </w:tabs>
        <w:spacing w:line="360" w:lineRule="auto"/>
      </w:pPr>
      <w:r>
        <w:t>直播内容加密应符合</w:t>
      </w:r>
      <w:r>
        <w:rPr>
          <w:rFonts w:hint="eastAsia" w:ascii="宋体" w:hAnsi="宋体" w:cs="宋体"/>
          <w:sz w:val="24"/>
        </w:rPr>
        <w:t>《GY/T 333—2020 视音频内容</w:t>
      </w:r>
      <w:r>
        <w:t>分发数字版权管理有线数字电视DRM系统集成规范》中6.1.1的规定；</w:t>
      </w:r>
    </w:p>
    <w:p>
      <w:pPr>
        <w:numPr>
          <w:ilvl w:val="0"/>
          <w:numId w:val="23"/>
        </w:numPr>
        <w:tabs>
          <w:tab w:val="left" w:pos="0"/>
        </w:tabs>
        <w:spacing w:line="360" w:lineRule="auto"/>
      </w:pPr>
      <w:r>
        <w:t>直播内容加密密钥申请应符合《</w:t>
      </w:r>
      <w:r>
        <w:rPr>
          <w:rFonts w:hint="eastAsia" w:ascii="宋体" w:hAnsi="宋体" w:cs="宋体"/>
          <w:sz w:val="24"/>
        </w:rPr>
        <w:t>GY/T 333—2020</w:t>
      </w:r>
      <w:r>
        <w:t>视音频内容分发数字版权管理有线数字电视DRM系统集成规范》中7.1.2和7.1.3的规定；</w:t>
      </w:r>
    </w:p>
    <w:p>
      <w:pPr>
        <w:pStyle w:val="48"/>
        <w:outlineLvl w:val="3"/>
        <w:rPr>
          <w:rFonts w:ascii="黑体" w:hAnsi="黑体" w:eastAsia="黑体"/>
          <w:b/>
          <w:bCs/>
          <w:color w:val="auto"/>
        </w:rPr>
      </w:pPr>
      <w:r>
        <w:rPr>
          <w:rFonts w:hint="eastAsia" w:ascii="黑体" w:hAnsi="黑体" w:eastAsia="黑体"/>
          <w:b/>
          <w:bCs/>
          <w:color w:val="auto"/>
        </w:rPr>
        <w:t>2.1.2 DTMB收视控制系统</w:t>
      </w:r>
    </w:p>
    <w:p>
      <w:pPr>
        <w:numPr>
          <w:ilvl w:val="0"/>
          <w:numId w:val="24"/>
        </w:numPr>
        <w:tabs>
          <w:tab w:val="left" w:pos="0"/>
        </w:tabs>
        <w:spacing w:line="360" w:lineRule="auto"/>
        <w:rPr>
          <w:szCs w:val="21"/>
        </w:rPr>
      </w:pPr>
      <w:r>
        <w:rPr>
          <w:rFonts w:ascii="宋体" w:hAnsi="宋体" w:cs="宋体"/>
          <w:szCs w:val="21"/>
        </w:rPr>
        <w:t>★</w:t>
      </w:r>
      <w:r>
        <w:rPr>
          <w:szCs w:val="21"/>
        </w:rPr>
        <w:t>DTMB直播业务收视控制系统具备在单向网络下，对于新增DTMB终端的开户/销户控制能力；</w:t>
      </w:r>
    </w:p>
    <w:p>
      <w:pPr>
        <w:numPr>
          <w:ilvl w:val="0"/>
          <w:numId w:val="24"/>
        </w:numPr>
        <w:tabs>
          <w:tab w:val="left" w:pos="0"/>
        </w:tabs>
        <w:spacing w:line="360" w:lineRule="auto"/>
        <w:rPr>
          <w:szCs w:val="21"/>
        </w:rPr>
      </w:pPr>
      <w:r>
        <w:rPr>
          <w:rFonts w:ascii="宋体" w:hAnsi="宋体" w:cs="宋体"/>
          <w:szCs w:val="21"/>
        </w:rPr>
        <w:t>★</w:t>
      </w:r>
      <w:r>
        <w:rPr>
          <w:szCs w:val="21"/>
        </w:rPr>
        <w:t>DTMB直播业务收视控制系统具备在单向网络下，对于DTMB终端的直播节目观看权限控制：</w:t>
      </w:r>
    </w:p>
    <w:p>
      <w:pPr>
        <w:numPr>
          <w:ilvl w:val="1"/>
          <w:numId w:val="24"/>
        </w:numPr>
        <w:tabs>
          <w:tab w:val="left" w:pos="0"/>
        </w:tabs>
        <w:spacing w:line="360" w:lineRule="auto"/>
        <w:rPr>
          <w:szCs w:val="21"/>
        </w:rPr>
      </w:pPr>
      <w:r>
        <w:rPr>
          <w:szCs w:val="21"/>
        </w:rPr>
        <w:t>控制类型包括授权观看/取消授权；</w:t>
      </w:r>
    </w:p>
    <w:p>
      <w:pPr>
        <w:numPr>
          <w:ilvl w:val="1"/>
          <w:numId w:val="24"/>
        </w:numPr>
        <w:tabs>
          <w:tab w:val="left" w:pos="0"/>
        </w:tabs>
        <w:spacing w:line="360" w:lineRule="auto"/>
        <w:rPr>
          <w:szCs w:val="21"/>
        </w:rPr>
      </w:pPr>
      <w:r>
        <w:rPr>
          <w:szCs w:val="21"/>
        </w:rPr>
        <w:t>控制粒度包括：针对具体DTMB终端/针对产品包/针对直播节目；</w:t>
      </w:r>
    </w:p>
    <w:p>
      <w:pPr>
        <w:numPr>
          <w:ilvl w:val="0"/>
          <w:numId w:val="24"/>
        </w:numPr>
        <w:tabs>
          <w:tab w:val="left" w:pos="0"/>
        </w:tabs>
        <w:spacing w:line="360" w:lineRule="auto"/>
        <w:rPr>
          <w:szCs w:val="21"/>
        </w:rPr>
      </w:pPr>
      <w:r>
        <w:rPr>
          <w:rFonts w:hint="eastAsia"/>
          <w:szCs w:val="21"/>
        </w:rPr>
        <w:t>DTMB直播业务收视控制系统应支持接收处理计费系统发送的终端直播内容授权许可证请求；</w:t>
      </w:r>
    </w:p>
    <w:p>
      <w:pPr>
        <w:numPr>
          <w:ilvl w:val="0"/>
          <w:numId w:val="24"/>
        </w:numPr>
        <w:tabs>
          <w:tab w:val="left" w:pos="0"/>
        </w:tabs>
        <w:spacing w:line="360" w:lineRule="auto"/>
        <w:rPr>
          <w:szCs w:val="21"/>
        </w:rPr>
      </w:pPr>
      <w:r>
        <w:rPr>
          <w:rFonts w:hint="eastAsia"/>
          <w:szCs w:val="21"/>
        </w:rPr>
        <w:t>DTMB直播业务收视控制系统应支持接收处理DRM客户端直播内容授权许可证请求；</w:t>
      </w:r>
    </w:p>
    <w:p>
      <w:pPr>
        <w:numPr>
          <w:ilvl w:val="0"/>
          <w:numId w:val="24"/>
        </w:numPr>
        <w:tabs>
          <w:tab w:val="left" w:pos="0"/>
        </w:tabs>
        <w:spacing w:line="360" w:lineRule="auto"/>
        <w:rPr>
          <w:szCs w:val="21"/>
        </w:rPr>
      </w:pPr>
      <w:r>
        <w:rPr>
          <w:rFonts w:hint="eastAsia"/>
          <w:szCs w:val="21"/>
        </w:rPr>
        <w:t>DTMB直播业务收视控制系统应支持从密钥网关请求直播内容加密密钥；</w:t>
      </w:r>
    </w:p>
    <w:p>
      <w:pPr>
        <w:pStyle w:val="48"/>
        <w:outlineLvl w:val="3"/>
        <w:rPr>
          <w:rFonts w:ascii="黑体" w:hAnsi="黑体" w:eastAsia="黑体"/>
          <w:b/>
          <w:bCs/>
          <w:color w:val="auto"/>
        </w:rPr>
      </w:pPr>
      <w:r>
        <w:rPr>
          <w:rFonts w:ascii="黑体" w:hAnsi="黑体" w:eastAsia="黑体"/>
          <w:b/>
          <w:bCs/>
          <w:color w:val="auto"/>
        </w:rPr>
        <w:t xml:space="preserve">2.1.3 </w:t>
      </w:r>
      <w:r>
        <w:rPr>
          <w:rFonts w:hint="eastAsia" w:ascii="黑体" w:hAnsi="黑体" w:eastAsia="黑体"/>
          <w:b/>
          <w:bCs/>
          <w:color w:val="auto"/>
        </w:rPr>
        <w:t>计费系统对接</w:t>
      </w:r>
    </w:p>
    <w:p>
      <w:pPr>
        <w:numPr>
          <w:ilvl w:val="0"/>
          <w:numId w:val="25"/>
        </w:numPr>
        <w:tabs>
          <w:tab w:val="left" w:pos="0"/>
        </w:tabs>
        <w:spacing w:line="360" w:lineRule="auto"/>
        <w:rPr>
          <w:szCs w:val="21"/>
        </w:rPr>
      </w:pPr>
      <w:r>
        <w:rPr>
          <w:rFonts w:ascii="宋体" w:hAnsi="宋体" w:cs="宋体"/>
          <w:szCs w:val="21"/>
        </w:rPr>
        <w:t>★</w:t>
      </w:r>
      <w:r>
        <w:rPr>
          <w:szCs w:val="21"/>
        </w:rPr>
        <w:t>DTMB收视控制系统需支持与计费系统对于终端定义、产品定义等业务基本信息的同步；</w:t>
      </w:r>
    </w:p>
    <w:p>
      <w:pPr>
        <w:numPr>
          <w:ilvl w:val="0"/>
          <w:numId w:val="25"/>
        </w:numPr>
        <w:tabs>
          <w:tab w:val="left" w:pos="0"/>
        </w:tabs>
        <w:spacing w:line="360" w:lineRule="auto"/>
        <w:rPr>
          <w:szCs w:val="21"/>
        </w:rPr>
      </w:pPr>
      <w:r>
        <w:rPr>
          <w:rFonts w:ascii="宋体" w:hAnsi="宋体" w:cs="宋体"/>
          <w:szCs w:val="21"/>
        </w:rPr>
        <w:t>★</w:t>
      </w:r>
      <w:r>
        <w:rPr>
          <w:szCs w:val="21"/>
        </w:rPr>
        <w:t>DTMB收视控制系统需支持与计费系统的开户/销户、授权/反授权指令进行对接；</w:t>
      </w:r>
    </w:p>
    <w:p>
      <w:pPr>
        <w:numPr>
          <w:ilvl w:val="0"/>
          <w:numId w:val="25"/>
        </w:numPr>
        <w:tabs>
          <w:tab w:val="left" w:pos="0"/>
        </w:tabs>
        <w:spacing w:line="360" w:lineRule="auto"/>
        <w:rPr>
          <w:rFonts w:hAnsi="黑体"/>
          <w:szCs w:val="21"/>
        </w:rPr>
      </w:pPr>
      <w:r>
        <w:rPr>
          <w:szCs w:val="21"/>
        </w:rPr>
        <w:t>对接方式采用异步方式</w:t>
      </w:r>
      <w:r>
        <w:rPr>
          <w:rFonts w:hint="eastAsia"/>
          <w:szCs w:val="21"/>
        </w:rPr>
        <w:t>。</w:t>
      </w:r>
    </w:p>
    <w:p>
      <w:pPr>
        <w:tabs>
          <w:tab w:val="left" w:pos="0"/>
        </w:tabs>
        <w:spacing w:line="360" w:lineRule="auto"/>
      </w:pPr>
    </w:p>
    <w:p>
      <w:pPr>
        <w:pStyle w:val="5"/>
        <w:rPr>
          <w:rFonts w:hAnsi="黑体"/>
          <w:sz w:val="21"/>
          <w:szCs w:val="21"/>
        </w:rPr>
      </w:pPr>
      <w:r>
        <w:rPr>
          <w:rFonts w:hint="eastAsia" w:hAnsi="黑体"/>
          <w:sz w:val="21"/>
          <w:szCs w:val="21"/>
        </w:rPr>
        <w:t>2.2 DTMB终端集成开发</w:t>
      </w:r>
    </w:p>
    <w:tbl>
      <w:tblPr>
        <w:tblStyle w:val="53"/>
        <w:tblW w:w="0" w:type="auto"/>
        <w:tblInd w:w="0" w:type="dxa"/>
        <w:tblLayout w:type="autofit"/>
        <w:tblCellMar>
          <w:top w:w="0" w:type="dxa"/>
          <w:left w:w="108" w:type="dxa"/>
          <w:bottom w:w="0" w:type="dxa"/>
          <w:right w:w="108" w:type="dxa"/>
        </w:tblCellMar>
      </w:tblPr>
      <w:tblGrid>
        <w:gridCol w:w="571"/>
        <w:gridCol w:w="1900"/>
        <w:gridCol w:w="716"/>
        <w:gridCol w:w="690"/>
        <w:gridCol w:w="4645"/>
      </w:tblGrid>
      <w:tr>
        <w:tblPrEx>
          <w:tblCellMar>
            <w:top w:w="0" w:type="dxa"/>
            <w:left w:w="108" w:type="dxa"/>
            <w:bottom w:w="0" w:type="dxa"/>
            <w:right w:w="108" w:type="dxa"/>
          </w:tblCellMar>
        </w:tblPrEx>
        <w:trPr>
          <w:trHeight w:val="80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r>
              <w:rPr>
                <w:rFonts w:hint="eastAsia"/>
                <w:kern w:val="0"/>
                <w:sz w:val="20"/>
                <w:szCs w:val="20"/>
              </w:rPr>
              <w:t>序号</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kern w:val="0"/>
                <w:sz w:val="20"/>
                <w:szCs w:val="20"/>
              </w:rPr>
              <w:t>名称</w:t>
            </w:r>
          </w:p>
        </w:tc>
        <w:tc>
          <w:tcPr>
            <w:tcW w:w="71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kern w:val="0"/>
                <w:sz w:val="20"/>
                <w:szCs w:val="20"/>
              </w:rPr>
              <w:t>数量</w:t>
            </w:r>
          </w:p>
        </w:tc>
        <w:tc>
          <w:tcPr>
            <w:tcW w:w="69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kern w:val="0"/>
                <w:sz w:val="20"/>
                <w:szCs w:val="20"/>
              </w:rPr>
              <w:t>单位</w:t>
            </w:r>
          </w:p>
        </w:tc>
        <w:tc>
          <w:tcPr>
            <w:tcW w:w="464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kern w:val="0"/>
                <w:sz w:val="20"/>
                <w:szCs w:val="20"/>
              </w:rPr>
              <w:t>描述</w:t>
            </w:r>
          </w:p>
        </w:tc>
      </w:tr>
      <w:tr>
        <w:tblPrEx>
          <w:tblCellMar>
            <w:top w:w="0" w:type="dxa"/>
            <w:left w:w="108" w:type="dxa"/>
            <w:bottom w:w="0" w:type="dxa"/>
            <w:right w:w="108" w:type="dxa"/>
          </w:tblCellMar>
        </w:tblPrEx>
        <w:trPr>
          <w:trHeight w:val="80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DRM-DTMB电视机终端集成开发</w:t>
            </w:r>
          </w:p>
        </w:tc>
        <w:tc>
          <w:tcPr>
            <w:tcW w:w="71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ascii="宋体" w:hAnsi="宋体"/>
                <w:kern w:val="0"/>
                <w:sz w:val="20"/>
                <w:szCs w:val="20"/>
              </w:rPr>
              <w:t>1</w:t>
            </w:r>
          </w:p>
        </w:tc>
        <w:tc>
          <w:tcPr>
            <w:tcW w:w="69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套</w:t>
            </w:r>
          </w:p>
        </w:tc>
        <w:tc>
          <w:tcPr>
            <w:tcW w:w="4645"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r>
              <w:rPr>
                <w:rFonts w:hint="eastAsia" w:ascii="宋体" w:hAnsi="宋体"/>
                <w:kern w:val="0"/>
                <w:sz w:val="20"/>
                <w:szCs w:val="20"/>
              </w:rPr>
              <w:t>与电视机平台集成，提供示例代码，协助APK集成。</w:t>
            </w:r>
          </w:p>
          <w:p>
            <w:pPr>
              <w:pStyle w:val="2"/>
            </w:pPr>
            <w:r>
              <w:rPr>
                <w:rFonts w:hint="eastAsia" w:ascii="宋体" w:hAnsi="宋体"/>
                <w:kern w:val="0"/>
                <w:sz w:val="20"/>
              </w:rPr>
              <w:t>质保期内提供不少于2家的集成配合支持。</w:t>
            </w:r>
          </w:p>
        </w:tc>
      </w:tr>
      <w:tr>
        <w:tblPrEx>
          <w:tblCellMar>
            <w:top w:w="0" w:type="dxa"/>
            <w:left w:w="108" w:type="dxa"/>
            <w:bottom w:w="0" w:type="dxa"/>
            <w:right w:w="108" w:type="dxa"/>
          </w:tblCellMar>
        </w:tblPrEx>
        <w:trPr>
          <w:trHeight w:val="800"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3</w:t>
            </w:r>
          </w:p>
        </w:tc>
        <w:tc>
          <w:tcPr>
            <w:tcW w:w="1900"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DTMB终端应用APK开发</w:t>
            </w:r>
          </w:p>
        </w:tc>
        <w:tc>
          <w:tcPr>
            <w:tcW w:w="716" w:type="dxa"/>
            <w:tcBorders>
              <w:top w:val="nil"/>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w:t>
            </w:r>
          </w:p>
        </w:tc>
        <w:tc>
          <w:tcPr>
            <w:tcW w:w="690" w:type="dxa"/>
            <w:tcBorders>
              <w:top w:val="nil"/>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套</w:t>
            </w:r>
          </w:p>
        </w:tc>
        <w:tc>
          <w:tcPr>
            <w:tcW w:w="4645" w:type="dxa"/>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r>
              <w:rPr>
                <w:rFonts w:hint="eastAsia" w:ascii="宋体" w:hAnsi="宋体"/>
                <w:kern w:val="0"/>
                <w:sz w:val="20"/>
                <w:szCs w:val="20"/>
              </w:rPr>
              <w:t>通用性DTMB终端应用APK开发；质保期内提供不少于2家的A</w:t>
            </w:r>
            <w:r>
              <w:rPr>
                <w:rFonts w:ascii="宋体" w:hAnsi="宋体"/>
                <w:kern w:val="0"/>
                <w:sz w:val="20"/>
                <w:szCs w:val="20"/>
              </w:rPr>
              <w:t>PK</w:t>
            </w:r>
            <w:r>
              <w:rPr>
                <w:rFonts w:hint="eastAsia" w:ascii="宋体" w:hAnsi="宋体"/>
                <w:kern w:val="0"/>
                <w:sz w:val="20"/>
                <w:szCs w:val="20"/>
              </w:rPr>
              <w:t>集成配合工作。</w:t>
            </w:r>
          </w:p>
        </w:tc>
      </w:tr>
    </w:tbl>
    <w:p>
      <w:pPr>
        <w:pStyle w:val="6"/>
      </w:pPr>
    </w:p>
    <w:p>
      <w:pPr>
        <w:numPr>
          <w:ilvl w:val="0"/>
          <w:numId w:val="26"/>
        </w:numPr>
        <w:tabs>
          <w:tab w:val="left" w:pos="0"/>
        </w:tabs>
        <w:spacing w:line="360" w:lineRule="auto"/>
        <w:rPr>
          <w:szCs w:val="21"/>
        </w:rPr>
      </w:pPr>
      <w:r>
        <w:rPr>
          <w:rFonts w:hint="eastAsia"/>
          <w:szCs w:val="21"/>
        </w:rPr>
        <w:t>DTMB终端侧支持通过升级或者安装软件，具备对于DTMB加密流的解密、播放能力；</w:t>
      </w:r>
    </w:p>
    <w:p>
      <w:pPr>
        <w:numPr>
          <w:ilvl w:val="0"/>
          <w:numId w:val="26"/>
        </w:numPr>
        <w:tabs>
          <w:tab w:val="left" w:pos="0"/>
        </w:tabs>
        <w:spacing w:line="360" w:lineRule="auto"/>
        <w:rPr>
          <w:szCs w:val="21"/>
        </w:rPr>
      </w:pPr>
      <w:r>
        <w:rPr>
          <w:rFonts w:hint="eastAsia"/>
          <w:szCs w:val="21"/>
        </w:rPr>
        <w:t>DTMB终端侧支持在单向网络下，对于DTMB加密流解密播放的权限控制能力。</w:t>
      </w:r>
    </w:p>
    <w:p>
      <w:pPr>
        <w:numPr>
          <w:ilvl w:val="0"/>
          <w:numId w:val="26"/>
        </w:numPr>
        <w:tabs>
          <w:tab w:val="left" w:pos="0"/>
        </w:tabs>
        <w:spacing w:line="360" w:lineRule="auto"/>
        <w:rPr>
          <w:szCs w:val="21"/>
        </w:rPr>
      </w:pPr>
      <w:r>
        <w:rPr>
          <w:rFonts w:hint="eastAsia"/>
          <w:szCs w:val="21"/>
        </w:rPr>
        <w:t>终端模块可以以库或软件模块的形式实现，可方便地在TVOS系统及安卓系统上实现代码移植。</w:t>
      </w:r>
    </w:p>
    <w:p>
      <w:pPr>
        <w:numPr>
          <w:ilvl w:val="0"/>
          <w:numId w:val="26"/>
        </w:numPr>
        <w:tabs>
          <w:tab w:val="left" w:pos="0"/>
        </w:tabs>
        <w:spacing w:line="360" w:lineRule="auto"/>
        <w:rPr>
          <w:szCs w:val="21"/>
        </w:rPr>
      </w:pPr>
      <w:r>
        <w:rPr>
          <w:rFonts w:hint="eastAsia"/>
          <w:szCs w:val="21"/>
        </w:rPr>
        <w:t>DTMB终端应支持直播内容授权许可证申请；</w:t>
      </w:r>
    </w:p>
    <w:p>
      <w:pPr>
        <w:numPr>
          <w:ilvl w:val="0"/>
          <w:numId w:val="26"/>
        </w:numPr>
        <w:tabs>
          <w:tab w:val="left" w:pos="0"/>
        </w:tabs>
        <w:spacing w:line="360" w:lineRule="auto"/>
        <w:rPr>
          <w:szCs w:val="21"/>
        </w:rPr>
      </w:pPr>
      <w:r>
        <w:rPr>
          <w:rFonts w:hint="eastAsia"/>
          <w:szCs w:val="21"/>
        </w:rPr>
        <w:t>DTMB终端应支持直播内容授权许可证解析；</w:t>
      </w:r>
    </w:p>
    <w:p>
      <w:pPr>
        <w:numPr>
          <w:ilvl w:val="0"/>
          <w:numId w:val="26"/>
        </w:numPr>
        <w:tabs>
          <w:tab w:val="left" w:pos="0"/>
        </w:tabs>
        <w:spacing w:line="360" w:lineRule="auto"/>
        <w:rPr>
          <w:szCs w:val="21"/>
        </w:rPr>
      </w:pPr>
      <w:r>
        <w:rPr>
          <w:rFonts w:hint="eastAsia"/>
          <w:szCs w:val="21"/>
        </w:rPr>
        <w:t>DTMB终端应支持直播内容安全解密、输出；</w:t>
      </w:r>
    </w:p>
    <w:p>
      <w:pPr>
        <w:numPr>
          <w:ilvl w:val="0"/>
          <w:numId w:val="26"/>
        </w:numPr>
        <w:tabs>
          <w:tab w:val="left" w:pos="0"/>
        </w:tabs>
        <w:spacing w:line="360" w:lineRule="auto"/>
        <w:rPr>
          <w:szCs w:val="21"/>
        </w:rPr>
      </w:pPr>
      <w:r>
        <w:rPr>
          <w:rFonts w:hint="eastAsia"/>
          <w:szCs w:val="21"/>
        </w:rPr>
        <w:t>DTMB终端DRM功能模块应安全运行在DRM客户端运行环境中，DRM客户端运行环境应具备保护DRM客户端功能模块完整性的能力，DRM客户端功能模块被篡改后应停止工作；</w:t>
      </w:r>
    </w:p>
    <w:p>
      <w:pPr>
        <w:numPr>
          <w:ilvl w:val="0"/>
          <w:numId w:val="26"/>
        </w:numPr>
        <w:tabs>
          <w:tab w:val="left" w:pos="0"/>
        </w:tabs>
        <w:spacing w:line="360" w:lineRule="auto"/>
        <w:rPr>
          <w:szCs w:val="21"/>
        </w:rPr>
      </w:pPr>
      <w:r>
        <w:rPr>
          <w:rFonts w:hint="eastAsia"/>
          <w:szCs w:val="21"/>
        </w:rPr>
        <w:t>DTMB终端运行环境应安全保护有保密要求的值和有完整性要求的值，有完整性要求的值被篡改后应停止DRM客户端功能模块；</w:t>
      </w:r>
    </w:p>
    <w:p>
      <w:pPr>
        <w:numPr>
          <w:ilvl w:val="0"/>
          <w:numId w:val="26"/>
        </w:numPr>
        <w:tabs>
          <w:tab w:val="left" w:pos="0"/>
        </w:tabs>
        <w:spacing w:line="360" w:lineRule="auto"/>
        <w:rPr>
          <w:szCs w:val="21"/>
        </w:rPr>
      </w:pPr>
      <w:r>
        <w:rPr>
          <w:rFonts w:hint="eastAsia"/>
          <w:szCs w:val="21"/>
        </w:rPr>
        <w:t>针对有DRM保护要求的内容，DTMB终端不应绕过DRM客户端功能；</w:t>
      </w:r>
    </w:p>
    <w:p>
      <w:pPr>
        <w:numPr>
          <w:ilvl w:val="0"/>
          <w:numId w:val="26"/>
        </w:numPr>
        <w:tabs>
          <w:tab w:val="left" w:pos="0"/>
        </w:tabs>
        <w:spacing w:line="360" w:lineRule="auto"/>
        <w:rPr>
          <w:szCs w:val="21"/>
        </w:rPr>
      </w:pPr>
      <w:r>
        <w:rPr>
          <w:rFonts w:hint="eastAsia"/>
          <w:szCs w:val="21"/>
        </w:rPr>
        <w:t>DTMB终端应具备DRM客户端安全升级能力，当出现新的安全漏洞时应能及时升级DRM客户端，不应存在官方所公布的6个月之内的漏洞。</w:t>
      </w:r>
    </w:p>
    <w:p>
      <w:pPr>
        <w:autoSpaceDE w:val="0"/>
        <w:autoSpaceDN w:val="0"/>
        <w:spacing w:line="240" w:lineRule="atLeast"/>
        <w:jc w:val="center"/>
        <w:outlineLvl w:val="0"/>
        <w:rPr>
          <w:rFonts w:eastAsia="黑体"/>
          <w:b/>
          <w:bCs/>
          <w:kern w:val="44"/>
          <w:sz w:val="36"/>
          <w:szCs w:val="36"/>
        </w:rPr>
      </w:pPr>
      <w:r>
        <w:rPr>
          <w:rFonts w:hint="eastAsia" w:hAnsi="黑体"/>
          <w:szCs w:val="21"/>
        </w:rPr>
        <w:t>2</w:t>
      </w:r>
      <w:r>
        <w:rPr>
          <w:rFonts w:hAnsi="黑体"/>
          <w:szCs w:val="21"/>
        </w:rPr>
        <w:t xml:space="preserve">.4 </w:t>
      </w:r>
      <w:r>
        <w:rPr>
          <w:b/>
          <w:bCs/>
          <w:kern w:val="44"/>
          <w:sz w:val="36"/>
          <w:szCs w:val="36"/>
        </w:rPr>
        <w:br w:type="page"/>
      </w:r>
      <w:r>
        <w:rPr>
          <w:rFonts w:hint="eastAsia" w:eastAsia="黑体"/>
          <w:b/>
          <w:bCs/>
          <w:kern w:val="44"/>
          <w:sz w:val="36"/>
          <w:szCs w:val="36"/>
        </w:rPr>
        <w:t>第六章竞争性谈判响应文件格式</w:t>
      </w:r>
      <w:bookmarkEnd w:id="65"/>
    </w:p>
    <w:p/>
    <w:p/>
    <w:p/>
    <w:p/>
    <w:p/>
    <w:p/>
    <w:p/>
    <w:p>
      <w:pPr>
        <w:jc w:val="center"/>
        <w:rPr>
          <w:rFonts w:ascii="宋体" w:hAnsi="宋体"/>
          <w:sz w:val="44"/>
          <w:szCs w:val="44"/>
        </w:rPr>
      </w:pPr>
      <w:bookmarkStart w:id="67" w:name="_Toc26259736"/>
      <w:r>
        <w:rPr>
          <w:rFonts w:hint="eastAsia" w:ascii="宋体" w:hAnsi="宋体"/>
          <w:sz w:val="44"/>
          <w:szCs w:val="44"/>
        </w:rPr>
        <w:t>江苏省广电有线信息网络股份有限公司</w:t>
      </w:r>
    </w:p>
    <w:bookmarkEnd w:id="67"/>
    <w:p>
      <w:pPr>
        <w:jc w:val="center"/>
      </w:pPr>
      <w:r>
        <w:rPr>
          <w:rFonts w:hint="eastAsia"/>
          <w:sz w:val="48"/>
          <w:szCs w:val="48"/>
        </w:rPr>
        <w:t>DRM+DTMB融合覆盖系统研发服务项目</w:t>
      </w:r>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竞争性谈判响应文件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pPr>
      <w:r>
        <w:rPr>
          <w:rFonts w:hint="eastAsia"/>
          <w:szCs w:val="28"/>
        </w:rPr>
        <w:t>年</w:t>
      </w:r>
      <w:r>
        <w:rPr>
          <w:rFonts w:hint="eastAsia"/>
          <w:spacing w:val="-3"/>
          <w:szCs w:val="28"/>
        </w:rPr>
        <w:t>月</w:t>
      </w:r>
      <w:r>
        <w:rPr>
          <w:rFonts w:hint="eastAsia"/>
          <w:szCs w:val="28"/>
        </w:rPr>
        <w:t>日</w:t>
      </w:r>
    </w:p>
    <w:p>
      <w:pPr>
        <w:pStyle w:val="4"/>
        <w:numPr>
          <w:ilvl w:val="0"/>
          <w:numId w:val="0"/>
        </w:numPr>
        <w:jc w:val="center"/>
      </w:pPr>
      <w:bookmarkStart w:id="68" w:name="_Toc26259737"/>
      <w:bookmarkStart w:id="69" w:name="_Toc529538374"/>
      <w:bookmarkStart w:id="70" w:name="_Toc69378658"/>
      <w:bookmarkStart w:id="71" w:name="_Toc26260030"/>
      <w:bookmarkStart w:id="72" w:name="_Toc472689687"/>
      <w:bookmarkStart w:id="73" w:name="_Toc447265317"/>
      <w:bookmarkStart w:id="74" w:name="_Toc447265603"/>
      <w:bookmarkStart w:id="75" w:name="_Toc438052118"/>
      <w:r>
        <w:rPr>
          <w:rFonts w:hint="eastAsia"/>
        </w:rPr>
        <w:t>评审索引表</w:t>
      </w:r>
      <w:bookmarkEnd w:id="68"/>
      <w:bookmarkEnd w:id="69"/>
      <w:bookmarkEnd w:id="70"/>
      <w:bookmarkEnd w:id="71"/>
      <w:bookmarkEnd w:id="72"/>
    </w:p>
    <w:p>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pStyle w:val="6"/>
        <w:rPr>
          <w:rFonts w:ascii="宋体" w:hAnsi="宋体" w:eastAsia="宋体"/>
          <w:b/>
          <w:sz w:val="24"/>
        </w:rPr>
      </w:pPr>
      <w:bookmarkStart w:id="76" w:name="_Toc485737092"/>
      <w:bookmarkStart w:id="77" w:name="_Toc529538375"/>
      <w:bookmarkStart w:id="78" w:name="_Toc401216443"/>
      <w:bookmarkStart w:id="79" w:name="_Toc429954241"/>
      <w:bookmarkStart w:id="80" w:name="_Toc427071030"/>
      <w:bookmarkStart w:id="81" w:name="_Toc401151285"/>
      <w:bookmarkStart w:id="82" w:name="_Toc26259738"/>
      <w:bookmarkStart w:id="83" w:name="_Toc401133270"/>
      <w:bookmarkStart w:id="84" w:name="_Toc26260031"/>
    </w:p>
    <w:p>
      <w:pPr>
        <w:pStyle w:val="5"/>
        <w:spacing w:before="260" w:after="260" w:line="416" w:lineRule="auto"/>
        <w:jc w:val="center"/>
        <w:rPr>
          <w:rFonts w:ascii="宋体" w:hAnsi="宋体" w:eastAsia="宋体"/>
          <w:b/>
          <w:bCs/>
          <w:sz w:val="22"/>
          <w:szCs w:val="28"/>
        </w:rPr>
      </w:pPr>
      <w:bookmarkStart w:id="85" w:name="_Toc69378659"/>
      <w:r>
        <w:rPr>
          <w:rFonts w:hint="eastAsia" w:ascii="宋体" w:hAnsi="宋体" w:eastAsia="宋体"/>
          <w:b/>
          <w:bCs/>
          <w:sz w:val="22"/>
          <w:szCs w:val="28"/>
        </w:rPr>
        <w:t>初步</w:t>
      </w:r>
      <w:r>
        <w:rPr>
          <w:rFonts w:ascii="宋体" w:hAnsi="宋体" w:eastAsia="宋体"/>
          <w:b/>
          <w:bCs/>
          <w:sz w:val="22"/>
          <w:szCs w:val="28"/>
        </w:rPr>
        <w:t>评审索引表</w:t>
      </w:r>
      <w:bookmarkEnd w:id="76"/>
      <w:bookmarkEnd w:id="77"/>
      <w:bookmarkEnd w:id="78"/>
      <w:bookmarkEnd w:id="79"/>
      <w:bookmarkEnd w:id="80"/>
      <w:bookmarkEnd w:id="81"/>
      <w:bookmarkEnd w:id="82"/>
      <w:bookmarkEnd w:id="83"/>
      <w:bookmarkEnd w:id="84"/>
      <w:bookmarkEnd w:id="85"/>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3771"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lang w:eastAsia="zh-TW"/>
              </w:rPr>
              <w:t>评审因素</w:t>
            </w:r>
          </w:p>
        </w:tc>
        <w:tc>
          <w:tcPr>
            <w:tcW w:w="650"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86" w:name="_Toc69378660"/>
      <w:bookmarkStart w:id="87" w:name="_Toc26259739"/>
      <w:bookmarkStart w:id="88" w:name="_Toc26260032"/>
      <w:r>
        <w:rPr>
          <w:rFonts w:hint="eastAsia" w:ascii="宋体" w:hAnsi="宋体" w:eastAsia="宋体"/>
          <w:b/>
          <w:bCs/>
          <w:sz w:val="22"/>
          <w:szCs w:val="28"/>
        </w:rPr>
        <w:t>详细</w:t>
      </w:r>
      <w:r>
        <w:rPr>
          <w:rFonts w:ascii="宋体" w:hAnsi="宋体" w:eastAsia="宋体"/>
          <w:b/>
          <w:bCs/>
          <w:sz w:val="22"/>
          <w:szCs w:val="28"/>
        </w:rPr>
        <w:t>评审索引表</w:t>
      </w:r>
      <w:bookmarkEnd w:id="86"/>
      <w:bookmarkEnd w:id="87"/>
      <w:bookmarkEnd w:id="88"/>
    </w:p>
    <w:tbl>
      <w:tblPr>
        <w:tblStyle w:val="5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3684"/>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5524" w:type="dxa"/>
            <w:gridSpan w:val="2"/>
            <w:vAlign w:val="center"/>
          </w:tcPr>
          <w:p>
            <w:pPr>
              <w:jc w:val="center"/>
              <w:rPr>
                <w:b/>
              </w:rPr>
            </w:pPr>
            <w:r>
              <w:rPr>
                <w:b/>
                <w:kern w:val="0"/>
                <w:szCs w:val="21"/>
              </w:rPr>
              <w:t>评分要求</w:t>
            </w:r>
          </w:p>
        </w:tc>
        <w:tc>
          <w:tcPr>
            <w:tcW w:w="1244"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5524" w:type="dxa"/>
            <w:gridSpan w:val="2"/>
          </w:tcPr>
          <w:p>
            <w:pPr>
              <w:widowControl/>
              <w:tabs>
                <w:tab w:val="left" w:pos="402"/>
              </w:tabs>
              <w:ind w:left="420"/>
              <w:rPr>
                <w:kern w:val="0"/>
                <w:szCs w:val="21"/>
              </w:rPr>
            </w:pPr>
          </w:p>
        </w:tc>
        <w:tc>
          <w:tcPr>
            <w:tcW w:w="1244"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5524" w:type="dxa"/>
            <w:gridSpan w:val="2"/>
            <w:vAlign w:val="center"/>
          </w:tcPr>
          <w:p>
            <w:pPr>
              <w:widowControl/>
              <w:jc w:val="left"/>
              <w:rPr>
                <w:kern w:val="0"/>
                <w:szCs w:val="21"/>
              </w:rPr>
            </w:pPr>
          </w:p>
        </w:tc>
        <w:tc>
          <w:tcPr>
            <w:tcW w:w="124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5524" w:type="dxa"/>
            <w:gridSpan w:val="2"/>
            <w:vAlign w:val="center"/>
          </w:tcPr>
          <w:p>
            <w:pPr>
              <w:widowControl/>
              <w:jc w:val="left"/>
              <w:rPr>
                <w:rFonts w:ascii="宋体" w:hAnsi="宋体"/>
                <w:szCs w:val="21"/>
              </w:rPr>
            </w:pPr>
          </w:p>
        </w:tc>
        <w:tc>
          <w:tcPr>
            <w:tcW w:w="124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rPr>
            </w:pPr>
          </w:p>
        </w:tc>
        <w:tc>
          <w:tcPr>
            <w:tcW w:w="5524" w:type="dxa"/>
            <w:gridSpan w:val="2"/>
          </w:tcPr>
          <w:p>
            <w:pPr>
              <w:widowControl/>
              <w:jc w:val="left"/>
              <w:rPr>
                <w:kern w:val="0"/>
                <w:szCs w:val="21"/>
              </w:rPr>
            </w:pPr>
          </w:p>
        </w:tc>
        <w:tc>
          <w:tcPr>
            <w:tcW w:w="124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rPr>
            </w:pPr>
            <w:r>
              <w:rPr>
                <w:rFonts w:hint="eastAsia"/>
                <w:kern w:val="0"/>
                <w:szCs w:val="21"/>
              </w:rPr>
              <w:t>5</w:t>
            </w:r>
          </w:p>
        </w:tc>
        <w:tc>
          <w:tcPr>
            <w:tcW w:w="1211" w:type="dxa"/>
            <w:vMerge w:val="restart"/>
            <w:vAlign w:val="center"/>
          </w:tcPr>
          <w:p>
            <w:pPr>
              <w:jc w:val="center"/>
              <w:rPr>
                <w:kern w:val="0"/>
                <w:szCs w:val="21"/>
              </w:rPr>
            </w:pPr>
          </w:p>
        </w:tc>
        <w:tc>
          <w:tcPr>
            <w:tcW w:w="1840" w:type="dxa"/>
            <w:vAlign w:val="center"/>
          </w:tcPr>
          <w:p>
            <w:pPr>
              <w:jc w:val="center"/>
              <w:rPr>
                <w:kern w:val="0"/>
                <w:szCs w:val="21"/>
              </w:rPr>
            </w:pPr>
          </w:p>
        </w:tc>
        <w:tc>
          <w:tcPr>
            <w:tcW w:w="3684" w:type="dxa"/>
          </w:tcPr>
          <w:p>
            <w:pPr>
              <w:widowControl/>
              <w:jc w:val="left"/>
              <w:rPr>
                <w:kern w:val="0"/>
                <w:szCs w:val="21"/>
              </w:rPr>
            </w:pPr>
          </w:p>
        </w:tc>
        <w:tc>
          <w:tcPr>
            <w:tcW w:w="124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rPr>
            </w:pPr>
          </w:p>
        </w:tc>
        <w:tc>
          <w:tcPr>
            <w:tcW w:w="1211" w:type="dxa"/>
            <w:vMerge w:val="continue"/>
            <w:vAlign w:val="center"/>
          </w:tcPr>
          <w:p>
            <w:pPr>
              <w:jc w:val="center"/>
              <w:rPr>
                <w:kern w:val="0"/>
                <w:szCs w:val="21"/>
              </w:rPr>
            </w:pPr>
          </w:p>
        </w:tc>
        <w:tc>
          <w:tcPr>
            <w:tcW w:w="1840" w:type="dxa"/>
            <w:vAlign w:val="center"/>
          </w:tcPr>
          <w:p>
            <w:pPr>
              <w:widowControl/>
              <w:jc w:val="center"/>
              <w:rPr>
                <w:kern w:val="0"/>
                <w:szCs w:val="21"/>
              </w:rPr>
            </w:pPr>
          </w:p>
        </w:tc>
        <w:tc>
          <w:tcPr>
            <w:tcW w:w="3684" w:type="dxa"/>
          </w:tcPr>
          <w:p>
            <w:pPr>
              <w:widowControl/>
              <w:jc w:val="left"/>
              <w:rPr>
                <w:kern w:val="0"/>
                <w:szCs w:val="21"/>
              </w:rPr>
            </w:pPr>
          </w:p>
        </w:tc>
        <w:tc>
          <w:tcPr>
            <w:tcW w:w="124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rPr>
            </w:pPr>
            <w:r>
              <w:rPr>
                <w:rFonts w:hint="eastAsia"/>
                <w:kern w:val="0"/>
                <w:szCs w:val="21"/>
              </w:rPr>
              <w:t>6</w:t>
            </w:r>
          </w:p>
        </w:tc>
        <w:tc>
          <w:tcPr>
            <w:tcW w:w="1211" w:type="dxa"/>
            <w:vMerge w:val="restart"/>
            <w:vAlign w:val="center"/>
          </w:tcPr>
          <w:p>
            <w:pPr>
              <w:jc w:val="center"/>
              <w:rPr>
                <w:kern w:val="0"/>
                <w:szCs w:val="21"/>
              </w:rPr>
            </w:pPr>
          </w:p>
        </w:tc>
        <w:tc>
          <w:tcPr>
            <w:tcW w:w="5524" w:type="dxa"/>
            <w:gridSpan w:val="2"/>
            <w:vAlign w:val="center"/>
          </w:tcPr>
          <w:p>
            <w:pPr>
              <w:widowControl/>
              <w:rPr>
                <w:rFonts w:eastAsia="仿宋_GB2312"/>
                <w:b/>
                <w:bCs/>
                <w:kern w:val="0"/>
                <w:sz w:val="24"/>
              </w:rPr>
            </w:pPr>
          </w:p>
        </w:tc>
        <w:tc>
          <w:tcPr>
            <w:tcW w:w="1244"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rPr>
            </w:pPr>
          </w:p>
        </w:tc>
        <w:tc>
          <w:tcPr>
            <w:tcW w:w="1211" w:type="dxa"/>
            <w:vMerge w:val="continue"/>
            <w:vAlign w:val="center"/>
          </w:tcPr>
          <w:p>
            <w:pPr>
              <w:jc w:val="center"/>
              <w:rPr>
                <w:kern w:val="0"/>
                <w:szCs w:val="21"/>
              </w:rPr>
            </w:pPr>
          </w:p>
        </w:tc>
        <w:tc>
          <w:tcPr>
            <w:tcW w:w="5524" w:type="dxa"/>
            <w:gridSpan w:val="2"/>
            <w:vAlign w:val="center"/>
          </w:tcPr>
          <w:p/>
        </w:tc>
        <w:tc>
          <w:tcPr>
            <w:tcW w:w="1244" w:type="dxa"/>
          </w:tcPr>
          <w:p/>
        </w:tc>
      </w:tr>
    </w:tbl>
    <w:p>
      <w:pPr>
        <w:pStyle w:val="6"/>
      </w:pPr>
    </w:p>
    <w:bookmarkEnd w:id="73"/>
    <w:bookmarkEnd w:id="74"/>
    <w:bookmarkEnd w:id="75"/>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8"/>
          <w:rFonts w:hAnsi="宋体"/>
          <w:b w:val="0"/>
          <w:bCs w:val="0"/>
          <w:sz w:val="24"/>
          <w:szCs w:val="24"/>
        </w:rPr>
      </w:pPr>
      <w:bookmarkStart w:id="89" w:name="_Toc161767428"/>
      <w:bookmarkStart w:id="90" w:name="_Toc135999006"/>
      <w:bookmarkStart w:id="91" w:name="_Toc26260033"/>
      <w:bookmarkStart w:id="92" w:name="_Toc69378663"/>
      <w:bookmarkStart w:id="93" w:name="_Toc472689688"/>
      <w:bookmarkStart w:id="94" w:name="_Toc529538377"/>
      <w:bookmarkStart w:id="95" w:name="_Toc438052120"/>
      <w:r>
        <w:rPr>
          <w:rStyle w:val="108"/>
          <w:rFonts w:hint="eastAsia" w:hAnsi="宋体"/>
          <w:b w:val="0"/>
          <w:bCs w:val="0"/>
          <w:sz w:val="24"/>
          <w:szCs w:val="24"/>
        </w:rPr>
        <w:t>附件</w:t>
      </w:r>
      <w:r>
        <w:rPr>
          <w:rStyle w:val="108"/>
          <w:rFonts w:hAnsi="宋体"/>
          <w:b w:val="0"/>
          <w:bCs w:val="0"/>
          <w:sz w:val="24"/>
          <w:szCs w:val="24"/>
        </w:rPr>
        <w:t>1</w:t>
      </w:r>
      <w:r>
        <w:rPr>
          <w:rStyle w:val="108"/>
          <w:rFonts w:hint="eastAsia" w:hAnsi="宋体"/>
          <w:b w:val="0"/>
          <w:bCs w:val="0"/>
          <w:sz w:val="24"/>
          <w:szCs w:val="24"/>
        </w:rPr>
        <w:t>：</w:t>
      </w:r>
      <w:bookmarkEnd w:id="89"/>
      <w:bookmarkEnd w:id="90"/>
      <w:r>
        <w:rPr>
          <w:rStyle w:val="108"/>
          <w:rFonts w:hint="eastAsia" w:hAnsi="宋体"/>
          <w:b w:val="0"/>
          <w:bCs w:val="0"/>
          <w:sz w:val="24"/>
          <w:szCs w:val="24"/>
        </w:rPr>
        <w:t>响应函</w:t>
      </w:r>
      <w:bookmarkEnd w:id="91"/>
      <w:bookmarkEnd w:id="92"/>
    </w:p>
    <w:p>
      <w:pPr>
        <w:snapToGrid w:val="0"/>
        <w:spacing w:before="312" w:beforeLines="100" w:after="312" w:afterLines="100"/>
        <w:ind w:left="210" w:leftChars="100" w:right="210" w:rightChars="100" w:firstLine="643" w:firstLineChars="200"/>
        <w:jc w:val="center"/>
        <w:rPr>
          <w:rStyle w:val="108"/>
          <w:rFonts w:ascii="宋体" w:hAnsi="宋体"/>
        </w:rPr>
      </w:pPr>
      <w:r>
        <w:rPr>
          <w:rStyle w:val="108"/>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（3）供应商将按竞争性谈判文件的规定履行全部责任和义务。</w:t>
      </w:r>
    </w:p>
    <w:p>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rStyle w:val="108"/>
          <w:rFonts w:hAnsi="宋体"/>
          <w:b w:val="0"/>
          <w:bCs/>
          <w:sz w:val="24"/>
          <w:szCs w:val="24"/>
        </w:rPr>
      </w:pPr>
      <w:r>
        <w:rPr>
          <w:szCs w:val="24"/>
        </w:rPr>
        <w:br w:type="page"/>
      </w:r>
      <w:bookmarkStart w:id="96" w:name="_Toc26259740"/>
      <w:bookmarkStart w:id="97" w:name="_Toc69378664"/>
      <w:bookmarkStart w:id="98" w:name="_Toc26260034"/>
      <w:r>
        <w:rPr>
          <w:rStyle w:val="108"/>
          <w:rFonts w:hint="eastAsia" w:hAnsi="宋体"/>
          <w:b w:val="0"/>
          <w:bCs w:val="0"/>
          <w:sz w:val="24"/>
          <w:szCs w:val="24"/>
        </w:rPr>
        <w:t>附件</w:t>
      </w:r>
      <w:r>
        <w:rPr>
          <w:rStyle w:val="108"/>
          <w:rFonts w:hAnsi="宋体"/>
          <w:b w:val="0"/>
          <w:bCs w:val="0"/>
          <w:sz w:val="24"/>
          <w:szCs w:val="24"/>
        </w:rPr>
        <w:t>2</w:t>
      </w:r>
      <w:r>
        <w:rPr>
          <w:rStyle w:val="108"/>
          <w:rFonts w:hint="eastAsia" w:hAnsi="宋体"/>
          <w:b w:val="0"/>
          <w:bCs w:val="0"/>
          <w:sz w:val="24"/>
          <w:szCs w:val="24"/>
        </w:rPr>
        <w:t>：制造商的授权函和承诺函</w:t>
      </w:r>
      <w:r>
        <w:rPr>
          <w:rStyle w:val="108"/>
          <w:rFonts w:hAnsi="宋体"/>
          <w:b w:val="0"/>
          <w:bCs w:val="0"/>
          <w:sz w:val="24"/>
          <w:szCs w:val="24"/>
        </w:rPr>
        <w:br w:type="page"/>
      </w:r>
    </w:p>
    <w:p>
      <w:pPr>
        <w:pStyle w:val="4"/>
        <w:numPr>
          <w:ilvl w:val="0"/>
          <w:numId w:val="0"/>
        </w:numPr>
        <w:snapToGrid w:val="0"/>
        <w:spacing w:before="312" w:beforeLines="100" w:after="312" w:afterLines="100"/>
        <w:ind w:right="210" w:rightChars="100"/>
        <w:rPr>
          <w:rStyle w:val="82"/>
          <w:rFonts w:hAnsi="Times New Roman" w:eastAsia="宋体"/>
          <w:bCs w:val="0"/>
          <w:szCs w:val="24"/>
        </w:rPr>
      </w:pPr>
      <w:r>
        <w:rPr>
          <w:rStyle w:val="108"/>
          <w:rFonts w:hint="eastAsia" w:hAnsi="宋体"/>
          <w:b w:val="0"/>
          <w:bCs w:val="0"/>
          <w:sz w:val="24"/>
          <w:szCs w:val="24"/>
        </w:rPr>
        <w:t>附件</w:t>
      </w:r>
      <w:r>
        <w:rPr>
          <w:rStyle w:val="108"/>
          <w:rFonts w:hAnsi="宋体"/>
          <w:b w:val="0"/>
          <w:bCs w:val="0"/>
          <w:sz w:val="24"/>
          <w:szCs w:val="24"/>
        </w:rPr>
        <w:t>3</w:t>
      </w:r>
      <w:r>
        <w:rPr>
          <w:rStyle w:val="108"/>
          <w:rFonts w:hint="eastAsia" w:hAnsi="宋体"/>
          <w:b w:val="0"/>
          <w:bCs w:val="0"/>
          <w:sz w:val="24"/>
          <w:szCs w:val="24"/>
        </w:rPr>
        <w:t>-1：报价表</w:t>
      </w:r>
      <w:r>
        <w:rPr>
          <w:rStyle w:val="108"/>
          <w:rFonts w:hAnsi="宋体"/>
          <w:b w:val="0"/>
          <w:bCs w:val="0"/>
          <w:sz w:val="24"/>
          <w:szCs w:val="24"/>
        </w:rPr>
        <w:t>(</w:t>
      </w:r>
      <w:r>
        <w:rPr>
          <w:rStyle w:val="108"/>
          <w:rFonts w:hint="eastAsia" w:hAnsi="宋体"/>
          <w:b w:val="0"/>
          <w:bCs w:val="0"/>
          <w:sz w:val="24"/>
          <w:szCs w:val="24"/>
        </w:rPr>
        <w:t>格式</w:t>
      </w:r>
      <w:r>
        <w:rPr>
          <w:rStyle w:val="108"/>
          <w:rFonts w:hAnsi="宋体"/>
          <w:b w:val="0"/>
          <w:bCs w:val="0"/>
          <w:sz w:val="24"/>
          <w:szCs w:val="24"/>
        </w:rPr>
        <w:t>)</w:t>
      </w:r>
      <w:bookmarkEnd w:id="96"/>
      <w:bookmarkEnd w:id="97"/>
      <w:bookmarkEnd w:id="98"/>
    </w:p>
    <w:p>
      <w:pPr>
        <w:spacing w:line="360" w:lineRule="auto"/>
      </w:pPr>
      <w:r>
        <w:t>项目名称：</w:t>
      </w:r>
      <w:r>
        <w:rPr>
          <w:rFonts w:hint="eastAsia"/>
        </w:rPr>
        <w:t>DRM+DTMB融合覆盖系统研发服务</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3402" w:type="dxa"/>
            <w:vAlign w:val="center"/>
          </w:tcPr>
          <w:p>
            <w:pPr>
              <w:jc w:val="center"/>
              <w:rPr>
                <w:rFonts w:ascii="宋体" w:hAnsi="宋体" w:cs="宋体"/>
                <w:b/>
                <w:szCs w:val="21"/>
              </w:rPr>
            </w:pPr>
            <w:r>
              <w:rPr>
                <w:rFonts w:hint="eastAsia" w:ascii="宋体" w:hAnsi="宋体" w:cs="宋体"/>
                <w:b/>
                <w:szCs w:val="21"/>
              </w:rPr>
              <w:t>含税单价（元）</w:t>
            </w:r>
          </w:p>
        </w:tc>
        <w:tc>
          <w:tcPr>
            <w:tcW w:w="1843"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hAnsi="黑体"/>
                <w:szCs w:val="21"/>
              </w:rPr>
              <w:t>DTMB前端集成开发</w:t>
            </w:r>
          </w:p>
        </w:tc>
        <w:tc>
          <w:tcPr>
            <w:tcW w:w="2410" w:type="dxa"/>
            <w:vAlign w:val="center"/>
          </w:tcPr>
          <w:p>
            <w:pPr>
              <w:jc w:val="center"/>
              <w:rPr>
                <w:sz w:val="18"/>
                <w:szCs w:val="18"/>
              </w:rPr>
            </w:pPr>
          </w:p>
        </w:tc>
        <w:tc>
          <w:tcPr>
            <w:tcW w:w="850" w:type="dxa"/>
            <w:vAlign w:val="center"/>
          </w:tcPr>
          <w:p>
            <w:pPr>
              <w:jc w:val="center"/>
              <w:rPr>
                <w:szCs w:val="21"/>
              </w:rPr>
            </w:pP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hAnsi="黑体"/>
                <w:szCs w:val="21"/>
              </w:rPr>
              <w:t>DTMB终端集成开发</w:t>
            </w:r>
          </w:p>
        </w:tc>
        <w:tc>
          <w:tcPr>
            <w:tcW w:w="2410" w:type="dxa"/>
            <w:vAlign w:val="center"/>
          </w:tcPr>
          <w:p>
            <w:pPr>
              <w:jc w:val="center"/>
              <w:rPr>
                <w:sz w:val="18"/>
                <w:szCs w:val="18"/>
              </w:rPr>
            </w:pPr>
          </w:p>
        </w:tc>
        <w:tc>
          <w:tcPr>
            <w:tcW w:w="850" w:type="dxa"/>
            <w:vAlign w:val="center"/>
          </w:tcPr>
          <w:p>
            <w:pPr>
              <w:jc w:val="center"/>
              <w:rPr>
                <w:szCs w:val="21"/>
              </w:rPr>
            </w:pP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p>
        </w:tc>
        <w:tc>
          <w:tcPr>
            <w:tcW w:w="2410" w:type="dxa"/>
            <w:vAlign w:val="center"/>
          </w:tcPr>
          <w:p>
            <w:pPr>
              <w:jc w:val="center"/>
              <w:rPr>
                <w:sz w:val="18"/>
                <w:szCs w:val="18"/>
              </w:rPr>
            </w:pPr>
          </w:p>
        </w:tc>
        <w:tc>
          <w:tcPr>
            <w:tcW w:w="850" w:type="dxa"/>
            <w:vAlign w:val="center"/>
          </w:tcPr>
          <w:p>
            <w:pPr>
              <w:jc w:val="center"/>
              <w:rPr>
                <w:szCs w:val="21"/>
              </w:rPr>
            </w:pP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p>
        </w:tc>
        <w:tc>
          <w:tcPr>
            <w:tcW w:w="2410" w:type="dxa"/>
            <w:vAlign w:val="center"/>
          </w:tcPr>
          <w:p>
            <w:pPr>
              <w:jc w:val="center"/>
              <w:rPr>
                <w:sz w:val="18"/>
                <w:szCs w:val="18"/>
              </w:rPr>
            </w:pPr>
          </w:p>
        </w:tc>
        <w:tc>
          <w:tcPr>
            <w:tcW w:w="850" w:type="dxa"/>
            <w:vAlign w:val="center"/>
          </w:tcPr>
          <w:p>
            <w:pPr>
              <w:jc w:val="center"/>
              <w:rPr>
                <w:szCs w:val="21"/>
              </w:rPr>
            </w:pP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开发周期</w:t>
            </w:r>
          </w:p>
        </w:tc>
        <w:tc>
          <w:tcPr>
            <w:tcW w:w="8505" w:type="dxa"/>
            <w:gridSpan w:val="4"/>
            <w:vAlign w:val="center"/>
          </w:tcPr>
          <w:p>
            <w:pPr>
              <w:spacing w:line="360" w:lineRule="auto"/>
              <w:rPr>
                <w:rFonts w:ascii="宋体" w:hAnsi="宋体"/>
                <w:szCs w:val="21"/>
              </w:rPr>
            </w:pPr>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hint="eastAsia" w:ascii="宋体" w:hAnsi="宋体"/>
                <w:szCs w:val="21"/>
              </w:rPr>
              <w:t>60天</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8505" w:type="dxa"/>
            <w:gridSpan w:val="4"/>
            <w:vAlign w:val="center"/>
          </w:tcPr>
          <w:p>
            <w:pPr>
              <w:spacing w:line="360" w:lineRule="auto"/>
              <w:rPr>
                <w:rFonts w:ascii="宋体" w:hAnsi="宋体"/>
                <w:szCs w:val="21"/>
              </w:rPr>
            </w:pPr>
            <w:r>
              <w:rPr>
                <w:rFonts w:hint="eastAsia" w:ascii="宋体" w:hAnsi="宋体" w:cs="宋体"/>
              </w:rPr>
              <w:t>终验通过后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8505" w:type="dxa"/>
            <w:gridSpan w:val="4"/>
            <w:vAlign w:val="center"/>
          </w:tcPr>
          <w:p>
            <w:pPr>
              <w:spacing w:line="360" w:lineRule="auto"/>
              <w:rPr>
                <w:rFonts w:ascii="宋体" w:hAnsi="宋体" w:cs="宋体"/>
              </w:rPr>
            </w:pPr>
            <w:r>
              <w:rPr>
                <w:rFonts w:hint="eastAsia"/>
              </w:rPr>
              <w:t>竞争性谈判文件</w:t>
            </w:r>
            <w: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rPr>
            </w:pPr>
            <w:r>
              <w:t>包修期满后的服务价格</w:t>
            </w:r>
          </w:p>
        </w:tc>
        <w:tc>
          <w:tcPr>
            <w:tcW w:w="8505" w:type="dxa"/>
            <w:gridSpan w:val="4"/>
            <w:vAlign w:val="center"/>
          </w:tcPr>
          <w:p>
            <w:pPr>
              <w:spacing w:line="400" w:lineRule="exact"/>
            </w:pPr>
            <w:r>
              <w:t>维保价格：</w:t>
            </w:r>
            <w:r>
              <w:rPr>
                <w:u w:val="single"/>
              </w:rPr>
              <w:t xml:space="preserve">    </w:t>
            </w:r>
            <w:r>
              <w:t>元/年（</w:t>
            </w:r>
            <w:r>
              <w:rPr>
                <w:szCs w:val="21"/>
              </w:rPr>
              <w:t>年维保费用不得高于合同价格的</w:t>
            </w:r>
            <w:r>
              <w:rPr>
                <w:rFonts w:hint="eastAsia"/>
                <w:szCs w:val="21"/>
              </w:rPr>
              <w:t>5</w:t>
            </w:r>
            <w:r>
              <w:rPr>
                <w:szCs w:val="21"/>
              </w:rPr>
              <w:t>%</w:t>
            </w:r>
            <w:r>
              <w:t>）</w:t>
            </w:r>
          </w:p>
          <w:p>
            <w:pPr>
              <w:spacing w:line="400" w:lineRule="exact"/>
              <w:rPr>
                <w:rFonts w:ascii="宋体" w:hAnsi="宋体" w:cs="宋体"/>
              </w:rPr>
            </w:pPr>
            <w:r>
              <w:t>包含内容：</w:t>
            </w:r>
            <w:r>
              <w:rPr>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8505" w:type="dxa"/>
            <w:gridSpan w:val="4"/>
          </w:tcPr>
          <w:p>
            <w:pPr>
              <w:rPr>
                <w:rFonts w:ascii="宋体" w:hAnsi="宋体" w:cs="宋体"/>
              </w:rPr>
            </w:pPr>
          </w:p>
        </w:tc>
      </w:tr>
    </w:tbl>
    <w:p/>
    <w:p>
      <w:pPr>
        <w:pStyle w:val="2"/>
      </w:pPr>
    </w:p>
    <w:p/>
    <w:p/>
    <w:p>
      <w:pPr>
        <w:snapToGrid w:val="0"/>
        <w:spacing w:line="360" w:lineRule="auto"/>
        <w:rPr>
          <w:szCs w:val="21"/>
        </w:rPr>
      </w:pPr>
      <w:r>
        <w:rPr>
          <w:rFonts w:hint="eastAsia"/>
        </w:rPr>
        <w:t>注</w:t>
      </w:r>
      <w:r>
        <w:t>：1.</w:t>
      </w:r>
      <w:r>
        <w:rPr>
          <w:rFonts w:hint="eastAsia"/>
          <w:szCs w:val="21"/>
        </w:rPr>
        <w:t>供应商</w:t>
      </w:r>
      <w:r>
        <w:rPr>
          <w:szCs w:val="21"/>
        </w:rPr>
        <w:t>须按照</w:t>
      </w:r>
      <w:r>
        <w:rPr>
          <w:rFonts w:hint="eastAsia"/>
          <w:szCs w:val="21"/>
        </w:rPr>
        <w:t>竞争性谈判文件</w:t>
      </w:r>
      <w:r>
        <w:rPr>
          <w:szCs w:val="21"/>
        </w:rPr>
        <w:t>要求，提供货到用户指定现场（到楼层）并提供全部服务的含税</w:t>
      </w:r>
      <w:r>
        <w:rPr>
          <w:rFonts w:hint="eastAsia"/>
          <w:szCs w:val="21"/>
        </w:rPr>
        <w:t>价。</w:t>
      </w:r>
    </w:p>
    <w:p>
      <w:pPr>
        <w:snapToGrid w:val="0"/>
        <w:spacing w:line="360" w:lineRule="auto"/>
        <w:rPr>
          <w:szCs w:val="21"/>
        </w:rPr>
      </w:pPr>
      <w:r>
        <w:rPr>
          <w:rFonts w:hint="eastAsia"/>
          <w:szCs w:val="21"/>
        </w:rPr>
        <w:t>2.报价时请仔细阅读竞争性谈判文件《竞争性谈判须知》中关于报价的要求。</w:t>
      </w:r>
    </w:p>
    <w:p>
      <w:pPr>
        <w:snapToGrid w:val="0"/>
        <w:spacing w:line="360" w:lineRule="auto"/>
        <w:rPr>
          <w:szCs w:val="21"/>
        </w:rPr>
      </w:pPr>
      <w:r>
        <w:rPr>
          <w:rFonts w:hint="eastAsia"/>
          <w:szCs w:val="21"/>
        </w:rPr>
        <w:t>3.供应商应按照竞争性谈判文件中要求提供的服务内容报价。未在表中明确列出的服务项，采购人将视作供应商免费提供。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rStyle w:val="82"/>
          <w:rFonts w:hAnsi="Times New Roman" w:eastAsia="宋体"/>
          <w:bCs w:val="0"/>
          <w:szCs w:val="24"/>
        </w:rPr>
      </w:pPr>
      <w:r>
        <w:rPr>
          <w:rStyle w:val="108"/>
          <w:rFonts w:hint="eastAsia" w:hAnsi="宋体"/>
          <w:b w:val="0"/>
          <w:bCs w:val="0"/>
          <w:sz w:val="24"/>
          <w:szCs w:val="24"/>
        </w:rPr>
        <w:t>附件</w:t>
      </w:r>
      <w:r>
        <w:rPr>
          <w:rStyle w:val="108"/>
          <w:rFonts w:hAnsi="宋体"/>
          <w:b w:val="0"/>
          <w:bCs w:val="0"/>
          <w:sz w:val="24"/>
          <w:szCs w:val="24"/>
        </w:rPr>
        <w:t>3-2</w:t>
      </w:r>
      <w:r>
        <w:rPr>
          <w:rStyle w:val="108"/>
          <w:rFonts w:hint="eastAsia" w:hAnsi="宋体"/>
          <w:b w:val="0"/>
          <w:bCs w:val="0"/>
          <w:sz w:val="24"/>
          <w:szCs w:val="24"/>
        </w:rPr>
        <w:t>：扩容报价表</w:t>
      </w:r>
      <w:r>
        <w:rPr>
          <w:rStyle w:val="108"/>
          <w:rFonts w:hAnsi="宋体"/>
          <w:b w:val="0"/>
          <w:bCs w:val="0"/>
          <w:sz w:val="24"/>
          <w:szCs w:val="24"/>
        </w:rPr>
        <w:t>(</w:t>
      </w:r>
      <w:r>
        <w:rPr>
          <w:rStyle w:val="108"/>
          <w:rFonts w:hint="eastAsia" w:hAnsi="宋体"/>
          <w:b w:val="0"/>
          <w:bCs w:val="0"/>
          <w:sz w:val="24"/>
          <w:szCs w:val="24"/>
        </w:rPr>
        <w:t>格式</w:t>
      </w:r>
      <w:r>
        <w:rPr>
          <w:rStyle w:val="108"/>
          <w:rFonts w:hAnsi="宋体"/>
          <w:b w:val="0"/>
          <w:bCs w:val="0"/>
          <w:sz w:val="24"/>
          <w:szCs w:val="24"/>
        </w:rPr>
        <w:t>)</w:t>
      </w:r>
    </w:p>
    <w:p>
      <w:pPr>
        <w:spacing w:line="360" w:lineRule="auto"/>
      </w:pPr>
      <w:r>
        <w:t>项目名称：</w:t>
      </w:r>
      <w:r>
        <w:rPr>
          <w:rFonts w:hint="eastAsia"/>
        </w:rPr>
        <w:t>DRM+DTMB融合覆盖系统研发服务</w:t>
      </w:r>
    </w:p>
    <w:tbl>
      <w:tblPr>
        <w:tblStyle w:val="53"/>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350"/>
        <w:gridCol w:w="1594"/>
        <w:gridCol w:w="889"/>
        <w:gridCol w:w="1419"/>
        <w:gridCol w:w="107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jc w:val="center"/>
              <w:rPr>
                <w:rFonts w:ascii="宋体" w:hAnsi="宋体"/>
                <w:szCs w:val="21"/>
              </w:rPr>
            </w:pPr>
            <w:r>
              <w:rPr>
                <w:rFonts w:hint="eastAsia" w:ascii="宋体" w:hAnsi="宋体"/>
                <w:szCs w:val="21"/>
              </w:rPr>
              <w:t>序号</w:t>
            </w:r>
          </w:p>
        </w:tc>
        <w:tc>
          <w:tcPr>
            <w:tcW w:w="1350" w:type="dxa"/>
            <w:vAlign w:val="center"/>
          </w:tcPr>
          <w:p>
            <w:pPr>
              <w:spacing w:after="120" w:line="0" w:lineRule="atLeast"/>
              <w:jc w:val="center"/>
              <w:rPr>
                <w:rFonts w:ascii="宋体" w:hAnsi="宋体"/>
                <w:szCs w:val="21"/>
              </w:rPr>
            </w:pPr>
            <w:r>
              <w:rPr>
                <w:rFonts w:hint="eastAsia" w:ascii="宋体" w:hAnsi="宋体"/>
                <w:szCs w:val="21"/>
              </w:rPr>
              <w:t>软件模块</w:t>
            </w:r>
          </w:p>
        </w:tc>
        <w:tc>
          <w:tcPr>
            <w:tcW w:w="1594" w:type="dxa"/>
            <w:vAlign w:val="center"/>
          </w:tcPr>
          <w:p>
            <w:pPr>
              <w:spacing w:after="120" w:line="0" w:lineRule="atLeast"/>
              <w:jc w:val="center"/>
              <w:rPr>
                <w:rFonts w:ascii="宋体" w:hAnsi="宋体"/>
                <w:szCs w:val="21"/>
              </w:rPr>
            </w:pPr>
            <w:r>
              <w:rPr>
                <w:rFonts w:hint="eastAsia" w:ascii="宋体" w:hAnsi="宋体"/>
                <w:szCs w:val="21"/>
              </w:rPr>
              <w:t>内容</w:t>
            </w:r>
          </w:p>
        </w:tc>
        <w:tc>
          <w:tcPr>
            <w:tcW w:w="889" w:type="dxa"/>
            <w:vAlign w:val="center"/>
          </w:tcPr>
          <w:p>
            <w:pPr>
              <w:spacing w:after="120" w:line="0" w:lineRule="atLeast"/>
              <w:jc w:val="center"/>
              <w:rPr>
                <w:rFonts w:ascii="宋体" w:hAnsi="宋体"/>
                <w:szCs w:val="21"/>
              </w:rPr>
            </w:pPr>
            <w:r>
              <w:rPr>
                <w:rFonts w:hint="eastAsia" w:ascii="宋体" w:hAnsi="宋体"/>
                <w:szCs w:val="21"/>
              </w:rPr>
              <w:t>数量（月）</w:t>
            </w:r>
          </w:p>
        </w:tc>
        <w:tc>
          <w:tcPr>
            <w:tcW w:w="1419" w:type="dxa"/>
            <w:vAlign w:val="center"/>
          </w:tcPr>
          <w:p>
            <w:pPr>
              <w:spacing w:after="120" w:line="0" w:lineRule="atLeast"/>
              <w:jc w:val="center"/>
              <w:rPr>
                <w:rFonts w:ascii="宋体" w:hAnsi="宋体"/>
                <w:szCs w:val="21"/>
              </w:rPr>
            </w:pPr>
            <w:r>
              <w:rPr>
                <w:rFonts w:hint="eastAsia" w:ascii="宋体" w:hAnsi="宋体"/>
                <w:szCs w:val="21"/>
              </w:rPr>
              <w:t>含税单价</w:t>
            </w:r>
          </w:p>
          <w:p>
            <w:pPr>
              <w:spacing w:after="120" w:line="0" w:lineRule="atLeast"/>
              <w:jc w:val="center"/>
              <w:rPr>
                <w:rFonts w:ascii="宋体" w:hAnsi="宋体"/>
                <w:szCs w:val="21"/>
              </w:rPr>
            </w:pPr>
            <w:r>
              <w:rPr>
                <w:rFonts w:hint="eastAsia" w:ascii="宋体" w:hAnsi="宋体"/>
                <w:szCs w:val="21"/>
              </w:rPr>
              <w:t>（元/人月）</w:t>
            </w:r>
          </w:p>
        </w:tc>
        <w:tc>
          <w:tcPr>
            <w:tcW w:w="1071" w:type="dxa"/>
            <w:vAlign w:val="center"/>
          </w:tcPr>
          <w:p>
            <w:pPr>
              <w:spacing w:after="120" w:line="0" w:lineRule="atLeast"/>
              <w:jc w:val="center"/>
              <w:rPr>
                <w:rFonts w:ascii="宋体" w:hAnsi="宋体"/>
                <w:szCs w:val="21"/>
              </w:rPr>
            </w:pPr>
            <w:r>
              <w:rPr>
                <w:rFonts w:hint="eastAsia" w:ascii="宋体" w:hAnsi="宋体"/>
                <w:szCs w:val="21"/>
              </w:rPr>
              <w:t>小计</w:t>
            </w:r>
          </w:p>
        </w:tc>
        <w:tc>
          <w:tcPr>
            <w:tcW w:w="1125" w:type="dxa"/>
            <w:vAlign w:val="center"/>
          </w:tcPr>
          <w:p>
            <w:pPr>
              <w:spacing w:after="120"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1</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2</w:t>
            </w:r>
          </w:p>
        </w:tc>
        <w:tc>
          <w:tcPr>
            <w:tcW w:w="1350" w:type="dxa"/>
          </w:tcPr>
          <w:p>
            <w:pPr>
              <w:spacing w:after="120" w:line="0" w:lineRule="atLeast"/>
              <w:ind w:firstLine="420"/>
              <w:rPr>
                <w:rFonts w:ascii="宋体" w:hAnsi="宋体" w:cs="宋体"/>
                <w:kern w:val="0"/>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3</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4</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5</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6</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7</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8</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9</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10</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rPr>
                <w:rFonts w:ascii="宋体" w:hAnsi="宋体"/>
                <w:szCs w:val="21"/>
              </w:rPr>
            </w:pPr>
          </w:p>
        </w:tc>
        <w:tc>
          <w:tcPr>
            <w:tcW w:w="1350" w:type="dxa"/>
          </w:tcPr>
          <w:p>
            <w:pPr>
              <w:spacing w:after="120" w:line="0" w:lineRule="atLeast"/>
              <w:ind w:firstLine="420"/>
              <w:jc w:val="center"/>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bCs/>
                <w:szCs w:val="21"/>
              </w:rPr>
              <w:t>合计</w:t>
            </w:r>
          </w:p>
        </w:tc>
        <w:tc>
          <w:tcPr>
            <w:tcW w:w="1350" w:type="dxa"/>
          </w:tcPr>
          <w:p>
            <w:pPr>
              <w:spacing w:after="120" w:line="0" w:lineRule="atLeast"/>
              <w:ind w:firstLine="420"/>
              <w:rPr>
                <w:rFonts w:ascii="宋体" w:hAnsi="宋体"/>
                <w:szCs w:val="21"/>
              </w:rPr>
            </w:pPr>
          </w:p>
        </w:tc>
        <w:tc>
          <w:tcPr>
            <w:tcW w:w="1594" w:type="dxa"/>
          </w:tcPr>
          <w:p>
            <w:pPr>
              <w:ind w:firstLine="420"/>
              <w:rPr>
                <w:rFonts w:ascii="宋体" w:hAnsi="宋体"/>
                <w:szCs w:val="21"/>
              </w:rPr>
            </w:pPr>
          </w:p>
        </w:tc>
        <w:tc>
          <w:tcPr>
            <w:tcW w:w="889" w:type="dxa"/>
            <w:vAlign w:val="center"/>
          </w:tcPr>
          <w:p>
            <w:pPr>
              <w:ind w:firstLine="420"/>
              <w:rPr>
                <w:rFonts w:ascii="宋体" w:hAnsi="宋体"/>
                <w:szCs w:val="21"/>
              </w:rPr>
            </w:pPr>
          </w:p>
        </w:tc>
        <w:tc>
          <w:tcPr>
            <w:tcW w:w="1419" w:type="dxa"/>
          </w:tcPr>
          <w:p>
            <w:pPr>
              <w:ind w:firstLine="420"/>
              <w:jc w:val="right"/>
              <w:rPr>
                <w:rFonts w:ascii="宋体" w:hAnsi="宋体"/>
                <w:szCs w:val="21"/>
              </w:rPr>
            </w:pPr>
          </w:p>
        </w:tc>
        <w:tc>
          <w:tcPr>
            <w:tcW w:w="1071" w:type="dxa"/>
            <w:vAlign w:val="center"/>
          </w:tcPr>
          <w:p>
            <w:pPr>
              <w:ind w:firstLine="420"/>
              <w:jc w:val="right"/>
              <w:rPr>
                <w:rFonts w:ascii="宋体" w:hAnsi="宋体"/>
                <w:szCs w:val="21"/>
              </w:rPr>
            </w:pPr>
          </w:p>
        </w:tc>
        <w:tc>
          <w:tcPr>
            <w:tcW w:w="1125" w:type="dxa"/>
          </w:tcPr>
          <w:p>
            <w:pPr>
              <w:ind w:firstLine="420"/>
              <w:jc w:val="right"/>
              <w:rPr>
                <w:rFonts w:ascii="宋体" w:hAnsi="宋体"/>
                <w:szCs w:val="21"/>
              </w:rPr>
            </w:pPr>
          </w:p>
        </w:tc>
      </w:tr>
    </w:tbl>
    <w:p/>
    <w:p>
      <w:pPr>
        <w:snapToGrid w:val="0"/>
        <w:spacing w:line="360" w:lineRule="auto"/>
      </w:pPr>
      <w:r>
        <w:rPr>
          <w:rFonts w:hint="eastAsia"/>
        </w:rPr>
        <w:t>注：1. 《扩容报价表》中的每种货物及/或服务均单独列表，货物须按照模块进行报价（必须细化到可单独替换的模块，如有License许可费用须单独列出）；服务须按照人力资源配置计划进行报价。未报分项价格或分项报价不符合要求的，将视为不合格响应。</w:t>
      </w:r>
    </w:p>
    <w:p>
      <w:pPr>
        <w:snapToGrid w:val="0"/>
        <w:spacing w:line="360" w:lineRule="auto"/>
      </w:pPr>
      <w:r>
        <w:rPr>
          <w:rFonts w:hint="eastAsia"/>
        </w:rPr>
        <w:t>2. 供应商须按照竞争性磋商文件要求，提供货到用户指定现场（到楼层）并提供全部服务的含税价。</w:t>
      </w:r>
    </w:p>
    <w:p>
      <w:pPr>
        <w:snapToGrid w:val="0"/>
        <w:spacing w:line="360" w:lineRule="auto"/>
      </w:pPr>
      <w:r>
        <w:rPr>
          <w:rFonts w:hint="eastAsia"/>
        </w:rPr>
        <w:t>3.同一部件在不同配置中的单价必须相同。</w:t>
      </w:r>
    </w:p>
    <w:p>
      <w:pPr>
        <w:snapToGrid w:val="0"/>
        <w:spacing w:line="360" w:lineRule="auto"/>
      </w:pPr>
      <w:r>
        <w:t>4.</w:t>
      </w:r>
      <w:r>
        <w:rPr>
          <w:rFonts w:hint="eastAsia"/>
        </w:rPr>
        <w:t>扩容报价表中包含但不限于以上货物，同类型货物规格不同分别列出。具备订货号的设备在扩容报价表中均须列出（如模块），如未列出视为免费提供。</w:t>
      </w:r>
    </w:p>
    <w:p>
      <w:pPr>
        <w:snapToGrid w:val="0"/>
        <w:spacing w:line="360" w:lineRule="auto"/>
      </w:pPr>
      <w:r>
        <w:t>5</w:t>
      </w:r>
      <w:r>
        <w:rPr>
          <w:rFonts w:hint="eastAsia"/>
        </w:rPr>
        <w:t>.除有特殊说明外，以上“税”均指增值税，“元”均指元人民币。</w:t>
      </w:r>
    </w:p>
    <w:p>
      <w:pPr>
        <w:snapToGrid w:val="0"/>
        <w:spacing w:line="360" w:lineRule="auto"/>
      </w:pPr>
      <w:r>
        <w:t>6</w:t>
      </w:r>
      <w:r>
        <w:rPr>
          <w:rFonts w:hint="eastAsia"/>
        </w:rPr>
        <w:t>.供应商应保证货物配置的完整性（包括必需的配件、线缆等），满足采购人正常使用的需要。实际使用发现缺漏项将由供应商免费补齐。</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99" w:name="_Toc69378666"/>
      <w:bookmarkStart w:id="100" w:name="_Toc161767431"/>
      <w:bookmarkStart w:id="101" w:name="_Toc26259742"/>
      <w:bookmarkStart w:id="102" w:name="_Toc26260036"/>
      <w:bookmarkStart w:id="103" w:name="_Toc135999010"/>
      <w:bookmarkStart w:id="104" w:name="_Toc69378665"/>
      <w:bookmarkStart w:id="105" w:name="_Toc26259741"/>
      <w:bookmarkStart w:id="106" w:name="_Toc26260035"/>
      <w:r>
        <w:rPr>
          <w:rStyle w:val="108"/>
          <w:rFonts w:hint="eastAsia" w:hAnsi="宋体"/>
          <w:b w:val="0"/>
          <w:bCs w:val="0"/>
          <w:sz w:val="24"/>
          <w:szCs w:val="24"/>
        </w:rPr>
        <w:t>附件</w:t>
      </w:r>
      <w:r>
        <w:rPr>
          <w:rStyle w:val="108"/>
          <w:rFonts w:hAnsi="宋体"/>
          <w:b w:val="0"/>
          <w:bCs w:val="0"/>
          <w:sz w:val="24"/>
          <w:szCs w:val="24"/>
        </w:rPr>
        <w:t>4</w:t>
      </w:r>
      <w:r>
        <w:rPr>
          <w:rStyle w:val="108"/>
          <w:rFonts w:hint="eastAsia" w:hAnsi="宋体"/>
          <w:b w:val="0"/>
          <w:bCs w:val="0"/>
          <w:sz w:val="24"/>
          <w:szCs w:val="24"/>
        </w:rPr>
        <w:t>：商务条款偏离表</w:t>
      </w:r>
      <w:bookmarkEnd w:id="99"/>
      <w:bookmarkEnd w:id="100"/>
      <w:bookmarkEnd w:id="101"/>
      <w:bookmarkEnd w:id="102"/>
      <w:bookmarkEnd w:id="103"/>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r>
        <w:rPr>
          <w:rFonts w:ascii="宋体" w:hAnsi="宋体"/>
          <w:szCs w:val="21"/>
        </w:rPr>
        <w:t xml:space="preserve">          </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pPr>
        <w:widowControl/>
        <w:jc w:val="left"/>
        <w:rPr>
          <w:rStyle w:val="108"/>
          <w:rFonts w:hAnsi="宋体"/>
          <w:b w:val="0"/>
          <w:bCs w:val="0"/>
          <w:sz w:val="24"/>
          <w:szCs w:val="24"/>
        </w:rPr>
      </w:pPr>
      <w:r>
        <w:rPr>
          <w:rStyle w:val="108"/>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8"/>
          <w:rFonts w:hint="eastAsia" w:hAnsi="宋体"/>
          <w:b w:val="0"/>
          <w:bCs w:val="0"/>
          <w:sz w:val="24"/>
          <w:szCs w:val="24"/>
        </w:rPr>
        <w:t>附件</w:t>
      </w:r>
      <w:r>
        <w:rPr>
          <w:rStyle w:val="108"/>
          <w:rFonts w:hAnsi="宋体"/>
          <w:b w:val="0"/>
          <w:bCs w:val="0"/>
          <w:sz w:val="24"/>
          <w:szCs w:val="24"/>
        </w:rPr>
        <w:t>5</w:t>
      </w:r>
      <w:r>
        <w:rPr>
          <w:rStyle w:val="108"/>
          <w:rFonts w:hint="eastAsia" w:hAnsi="宋体"/>
          <w:b w:val="0"/>
          <w:bCs w:val="0"/>
          <w:sz w:val="24"/>
          <w:szCs w:val="24"/>
        </w:rPr>
        <w:t>：法定代表人身份证明及授权委托书</w:t>
      </w:r>
      <w:bookmarkEnd w:id="104"/>
      <w:bookmarkEnd w:id="105"/>
      <w:bookmarkEnd w:id="106"/>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6350" b="8890"/>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ESZR5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6350" b="8890"/>
                <wp:wrapNone/>
                <wp:docPr id="1" name="自选图形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lDgh9kA&#10;AAALAQAADwAAAAAAAAABACAAAAAiAAAAZHJzL2Rvd25yZXYueG1sUEsBAhQAFAAAAAgAh07iQIAi&#10;piBXAgAApAQAAA4AAAAAAAAAAQAgAAAAKAEAAGRycy9lMm9Eb2MueG1sUEsFBgAAAAAGAAYAWQEA&#10;APEFA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6350" b="8890"/>
                <wp:wrapNone/>
                <wp:docPr id="4" name="自选图形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自选图形 4"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MNyz2AAA&#10;AAoBAAAPAAAAAAAAAAEAIAAAACIAAABkcnMvZG93bnJldi54bWxQSwECFAAUAAAACACHTuJACzTl&#10;P1cCAACkBAAADgAAAAAAAAABACAAAAAnAQAAZHJzL2Uyb0RvYy54bWxQSwUGAAAAAAYABgBZAQAA&#10;8A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6350" b="8890"/>
                <wp:wrapNone/>
                <wp:docPr id="3" name="自选图形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自选图形 5"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0tLfZ&#10;AAAACwEAAA8AAAAAAAAAAQAgAAAAIgAAAGRycy9kb3ducmV2LnhtbFBLAQIUABQAAAAIAIdO4kAr&#10;TX2cWAIAAKQEAAAOAAAAAAAAAAEAIAAAACgBAABkcnMvZTJvRG9jLnhtbFBLBQYAAAAABgAGAFkB&#10;AADyBQ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8"/>
          <w:bCs/>
          <w:sz w:val="24"/>
          <w:szCs w:val="24"/>
        </w:rPr>
      </w:pPr>
      <w:r>
        <w:rPr>
          <w:szCs w:val="24"/>
          <w:u w:val="single"/>
        </w:rPr>
        <w:br w:type="page"/>
      </w:r>
      <w:bookmarkStart w:id="107" w:name="_Toc26259743"/>
      <w:bookmarkStart w:id="108" w:name="_Toc69378667"/>
      <w:bookmarkStart w:id="109" w:name="_Toc26260037"/>
      <w:r>
        <w:rPr>
          <w:rStyle w:val="108"/>
          <w:rFonts w:hint="eastAsia" w:hAnsi="宋体"/>
          <w:b w:val="0"/>
          <w:bCs w:val="0"/>
          <w:sz w:val="24"/>
          <w:szCs w:val="24"/>
        </w:rPr>
        <w:t>附件</w:t>
      </w:r>
      <w:r>
        <w:rPr>
          <w:rStyle w:val="108"/>
          <w:rFonts w:hAnsi="宋体"/>
          <w:b w:val="0"/>
          <w:bCs w:val="0"/>
          <w:sz w:val="24"/>
          <w:szCs w:val="24"/>
        </w:rPr>
        <w:t>6</w:t>
      </w:r>
      <w:r>
        <w:rPr>
          <w:rStyle w:val="108"/>
          <w:rFonts w:hint="eastAsia" w:hAnsi="宋体"/>
          <w:b w:val="0"/>
          <w:bCs w:val="0"/>
          <w:sz w:val="24"/>
          <w:szCs w:val="24"/>
        </w:rPr>
        <w:t>：技术规范偏离表</w:t>
      </w:r>
      <w:bookmarkEnd w:id="107"/>
      <w:bookmarkEnd w:id="108"/>
      <w:bookmarkEnd w:id="109"/>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pPr>
        <w:pStyle w:val="4"/>
        <w:numPr>
          <w:ilvl w:val="0"/>
          <w:numId w:val="0"/>
        </w:numPr>
        <w:snapToGrid w:val="0"/>
        <w:spacing w:before="312" w:beforeLines="100" w:after="312" w:afterLines="100"/>
        <w:ind w:right="210" w:rightChars="100"/>
        <w:rPr>
          <w:rStyle w:val="108"/>
          <w:b w:val="0"/>
          <w:bCs w:val="0"/>
          <w:sz w:val="24"/>
          <w:szCs w:val="24"/>
        </w:rPr>
      </w:pPr>
      <w:r>
        <w:rPr>
          <w:szCs w:val="24"/>
        </w:rPr>
        <w:br w:type="page"/>
      </w:r>
      <w:bookmarkStart w:id="110" w:name="_Toc26260038"/>
      <w:bookmarkStart w:id="111" w:name="_Toc69378668"/>
      <w:bookmarkStart w:id="112" w:name="_Toc161767433"/>
      <w:bookmarkStart w:id="113" w:name="_Toc135999012"/>
      <w:bookmarkStart w:id="114" w:name="_Toc26259744"/>
      <w:r>
        <w:rPr>
          <w:rStyle w:val="108"/>
          <w:rFonts w:hint="eastAsia" w:hAnsi="宋体"/>
          <w:b w:val="0"/>
          <w:bCs w:val="0"/>
          <w:sz w:val="24"/>
          <w:szCs w:val="24"/>
        </w:rPr>
        <w:t>附件</w:t>
      </w:r>
      <w:r>
        <w:rPr>
          <w:rStyle w:val="108"/>
          <w:rFonts w:hAnsi="宋体"/>
          <w:b w:val="0"/>
          <w:bCs w:val="0"/>
          <w:sz w:val="24"/>
          <w:szCs w:val="24"/>
        </w:rPr>
        <w:t>7</w:t>
      </w:r>
      <w:r>
        <w:rPr>
          <w:rStyle w:val="108"/>
          <w:rFonts w:hint="eastAsia" w:hAnsi="宋体"/>
          <w:b w:val="0"/>
          <w:bCs w:val="0"/>
          <w:sz w:val="24"/>
          <w:szCs w:val="24"/>
        </w:rPr>
        <w:t>：资格证明文件</w:t>
      </w:r>
      <w:bookmarkEnd w:id="110"/>
      <w:bookmarkEnd w:id="111"/>
      <w:bookmarkEnd w:id="112"/>
      <w:bookmarkEnd w:id="113"/>
      <w:bookmarkEnd w:id="114"/>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7"/>
        </w:numPr>
        <w:spacing w:line="360" w:lineRule="auto"/>
        <w:rPr>
          <w:rFonts w:ascii="宋体"/>
          <w:szCs w:val="21"/>
        </w:rPr>
      </w:pPr>
      <w:r>
        <w:rPr>
          <w:rFonts w:hint="eastAsia" w:ascii="宋体"/>
          <w:szCs w:val="21"/>
        </w:rPr>
        <w:t>供应商应填写和提交下述规定的全部格式以及其它有关资料。</w:t>
      </w:r>
    </w:p>
    <w:p>
      <w:pPr>
        <w:numPr>
          <w:ilvl w:val="0"/>
          <w:numId w:val="27"/>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7"/>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7"/>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7"/>
        </w:numPr>
        <w:spacing w:line="360" w:lineRule="auto"/>
        <w:rPr>
          <w:rFonts w:ascii="宋体"/>
          <w:szCs w:val="21"/>
        </w:rPr>
      </w:pPr>
      <w:r>
        <w:rPr>
          <w:rFonts w:hint="eastAsia" w:ascii="宋体"/>
          <w:szCs w:val="21"/>
        </w:rPr>
        <w:t>供应商提交的材料将被保密，但不退还。</w:t>
      </w:r>
    </w:p>
    <w:p>
      <w:pPr>
        <w:numPr>
          <w:ilvl w:val="0"/>
          <w:numId w:val="27"/>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 xml:space="preserve"> </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8"/>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8"/>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8"/>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9"/>
        </w:numPr>
        <w:spacing w:line="360" w:lineRule="auto"/>
        <w:rPr>
          <w:rFonts w:ascii="宋体" w:hAnsi="宋体"/>
          <w:szCs w:val="21"/>
          <w:u w:val="single"/>
        </w:rPr>
      </w:pPr>
      <w:r>
        <w:rPr>
          <w:rFonts w:hint="eastAsia" w:ascii="宋体" w:hAnsi="宋体"/>
          <w:szCs w:val="21"/>
        </w:rPr>
        <w:t>供应商名称：</w:t>
      </w:r>
    </w:p>
    <w:p>
      <w:pPr>
        <w:numPr>
          <w:ilvl w:val="0"/>
          <w:numId w:val="29"/>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9"/>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9"/>
        </w:numPr>
        <w:spacing w:line="360" w:lineRule="auto"/>
        <w:rPr>
          <w:rFonts w:ascii="宋体" w:hAnsi="宋体"/>
          <w:szCs w:val="21"/>
        </w:rPr>
      </w:pPr>
      <w:r>
        <w:rPr>
          <w:rFonts w:hint="eastAsia" w:ascii="宋体" w:hAnsi="宋体"/>
          <w:szCs w:val="21"/>
        </w:rPr>
        <w:t>实收资本：</w:t>
      </w:r>
    </w:p>
    <w:p>
      <w:pPr>
        <w:numPr>
          <w:ilvl w:val="0"/>
          <w:numId w:val="29"/>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9"/>
        </w:numPr>
        <w:spacing w:line="360" w:lineRule="auto"/>
        <w:rPr>
          <w:rFonts w:ascii="宋体" w:hAnsi="宋体"/>
          <w:szCs w:val="21"/>
          <w:u w:val="single"/>
        </w:rPr>
      </w:pPr>
      <w:r>
        <w:rPr>
          <w:rFonts w:hint="eastAsia" w:ascii="宋体" w:hAnsi="宋体"/>
          <w:szCs w:val="21"/>
        </w:rPr>
        <w:t>主要负责人名称：（可选填）</w:t>
      </w:r>
    </w:p>
    <w:p>
      <w:pPr>
        <w:numPr>
          <w:ilvl w:val="0"/>
          <w:numId w:val="29"/>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9"/>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9"/>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9"/>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8"/>
          <w:rFonts w:hAnsi="宋体"/>
          <w:b w:val="0"/>
          <w:bCs/>
          <w:sz w:val="24"/>
          <w:szCs w:val="24"/>
        </w:rPr>
      </w:pPr>
      <w:r>
        <w:rPr>
          <w:szCs w:val="24"/>
          <w:u w:val="single"/>
        </w:rPr>
        <w:br w:type="page"/>
      </w:r>
      <w:bookmarkStart w:id="115" w:name="_Toc69378669"/>
      <w:bookmarkStart w:id="116" w:name="_Toc26259745"/>
      <w:bookmarkStart w:id="117" w:name="_Toc26260039"/>
      <w:r>
        <w:rPr>
          <w:rStyle w:val="108"/>
          <w:rFonts w:hint="eastAsia" w:hAnsi="宋体"/>
          <w:b w:val="0"/>
          <w:bCs w:val="0"/>
          <w:sz w:val="24"/>
          <w:szCs w:val="24"/>
        </w:rPr>
        <w:t>附件</w:t>
      </w:r>
      <w:r>
        <w:rPr>
          <w:rStyle w:val="108"/>
          <w:rFonts w:hAnsi="宋体"/>
          <w:b w:val="0"/>
          <w:bCs w:val="0"/>
          <w:sz w:val="24"/>
          <w:szCs w:val="24"/>
        </w:rPr>
        <w:t>8</w:t>
      </w:r>
      <w:r>
        <w:rPr>
          <w:rStyle w:val="108"/>
          <w:rFonts w:hint="eastAsia" w:hAnsi="宋体"/>
          <w:b w:val="0"/>
          <w:bCs w:val="0"/>
          <w:sz w:val="24"/>
          <w:szCs w:val="24"/>
        </w:rPr>
        <w:t>：项目业绩及证明文件</w:t>
      </w:r>
      <w:bookmarkEnd w:id="115"/>
      <w:bookmarkEnd w:id="116"/>
      <w:bookmarkEnd w:id="117"/>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w:t>
            </w:r>
          </w:p>
          <w:p>
            <w:pPr>
              <w:jc w:val="center"/>
              <w:rPr>
                <w:rFonts w:ascii="宋体" w:hAnsi="宋体" w:cs="宋体"/>
                <w:b/>
                <w:bCs/>
                <w:szCs w:val="21"/>
              </w:rPr>
            </w:pPr>
            <w:r>
              <w:rPr>
                <w:rFonts w:hint="eastAsia" w:ascii="宋体" w:hAnsi="宋体" w:cs="宋体"/>
                <w:b/>
                <w:bCs/>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项目规模</w:t>
            </w:r>
          </w:p>
          <w:p>
            <w:pPr>
              <w:jc w:val="center"/>
              <w:rPr>
                <w:rFonts w:ascii="宋体" w:hAnsi="宋体" w:cs="宋体"/>
                <w:b/>
                <w:bCs/>
                <w:szCs w:val="21"/>
              </w:rPr>
            </w:pPr>
            <w:r>
              <w:rPr>
                <w:rFonts w:hint="eastAsia" w:ascii="宋体" w:hAnsi="宋体" w:cs="宋体"/>
                <w:b/>
                <w:bCs/>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szCs w:val="21"/>
              </w:rPr>
            </w:pPr>
            <w:r>
              <w:rPr>
                <w:rFonts w:hint="eastAsia" w:ascii="宋体" w:hAnsi="宋体" w:cs="宋体"/>
                <w:b/>
                <w:bCs/>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8"/>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66"/>
      <w:bookmarkEnd w:id="93"/>
      <w:bookmarkEnd w:id="94"/>
      <w:bookmarkEnd w:id="95"/>
    </w:p>
    <w:p/>
    <w:p>
      <w:pPr>
        <w:rPr>
          <w:rStyle w:val="108"/>
          <w:rFonts w:hAnsi="宋体"/>
          <w:b w:val="0"/>
          <w:bCs w:val="0"/>
          <w:sz w:val="24"/>
          <w:szCs w:val="24"/>
        </w:rPr>
      </w:pPr>
      <w:r>
        <w:br w:type="page"/>
      </w:r>
      <w:r>
        <w:rPr>
          <w:rStyle w:val="108"/>
          <w:rFonts w:hint="eastAsia" w:hAnsi="宋体"/>
          <w:b w:val="0"/>
          <w:bCs w:val="0"/>
          <w:sz w:val="24"/>
          <w:szCs w:val="24"/>
        </w:rPr>
        <w:t>附件</w:t>
      </w:r>
      <w:r>
        <w:rPr>
          <w:rStyle w:val="108"/>
          <w:rFonts w:hAnsi="宋体"/>
          <w:b w:val="0"/>
          <w:bCs w:val="0"/>
          <w:sz w:val="24"/>
          <w:szCs w:val="24"/>
        </w:rPr>
        <w:t>9</w:t>
      </w:r>
      <w:r>
        <w:rPr>
          <w:rStyle w:val="108"/>
          <w:rFonts w:hint="eastAsia" w:hAnsi="宋体"/>
          <w:b w:val="0"/>
          <w:bCs w:val="0"/>
          <w:sz w:val="24"/>
          <w:szCs w:val="24"/>
        </w:rPr>
        <w:t>：供应商承诺函</w:t>
      </w:r>
    </w:p>
    <w:p>
      <w:pPr>
        <w:pStyle w:val="3"/>
        <w:numPr>
          <w:ilvl w:val="0"/>
          <w:numId w:val="0"/>
        </w:numPr>
        <w:spacing w:line="360" w:lineRule="auto"/>
        <w:rPr>
          <w:sz w:val="52"/>
          <w:szCs w:val="52"/>
        </w:rPr>
      </w:pPr>
      <w:r>
        <w:rPr>
          <w:rStyle w:val="108"/>
          <w:rFonts w:hAnsi="宋体"/>
          <w:b w:val="0"/>
          <w:bCs w:val="0"/>
          <w:sz w:val="24"/>
          <w:szCs w:val="24"/>
        </w:rPr>
        <w:br w:type="page"/>
      </w:r>
      <w:r>
        <w:rPr>
          <w:rFonts w:hint="eastAsia"/>
          <w:b/>
          <w:sz w:val="36"/>
          <w:szCs w:val="36"/>
        </w:rPr>
        <w:t>第七章  其他</w:t>
      </w:r>
    </w:p>
    <w:p>
      <w:pPr>
        <w:widowControl/>
        <w:jc w:val="left"/>
        <w:rPr>
          <w:b/>
          <w:sz w:val="24"/>
        </w:rPr>
      </w:pPr>
      <w:bookmarkStart w:id="118" w:name="_Toc15025"/>
      <w:r>
        <w:rPr>
          <w:rFonts w:hint="eastAsia"/>
          <w:b/>
          <w:sz w:val="24"/>
        </w:rPr>
        <w:t>响应</w:t>
      </w:r>
      <w:r>
        <w:rPr>
          <w:b/>
          <w:sz w:val="24"/>
        </w:rPr>
        <w:t>文件</w:t>
      </w:r>
      <w:r>
        <w:rPr>
          <w:b/>
          <w:kern w:val="11"/>
          <w:sz w:val="24"/>
        </w:rPr>
        <w:t>封套格式</w:t>
      </w:r>
      <w:r>
        <w:rPr>
          <w:b/>
          <w:sz w:val="24"/>
        </w:rPr>
        <w:t>如下：</w:t>
      </w:r>
      <w:bookmarkEnd w:id="118"/>
    </w:p>
    <w:tbl>
      <w:tblPr>
        <w:tblStyle w:val="53"/>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DRM+DTMB融合覆盖系统研发服务项目</w:t>
            </w:r>
          </w:p>
          <w:p>
            <w:pPr>
              <w:spacing w:before="312" w:beforeLines="100" w:after="312" w:afterLines="100"/>
              <w:jc w:val="center"/>
              <w:rPr>
                <w:rFonts w:eastAsia="黑体"/>
                <w:sz w:val="28"/>
                <w:szCs w:val="28"/>
              </w:rPr>
            </w:pPr>
          </w:p>
          <w:p>
            <w:pPr>
              <w:pStyle w:val="2"/>
              <w:spacing w:before="312" w:beforeLines="100" w:after="312" w:afterLines="100"/>
              <w:jc w:val="center"/>
              <w:rPr>
                <w:rFonts w:eastAsia="黑体"/>
                <w:szCs w:val="28"/>
              </w:rPr>
            </w:pPr>
          </w:p>
          <w:p>
            <w:pPr>
              <w:pStyle w:val="2"/>
            </w:pPr>
          </w:p>
          <w:p/>
          <w:p>
            <w:pPr>
              <w:jc w:val="center"/>
              <w:rPr>
                <w:rFonts w:eastAsia="黑体"/>
                <w:sz w:val="52"/>
                <w:szCs w:val="36"/>
              </w:rPr>
            </w:pPr>
            <w:r>
              <w:rPr>
                <w:rFonts w:hint="eastAsia" w:eastAsia="黑体"/>
                <w:sz w:val="52"/>
                <w:szCs w:val="36"/>
              </w:rPr>
              <w:t>响应文件</w:t>
            </w:r>
          </w:p>
          <w:p>
            <w:pPr>
              <w:spacing w:after="120"/>
              <w:jc w:val="center"/>
              <w:rPr>
                <w:rFonts w:eastAsia="PMingLiU"/>
                <w:sz w:val="36"/>
                <w:szCs w:val="36"/>
                <w:lang w:val="zh-TW" w:eastAsia="zh-TW"/>
              </w:rPr>
            </w:pPr>
            <w:r>
              <w:rPr>
                <w:rFonts w:hint="eastAsia" w:eastAsia="黑体"/>
                <w:sz w:val="28"/>
                <w:szCs w:val="28"/>
              </w:rPr>
              <w:t>（开标时间以前不得开封）</w:t>
            </w:r>
          </w:p>
          <w:p>
            <w:pPr>
              <w:spacing w:before="312" w:beforeLines="100" w:after="312" w:afterLines="100"/>
              <w:jc w:val="center"/>
              <w:rPr>
                <w:rFonts w:eastAsia="黑体"/>
                <w:sz w:val="52"/>
                <w:szCs w:val="36"/>
              </w:rPr>
            </w:pPr>
          </w:p>
          <w:p>
            <w:pPr>
              <w:pStyle w:val="2"/>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pPr>
    </w:p>
    <w:p>
      <w:pPr>
        <w:widowControl/>
        <w:spacing w:line="360" w:lineRule="auto"/>
        <w:jc w:val="left"/>
        <w:rPr>
          <w:kern w:val="11"/>
          <w:sz w:val="24"/>
        </w:rPr>
      </w:pPr>
    </w:p>
    <w:p>
      <w:pPr>
        <w:widowControl/>
        <w:spacing w:line="360" w:lineRule="auto"/>
        <w:jc w:val="left"/>
        <w:rPr>
          <w:sz w:val="24"/>
        </w:rPr>
      </w:pPr>
      <w:r>
        <w:rPr>
          <w:rFonts w:hint="eastAsia"/>
          <w:kern w:val="11"/>
          <w:sz w:val="24"/>
        </w:rPr>
        <w:t>响应文件电子版</w:t>
      </w:r>
      <w:r>
        <w:rPr>
          <w:kern w:val="11"/>
          <w:sz w:val="24"/>
        </w:rPr>
        <w:t>封套格式</w:t>
      </w:r>
      <w:r>
        <w:rPr>
          <w:sz w:val="24"/>
        </w:rPr>
        <w:t>如下：</w:t>
      </w:r>
    </w:p>
    <w:tbl>
      <w:tblPr>
        <w:tblStyle w:val="53"/>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DRM+DTMB融合覆盖系统研发服务项目</w:t>
            </w:r>
          </w:p>
          <w:p>
            <w:pPr>
              <w:jc w:val="center"/>
              <w:rPr>
                <w:rFonts w:eastAsia="黑体"/>
                <w:sz w:val="28"/>
                <w:szCs w:val="28"/>
              </w:rPr>
            </w:pPr>
          </w:p>
          <w:p>
            <w:pPr>
              <w:pStyle w:val="2"/>
              <w:jc w:val="center"/>
              <w:rPr>
                <w:rFonts w:eastAsia="黑体"/>
                <w:szCs w:val="28"/>
                <w:u w:val="single"/>
              </w:rPr>
            </w:pPr>
          </w:p>
          <w:p>
            <w:pPr>
              <w:spacing w:before="312" w:beforeLines="100" w:after="312" w:afterLines="100"/>
              <w:jc w:val="center"/>
              <w:rPr>
                <w:rFonts w:eastAsia="黑体"/>
                <w:sz w:val="52"/>
                <w:szCs w:val="36"/>
              </w:rPr>
            </w:pPr>
          </w:p>
          <w:p>
            <w:pPr>
              <w:jc w:val="center"/>
              <w:rPr>
                <w:rFonts w:eastAsia="黑体"/>
                <w:sz w:val="52"/>
                <w:szCs w:val="36"/>
              </w:rPr>
            </w:pPr>
            <w:r>
              <w:rPr>
                <w:rFonts w:hint="eastAsia" w:eastAsia="黑体"/>
                <w:sz w:val="52"/>
                <w:szCs w:val="36"/>
              </w:rPr>
              <w:t>响应文件电子版</w:t>
            </w:r>
          </w:p>
          <w:p>
            <w:pPr>
              <w:spacing w:after="120"/>
              <w:jc w:val="center"/>
              <w:rPr>
                <w:rFonts w:eastAsia="PMingLiU"/>
                <w:sz w:val="36"/>
                <w:szCs w:val="36"/>
                <w:lang w:val="zh-TW" w:eastAsia="zh-TW"/>
              </w:rPr>
            </w:pPr>
            <w:r>
              <w:rPr>
                <w:rFonts w:hint="eastAsia" w:eastAsia="黑体"/>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rPr>
          <w:kern w:val="11"/>
          <w:sz w:val="24"/>
        </w:rPr>
      </w:pPr>
      <w:r>
        <w:rPr>
          <w:kern w:val="11"/>
          <w:sz w:val="24"/>
        </w:rPr>
        <w:br w:type="page"/>
      </w:r>
    </w:p>
    <w:p>
      <w:pPr>
        <w:widowControl/>
        <w:jc w:val="left"/>
        <w:rPr>
          <w:rFonts w:eastAsia="黑体"/>
          <w:bCs/>
          <w:kern w:val="44"/>
          <w:sz w:val="30"/>
          <w:szCs w:val="44"/>
        </w:rPr>
      </w:pPr>
      <w:r>
        <w:rPr>
          <w:rFonts w:hint="eastAsia"/>
          <w:kern w:val="11"/>
          <w:sz w:val="24"/>
        </w:rPr>
        <w:t>响应</w:t>
      </w:r>
      <w:r>
        <w:rPr>
          <w:kern w:val="11"/>
          <w:sz w:val="24"/>
        </w:rPr>
        <w:t>文件</w:t>
      </w:r>
      <w:r>
        <w:rPr>
          <w:rFonts w:hint="eastAsia"/>
          <w:kern w:val="11"/>
          <w:sz w:val="24"/>
        </w:rPr>
        <w:t>封口格式</w:t>
      </w:r>
    </w:p>
    <w:tbl>
      <w:tblPr>
        <w:tblStyle w:val="53"/>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pPr>
              <w:spacing w:line="360" w:lineRule="auto"/>
              <w:jc w:val="center"/>
            </w:pPr>
            <w:r>
              <w:rPr>
                <w:b/>
                <w:bCs/>
                <w:kern w:val="11"/>
                <w:sz w:val="24"/>
              </w:rPr>
              <w:t>--------------</w:t>
            </w:r>
            <w:r>
              <w:rPr>
                <w:rFonts w:ascii="黑体" w:hAnsi="黑体" w:eastAsia="黑体"/>
                <w:bCs/>
                <w:kern w:val="11"/>
                <w:sz w:val="24"/>
              </w:rPr>
              <w:t xml:space="preserve">于    年  月  日  </w:t>
            </w:r>
            <w:r>
              <w:rPr>
                <w:rFonts w:hint="eastAsia" w:ascii="黑体" w:hAnsi="黑体" w:eastAsia="黑体"/>
                <w:bCs/>
                <w:kern w:val="11"/>
                <w:sz w:val="24"/>
              </w:rPr>
              <w:t>时  分</w:t>
            </w:r>
            <w:r>
              <w:rPr>
                <w:rFonts w:ascii="黑体" w:hAnsi="黑体" w:eastAsia="黑体"/>
                <w:bCs/>
                <w:kern w:val="11"/>
                <w:sz w:val="24"/>
              </w:rPr>
              <w:t>之前不准启封（公章）</w:t>
            </w:r>
            <w:r>
              <w:rPr>
                <w:b/>
                <w:bCs/>
                <w:kern w:val="11"/>
                <w:sz w:val="24"/>
              </w:rPr>
              <w:t>----------------</w:t>
            </w:r>
          </w:p>
        </w:tc>
      </w:tr>
    </w:tbl>
    <w:p/>
    <w:p>
      <w:pPr>
        <w:pStyle w:val="2"/>
        <w:jc w:val="center"/>
        <w:rPr>
          <w:b/>
          <w:sz w:val="44"/>
          <w:szCs w:val="44"/>
        </w:rPr>
      </w:pPr>
      <w:r>
        <w:br w:type="page"/>
      </w:r>
      <w:r>
        <w:rPr>
          <w:rFonts w:hint="eastAsia"/>
          <w:b/>
          <w:sz w:val="44"/>
          <w:szCs w:val="44"/>
        </w:rPr>
        <w:t>响应确认信息表</w:t>
      </w:r>
    </w:p>
    <w:p>
      <w:pPr>
        <w:widowControl/>
        <w:jc w:val="left"/>
        <w:rPr>
          <w:rFonts w:ascii="Arial" w:hAnsi="Arial" w:eastAsia="黑体"/>
          <w:bCs/>
          <w:sz w:val="28"/>
          <w:szCs w:val="32"/>
        </w:rPr>
      </w:pPr>
    </w:p>
    <w:p>
      <w:pPr>
        <w:spacing w:line="480" w:lineRule="auto"/>
      </w:pPr>
      <w:r>
        <w:rPr>
          <w:rFonts w:hint="eastAsia"/>
        </w:rPr>
        <w:t>江苏省广电有线信息网络股份有限公司：</w:t>
      </w:r>
    </w:p>
    <w:p>
      <w:pPr>
        <w:spacing w:line="480" w:lineRule="auto"/>
      </w:pPr>
      <w:r>
        <w:rPr>
          <w:rFonts w:hint="eastAsia"/>
        </w:rPr>
        <w:t xml:space="preserve">    我单位申请参与贵单位              项目。</w:t>
      </w:r>
    </w:p>
    <w:p>
      <w:pPr>
        <w:spacing w:line="480" w:lineRule="auto"/>
      </w:pPr>
      <w:r>
        <w:rPr>
          <w:rFonts w:hint="eastAsia"/>
        </w:rPr>
        <w:t>现委派我单位      (姓名)负责本项目报名和正式采购前的联系工作，详细信息如下（以下信息均为必填项）：</w:t>
      </w:r>
    </w:p>
    <w:p>
      <w:pPr>
        <w:spacing w:line="480" w:lineRule="auto"/>
      </w:pPr>
      <w:r>
        <w:rPr>
          <w:rFonts w:hint="eastAsia"/>
        </w:rPr>
        <w:t xml:space="preserve"> 1.姓名：</w:t>
      </w:r>
    </w:p>
    <w:p>
      <w:pPr>
        <w:spacing w:line="480" w:lineRule="auto"/>
      </w:pPr>
      <w:r>
        <w:rPr>
          <w:rFonts w:hint="eastAsia"/>
        </w:rPr>
        <w:t xml:space="preserve"> 2.身份证号：</w:t>
      </w:r>
    </w:p>
    <w:p>
      <w:pPr>
        <w:spacing w:line="480" w:lineRule="auto"/>
      </w:pPr>
      <w:r>
        <w:rPr>
          <w:rFonts w:hint="eastAsia"/>
        </w:rPr>
        <w:t xml:space="preserve"> 3.职位：</w:t>
      </w:r>
    </w:p>
    <w:p>
      <w:pPr>
        <w:spacing w:line="480" w:lineRule="auto"/>
      </w:pPr>
      <w:r>
        <w:rPr>
          <w:rFonts w:hint="eastAsia"/>
        </w:rPr>
        <w:t xml:space="preserve"> 4.联系电话（手机）：</w:t>
      </w:r>
    </w:p>
    <w:p>
      <w:pPr>
        <w:spacing w:line="480" w:lineRule="auto"/>
      </w:pPr>
      <w:r>
        <w:rPr>
          <w:rFonts w:hint="eastAsia"/>
        </w:rPr>
        <w:t xml:space="preserve"> 5.联系电子邮箱：</w:t>
      </w:r>
    </w:p>
    <w:p>
      <w:pPr>
        <w:spacing w:line="480" w:lineRule="auto"/>
      </w:pPr>
      <w:r>
        <w:rPr>
          <w:rFonts w:hint="eastAsia"/>
        </w:rPr>
        <w:t xml:space="preserve"> 6.微信号:</w:t>
      </w:r>
    </w:p>
    <w:p>
      <w:pPr>
        <w:spacing w:line="480" w:lineRule="auto"/>
      </w:pPr>
      <w:r>
        <w:rPr>
          <w:rFonts w:hint="eastAsia"/>
        </w:rPr>
        <w:t xml:space="preserve"> 7.响应文件递送方式：</w:t>
      </w:r>
    </w:p>
    <w:p>
      <w:pPr>
        <w:spacing w:line="480" w:lineRule="auto"/>
      </w:pPr>
    </w:p>
    <w:p>
      <w:pPr>
        <w:spacing w:line="480" w:lineRule="auto"/>
      </w:pPr>
    </w:p>
    <w:p>
      <w:pPr>
        <w:spacing w:line="480" w:lineRule="auto"/>
      </w:pPr>
    </w:p>
    <w:p>
      <w:pPr>
        <w:spacing w:line="480" w:lineRule="auto"/>
      </w:pPr>
      <w:r>
        <w:rPr>
          <w:rFonts w:hint="eastAsia"/>
        </w:rPr>
        <w:t>供应商：                     （盖章）</w:t>
      </w:r>
    </w:p>
    <w:p>
      <w:pPr>
        <w:spacing w:line="480" w:lineRule="auto"/>
      </w:pPr>
      <w:r>
        <w:rPr>
          <w:rFonts w:hint="eastAsia"/>
        </w:rPr>
        <w:t>日期：</w:t>
      </w: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35</w:t>
    </w:r>
    <w:r>
      <w:fldChar w:fldCharType="end"/>
    </w:r>
  </w:p>
  <w:p>
    <w:pPr>
      <w:pStyle w:val="3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10"/>
    <w:multiLevelType w:val="multilevel"/>
    <w:tmpl w:val="00000010"/>
    <w:lvl w:ilvl="0" w:tentative="0">
      <w:start w:val="1"/>
      <w:numFmt w:val="bullet"/>
      <w:pStyle w:val="372"/>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4"/>
      <w:numFmt w:val="decimal"/>
      <w:lvlText w:val="%2、"/>
      <w:lvlJc w:val="left"/>
      <w:pPr>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9"/>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00061279"/>
    <w:multiLevelType w:val="multilevel"/>
    <w:tmpl w:val="0006127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8C227EF"/>
    <w:multiLevelType w:val="multilevel"/>
    <w:tmpl w:val="08C227EF"/>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8DD2CBE"/>
    <w:multiLevelType w:val="multilevel"/>
    <w:tmpl w:val="08DD2CB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9">
    <w:nsid w:val="101A5B80"/>
    <w:multiLevelType w:val="multilevel"/>
    <w:tmpl w:val="101A5B8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1">
    <w:nsid w:val="24660D3B"/>
    <w:multiLevelType w:val="multilevel"/>
    <w:tmpl w:val="24660D3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94E419B"/>
    <w:multiLevelType w:val="multilevel"/>
    <w:tmpl w:val="294E419B"/>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3C862C2F"/>
    <w:multiLevelType w:val="multilevel"/>
    <w:tmpl w:val="3C862C2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F316DE4"/>
    <w:multiLevelType w:val="multilevel"/>
    <w:tmpl w:val="3F316DE4"/>
    <w:lvl w:ilvl="0" w:tentative="0">
      <w:start w:val="1"/>
      <w:numFmt w:val="decimal"/>
      <w:pStyle w:val="106"/>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6">
    <w:nsid w:val="403E4374"/>
    <w:multiLevelType w:val="multilevel"/>
    <w:tmpl w:val="403E437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48F47DBF"/>
    <w:multiLevelType w:val="multilevel"/>
    <w:tmpl w:val="48F47DB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4BC04D74"/>
    <w:multiLevelType w:val="multilevel"/>
    <w:tmpl w:val="4BC04D7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0">
    <w:nsid w:val="4DFB53D3"/>
    <w:multiLevelType w:val="multilevel"/>
    <w:tmpl w:val="4DFB53D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5873716C"/>
    <w:multiLevelType w:val="multilevel"/>
    <w:tmpl w:val="5873716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5DDE48CA"/>
    <w:multiLevelType w:val="multilevel"/>
    <w:tmpl w:val="5DDE48C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22B570A"/>
    <w:multiLevelType w:val="multilevel"/>
    <w:tmpl w:val="622B570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4C36ACD"/>
    <w:multiLevelType w:val="multilevel"/>
    <w:tmpl w:val="64C36AC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742631CD"/>
    <w:multiLevelType w:val="multilevel"/>
    <w:tmpl w:val="742631C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7704160E"/>
    <w:multiLevelType w:val="multilevel"/>
    <w:tmpl w:val="7704160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7DDC2D2E"/>
    <w:multiLevelType w:val="multilevel"/>
    <w:tmpl w:val="7DDC2D2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9"/>
  </w:num>
  <w:num w:numId="2">
    <w:abstractNumId w:val="15"/>
  </w:num>
  <w:num w:numId="3">
    <w:abstractNumId w:val="3"/>
  </w:num>
  <w:num w:numId="4">
    <w:abstractNumId w:val="1"/>
  </w:num>
  <w:num w:numId="5">
    <w:abstractNumId w:val="13"/>
  </w:num>
  <w:num w:numId="6">
    <w:abstractNumId w:val="0"/>
  </w:num>
  <w:num w:numId="7">
    <w:abstractNumId w:val="26"/>
  </w:num>
  <w:num w:numId="8">
    <w:abstractNumId w:val="5"/>
  </w:num>
  <w:num w:numId="9">
    <w:abstractNumId w:val="2"/>
  </w:num>
  <w:num w:numId="10">
    <w:abstractNumId w:val="6"/>
  </w:num>
  <w:num w:numId="11">
    <w:abstractNumId w:val="18"/>
  </w:num>
  <w:num w:numId="12">
    <w:abstractNumId w:val="16"/>
  </w:num>
  <w:num w:numId="13">
    <w:abstractNumId w:val="12"/>
  </w:num>
  <w:num w:numId="14">
    <w:abstractNumId w:val="9"/>
  </w:num>
  <w:num w:numId="15">
    <w:abstractNumId w:val="27"/>
  </w:num>
  <w:num w:numId="16">
    <w:abstractNumId w:val="11"/>
  </w:num>
  <w:num w:numId="17">
    <w:abstractNumId w:val="28"/>
  </w:num>
  <w:num w:numId="18">
    <w:abstractNumId w:val="20"/>
  </w:num>
  <w:num w:numId="19">
    <w:abstractNumId w:val="25"/>
  </w:num>
  <w:num w:numId="20">
    <w:abstractNumId w:val="24"/>
  </w:num>
  <w:num w:numId="21">
    <w:abstractNumId w:val="17"/>
  </w:num>
  <w:num w:numId="22">
    <w:abstractNumId w:val="7"/>
  </w:num>
  <w:num w:numId="23">
    <w:abstractNumId w:val="4"/>
  </w:num>
  <w:num w:numId="24">
    <w:abstractNumId w:val="21"/>
  </w:num>
  <w:num w:numId="25">
    <w:abstractNumId w:val="23"/>
  </w:num>
  <w:num w:numId="26">
    <w:abstractNumId w:val="14"/>
  </w:num>
  <w:num w:numId="27">
    <w:abstractNumId w:val="8"/>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ZTA5ZTFmN2I5NGQ5YTZjM2ZkMjU3M2E3Y2VlZjcifQ=="/>
  </w:docVars>
  <w:rsids>
    <w:rsidRoot w:val="00C31D55"/>
    <w:rsid w:val="000009B2"/>
    <w:rsid w:val="000014EE"/>
    <w:rsid w:val="0000165B"/>
    <w:rsid w:val="00002668"/>
    <w:rsid w:val="00003F25"/>
    <w:rsid w:val="000047B6"/>
    <w:rsid w:val="000055AC"/>
    <w:rsid w:val="00006DBC"/>
    <w:rsid w:val="000074E4"/>
    <w:rsid w:val="00011CD2"/>
    <w:rsid w:val="00011D7E"/>
    <w:rsid w:val="00011F58"/>
    <w:rsid w:val="00013E96"/>
    <w:rsid w:val="00014171"/>
    <w:rsid w:val="0001524B"/>
    <w:rsid w:val="0001551E"/>
    <w:rsid w:val="000164B0"/>
    <w:rsid w:val="00016CEA"/>
    <w:rsid w:val="00017171"/>
    <w:rsid w:val="0001725C"/>
    <w:rsid w:val="00017586"/>
    <w:rsid w:val="000175F3"/>
    <w:rsid w:val="00017A4D"/>
    <w:rsid w:val="00020A4E"/>
    <w:rsid w:val="00020E6D"/>
    <w:rsid w:val="000224F7"/>
    <w:rsid w:val="000227C5"/>
    <w:rsid w:val="00022A8A"/>
    <w:rsid w:val="00023E93"/>
    <w:rsid w:val="00023EF5"/>
    <w:rsid w:val="00024C77"/>
    <w:rsid w:val="0002704B"/>
    <w:rsid w:val="000302AC"/>
    <w:rsid w:val="00030A9D"/>
    <w:rsid w:val="00031B2F"/>
    <w:rsid w:val="00031DEF"/>
    <w:rsid w:val="000333E2"/>
    <w:rsid w:val="000339EB"/>
    <w:rsid w:val="00033EFE"/>
    <w:rsid w:val="00034705"/>
    <w:rsid w:val="0003496A"/>
    <w:rsid w:val="00035296"/>
    <w:rsid w:val="000352DD"/>
    <w:rsid w:val="000365EA"/>
    <w:rsid w:val="00037097"/>
    <w:rsid w:val="00037954"/>
    <w:rsid w:val="00040F17"/>
    <w:rsid w:val="000419F5"/>
    <w:rsid w:val="00042584"/>
    <w:rsid w:val="00045A14"/>
    <w:rsid w:val="00047549"/>
    <w:rsid w:val="00050CA9"/>
    <w:rsid w:val="0005189A"/>
    <w:rsid w:val="00053058"/>
    <w:rsid w:val="00053A52"/>
    <w:rsid w:val="00053E94"/>
    <w:rsid w:val="0005497F"/>
    <w:rsid w:val="00056D8B"/>
    <w:rsid w:val="00056FD5"/>
    <w:rsid w:val="000577B3"/>
    <w:rsid w:val="000578CD"/>
    <w:rsid w:val="0005799E"/>
    <w:rsid w:val="00057B3B"/>
    <w:rsid w:val="000601B3"/>
    <w:rsid w:val="000618EA"/>
    <w:rsid w:val="00061F51"/>
    <w:rsid w:val="00062477"/>
    <w:rsid w:val="00062AA1"/>
    <w:rsid w:val="00064583"/>
    <w:rsid w:val="00064913"/>
    <w:rsid w:val="000661AA"/>
    <w:rsid w:val="00066324"/>
    <w:rsid w:val="0006644C"/>
    <w:rsid w:val="00070964"/>
    <w:rsid w:val="00071DBA"/>
    <w:rsid w:val="00071F1A"/>
    <w:rsid w:val="00072029"/>
    <w:rsid w:val="000728EA"/>
    <w:rsid w:val="00073CD8"/>
    <w:rsid w:val="0007445B"/>
    <w:rsid w:val="000760C6"/>
    <w:rsid w:val="0007666E"/>
    <w:rsid w:val="00076700"/>
    <w:rsid w:val="00077661"/>
    <w:rsid w:val="00080C1A"/>
    <w:rsid w:val="00082069"/>
    <w:rsid w:val="00082160"/>
    <w:rsid w:val="00082D5D"/>
    <w:rsid w:val="00083045"/>
    <w:rsid w:val="00084999"/>
    <w:rsid w:val="00084E3F"/>
    <w:rsid w:val="00085413"/>
    <w:rsid w:val="00087E73"/>
    <w:rsid w:val="00090871"/>
    <w:rsid w:val="00091477"/>
    <w:rsid w:val="00092C2E"/>
    <w:rsid w:val="0009447A"/>
    <w:rsid w:val="00095F28"/>
    <w:rsid w:val="00096080"/>
    <w:rsid w:val="00096339"/>
    <w:rsid w:val="00097FD1"/>
    <w:rsid w:val="000A28DA"/>
    <w:rsid w:val="000A3669"/>
    <w:rsid w:val="000A4B69"/>
    <w:rsid w:val="000A5155"/>
    <w:rsid w:val="000A688C"/>
    <w:rsid w:val="000A7250"/>
    <w:rsid w:val="000A7D58"/>
    <w:rsid w:val="000B02BC"/>
    <w:rsid w:val="000B0ACB"/>
    <w:rsid w:val="000B11A0"/>
    <w:rsid w:val="000B4FAD"/>
    <w:rsid w:val="000B55EC"/>
    <w:rsid w:val="000B5724"/>
    <w:rsid w:val="000B6D7B"/>
    <w:rsid w:val="000C17AA"/>
    <w:rsid w:val="000C22C4"/>
    <w:rsid w:val="000C29FA"/>
    <w:rsid w:val="000C3B31"/>
    <w:rsid w:val="000C3D44"/>
    <w:rsid w:val="000C489F"/>
    <w:rsid w:val="000C4BBA"/>
    <w:rsid w:val="000C5934"/>
    <w:rsid w:val="000C632F"/>
    <w:rsid w:val="000C6718"/>
    <w:rsid w:val="000C6CAB"/>
    <w:rsid w:val="000C6EF4"/>
    <w:rsid w:val="000C70D2"/>
    <w:rsid w:val="000D02BB"/>
    <w:rsid w:val="000D3662"/>
    <w:rsid w:val="000D54F8"/>
    <w:rsid w:val="000D66A3"/>
    <w:rsid w:val="000D6E29"/>
    <w:rsid w:val="000D6FBE"/>
    <w:rsid w:val="000E41E7"/>
    <w:rsid w:val="000E56AE"/>
    <w:rsid w:val="000E5C95"/>
    <w:rsid w:val="000E6277"/>
    <w:rsid w:val="000E7497"/>
    <w:rsid w:val="000F1443"/>
    <w:rsid w:val="000F2D35"/>
    <w:rsid w:val="000F38BD"/>
    <w:rsid w:val="000F4EE5"/>
    <w:rsid w:val="000F5FE5"/>
    <w:rsid w:val="000F6FE1"/>
    <w:rsid w:val="00100B22"/>
    <w:rsid w:val="0010114E"/>
    <w:rsid w:val="001014D5"/>
    <w:rsid w:val="00105AA5"/>
    <w:rsid w:val="00105B57"/>
    <w:rsid w:val="001060EC"/>
    <w:rsid w:val="00106A2A"/>
    <w:rsid w:val="0010771F"/>
    <w:rsid w:val="001077D6"/>
    <w:rsid w:val="0011219E"/>
    <w:rsid w:val="00112D23"/>
    <w:rsid w:val="00113255"/>
    <w:rsid w:val="00113435"/>
    <w:rsid w:val="001135CE"/>
    <w:rsid w:val="0011471E"/>
    <w:rsid w:val="00117CA9"/>
    <w:rsid w:val="001208F3"/>
    <w:rsid w:val="00123B7D"/>
    <w:rsid w:val="00124582"/>
    <w:rsid w:val="00124678"/>
    <w:rsid w:val="00127680"/>
    <w:rsid w:val="0012786A"/>
    <w:rsid w:val="0013034C"/>
    <w:rsid w:val="0013062F"/>
    <w:rsid w:val="00130F8C"/>
    <w:rsid w:val="00131658"/>
    <w:rsid w:val="00133D00"/>
    <w:rsid w:val="00133D94"/>
    <w:rsid w:val="0013411C"/>
    <w:rsid w:val="001345BD"/>
    <w:rsid w:val="00134FE8"/>
    <w:rsid w:val="00136B87"/>
    <w:rsid w:val="0013763D"/>
    <w:rsid w:val="0013794B"/>
    <w:rsid w:val="001404C4"/>
    <w:rsid w:val="001424F4"/>
    <w:rsid w:val="001437EE"/>
    <w:rsid w:val="0014390C"/>
    <w:rsid w:val="001453C5"/>
    <w:rsid w:val="00146C7D"/>
    <w:rsid w:val="00147621"/>
    <w:rsid w:val="00147FB5"/>
    <w:rsid w:val="00150FE4"/>
    <w:rsid w:val="00151447"/>
    <w:rsid w:val="00151FAB"/>
    <w:rsid w:val="001527B7"/>
    <w:rsid w:val="0015329D"/>
    <w:rsid w:val="00153B6F"/>
    <w:rsid w:val="00153BC7"/>
    <w:rsid w:val="00154B29"/>
    <w:rsid w:val="00154BF3"/>
    <w:rsid w:val="00154CBB"/>
    <w:rsid w:val="0015708F"/>
    <w:rsid w:val="00157313"/>
    <w:rsid w:val="001609CF"/>
    <w:rsid w:val="00161FB9"/>
    <w:rsid w:val="00162672"/>
    <w:rsid w:val="00162D92"/>
    <w:rsid w:val="00163258"/>
    <w:rsid w:val="001636DE"/>
    <w:rsid w:val="0016388E"/>
    <w:rsid w:val="00163E91"/>
    <w:rsid w:val="00166953"/>
    <w:rsid w:val="001673C1"/>
    <w:rsid w:val="00167A90"/>
    <w:rsid w:val="001708C4"/>
    <w:rsid w:val="00171E05"/>
    <w:rsid w:val="00171FDA"/>
    <w:rsid w:val="00172446"/>
    <w:rsid w:val="00172CCB"/>
    <w:rsid w:val="001730DF"/>
    <w:rsid w:val="001738F1"/>
    <w:rsid w:val="001759B2"/>
    <w:rsid w:val="00175A52"/>
    <w:rsid w:val="0017681D"/>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B7F"/>
    <w:rsid w:val="00196E74"/>
    <w:rsid w:val="001A116E"/>
    <w:rsid w:val="001A1846"/>
    <w:rsid w:val="001A1988"/>
    <w:rsid w:val="001A3E12"/>
    <w:rsid w:val="001A5077"/>
    <w:rsid w:val="001A55B3"/>
    <w:rsid w:val="001A59E4"/>
    <w:rsid w:val="001A5F66"/>
    <w:rsid w:val="001A60DB"/>
    <w:rsid w:val="001A71BF"/>
    <w:rsid w:val="001A74D8"/>
    <w:rsid w:val="001A780A"/>
    <w:rsid w:val="001B1B6F"/>
    <w:rsid w:val="001B31A4"/>
    <w:rsid w:val="001B3369"/>
    <w:rsid w:val="001B33FB"/>
    <w:rsid w:val="001B3C75"/>
    <w:rsid w:val="001B5F1D"/>
    <w:rsid w:val="001B69D2"/>
    <w:rsid w:val="001B761F"/>
    <w:rsid w:val="001C00DC"/>
    <w:rsid w:val="001C100F"/>
    <w:rsid w:val="001C18AC"/>
    <w:rsid w:val="001C236C"/>
    <w:rsid w:val="001C32A3"/>
    <w:rsid w:val="001C3919"/>
    <w:rsid w:val="001C5180"/>
    <w:rsid w:val="001C576F"/>
    <w:rsid w:val="001C5951"/>
    <w:rsid w:val="001C6154"/>
    <w:rsid w:val="001C6E87"/>
    <w:rsid w:val="001C71DD"/>
    <w:rsid w:val="001C7286"/>
    <w:rsid w:val="001C7E4A"/>
    <w:rsid w:val="001D1377"/>
    <w:rsid w:val="001D2374"/>
    <w:rsid w:val="001D23D9"/>
    <w:rsid w:val="001D2705"/>
    <w:rsid w:val="001D2F46"/>
    <w:rsid w:val="001D34DC"/>
    <w:rsid w:val="001D375F"/>
    <w:rsid w:val="001D384F"/>
    <w:rsid w:val="001D6C53"/>
    <w:rsid w:val="001D73F4"/>
    <w:rsid w:val="001E0EBD"/>
    <w:rsid w:val="001E16C1"/>
    <w:rsid w:val="001E21F5"/>
    <w:rsid w:val="001E2DD0"/>
    <w:rsid w:val="001E371B"/>
    <w:rsid w:val="001E56B6"/>
    <w:rsid w:val="001E653F"/>
    <w:rsid w:val="001F0AF5"/>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1EFC"/>
    <w:rsid w:val="00204763"/>
    <w:rsid w:val="00205B12"/>
    <w:rsid w:val="00206250"/>
    <w:rsid w:val="002065EB"/>
    <w:rsid w:val="00207266"/>
    <w:rsid w:val="00207358"/>
    <w:rsid w:val="00210532"/>
    <w:rsid w:val="00211523"/>
    <w:rsid w:val="00212106"/>
    <w:rsid w:val="002133FD"/>
    <w:rsid w:val="00213B1C"/>
    <w:rsid w:val="0021421F"/>
    <w:rsid w:val="0021459D"/>
    <w:rsid w:val="00214AD6"/>
    <w:rsid w:val="00215E61"/>
    <w:rsid w:val="002166B5"/>
    <w:rsid w:val="00217419"/>
    <w:rsid w:val="00217FE0"/>
    <w:rsid w:val="00220C69"/>
    <w:rsid w:val="0022136D"/>
    <w:rsid w:val="002225AD"/>
    <w:rsid w:val="00223BB5"/>
    <w:rsid w:val="00223D5A"/>
    <w:rsid w:val="00224456"/>
    <w:rsid w:val="0022501D"/>
    <w:rsid w:val="00226F02"/>
    <w:rsid w:val="00227917"/>
    <w:rsid w:val="00227DB7"/>
    <w:rsid w:val="002322AB"/>
    <w:rsid w:val="00232F76"/>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412"/>
    <w:rsid w:val="00244D52"/>
    <w:rsid w:val="0024521A"/>
    <w:rsid w:val="00247321"/>
    <w:rsid w:val="00247884"/>
    <w:rsid w:val="00247E4F"/>
    <w:rsid w:val="002500E7"/>
    <w:rsid w:val="002506EA"/>
    <w:rsid w:val="00250A06"/>
    <w:rsid w:val="00251229"/>
    <w:rsid w:val="002517FA"/>
    <w:rsid w:val="0025290A"/>
    <w:rsid w:val="002556C1"/>
    <w:rsid w:val="00255DC9"/>
    <w:rsid w:val="00256494"/>
    <w:rsid w:val="0025692D"/>
    <w:rsid w:val="00260AC9"/>
    <w:rsid w:val="00262084"/>
    <w:rsid w:val="002627B7"/>
    <w:rsid w:val="00263946"/>
    <w:rsid w:val="00263ECA"/>
    <w:rsid w:val="00263F88"/>
    <w:rsid w:val="00264034"/>
    <w:rsid w:val="00265008"/>
    <w:rsid w:val="00266973"/>
    <w:rsid w:val="00267B75"/>
    <w:rsid w:val="00270E79"/>
    <w:rsid w:val="0027159A"/>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1B5E"/>
    <w:rsid w:val="002822C9"/>
    <w:rsid w:val="00282C00"/>
    <w:rsid w:val="00283FAC"/>
    <w:rsid w:val="002848E8"/>
    <w:rsid w:val="002849DC"/>
    <w:rsid w:val="00285002"/>
    <w:rsid w:val="00286572"/>
    <w:rsid w:val="0028791B"/>
    <w:rsid w:val="00287CB4"/>
    <w:rsid w:val="002912E5"/>
    <w:rsid w:val="00292F88"/>
    <w:rsid w:val="00293EF5"/>
    <w:rsid w:val="002965EB"/>
    <w:rsid w:val="00296FB0"/>
    <w:rsid w:val="002977C3"/>
    <w:rsid w:val="002A09B2"/>
    <w:rsid w:val="002A18B6"/>
    <w:rsid w:val="002A1E30"/>
    <w:rsid w:val="002A20BE"/>
    <w:rsid w:val="002A31A6"/>
    <w:rsid w:val="002A57B4"/>
    <w:rsid w:val="002A63D6"/>
    <w:rsid w:val="002A77CF"/>
    <w:rsid w:val="002B07CB"/>
    <w:rsid w:val="002B271D"/>
    <w:rsid w:val="002B274E"/>
    <w:rsid w:val="002B561A"/>
    <w:rsid w:val="002C0317"/>
    <w:rsid w:val="002C1930"/>
    <w:rsid w:val="002C1A9F"/>
    <w:rsid w:val="002C1F7C"/>
    <w:rsid w:val="002C20BB"/>
    <w:rsid w:val="002C2772"/>
    <w:rsid w:val="002C4DE8"/>
    <w:rsid w:val="002C607F"/>
    <w:rsid w:val="002C6F2C"/>
    <w:rsid w:val="002C7F8D"/>
    <w:rsid w:val="002D0673"/>
    <w:rsid w:val="002D0A8D"/>
    <w:rsid w:val="002D24AE"/>
    <w:rsid w:val="002D3C6B"/>
    <w:rsid w:val="002D3F7C"/>
    <w:rsid w:val="002D5AC3"/>
    <w:rsid w:val="002D706B"/>
    <w:rsid w:val="002D78C2"/>
    <w:rsid w:val="002E0999"/>
    <w:rsid w:val="002E1D7B"/>
    <w:rsid w:val="002E4AAE"/>
    <w:rsid w:val="002E5A36"/>
    <w:rsid w:val="002E60E3"/>
    <w:rsid w:val="002E7F6B"/>
    <w:rsid w:val="002F140F"/>
    <w:rsid w:val="002F2053"/>
    <w:rsid w:val="002F3ECC"/>
    <w:rsid w:val="002F4C62"/>
    <w:rsid w:val="002F54D3"/>
    <w:rsid w:val="002F5548"/>
    <w:rsid w:val="002F59C4"/>
    <w:rsid w:val="002F5C10"/>
    <w:rsid w:val="002F65C2"/>
    <w:rsid w:val="00300124"/>
    <w:rsid w:val="00300CA0"/>
    <w:rsid w:val="003018A3"/>
    <w:rsid w:val="003020BC"/>
    <w:rsid w:val="00302EBB"/>
    <w:rsid w:val="003035C2"/>
    <w:rsid w:val="003044CF"/>
    <w:rsid w:val="00304BAC"/>
    <w:rsid w:val="00304D7F"/>
    <w:rsid w:val="0030539C"/>
    <w:rsid w:val="003066EF"/>
    <w:rsid w:val="0030798D"/>
    <w:rsid w:val="003109D7"/>
    <w:rsid w:val="00311B3A"/>
    <w:rsid w:val="00311FBD"/>
    <w:rsid w:val="0031392C"/>
    <w:rsid w:val="0031486A"/>
    <w:rsid w:val="00315A09"/>
    <w:rsid w:val="003179F8"/>
    <w:rsid w:val="00317C08"/>
    <w:rsid w:val="0032052D"/>
    <w:rsid w:val="003208BD"/>
    <w:rsid w:val="003225E3"/>
    <w:rsid w:val="00322E5C"/>
    <w:rsid w:val="0032311C"/>
    <w:rsid w:val="00323914"/>
    <w:rsid w:val="00323981"/>
    <w:rsid w:val="00324A2F"/>
    <w:rsid w:val="00325CE2"/>
    <w:rsid w:val="00326106"/>
    <w:rsid w:val="00326A4D"/>
    <w:rsid w:val="003305F0"/>
    <w:rsid w:val="00331D34"/>
    <w:rsid w:val="00331DD9"/>
    <w:rsid w:val="00332EBF"/>
    <w:rsid w:val="003336F4"/>
    <w:rsid w:val="0033591B"/>
    <w:rsid w:val="003361C2"/>
    <w:rsid w:val="0033699A"/>
    <w:rsid w:val="00340248"/>
    <w:rsid w:val="003411C2"/>
    <w:rsid w:val="00342CA6"/>
    <w:rsid w:val="00343793"/>
    <w:rsid w:val="0034452F"/>
    <w:rsid w:val="00345331"/>
    <w:rsid w:val="0034566F"/>
    <w:rsid w:val="0034674C"/>
    <w:rsid w:val="0034677A"/>
    <w:rsid w:val="00350958"/>
    <w:rsid w:val="003515CF"/>
    <w:rsid w:val="00352C45"/>
    <w:rsid w:val="00352D6D"/>
    <w:rsid w:val="00352DC2"/>
    <w:rsid w:val="00353315"/>
    <w:rsid w:val="00353A70"/>
    <w:rsid w:val="00354782"/>
    <w:rsid w:val="00355E15"/>
    <w:rsid w:val="0035600E"/>
    <w:rsid w:val="00356B6A"/>
    <w:rsid w:val="003574EF"/>
    <w:rsid w:val="00357EBD"/>
    <w:rsid w:val="00361CD2"/>
    <w:rsid w:val="00363BAE"/>
    <w:rsid w:val="00363C49"/>
    <w:rsid w:val="0036480C"/>
    <w:rsid w:val="003653EE"/>
    <w:rsid w:val="0036572F"/>
    <w:rsid w:val="0036574C"/>
    <w:rsid w:val="00367C42"/>
    <w:rsid w:val="00370088"/>
    <w:rsid w:val="003704CC"/>
    <w:rsid w:val="003713A4"/>
    <w:rsid w:val="00372226"/>
    <w:rsid w:val="00372E2F"/>
    <w:rsid w:val="00374FD7"/>
    <w:rsid w:val="00375173"/>
    <w:rsid w:val="00375782"/>
    <w:rsid w:val="00377E89"/>
    <w:rsid w:val="00380A80"/>
    <w:rsid w:val="00380BD3"/>
    <w:rsid w:val="0038135C"/>
    <w:rsid w:val="00381F8E"/>
    <w:rsid w:val="003825FC"/>
    <w:rsid w:val="003827BD"/>
    <w:rsid w:val="0038337F"/>
    <w:rsid w:val="00384CFA"/>
    <w:rsid w:val="00385258"/>
    <w:rsid w:val="00385698"/>
    <w:rsid w:val="00387449"/>
    <w:rsid w:val="00387BE1"/>
    <w:rsid w:val="003949FF"/>
    <w:rsid w:val="00395628"/>
    <w:rsid w:val="003966A4"/>
    <w:rsid w:val="003A0269"/>
    <w:rsid w:val="003A22F2"/>
    <w:rsid w:val="003A4129"/>
    <w:rsid w:val="003A5B77"/>
    <w:rsid w:val="003A5D59"/>
    <w:rsid w:val="003A61A5"/>
    <w:rsid w:val="003A635B"/>
    <w:rsid w:val="003A7B17"/>
    <w:rsid w:val="003B0E45"/>
    <w:rsid w:val="003B2C64"/>
    <w:rsid w:val="003B34C1"/>
    <w:rsid w:val="003B3B30"/>
    <w:rsid w:val="003B3BED"/>
    <w:rsid w:val="003B3D55"/>
    <w:rsid w:val="003B3E38"/>
    <w:rsid w:val="003B4431"/>
    <w:rsid w:val="003B5210"/>
    <w:rsid w:val="003B5605"/>
    <w:rsid w:val="003B5EB6"/>
    <w:rsid w:val="003B6922"/>
    <w:rsid w:val="003B6D44"/>
    <w:rsid w:val="003B7A81"/>
    <w:rsid w:val="003C04AD"/>
    <w:rsid w:val="003C16C9"/>
    <w:rsid w:val="003C1CA7"/>
    <w:rsid w:val="003C4375"/>
    <w:rsid w:val="003C61E9"/>
    <w:rsid w:val="003C7561"/>
    <w:rsid w:val="003C7928"/>
    <w:rsid w:val="003C7BCC"/>
    <w:rsid w:val="003C7C54"/>
    <w:rsid w:val="003D063B"/>
    <w:rsid w:val="003D0945"/>
    <w:rsid w:val="003D1B26"/>
    <w:rsid w:val="003D1E0B"/>
    <w:rsid w:val="003D1EFA"/>
    <w:rsid w:val="003D2EF6"/>
    <w:rsid w:val="003D3DA9"/>
    <w:rsid w:val="003D41C8"/>
    <w:rsid w:val="003D59E0"/>
    <w:rsid w:val="003D7647"/>
    <w:rsid w:val="003E10C1"/>
    <w:rsid w:val="003E183C"/>
    <w:rsid w:val="003E3225"/>
    <w:rsid w:val="003E4145"/>
    <w:rsid w:val="003E5F22"/>
    <w:rsid w:val="003E794B"/>
    <w:rsid w:val="003E7A69"/>
    <w:rsid w:val="003F0D93"/>
    <w:rsid w:val="003F216D"/>
    <w:rsid w:val="003F360C"/>
    <w:rsid w:val="003F45E5"/>
    <w:rsid w:val="003F5A2E"/>
    <w:rsid w:val="003F60F1"/>
    <w:rsid w:val="00400138"/>
    <w:rsid w:val="0040013F"/>
    <w:rsid w:val="00400873"/>
    <w:rsid w:val="004011D2"/>
    <w:rsid w:val="00402343"/>
    <w:rsid w:val="004049E9"/>
    <w:rsid w:val="004055F1"/>
    <w:rsid w:val="00405B38"/>
    <w:rsid w:val="00405FB9"/>
    <w:rsid w:val="00407BD1"/>
    <w:rsid w:val="00407EEE"/>
    <w:rsid w:val="004101B9"/>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20AE"/>
    <w:rsid w:val="00432B78"/>
    <w:rsid w:val="004360DD"/>
    <w:rsid w:val="00436153"/>
    <w:rsid w:val="004369D4"/>
    <w:rsid w:val="00436D27"/>
    <w:rsid w:val="00440461"/>
    <w:rsid w:val="00440AA3"/>
    <w:rsid w:val="004416B7"/>
    <w:rsid w:val="00441BA6"/>
    <w:rsid w:val="004424D1"/>
    <w:rsid w:val="00443DD4"/>
    <w:rsid w:val="00444334"/>
    <w:rsid w:val="004447F8"/>
    <w:rsid w:val="004449BD"/>
    <w:rsid w:val="00444B2D"/>
    <w:rsid w:val="004454EF"/>
    <w:rsid w:val="00445BE7"/>
    <w:rsid w:val="004463F2"/>
    <w:rsid w:val="00446B22"/>
    <w:rsid w:val="004472C3"/>
    <w:rsid w:val="00453075"/>
    <w:rsid w:val="00455182"/>
    <w:rsid w:val="00457347"/>
    <w:rsid w:val="00457459"/>
    <w:rsid w:val="00460414"/>
    <w:rsid w:val="00460838"/>
    <w:rsid w:val="004611AD"/>
    <w:rsid w:val="00461FBC"/>
    <w:rsid w:val="004633C6"/>
    <w:rsid w:val="00463598"/>
    <w:rsid w:val="0046498B"/>
    <w:rsid w:val="004663B1"/>
    <w:rsid w:val="00466DB6"/>
    <w:rsid w:val="00467E2B"/>
    <w:rsid w:val="00467FDA"/>
    <w:rsid w:val="00470024"/>
    <w:rsid w:val="00470730"/>
    <w:rsid w:val="004708DD"/>
    <w:rsid w:val="00473658"/>
    <w:rsid w:val="00476779"/>
    <w:rsid w:val="00477A98"/>
    <w:rsid w:val="00477EF6"/>
    <w:rsid w:val="004809A0"/>
    <w:rsid w:val="004821CC"/>
    <w:rsid w:val="00482693"/>
    <w:rsid w:val="00483653"/>
    <w:rsid w:val="00484086"/>
    <w:rsid w:val="00484A00"/>
    <w:rsid w:val="004854F3"/>
    <w:rsid w:val="0048667A"/>
    <w:rsid w:val="0048746D"/>
    <w:rsid w:val="0049021A"/>
    <w:rsid w:val="004917CD"/>
    <w:rsid w:val="0049216E"/>
    <w:rsid w:val="00492A51"/>
    <w:rsid w:val="00493168"/>
    <w:rsid w:val="0049373E"/>
    <w:rsid w:val="00494435"/>
    <w:rsid w:val="00494AEA"/>
    <w:rsid w:val="00494E12"/>
    <w:rsid w:val="00495459"/>
    <w:rsid w:val="0049606A"/>
    <w:rsid w:val="0049659C"/>
    <w:rsid w:val="004A0AAD"/>
    <w:rsid w:val="004A2717"/>
    <w:rsid w:val="004A2DF6"/>
    <w:rsid w:val="004A2EC6"/>
    <w:rsid w:val="004A47CB"/>
    <w:rsid w:val="004A4C75"/>
    <w:rsid w:val="004A4E12"/>
    <w:rsid w:val="004A51B2"/>
    <w:rsid w:val="004A5E4E"/>
    <w:rsid w:val="004A6A4D"/>
    <w:rsid w:val="004B00FD"/>
    <w:rsid w:val="004B161C"/>
    <w:rsid w:val="004B19C9"/>
    <w:rsid w:val="004B1AF0"/>
    <w:rsid w:val="004B3224"/>
    <w:rsid w:val="004B3E69"/>
    <w:rsid w:val="004B4B2C"/>
    <w:rsid w:val="004B598A"/>
    <w:rsid w:val="004B5BF2"/>
    <w:rsid w:val="004C03A6"/>
    <w:rsid w:val="004C04FC"/>
    <w:rsid w:val="004C062D"/>
    <w:rsid w:val="004C0A14"/>
    <w:rsid w:val="004C180A"/>
    <w:rsid w:val="004C3243"/>
    <w:rsid w:val="004C48F0"/>
    <w:rsid w:val="004C5137"/>
    <w:rsid w:val="004C6542"/>
    <w:rsid w:val="004D0B16"/>
    <w:rsid w:val="004D0C03"/>
    <w:rsid w:val="004D0FD1"/>
    <w:rsid w:val="004D1F26"/>
    <w:rsid w:val="004D2528"/>
    <w:rsid w:val="004D28EA"/>
    <w:rsid w:val="004D39FE"/>
    <w:rsid w:val="004D3A64"/>
    <w:rsid w:val="004D46CB"/>
    <w:rsid w:val="004D4E05"/>
    <w:rsid w:val="004D5644"/>
    <w:rsid w:val="004D66AF"/>
    <w:rsid w:val="004D7333"/>
    <w:rsid w:val="004D7389"/>
    <w:rsid w:val="004D7421"/>
    <w:rsid w:val="004E125D"/>
    <w:rsid w:val="004E486F"/>
    <w:rsid w:val="004E627C"/>
    <w:rsid w:val="004E645E"/>
    <w:rsid w:val="004E75CF"/>
    <w:rsid w:val="004F14FA"/>
    <w:rsid w:val="004F1E70"/>
    <w:rsid w:val="004F3C3B"/>
    <w:rsid w:val="004F3DD9"/>
    <w:rsid w:val="004F753D"/>
    <w:rsid w:val="005018B4"/>
    <w:rsid w:val="00501BCD"/>
    <w:rsid w:val="00502E90"/>
    <w:rsid w:val="005043A5"/>
    <w:rsid w:val="0050508D"/>
    <w:rsid w:val="005058EC"/>
    <w:rsid w:val="0050609C"/>
    <w:rsid w:val="00506423"/>
    <w:rsid w:val="00510D2F"/>
    <w:rsid w:val="00511842"/>
    <w:rsid w:val="00511F5D"/>
    <w:rsid w:val="00512BEF"/>
    <w:rsid w:val="00513F36"/>
    <w:rsid w:val="00515427"/>
    <w:rsid w:val="00516300"/>
    <w:rsid w:val="00516A5B"/>
    <w:rsid w:val="00516F8D"/>
    <w:rsid w:val="00517D26"/>
    <w:rsid w:val="00520961"/>
    <w:rsid w:val="00520B2D"/>
    <w:rsid w:val="00520C3A"/>
    <w:rsid w:val="0052175A"/>
    <w:rsid w:val="00522632"/>
    <w:rsid w:val="00523030"/>
    <w:rsid w:val="00524463"/>
    <w:rsid w:val="005248C1"/>
    <w:rsid w:val="005253A2"/>
    <w:rsid w:val="00525620"/>
    <w:rsid w:val="00525AB8"/>
    <w:rsid w:val="00525F82"/>
    <w:rsid w:val="00526309"/>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1BC9"/>
    <w:rsid w:val="00541CBF"/>
    <w:rsid w:val="00544133"/>
    <w:rsid w:val="005444AC"/>
    <w:rsid w:val="0054467D"/>
    <w:rsid w:val="00545871"/>
    <w:rsid w:val="00546886"/>
    <w:rsid w:val="00550136"/>
    <w:rsid w:val="005505A9"/>
    <w:rsid w:val="00550949"/>
    <w:rsid w:val="00553F1D"/>
    <w:rsid w:val="00554678"/>
    <w:rsid w:val="0055501B"/>
    <w:rsid w:val="00555AB6"/>
    <w:rsid w:val="0056014B"/>
    <w:rsid w:val="00560349"/>
    <w:rsid w:val="00561407"/>
    <w:rsid w:val="00562135"/>
    <w:rsid w:val="005628ED"/>
    <w:rsid w:val="00562A65"/>
    <w:rsid w:val="005630C9"/>
    <w:rsid w:val="00563240"/>
    <w:rsid w:val="005637E0"/>
    <w:rsid w:val="00566416"/>
    <w:rsid w:val="0057081A"/>
    <w:rsid w:val="0057148D"/>
    <w:rsid w:val="00571A6D"/>
    <w:rsid w:val="005721A1"/>
    <w:rsid w:val="00572F0A"/>
    <w:rsid w:val="00573B44"/>
    <w:rsid w:val="00573DFD"/>
    <w:rsid w:val="00574EA6"/>
    <w:rsid w:val="00575725"/>
    <w:rsid w:val="00575A46"/>
    <w:rsid w:val="005774B5"/>
    <w:rsid w:val="00581791"/>
    <w:rsid w:val="00581B38"/>
    <w:rsid w:val="0058400B"/>
    <w:rsid w:val="00585F0B"/>
    <w:rsid w:val="00586787"/>
    <w:rsid w:val="00587189"/>
    <w:rsid w:val="00587B7E"/>
    <w:rsid w:val="00590759"/>
    <w:rsid w:val="00591493"/>
    <w:rsid w:val="00592E90"/>
    <w:rsid w:val="0059326F"/>
    <w:rsid w:val="00593BE1"/>
    <w:rsid w:val="005943C3"/>
    <w:rsid w:val="00595057"/>
    <w:rsid w:val="00595E5E"/>
    <w:rsid w:val="00596569"/>
    <w:rsid w:val="0059660B"/>
    <w:rsid w:val="00596A81"/>
    <w:rsid w:val="005A0EB9"/>
    <w:rsid w:val="005A1006"/>
    <w:rsid w:val="005A1AD6"/>
    <w:rsid w:val="005A2E81"/>
    <w:rsid w:val="005A3404"/>
    <w:rsid w:val="005A53F6"/>
    <w:rsid w:val="005A5440"/>
    <w:rsid w:val="005A648E"/>
    <w:rsid w:val="005A732E"/>
    <w:rsid w:val="005B0412"/>
    <w:rsid w:val="005B1A74"/>
    <w:rsid w:val="005B2074"/>
    <w:rsid w:val="005B2427"/>
    <w:rsid w:val="005B2D76"/>
    <w:rsid w:val="005B33DF"/>
    <w:rsid w:val="005B5E53"/>
    <w:rsid w:val="005B7080"/>
    <w:rsid w:val="005B729A"/>
    <w:rsid w:val="005B7341"/>
    <w:rsid w:val="005B7B3C"/>
    <w:rsid w:val="005C0188"/>
    <w:rsid w:val="005C18C8"/>
    <w:rsid w:val="005C1A0E"/>
    <w:rsid w:val="005C1E12"/>
    <w:rsid w:val="005C2992"/>
    <w:rsid w:val="005C33AD"/>
    <w:rsid w:val="005C3F69"/>
    <w:rsid w:val="005D0D2A"/>
    <w:rsid w:val="005D25EE"/>
    <w:rsid w:val="005D2CB6"/>
    <w:rsid w:val="005D6B68"/>
    <w:rsid w:val="005D7701"/>
    <w:rsid w:val="005D7AC8"/>
    <w:rsid w:val="005D7D9C"/>
    <w:rsid w:val="005E0D66"/>
    <w:rsid w:val="005E1371"/>
    <w:rsid w:val="005E1417"/>
    <w:rsid w:val="005E1FD8"/>
    <w:rsid w:val="005E30A9"/>
    <w:rsid w:val="005E4052"/>
    <w:rsid w:val="005E42DC"/>
    <w:rsid w:val="005E447F"/>
    <w:rsid w:val="005E4B3B"/>
    <w:rsid w:val="005E66F2"/>
    <w:rsid w:val="005E69F1"/>
    <w:rsid w:val="005E739F"/>
    <w:rsid w:val="005E7D05"/>
    <w:rsid w:val="005F0CAB"/>
    <w:rsid w:val="005F0D66"/>
    <w:rsid w:val="005F0E61"/>
    <w:rsid w:val="005F2B9A"/>
    <w:rsid w:val="005F2BD7"/>
    <w:rsid w:val="005F7CC2"/>
    <w:rsid w:val="006000DA"/>
    <w:rsid w:val="00600577"/>
    <w:rsid w:val="00601605"/>
    <w:rsid w:val="00601B4A"/>
    <w:rsid w:val="00603B48"/>
    <w:rsid w:val="00604197"/>
    <w:rsid w:val="00604A83"/>
    <w:rsid w:val="00604E93"/>
    <w:rsid w:val="006054C9"/>
    <w:rsid w:val="00605734"/>
    <w:rsid w:val="00606721"/>
    <w:rsid w:val="00606B8F"/>
    <w:rsid w:val="00610CDC"/>
    <w:rsid w:val="00610D15"/>
    <w:rsid w:val="00611644"/>
    <w:rsid w:val="00611704"/>
    <w:rsid w:val="00612445"/>
    <w:rsid w:val="006124B3"/>
    <w:rsid w:val="0061368D"/>
    <w:rsid w:val="00613AF8"/>
    <w:rsid w:val="00613BB9"/>
    <w:rsid w:val="0061411E"/>
    <w:rsid w:val="006143F8"/>
    <w:rsid w:val="00614B61"/>
    <w:rsid w:val="0061556D"/>
    <w:rsid w:val="00616317"/>
    <w:rsid w:val="00616D44"/>
    <w:rsid w:val="00616F6D"/>
    <w:rsid w:val="00620370"/>
    <w:rsid w:val="00620ABA"/>
    <w:rsid w:val="00621425"/>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86B"/>
    <w:rsid w:val="00634CE0"/>
    <w:rsid w:val="00635FEF"/>
    <w:rsid w:val="00636808"/>
    <w:rsid w:val="00636CFC"/>
    <w:rsid w:val="006416E7"/>
    <w:rsid w:val="00642F9B"/>
    <w:rsid w:val="006432A5"/>
    <w:rsid w:val="00644070"/>
    <w:rsid w:val="006450E0"/>
    <w:rsid w:val="00645CD6"/>
    <w:rsid w:val="00646026"/>
    <w:rsid w:val="00646477"/>
    <w:rsid w:val="006469B1"/>
    <w:rsid w:val="00650384"/>
    <w:rsid w:val="006523BA"/>
    <w:rsid w:val="00652DE7"/>
    <w:rsid w:val="00653C7E"/>
    <w:rsid w:val="0065606C"/>
    <w:rsid w:val="00656628"/>
    <w:rsid w:val="006609AE"/>
    <w:rsid w:val="006617C2"/>
    <w:rsid w:val="006620D5"/>
    <w:rsid w:val="00662293"/>
    <w:rsid w:val="006622D4"/>
    <w:rsid w:val="00662A9F"/>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0E8A"/>
    <w:rsid w:val="00681090"/>
    <w:rsid w:val="006818AA"/>
    <w:rsid w:val="006820E0"/>
    <w:rsid w:val="00682901"/>
    <w:rsid w:val="006829BB"/>
    <w:rsid w:val="006834D0"/>
    <w:rsid w:val="00683EE8"/>
    <w:rsid w:val="00685F82"/>
    <w:rsid w:val="00687D68"/>
    <w:rsid w:val="006906EF"/>
    <w:rsid w:val="00690B82"/>
    <w:rsid w:val="00692F7B"/>
    <w:rsid w:val="00695D8D"/>
    <w:rsid w:val="00696195"/>
    <w:rsid w:val="0069737B"/>
    <w:rsid w:val="0069750C"/>
    <w:rsid w:val="006A00AF"/>
    <w:rsid w:val="006A0495"/>
    <w:rsid w:val="006A0780"/>
    <w:rsid w:val="006A0950"/>
    <w:rsid w:val="006A0B45"/>
    <w:rsid w:val="006A0CC6"/>
    <w:rsid w:val="006A30FA"/>
    <w:rsid w:val="006A3295"/>
    <w:rsid w:val="006A3DFE"/>
    <w:rsid w:val="006A5AE4"/>
    <w:rsid w:val="006A70F0"/>
    <w:rsid w:val="006A7278"/>
    <w:rsid w:val="006A76DE"/>
    <w:rsid w:val="006A799F"/>
    <w:rsid w:val="006B070F"/>
    <w:rsid w:val="006B0BCF"/>
    <w:rsid w:val="006B0DDB"/>
    <w:rsid w:val="006B17CB"/>
    <w:rsid w:val="006B1F4B"/>
    <w:rsid w:val="006B201B"/>
    <w:rsid w:val="006B265C"/>
    <w:rsid w:val="006B2EB5"/>
    <w:rsid w:val="006B43BB"/>
    <w:rsid w:val="006B4F22"/>
    <w:rsid w:val="006B7742"/>
    <w:rsid w:val="006C236D"/>
    <w:rsid w:val="006C3531"/>
    <w:rsid w:val="006C5326"/>
    <w:rsid w:val="006C5828"/>
    <w:rsid w:val="006C6482"/>
    <w:rsid w:val="006C65C2"/>
    <w:rsid w:val="006C75C7"/>
    <w:rsid w:val="006C7D48"/>
    <w:rsid w:val="006D0F80"/>
    <w:rsid w:val="006D11FE"/>
    <w:rsid w:val="006D13F8"/>
    <w:rsid w:val="006D15BA"/>
    <w:rsid w:val="006D16E4"/>
    <w:rsid w:val="006D19BC"/>
    <w:rsid w:val="006D22B8"/>
    <w:rsid w:val="006D3014"/>
    <w:rsid w:val="006D66F4"/>
    <w:rsid w:val="006D7210"/>
    <w:rsid w:val="006E06C0"/>
    <w:rsid w:val="006E230F"/>
    <w:rsid w:val="006E43A2"/>
    <w:rsid w:val="006E7D5D"/>
    <w:rsid w:val="006F0B9C"/>
    <w:rsid w:val="006F0D0A"/>
    <w:rsid w:val="006F34DE"/>
    <w:rsid w:val="006F58F6"/>
    <w:rsid w:val="006F7226"/>
    <w:rsid w:val="006F7AB0"/>
    <w:rsid w:val="00700BFB"/>
    <w:rsid w:val="00701C14"/>
    <w:rsid w:val="007021A9"/>
    <w:rsid w:val="00703FD6"/>
    <w:rsid w:val="0070439D"/>
    <w:rsid w:val="00704623"/>
    <w:rsid w:val="007051C7"/>
    <w:rsid w:val="00706B3A"/>
    <w:rsid w:val="00706B75"/>
    <w:rsid w:val="00707598"/>
    <w:rsid w:val="007100DB"/>
    <w:rsid w:val="00710285"/>
    <w:rsid w:val="007107C6"/>
    <w:rsid w:val="007116E6"/>
    <w:rsid w:val="00711CFB"/>
    <w:rsid w:val="00711FB2"/>
    <w:rsid w:val="00712EF0"/>
    <w:rsid w:val="007132E7"/>
    <w:rsid w:val="007137C6"/>
    <w:rsid w:val="00714276"/>
    <w:rsid w:val="007150CD"/>
    <w:rsid w:val="0071650C"/>
    <w:rsid w:val="00716D73"/>
    <w:rsid w:val="00721AFA"/>
    <w:rsid w:val="007238D5"/>
    <w:rsid w:val="00726076"/>
    <w:rsid w:val="007275F8"/>
    <w:rsid w:val="00727962"/>
    <w:rsid w:val="00727BC4"/>
    <w:rsid w:val="00727BFE"/>
    <w:rsid w:val="0073257C"/>
    <w:rsid w:val="007333EB"/>
    <w:rsid w:val="0073411F"/>
    <w:rsid w:val="00734178"/>
    <w:rsid w:val="007349E8"/>
    <w:rsid w:val="007365B8"/>
    <w:rsid w:val="00736D87"/>
    <w:rsid w:val="00737C7F"/>
    <w:rsid w:val="00737CB1"/>
    <w:rsid w:val="00740DA3"/>
    <w:rsid w:val="0074209F"/>
    <w:rsid w:val="0074255B"/>
    <w:rsid w:val="007431B7"/>
    <w:rsid w:val="00747804"/>
    <w:rsid w:val="007522AE"/>
    <w:rsid w:val="007537A3"/>
    <w:rsid w:val="00753B98"/>
    <w:rsid w:val="007554FA"/>
    <w:rsid w:val="00755A5D"/>
    <w:rsid w:val="007571D2"/>
    <w:rsid w:val="00762DA6"/>
    <w:rsid w:val="007632BA"/>
    <w:rsid w:val="007633CB"/>
    <w:rsid w:val="00763CD0"/>
    <w:rsid w:val="00763FC8"/>
    <w:rsid w:val="0076550D"/>
    <w:rsid w:val="00765DD7"/>
    <w:rsid w:val="0077014F"/>
    <w:rsid w:val="00770312"/>
    <w:rsid w:val="007707C0"/>
    <w:rsid w:val="00770E3A"/>
    <w:rsid w:val="00772785"/>
    <w:rsid w:val="00774A4B"/>
    <w:rsid w:val="007752B2"/>
    <w:rsid w:val="00775FC4"/>
    <w:rsid w:val="007766B9"/>
    <w:rsid w:val="00780037"/>
    <w:rsid w:val="007801B9"/>
    <w:rsid w:val="00780353"/>
    <w:rsid w:val="0078061D"/>
    <w:rsid w:val="007819BB"/>
    <w:rsid w:val="00782301"/>
    <w:rsid w:val="00783925"/>
    <w:rsid w:val="007842B2"/>
    <w:rsid w:val="007853CA"/>
    <w:rsid w:val="00786E0B"/>
    <w:rsid w:val="00787E47"/>
    <w:rsid w:val="00787F31"/>
    <w:rsid w:val="00790301"/>
    <w:rsid w:val="00791C53"/>
    <w:rsid w:val="007924EF"/>
    <w:rsid w:val="00793ADF"/>
    <w:rsid w:val="00793EA0"/>
    <w:rsid w:val="00793ECA"/>
    <w:rsid w:val="00794E01"/>
    <w:rsid w:val="007958AF"/>
    <w:rsid w:val="00796145"/>
    <w:rsid w:val="00796302"/>
    <w:rsid w:val="007977A5"/>
    <w:rsid w:val="00797849"/>
    <w:rsid w:val="007A0B2F"/>
    <w:rsid w:val="007A1357"/>
    <w:rsid w:val="007A1F68"/>
    <w:rsid w:val="007A23B5"/>
    <w:rsid w:val="007A29EC"/>
    <w:rsid w:val="007A415D"/>
    <w:rsid w:val="007A4915"/>
    <w:rsid w:val="007B07A6"/>
    <w:rsid w:val="007B0CB5"/>
    <w:rsid w:val="007B3937"/>
    <w:rsid w:val="007B3C00"/>
    <w:rsid w:val="007B436F"/>
    <w:rsid w:val="007C12AF"/>
    <w:rsid w:val="007C12B5"/>
    <w:rsid w:val="007C2A0A"/>
    <w:rsid w:val="007C33BF"/>
    <w:rsid w:val="007C489B"/>
    <w:rsid w:val="007C4B99"/>
    <w:rsid w:val="007C4C48"/>
    <w:rsid w:val="007C52D9"/>
    <w:rsid w:val="007C5342"/>
    <w:rsid w:val="007C5B87"/>
    <w:rsid w:val="007C73A6"/>
    <w:rsid w:val="007C7554"/>
    <w:rsid w:val="007C7834"/>
    <w:rsid w:val="007D353E"/>
    <w:rsid w:val="007D50A0"/>
    <w:rsid w:val="007D5BCD"/>
    <w:rsid w:val="007D67FF"/>
    <w:rsid w:val="007D6890"/>
    <w:rsid w:val="007E0E71"/>
    <w:rsid w:val="007E15FE"/>
    <w:rsid w:val="007E1C82"/>
    <w:rsid w:val="007E1CAC"/>
    <w:rsid w:val="007E1D38"/>
    <w:rsid w:val="007E2972"/>
    <w:rsid w:val="007E3764"/>
    <w:rsid w:val="007E455D"/>
    <w:rsid w:val="007E6FA9"/>
    <w:rsid w:val="007E7526"/>
    <w:rsid w:val="007E7DC1"/>
    <w:rsid w:val="007F11A0"/>
    <w:rsid w:val="007F1E33"/>
    <w:rsid w:val="007F219C"/>
    <w:rsid w:val="007F2DF8"/>
    <w:rsid w:val="007F3FB7"/>
    <w:rsid w:val="007F46C4"/>
    <w:rsid w:val="007F49DF"/>
    <w:rsid w:val="007F4BE5"/>
    <w:rsid w:val="007F4CA1"/>
    <w:rsid w:val="007F64F5"/>
    <w:rsid w:val="007F68CE"/>
    <w:rsid w:val="007F6A3D"/>
    <w:rsid w:val="007F75F7"/>
    <w:rsid w:val="007F7BFC"/>
    <w:rsid w:val="007F7CD8"/>
    <w:rsid w:val="007F7D95"/>
    <w:rsid w:val="00800EE5"/>
    <w:rsid w:val="00801CFD"/>
    <w:rsid w:val="00801DF7"/>
    <w:rsid w:val="00802070"/>
    <w:rsid w:val="00804E62"/>
    <w:rsid w:val="008054E6"/>
    <w:rsid w:val="008070FF"/>
    <w:rsid w:val="008128A7"/>
    <w:rsid w:val="00812920"/>
    <w:rsid w:val="008144DF"/>
    <w:rsid w:val="0081475B"/>
    <w:rsid w:val="00815478"/>
    <w:rsid w:val="00816CFD"/>
    <w:rsid w:val="00817AA4"/>
    <w:rsid w:val="0082056C"/>
    <w:rsid w:val="00820819"/>
    <w:rsid w:val="008208E5"/>
    <w:rsid w:val="00820E95"/>
    <w:rsid w:val="0082104F"/>
    <w:rsid w:val="00821191"/>
    <w:rsid w:val="00821445"/>
    <w:rsid w:val="00821D94"/>
    <w:rsid w:val="00824977"/>
    <w:rsid w:val="00825D9C"/>
    <w:rsid w:val="00826F7D"/>
    <w:rsid w:val="00827554"/>
    <w:rsid w:val="0083001C"/>
    <w:rsid w:val="0083009A"/>
    <w:rsid w:val="00830949"/>
    <w:rsid w:val="00831D23"/>
    <w:rsid w:val="008322E1"/>
    <w:rsid w:val="008324F1"/>
    <w:rsid w:val="00832831"/>
    <w:rsid w:val="008333E3"/>
    <w:rsid w:val="00833841"/>
    <w:rsid w:val="00834E70"/>
    <w:rsid w:val="00835214"/>
    <w:rsid w:val="00836263"/>
    <w:rsid w:val="008366A6"/>
    <w:rsid w:val="008403F7"/>
    <w:rsid w:val="00840ADD"/>
    <w:rsid w:val="0084178C"/>
    <w:rsid w:val="008436EC"/>
    <w:rsid w:val="00843D33"/>
    <w:rsid w:val="00845EAA"/>
    <w:rsid w:val="0084698C"/>
    <w:rsid w:val="00846CEF"/>
    <w:rsid w:val="00850E67"/>
    <w:rsid w:val="008512C3"/>
    <w:rsid w:val="00851EE6"/>
    <w:rsid w:val="00852D1F"/>
    <w:rsid w:val="00854056"/>
    <w:rsid w:val="00855112"/>
    <w:rsid w:val="008561B6"/>
    <w:rsid w:val="00860306"/>
    <w:rsid w:val="00860871"/>
    <w:rsid w:val="008612F0"/>
    <w:rsid w:val="00862F88"/>
    <w:rsid w:val="008638A2"/>
    <w:rsid w:val="00863D06"/>
    <w:rsid w:val="00865360"/>
    <w:rsid w:val="00866B6D"/>
    <w:rsid w:val="008700F1"/>
    <w:rsid w:val="00870253"/>
    <w:rsid w:val="008703F6"/>
    <w:rsid w:val="00871AB9"/>
    <w:rsid w:val="00874CD3"/>
    <w:rsid w:val="008755B4"/>
    <w:rsid w:val="008759DE"/>
    <w:rsid w:val="00876B06"/>
    <w:rsid w:val="00877089"/>
    <w:rsid w:val="008845F6"/>
    <w:rsid w:val="00884F0E"/>
    <w:rsid w:val="0088504D"/>
    <w:rsid w:val="0088577C"/>
    <w:rsid w:val="008862AB"/>
    <w:rsid w:val="0088701D"/>
    <w:rsid w:val="0088718E"/>
    <w:rsid w:val="00892B6D"/>
    <w:rsid w:val="0089322E"/>
    <w:rsid w:val="00893D17"/>
    <w:rsid w:val="008947A2"/>
    <w:rsid w:val="008968CC"/>
    <w:rsid w:val="00896CDF"/>
    <w:rsid w:val="008974DB"/>
    <w:rsid w:val="008A0677"/>
    <w:rsid w:val="008A26DB"/>
    <w:rsid w:val="008A3020"/>
    <w:rsid w:val="008A315D"/>
    <w:rsid w:val="008A4346"/>
    <w:rsid w:val="008A4A45"/>
    <w:rsid w:val="008A5CCB"/>
    <w:rsid w:val="008A63DF"/>
    <w:rsid w:val="008A6678"/>
    <w:rsid w:val="008A687B"/>
    <w:rsid w:val="008A78FF"/>
    <w:rsid w:val="008B016E"/>
    <w:rsid w:val="008B081C"/>
    <w:rsid w:val="008B16A1"/>
    <w:rsid w:val="008B1FE0"/>
    <w:rsid w:val="008B240E"/>
    <w:rsid w:val="008B3C50"/>
    <w:rsid w:val="008B3E16"/>
    <w:rsid w:val="008B791B"/>
    <w:rsid w:val="008C02A0"/>
    <w:rsid w:val="008C0F60"/>
    <w:rsid w:val="008C1539"/>
    <w:rsid w:val="008C41AE"/>
    <w:rsid w:val="008C7458"/>
    <w:rsid w:val="008D1089"/>
    <w:rsid w:val="008D123E"/>
    <w:rsid w:val="008D1D1D"/>
    <w:rsid w:val="008D282C"/>
    <w:rsid w:val="008D285E"/>
    <w:rsid w:val="008D32F6"/>
    <w:rsid w:val="008D5892"/>
    <w:rsid w:val="008D68B3"/>
    <w:rsid w:val="008D6BF3"/>
    <w:rsid w:val="008D7264"/>
    <w:rsid w:val="008E18CA"/>
    <w:rsid w:val="008E22E5"/>
    <w:rsid w:val="008E40DA"/>
    <w:rsid w:val="008E4215"/>
    <w:rsid w:val="008E4421"/>
    <w:rsid w:val="008E5067"/>
    <w:rsid w:val="008E65A4"/>
    <w:rsid w:val="008E6E3C"/>
    <w:rsid w:val="008F1C28"/>
    <w:rsid w:val="008F2987"/>
    <w:rsid w:val="008F3C39"/>
    <w:rsid w:val="008F49E2"/>
    <w:rsid w:val="008F6A2A"/>
    <w:rsid w:val="008F6F63"/>
    <w:rsid w:val="008F7422"/>
    <w:rsid w:val="008F74FF"/>
    <w:rsid w:val="0090066A"/>
    <w:rsid w:val="00900FD8"/>
    <w:rsid w:val="0090118F"/>
    <w:rsid w:val="00901489"/>
    <w:rsid w:val="00901DE2"/>
    <w:rsid w:val="00902323"/>
    <w:rsid w:val="00903353"/>
    <w:rsid w:val="00903A91"/>
    <w:rsid w:val="009046D8"/>
    <w:rsid w:val="00904E8A"/>
    <w:rsid w:val="0090784E"/>
    <w:rsid w:val="00907876"/>
    <w:rsid w:val="00912090"/>
    <w:rsid w:val="009140F3"/>
    <w:rsid w:val="0091504C"/>
    <w:rsid w:val="00915FF9"/>
    <w:rsid w:val="00916C72"/>
    <w:rsid w:val="009176A5"/>
    <w:rsid w:val="00917C14"/>
    <w:rsid w:val="00917F72"/>
    <w:rsid w:val="0092018A"/>
    <w:rsid w:val="009205A1"/>
    <w:rsid w:val="00920676"/>
    <w:rsid w:val="00920899"/>
    <w:rsid w:val="00920CC9"/>
    <w:rsid w:val="009212B4"/>
    <w:rsid w:val="00922004"/>
    <w:rsid w:val="0092483B"/>
    <w:rsid w:val="009250ED"/>
    <w:rsid w:val="00925670"/>
    <w:rsid w:val="00925B13"/>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30"/>
    <w:rsid w:val="00936E90"/>
    <w:rsid w:val="00937316"/>
    <w:rsid w:val="009407E9"/>
    <w:rsid w:val="00941771"/>
    <w:rsid w:val="00941966"/>
    <w:rsid w:val="00941E41"/>
    <w:rsid w:val="00942A0B"/>
    <w:rsid w:val="009430D5"/>
    <w:rsid w:val="00943675"/>
    <w:rsid w:val="009440A6"/>
    <w:rsid w:val="009442CC"/>
    <w:rsid w:val="00944AF3"/>
    <w:rsid w:val="00944B37"/>
    <w:rsid w:val="00945997"/>
    <w:rsid w:val="00947D8F"/>
    <w:rsid w:val="009505BC"/>
    <w:rsid w:val="00951A2A"/>
    <w:rsid w:val="00951A8F"/>
    <w:rsid w:val="009540B2"/>
    <w:rsid w:val="0095523A"/>
    <w:rsid w:val="009565F7"/>
    <w:rsid w:val="009577FB"/>
    <w:rsid w:val="00960216"/>
    <w:rsid w:val="00960257"/>
    <w:rsid w:val="009603FE"/>
    <w:rsid w:val="0096155C"/>
    <w:rsid w:val="00961795"/>
    <w:rsid w:val="00962378"/>
    <w:rsid w:val="009625F7"/>
    <w:rsid w:val="00963201"/>
    <w:rsid w:val="00963DEF"/>
    <w:rsid w:val="00964591"/>
    <w:rsid w:val="0096512E"/>
    <w:rsid w:val="00965389"/>
    <w:rsid w:val="0096591F"/>
    <w:rsid w:val="0096693D"/>
    <w:rsid w:val="00967DA1"/>
    <w:rsid w:val="0097126D"/>
    <w:rsid w:val="00971644"/>
    <w:rsid w:val="009732CC"/>
    <w:rsid w:val="0097335B"/>
    <w:rsid w:val="00973A50"/>
    <w:rsid w:val="00973A9D"/>
    <w:rsid w:val="00974329"/>
    <w:rsid w:val="00974A07"/>
    <w:rsid w:val="00974A6E"/>
    <w:rsid w:val="00975F28"/>
    <w:rsid w:val="00976F26"/>
    <w:rsid w:val="009770E2"/>
    <w:rsid w:val="0097735E"/>
    <w:rsid w:val="00980D50"/>
    <w:rsid w:val="0098194E"/>
    <w:rsid w:val="0098288F"/>
    <w:rsid w:val="009832FC"/>
    <w:rsid w:val="00983D3C"/>
    <w:rsid w:val="00984AFC"/>
    <w:rsid w:val="00986761"/>
    <w:rsid w:val="00987456"/>
    <w:rsid w:val="009907B1"/>
    <w:rsid w:val="00991B5D"/>
    <w:rsid w:val="00993093"/>
    <w:rsid w:val="009933A4"/>
    <w:rsid w:val="00994BC6"/>
    <w:rsid w:val="009952A4"/>
    <w:rsid w:val="009957E8"/>
    <w:rsid w:val="00995CC5"/>
    <w:rsid w:val="00996993"/>
    <w:rsid w:val="00996E52"/>
    <w:rsid w:val="00997129"/>
    <w:rsid w:val="00997D2F"/>
    <w:rsid w:val="00997EB4"/>
    <w:rsid w:val="009A11ED"/>
    <w:rsid w:val="009A1670"/>
    <w:rsid w:val="009A1D39"/>
    <w:rsid w:val="009A1F43"/>
    <w:rsid w:val="009A2077"/>
    <w:rsid w:val="009A256B"/>
    <w:rsid w:val="009A28CA"/>
    <w:rsid w:val="009A313A"/>
    <w:rsid w:val="009A3C5C"/>
    <w:rsid w:val="009A4828"/>
    <w:rsid w:val="009A486D"/>
    <w:rsid w:val="009A4E50"/>
    <w:rsid w:val="009A798A"/>
    <w:rsid w:val="009B0BC3"/>
    <w:rsid w:val="009B12E0"/>
    <w:rsid w:val="009B1AA2"/>
    <w:rsid w:val="009B2E27"/>
    <w:rsid w:val="009B392D"/>
    <w:rsid w:val="009C01D5"/>
    <w:rsid w:val="009C02FA"/>
    <w:rsid w:val="009C0F6A"/>
    <w:rsid w:val="009C1119"/>
    <w:rsid w:val="009C17D2"/>
    <w:rsid w:val="009C1A8B"/>
    <w:rsid w:val="009C1EAD"/>
    <w:rsid w:val="009C3607"/>
    <w:rsid w:val="009C3D7A"/>
    <w:rsid w:val="009C4F5A"/>
    <w:rsid w:val="009C60B7"/>
    <w:rsid w:val="009C6B36"/>
    <w:rsid w:val="009D2126"/>
    <w:rsid w:val="009D23A2"/>
    <w:rsid w:val="009D28C8"/>
    <w:rsid w:val="009D2C34"/>
    <w:rsid w:val="009D30D8"/>
    <w:rsid w:val="009D39E8"/>
    <w:rsid w:val="009D4419"/>
    <w:rsid w:val="009D4674"/>
    <w:rsid w:val="009D6A68"/>
    <w:rsid w:val="009D6BFB"/>
    <w:rsid w:val="009D7CF9"/>
    <w:rsid w:val="009D7D0A"/>
    <w:rsid w:val="009E013E"/>
    <w:rsid w:val="009E125A"/>
    <w:rsid w:val="009E19FE"/>
    <w:rsid w:val="009E29A7"/>
    <w:rsid w:val="009E2F42"/>
    <w:rsid w:val="009E3F45"/>
    <w:rsid w:val="009E5409"/>
    <w:rsid w:val="009E731F"/>
    <w:rsid w:val="009E7A38"/>
    <w:rsid w:val="009E7AC5"/>
    <w:rsid w:val="009F076F"/>
    <w:rsid w:val="009F0A77"/>
    <w:rsid w:val="009F116E"/>
    <w:rsid w:val="009F3A67"/>
    <w:rsid w:val="009F509A"/>
    <w:rsid w:val="009F5EF4"/>
    <w:rsid w:val="009F658C"/>
    <w:rsid w:val="009F6C22"/>
    <w:rsid w:val="009F6D84"/>
    <w:rsid w:val="009F6F02"/>
    <w:rsid w:val="009F750D"/>
    <w:rsid w:val="009F7966"/>
    <w:rsid w:val="00A01341"/>
    <w:rsid w:val="00A02C8E"/>
    <w:rsid w:val="00A03185"/>
    <w:rsid w:val="00A0349B"/>
    <w:rsid w:val="00A03B76"/>
    <w:rsid w:val="00A03EDC"/>
    <w:rsid w:val="00A04F18"/>
    <w:rsid w:val="00A05147"/>
    <w:rsid w:val="00A05E5A"/>
    <w:rsid w:val="00A06AF7"/>
    <w:rsid w:val="00A07600"/>
    <w:rsid w:val="00A104A6"/>
    <w:rsid w:val="00A12A9D"/>
    <w:rsid w:val="00A153BB"/>
    <w:rsid w:val="00A1588D"/>
    <w:rsid w:val="00A17446"/>
    <w:rsid w:val="00A2162A"/>
    <w:rsid w:val="00A221CB"/>
    <w:rsid w:val="00A222DA"/>
    <w:rsid w:val="00A223D3"/>
    <w:rsid w:val="00A2305E"/>
    <w:rsid w:val="00A231A9"/>
    <w:rsid w:val="00A24522"/>
    <w:rsid w:val="00A24F8D"/>
    <w:rsid w:val="00A26BB2"/>
    <w:rsid w:val="00A2767B"/>
    <w:rsid w:val="00A305E5"/>
    <w:rsid w:val="00A32ABB"/>
    <w:rsid w:val="00A33D1D"/>
    <w:rsid w:val="00A37318"/>
    <w:rsid w:val="00A379FF"/>
    <w:rsid w:val="00A40251"/>
    <w:rsid w:val="00A40905"/>
    <w:rsid w:val="00A4235A"/>
    <w:rsid w:val="00A42EC4"/>
    <w:rsid w:val="00A43A60"/>
    <w:rsid w:val="00A448CA"/>
    <w:rsid w:val="00A44DA7"/>
    <w:rsid w:val="00A50397"/>
    <w:rsid w:val="00A50D1D"/>
    <w:rsid w:val="00A518D5"/>
    <w:rsid w:val="00A54E9E"/>
    <w:rsid w:val="00A5516A"/>
    <w:rsid w:val="00A5683C"/>
    <w:rsid w:val="00A57914"/>
    <w:rsid w:val="00A57FED"/>
    <w:rsid w:val="00A60395"/>
    <w:rsid w:val="00A6086E"/>
    <w:rsid w:val="00A62733"/>
    <w:rsid w:val="00A62E39"/>
    <w:rsid w:val="00A63A54"/>
    <w:rsid w:val="00A6438F"/>
    <w:rsid w:val="00A65340"/>
    <w:rsid w:val="00A656CC"/>
    <w:rsid w:val="00A65FEE"/>
    <w:rsid w:val="00A6644B"/>
    <w:rsid w:val="00A66D95"/>
    <w:rsid w:val="00A67F8A"/>
    <w:rsid w:val="00A7000B"/>
    <w:rsid w:val="00A70F5D"/>
    <w:rsid w:val="00A720E0"/>
    <w:rsid w:val="00A729CB"/>
    <w:rsid w:val="00A75BB6"/>
    <w:rsid w:val="00A75C4E"/>
    <w:rsid w:val="00A75E3C"/>
    <w:rsid w:val="00A76790"/>
    <w:rsid w:val="00A7766D"/>
    <w:rsid w:val="00A77688"/>
    <w:rsid w:val="00A80D48"/>
    <w:rsid w:val="00A80E24"/>
    <w:rsid w:val="00A8109B"/>
    <w:rsid w:val="00A81152"/>
    <w:rsid w:val="00A81F65"/>
    <w:rsid w:val="00A8284B"/>
    <w:rsid w:val="00A82CE7"/>
    <w:rsid w:val="00A8386D"/>
    <w:rsid w:val="00A84AAE"/>
    <w:rsid w:val="00A84F54"/>
    <w:rsid w:val="00A8537F"/>
    <w:rsid w:val="00A90116"/>
    <w:rsid w:val="00A91266"/>
    <w:rsid w:val="00A9230E"/>
    <w:rsid w:val="00A93DD0"/>
    <w:rsid w:val="00A95655"/>
    <w:rsid w:val="00A95D80"/>
    <w:rsid w:val="00A96736"/>
    <w:rsid w:val="00A969C1"/>
    <w:rsid w:val="00A96C60"/>
    <w:rsid w:val="00A97216"/>
    <w:rsid w:val="00AA1BD7"/>
    <w:rsid w:val="00AA2E42"/>
    <w:rsid w:val="00AA4DD6"/>
    <w:rsid w:val="00AA5311"/>
    <w:rsid w:val="00AA64DA"/>
    <w:rsid w:val="00AA7BA6"/>
    <w:rsid w:val="00AA7FF7"/>
    <w:rsid w:val="00AB26E4"/>
    <w:rsid w:val="00AB3874"/>
    <w:rsid w:val="00AB3E9A"/>
    <w:rsid w:val="00AB4EBB"/>
    <w:rsid w:val="00AB6417"/>
    <w:rsid w:val="00AB706A"/>
    <w:rsid w:val="00AB7849"/>
    <w:rsid w:val="00AC294F"/>
    <w:rsid w:val="00AC2985"/>
    <w:rsid w:val="00AC3654"/>
    <w:rsid w:val="00AC52E0"/>
    <w:rsid w:val="00AC60C9"/>
    <w:rsid w:val="00AC6513"/>
    <w:rsid w:val="00AC6A2F"/>
    <w:rsid w:val="00AC6A3E"/>
    <w:rsid w:val="00AD12F9"/>
    <w:rsid w:val="00AD1D21"/>
    <w:rsid w:val="00AD2E07"/>
    <w:rsid w:val="00AD347F"/>
    <w:rsid w:val="00AD362D"/>
    <w:rsid w:val="00AD4838"/>
    <w:rsid w:val="00AD4A93"/>
    <w:rsid w:val="00AD648C"/>
    <w:rsid w:val="00AD65AF"/>
    <w:rsid w:val="00AD6C2E"/>
    <w:rsid w:val="00AD6CA1"/>
    <w:rsid w:val="00AD73AD"/>
    <w:rsid w:val="00AD7C3E"/>
    <w:rsid w:val="00AE15DA"/>
    <w:rsid w:val="00AE5086"/>
    <w:rsid w:val="00AE5BE2"/>
    <w:rsid w:val="00AE633D"/>
    <w:rsid w:val="00AE6AD7"/>
    <w:rsid w:val="00AE74DF"/>
    <w:rsid w:val="00AE7976"/>
    <w:rsid w:val="00AE7DD2"/>
    <w:rsid w:val="00AF0425"/>
    <w:rsid w:val="00AF0F41"/>
    <w:rsid w:val="00AF1CFE"/>
    <w:rsid w:val="00AF221A"/>
    <w:rsid w:val="00AF2714"/>
    <w:rsid w:val="00AF3341"/>
    <w:rsid w:val="00AF340F"/>
    <w:rsid w:val="00AF46FC"/>
    <w:rsid w:val="00AF4A6E"/>
    <w:rsid w:val="00AF5006"/>
    <w:rsid w:val="00AF6727"/>
    <w:rsid w:val="00AF7E7E"/>
    <w:rsid w:val="00B00D17"/>
    <w:rsid w:val="00B012DD"/>
    <w:rsid w:val="00B01A8C"/>
    <w:rsid w:val="00B01D29"/>
    <w:rsid w:val="00B0250F"/>
    <w:rsid w:val="00B03DC7"/>
    <w:rsid w:val="00B040A0"/>
    <w:rsid w:val="00B046F6"/>
    <w:rsid w:val="00B04B00"/>
    <w:rsid w:val="00B05276"/>
    <w:rsid w:val="00B05CCB"/>
    <w:rsid w:val="00B05CF1"/>
    <w:rsid w:val="00B063BC"/>
    <w:rsid w:val="00B07369"/>
    <w:rsid w:val="00B07CF5"/>
    <w:rsid w:val="00B11143"/>
    <w:rsid w:val="00B11D22"/>
    <w:rsid w:val="00B11EF8"/>
    <w:rsid w:val="00B16143"/>
    <w:rsid w:val="00B17968"/>
    <w:rsid w:val="00B203C6"/>
    <w:rsid w:val="00B20AFF"/>
    <w:rsid w:val="00B232C2"/>
    <w:rsid w:val="00B2443F"/>
    <w:rsid w:val="00B24772"/>
    <w:rsid w:val="00B24C3D"/>
    <w:rsid w:val="00B272E5"/>
    <w:rsid w:val="00B3059B"/>
    <w:rsid w:val="00B32C50"/>
    <w:rsid w:val="00B3314B"/>
    <w:rsid w:val="00B33EE7"/>
    <w:rsid w:val="00B36610"/>
    <w:rsid w:val="00B36A21"/>
    <w:rsid w:val="00B37CF6"/>
    <w:rsid w:val="00B409DE"/>
    <w:rsid w:val="00B412A6"/>
    <w:rsid w:val="00B4510D"/>
    <w:rsid w:val="00B4666E"/>
    <w:rsid w:val="00B47E12"/>
    <w:rsid w:val="00B50267"/>
    <w:rsid w:val="00B511E5"/>
    <w:rsid w:val="00B5165C"/>
    <w:rsid w:val="00B51D10"/>
    <w:rsid w:val="00B51D89"/>
    <w:rsid w:val="00B51F3B"/>
    <w:rsid w:val="00B52CF8"/>
    <w:rsid w:val="00B52EB5"/>
    <w:rsid w:val="00B53E0C"/>
    <w:rsid w:val="00B540D6"/>
    <w:rsid w:val="00B54B12"/>
    <w:rsid w:val="00B55B59"/>
    <w:rsid w:val="00B55DFC"/>
    <w:rsid w:val="00B6456C"/>
    <w:rsid w:val="00B6699F"/>
    <w:rsid w:val="00B6701C"/>
    <w:rsid w:val="00B6744E"/>
    <w:rsid w:val="00B6749F"/>
    <w:rsid w:val="00B67BC4"/>
    <w:rsid w:val="00B71A2D"/>
    <w:rsid w:val="00B73931"/>
    <w:rsid w:val="00B75A06"/>
    <w:rsid w:val="00B764D5"/>
    <w:rsid w:val="00B76C86"/>
    <w:rsid w:val="00B77704"/>
    <w:rsid w:val="00B80ED8"/>
    <w:rsid w:val="00B8138D"/>
    <w:rsid w:val="00B82CCF"/>
    <w:rsid w:val="00B82F55"/>
    <w:rsid w:val="00B836A4"/>
    <w:rsid w:val="00B8428C"/>
    <w:rsid w:val="00B85EB6"/>
    <w:rsid w:val="00B863BC"/>
    <w:rsid w:val="00B8656B"/>
    <w:rsid w:val="00B879F1"/>
    <w:rsid w:val="00B87E37"/>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6C3"/>
    <w:rsid w:val="00BA387B"/>
    <w:rsid w:val="00BA3B18"/>
    <w:rsid w:val="00BA41D2"/>
    <w:rsid w:val="00BA588C"/>
    <w:rsid w:val="00BA61B9"/>
    <w:rsid w:val="00BA6504"/>
    <w:rsid w:val="00BA6704"/>
    <w:rsid w:val="00BA7E01"/>
    <w:rsid w:val="00BB0E67"/>
    <w:rsid w:val="00BB0F2C"/>
    <w:rsid w:val="00BB1C20"/>
    <w:rsid w:val="00BB31FD"/>
    <w:rsid w:val="00BB4751"/>
    <w:rsid w:val="00BB47D2"/>
    <w:rsid w:val="00BB7564"/>
    <w:rsid w:val="00BB7F10"/>
    <w:rsid w:val="00BC09E9"/>
    <w:rsid w:val="00BC186A"/>
    <w:rsid w:val="00BC1A5C"/>
    <w:rsid w:val="00BC21ED"/>
    <w:rsid w:val="00BC3192"/>
    <w:rsid w:val="00BC3A5E"/>
    <w:rsid w:val="00BC4446"/>
    <w:rsid w:val="00BC466B"/>
    <w:rsid w:val="00BC49E8"/>
    <w:rsid w:val="00BC4AE2"/>
    <w:rsid w:val="00BC4C8A"/>
    <w:rsid w:val="00BC5C6F"/>
    <w:rsid w:val="00BC6A5E"/>
    <w:rsid w:val="00BC6FF0"/>
    <w:rsid w:val="00BC7C5E"/>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0829"/>
    <w:rsid w:val="00BF2655"/>
    <w:rsid w:val="00BF2ABC"/>
    <w:rsid w:val="00BF55D9"/>
    <w:rsid w:val="00BF6253"/>
    <w:rsid w:val="00BF6277"/>
    <w:rsid w:val="00BF72E6"/>
    <w:rsid w:val="00BF77DD"/>
    <w:rsid w:val="00C022FB"/>
    <w:rsid w:val="00C04EE3"/>
    <w:rsid w:val="00C05160"/>
    <w:rsid w:val="00C06549"/>
    <w:rsid w:val="00C06CB7"/>
    <w:rsid w:val="00C1241A"/>
    <w:rsid w:val="00C12D5A"/>
    <w:rsid w:val="00C138E9"/>
    <w:rsid w:val="00C14BF7"/>
    <w:rsid w:val="00C16A75"/>
    <w:rsid w:val="00C16FC9"/>
    <w:rsid w:val="00C17624"/>
    <w:rsid w:val="00C17849"/>
    <w:rsid w:val="00C20221"/>
    <w:rsid w:val="00C22026"/>
    <w:rsid w:val="00C24064"/>
    <w:rsid w:val="00C24A21"/>
    <w:rsid w:val="00C24D92"/>
    <w:rsid w:val="00C24E3C"/>
    <w:rsid w:val="00C2521A"/>
    <w:rsid w:val="00C27C39"/>
    <w:rsid w:val="00C27EE7"/>
    <w:rsid w:val="00C30495"/>
    <w:rsid w:val="00C312EE"/>
    <w:rsid w:val="00C31D55"/>
    <w:rsid w:val="00C31FBD"/>
    <w:rsid w:val="00C33624"/>
    <w:rsid w:val="00C349D3"/>
    <w:rsid w:val="00C35435"/>
    <w:rsid w:val="00C35578"/>
    <w:rsid w:val="00C37080"/>
    <w:rsid w:val="00C37364"/>
    <w:rsid w:val="00C3740E"/>
    <w:rsid w:val="00C377A2"/>
    <w:rsid w:val="00C3799C"/>
    <w:rsid w:val="00C403E4"/>
    <w:rsid w:val="00C4048F"/>
    <w:rsid w:val="00C40669"/>
    <w:rsid w:val="00C41496"/>
    <w:rsid w:val="00C42C67"/>
    <w:rsid w:val="00C42DD5"/>
    <w:rsid w:val="00C441A4"/>
    <w:rsid w:val="00C46EB3"/>
    <w:rsid w:val="00C47786"/>
    <w:rsid w:val="00C50B98"/>
    <w:rsid w:val="00C52197"/>
    <w:rsid w:val="00C5222B"/>
    <w:rsid w:val="00C527C1"/>
    <w:rsid w:val="00C536D4"/>
    <w:rsid w:val="00C53915"/>
    <w:rsid w:val="00C55F2D"/>
    <w:rsid w:val="00C577AE"/>
    <w:rsid w:val="00C61B66"/>
    <w:rsid w:val="00C61CF0"/>
    <w:rsid w:val="00C625CB"/>
    <w:rsid w:val="00C63ED7"/>
    <w:rsid w:val="00C654BF"/>
    <w:rsid w:val="00C65620"/>
    <w:rsid w:val="00C67FD0"/>
    <w:rsid w:val="00C703FE"/>
    <w:rsid w:val="00C70483"/>
    <w:rsid w:val="00C7065B"/>
    <w:rsid w:val="00C70DBB"/>
    <w:rsid w:val="00C72052"/>
    <w:rsid w:val="00C745A7"/>
    <w:rsid w:val="00C74BF9"/>
    <w:rsid w:val="00C750FA"/>
    <w:rsid w:val="00C77881"/>
    <w:rsid w:val="00C77E1E"/>
    <w:rsid w:val="00C80BD4"/>
    <w:rsid w:val="00C82444"/>
    <w:rsid w:val="00C833BA"/>
    <w:rsid w:val="00C83A12"/>
    <w:rsid w:val="00C84C1D"/>
    <w:rsid w:val="00C85383"/>
    <w:rsid w:val="00C85E2D"/>
    <w:rsid w:val="00C86304"/>
    <w:rsid w:val="00C87454"/>
    <w:rsid w:val="00C90494"/>
    <w:rsid w:val="00C9053F"/>
    <w:rsid w:val="00C919D4"/>
    <w:rsid w:val="00C927E2"/>
    <w:rsid w:val="00C944D2"/>
    <w:rsid w:val="00C9460D"/>
    <w:rsid w:val="00C948C3"/>
    <w:rsid w:val="00C94C28"/>
    <w:rsid w:val="00C94F97"/>
    <w:rsid w:val="00C95162"/>
    <w:rsid w:val="00C95379"/>
    <w:rsid w:val="00C953EE"/>
    <w:rsid w:val="00C95B42"/>
    <w:rsid w:val="00C9626E"/>
    <w:rsid w:val="00C96E07"/>
    <w:rsid w:val="00C977CB"/>
    <w:rsid w:val="00C97B53"/>
    <w:rsid w:val="00C97D21"/>
    <w:rsid w:val="00CA1125"/>
    <w:rsid w:val="00CA12EE"/>
    <w:rsid w:val="00CA1727"/>
    <w:rsid w:val="00CA18CC"/>
    <w:rsid w:val="00CA1F2E"/>
    <w:rsid w:val="00CA2A0E"/>
    <w:rsid w:val="00CA2D3D"/>
    <w:rsid w:val="00CA3199"/>
    <w:rsid w:val="00CA38E6"/>
    <w:rsid w:val="00CA4A09"/>
    <w:rsid w:val="00CA5910"/>
    <w:rsid w:val="00CA5EAD"/>
    <w:rsid w:val="00CA6026"/>
    <w:rsid w:val="00CA63EE"/>
    <w:rsid w:val="00CA7D4E"/>
    <w:rsid w:val="00CA7E38"/>
    <w:rsid w:val="00CB1BA9"/>
    <w:rsid w:val="00CB286E"/>
    <w:rsid w:val="00CB2D3E"/>
    <w:rsid w:val="00CB4F3D"/>
    <w:rsid w:val="00CB5A1D"/>
    <w:rsid w:val="00CB677D"/>
    <w:rsid w:val="00CB7D37"/>
    <w:rsid w:val="00CB7FF6"/>
    <w:rsid w:val="00CC02DD"/>
    <w:rsid w:val="00CC2048"/>
    <w:rsid w:val="00CC2C14"/>
    <w:rsid w:val="00CC2E48"/>
    <w:rsid w:val="00CC42C8"/>
    <w:rsid w:val="00CC4478"/>
    <w:rsid w:val="00CC463F"/>
    <w:rsid w:val="00CC4B7B"/>
    <w:rsid w:val="00CC51A6"/>
    <w:rsid w:val="00CC5F44"/>
    <w:rsid w:val="00CC6B9A"/>
    <w:rsid w:val="00CC6EE0"/>
    <w:rsid w:val="00CD00E5"/>
    <w:rsid w:val="00CD06F8"/>
    <w:rsid w:val="00CD092E"/>
    <w:rsid w:val="00CD09F1"/>
    <w:rsid w:val="00CD1282"/>
    <w:rsid w:val="00CD1496"/>
    <w:rsid w:val="00CD250D"/>
    <w:rsid w:val="00CD25DC"/>
    <w:rsid w:val="00CD3A3B"/>
    <w:rsid w:val="00CD40F3"/>
    <w:rsid w:val="00CD41B4"/>
    <w:rsid w:val="00CD46EC"/>
    <w:rsid w:val="00CD4C3F"/>
    <w:rsid w:val="00CD53E3"/>
    <w:rsid w:val="00CD568B"/>
    <w:rsid w:val="00CD7D4A"/>
    <w:rsid w:val="00CE1DC1"/>
    <w:rsid w:val="00CE2706"/>
    <w:rsid w:val="00CE4BF6"/>
    <w:rsid w:val="00CE6037"/>
    <w:rsid w:val="00CE7AFD"/>
    <w:rsid w:val="00CE7CF5"/>
    <w:rsid w:val="00CF0C6F"/>
    <w:rsid w:val="00CF1EC5"/>
    <w:rsid w:val="00CF20CE"/>
    <w:rsid w:val="00CF2159"/>
    <w:rsid w:val="00CF3811"/>
    <w:rsid w:val="00CF4298"/>
    <w:rsid w:val="00CF72C7"/>
    <w:rsid w:val="00CF7939"/>
    <w:rsid w:val="00D01DB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573"/>
    <w:rsid w:val="00D22BC7"/>
    <w:rsid w:val="00D25888"/>
    <w:rsid w:val="00D25C84"/>
    <w:rsid w:val="00D262A0"/>
    <w:rsid w:val="00D27163"/>
    <w:rsid w:val="00D27234"/>
    <w:rsid w:val="00D30FD0"/>
    <w:rsid w:val="00D31255"/>
    <w:rsid w:val="00D312F9"/>
    <w:rsid w:val="00D31621"/>
    <w:rsid w:val="00D32800"/>
    <w:rsid w:val="00D32FCF"/>
    <w:rsid w:val="00D330BF"/>
    <w:rsid w:val="00D33F5A"/>
    <w:rsid w:val="00D3580C"/>
    <w:rsid w:val="00D35C51"/>
    <w:rsid w:val="00D365FA"/>
    <w:rsid w:val="00D36935"/>
    <w:rsid w:val="00D37540"/>
    <w:rsid w:val="00D37AD1"/>
    <w:rsid w:val="00D37C30"/>
    <w:rsid w:val="00D37EA4"/>
    <w:rsid w:val="00D408BE"/>
    <w:rsid w:val="00D40D1E"/>
    <w:rsid w:val="00D4298C"/>
    <w:rsid w:val="00D43603"/>
    <w:rsid w:val="00D44113"/>
    <w:rsid w:val="00D44E72"/>
    <w:rsid w:val="00D459AB"/>
    <w:rsid w:val="00D462BE"/>
    <w:rsid w:val="00D463CB"/>
    <w:rsid w:val="00D464B4"/>
    <w:rsid w:val="00D46D54"/>
    <w:rsid w:val="00D4771C"/>
    <w:rsid w:val="00D510B0"/>
    <w:rsid w:val="00D52934"/>
    <w:rsid w:val="00D53759"/>
    <w:rsid w:val="00D54BB0"/>
    <w:rsid w:val="00D56B38"/>
    <w:rsid w:val="00D56E99"/>
    <w:rsid w:val="00D57369"/>
    <w:rsid w:val="00D6018C"/>
    <w:rsid w:val="00D6117B"/>
    <w:rsid w:val="00D615DB"/>
    <w:rsid w:val="00D61C51"/>
    <w:rsid w:val="00D62C85"/>
    <w:rsid w:val="00D63548"/>
    <w:rsid w:val="00D6391A"/>
    <w:rsid w:val="00D63C2F"/>
    <w:rsid w:val="00D63DE3"/>
    <w:rsid w:val="00D64034"/>
    <w:rsid w:val="00D644A2"/>
    <w:rsid w:val="00D64F9C"/>
    <w:rsid w:val="00D65282"/>
    <w:rsid w:val="00D65A9D"/>
    <w:rsid w:val="00D66A6A"/>
    <w:rsid w:val="00D6740E"/>
    <w:rsid w:val="00D7031E"/>
    <w:rsid w:val="00D70334"/>
    <w:rsid w:val="00D71243"/>
    <w:rsid w:val="00D717AD"/>
    <w:rsid w:val="00D71EA3"/>
    <w:rsid w:val="00D72C36"/>
    <w:rsid w:val="00D73CA4"/>
    <w:rsid w:val="00D753B9"/>
    <w:rsid w:val="00D75500"/>
    <w:rsid w:val="00D75587"/>
    <w:rsid w:val="00D755AE"/>
    <w:rsid w:val="00D77668"/>
    <w:rsid w:val="00D80026"/>
    <w:rsid w:val="00D8044A"/>
    <w:rsid w:val="00D80F65"/>
    <w:rsid w:val="00D827EF"/>
    <w:rsid w:val="00D83E47"/>
    <w:rsid w:val="00D854A2"/>
    <w:rsid w:val="00D85ECE"/>
    <w:rsid w:val="00D86A7E"/>
    <w:rsid w:val="00D86C5F"/>
    <w:rsid w:val="00D86E8F"/>
    <w:rsid w:val="00D86EB9"/>
    <w:rsid w:val="00D87450"/>
    <w:rsid w:val="00D87A3B"/>
    <w:rsid w:val="00D87CE0"/>
    <w:rsid w:val="00D91AD5"/>
    <w:rsid w:val="00D92BB1"/>
    <w:rsid w:val="00D92CDF"/>
    <w:rsid w:val="00D93431"/>
    <w:rsid w:val="00D93F9F"/>
    <w:rsid w:val="00D941CB"/>
    <w:rsid w:val="00D94AC3"/>
    <w:rsid w:val="00D95F7A"/>
    <w:rsid w:val="00D968E9"/>
    <w:rsid w:val="00DA06C2"/>
    <w:rsid w:val="00DA0999"/>
    <w:rsid w:val="00DA2E3B"/>
    <w:rsid w:val="00DA3CAD"/>
    <w:rsid w:val="00DA6959"/>
    <w:rsid w:val="00DA6A64"/>
    <w:rsid w:val="00DA78A1"/>
    <w:rsid w:val="00DA7920"/>
    <w:rsid w:val="00DB02F5"/>
    <w:rsid w:val="00DB0494"/>
    <w:rsid w:val="00DB090B"/>
    <w:rsid w:val="00DB0BC6"/>
    <w:rsid w:val="00DB16AC"/>
    <w:rsid w:val="00DB27CE"/>
    <w:rsid w:val="00DB35C9"/>
    <w:rsid w:val="00DB4858"/>
    <w:rsid w:val="00DB486F"/>
    <w:rsid w:val="00DB58EE"/>
    <w:rsid w:val="00DB7734"/>
    <w:rsid w:val="00DB7F30"/>
    <w:rsid w:val="00DB7FEE"/>
    <w:rsid w:val="00DC0377"/>
    <w:rsid w:val="00DC0991"/>
    <w:rsid w:val="00DC2336"/>
    <w:rsid w:val="00DC4387"/>
    <w:rsid w:val="00DC46C7"/>
    <w:rsid w:val="00DC6922"/>
    <w:rsid w:val="00DC7435"/>
    <w:rsid w:val="00DC79DC"/>
    <w:rsid w:val="00DD245F"/>
    <w:rsid w:val="00DD2CAA"/>
    <w:rsid w:val="00DD2F94"/>
    <w:rsid w:val="00DD4441"/>
    <w:rsid w:val="00DD46B7"/>
    <w:rsid w:val="00DD47A7"/>
    <w:rsid w:val="00DD4C53"/>
    <w:rsid w:val="00DD6D50"/>
    <w:rsid w:val="00DE031C"/>
    <w:rsid w:val="00DE089E"/>
    <w:rsid w:val="00DE29DE"/>
    <w:rsid w:val="00DE33CC"/>
    <w:rsid w:val="00DE362D"/>
    <w:rsid w:val="00DE48E7"/>
    <w:rsid w:val="00DE6B9E"/>
    <w:rsid w:val="00DE7E55"/>
    <w:rsid w:val="00DF0382"/>
    <w:rsid w:val="00DF058D"/>
    <w:rsid w:val="00DF1E16"/>
    <w:rsid w:val="00DF225D"/>
    <w:rsid w:val="00DF2D6F"/>
    <w:rsid w:val="00DF3D6B"/>
    <w:rsid w:val="00DF44A0"/>
    <w:rsid w:val="00DF4831"/>
    <w:rsid w:val="00DF492D"/>
    <w:rsid w:val="00DF5778"/>
    <w:rsid w:val="00DF641A"/>
    <w:rsid w:val="00E00008"/>
    <w:rsid w:val="00E0027D"/>
    <w:rsid w:val="00E00DC3"/>
    <w:rsid w:val="00E01973"/>
    <w:rsid w:val="00E03B30"/>
    <w:rsid w:val="00E04413"/>
    <w:rsid w:val="00E04E58"/>
    <w:rsid w:val="00E05BD4"/>
    <w:rsid w:val="00E067E5"/>
    <w:rsid w:val="00E0771B"/>
    <w:rsid w:val="00E07C23"/>
    <w:rsid w:val="00E07D76"/>
    <w:rsid w:val="00E10D0A"/>
    <w:rsid w:val="00E110F0"/>
    <w:rsid w:val="00E1125B"/>
    <w:rsid w:val="00E1166D"/>
    <w:rsid w:val="00E14AD1"/>
    <w:rsid w:val="00E15550"/>
    <w:rsid w:val="00E170FE"/>
    <w:rsid w:val="00E17B85"/>
    <w:rsid w:val="00E17DA9"/>
    <w:rsid w:val="00E215DC"/>
    <w:rsid w:val="00E2250E"/>
    <w:rsid w:val="00E22DA1"/>
    <w:rsid w:val="00E23018"/>
    <w:rsid w:val="00E231DF"/>
    <w:rsid w:val="00E235F5"/>
    <w:rsid w:val="00E24A83"/>
    <w:rsid w:val="00E25E95"/>
    <w:rsid w:val="00E26369"/>
    <w:rsid w:val="00E2655D"/>
    <w:rsid w:val="00E2658D"/>
    <w:rsid w:val="00E266DB"/>
    <w:rsid w:val="00E2674B"/>
    <w:rsid w:val="00E2699F"/>
    <w:rsid w:val="00E26B54"/>
    <w:rsid w:val="00E27233"/>
    <w:rsid w:val="00E303DD"/>
    <w:rsid w:val="00E3049F"/>
    <w:rsid w:val="00E328BF"/>
    <w:rsid w:val="00E33FF5"/>
    <w:rsid w:val="00E34C21"/>
    <w:rsid w:val="00E35BD2"/>
    <w:rsid w:val="00E35FCC"/>
    <w:rsid w:val="00E3624B"/>
    <w:rsid w:val="00E36CC1"/>
    <w:rsid w:val="00E36E69"/>
    <w:rsid w:val="00E375F6"/>
    <w:rsid w:val="00E37704"/>
    <w:rsid w:val="00E425FA"/>
    <w:rsid w:val="00E42C6A"/>
    <w:rsid w:val="00E435FA"/>
    <w:rsid w:val="00E4367B"/>
    <w:rsid w:val="00E43DCF"/>
    <w:rsid w:val="00E45573"/>
    <w:rsid w:val="00E45E63"/>
    <w:rsid w:val="00E469C0"/>
    <w:rsid w:val="00E46A32"/>
    <w:rsid w:val="00E46F8F"/>
    <w:rsid w:val="00E506D7"/>
    <w:rsid w:val="00E50E8E"/>
    <w:rsid w:val="00E525D7"/>
    <w:rsid w:val="00E52B33"/>
    <w:rsid w:val="00E52B56"/>
    <w:rsid w:val="00E535AF"/>
    <w:rsid w:val="00E55E07"/>
    <w:rsid w:val="00E56AE2"/>
    <w:rsid w:val="00E5738A"/>
    <w:rsid w:val="00E57716"/>
    <w:rsid w:val="00E57ADB"/>
    <w:rsid w:val="00E605D3"/>
    <w:rsid w:val="00E60F2F"/>
    <w:rsid w:val="00E6188E"/>
    <w:rsid w:val="00E61CF3"/>
    <w:rsid w:val="00E6204E"/>
    <w:rsid w:val="00E63619"/>
    <w:rsid w:val="00E642DA"/>
    <w:rsid w:val="00E64D91"/>
    <w:rsid w:val="00E66AF8"/>
    <w:rsid w:val="00E66B82"/>
    <w:rsid w:val="00E72292"/>
    <w:rsid w:val="00E722D9"/>
    <w:rsid w:val="00E72331"/>
    <w:rsid w:val="00E733CB"/>
    <w:rsid w:val="00E73A1F"/>
    <w:rsid w:val="00E73A37"/>
    <w:rsid w:val="00E74A3D"/>
    <w:rsid w:val="00E74BA8"/>
    <w:rsid w:val="00E7560C"/>
    <w:rsid w:val="00E76BDE"/>
    <w:rsid w:val="00E80DBD"/>
    <w:rsid w:val="00E80F8D"/>
    <w:rsid w:val="00E812AD"/>
    <w:rsid w:val="00E8141E"/>
    <w:rsid w:val="00E82926"/>
    <w:rsid w:val="00E83F34"/>
    <w:rsid w:val="00E844B3"/>
    <w:rsid w:val="00E85390"/>
    <w:rsid w:val="00E87323"/>
    <w:rsid w:val="00E91A14"/>
    <w:rsid w:val="00E93F11"/>
    <w:rsid w:val="00E94D41"/>
    <w:rsid w:val="00E96B92"/>
    <w:rsid w:val="00E96F34"/>
    <w:rsid w:val="00E97B2C"/>
    <w:rsid w:val="00E97D4B"/>
    <w:rsid w:val="00EA0A39"/>
    <w:rsid w:val="00EA0FCD"/>
    <w:rsid w:val="00EA2D80"/>
    <w:rsid w:val="00EA3505"/>
    <w:rsid w:val="00EA3D8F"/>
    <w:rsid w:val="00EA43C9"/>
    <w:rsid w:val="00EA4D4A"/>
    <w:rsid w:val="00EA5073"/>
    <w:rsid w:val="00EA6825"/>
    <w:rsid w:val="00EA710C"/>
    <w:rsid w:val="00EA7789"/>
    <w:rsid w:val="00EB078B"/>
    <w:rsid w:val="00EB1C04"/>
    <w:rsid w:val="00EB1DE7"/>
    <w:rsid w:val="00EB2B41"/>
    <w:rsid w:val="00EB2CF2"/>
    <w:rsid w:val="00EB3206"/>
    <w:rsid w:val="00EB3F26"/>
    <w:rsid w:val="00EB41CF"/>
    <w:rsid w:val="00EB4252"/>
    <w:rsid w:val="00EB461F"/>
    <w:rsid w:val="00EB4F66"/>
    <w:rsid w:val="00EB5BA1"/>
    <w:rsid w:val="00EB6B05"/>
    <w:rsid w:val="00EC0CE4"/>
    <w:rsid w:val="00EC0FDB"/>
    <w:rsid w:val="00EC24A7"/>
    <w:rsid w:val="00EC3AF0"/>
    <w:rsid w:val="00EC3F24"/>
    <w:rsid w:val="00EC6646"/>
    <w:rsid w:val="00EC7634"/>
    <w:rsid w:val="00EC76BF"/>
    <w:rsid w:val="00EC77D4"/>
    <w:rsid w:val="00ED0750"/>
    <w:rsid w:val="00ED0F26"/>
    <w:rsid w:val="00ED1D17"/>
    <w:rsid w:val="00ED1D3A"/>
    <w:rsid w:val="00ED3DE5"/>
    <w:rsid w:val="00ED5E6B"/>
    <w:rsid w:val="00ED71EF"/>
    <w:rsid w:val="00ED7852"/>
    <w:rsid w:val="00ED7A82"/>
    <w:rsid w:val="00EE0996"/>
    <w:rsid w:val="00EE0EFD"/>
    <w:rsid w:val="00EE13DE"/>
    <w:rsid w:val="00EE1743"/>
    <w:rsid w:val="00EE1D0B"/>
    <w:rsid w:val="00EE21B0"/>
    <w:rsid w:val="00EE2C34"/>
    <w:rsid w:val="00EE30DF"/>
    <w:rsid w:val="00EE39D5"/>
    <w:rsid w:val="00EE3D6E"/>
    <w:rsid w:val="00EE42A7"/>
    <w:rsid w:val="00EE4536"/>
    <w:rsid w:val="00EE6E7D"/>
    <w:rsid w:val="00EE7A62"/>
    <w:rsid w:val="00EF096A"/>
    <w:rsid w:val="00EF0E51"/>
    <w:rsid w:val="00EF17CF"/>
    <w:rsid w:val="00EF240A"/>
    <w:rsid w:val="00EF55FF"/>
    <w:rsid w:val="00EF730B"/>
    <w:rsid w:val="00EF7386"/>
    <w:rsid w:val="00EF7CCB"/>
    <w:rsid w:val="00F01F59"/>
    <w:rsid w:val="00F061EE"/>
    <w:rsid w:val="00F06EC0"/>
    <w:rsid w:val="00F071B5"/>
    <w:rsid w:val="00F07870"/>
    <w:rsid w:val="00F07A56"/>
    <w:rsid w:val="00F07C26"/>
    <w:rsid w:val="00F109DD"/>
    <w:rsid w:val="00F11ABF"/>
    <w:rsid w:val="00F1214A"/>
    <w:rsid w:val="00F12320"/>
    <w:rsid w:val="00F123D5"/>
    <w:rsid w:val="00F139BE"/>
    <w:rsid w:val="00F145CA"/>
    <w:rsid w:val="00F14DAF"/>
    <w:rsid w:val="00F15F34"/>
    <w:rsid w:val="00F1711B"/>
    <w:rsid w:val="00F17645"/>
    <w:rsid w:val="00F17D57"/>
    <w:rsid w:val="00F21573"/>
    <w:rsid w:val="00F21662"/>
    <w:rsid w:val="00F22E26"/>
    <w:rsid w:val="00F240C7"/>
    <w:rsid w:val="00F249BF"/>
    <w:rsid w:val="00F25613"/>
    <w:rsid w:val="00F25AE6"/>
    <w:rsid w:val="00F30966"/>
    <w:rsid w:val="00F30BAE"/>
    <w:rsid w:val="00F316F9"/>
    <w:rsid w:val="00F31777"/>
    <w:rsid w:val="00F31C86"/>
    <w:rsid w:val="00F3224A"/>
    <w:rsid w:val="00F3377A"/>
    <w:rsid w:val="00F348CA"/>
    <w:rsid w:val="00F350E5"/>
    <w:rsid w:val="00F3567F"/>
    <w:rsid w:val="00F3594E"/>
    <w:rsid w:val="00F377F2"/>
    <w:rsid w:val="00F403BA"/>
    <w:rsid w:val="00F405E4"/>
    <w:rsid w:val="00F40F42"/>
    <w:rsid w:val="00F410A7"/>
    <w:rsid w:val="00F4185A"/>
    <w:rsid w:val="00F42AE8"/>
    <w:rsid w:val="00F42E25"/>
    <w:rsid w:val="00F45016"/>
    <w:rsid w:val="00F45907"/>
    <w:rsid w:val="00F4733D"/>
    <w:rsid w:val="00F47EA3"/>
    <w:rsid w:val="00F50015"/>
    <w:rsid w:val="00F50753"/>
    <w:rsid w:val="00F536FA"/>
    <w:rsid w:val="00F53A17"/>
    <w:rsid w:val="00F53DCD"/>
    <w:rsid w:val="00F54937"/>
    <w:rsid w:val="00F55965"/>
    <w:rsid w:val="00F55ECB"/>
    <w:rsid w:val="00F56591"/>
    <w:rsid w:val="00F567A2"/>
    <w:rsid w:val="00F56AA2"/>
    <w:rsid w:val="00F57B02"/>
    <w:rsid w:val="00F57CA9"/>
    <w:rsid w:val="00F6016A"/>
    <w:rsid w:val="00F60BB8"/>
    <w:rsid w:val="00F610A3"/>
    <w:rsid w:val="00F6202F"/>
    <w:rsid w:val="00F6237D"/>
    <w:rsid w:val="00F62834"/>
    <w:rsid w:val="00F644EC"/>
    <w:rsid w:val="00F645E8"/>
    <w:rsid w:val="00F645F7"/>
    <w:rsid w:val="00F646C5"/>
    <w:rsid w:val="00F648B2"/>
    <w:rsid w:val="00F64ABD"/>
    <w:rsid w:val="00F652AB"/>
    <w:rsid w:val="00F65CC2"/>
    <w:rsid w:val="00F65D29"/>
    <w:rsid w:val="00F671B0"/>
    <w:rsid w:val="00F71905"/>
    <w:rsid w:val="00F71F8F"/>
    <w:rsid w:val="00F72335"/>
    <w:rsid w:val="00F733A7"/>
    <w:rsid w:val="00F73E63"/>
    <w:rsid w:val="00F74852"/>
    <w:rsid w:val="00F7512B"/>
    <w:rsid w:val="00F76A45"/>
    <w:rsid w:val="00F76CAA"/>
    <w:rsid w:val="00F76E95"/>
    <w:rsid w:val="00F77FC8"/>
    <w:rsid w:val="00F80261"/>
    <w:rsid w:val="00F8107C"/>
    <w:rsid w:val="00F81174"/>
    <w:rsid w:val="00F813E2"/>
    <w:rsid w:val="00F82E42"/>
    <w:rsid w:val="00F845B6"/>
    <w:rsid w:val="00F84B59"/>
    <w:rsid w:val="00F84F8C"/>
    <w:rsid w:val="00F85DBB"/>
    <w:rsid w:val="00F8632D"/>
    <w:rsid w:val="00F909A0"/>
    <w:rsid w:val="00F90DAF"/>
    <w:rsid w:val="00F90E5E"/>
    <w:rsid w:val="00F91A09"/>
    <w:rsid w:val="00F91E2E"/>
    <w:rsid w:val="00F932D5"/>
    <w:rsid w:val="00F94372"/>
    <w:rsid w:val="00F9473C"/>
    <w:rsid w:val="00F9509E"/>
    <w:rsid w:val="00F958DF"/>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1A17"/>
    <w:rsid w:val="00FC2236"/>
    <w:rsid w:val="00FC26CF"/>
    <w:rsid w:val="00FC4999"/>
    <w:rsid w:val="00FC572B"/>
    <w:rsid w:val="00FC6743"/>
    <w:rsid w:val="00FC6786"/>
    <w:rsid w:val="00FC6E2A"/>
    <w:rsid w:val="00FC7AEF"/>
    <w:rsid w:val="00FC7C4C"/>
    <w:rsid w:val="00FC7E62"/>
    <w:rsid w:val="00FD061C"/>
    <w:rsid w:val="00FD073D"/>
    <w:rsid w:val="00FD1D90"/>
    <w:rsid w:val="00FD3D5C"/>
    <w:rsid w:val="00FD50A0"/>
    <w:rsid w:val="00FD68C2"/>
    <w:rsid w:val="00FD69C3"/>
    <w:rsid w:val="00FD7AE2"/>
    <w:rsid w:val="00FE1761"/>
    <w:rsid w:val="00FE1B7E"/>
    <w:rsid w:val="00FE26E6"/>
    <w:rsid w:val="00FE2E59"/>
    <w:rsid w:val="00FE3332"/>
    <w:rsid w:val="00FE455A"/>
    <w:rsid w:val="00FE495A"/>
    <w:rsid w:val="00FE4D8D"/>
    <w:rsid w:val="00FE4EB5"/>
    <w:rsid w:val="00FE5304"/>
    <w:rsid w:val="00FF0622"/>
    <w:rsid w:val="00FF35D8"/>
    <w:rsid w:val="00FF6C26"/>
    <w:rsid w:val="00FF6E9B"/>
    <w:rsid w:val="00FF7AC6"/>
    <w:rsid w:val="01942967"/>
    <w:rsid w:val="02D54A04"/>
    <w:rsid w:val="033F683B"/>
    <w:rsid w:val="043013E0"/>
    <w:rsid w:val="05765502"/>
    <w:rsid w:val="061C0CA8"/>
    <w:rsid w:val="062C280A"/>
    <w:rsid w:val="07285B25"/>
    <w:rsid w:val="0774308E"/>
    <w:rsid w:val="07C0798B"/>
    <w:rsid w:val="080422A1"/>
    <w:rsid w:val="08417FA7"/>
    <w:rsid w:val="091343F8"/>
    <w:rsid w:val="0942292F"/>
    <w:rsid w:val="09624208"/>
    <w:rsid w:val="0AAE62EE"/>
    <w:rsid w:val="0B306A87"/>
    <w:rsid w:val="0C2627C8"/>
    <w:rsid w:val="0D2701B4"/>
    <w:rsid w:val="0DDC3A66"/>
    <w:rsid w:val="0DFE385A"/>
    <w:rsid w:val="0F202505"/>
    <w:rsid w:val="0F4933A8"/>
    <w:rsid w:val="0FFC31AA"/>
    <w:rsid w:val="101F3294"/>
    <w:rsid w:val="10554E67"/>
    <w:rsid w:val="10756CB1"/>
    <w:rsid w:val="11A5481D"/>
    <w:rsid w:val="11F62ADD"/>
    <w:rsid w:val="136F5E09"/>
    <w:rsid w:val="140516B9"/>
    <w:rsid w:val="14110D73"/>
    <w:rsid w:val="14135CE9"/>
    <w:rsid w:val="143F7994"/>
    <w:rsid w:val="14556E24"/>
    <w:rsid w:val="145C09B6"/>
    <w:rsid w:val="15AC68D1"/>
    <w:rsid w:val="15E564DA"/>
    <w:rsid w:val="161C2B3E"/>
    <w:rsid w:val="19107E5B"/>
    <w:rsid w:val="1A09059C"/>
    <w:rsid w:val="1B574A59"/>
    <w:rsid w:val="1C8C3FCD"/>
    <w:rsid w:val="1DB66E1B"/>
    <w:rsid w:val="1E4578B6"/>
    <w:rsid w:val="224C1AD2"/>
    <w:rsid w:val="22BD3DDC"/>
    <w:rsid w:val="2368442E"/>
    <w:rsid w:val="24180599"/>
    <w:rsid w:val="246A7F56"/>
    <w:rsid w:val="25F25922"/>
    <w:rsid w:val="26D959CA"/>
    <w:rsid w:val="277245D4"/>
    <w:rsid w:val="28114720"/>
    <w:rsid w:val="28CF63F4"/>
    <w:rsid w:val="29326DC7"/>
    <w:rsid w:val="296A57B2"/>
    <w:rsid w:val="29F26F2A"/>
    <w:rsid w:val="2B4179B6"/>
    <w:rsid w:val="2BC16C32"/>
    <w:rsid w:val="2C85746B"/>
    <w:rsid w:val="2CC855D1"/>
    <w:rsid w:val="2DDD422B"/>
    <w:rsid w:val="2E3410B8"/>
    <w:rsid w:val="2E3B2638"/>
    <w:rsid w:val="2E84548B"/>
    <w:rsid w:val="2F2B1A5B"/>
    <w:rsid w:val="2FC9681B"/>
    <w:rsid w:val="31014D28"/>
    <w:rsid w:val="34072478"/>
    <w:rsid w:val="34E62D8C"/>
    <w:rsid w:val="352571F3"/>
    <w:rsid w:val="35FB623F"/>
    <w:rsid w:val="366E3B3C"/>
    <w:rsid w:val="36BE7DF1"/>
    <w:rsid w:val="370F0BCD"/>
    <w:rsid w:val="3715098A"/>
    <w:rsid w:val="377C6EFA"/>
    <w:rsid w:val="39157688"/>
    <w:rsid w:val="39FB019B"/>
    <w:rsid w:val="3A1844F4"/>
    <w:rsid w:val="3B1209F3"/>
    <w:rsid w:val="3BA011E5"/>
    <w:rsid w:val="3BDD5ED6"/>
    <w:rsid w:val="3BE22C01"/>
    <w:rsid w:val="3C5C5F5C"/>
    <w:rsid w:val="3E596370"/>
    <w:rsid w:val="3FBC6BAA"/>
    <w:rsid w:val="40865941"/>
    <w:rsid w:val="411C57F0"/>
    <w:rsid w:val="416318D4"/>
    <w:rsid w:val="41737E95"/>
    <w:rsid w:val="417F239B"/>
    <w:rsid w:val="41A53138"/>
    <w:rsid w:val="41F25792"/>
    <w:rsid w:val="42974085"/>
    <w:rsid w:val="452B5932"/>
    <w:rsid w:val="45497D2B"/>
    <w:rsid w:val="45C11FF3"/>
    <w:rsid w:val="476B31F9"/>
    <w:rsid w:val="47775AD7"/>
    <w:rsid w:val="4A1F4764"/>
    <w:rsid w:val="4B0D67DA"/>
    <w:rsid w:val="4B104729"/>
    <w:rsid w:val="4B561588"/>
    <w:rsid w:val="4C556343"/>
    <w:rsid w:val="4CBA6D83"/>
    <w:rsid w:val="4D3B4EC4"/>
    <w:rsid w:val="4E807534"/>
    <w:rsid w:val="4EBF1908"/>
    <w:rsid w:val="50BE485B"/>
    <w:rsid w:val="51601F38"/>
    <w:rsid w:val="51A96FF1"/>
    <w:rsid w:val="51CE7479"/>
    <w:rsid w:val="52FE5AB1"/>
    <w:rsid w:val="53122572"/>
    <w:rsid w:val="53DA317B"/>
    <w:rsid w:val="54103AAC"/>
    <w:rsid w:val="54455AEF"/>
    <w:rsid w:val="5482205B"/>
    <w:rsid w:val="549A5B63"/>
    <w:rsid w:val="55190490"/>
    <w:rsid w:val="554C03ED"/>
    <w:rsid w:val="562A7471"/>
    <w:rsid w:val="56A01764"/>
    <w:rsid w:val="57096E9F"/>
    <w:rsid w:val="57CD7FAB"/>
    <w:rsid w:val="57D5394B"/>
    <w:rsid w:val="59125B5B"/>
    <w:rsid w:val="59932520"/>
    <w:rsid w:val="599638A9"/>
    <w:rsid w:val="5A5B099B"/>
    <w:rsid w:val="5B5D3146"/>
    <w:rsid w:val="5DFE20F6"/>
    <w:rsid w:val="5E653E57"/>
    <w:rsid w:val="5EDC31F2"/>
    <w:rsid w:val="5FD6799D"/>
    <w:rsid w:val="5FE175D9"/>
    <w:rsid w:val="60915A2A"/>
    <w:rsid w:val="60A919B7"/>
    <w:rsid w:val="621E6BB3"/>
    <w:rsid w:val="629F59D2"/>
    <w:rsid w:val="63C64EB3"/>
    <w:rsid w:val="648D0D03"/>
    <w:rsid w:val="654222D3"/>
    <w:rsid w:val="659222DF"/>
    <w:rsid w:val="66C24EF1"/>
    <w:rsid w:val="66CC0AAD"/>
    <w:rsid w:val="67262CBC"/>
    <w:rsid w:val="689A3E47"/>
    <w:rsid w:val="68AE5B14"/>
    <w:rsid w:val="697A70E8"/>
    <w:rsid w:val="6AB96073"/>
    <w:rsid w:val="6B912F3A"/>
    <w:rsid w:val="6BCC359A"/>
    <w:rsid w:val="6D03142C"/>
    <w:rsid w:val="6D870C0C"/>
    <w:rsid w:val="6EA339BF"/>
    <w:rsid w:val="6F207AEE"/>
    <w:rsid w:val="6F4D3385"/>
    <w:rsid w:val="6FDB6AFA"/>
    <w:rsid w:val="70550787"/>
    <w:rsid w:val="7086429A"/>
    <w:rsid w:val="710A6D7C"/>
    <w:rsid w:val="71E60C45"/>
    <w:rsid w:val="72147D8C"/>
    <w:rsid w:val="72A72729"/>
    <w:rsid w:val="72C735DA"/>
    <w:rsid w:val="74171020"/>
    <w:rsid w:val="7461635C"/>
    <w:rsid w:val="74FF083E"/>
    <w:rsid w:val="75033A86"/>
    <w:rsid w:val="75973FDD"/>
    <w:rsid w:val="75AD133B"/>
    <w:rsid w:val="760333B2"/>
    <w:rsid w:val="77106AAF"/>
    <w:rsid w:val="7722680D"/>
    <w:rsid w:val="777D0D1B"/>
    <w:rsid w:val="78204054"/>
    <w:rsid w:val="78254F2C"/>
    <w:rsid w:val="78947487"/>
    <w:rsid w:val="789E1E5D"/>
    <w:rsid w:val="7BC62B6D"/>
    <w:rsid w:val="7CF56221"/>
    <w:rsid w:val="7D353CCF"/>
    <w:rsid w:val="7EB65FCC"/>
    <w:rsid w:val="7F9032AD"/>
    <w:rsid w:val="7FCC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4"/>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2"/>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link w:val="66"/>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5"/>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0"/>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7"/>
    <w:qFormat/>
    <w:uiPriority w:val="99"/>
    <w:rPr>
      <w:rFonts w:ascii="宋体"/>
      <w:sz w:val="18"/>
      <w:szCs w:val="18"/>
    </w:rPr>
  </w:style>
  <w:style w:type="paragraph" w:styleId="18">
    <w:name w:val="annotation text"/>
    <w:basedOn w:val="1"/>
    <w:link w:val="68"/>
    <w:qFormat/>
    <w:uiPriority w:val="0"/>
    <w:pPr>
      <w:jc w:val="left"/>
    </w:pPr>
    <w:rPr>
      <w:szCs w:val="20"/>
    </w:rPr>
  </w:style>
  <w:style w:type="paragraph" w:styleId="19">
    <w:name w:val="Body Text 3"/>
    <w:basedOn w:val="1"/>
    <w:link w:val="69"/>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0"/>
    <w:qFormat/>
    <w:uiPriority w:val="99"/>
    <w:rPr>
      <w:sz w:val="28"/>
      <w:szCs w:val="20"/>
    </w:rPr>
  </w:style>
  <w:style w:type="paragraph" w:styleId="22">
    <w:name w:val="Body Text Indent"/>
    <w:basedOn w:val="1"/>
    <w:link w:val="7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link w:val="73"/>
    <w:qFormat/>
    <w:uiPriority w:val="99"/>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4"/>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5"/>
    <w:qFormat/>
    <w:uiPriority w:val="99"/>
    <w:rPr>
      <w:sz w:val="18"/>
      <w:szCs w:val="18"/>
    </w:rPr>
  </w:style>
  <w:style w:type="paragraph" w:styleId="36">
    <w:name w:val="footer"/>
    <w:basedOn w:val="1"/>
    <w:link w:val="76"/>
    <w:qFormat/>
    <w:uiPriority w:val="99"/>
    <w:pPr>
      <w:tabs>
        <w:tab w:val="center" w:pos="4153"/>
        <w:tab w:val="right" w:pos="8306"/>
      </w:tabs>
      <w:snapToGrid w:val="0"/>
      <w:jc w:val="left"/>
    </w:pPr>
    <w:rPr>
      <w:sz w:val="18"/>
      <w:szCs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8"/>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9"/>
    <w:qFormat/>
    <w:uiPriority w:val="0"/>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80"/>
    <w:qFormat/>
    <w:uiPriority w:val="99"/>
    <w:rPr>
      <w:b/>
      <w:bCs/>
    </w:rPr>
  </w:style>
  <w:style w:type="paragraph" w:styleId="52">
    <w:name w:val="Body Text First Indent 2"/>
    <w:basedOn w:val="22"/>
    <w:link w:val="81"/>
    <w:unhideWhenUsed/>
    <w:qFormat/>
    <w:uiPriority w:val="0"/>
    <w:pPr>
      <w:ind w:firstLine="420" w:firstLineChars="200"/>
    </w:pPr>
  </w:style>
  <w:style w:type="table" w:styleId="54">
    <w:name w:val="Table Grid"/>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0"/>
    <w:rPr>
      <w:sz w:val="21"/>
      <w:szCs w:val="21"/>
    </w:rPr>
  </w:style>
  <w:style w:type="character" w:customStyle="1" w:styleId="62">
    <w:name w:val="标题 3 字符"/>
    <w:link w:val="5"/>
    <w:qFormat/>
    <w:uiPriority w:val="0"/>
    <w:rPr>
      <w:rFonts w:ascii="黑体" w:eastAsia="黑体"/>
      <w:sz w:val="28"/>
    </w:rPr>
  </w:style>
  <w:style w:type="character" w:customStyle="1" w:styleId="63">
    <w:name w:val="标题 1 字符"/>
    <w:link w:val="3"/>
    <w:qFormat/>
    <w:uiPriority w:val="0"/>
    <w:rPr>
      <w:rFonts w:eastAsia="黑体"/>
      <w:bCs/>
      <w:kern w:val="44"/>
      <w:sz w:val="30"/>
      <w:szCs w:val="44"/>
    </w:rPr>
  </w:style>
  <w:style w:type="character" w:customStyle="1" w:styleId="64">
    <w:name w:val="标题 2 字符"/>
    <w:link w:val="4"/>
    <w:qFormat/>
    <w:uiPriority w:val="99"/>
    <w:rPr>
      <w:rFonts w:ascii="Arial" w:hAnsi="Arial" w:eastAsia="黑体"/>
      <w:bCs/>
      <w:kern w:val="2"/>
      <w:sz w:val="28"/>
      <w:szCs w:val="32"/>
    </w:rPr>
  </w:style>
  <w:style w:type="character" w:customStyle="1" w:styleId="65">
    <w:name w:val="正文缩进 字符"/>
    <w:link w:val="6"/>
    <w:qFormat/>
    <w:uiPriority w:val="0"/>
    <w:rPr>
      <w:rFonts w:ascii="楷体_GB2312" w:eastAsia="楷体_GB2312"/>
      <w:sz w:val="28"/>
    </w:rPr>
  </w:style>
  <w:style w:type="character" w:customStyle="1" w:styleId="66">
    <w:name w:val="标题 5 字符"/>
    <w:link w:val="7"/>
    <w:qFormat/>
    <w:uiPriority w:val="9"/>
    <w:rPr>
      <w:b/>
      <w:bCs/>
      <w:kern w:val="2"/>
      <w:sz w:val="28"/>
      <w:szCs w:val="28"/>
    </w:rPr>
  </w:style>
  <w:style w:type="character" w:customStyle="1" w:styleId="67">
    <w:name w:val="文档结构图 字符"/>
    <w:link w:val="17"/>
    <w:semiHidden/>
    <w:qFormat/>
    <w:uiPriority w:val="99"/>
    <w:rPr>
      <w:rFonts w:ascii="宋体"/>
      <w:kern w:val="2"/>
      <w:sz w:val="18"/>
      <w:szCs w:val="18"/>
    </w:rPr>
  </w:style>
  <w:style w:type="character" w:customStyle="1" w:styleId="68">
    <w:name w:val="批注文字 字符"/>
    <w:link w:val="18"/>
    <w:qFormat/>
    <w:uiPriority w:val="0"/>
    <w:rPr>
      <w:rFonts w:eastAsia="宋体"/>
      <w:kern w:val="2"/>
      <w:sz w:val="21"/>
      <w:lang w:val="en-US" w:eastAsia="zh-CN" w:bidi="ar-SA"/>
    </w:rPr>
  </w:style>
  <w:style w:type="character" w:customStyle="1" w:styleId="69">
    <w:name w:val="正文文本 3 字符"/>
    <w:link w:val="19"/>
    <w:qFormat/>
    <w:uiPriority w:val="99"/>
    <w:rPr>
      <w:kern w:val="2"/>
      <w:sz w:val="16"/>
      <w:szCs w:val="16"/>
    </w:rPr>
  </w:style>
  <w:style w:type="character" w:customStyle="1" w:styleId="70">
    <w:name w:val="正文文本 字符"/>
    <w:link w:val="21"/>
    <w:qFormat/>
    <w:uiPriority w:val="99"/>
    <w:rPr>
      <w:kern w:val="2"/>
      <w:sz w:val="28"/>
    </w:rPr>
  </w:style>
  <w:style w:type="character" w:customStyle="1" w:styleId="71">
    <w:name w:val="正文文本缩进 字符"/>
    <w:link w:val="22"/>
    <w:qFormat/>
    <w:uiPriority w:val="0"/>
    <w:rPr>
      <w:rFonts w:ascii="楷体_GB2312" w:eastAsia="楷体_GB2312"/>
      <w:sz w:val="28"/>
    </w:rPr>
  </w:style>
  <w:style w:type="character" w:customStyle="1" w:styleId="72">
    <w:name w:val="正文文本首行缩进 字符"/>
    <w:link w:val="26"/>
    <w:qFormat/>
    <w:locked/>
    <w:uiPriority w:val="99"/>
  </w:style>
  <w:style w:type="character" w:customStyle="1" w:styleId="73">
    <w:name w:val="纯文本 字符"/>
    <w:link w:val="29"/>
    <w:qFormat/>
    <w:uiPriority w:val="99"/>
    <w:rPr>
      <w:rFonts w:ascii="宋体" w:hAnsi="Courier New"/>
      <w:kern w:val="2"/>
      <w:sz w:val="21"/>
    </w:rPr>
  </w:style>
  <w:style w:type="character" w:customStyle="1" w:styleId="74">
    <w:name w:val="日期 字符"/>
    <w:link w:val="33"/>
    <w:qFormat/>
    <w:uiPriority w:val="99"/>
    <w:rPr>
      <w:kern w:val="2"/>
      <w:sz w:val="21"/>
    </w:rPr>
  </w:style>
  <w:style w:type="character" w:customStyle="1" w:styleId="75">
    <w:name w:val="批注框文本 字符"/>
    <w:link w:val="35"/>
    <w:semiHidden/>
    <w:qFormat/>
    <w:uiPriority w:val="99"/>
    <w:rPr>
      <w:kern w:val="2"/>
      <w:sz w:val="18"/>
      <w:szCs w:val="18"/>
    </w:rPr>
  </w:style>
  <w:style w:type="character" w:customStyle="1" w:styleId="76">
    <w:name w:val="页脚 字符"/>
    <w:link w:val="36"/>
    <w:qFormat/>
    <w:uiPriority w:val="99"/>
    <w:rPr>
      <w:kern w:val="2"/>
      <w:sz w:val="18"/>
      <w:szCs w:val="18"/>
    </w:rPr>
  </w:style>
  <w:style w:type="character" w:customStyle="1" w:styleId="77">
    <w:name w:val="页眉 字符"/>
    <w:link w:val="37"/>
    <w:qFormat/>
    <w:uiPriority w:val="99"/>
    <w:rPr>
      <w:kern w:val="2"/>
      <w:sz w:val="18"/>
      <w:szCs w:val="18"/>
    </w:rPr>
  </w:style>
  <w:style w:type="character" w:customStyle="1" w:styleId="78">
    <w:name w:val="副标题 字符"/>
    <w:link w:val="42"/>
    <w:qFormat/>
    <w:uiPriority w:val="11"/>
    <w:rPr>
      <w:rFonts w:ascii="Cambria" w:hAnsi="Cambria" w:cs="黑体"/>
      <w:b/>
      <w:bCs/>
      <w:kern w:val="28"/>
      <w:sz w:val="32"/>
      <w:szCs w:val="32"/>
    </w:rPr>
  </w:style>
  <w:style w:type="character" w:customStyle="1" w:styleId="79">
    <w:name w:val="正文文本 2 字符"/>
    <w:link w:val="48"/>
    <w:qFormat/>
    <w:locked/>
    <w:uiPriority w:val="99"/>
    <w:rPr>
      <w:color w:val="FF0000"/>
    </w:rPr>
  </w:style>
  <w:style w:type="character" w:customStyle="1" w:styleId="80">
    <w:name w:val="批注主题 字符"/>
    <w:link w:val="51"/>
    <w:qFormat/>
    <w:uiPriority w:val="99"/>
    <w:rPr>
      <w:rFonts w:eastAsia="宋体"/>
      <w:b/>
      <w:bCs/>
      <w:kern w:val="2"/>
      <w:sz w:val="21"/>
      <w:lang w:val="en-US" w:eastAsia="zh-CN" w:bidi="ar-SA"/>
    </w:rPr>
  </w:style>
  <w:style w:type="character" w:customStyle="1" w:styleId="81">
    <w:name w:val="正文文本首行缩进 2 字符"/>
    <w:link w:val="52"/>
    <w:qFormat/>
    <w:uiPriority w:val="99"/>
    <w:rPr>
      <w:rFonts w:ascii="楷体_GB2312" w:eastAsia="楷体_GB2312"/>
      <w:sz w:val="28"/>
    </w:rPr>
  </w:style>
  <w:style w:type="character" w:customStyle="1" w:styleId="82">
    <w:name w:val="标题 1 Char"/>
    <w:qFormat/>
    <w:uiPriority w:val="0"/>
    <w:rPr>
      <w:rFonts w:ascii="黑体"/>
      <w:b/>
      <w:kern w:val="44"/>
      <w:sz w:val="32"/>
    </w:rPr>
  </w:style>
  <w:style w:type="character" w:customStyle="1" w:styleId="83">
    <w:name w:val="纯文本 Char"/>
    <w:qFormat/>
    <w:uiPriority w:val="0"/>
    <w:rPr>
      <w:rFonts w:ascii="宋体" w:hAnsi="Courier New" w:eastAsia="宋体" w:cs="Times New Roman"/>
      <w:szCs w:val="20"/>
    </w:rPr>
  </w:style>
  <w:style w:type="character" w:customStyle="1" w:styleId="84">
    <w:name w:val="正文文本 Char"/>
    <w:qFormat/>
    <w:uiPriority w:val="99"/>
    <w:rPr>
      <w:rFonts w:ascii="Times New Roman" w:hAnsi="Times New Roman" w:eastAsia="宋体" w:cs="Times New Roman"/>
      <w:sz w:val="28"/>
      <w:szCs w:val="20"/>
    </w:rPr>
  </w:style>
  <w:style w:type="character" w:customStyle="1" w:styleId="85">
    <w:name w:val="访问过的超链接1"/>
    <w:qFormat/>
    <w:uiPriority w:val="0"/>
    <w:rPr>
      <w:color w:val="800080"/>
      <w:u w:val="single"/>
    </w:rPr>
  </w:style>
  <w:style w:type="character" w:customStyle="1" w:styleId="86">
    <w:name w:val="href"/>
    <w:qFormat/>
    <w:uiPriority w:val="0"/>
    <w:rPr>
      <w:color w:val="0000FF"/>
      <w:u w:val="single"/>
    </w:rPr>
  </w:style>
  <w:style w:type="character" w:customStyle="1" w:styleId="87">
    <w:name w:val="first-child"/>
    <w:qFormat/>
    <w:uiPriority w:val="0"/>
    <w:rPr>
      <w:vanish/>
    </w:rPr>
  </w:style>
  <w:style w:type="character" w:customStyle="1" w:styleId="88">
    <w:name w:val="标题 9 Char"/>
    <w:qFormat/>
    <w:uiPriority w:val="99"/>
    <w:rPr>
      <w:rFonts w:ascii="Arial" w:hAnsi="Arial" w:eastAsia="黑体" w:cs="Times New Roman"/>
      <w:szCs w:val="21"/>
    </w:rPr>
  </w:style>
  <w:style w:type="character" w:customStyle="1" w:styleId="89">
    <w:name w:val="正文文本缩进 2 Char"/>
    <w:qFormat/>
    <w:uiPriority w:val="99"/>
    <w:rPr>
      <w:rFonts w:ascii="仿宋_GB2312" w:hAnsi="宋体" w:eastAsia="仿宋_GB2312" w:cs="Times New Roman"/>
      <w:sz w:val="24"/>
      <w:szCs w:val="24"/>
    </w:rPr>
  </w:style>
  <w:style w:type="character" w:customStyle="1" w:styleId="90">
    <w:name w:val="列表段落 字符"/>
    <w:link w:val="91"/>
    <w:qFormat/>
    <w:uiPriority w:val="34"/>
    <w:rPr>
      <w:kern w:val="2"/>
      <w:sz w:val="21"/>
    </w:rPr>
  </w:style>
  <w:style w:type="paragraph" w:styleId="91">
    <w:name w:val="List Paragraph"/>
    <w:basedOn w:val="92"/>
    <w:link w:val="90"/>
    <w:qFormat/>
    <w:uiPriority w:val="34"/>
    <w:pPr>
      <w:ind w:firstLine="420" w:firstLineChars="200"/>
    </w:pPr>
  </w:style>
  <w:style w:type="paragraph" w:customStyle="1" w:styleId="92">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3">
    <w:name w:val="批注文字 Char1"/>
    <w:qFormat/>
    <w:uiPriority w:val="0"/>
    <w:rPr>
      <w:kern w:val="2"/>
      <w:sz w:val="21"/>
    </w:rPr>
  </w:style>
  <w:style w:type="character" w:customStyle="1" w:styleId="94">
    <w:name w:val="标题 8 Char"/>
    <w:qFormat/>
    <w:uiPriority w:val="99"/>
    <w:rPr>
      <w:rFonts w:ascii="Arial" w:hAnsi="Arial" w:eastAsia="黑体" w:cs="Times New Roman"/>
      <w:sz w:val="24"/>
      <w:szCs w:val="24"/>
    </w:rPr>
  </w:style>
  <w:style w:type="character" w:customStyle="1" w:styleId="95">
    <w:name w:val="列出段落 Char1"/>
    <w:qFormat/>
    <w:uiPriority w:val="99"/>
    <w:rPr>
      <w:kern w:val="2"/>
      <w:sz w:val="21"/>
      <w:szCs w:val="24"/>
    </w:rPr>
  </w:style>
  <w:style w:type="character" w:customStyle="1" w:styleId="96">
    <w:name w:val="正文文本缩进 3 Char"/>
    <w:qFormat/>
    <w:uiPriority w:val="99"/>
    <w:rPr>
      <w:rFonts w:ascii="Times New Roman" w:hAnsi="Times New Roman" w:eastAsia="宋体" w:cs="Times New Roman"/>
      <w:sz w:val="24"/>
      <w:szCs w:val="20"/>
    </w:rPr>
  </w:style>
  <w:style w:type="character" w:customStyle="1" w:styleId="97">
    <w:name w:val="标题 6 Char"/>
    <w:qFormat/>
    <w:uiPriority w:val="99"/>
    <w:rPr>
      <w:rFonts w:ascii="Arial" w:hAnsi="Arial" w:eastAsia="黑体" w:cs="Times New Roman"/>
      <w:b/>
      <w:bCs/>
      <w:sz w:val="24"/>
      <w:szCs w:val="24"/>
    </w:rPr>
  </w:style>
  <w:style w:type="character" w:customStyle="1" w:styleId="98">
    <w:name w:val="正文文本缩进 Char"/>
    <w:qFormat/>
    <w:uiPriority w:val="99"/>
    <w:rPr>
      <w:rFonts w:ascii="楷体_GB2312" w:eastAsia="楷体_GB2312"/>
      <w:sz w:val="28"/>
    </w:rPr>
  </w:style>
  <w:style w:type="character" w:customStyle="1" w:styleId="99">
    <w:name w:val="标题 Char"/>
    <w:qFormat/>
    <w:uiPriority w:val="0"/>
    <w:rPr>
      <w:rFonts w:ascii="Cambria" w:hAnsi="Cambria" w:cs="Times New Roman"/>
      <w:b/>
      <w:bCs/>
      <w:kern w:val="2"/>
      <w:sz w:val="32"/>
      <w:szCs w:val="32"/>
    </w:rPr>
  </w:style>
  <w:style w:type="character" w:customStyle="1" w:styleId="100">
    <w:name w:val="标题 4 Char"/>
    <w:qFormat/>
    <w:uiPriority w:val="99"/>
    <w:rPr>
      <w:rFonts w:ascii="Times New Roman" w:hAnsi="Times New Roman" w:eastAsia="宋体" w:cs="Times New Roman"/>
      <w:sz w:val="28"/>
      <w:szCs w:val="20"/>
    </w:rPr>
  </w:style>
  <w:style w:type="character" w:customStyle="1" w:styleId="101">
    <w:name w:val="蓝色显示 Char"/>
    <w:link w:val="102"/>
    <w:qFormat/>
    <w:uiPriority w:val="0"/>
    <w:rPr>
      <w:b/>
      <w:color w:val="0070C0"/>
      <w:kern w:val="2"/>
      <w:sz w:val="21"/>
      <w:szCs w:val="24"/>
    </w:rPr>
  </w:style>
  <w:style w:type="paragraph" w:customStyle="1" w:styleId="102">
    <w:name w:val="蓝色显示"/>
    <w:basedOn w:val="1"/>
    <w:link w:val="101"/>
    <w:qFormat/>
    <w:uiPriority w:val="0"/>
    <w:pPr>
      <w:spacing w:before="340" w:after="330" w:line="400" w:lineRule="exact"/>
    </w:pPr>
    <w:rPr>
      <w:b/>
      <w:color w:val="0070C0"/>
    </w:rPr>
  </w:style>
  <w:style w:type="character" w:customStyle="1" w:styleId="103">
    <w:name w:val="标题 5 Char"/>
    <w:qFormat/>
    <w:uiPriority w:val="99"/>
    <w:rPr>
      <w:rFonts w:ascii="Times New Roman" w:hAnsi="Times New Roman" w:eastAsia="宋体" w:cs="Times New Roman"/>
      <w:b/>
      <w:bCs/>
      <w:sz w:val="28"/>
      <w:szCs w:val="28"/>
    </w:rPr>
  </w:style>
  <w:style w:type="character" w:customStyle="1" w:styleId="104">
    <w:name w:val="Char Char1"/>
    <w:qFormat/>
    <w:uiPriority w:val="0"/>
    <w:rPr>
      <w:rFonts w:ascii="楷体_GB2312" w:eastAsia="楷体_GB2312"/>
      <w:sz w:val="28"/>
    </w:rPr>
  </w:style>
  <w:style w:type="character" w:customStyle="1" w:styleId="105">
    <w:name w:val="标题3 Char"/>
    <w:link w:val="106"/>
    <w:qFormat/>
    <w:uiPriority w:val="0"/>
    <w:rPr>
      <w:rFonts w:ascii="宋体" w:hAnsi="宋体"/>
      <w:color w:val="000000"/>
      <w:sz w:val="21"/>
      <w:szCs w:val="21"/>
    </w:rPr>
  </w:style>
  <w:style w:type="paragraph" w:customStyle="1" w:styleId="106">
    <w:name w:val="标题3"/>
    <w:basedOn w:val="6"/>
    <w:link w:val="105"/>
    <w:qFormat/>
    <w:uiPriority w:val="0"/>
    <w:pPr>
      <w:numPr>
        <w:ilvl w:val="0"/>
        <w:numId w:val="2"/>
      </w:numPr>
      <w:spacing w:line="240" w:lineRule="auto"/>
    </w:pPr>
    <w:rPr>
      <w:rFonts w:ascii="宋体" w:hAnsi="宋体" w:eastAsia="宋体"/>
      <w:color w:val="000000"/>
      <w:sz w:val="21"/>
      <w:szCs w:val="21"/>
    </w:rPr>
  </w:style>
  <w:style w:type="character" w:customStyle="1" w:styleId="107">
    <w:name w:val="Char Char"/>
    <w:qFormat/>
    <w:uiPriority w:val="0"/>
    <w:rPr>
      <w:rFonts w:ascii="宋体"/>
      <w:kern w:val="2"/>
      <w:sz w:val="18"/>
      <w:szCs w:val="18"/>
    </w:rPr>
  </w:style>
  <w:style w:type="character" w:customStyle="1" w:styleId="108">
    <w:name w:val="标题 2 Char Char Char"/>
    <w:qFormat/>
    <w:uiPriority w:val="0"/>
    <w:rPr>
      <w:rFonts w:ascii="Arial" w:hAnsi="Arial" w:eastAsia="黑体" w:cs="Times New Roman"/>
      <w:b/>
      <w:bCs/>
      <w:kern w:val="2"/>
      <w:sz w:val="32"/>
      <w:szCs w:val="32"/>
      <w:lang w:val="en-US" w:eastAsia="zh-CN" w:bidi="ar-SA"/>
    </w:rPr>
  </w:style>
  <w:style w:type="character" w:customStyle="1" w:styleId="109">
    <w:name w:val="标题 7 Char"/>
    <w:qFormat/>
    <w:uiPriority w:val="99"/>
    <w:rPr>
      <w:rFonts w:ascii="Times New Roman" w:hAnsi="Times New Roman" w:eastAsia="宋体" w:cs="Times New Roman"/>
      <w:b/>
      <w:bCs/>
      <w:sz w:val="24"/>
      <w:szCs w:val="24"/>
    </w:rPr>
  </w:style>
  <w:style w:type="paragraph" w:customStyle="1" w:styleId="110">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11">
    <w:name w:val="Normal_0"/>
    <w:qFormat/>
    <w:uiPriority w:val="0"/>
    <w:pPr>
      <w:widowControl w:val="0"/>
      <w:jc w:val="both"/>
    </w:pPr>
    <w:rPr>
      <w:rFonts w:ascii="Calibri" w:hAnsi="Calibri" w:eastAsia="宋体" w:cs="Times New Roman"/>
      <w:lang w:val="en-US" w:eastAsia="zh-CN" w:bidi="ar-SA"/>
    </w:rPr>
  </w:style>
  <w:style w:type="paragraph" w:customStyle="1" w:styleId="112">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3">
    <w:name w:val="样式 标题 2 + Times New Roman 四号 非加粗 段前: 5 磅 段后: 0 磅 行距: 固定值 20..._0"/>
    <w:basedOn w:val="114"/>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4">
    <w:name w:val="标题 2_0"/>
    <w:basedOn w:val="115"/>
    <w:next w:val="115"/>
    <w:unhideWhenUsed/>
    <w:qFormat/>
    <w:uiPriority w:val="0"/>
    <w:pPr>
      <w:keepNext/>
      <w:keepLines/>
      <w:spacing w:before="260" w:after="260" w:line="416" w:lineRule="auto"/>
      <w:outlineLvl w:val="1"/>
    </w:pPr>
    <w:rPr>
      <w:rFonts w:ascii="Cambria" w:hAnsi="Cambria"/>
      <w:b/>
      <w:bCs/>
      <w:sz w:val="32"/>
      <w:szCs w:val="32"/>
    </w:rPr>
  </w:style>
  <w:style w:type="paragraph" w:customStyle="1" w:styleId="115">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Blockquote_0_0"/>
    <w:basedOn w:val="115"/>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8">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9">
    <w:name w:val="Comment Text"/>
    <w:basedOn w:val="111"/>
    <w:unhideWhenUsed/>
    <w:qFormat/>
    <w:uiPriority w:val="0"/>
    <w:pPr>
      <w:jc w:val="left"/>
    </w:pPr>
    <w:rPr>
      <w:rFonts w:eastAsia="Times New Roman"/>
    </w:rPr>
  </w:style>
  <w:style w:type="paragraph" w:customStyle="1" w:styleId="12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标题 55"/>
    <w:basedOn w:val="7"/>
    <w:qFormat/>
    <w:uiPriority w:val="0"/>
    <w:rPr>
      <w:rFonts w:ascii="方正黑体简体" w:eastAsia="方正黑体简体"/>
      <w:b w:val="0"/>
      <w:bCs w:val="0"/>
    </w:rPr>
  </w:style>
  <w:style w:type="paragraph" w:customStyle="1" w:styleId="122">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3">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5">
    <w:name w:val="Blockquote_0"/>
    <w:basedOn w:val="118"/>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6">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7">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9">
    <w:name w:val="列出段落2"/>
    <w:basedOn w:val="1"/>
    <w:qFormat/>
    <w:uiPriority w:val="99"/>
    <w:pPr>
      <w:ind w:firstLine="420" w:firstLineChars="200"/>
    </w:pPr>
    <w:rPr>
      <w:szCs w:val="20"/>
    </w:rPr>
  </w:style>
  <w:style w:type="paragraph" w:customStyle="1" w:styleId="130">
    <w:name w:val="Blockquote_1"/>
    <w:basedOn w:val="128"/>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1">
    <w:name w:val="bt1bt1"/>
    <w:basedOn w:val="3"/>
    <w:qFormat/>
    <w:uiPriority w:val="0"/>
    <w:pPr>
      <w:spacing w:line="240" w:lineRule="auto"/>
    </w:pPr>
    <w:rPr>
      <w:rFonts w:ascii="黑体"/>
      <w:sz w:val="36"/>
      <w:szCs w:val="36"/>
    </w:rPr>
  </w:style>
  <w:style w:type="paragraph" w:customStyle="1" w:styleId="132">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3">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4">
    <w:name w:val="标题 60"/>
    <w:basedOn w:val="8"/>
    <w:qFormat/>
    <w:uiPriority w:val="0"/>
    <w:pPr>
      <w:spacing w:line="319" w:lineRule="auto"/>
      <w:ind w:firstLine="200" w:firstLineChars="200"/>
    </w:pPr>
    <w:rPr>
      <w:b w:val="0"/>
      <w:bCs w:val="0"/>
    </w:rPr>
  </w:style>
  <w:style w:type="paragraph" w:customStyle="1" w:styleId="135">
    <w:name w:val="列出段落11"/>
    <w:basedOn w:val="1"/>
    <w:qFormat/>
    <w:uiPriority w:val="99"/>
    <w:pPr>
      <w:ind w:firstLine="420" w:firstLineChars="200"/>
    </w:pPr>
    <w:rPr>
      <w:szCs w:val="20"/>
    </w:rPr>
  </w:style>
  <w:style w:type="paragraph" w:customStyle="1" w:styleId="136">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7">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8">
    <w:name w:val="_Style 36"/>
    <w:basedOn w:val="1"/>
    <w:qFormat/>
    <w:uiPriority w:val="0"/>
    <w:pPr>
      <w:ind w:firstLine="420" w:firstLineChars="200"/>
    </w:pPr>
    <w:rPr>
      <w:szCs w:val="20"/>
    </w:rPr>
  </w:style>
  <w:style w:type="paragraph" w:customStyle="1" w:styleId="139">
    <w:name w:val="正文00"/>
    <w:basedOn w:val="1"/>
    <w:qFormat/>
    <w:uiPriority w:val="0"/>
    <w:pPr>
      <w:topLinePunct/>
      <w:spacing w:line="360" w:lineRule="auto"/>
      <w:ind w:firstLine="200" w:firstLineChars="200"/>
    </w:pPr>
    <w:rPr>
      <w:sz w:val="24"/>
      <w:szCs w:val="21"/>
    </w:rPr>
  </w:style>
  <w:style w:type="paragraph" w:customStyle="1" w:styleId="140">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1">
    <w:name w:val="列出段落1"/>
    <w:basedOn w:val="1"/>
    <w:qFormat/>
    <w:uiPriority w:val="0"/>
    <w:pPr>
      <w:ind w:firstLine="420" w:firstLineChars="200"/>
    </w:pPr>
  </w:style>
  <w:style w:type="paragraph" w:customStyle="1" w:styleId="142">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3">
    <w:name w:val="正文_0_1"/>
    <w:qFormat/>
    <w:uiPriority w:val="0"/>
    <w:pPr>
      <w:widowControl w:val="0"/>
      <w:jc w:val="both"/>
    </w:pPr>
    <w:rPr>
      <w:rFonts w:ascii="Calibri" w:hAnsi="Calibri" w:eastAsia="宋体" w:cs="Times New Roman"/>
      <w:lang w:val="en-US" w:eastAsia="zh-CN" w:bidi="ar-SA"/>
    </w:rPr>
  </w:style>
  <w:style w:type="paragraph" w:customStyle="1" w:styleId="144">
    <w:name w:val="节"/>
    <w:basedOn w:val="4"/>
    <w:qFormat/>
    <w:uiPriority w:val="0"/>
    <w:pPr>
      <w:spacing w:line="240" w:lineRule="auto"/>
    </w:pPr>
    <w:rPr>
      <w:rFonts w:ascii="黑体"/>
      <w:szCs w:val="28"/>
    </w:rPr>
  </w:style>
  <w:style w:type="paragraph" w:customStyle="1" w:styleId="145">
    <w:name w:val="新定义正文"/>
    <w:basedOn w:val="1"/>
    <w:qFormat/>
    <w:uiPriority w:val="0"/>
    <w:pPr>
      <w:widowControl/>
    </w:pPr>
    <w:rPr>
      <w:color w:val="000000"/>
      <w:szCs w:val="21"/>
    </w:rPr>
  </w:style>
  <w:style w:type="paragraph" w:customStyle="1" w:styleId="146">
    <w:name w:val="纯文本1"/>
    <w:basedOn w:val="1"/>
    <w:qFormat/>
    <w:uiPriority w:val="0"/>
    <w:rPr>
      <w:rFonts w:ascii="宋体" w:hAnsi="Courier New"/>
      <w:szCs w:val="20"/>
    </w:rPr>
  </w:style>
  <w:style w:type="paragraph" w:customStyle="1" w:styleId="147">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8">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9">
    <w:name w:val="Heading 9 Char"/>
    <w:semiHidden/>
    <w:qFormat/>
    <w:locked/>
    <w:uiPriority w:val="99"/>
    <w:rPr>
      <w:rFonts w:ascii="Cambria" w:hAnsi="Cambria" w:eastAsia="宋体" w:cs="Times New Roman"/>
      <w:kern w:val="2"/>
    </w:rPr>
  </w:style>
  <w:style w:type="character" w:customStyle="1" w:styleId="150">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51">
    <w:name w:val="项目 1 Char Char Char"/>
    <w:qFormat/>
    <w:uiPriority w:val="99"/>
    <w:rPr>
      <w:rFonts w:ascii="Tahoma" w:hAnsi="Tahoma" w:eastAsia="宋体" w:cs="Times New Roman"/>
      <w:kern w:val="2"/>
      <w:sz w:val="24"/>
      <w:szCs w:val="24"/>
      <w:lang w:val="en-US" w:eastAsia="zh-CN" w:bidi="ar-SA"/>
    </w:rPr>
  </w:style>
  <w:style w:type="character" w:customStyle="1" w:styleId="152">
    <w:name w:val="p131"/>
    <w:qFormat/>
    <w:uiPriority w:val="99"/>
    <w:rPr>
      <w:rFonts w:cs="Times New Roman"/>
      <w:sz w:val="22"/>
      <w:szCs w:val="22"/>
      <w:u w:val="none"/>
    </w:rPr>
  </w:style>
  <w:style w:type="character" w:customStyle="1" w:styleId="153">
    <w:name w:val="样式 标题 3h3H3l3CTheading 3Level 3 Headlevel_3PIM 3sect1.2... Char"/>
    <w:link w:val="154"/>
    <w:qFormat/>
    <w:uiPriority w:val="0"/>
    <w:rPr>
      <w:rFonts w:ascii="Arial" w:hAnsi="Arial" w:eastAsia="黑体"/>
      <w:bCs/>
      <w:kern w:val="2"/>
      <w:sz w:val="24"/>
      <w:szCs w:val="32"/>
    </w:rPr>
  </w:style>
  <w:style w:type="paragraph" w:customStyle="1" w:styleId="154">
    <w:name w:val="样式 标题 3h3H3l3CTheading 3Level 3 Headlevel_3PIM 3sect1.2..."/>
    <w:basedOn w:val="5"/>
    <w:link w:val="153"/>
    <w:qFormat/>
    <w:uiPriority w:val="0"/>
    <w:pPr>
      <w:autoSpaceDE/>
      <w:autoSpaceDN/>
      <w:adjustRightInd/>
      <w:spacing w:beforeLines="50" w:afterLines="50" w:line="360" w:lineRule="auto"/>
    </w:pPr>
    <w:rPr>
      <w:rFonts w:ascii="Arial" w:hAnsi="Arial"/>
      <w:bCs/>
      <w:kern w:val="2"/>
      <w:sz w:val="24"/>
      <w:szCs w:val="32"/>
    </w:rPr>
  </w:style>
  <w:style w:type="character" w:customStyle="1" w:styleId="155">
    <w:name w:val="Heading 3 Char"/>
    <w:semiHidden/>
    <w:qFormat/>
    <w:uiPriority w:val="9"/>
    <w:rPr>
      <w:rFonts w:ascii="Cambria" w:hAnsi="Cambria" w:eastAsia="宋体" w:cs="Times New Roman"/>
      <w:b/>
      <w:bCs/>
      <w:kern w:val="2"/>
      <w:sz w:val="26"/>
      <w:szCs w:val="26"/>
    </w:rPr>
  </w:style>
  <w:style w:type="character" w:customStyle="1" w:styleId="156">
    <w:name w:val="无间距字符"/>
    <w:link w:val="157"/>
    <w:qFormat/>
    <w:uiPriority w:val="1"/>
    <w:rPr>
      <w:sz w:val="22"/>
      <w:szCs w:val="22"/>
    </w:rPr>
  </w:style>
  <w:style w:type="paragraph" w:customStyle="1" w:styleId="157">
    <w:name w:val="无间距"/>
    <w:link w:val="156"/>
    <w:qFormat/>
    <w:uiPriority w:val="1"/>
    <w:rPr>
      <w:rFonts w:ascii="Times New Roman" w:hAnsi="Times New Roman" w:eastAsia="宋体" w:cs="Times New Roman"/>
      <w:sz w:val="22"/>
      <w:szCs w:val="22"/>
      <w:lang w:val="en-US" w:eastAsia="zh-CN" w:bidi="ar-SA"/>
    </w:rPr>
  </w:style>
  <w:style w:type="character" w:customStyle="1" w:styleId="158">
    <w:name w:val="5级标题nbm Char"/>
    <w:link w:val="159"/>
    <w:qFormat/>
    <w:uiPriority w:val="0"/>
    <w:rPr>
      <w:rFonts w:ascii="宋体" w:hAnsi="宋体"/>
      <w:kern w:val="2"/>
      <w:sz w:val="21"/>
      <w:szCs w:val="21"/>
    </w:rPr>
  </w:style>
  <w:style w:type="paragraph" w:customStyle="1" w:styleId="159">
    <w:name w:val="5级标题nbm"/>
    <w:basedOn w:val="4"/>
    <w:link w:val="158"/>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60">
    <w:name w:val="Heading 6 Char"/>
    <w:semiHidden/>
    <w:qFormat/>
    <w:locked/>
    <w:uiPriority w:val="99"/>
    <w:rPr>
      <w:rFonts w:ascii="Calibri" w:hAnsi="Calibri" w:eastAsia="宋体" w:cs="Times New Roman"/>
      <w:b/>
      <w:bCs/>
      <w:kern w:val="2"/>
    </w:rPr>
  </w:style>
  <w:style w:type="character" w:customStyle="1" w:styleId="161">
    <w:name w:val="Heading 3 Char2"/>
    <w:qFormat/>
    <w:locked/>
    <w:uiPriority w:val="99"/>
    <w:rPr>
      <w:rFonts w:eastAsia="宋体" w:cs="Times New Roman"/>
      <w:b/>
      <w:bCs/>
      <w:kern w:val="2"/>
      <w:sz w:val="32"/>
      <w:szCs w:val="32"/>
      <w:lang w:val="en-US" w:eastAsia="zh-CN" w:bidi="ar-SA"/>
    </w:rPr>
  </w:style>
  <w:style w:type="character" w:customStyle="1" w:styleId="162">
    <w:name w:val="2级标题nbm Char"/>
    <w:link w:val="163"/>
    <w:qFormat/>
    <w:uiPriority w:val="0"/>
    <w:rPr>
      <w:rFonts w:ascii="宋体" w:hAnsi="宋体"/>
      <w:bCs/>
      <w:kern w:val="2"/>
      <w:sz w:val="21"/>
      <w:szCs w:val="21"/>
    </w:rPr>
  </w:style>
  <w:style w:type="paragraph" w:customStyle="1" w:styleId="163">
    <w:name w:val="2级标题nbm"/>
    <w:basedOn w:val="4"/>
    <w:link w:val="162"/>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4">
    <w:name w:val="3级标题nbm Char"/>
    <w:link w:val="165"/>
    <w:qFormat/>
    <w:uiPriority w:val="0"/>
    <w:rPr>
      <w:rFonts w:ascii="宋体" w:hAnsi="宋体"/>
      <w:bCs/>
      <w:kern w:val="2"/>
      <w:sz w:val="21"/>
      <w:szCs w:val="21"/>
    </w:rPr>
  </w:style>
  <w:style w:type="paragraph" w:customStyle="1" w:styleId="165">
    <w:name w:val="3级标题nbm"/>
    <w:basedOn w:val="163"/>
    <w:link w:val="164"/>
    <w:qFormat/>
    <w:uiPriority w:val="0"/>
    <w:pPr>
      <w:tabs>
        <w:tab w:val="left" w:pos="720"/>
        <w:tab w:val="clear" w:pos="756"/>
      </w:tabs>
      <w:ind w:left="720" w:hanging="720"/>
      <w:outlineLvl w:val="2"/>
    </w:pPr>
  </w:style>
  <w:style w:type="character" w:customStyle="1" w:styleId="166">
    <w:name w:val="font1"/>
    <w:qFormat/>
    <w:uiPriority w:val="99"/>
    <w:rPr>
      <w:rFonts w:cs="Times New Roman"/>
      <w:color w:val="000000"/>
      <w:sz w:val="18"/>
      <w:szCs w:val="18"/>
    </w:rPr>
  </w:style>
  <w:style w:type="character" w:customStyle="1" w:styleId="167">
    <w:name w:val="t181"/>
    <w:qFormat/>
    <w:uiPriority w:val="99"/>
    <w:rPr>
      <w:rFonts w:cs="Times New Roman"/>
      <w:color w:val="000000"/>
      <w:sz w:val="21"/>
      <w:szCs w:val="21"/>
    </w:rPr>
  </w:style>
  <w:style w:type="character" w:customStyle="1" w:styleId="168">
    <w:name w:val="标题 4 Char1"/>
    <w:qFormat/>
    <w:uiPriority w:val="99"/>
    <w:rPr>
      <w:rFonts w:eastAsia="宋体" w:cs="Times New Roman"/>
      <w:b/>
      <w:bCs/>
      <w:kern w:val="2"/>
      <w:sz w:val="28"/>
      <w:szCs w:val="28"/>
      <w:lang w:val="en-US" w:eastAsia="zh-CN" w:bidi="ar-SA"/>
    </w:rPr>
  </w:style>
  <w:style w:type="character" w:customStyle="1" w:styleId="169">
    <w:name w:val="标题 2 Char1"/>
    <w:qFormat/>
    <w:uiPriority w:val="99"/>
    <w:rPr>
      <w:rFonts w:ascii="Arial" w:hAnsi="Arial" w:eastAsia="黑体" w:cs="Times New Roman"/>
      <w:b/>
      <w:bCs/>
      <w:kern w:val="2"/>
      <w:sz w:val="32"/>
      <w:szCs w:val="32"/>
      <w:lang w:val="en-US" w:eastAsia="zh-CN" w:bidi="ar-SA"/>
    </w:rPr>
  </w:style>
  <w:style w:type="character" w:customStyle="1" w:styleId="170">
    <w:name w:val="Heading 2 Char"/>
    <w:semiHidden/>
    <w:qFormat/>
    <w:locked/>
    <w:uiPriority w:val="99"/>
    <w:rPr>
      <w:rFonts w:ascii="Cambria" w:hAnsi="Cambria" w:eastAsia="宋体" w:cs="Times New Roman"/>
      <w:b/>
      <w:bCs/>
      <w:i/>
      <w:iCs/>
      <w:kern w:val="2"/>
      <w:sz w:val="28"/>
      <w:szCs w:val="28"/>
    </w:rPr>
  </w:style>
  <w:style w:type="character" w:customStyle="1" w:styleId="171">
    <w:name w:val="4级标题nbm Char"/>
    <w:link w:val="172"/>
    <w:qFormat/>
    <w:uiPriority w:val="0"/>
    <w:rPr>
      <w:rFonts w:ascii="宋体" w:hAnsi="宋体"/>
      <w:kern w:val="2"/>
      <w:sz w:val="21"/>
      <w:szCs w:val="21"/>
    </w:rPr>
  </w:style>
  <w:style w:type="paragraph" w:customStyle="1" w:styleId="172">
    <w:name w:val="4级标题nbm"/>
    <w:basedOn w:val="4"/>
    <w:link w:val="171"/>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3">
    <w:name w:val="Heading 8 Char"/>
    <w:semiHidden/>
    <w:qFormat/>
    <w:locked/>
    <w:uiPriority w:val="99"/>
    <w:rPr>
      <w:rFonts w:ascii="Calibri" w:hAnsi="Calibri" w:eastAsia="宋体" w:cs="Times New Roman"/>
      <w:i/>
      <w:iCs/>
      <w:kern w:val="2"/>
      <w:sz w:val="24"/>
      <w:szCs w:val="24"/>
    </w:rPr>
  </w:style>
  <w:style w:type="character" w:customStyle="1" w:styleId="174">
    <w:name w:val="表正文 Char1"/>
    <w:qFormat/>
    <w:uiPriority w:val="99"/>
    <w:rPr>
      <w:rFonts w:eastAsia="宋体" w:cs="Times New Roman"/>
      <w:kern w:val="2"/>
      <w:sz w:val="24"/>
      <w:szCs w:val="24"/>
      <w:lang w:val="en-US" w:eastAsia="zh-CN" w:bidi="ar-SA"/>
    </w:rPr>
  </w:style>
  <w:style w:type="character" w:customStyle="1" w:styleId="175">
    <w:name w:val="样式3 Char"/>
    <w:qFormat/>
    <w:uiPriority w:val="99"/>
    <w:rPr>
      <w:rFonts w:eastAsia="宋体" w:cs="Times New Roman"/>
      <w:kern w:val="2"/>
      <w:sz w:val="24"/>
      <w:szCs w:val="24"/>
      <w:lang w:val="en-US" w:eastAsia="zh-CN" w:bidi="ar-SA"/>
    </w:rPr>
  </w:style>
  <w:style w:type="character" w:customStyle="1" w:styleId="176">
    <w:name w:val="Heading 3 Char3"/>
    <w:semiHidden/>
    <w:qFormat/>
    <w:locked/>
    <w:uiPriority w:val="99"/>
    <w:rPr>
      <w:rFonts w:ascii="Cambria" w:hAnsi="Cambria" w:eastAsia="宋体" w:cs="Times New Roman"/>
      <w:b/>
      <w:bCs/>
      <w:kern w:val="2"/>
      <w:sz w:val="26"/>
      <w:szCs w:val="26"/>
    </w:rPr>
  </w:style>
  <w:style w:type="character" w:customStyle="1" w:styleId="177">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8">
    <w:name w:val="编号列表 Char"/>
    <w:qFormat/>
    <w:uiPriority w:val="99"/>
    <w:rPr>
      <w:rFonts w:ascii="Verdana" w:hAnsi="Verdana" w:eastAsia="宋体" w:cs="Times New Roman"/>
      <w:kern w:val="2"/>
      <w:sz w:val="24"/>
      <w:szCs w:val="24"/>
      <w:lang w:val="en-US" w:eastAsia="zh-CN" w:bidi="ar-SA"/>
    </w:rPr>
  </w:style>
  <w:style w:type="character" w:customStyle="1" w:styleId="179">
    <w:name w:val="二级条标题 Char"/>
    <w:link w:val="180"/>
    <w:qFormat/>
    <w:locked/>
    <w:uiPriority w:val="99"/>
    <w:rPr>
      <w:rFonts w:ascii="宋体"/>
    </w:rPr>
  </w:style>
  <w:style w:type="paragraph" w:customStyle="1" w:styleId="180">
    <w:name w:val="二级条标题"/>
    <w:basedOn w:val="1"/>
    <w:next w:val="1"/>
    <w:link w:val="179"/>
    <w:qFormat/>
    <w:uiPriority w:val="99"/>
    <w:pPr>
      <w:widowControl/>
      <w:spacing w:beforeLines="50" w:afterLines="50"/>
      <w:outlineLvl w:val="3"/>
    </w:pPr>
    <w:rPr>
      <w:rFonts w:ascii="宋体"/>
      <w:kern w:val="0"/>
      <w:sz w:val="20"/>
      <w:szCs w:val="20"/>
    </w:rPr>
  </w:style>
  <w:style w:type="character" w:customStyle="1" w:styleId="181">
    <w:name w:val="Heading 4 Char"/>
    <w:semiHidden/>
    <w:qFormat/>
    <w:locked/>
    <w:uiPriority w:val="99"/>
    <w:rPr>
      <w:rFonts w:ascii="Calibri" w:hAnsi="Calibri" w:eastAsia="宋体" w:cs="Times New Roman"/>
      <w:b/>
      <w:bCs/>
      <w:kern w:val="2"/>
      <w:sz w:val="28"/>
      <w:szCs w:val="28"/>
    </w:rPr>
  </w:style>
  <w:style w:type="character" w:customStyle="1" w:styleId="182">
    <w:name w:val="Heading 5 Char"/>
    <w:semiHidden/>
    <w:qFormat/>
    <w:locked/>
    <w:uiPriority w:val="99"/>
    <w:rPr>
      <w:rFonts w:ascii="Calibri" w:hAnsi="Calibri" w:eastAsia="宋体" w:cs="Times New Roman"/>
      <w:b/>
      <w:bCs/>
      <w:i/>
      <w:iCs/>
      <w:kern w:val="2"/>
      <w:sz w:val="26"/>
      <w:szCs w:val="26"/>
    </w:rPr>
  </w:style>
  <w:style w:type="character" w:customStyle="1" w:styleId="183">
    <w:name w:val="title_emph1"/>
    <w:qFormat/>
    <w:uiPriority w:val="99"/>
    <w:rPr>
      <w:rFonts w:ascii="Arial" w:hAnsi="Arial" w:cs="Arial"/>
      <w:b/>
      <w:bCs/>
      <w:sz w:val="20"/>
      <w:szCs w:val="20"/>
    </w:rPr>
  </w:style>
  <w:style w:type="paragraph" w:customStyle="1" w:styleId="184">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5">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6">
    <w:name w:val="正文首行缩进 Char1"/>
    <w:qFormat/>
    <w:uiPriority w:val="0"/>
    <w:rPr>
      <w:kern w:val="2"/>
      <w:sz w:val="21"/>
      <w:szCs w:val="24"/>
    </w:rPr>
  </w:style>
  <w:style w:type="paragraph" w:customStyle="1" w:styleId="187">
    <w:name w:val="2"/>
    <w:basedOn w:val="1"/>
    <w:next w:val="22"/>
    <w:qFormat/>
    <w:uiPriority w:val="99"/>
    <w:pPr>
      <w:spacing w:line="440" w:lineRule="exact"/>
      <w:ind w:firstLine="420"/>
    </w:pPr>
    <w:rPr>
      <w:sz w:val="28"/>
      <w:szCs w:val="20"/>
    </w:rPr>
  </w:style>
  <w:style w:type="paragraph" w:customStyle="1" w:styleId="188">
    <w:name w:val="Char1 Char Char Char"/>
    <w:basedOn w:val="1"/>
    <w:qFormat/>
    <w:uiPriority w:val="0"/>
    <w:pPr>
      <w:tabs>
        <w:tab w:val="left" w:pos="420"/>
      </w:tabs>
      <w:ind w:left="420" w:hanging="420"/>
    </w:pPr>
    <w:rPr>
      <w:rFonts w:ascii="Tahoma" w:hAnsi="Tahoma"/>
      <w:sz w:val="24"/>
      <w:szCs w:val="20"/>
    </w:rPr>
  </w:style>
  <w:style w:type="paragraph" w:customStyle="1" w:styleId="189">
    <w:name w:val="font10"/>
    <w:basedOn w:val="1"/>
    <w:qFormat/>
    <w:uiPriority w:val="99"/>
    <w:pPr>
      <w:widowControl/>
      <w:spacing w:before="100" w:beforeAutospacing="1" w:after="100" w:afterAutospacing="1"/>
      <w:jc w:val="left"/>
    </w:pPr>
    <w:rPr>
      <w:kern w:val="0"/>
      <w:sz w:val="20"/>
      <w:szCs w:val="20"/>
    </w:rPr>
  </w:style>
  <w:style w:type="paragraph" w:customStyle="1" w:styleId="19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1">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2">
    <w:name w:val="正文文字（缩进2字）"/>
    <w:basedOn w:val="21"/>
    <w:qFormat/>
    <w:uiPriority w:val="99"/>
    <w:pPr>
      <w:spacing w:beforeLines="50" w:afterLines="50"/>
      <w:ind w:firstLine="200" w:firstLineChars="200"/>
    </w:pPr>
    <w:rPr>
      <w:kern w:val="0"/>
      <w:sz w:val="20"/>
    </w:rPr>
  </w:style>
  <w:style w:type="paragraph" w:customStyle="1" w:styleId="193">
    <w:name w:val="Char Char2"/>
    <w:basedOn w:val="1"/>
    <w:qFormat/>
    <w:uiPriority w:val="99"/>
    <w:rPr>
      <w:rFonts w:ascii="Tahoma" w:hAnsi="Tahoma"/>
      <w:sz w:val="24"/>
      <w:szCs w:val="20"/>
    </w:rPr>
  </w:style>
  <w:style w:type="paragraph" w:customStyle="1" w:styleId="19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5">
    <w:name w:val="Char Char Char"/>
    <w:basedOn w:val="17"/>
    <w:qFormat/>
    <w:uiPriority w:val="0"/>
    <w:pPr>
      <w:shd w:val="clear" w:color="auto" w:fill="000080"/>
    </w:pPr>
    <w:rPr>
      <w:rFonts w:ascii="Tahoma" w:hAnsi="Tahoma"/>
      <w:kern w:val="0"/>
      <w:sz w:val="24"/>
      <w:szCs w:val="24"/>
    </w:rPr>
  </w:style>
  <w:style w:type="paragraph" w:customStyle="1" w:styleId="196">
    <w:name w:val="默认段落字体 Para Char Char Char Char Char Char Char"/>
    <w:basedOn w:val="1"/>
    <w:qFormat/>
    <w:uiPriority w:val="99"/>
    <w:rPr>
      <w:rFonts w:ascii="Tahoma" w:hAnsi="Tahoma"/>
      <w:sz w:val="24"/>
      <w:szCs w:val="20"/>
    </w:rPr>
  </w:style>
  <w:style w:type="paragraph" w:customStyle="1" w:styleId="197">
    <w:name w:val="文章标题"/>
    <w:basedOn w:val="1"/>
    <w:qFormat/>
    <w:uiPriority w:val="99"/>
    <w:pPr>
      <w:spacing w:beforeLines="200" w:afterLines="200"/>
      <w:jc w:val="center"/>
    </w:pPr>
    <w:rPr>
      <w:b/>
      <w:sz w:val="44"/>
    </w:rPr>
  </w:style>
  <w:style w:type="paragraph" w:customStyle="1" w:styleId="198">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9">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0">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1">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2">
    <w:name w:val="Centered"/>
    <w:basedOn w:val="1"/>
    <w:next w:val="21"/>
    <w:qFormat/>
    <w:uiPriority w:val="99"/>
    <w:pPr>
      <w:widowControl/>
      <w:spacing w:after="240" w:line="240" w:lineRule="exact"/>
      <w:jc w:val="center"/>
    </w:pPr>
    <w:rPr>
      <w:kern w:val="0"/>
      <w:sz w:val="24"/>
      <w:lang w:val="en-GB"/>
    </w:rPr>
  </w:style>
  <w:style w:type="paragraph" w:customStyle="1" w:styleId="203">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4">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5">
    <w:name w:val="样式4"/>
    <w:qFormat/>
    <w:uiPriority w:val="99"/>
    <w:rPr>
      <w:rFonts w:ascii="宋体" w:hAnsi="宋体" w:eastAsia="宋体" w:cs="Times New Roman"/>
      <w:b/>
      <w:bCs/>
      <w:kern w:val="2"/>
      <w:sz w:val="28"/>
      <w:szCs w:val="28"/>
      <w:lang w:val="en-US" w:eastAsia="zh-CN" w:bidi="ar-SA"/>
    </w:rPr>
  </w:style>
  <w:style w:type="paragraph" w:customStyle="1" w:styleId="206">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8">
    <w:name w:val="Char Char21"/>
    <w:basedOn w:val="1"/>
    <w:qFormat/>
    <w:uiPriority w:val="99"/>
    <w:rPr>
      <w:rFonts w:ascii="Tahoma" w:hAnsi="Tahoma"/>
      <w:sz w:val="24"/>
      <w:szCs w:val="20"/>
    </w:rPr>
  </w:style>
  <w:style w:type="paragraph" w:customStyle="1" w:styleId="209">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0">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1">
    <w:name w:val="P8"/>
    <w:basedOn w:val="200"/>
    <w:qFormat/>
    <w:uiPriority w:val="99"/>
    <w:pPr>
      <w:ind w:left="4032"/>
    </w:pPr>
  </w:style>
  <w:style w:type="paragraph" w:customStyle="1" w:styleId="212">
    <w:name w:val="xl23"/>
    <w:basedOn w:val="1"/>
    <w:qFormat/>
    <w:uiPriority w:val="99"/>
    <w:pPr>
      <w:widowControl/>
      <w:spacing w:beforeAutospacing="1" w:afterAutospacing="1"/>
    </w:pPr>
    <w:rPr>
      <w:rFonts w:eastAsia="Arial Unicode MS"/>
      <w:kern w:val="0"/>
      <w:szCs w:val="20"/>
    </w:rPr>
  </w:style>
  <w:style w:type="paragraph" w:customStyle="1" w:styleId="213">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4">
    <w:name w:val="6"/>
    <w:basedOn w:val="1"/>
    <w:next w:val="49"/>
    <w:qFormat/>
    <w:uiPriority w:val="99"/>
    <w:pPr>
      <w:adjustRightInd w:val="0"/>
      <w:snapToGrid w:val="0"/>
    </w:pPr>
    <w:rPr>
      <w:sz w:val="24"/>
    </w:rPr>
  </w:style>
  <w:style w:type="paragraph" w:customStyle="1" w:styleId="215">
    <w:name w:val="正文表格"/>
    <w:basedOn w:val="1"/>
    <w:qFormat/>
    <w:uiPriority w:val="99"/>
    <w:pPr>
      <w:ind w:left="10" w:leftChars="10" w:right="10" w:rightChars="10"/>
    </w:pPr>
    <w:rPr>
      <w:bCs/>
    </w:rPr>
  </w:style>
  <w:style w:type="paragraph" w:customStyle="1" w:styleId="216">
    <w:name w:val="图中文字"/>
    <w:basedOn w:val="1"/>
    <w:qFormat/>
    <w:uiPriority w:val="99"/>
    <w:pPr>
      <w:adjustRightInd w:val="0"/>
      <w:snapToGrid w:val="0"/>
      <w:spacing w:line="240" w:lineRule="atLeast"/>
      <w:jc w:val="center"/>
    </w:pPr>
    <w:rPr>
      <w:szCs w:val="20"/>
    </w:rPr>
  </w:style>
  <w:style w:type="paragraph" w:customStyle="1" w:styleId="217">
    <w:name w:val="正文（首行缩进）"/>
    <w:basedOn w:val="1"/>
    <w:qFormat/>
    <w:uiPriority w:val="99"/>
    <w:pPr>
      <w:spacing w:line="360" w:lineRule="auto"/>
      <w:ind w:firstLine="420"/>
    </w:pPr>
    <w:rPr>
      <w:sz w:val="24"/>
      <w:szCs w:val="20"/>
    </w:rPr>
  </w:style>
  <w:style w:type="paragraph" w:customStyle="1" w:styleId="218">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9">
    <w:name w:val="样式 Tahoma 行距: 单倍行距"/>
    <w:basedOn w:val="1"/>
    <w:qFormat/>
    <w:uiPriority w:val="0"/>
    <w:pPr>
      <w:ind w:firstLine="420" w:firstLineChars="200"/>
    </w:pPr>
    <w:rPr>
      <w:rFonts w:ascii="Tahoma" w:hAnsi="Tahoma" w:cs="宋体"/>
      <w:szCs w:val="21"/>
    </w:rPr>
  </w:style>
  <w:style w:type="paragraph" w:customStyle="1" w:styleId="220">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1">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2">
    <w:name w:val="彩色列表 - 强调文字颜色 11"/>
    <w:basedOn w:val="1"/>
    <w:qFormat/>
    <w:uiPriority w:val="99"/>
    <w:pPr>
      <w:ind w:firstLine="420" w:firstLineChars="200"/>
    </w:pPr>
  </w:style>
  <w:style w:type="paragraph" w:customStyle="1" w:styleId="223">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4">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5">
    <w:name w:val="Normal Cenered"/>
    <w:basedOn w:val="1"/>
    <w:qFormat/>
    <w:uiPriority w:val="99"/>
    <w:pPr>
      <w:widowControl/>
      <w:tabs>
        <w:tab w:val="left" w:pos="6660"/>
      </w:tabs>
      <w:spacing w:before="240" w:after="120" w:line="288" w:lineRule="auto"/>
      <w:jc w:val="center"/>
    </w:pPr>
    <w:rPr>
      <w:kern w:val="0"/>
    </w:rPr>
  </w:style>
  <w:style w:type="paragraph" w:customStyle="1" w:styleId="226">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7">
    <w:name w:val="Table Text"/>
    <w:basedOn w:val="1"/>
    <w:qFormat/>
    <w:uiPriority w:val="99"/>
    <w:pPr>
      <w:widowControl/>
      <w:autoSpaceDE w:val="0"/>
      <w:autoSpaceDN w:val="0"/>
      <w:spacing w:before="60" w:after="60"/>
      <w:jc w:val="left"/>
    </w:pPr>
    <w:rPr>
      <w:kern w:val="0"/>
      <w:szCs w:val="20"/>
    </w:rPr>
  </w:style>
  <w:style w:type="paragraph" w:customStyle="1" w:styleId="228">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9">
    <w:name w:val="强调列表"/>
    <w:basedOn w:val="1"/>
    <w:qFormat/>
    <w:uiPriority w:val="99"/>
    <w:pPr>
      <w:tabs>
        <w:tab w:val="left" w:pos="1742"/>
      </w:tabs>
      <w:ind w:left="1742" w:hanging="420"/>
    </w:pPr>
    <w:rPr>
      <w:sz w:val="24"/>
      <w:szCs w:val="20"/>
    </w:rPr>
  </w:style>
  <w:style w:type="paragraph" w:customStyle="1" w:styleId="230">
    <w:name w:val="Char"/>
    <w:basedOn w:val="1"/>
    <w:qFormat/>
    <w:uiPriority w:val="99"/>
    <w:pPr>
      <w:tabs>
        <w:tab w:val="left" w:pos="360"/>
      </w:tabs>
      <w:ind w:left="360" w:hanging="360" w:hangingChars="200"/>
    </w:pPr>
    <w:rPr>
      <w:sz w:val="24"/>
    </w:rPr>
  </w:style>
  <w:style w:type="character" w:customStyle="1" w:styleId="231">
    <w:name w:val="正文文本 2 Char1"/>
    <w:semiHidden/>
    <w:qFormat/>
    <w:uiPriority w:val="0"/>
    <w:rPr>
      <w:kern w:val="2"/>
      <w:sz w:val="21"/>
      <w:szCs w:val="24"/>
    </w:rPr>
  </w:style>
  <w:style w:type="paragraph" w:customStyle="1" w:styleId="232">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3">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4">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5">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6">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7">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8">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9">
    <w:name w:val="Table Heading"/>
    <w:basedOn w:val="227"/>
    <w:qFormat/>
    <w:uiPriority w:val="0"/>
    <w:pPr>
      <w:autoSpaceDE/>
      <w:autoSpaceDN/>
      <w:spacing w:line="288" w:lineRule="auto"/>
      <w:jc w:val="center"/>
    </w:pPr>
    <w:rPr>
      <w:rFonts w:ascii="宋体" w:hAnsi="宋体"/>
      <w:b/>
    </w:rPr>
  </w:style>
  <w:style w:type="paragraph" w:customStyle="1" w:styleId="240">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2">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3">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4">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5">
    <w:name w:val="Char1 Char Char Char Char Char Char"/>
    <w:basedOn w:val="1"/>
    <w:qFormat/>
    <w:uiPriority w:val="99"/>
    <w:rPr>
      <w:rFonts w:ascii="Tahoma" w:hAnsi="Tahoma"/>
      <w:sz w:val="24"/>
      <w:szCs w:val="20"/>
    </w:rPr>
  </w:style>
  <w:style w:type="paragraph" w:customStyle="1" w:styleId="246">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7">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8">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9">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0">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51">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2">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3">
    <w:name w:val="空项目内容"/>
    <w:basedOn w:val="1"/>
    <w:qFormat/>
    <w:uiPriority w:val="99"/>
    <w:pPr>
      <w:tabs>
        <w:tab w:val="left" w:pos="720"/>
      </w:tabs>
      <w:spacing w:line="360" w:lineRule="auto"/>
      <w:ind w:left="720" w:hanging="720"/>
    </w:pPr>
    <w:rPr>
      <w:sz w:val="24"/>
    </w:rPr>
  </w:style>
  <w:style w:type="paragraph" w:customStyle="1" w:styleId="254">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5">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6">
    <w:name w:val="Char2"/>
    <w:basedOn w:val="1"/>
    <w:qFormat/>
    <w:uiPriority w:val="99"/>
    <w:pPr>
      <w:spacing w:line="360" w:lineRule="auto"/>
      <w:ind w:firstLine="200" w:firstLineChars="200"/>
    </w:pPr>
    <w:rPr>
      <w:rFonts w:ascii="Tahoma" w:hAnsi="Tahoma"/>
      <w:sz w:val="24"/>
      <w:szCs w:val="20"/>
    </w:rPr>
  </w:style>
  <w:style w:type="paragraph" w:customStyle="1" w:styleId="257">
    <w:name w:val="标题下列示"/>
    <w:basedOn w:val="258"/>
    <w:next w:val="259"/>
    <w:qFormat/>
    <w:uiPriority w:val="99"/>
    <w:pPr>
      <w:tabs>
        <w:tab w:val="left" w:pos="420"/>
        <w:tab w:val="left" w:pos="1680"/>
      </w:tabs>
      <w:ind w:left="1680"/>
    </w:pPr>
  </w:style>
  <w:style w:type="paragraph" w:customStyle="1" w:styleId="258">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9">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60">
    <w:name w:val="图片"/>
    <w:basedOn w:val="1"/>
    <w:next w:val="261"/>
    <w:qFormat/>
    <w:uiPriority w:val="99"/>
    <w:pPr>
      <w:spacing w:beforeLines="50" w:afterLines="50"/>
      <w:jc w:val="center"/>
    </w:pPr>
  </w:style>
  <w:style w:type="paragraph" w:customStyle="1" w:styleId="261">
    <w:name w:val="图名"/>
    <w:basedOn w:val="1"/>
    <w:next w:val="6"/>
    <w:qFormat/>
    <w:uiPriority w:val="99"/>
    <w:pPr>
      <w:spacing w:line="360" w:lineRule="auto"/>
      <w:jc w:val="center"/>
    </w:pPr>
    <w:rPr>
      <w:rFonts w:ascii="Arial" w:hAnsi="Arial" w:eastAsia="黑体"/>
      <w:b/>
    </w:rPr>
  </w:style>
  <w:style w:type="paragraph" w:customStyle="1" w:styleId="262">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3">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4">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5">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6">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7">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8">
    <w:name w:val="正文文字(ALT+W)"/>
    <w:basedOn w:val="1"/>
    <w:next w:val="6"/>
    <w:qFormat/>
    <w:uiPriority w:val="99"/>
    <w:pPr>
      <w:adjustRightInd w:val="0"/>
      <w:snapToGrid w:val="0"/>
      <w:spacing w:line="360" w:lineRule="auto"/>
      <w:ind w:firstLine="420"/>
    </w:pPr>
    <w:rPr>
      <w:sz w:val="24"/>
      <w:szCs w:val="20"/>
    </w:rPr>
  </w:style>
  <w:style w:type="paragraph" w:customStyle="1" w:styleId="269">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0">
    <w:name w:val="项目"/>
    <w:basedOn w:val="22"/>
    <w:qFormat/>
    <w:uiPriority w:val="99"/>
    <w:pPr>
      <w:autoSpaceDE/>
      <w:autoSpaceDN/>
      <w:adjustRightInd/>
      <w:spacing w:line="240" w:lineRule="auto"/>
      <w:ind w:left="0"/>
      <w:jc w:val="center"/>
    </w:pPr>
    <w:rPr>
      <w:b/>
      <w:sz w:val="24"/>
    </w:rPr>
  </w:style>
  <w:style w:type="paragraph" w:customStyle="1" w:styleId="271">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2">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4">
    <w:name w:val="Char Char Char Char Char Char1 Char Char Char Char Char Char"/>
    <w:basedOn w:val="1"/>
    <w:qFormat/>
    <w:uiPriority w:val="99"/>
    <w:rPr>
      <w:rFonts w:ascii="Tahoma" w:hAnsi="Tahoma"/>
      <w:sz w:val="24"/>
      <w:szCs w:val="20"/>
    </w:rPr>
  </w:style>
  <w:style w:type="paragraph" w:customStyle="1" w:styleId="275">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6">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7">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9">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80">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81">
    <w:name w:val="文本框样式1"/>
    <w:basedOn w:val="1"/>
    <w:qFormat/>
    <w:uiPriority w:val="99"/>
    <w:pPr>
      <w:adjustRightInd w:val="0"/>
      <w:snapToGrid w:val="0"/>
      <w:spacing w:before="60" w:line="180" w:lineRule="exact"/>
      <w:jc w:val="center"/>
    </w:pPr>
    <w:rPr>
      <w:szCs w:val="21"/>
    </w:rPr>
  </w:style>
  <w:style w:type="paragraph" w:customStyle="1" w:styleId="282">
    <w:name w:val="aria"/>
    <w:basedOn w:val="1"/>
    <w:qFormat/>
    <w:uiPriority w:val="99"/>
    <w:pPr>
      <w:spacing w:line="360" w:lineRule="auto"/>
    </w:pPr>
    <w:rPr>
      <w:b/>
      <w:sz w:val="24"/>
    </w:rPr>
  </w:style>
  <w:style w:type="paragraph" w:customStyle="1" w:styleId="283">
    <w:name w:val="首行缩进 1"/>
    <w:basedOn w:val="1"/>
    <w:qFormat/>
    <w:uiPriority w:val="99"/>
    <w:pPr>
      <w:spacing w:after="120" w:line="360" w:lineRule="auto"/>
      <w:ind w:firstLine="200" w:firstLineChars="200"/>
    </w:pPr>
    <w:rPr>
      <w:sz w:val="24"/>
    </w:rPr>
  </w:style>
  <w:style w:type="paragraph" w:customStyle="1" w:styleId="284">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5">
    <w:name w:val="表格"/>
    <w:basedOn w:val="1"/>
    <w:qFormat/>
    <w:uiPriority w:val="99"/>
    <w:pPr>
      <w:jc w:val="left"/>
    </w:pPr>
    <w:rPr>
      <w:bCs/>
      <w:color w:val="000000"/>
      <w:szCs w:val="21"/>
    </w:rPr>
  </w:style>
  <w:style w:type="paragraph" w:customStyle="1" w:styleId="286">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7">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8">
    <w:name w:val="缺省文本"/>
    <w:basedOn w:val="1"/>
    <w:qFormat/>
    <w:uiPriority w:val="99"/>
    <w:pPr>
      <w:autoSpaceDE w:val="0"/>
      <w:autoSpaceDN w:val="0"/>
      <w:adjustRightInd w:val="0"/>
      <w:jc w:val="left"/>
    </w:pPr>
    <w:rPr>
      <w:kern w:val="0"/>
      <w:sz w:val="24"/>
      <w:szCs w:val="20"/>
    </w:rPr>
  </w:style>
  <w:style w:type="paragraph" w:customStyle="1" w:styleId="289">
    <w:name w:val="序4"/>
    <w:basedOn w:val="1"/>
    <w:qFormat/>
    <w:uiPriority w:val="99"/>
    <w:pPr>
      <w:tabs>
        <w:tab w:val="left" w:pos="1680"/>
      </w:tabs>
      <w:spacing w:before="120"/>
      <w:ind w:left="1680" w:hanging="420"/>
      <w:jc w:val="left"/>
    </w:pPr>
    <w:rPr>
      <w:rFonts w:eastAsia="黑体"/>
      <w:b/>
      <w:bCs/>
      <w:caps/>
      <w:sz w:val="24"/>
    </w:rPr>
  </w:style>
  <w:style w:type="paragraph" w:customStyle="1" w:styleId="290">
    <w:name w:val="我的正文下级"/>
    <w:basedOn w:val="1"/>
    <w:qFormat/>
    <w:uiPriority w:val="99"/>
    <w:rPr>
      <w:rFonts w:ascii="仿宋_GB2312" w:hAnsi="宋体" w:eastAsia="仿宋_GB2312"/>
      <w:kern w:val="0"/>
      <w:sz w:val="28"/>
    </w:rPr>
  </w:style>
  <w:style w:type="paragraph" w:customStyle="1" w:styleId="291">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2">
    <w:name w:val="序3"/>
    <w:basedOn w:val="1"/>
    <w:qFormat/>
    <w:uiPriority w:val="99"/>
    <w:pPr>
      <w:tabs>
        <w:tab w:val="left" w:pos="0"/>
        <w:tab w:val="left" w:pos="643"/>
      </w:tabs>
      <w:ind w:left="643" w:hanging="360"/>
    </w:pPr>
    <w:rPr>
      <w:rFonts w:eastAsia="楷体_GB2312"/>
      <w:b/>
      <w:bCs/>
      <w:sz w:val="32"/>
    </w:rPr>
  </w:style>
  <w:style w:type="paragraph" w:customStyle="1" w:styleId="293">
    <w:name w:val="Char Char1 Char Char Char Char1 Char Char Char Char Char Char Char Char Char Char Char Char"/>
    <w:basedOn w:val="1"/>
    <w:qFormat/>
    <w:uiPriority w:val="99"/>
    <w:rPr>
      <w:rFonts w:ascii="Tahoma" w:hAnsi="Tahoma"/>
      <w:sz w:val="24"/>
      <w:szCs w:val="20"/>
    </w:rPr>
  </w:style>
  <w:style w:type="paragraph" w:customStyle="1" w:styleId="294">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5">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6">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8">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9">
    <w:name w:val="*8. General Text"/>
    <w:basedOn w:val="116"/>
    <w:next w:val="116"/>
    <w:qFormat/>
    <w:uiPriority w:val="99"/>
    <w:pPr>
      <w:spacing w:after="120"/>
    </w:pPr>
    <w:rPr>
      <w:color w:val="auto"/>
    </w:rPr>
  </w:style>
  <w:style w:type="paragraph" w:customStyle="1" w:styleId="300">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1">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2">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3">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4">
    <w:name w:val="注释文字"/>
    <w:basedOn w:val="1"/>
    <w:qFormat/>
    <w:uiPriority w:val="99"/>
    <w:pPr>
      <w:tabs>
        <w:tab w:val="left" w:pos="620"/>
        <w:tab w:val="left" w:pos="720"/>
      </w:tabs>
      <w:ind w:left="620" w:hanging="420"/>
      <w:jc w:val="left"/>
    </w:pPr>
    <w:rPr>
      <w:color w:val="008080"/>
      <w:sz w:val="24"/>
      <w:u w:val="words"/>
    </w:rPr>
  </w:style>
  <w:style w:type="paragraph" w:customStyle="1" w:styleId="305">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6">
    <w:name w:val="表格文字（大）"/>
    <w:basedOn w:val="1"/>
    <w:qFormat/>
    <w:uiPriority w:val="99"/>
    <w:pPr>
      <w:spacing w:before="20" w:after="20"/>
    </w:pPr>
    <w:rPr>
      <w:rFonts w:ascii="Century Gothic" w:hAnsi="Century Gothic"/>
      <w:sz w:val="24"/>
      <w:szCs w:val="20"/>
    </w:rPr>
  </w:style>
  <w:style w:type="paragraph" w:customStyle="1" w:styleId="307">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8">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9">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10">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2">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3">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4">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5">
    <w:name w:val="gczx正文"/>
    <w:basedOn w:val="1"/>
    <w:qFormat/>
    <w:uiPriority w:val="99"/>
    <w:pPr>
      <w:spacing w:beforeLines="25" w:afterLines="25" w:line="440" w:lineRule="exact"/>
      <w:ind w:firstLine="200" w:firstLineChars="200"/>
    </w:pPr>
    <w:rPr>
      <w:sz w:val="24"/>
      <w:szCs w:val="20"/>
    </w:rPr>
  </w:style>
  <w:style w:type="paragraph" w:customStyle="1" w:styleId="316">
    <w:name w:val="Char1 Char Char Char Char Char"/>
    <w:basedOn w:val="1"/>
    <w:qFormat/>
    <w:uiPriority w:val="99"/>
    <w:pPr>
      <w:adjustRightInd w:val="0"/>
    </w:pPr>
    <w:rPr>
      <w:rFonts w:ascii="Tahoma" w:hAnsi="Tahoma"/>
      <w:sz w:val="24"/>
      <w:szCs w:val="20"/>
    </w:rPr>
  </w:style>
  <w:style w:type="paragraph" w:customStyle="1" w:styleId="317">
    <w:name w:val="序2"/>
    <w:basedOn w:val="1"/>
    <w:qFormat/>
    <w:uiPriority w:val="99"/>
    <w:pPr>
      <w:tabs>
        <w:tab w:val="left" w:pos="360"/>
        <w:tab w:val="left" w:pos="840"/>
      </w:tabs>
      <w:ind w:left="360" w:hanging="360"/>
    </w:pPr>
    <w:rPr>
      <w:rFonts w:eastAsia="黑体"/>
      <w:b/>
      <w:bCs/>
      <w:sz w:val="44"/>
    </w:rPr>
  </w:style>
  <w:style w:type="paragraph" w:customStyle="1" w:styleId="318">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9">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0">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1">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2">
    <w:name w:val="编号正文"/>
    <w:basedOn w:val="206"/>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3">
    <w:name w:val="楷体粗正文文字"/>
    <w:basedOn w:val="1"/>
    <w:next w:val="45"/>
    <w:qFormat/>
    <w:uiPriority w:val="99"/>
    <w:pPr>
      <w:snapToGrid w:val="0"/>
      <w:spacing w:line="480" w:lineRule="exact"/>
      <w:ind w:firstLine="560"/>
    </w:pPr>
    <w:rPr>
      <w:sz w:val="28"/>
      <w:szCs w:val="20"/>
    </w:rPr>
  </w:style>
  <w:style w:type="paragraph" w:customStyle="1" w:styleId="324">
    <w:name w:val="标题下列示顺序"/>
    <w:basedOn w:val="259"/>
    <w:qFormat/>
    <w:uiPriority w:val="99"/>
    <w:pPr>
      <w:tabs>
        <w:tab w:val="left" w:pos="1680"/>
      </w:tabs>
      <w:ind w:left="1680" w:leftChars="0" w:hanging="420"/>
    </w:pPr>
  </w:style>
  <w:style w:type="paragraph" w:customStyle="1" w:styleId="325">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6">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7">
    <w:name w:val="招标文件》"/>
    <w:basedOn w:val="232"/>
    <w:qFormat/>
    <w:uiPriority w:val="99"/>
    <w:pPr>
      <w:tabs>
        <w:tab w:val="left" w:pos="560"/>
      </w:tabs>
      <w:ind w:left="200" w:firstLine="0" w:firstLineChars="0"/>
    </w:pPr>
  </w:style>
  <w:style w:type="paragraph" w:customStyle="1" w:styleId="328">
    <w:name w:val="样式 样式 列项· + 段后: 0.5 行 + 段前: 0.5 行"/>
    <w:basedOn w:val="1"/>
    <w:qFormat/>
    <w:uiPriority w:val="0"/>
    <w:pPr>
      <w:widowControl/>
      <w:tabs>
        <w:tab w:val="left" w:pos="814"/>
      </w:tabs>
      <w:spacing w:beforeLines="50"/>
      <w:ind w:firstLine="454"/>
      <w:jc w:val="left"/>
    </w:pPr>
    <w:rPr>
      <w:rFonts w:ascii="宋体" w:cs="宋体"/>
      <w:kern w:val="0"/>
      <w:sz w:val="24"/>
      <w:szCs w:val="20"/>
    </w:rPr>
  </w:style>
  <w:style w:type="paragraph" w:customStyle="1" w:styleId="329">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0">
    <w:name w:val="1 Char"/>
    <w:basedOn w:val="1"/>
    <w:qFormat/>
    <w:uiPriority w:val="99"/>
    <w:rPr>
      <w:rFonts w:ascii="Tahoma" w:hAnsi="Tahoma"/>
      <w:sz w:val="24"/>
      <w:szCs w:val="20"/>
    </w:rPr>
  </w:style>
  <w:style w:type="paragraph" w:customStyle="1" w:styleId="331">
    <w:name w:val="*4. Head 1"/>
    <w:basedOn w:val="116"/>
    <w:next w:val="116"/>
    <w:qFormat/>
    <w:uiPriority w:val="99"/>
    <w:pPr>
      <w:spacing w:before="180" w:after="60"/>
    </w:pPr>
    <w:rPr>
      <w:rFonts w:ascii="Arial" w:hAnsi="Arial"/>
      <w:color w:val="auto"/>
    </w:rPr>
  </w:style>
  <w:style w:type="paragraph" w:customStyle="1" w:styleId="332">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3">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4">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5">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6">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7">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8">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9">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0">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1">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2">
    <w:name w:val="默认段落字体 Para Char"/>
    <w:basedOn w:val="1"/>
    <w:qFormat/>
    <w:uiPriority w:val="99"/>
    <w:rPr>
      <w:rFonts w:ascii="Tahoma" w:hAnsi="Tahoma"/>
      <w:sz w:val="24"/>
      <w:szCs w:val="20"/>
    </w:rPr>
  </w:style>
  <w:style w:type="paragraph" w:customStyle="1" w:styleId="343">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4">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5">
    <w:name w:val="表格首行"/>
    <w:basedOn w:val="1"/>
    <w:qFormat/>
    <w:uiPriority w:val="99"/>
    <w:pPr>
      <w:jc w:val="center"/>
    </w:pPr>
    <w:rPr>
      <w:rFonts w:ascii="宋体" w:hAnsi="宋体"/>
    </w:rPr>
  </w:style>
  <w:style w:type="paragraph" w:customStyle="1" w:styleId="346">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7">
    <w:name w:val="黑正体次次级"/>
    <w:basedOn w:val="298"/>
    <w:qFormat/>
    <w:uiPriority w:val="99"/>
    <w:pPr>
      <w:tabs>
        <w:tab w:val="left" w:pos="425"/>
      </w:tabs>
      <w:ind w:left="1417" w:hanging="425"/>
    </w:pPr>
    <w:rPr>
      <w:i/>
      <w:sz w:val="20"/>
    </w:rPr>
  </w:style>
  <w:style w:type="paragraph" w:customStyle="1" w:styleId="348">
    <w:name w:val="Char11"/>
    <w:basedOn w:val="1"/>
    <w:qFormat/>
    <w:uiPriority w:val="0"/>
    <w:rPr>
      <w:rFonts w:ascii="宋体" w:hAnsi="宋体"/>
      <w:sz w:val="24"/>
      <w:szCs w:val="20"/>
    </w:rPr>
  </w:style>
  <w:style w:type="paragraph" w:customStyle="1" w:styleId="349">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0">
    <w:name w:val="注释"/>
    <w:basedOn w:val="1"/>
    <w:qFormat/>
    <w:uiPriority w:val="99"/>
    <w:pPr>
      <w:shd w:val="clear" w:color="auto" w:fill="E0E0E0"/>
      <w:spacing w:beforeLines="50" w:afterLines="50"/>
    </w:pPr>
    <w:rPr>
      <w:rFonts w:ascii="Arial" w:hAnsi="Arial" w:eastAsia="仿宋_GB2312"/>
    </w:rPr>
  </w:style>
  <w:style w:type="paragraph" w:customStyle="1" w:styleId="351">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2">
    <w:name w:val="apple-converted-space"/>
    <w:qFormat/>
    <w:uiPriority w:val="0"/>
  </w:style>
  <w:style w:type="paragraph" w:customStyle="1" w:styleId="353">
    <w:name w:val="Normal Paragraph"/>
    <w:basedOn w:val="1"/>
    <w:link w:val="354"/>
    <w:qFormat/>
    <w:uiPriority w:val="0"/>
    <w:pPr>
      <w:widowControl/>
      <w:spacing w:before="120" w:line="360" w:lineRule="auto"/>
      <w:ind w:firstLine="425"/>
    </w:pPr>
    <w:rPr>
      <w:kern w:val="0"/>
      <w:sz w:val="24"/>
    </w:rPr>
  </w:style>
  <w:style w:type="character" w:customStyle="1" w:styleId="354">
    <w:name w:val="Normal Paragraph Char1"/>
    <w:link w:val="353"/>
    <w:qFormat/>
    <w:locked/>
    <w:uiPriority w:val="0"/>
    <w:rPr>
      <w:sz w:val="24"/>
      <w:szCs w:val="24"/>
    </w:rPr>
  </w:style>
  <w:style w:type="paragraph" w:customStyle="1" w:styleId="355">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6">
    <w:name w:val="NeusoftPMS正文"/>
    <w:basedOn w:val="1"/>
    <w:link w:val="357"/>
    <w:qFormat/>
    <w:uiPriority w:val="0"/>
    <w:pPr>
      <w:widowControl/>
      <w:ind w:firstLine="200" w:firstLineChars="200"/>
      <w:jc w:val="left"/>
    </w:pPr>
    <w:rPr>
      <w:szCs w:val="20"/>
    </w:rPr>
  </w:style>
  <w:style w:type="character" w:customStyle="1" w:styleId="357">
    <w:name w:val="NeusoftPMS正文 Char"/>
    <w:link w:val="356"/>
    <w:qFormat/>
    <w:uiPriority w:val="0"/>
    <w:rPr>
      <w:kern w:val="2"/>
      <w:sz w:val="21"/>
    </w:rPr>
  </w:style>
  <w:style w:type="character" w:customStyle="1" w:styleId="358">
    <w:name w:val="明显参考1"/>
    <w:qFormat/>
    <w:uiPriority w:val="32"/>
    <w:rPr>
      <w:b/>
      <w:bCs/>
      <w:smallCaps/>
      <w:color w:val="4F81BD"/>
      <w:spacing w:val="5"/>
    </w:rPr>
  </w:style>
  <w:style w:type="paragraph" w:customStyle="1" w:styleId="359">
    <w:name w:val="QB正文"/>
    <w:basedOn w:val="1"/>
    <w:qFormat/>
    <w:uiPriority w:val="0"/>
    <w:pPr>
      <w:widowControl/>
      <w:autoSpaceDE w:val="0"/>
      <w:autoSpaceDN w:val="0"/>
      <w:ind w:firstLine="200" w:firstLineChars="200"/>
    </w:pPr>
    <w:rPr>
      <w:rFonts w:ascii="宋体"/>
      <w:kern w:val="0"/>
      <w:szCs w:val="20"/>
    </w:rPr>
  </w:style>
  <w:style w:type="paragraph" w:customStyle="1" w:styleId="360">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61">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362">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3">
    <w:name w:val="样式 仿宋_GB2312 小四"/>
    <w:qFormat/>
    <w:uiPriority w:val="0"/>
    <w:rPr>
      <w:rFonts w:ascii="仿宋_GB2312" w:hAnsi="仿宋_GB2312" w:eastAsia="仿宋_GB2312"/>
      <w:sz w:val="24"/>
    </w:rPr>
  </w:style>
  <w:style w:type="paragraph" w:customStyle="1" w:styleId="364">
    <w:name w:val="kevin标题1"/>
    <w:basedOn w:val="1"/>
    <w:qFormat/>
    <w:uiPriority w:val="0"/>
    <w:pPr>
      <w:spacing w:afterLines="50"/>
      <w:ind w:left="1" w:firstLine="538" w:firstLineChars="192"/>
    </w:pPr>
    <w:rPr>
      <w:rFonts w:eastAsia="黑体"/>
      <w:sz w:val="24"/>
      <w:szCs w:val="20"/>
    </w:rPr>
  </w:style>
  <w:style w:type="character" w:customStyle="1" w:styleId="365">
    <w:name w:val="msonormal1"/>
    <w:qFormat/>
    <w:uiPriority w:val="0"/>
  </w:style>
  <w:style w:type="character" w:customStyle="1" w:styleId="366">
    <w:name w:val="未处理的提及1"/>
    <w:unhideWhenUsed/>
    <w:qFormat/>
    <w:uiPriority w:val="99"/>
    <w:rPr>
      <w:color w:val="605E5C"/>
      <w:shd w:val="clear" w:color="auto" w:fill="E1DFDD"/>
    </w:rPr>
  </w:style>
  <w:style w:type="character" w:customStyle="1" w:styleId="367">
    <w:name w:val="3级标题 Char"/>
    <w:link w:val="368"/>
    <w:qFormat/>
    <w:uiPriority w:val="0"/>
    <w:rPr>
      <w:b/>
    </w:rPr>
  </w:style>
  <w:style w:type="paragraph" w:customStyle="1" w:styleId="368">
    <w:name w:val="3级标题"/>
    <w:basedOn w:val="1"/>
    <w:link w:val="367"/>
    <w:qFormat/>
    <w:uiPriority w:val="0"/>
    <w:pPr>
      <w:spacing w:line="360" w:lineRule="auto"/>
      <w:outlineLvl w:val="1"/>
    </w:pPr>
    <w:rPr>
      <w:b/>
    </w:rPr>
  </w:style>
  <w:style w:type="paragraph" w:customStyle="1" w:styleId="369">
    <w:name w:val="4级标题"/>
    <w:basedOn w:val="1"/>
    <w:qFormat/>
    <w:uiPriority w:val="0"/>
    <w:pPr>
      <w:numPr>
        <w:ilvl w:val="1"/>
        <w:numId w:val="3"/>
      </w:numPr>
      <w:spacing w:line="360" w:lineRule="auto"/>
      <w:outlineLvl w:val="2"/>
    </w:pPr>
  </w:style>
  <w:style w:type="paragraph" w:customStyle="1" w:styleId="370">
    <w:name w:val="whh正文"/>
    <w:basedOn w:val="1"/>
    <w:qFormat/>
    <w:uiPriority w:val="0"/>
    <w:pPr>
      <w:adjustRightInd w:val="0"/>
      <w:snapToGrid w:val="0"/>
      <w:spacing w:line="360" w:lineRule="auto"/>
      <w:ind w:firstLine="420"/>
    </w:pPr>
    <w:rPr>
      <w:rFonts w:ascii="宋体" w:hAnsi="宋体"/>
      <w:szCs w:val="21"/>
    </w:rPr>
  </w:style>
  <w:style w:type="paragraph" w:customStyle="1" w:styleId="371">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372">
    <w:name w:val="项"/>
    <w:basedOn w:val="1"/>
    <w:qFormat/>
    <w:uiPriority w:val="0"/>
    <w:pPr>
      <w:numPr>
        <w:ilvl w:val="0"/>
        <w:numId w:val="4"/>
      </w:numPr>
      <w:spacing w:line="360" w:lineRule="auto"/>
    </w:pPr>
    <w:rPr>
      <w:sz w:val="24"/>
    </w:rPr>
  </w:style>
  <w:style w:type="paragraph" w:customStyle="1" w:styleId="373">
    <w:name w:val="修订5"/>
    <w:semiHidden/>
    <w:qFormat/>
    <w:uiPriority w:val="99"/>
    <w:rPr>
      <w:rFonts w:ascii="Times New Roman" w:hAnsi="Times New Roman" w:eastAsia="宋体" w:cs="Times New Roman"/>
      <w:kern w:val="2"/>
      <w:sz w:val="21"/>
      <w:szCs w:val="24"/>
      <w:lang w:val="en-US" w:eastAsia="zh-CN" w:bidi="ar-SA"/>
    </w:rPr>
  </w:style>
  <w:style w:type="character" w:customStyle="1" w:styleId="374">
    <w:name w:val="font31"/>
    <w:qFormat/>
    <w:uiPriority w:val="0"/>
    <w:rPr>
      <w:rFonts w:hint="eastAsia" w:ascii="宋体" w:hAnsi="宋体" w:eastAsia="宋体" w:cs="宋体"/>
      <w:color w:val="FF0000"/>
      <w:kern w:val="2"/>
      <w:sz w:val="22"/>
      <w:szCs w:val="22"/>
      <w:lang w:val="en-US" w:eastAsia="zh-CN" w:bidi="ar-SA"/>
    </w:rPr>
  </w:style>
  <w:style w:type="paragraph" w:customStyle="1" w:styleId="375">
    <w:name w:val="修订6"/>
    <w:semiHidden/>
    <w:qFormat/>
    <w:uiPriority w:val="99"/>
    <w:rPr>
      <w:rFonts w:ascii="Times New Roman" w:hAnsi="Times New Roman" w:eastAsia="宋体" w:cs="Times New Roman"/>
      <w:kern w:val="2"/>
      <w:sz w:val="21"/>
      <w:szCs w:val="24"/>
      <w:lang w:val="en-US" w:eastAsia="zh-CN" w:bidi="ar-SA"/>
    </w:rPr>
  </w:style>
  <w:style w:type="paragraph" w:customStyle="1" w:styleId="376">
    <w:name w:val="修订7"/>
    <w:semiHidden/>
    <w:qFormat/>
    <w:uiPriority w:val="99"/>
    <w:rPr>
      <w:rFonts w:ascii="Times New Roman" w:hAnsi="Times New Roman" w:eastAsia="宋体" w:cs="Times New Roman"/>
      <w:kern w:val="2"/>
      <w:sz w:val="21"/>
      <w:szCs w:val="24"/>
      <w:lang w:val="en-US" w:eastAsia="zh-CN" w:bidi="ar-SA"/>
    </w:rPr>
  </w:style>
  <w:style w:type="paragraph" w:customStyle="1" w:styleId="377">
    <w:name w:val="_Style 376"/>
    <w:unhideWhenUsed/>
    <w:qFormat/>
    <w:uiPriority w:val="99"/>
    <w:rPr>
      <w:rFonts w:ascii="Times New Roman" w:hAnsi="Times New Roman" w:eastAsia="宋体" w:cs="Times New Roman"/>
      <w:kern w:val="2"/>
      <w:sz w:val="21"/>
      <w:szCs w:val="24"/>
      <w:lang w:val="en-US" w:eastAsia="zh-CN" w:bidi="ar-SA"/>
    </w:rPr>
  </w:style>
  <w:style w:type="character" w:customStyle="1" w:styleId="378">
    <w:name w:val="批注文字 字符1"/>
    <w:qFormat/>
    <w:uiPriority w:val="0"/>
    <w:rPr>
      <w:rFonts w:eastAsia="宋体"/>
      <w:kern w:val="2"/>
      <w:sz w:val="21"/>
      <w:lang w:val="en-US" w:eastAsia="zh-CN" w:bidi="ar-SA"/>
    </w:rPr>
  </w:style>
  <w:style w:type="character" w:customStyle="1" w:styleId="379">
    <w:name w:val="正文文本 2 字符1"/>
    <w:qFormat/>
    <w:uiPriority w:val="0"/>
    <w:rPr>
      <w:rFonts w:eastAsia="宋体"/>
      <w:color w:val="FF0000"/>
      <w:kern w:val="2"/>
      <w:sz w:val="21"/>
      <w:lang w:val="en-US" w:eastAsia="zh-CN" w:bidi="ar-SA"/>
    </w:rPr>
  </w:style>
  <w:style w:type="character" w:customStyle="1" w:styleId="380">
    <w:name w:val="副标题 字符1"/>
    <w:qFormat/>
    <w:uiPriority w:val="0"/>
    <w:rPr>
      <w:rFonts w:ascii="Cambria" w:hAnsi="Cambria"/>
      <w:b/>
      <w:bCs/>
      <w:kern w:val="28"/>
      <w:sz w:val="32"/>
      <w:szCs w:val="32"/>
    </w:rPr>
  </w:style>
  <w:style w:type="character" w:customStyle="1" w:styleId="381">
    <w:name w:val="列出段落 Char"/>
    <w:qFormat/>
    <w:uiPriority w:val="99"/>
    <w:rPr>
      <w:kern w:val="2"/>
      <w:sz w:val="21"/>
      <w:szCs w:val="22"/>
    </w:rPr>
  </w:style>
  <w:style w:type="character" w:customStyle="1" w:styleId="382">
    <w:name w:val="font71"/>
    <w:qFormat/>
    <w:uiPriority w:val="0"/>
    <w:rPr>
      <w:rFonts w:hint="default" w:ascii="Times New Roman" w:hAnsi="Times New Roman" w:cs="Times New Roman"/>
      <w:color w:val="000000"/>
      <w:sz w:val="21"/>
      <w:szCs w:val="21"/>
      <w:u w:val="none"/>
    </w:rPr>
  </w:style>
  <w:style w:type="character" w:customStyle="1" w:styleId="383">
    <w:name w:val="Document Map Char Char"/>
    <w:link w:val="384"/>
    <w:qFormat/>
    <w:uiPriority w:val="0"/>
    <w:rPr>
      <w:rFonts w:ascii="宋体" w:hAnsi="Tahoma"/>
      <w:kern w:val="2"/>
      <w:sz w:val="18"/>
      <w:szCs w:val="18"/>
    </w:rPr>
  </w:style>
  <w:style w:type="paragraph" w:customStyle="1" w:styleId="384">
    <w:name w:val="文档结构图1"/>
    <w:basedOn w:val="1"/>
    <w:link w:val="383"/>
    <w:qFormat/>
    <w:uiPriority w:val="0"/>
    <w:pPr>
      <w:ind w:firstLine="200" w:firstLineChars="200"/>
    </w:pPr>
    <w:rPr>
      <w:rFonts w:ascii="宋体" w:hAnsi="Tahoma"/>
      <w:sz w:val="18"/>
      <w:szCs w:val="18"/>
    </w:rPr>
  </w:style>
  <w:style w:type="character" w:customStyle="1" w:styleId="385">
    <w:name w:val="font81"/>
    <w:qFormat/>
    <w:uiPriority w:val="0"/>
    <w:rPr>
      <w:rFonts w:hint="eastAsia" w:ascii="宋体" w:hAnsi="宋体" w:eastAsia="宋体" w:cs="宋体"/>
      <w:color w:val="000000"/>
      <w:sz w:val="21"/>
      <w:szCs w:val="21"/>
      <w:u w:val="none"/>
    </w:rPr>
  </w:style>
  <w:style w:type="character" w:customStyle="1" w:styleId="386">
    <w:name w:val="font41"/>
    <w:qFormat/>
    <w:uiPriority w:val="0"/>
    <w:rPr>
      <w:rFonts w:hint="eastAsia" w:ascii="宋体" w:hAnsi="宋体" w:eastAsia="宋体" w:cs="宋体"/>
      <w:color w:val="000000"/>
      <w:sz w:val="21"/>
      <w:szCs w:val="21"/>
      <w:u w:val="none"/>
    </w:rPr>
  </w:style>
  <w:style w:type="character" w:customStyle="1" w:styleId="387">
    <w:name w:val="font51"/>
    <w:qFormat/>
    <w:uiPriority w:val="0"/>
    <w:rPr>
      <w:rFonts w:hint="eastAsia" w:ascii="宋体" w:hAnsi="宋体" w:eastAsia="宋体" w:cs="宋体"/>
      <w:color w:val="000000"/>
      <w:sz w:val="21"/>
      <w:szCs w:val="21"/>
      <w:u w:val="none"/>
    </w:rPr>
  </w:style>
  <w:style w:type="paragraph" w:customStyle="1" w:styleId="388">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389">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390">
    <w:name w:val="修订10"/>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1</Pages>
  <Words>4444</Words>
  <Characters>25334</Characters>
  <Lines>211</Lines>
  <Paragraphs>59</Paragraphs>
  <TotalTime>0</TotalTime>
  <ScaleCrop>false</ScaleCrop>
  <LinksUpToDate>false</LinksUpToDate>
  <CharactersWithSpaces>29719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2023-10-09T10:13:00Z</dcterms:created>
  <dc:creator>Administrator</dc:creator>
  <cp:lastModifiedBy>Ccyu.</cp:lastModifiedBy>
  <cp:lastPrinted>2017-04-10T13:36:00Z</cp:lastPrinted>
  <dcterms:modified xsi:type="dcterms:W3CDTF">2023-10-18T01:45:59Z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63C206CBDB5E4B528E1DAC4FAA3F4CAD_13</vt:lpwstr>
  </property>
</Properties>
</file>