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color w:val="000000" w:themeColor="text1"/>
          <w:sz w:val="28"/>
          <w:szCs w:val="28"/>
          <w14:textFill>
            <w14:solidFill>
              <w14:schemeClr w14:val="tx1"/>
            </w14:solidFill>
          </w14:textFill>
        </w:rPr>
      </w:pPr>
      <w:bookmarkStart w:id="0" w:name="_Hlk97121947"/>
    </w:p>
    <w:p>
      <w:pPr>
        <w:pStyle w:val="2"/>
        <w:rPr>
          <w:color w:val="000000" w:themeColor="text1"/>
          <w14:textFill>
            <w14:solidFill>
              <w14:schemeClr w14:val="tx1"/>
            </w14:solidFill>
          </w14:textFill>
        </w:rPr>
      </w:pPr>
    </w:p>
    <w:p>
      <w:pPr>
        <w:spacing w:line="360" w:lineRule="auto"/>
        <w:ind w:firstLine="560"/>
        <w:rPr>
          <w:rFonts w:eastAsia="仿宋_GB2312"/>
          <w:color w:val="000000" w:themeColor="text1"/>
          <w:sz w:val="28"/>
          <w:szCs w:val="28"/>
          <w14:textFill>
            <w14:solidFill>
              <w14:schemeClr w14:val="tx1"/>
            </w14:solidFill>
          </w14:textFill>
        </w:rPr>
      </w:pPr>
    </w:p>
    <w:p>
      <w:pPr>
        <w:spacing w:after="120" w:line="360" w:lineRule="auto"/>
        <w:jc w:val="center"/>
        <w:rPr>
          <w:rFonts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江苏省广电有线信息网络股份有限公司</w:t>
      </w:r>
    </w:p>
    <w:p>
      <w:pPr>
        <w:spacing w:after="120" w:line="360" w:lineRule="auto"/>
        <w:jc w:val="center"/>
        <w:rPr>
          <w:rFonts w:ascii="黑体" w:hAnsi="宋体" w:eastAsia="黑体"/>
          <w:color w:val="000000" w:themeColor="text1"/>
          <w:sz w:val="44"/>
          <w:szCs w:val="44"/>
          <w14:textFill>
            <w14:solidFill>
              <w14:schemeClr w14:val="tx1"/>
            </w14:solidFill>
          </w14:textFill>
        </w:rPr>
      </w:pPr>
      <w:bookmarkStart w:id="1" w:name="_Toc227057880"/>
      <w:r>
        <w:rPr>
          <w:rFonts w:hint="eastAsia" w:ascii="黑体" w:hAnsi="宋体" w:eastAsia="黑体"/>
          <w:color w:val="000000" w:themeColor="text1"/>
          <w:sz w:val="44"/>
          <w:szCs w:val="44"/>
          <w14:textFill>
            <w14:solidFill>
              <w14:schemeClr w14:val="tx1"/>
            </w14:solidFill>
          </w14:textFill>
        </w:rPr>
        <w:t>2023年江苏有线客户服务满意度第三方测评项目</w:t>
      </w:r>
    </w:p>
    <w:p>
      <w:pPr>
        <w:spacing w:after="120" w:line="360" w:lineRule="auto"/>
        <w:jc w:val="center"/>
        <w:rPr>
          <w:rFonts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竞争性谈判文件</w:t>
      </w:r>
    </w:p>
    <w:p>
      <w:pPr>
        <w:jc w:val="center"/>
        <w:rPr>
          <w:rFonts w:ascii="仿宋_GB2312" w:hAnsi="宋体" w:eastAsia="仿宋_GB2312"/>
          <w:b/>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ind w:firstLine="1405" w:firstLineChars="5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b/>
          <w:color w:val="000000" w:themeColor="text1"/>
          <w:sz w:val="28"/>
          <w:szCs w:val="28"/>
          <w14:textFill>
            <w14:solidFill>
              <w14:schemeClr w14:val="tx1"/>
            </w14:solidFill>
          </w14:textFill>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二〇二三年十月</w:t>
      </w:r>
    </w:p>
    <w:p>
      <w:pPr>
        <w:spacing w:after="120" w:line="360" w:lineRule="auto"/>
        <w:ind w:firstLine="1405" w:firstLineChars="500"/>
        <w:rPr>
          <w:b/>
          <w:color w:val="000000" w:themeColor="text1"/>
          <w:sz w:val="28"/>
          <w:szCs w:val="28"/>
          <w14:textFill>
            <w14:solidFill>
              <w14:schemeClr w14:val="tx1"/>
            </w14:solidFill>
          </w14:textFill>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rPr>
          <w:color w:val="000000" w:themeColor="text1"/>
          <w14:textFill>
            <w14:solidFill>
              <w14:schemeClr w14:val="tx1"/>
            </w14:solidFill>
          </w14:textFill>
        </w:rPr>
      </w:pPr>
    </w:p>
    <w:p>
      <w:pPr>
        <w:pStyle w:val="118"/>
        <w:numPr>
          <w:ilvl w:val="0"/>
          <w:numId w:val="0"/>
        </w:numPr>
        <w:ind w:left="288"/>
        <w:jc w:val="center"/>
        <w:rPr>
          <w:color w:val="000000" w:themeColor="text1"/>
          <w14:textFill>
            <w14:solidFill>
              <w14:schemeClr w14:val="tx1"/>
            </w14:solidFill>
          </w14:textFill>
        </w:rPr>
      </w:pPr>
      <w:r>
        <w:rPr>
          <w:rFonts w:ascii="宋体" w:hAnsi="宋体" w:eastAsia="宋体"/>
          <w:color w:val="000000" w:themeColor="text1"/>
          <w:sz w:val="30"/>
          <w:szCs w:val="30"/>
          <w:lang w:val="zh-CN"/>
          <w14:textFill>
            <w14:solidFill>
              <w14:schemeClr w14:val="tx1"/>
            </w14:solidFill>
          </w14:textFill>
        </w:rPr>
        <w:t>目录</w:t>
      </w:r>
    </w:p>
    <w:p>
      <w:pPr>
        <w:pStyle w:val="38"/>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fldChar w:fldCharType="begin"/>
      </w:r>
      <w:r>
        <w:rPr>
          <w:rFonts w:ascii="宋体" w:hAnsi="宋体" w:eastAsia="宋体"/>
          <w:color w:val="000000" w:themeColor="text1"/>
          <w:sz w:val="20"/>
          <w:szCs w:val="20"/>
          <w14:textFill>
            <w14:solidFill>
              <w14:schemeClr w14:val="tx1"/>
            </w14:solidFill>
          </w14:textFill>
        </w:rPr>
        <w:instrText xml:space="preserve"> TOC \o "1-3" \h \z \u </w:instrText>
      </w:r>
      <w:r>
        <w:rPr>
          <w:rFonts w:ascii="宋体" w:hAnsi="宋体" w:eastAsia="宋体"/>
          <w:color w:val="000000" w:themeColor="text1"/>
          <w:sz w:val="20"/>
          <w:szCs w:val="20"/>
          <w14:textFill>
            <w14:solidFill>
              <w14:schemeClr w14:val="tx1"/>
            </w14:solidFill>
          </w14:textFill>
        </w:rPr>
        <w:fldChar w:fldCharType="separate"/>
      </w:r>
      <w:r>
        <w:fldChar w:fldCharType="begin"/>
      </w:r>
      <w:r>
        <w:instrText xml:space="preserve"> HYPERLINK \l "_Toc69378615" </w:instrText>
      </w:r>
      <w:r>
        <w:fldChar w:fldCharType="separate"/>
      </w:r>
      <w:r>
        <w:rPr>
          <w:rStyle w:val="60"/>
          <w:rFonts w:hint="eastAsia"/>
          <w:b/>
          <w:color w:val="000000" w:themeColor="text1"/>
          <w14:textFill>
            <w14:solidFill>
              <w14:schemeClr w14:val="tx1"/>
            </w14:solidFill>
          </w14:textFill>
        </w:rPr>
        <w:t>第一章 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_Toc69378615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"_Toc69378616" </w:instrText>
      </w:r>
      <w:r>
        <w:fldChar w:fldCharType="separate"/>
      </w:r>
      <w:r>
        <w:rPr>
          <w:rStyle w:val="60"/>
          <w:rFonts w:hint="eastAsia"/>
          <w:b/>
          <w:color w:val="000000" w:themeColor="text1"/>
          <w14:textFill>
            <w14:solidFill>
              <w14:schemeClr w14:val="tx1"/>
            </w14:solidFill>
          </w14:textFill>
        </w:rPr>
        <w:t>第二章 竞争性谈判须知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6</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"_Toc69378617" </w:instrText>
      </w:r>
      <w:r>
        <w:fldChar w:fldCharType="separate"/>
      </w:r>
      <w:r>
        <w:rPr>
          <w:rStyle w:val="60"/>
          <w:rFonts w:hint="eastAsia"/>
          <w:b/>
          <w:color w:val="000000" w:themeColor="text1"/>
          <w14:textFill>
            <w14:solidFill>
              <w14:schemeClr w14:val="tx1"/>
            </w14:solidFill>
          </w14:textFill>
        </w:rPr>
        <w:t>第三章 评审办法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7</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"_Toc69378618" </w:instrText>
      </w:r>
      <w:r>
        <w:fldChar w:fldCharType="separate"/>
      </w:r>
      <w:r>
        <w:rPr>
          <w:rStyle w:val="60"/>
          <w:rFonts w:hint="eastAsia"/>
          <w:b/>
          <w:color w:val="000000" w:themeColor="text1"/>
          <w14:textFill>
            <w14:solidFill>
              <w14:schemeClr w14:val="tx1"/>
            </w14:solidFill>
          </w14:textFill>
        </w:rPr>
        <w:t>第四章 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20</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"_Toc69378637" </w:instrText>
      </w:r>
      <w:r>
        <w:fldChar w:fldCharType="separate"/>
      </w:r>
      <w:r>
        <w:rPr>
          <w:rStyle w:val="60"/>
          <w:rFonts w:hint="eastAsia"/>
          <w:b/>
          <w:color w:val="000000" w:themeColor="text1"/>
          <w14:textFill>
            <w14:solidFill>
              <w14:schemeClr w14:val="tx1"/>
            </w14:solidFill>
          </w14:textFill>
        </w:rPr>
        <w:t>第五章 技术需求书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3</w:t>
      </w:r>
      <w:r>
        <w:rPr>
          <w:color w:val="000000" w:themeColor="text1"/>
          <w14:textFill>
            <w14:solidFill>
              <w14:schemeClr w14:val="tx1"/>
            </w14:solidFill>
          </w14:textFill>
        </w:rPr>
        <w:t>6</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"_Toc69378657" </w:instrText>
      </w:r>
      <w:r>
        <w:fldChar w:fldCharType="separate"/>
      </w:r>
      <w:r>
        <w:rPr>
          <w:rStyle w:val="60"/>
          <w:rFonts w:hint="eastAsia"/>
          <w:b/>
          <w:bCs/>
          <w:color w:val="000000" w:themeColor="text1"/>
          <w:kern w:val="44"/>
          <w14:textFill>
            <w14:solidFill>
              <w14:schemeClr w14:val="tx1"/>
            </w14:solidFill>
          </w14:textFill>
        </w:rPr>
        <w:t>第六章 竞争性谈判响应文件格式</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8</w:t>
      </w:r>
    </w:p>
    <w:p>
      <w:pPr>
        <w:pStyle w:val="38"/>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fldChar w:fldCharType="end"/>
      </w:r>
    </w:p>
    <w:p>
      <w:pPr>
        <w:widowControl/>
        <w:jc w:val="left"/>
        <w:rPr>
          <w:rFonts w:eastAsia="黑体"/>
          <w:bCs/>
          <w:color w:val="000000" w:themeColor="text1"/>
          <w:kern w:val="44"/>
          <w:sz w:val="30"/>
          <w:szCs w:val="44"/>
          <w14:textFill>
            <w14:solidFill>
              <w14:schemeClr w14:val="tx1"/>
            </w14:solidFill>
          </w14:textFill>
        </w:rPr>
      </w:pPr>
      <w:r>
        <w:rPr>
          <w:color w:val="000000" w:themeColor="text1"/>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2" w:name="_Toc69378615"/>
      <w:r>
        <w:rPr>
          <w:rFonts w:hint="eastAsia"/>
          <w:b/>
          <w:color w:val="000000" w:themeColor="text1"/>
          <w:sz w:val="36"/>
          <w:szCs w:val="36"/>
          <w14:textFill>
            <w14:solidFill>
              <w14:schemeClr w14:val="tx1"/>
            </w14:solidFill>
          </w14:textFill>
        </w:rPr>
        <w:t>第一章 竞争性谈判公告</w:t>
      </w:r>
      <w:bookmarkEnd w:id="2"/>
    </w:p>
    <w:bookmarkEnd w:id="0"/>
    <w:bookmarkEnd w:id="1"/>
    <w:p>
      <w:pPr>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江苏省广电有线信息网络股份有限公司就</w:t>
      </w:r>
      <w:r>
        <w:rPr>
          <w:rFonts w:hint="eastAsia" w:ascii="宋体" w:hAnsi="宋体" w:cs="宋体"/>
          <w:color w:val="000000" w:themeColor="text1"/>
          <w:kern w:val="0"/>
          <w:sz w:val="24"/>
          <w14:textFill>
            <w14:solidFill>
              <w14:schemeClr w14:val="tx1"/>
            </w14:solidFill>
          </w14:textFill>
        </w:rPr>
        <w:t>“2023年江苏有线客户服务满意度第三方测评项目”</w:t>
      </w:r>
      <w:r>
        <w:rPr>
          <w:rFonts w:hint="eastAsia" w:ascii="宋体" w:hAnsi="宋体" w:cs="宋体"/>
          <w:bCs/>
          <w:color w:val="000000" w:themeColor="text1"/>
          <w:kern w:val="0"/>
          <w:sz w:val="24"/>
          <w14:textFill>
            <w14:solidFill>
              <w14:schemeClr w14:val="tx1"/>
            </w14:solidFill>
          </w14:textFill>
        </w:rPr>
        <w:t>组织竞争性谈判采购，现欢迎符合资格条件的供应商参加报价和谈判。</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一、项目概况</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本期</w:t>
      </w:r>
      <w:r>
        <w:rPr>
          <w:rFonts w:hint="eastAsia" w:ascii="宋体" w:hAnsi="宋体" w:cs="宋体"/>
          <w:color w:val="000000" w:themeColor="text1"/>
          <w:kern w:val="0"/>
          <w:sz w:val="24"/>
          <w14:textFill>
            <w14:solidFill>
              <w14:schemeClr w14:val="tx1"/>
            </w14:solidFill>
          </w14:textFill>
        </w:rPr>
        <w:t>项目</w:t>
      </w:r>
      <w:r>
        <w:rPr>
          <w:rFonts w:ascii="宋体" w:hAnsi="宋体" w:cs="宋体"/>
          <w:color w:val="000000" w:themeColor="text1"/>
          <w:kern w:val="0"/>
          <w:sz w:val="24"/>
          <w14:textFill>
            <w14:solidFill>
              <w14:schemeClr w14:val="tx1"/>
            </w14:solidFill>
          </w14:textFill>
        </w:rPr>
        <w:t>计划采购</w:t>
      </w:r>
      <w:r>
        <w:rPr>
          <w:rFonts w:hint="eastAsia" w:ascii="宋体" w:hAnsi="宋体" w:cs="宋体"/>
          <w:color w:val="000000" w:themeColor="text1"/>
          <w:kern w:val="0"/>
          <w:sz w:val="24"/>
          <w14:textFill>
            <w14:solidFill>
              <w14:schemeClr w14:val="tx1"/>
            </w14:solidFill>
          </w14:textFill>
        </w:rPr>
        <w:t>客户服务满意度第三方测评项目</w:t>
      </w:r>
      <w:r>
        <w:rPr>
          <w:rFonts w:hint="eastAsia" w:ascii="宋体" w:hAnsi="宋体" w:cs="宋体"/>
          <w:color w:val="000000" w:themeColor="text1"/>
          <w:kern w:val="0"/>
          <w:sz w:val="24"/>
          <w:szCs w:val="22"/>
          <w14:textFill>
            <w14:solidFill>
              <w14:schemeClr w14:val="tx1"/>
            </w14:solidFill>
          </w14:textFill>
        </w:rPr>
        <w:t>。</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二、资格审查方式</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rPr>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三、合格供应商的基本资格要求</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bookmarkStart w:id="3" w:name="_Hlk74838219"/>
      <w:r>
        <w:rPr>
          <w:rFonts w:hint="eastAsia" w:ascii="宋体" w:hAnsi="宋体" w:cs="宋体"/>
          <w:color w:val="000000" w:themeColor="text1"/>
          <w:kern w:val="0"/>
          <w:sz w:val="24"/>
          <w:szCs w:val="22"/>
          <w14:textFill>
            <w14:solidFill>
              <w14:schemeClr w14:val="tx1"/>
            </w14:solidFill>
          </w14:textFill>
        </w:rPr>
        <w:t>1.服务供应商须为在中华人民共和国境内合法注册的独立法人，遵守中国有关法律、法规，</w:t>
      </w:r>
      <w:r>
        <w:rPr>
          <w:rFonts w:ascii="宋体" w:hAnsi="宋体" w:cs="宋体"/>
          <w:color w:val="000000" w:themeColor="text1"/>
          <w:kern w:val="0"/>
          <w:sz w:val="24"/>
          <w:szCs w:val="22"/>
          <w14:textFill>
            <w14:solidFill>
              <w14:schemeClr w14:val="tx1"/>
            </w14:solidFill>
          </w14:textFill>
        </w:rPr>
        <w:t>具有良好的商业信誉</w:t>
      </w:r>
      <w:r>
        <w:rPr>
          <w:rFonts w:hint="eastAsia" w:ascii="宋体" w:hAnsi="宋体" w:cs="宋体"/>
          <w:color w:val="000000" w:themeColor="text1"/>
          <w:kern w:val="0"/>
          <w:sz w:val="24"/>
          <w:szCs w:val="22"/>
          <w14:textFill>
            <w14:solidFill>
              <w14:schemeClr w14:val="tx1"/>
            </w14:solidFill>
          </w14:textFill>
        </w:rPr>
        <w:t>。（提供法人营业执照复印件）</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2.</w:t>
      </w:r>
      <w:r>
        <w:rPr>
          <w:rFonts w:hint="eastAsia" w:ascii="宋体" w:hAnsi="宋体" w:cs="宋体"/>
          <w:color w:val="000000" w:themeColor="text1"/>
          <w:kern w:val="0"/>
          <w:sz w:val="24"/>
          <w:szCs w:val="22"/>
          <w14:textFill>
            <w14:solidFill>
              <w14:schemeClr w14:val="tx1"/>
            </w14:solidFill>
          </w14:textFill>
        </w:rPr>
        <w:t>服务供应商须具备通信行政管理部门颁发的增值电信业务经营许可证（业务种类包含呼叫中心业务，业务覆盖范围包括江苏）。</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w:t>
      </w:r>
      <w:r>
        <w:rPr>
          <w:rFonts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本项目要求服务供应商具备自2020年同类项目经验（同类项目是客户调研服务类项目）。至少提供一份合同（按合同签订时间或框架订单时间为准），须提供合同关键页复印件（包含但不限于合同首页、合同标的页、合同金额页、合同签字页）。</w:t>
      </w:r>
    </w:p>
    <w:bookmarkEnd w:id="3"/>
    <w:p>
      <w:pPr>
        <w:widowControl/>
        <w:spacing w:line="360" w:lineRule="auto"/>
        <w:ind w:firstLine="482" w:firstLineChars="200"/>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四、竞争性谈判文件的获取</w:t>
      </w:r>
    </w:p>
    <w:p>
      <w:pPr>
        <w:widowControl/>
        <w:spacing w:line="360" w:lineRule="auto"/>
        <w:ind w:firstLine="42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发放及登记时间：</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3</w:t>
      </w:r>
      <w:r>
        <w:rPr>
          <w:rFonts w:ascii="宋体" w:hAnsi="宋体" w:cs="宋体"/>
          <w:color w:val="000000" w:themeColor="text1"/>
          <w:kern w:val="0"/>
          <w:sz w:val="24"/>
          <w:shd w:val="clear" w:color="auto" w:fill="FFFFFF"/>
          <w14:textFill>
            <w14:solidFill>
              <w14:schemeClr w14:val="tx1"/>
            </w14:solidFill>
          </w14:textFill>
        </w:rPr>
        <w:t>年10</w:t>
      </w:r>
      <w:r>
        <w:rPr>
          <w:rFonts w:hint="eastAsia" w:ascii="宋体" w:hAnsi="宋体" w:cs="宋体"/>
          <w:color w:val="000000" w:themeColor="text1"/>
          <w:kern w:val="0"/>
          <w:sz w:val="24"/>
          <w:shd w:val="clear" w:color="auto" w:fill="FFFFFF"/>
          <w14:textFill>
            <w14:solidFill>
              <w14:schemeClr w14:val="tx1"/>
            </w14:solidFill>
          </w14:textFill>
        </w:rPr>
        <w:t>月</w:t>
      </w:r>
      <w:r>
        <w:rPr>
          <w:rFonts w:hint="eastAsia" w:ascii="宋体" w:hAnsi="宋体" w:cs="宋体"/>
          <w:color w:val="000000" w:themeColor="text1"/>
          <w:kern w:val="0"/>
          <w:sz w:val="24"/>
          <w:shd w:val="clear" w:color="auto" w:fill="FFFFFF"/>
          <w:lang w:val="en-US" w:eastAsia="zh-CN"/>
          <w14:textFill>
            <w14:solidFill>
              <w14:schemeClr w14:val="tx1"/>
            </w14:solidFill>
          </w14:textFill>
        </w:rPr>
        <w:t>27</w:t>
      </w:r>
      <w:r>
        <w:rPr>
          <w:rFonts w:ascii="宋体" w:hAnsi="宋体" w:cs="宋体"/>
          <w:color w:val="000000" w:themeColor="text1"/>
          <w:kern w:val="0"/>
          <w:sz w:val="24"/>
          <w:shd w:val="clear" w:color="auto" w:fill="FFFFFF"/>
          <w14:textFill>
            <w14:solidFill>
              <w14:schemeClr w14:val="tx1"/>
            </w14:solidFill>
          </w14:textFill>
        </w:rPr>
        <w:t>日至2023年</w:t>
      </w:r>
      <w:r>
        <w:rPr>
          <w:rFonts w:hint="eastAsia" w:ascii="宋体" w:hAnsi="宋体" w:cs="宋体"/>
          <w:color w:val="000000" w:themeColor="text1"/>
          <w:kern w:val="0"/>
          <w:sz w:val="24"/>
          <w:shd w:val="clear" w:color="auto" w:fill="FFFFFF"/>
          <w14:textFill>
            <w14:solidFill>
              <w14:schemeClr w14:val="tx1"/>
            </w14:solidFill>
          </w14:textFill>
        </w:rPr>
        <w:t>1</w:t>
      </w:r>
      <w:r>
        <w:rPr>
          <w:rFonts w:ascii="宋体" w:hAnsi="宋体" w:cs="宋体"/>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3日止，每日上午9：00-12：00，下午14：00-17：00（北京时间）。</w:t>
      </w:r>
    </w:p>
    <w:p>
      <w:pPr>
        <w:widowControl/>
        <w:spacing w:line="360" w:lineRule="auto"/>
        <w:ind w:firstLine="42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发放方式：竞争性谈判文件在报名后自行下载，请响应供应商联系采购人进行报名登记，具体报名方式为将响应函（详见第六章 竞争性谈判响应文件格式</w:t>
      </w:r>
      <w:r>
        <w:rPr>
          <w:rFonts w:ascii="宋体" w:hAnsi="宋体" w:cs="宋体"/>
          <w:color w:val="000000" w:themeColor="text1"/>
          <w:kern w:val="0"/>
          <w:sz w:val="24"/>
          <w:shd w:val="clear" w:color="auto" w:fill="FFFFFF"/>
          <w14:textFill>
            <w14:solidFill>
              <w14:schemeClr w14:val="tx1"/>
            </w14:solidFill>
          </w14:textFill>
        </w:rPr>
        <w:t xml:space="preserve"> </w:t>
      </w:r>
      <w:r>
        <w:rPr>
          <w:rFonts w:hint="eastAsia" w:ascii="宋体" w:hAnsi="宋体" w:cs="宋体"/>
          <w:color w:val="000000" w:themeColor="text1"/>
          <w:kern w:val="0"/>
          <w:sz w:val="24"/>
          <w:shd w:val="clear" w:color="auto" w:fill="FFFFFF"/>
          <w14:textFill>
            <w14:solidFill>
              <w14:schemeClr w14:val="tx1"/>
            </w14:solidFill>
          </w14:textFill>
        </w:rPr>
        <w:t>附件1：响应函）加盖公司公章同时发至邮箱sunxin@jscnnet.com，未在文件发放时间内完成登记的不得参与本项目。</w:t>
      </w:r>
    </w:p>
    <w:p>
      <w:pPr>
        <w:widowControl/>
        <w:spacing w:line="360" w:lineRule="auto"/>
        <w:ind w:firstLine="42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登记方式：请响应人将该项目负责人姓名、联系电话（手机）、联系信箱发至邮箱</w:t>
      </w:r>
      <w:r>
        <w:rPr>
          <w:rFonts w:ascii="宋体" w:hAnsi="宋体" w:cs="宋体"/>
          <w:color w:val="000000" w:themeColor="text1"/>
          <w:kern w:val="0"/>
          <w:sz w:val="24"/>
          <w:shd w:val="clear" w:color="auto" w:fill="FFFFFF"/>
          <w14:textFill>
            <w14:solidFill>
              <w14:schemeClr w14:val="tx1"/>
            </w14:solidFill>
          </w14:textFill>
        </w:rPr>
        <w:t>sunxin@jscnnet.com</w:t>
      </w:r>
      <w:r>
        <w:rPr>
          <w:rFonts w:hint="eastAsia" w:ascii="宋体" w:hAnsi="宋体" w:cs="宋体"/>
          <w:color w:val="000000" w:themeColor="text1"/>
          <w:kern w:val="0"/>
          <w:sz w:val="24"/>
          <w:shd w:val="clear" w:color="auto" w:fill="FFFFFF"/>
          <w14:textFill>
            <w14:solidFill>
              <w14:schemeClr w14:val="tx1"/>
            </w14:solidFill>
          </w14:textFill>
        </w:rPr>
        <w:t>，超过</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3</w:t>
      </w:r>
      <w:r>
        <w:rPr>
          <w:rFonts w:ascii="宋体" w:hAnsi="宋体" w:cs="宋体"/>
          <w:color w:val="000000" w:themeColor="text1"/>
          <w:kern w:val="0"/>
          <w:sz w:val="24"/>
          <w:shd w:val="clear" w:color="auto" w:fill="FFFFFF"/>
          <w14:textFill>
            <w14:solidFill>
              <w14:schemeClr w14:val="tx1"/>
            </w14:solidFill>
          </w14:textFill>
        </w:rPr>
        <w:t>年</w:t>
      </w:r>
      <w:r>
        <w:rPr>
          <w:rFonts w:hint="eastAsia" w:ascii="宋体" w:hAnsi="宋体" w:cs="宋体"/>
          <w:color w:val="000000" w:themeColor="text1"/>
          <w:kern w:val="0"/>
          <w:sz w:val="24"/>
          <w:shd w:val="clear" w:color="auto" w:fill="FFFFFF"/>
          <w14:textFill>
            <w14:solidFill>
              <w14:schemeClr w14:val="tx1"/>
            </w14:solidFill>
          </w14:textFill>
        </w:rPr>
        <w:t>1</w:t>
      </w:r>
      <w:r>
        <w:rPr>
          <w:rFonts w:ascii="宋体" w:hAnsi="宋体" w:cs="宋体"/>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3日下午17:00再登记的视为无效。</w:t>
      </w:r>
    </w:p>
    <w:p>
      <w:pPr>
        <w:widowControl/>
        <w:spacing w:line="360" w:lineRule="auto"/>
        <w:ind w:firstLine="42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项目联系人：孙鑫025-8673</w:t>
      </w:r>
      <w:r>
        <w:rPr>
          <w:rFonts w:ascii="宋体" w:hAnsi="宋体" w:cs="宋体"/>
          <w:color w:val="000000" w:themeColor="text1"/>
          <w:kern w:val="0"/>
          <w:sz w:val="24"/>
          <w:shd w:val="clear" w:color="auto" w:fill="FFFFFF"/>
          <w14:textFill>
            <w14:solidFill>
              <w14:schemeClr w14:val="tx1"/>
            </w14:solidFill>
          </w14:textFill>
        </w:rPr>
        <w:t>1520</w:t>
      </w:r>
    </w:p>
    <w:p>
      <w:pPr>
        <w:widowControl/>
        <w:spacing w:line="360" w:lineRule="auto"/>
        <w:ind w:firstLine="482" w:firstLineChars="200"/>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五、响应文件的递交和谈判</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递交竞争性谈判响应文件截止时间：</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3年1</w:t>
      </w:r>
      <w:r>
        <w:rPr>
          <w:rFonts w:ascii="宋体" w:hAnsi="宋体" w:cs="宋体"/>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8日</w:t>
      </w:r>
      <w:r>
        <w:rPr>
          <w:rFonts w:hint="eastAsia" w:ascii="宋体" w:hAnsi="宋体" w:cs="宋体"/>
          <w:color w:val="000000" w:themeColor="text1"/>
          <w:kern w:val="0"/>
          <w:sz w:val="24"/>
          <w:shd w:val="clear" w:color="auto" w:fill="FFFFFF"/>
          <w14:textFill>
            <w14:solidFill>
              <w14:schemeClr w14:val="tx1"/>
            </w14:solidFill>
          </w14:textFill>
        </w:rPr>
        <w:t>下午14</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，逾期收到或不按照竞争性谈判文件要求密封的响应文件恕不接受。</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递交竞争性谈判响应文件地点：南京市玄武区运粮河西路</w:t>
      </w:r>
      <w:r>
        <w:rPr>
          <w:rFonts w:eastAsia="微软雅黑"/>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eastAsia="微软雅黑"/>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w:t>
      </w:r>
      <w:r>
        <w:rPr>
          <w:rFonts w:eastAsia="微软雅黑"/>
          <w:color w:val="000000" w:themeColor="text1"/>
          <w:kern w:val="0"/>
          <w:sz w:val="24"/>
          <w:shd w:val="clear" w:color="auto" w:fill="FFFFFF"/>
          <w14:textFill>
            <w14:solidFill>
              <w14:schemeClr w14:val="tx1"/>
            </w14:solidFill>
          </w14:textFill>
        </w:rPr>
        <w:t>4</w:t>
      </w:r>
      <w:r>
        <w:rPr>
          <w:rFonts w:hint="eastAsia" w:ascii="宋体" w:hAnsi="宋体" w:cs="宋体"/>
          <w:color w:val="000000" w:themeColor="text1"/>
          <w:kern w:val="0"/>
          <w:sz w:val="24"/>
          <w:shd w:val="clear" w:color="auto" w:fill="FFFFFF"/>
          <w14:textFill>
            <w14:solidFill>
              <w14:schemeClr w14:val="tx1"/>
            </w14:solidFill>
          </w14:textFill>
        </w:rPr>
        <w:t>楼客户服务部。</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响应文件接收人：</w:t>
      </w:r>
      <w:r>
        <w:rPr>
          <w:rFonts w:hint="eastAsia" w:ascii="宋体" w:hAnsi="宋体" w:cs="宋体"/>
          <w:color w:val="000000" w:themeColor="text1"/>
          <w:kern w:val="0"/>
          <w:sz w:val="24"/>
          <w14:textFill>
            <w14:solidFill>
              <w14:schemeClr w14:val="tx1"/>
            </w14:solidFill>
          </w14:textFill>
        </w:rPr>
        <w:t>孙鑫，电话：025-</w:t>
      </w:r>
      <w:r>
        <w:rPr>
          <w:rFonts w:hint="eastAsia" w:ascii="宋体" w:hAnsi="宋体" w:cs="宋体"/>
          <w:color w:val="000000" w:themeColor="text1"/>
          <w:kern w:val="0"/>
          <w:sz w:val="24"/>
          <w:shd w:val="clear" w:color="auto" w:fill="FFFFFF"/>
          <w14:textFill>
            <w14:solidFill>
              <w14:schemeClr w14:val="tx1"/>
            </w14:solidFill>
          </w14:textFill>
        </w:rPr>
        <w:t>8673</w:t>
      </w:r>
      <w:r>
        <w:rPr>
          <w:rFonts w:ascii="宋体" w:hAnsi="宋体" w:cs="宋体"/>
          <w:color w:val="000000" w:themeColor="text1"/>
          <w:kern w:val="0"/>
          <w:sz w:val="24"/>
          <w:shd w:val="clear" w:color="auto" w:fill="FFFFFF"/>
          <w14:textFill>
            <w14:solidFill>
              <w14:schemeClr w14:val="tx1"/>
            </w14:solidFill>
          </w14:textFill>
        </w:rPr>
        <w:t>1520</w:t>
      </w:r>
      <w:r>
        <w:rPr>
          <w:rFonts w:ascii="宋体" w:hAnsi="宋体" w:cs="宋体"/>
          <w:color w:val="000000" w:themeColor="text1"/>
          <w:kern w:val="0"/>
          <w:sz w:val="24"/>
          <w14:textFill>
            <w14:solidFill>
              <w14:schemeClr w14:val="tx1"/>
            </w14:solidFill>
          </w14:textFill>
        </w:rPr>
        <w:t>。</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竞争性谈判时间：</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3年1</w:t>
      </w:r>
      <w:r>
        <w:rPr>
          <w:rFonts w:ascii="宋体" w:hAnsi="宋体" w:cs="宋体"/>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8日</w:t>
      </w:r>
      <w:r>
        <w:rPr>
          <w:rFonts w:hint="eastAsia" w:ascii="宋体" w:hAnsi="宋体" w:cs="宋体"/>
          <w:color w:val="000000" w:themeColor="text1"/>
          <w:kern w:val="0"/>
          <w:sz w:val="24"/>
          <w:shd w:val="clear" w:color="auto" w:fill="FFFFFF"/>
          <w14:textFill>
            <w14:solidFill>
              <w14:schemeClr w14:val="tx1"/>
            </w14:solidFill>
          </w14:textFill>
        </w:rPr>
        <w:t>下午14</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竞争性谈判地点：南京市玄武区运粮河西路</w:t>
      </w:r>
      <w:r>
        <w:rPr>
          <w:rFonts w:eastAsia="微软雅黑"/>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eastAsia="微软雅黑"/>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号楼4楼会议室。</w:t>
      </w:r>
    </w:p>
    <w:p>
      <w:pPr>
        <w:widowControl/>
        <w:spacing w:line="360" w:lineRule="auto"/>
        <w:ind w:firstLine="482" w:firstLineChars="200"/>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六、发布公告的媒介</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本次采购事宜相关公告同时在江苏省广电有线信息网络股份有限公司官网（www.jscnnet.com）“招标采购”栏目及中国招标投标公共服务平台（http://www.cebpubservice.com/）上发布，其他媒介转载无效。。</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七、其他说明事项</w:t>
      </w:r>
    </w:p>
    <w:p>
      <w:pPr>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有关本次谈判的事项若存在变动或修改，敬请及时关注网上发布的信息更正公告</w:t>
      </w:r>
      <w:bookmarkStart w:id="4" w:name="bookmark1"/>
      <w:bookmarkEnd w:id="4"/>
      <w:r>
        <w:rPr>
          <w:rFonts w:hint="eastAsia" w:ascii="宋体" w:cs="宋体"/>
          <w:bCs/>
          <w:color w:val="000000" w:themeColor="text1"/>
          <w:sz w:val="24"/>
          <w14:textFill>
            <w14:solidFill>
              <w14:schemeClr w14:val="tx1"/>
            </w14:solidFill>
          </w14:textFill>
        </w:rPr>
        <w:t>。</w:t>
      </w:r>
    </w:p>
    <w:p>
      <w:pPr>
        <w:keepLines w:val="0"/>
        <w:pageBreakBefore w:val="0"/>
        <w:kinsoku/>
        <w:wordWrap/>
        <w:overflowPunct/>
        <w:topLinePunct w:val="0"/>
        <w:autoSpaceDE/>
        <w:autoSpaceDN/>
        <w:bidi w:val="0"/>
        <w:adjustRightInd/>
        <w:snapToGrid/>
        <w:textAlignment w:val="auto"/>
        <w:outlineLvl w:val="9"/>
        <w:rPr>
          <w:rFonts w:hint="eastAsia" w:ascii="宋体" w:cs="宋体"/>
          <w:bCs/>
          <w:color w:val="000000" w:themeColor="text1"/>
          <w:sz w:val="24"/>
          <w14:textFill>
            <w14:solidFill>
              <w14:schemeClr w14:val="tx1"/>
            </w14:solidFill>
          </w14:textFill>
        </w:rPr>
      </w:pPr>
    </w:p>
    <w:p>
      <w:pPr>
        <w:keepLines w:val="0"/>
        <w:pageBreakBefore w:val="0"/>
        <w:kinsoku/>
        <w:wordWrap/>
        <w:overflowPunct/>
        <w:topLinePunct w:val="0"/>
        <w:autoSpaceDE/>
        <w:autoSpaceDN/>
        <w:bidi w:val="0"/>
        <w:adjustRightInd/>
        <w:snapToGrid/>
        <w:spacing w:line="360" w:lineRule="auto"/>
        <w:jc w:val="right"/>
        <w:textAlignment w:val="auto"/>
        <w:outlineLvl w:val="9"/>
        <w:rPr>
          <w:rFonts w:hint="eastAsia" w:ascii="宋体" w:hAnsi="宋体" w:cs="宋体"/>
          <w:bCs/>
          <w:color w:val="000000" w:themeColor="text1"/>
          <w:kern w:val="0"/>
          <w:sz w:val="24"/>
          <w14:textFill>
            <w14:solidFill>
              <w14:schemeClr w14:val="tx1"/>
            </w14:solidFill>
          </w14:textFill>
        </w:rPr>
      </w:pPr>
    </w:p>
    <w:p>
      <w:pPr>
        <w:keepLines w:val="0"/>
        <w:pageBreakBefore w:val="0"/>
        <w:kinsoku/>
        <w:wordWrap/>
        <w:overflowPunct/>
        <w:topLinePunct w:val="0"/>
        <w:autoSpaceDE/>
        <w:autoSpaceDN/>
        <w:bidi w:val="0"/>
        <w:adjustRightInd/>
        <w:snapToGrid/>
        <w:spacing w:line="360" w:lineRule="auto"/>
        <w:jc w:val="right"/>
        <w:textAlignment w:val="auto"/>
        <w:outlineLvl w:val="9"/>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江苏省广电有线信息网络股份有限公司</w:t>
      </w:r>
    </w:p>
    <w:p>
      <w:pPr>
        <w:spacing w:line="360" w:lineRule="auto"/>
        <w:jc w:val="right"/>
        <w:rPr>
          <w:rFonts w:hint="default" w:ascii="宋体" w:hAnsi="宋体" w:cs="宋体"/>
          <w:bCs/>
          <w:color w:val="000000" w:themeColor="text1"/>
          <w:kern w:val="0"/>
          <w:sz w:val="24"/>
          <w:lang w:val="en-US" w:eastAsia="zh-CN"/>
          <w14:textFill>
            <w14:solidFill>
              <w14:schemeClr w14:val="tx1"/>
            </w14:solidFill>
          </w14:textFill>
        </w:rPr>
      </w:pPr>
      <w:r>
        <w:rPr>
          <w:rFonts w:hint="eastAsia" w:ascii="宋体" w:hAnsi="宋体" w:cs="宋体"/>
          <w:bCs/>
          <w:color w:val="000000" w:themeColor="text1"/>
          <w:kern w:val="0"/>
          <w:sz w:val="24"/>
          <w:lang w:val="en-US" w:eastAsia="zh-CN"/>
          <w14:textFill>
            <w14:solidFill>
              <w14:schemeClr w14:val="tx1"/>
            </w14:solidFill>
          </w14:textFill>
        </w:rPr>
        <w:t>2023年10月27日</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88" w:name="_GoBack"/>
      <w:bookmarkEnd w:id="88"/>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5" w:name="_Toc69378616"/>
      <w:bookmarkStart w:id="6" w:name="_Toc226969276"/>
      <w:bookmarkStart w:id="7" w:name="_Toc107822483"/>
      <w:bookmarkStart w:id="8" w:name="_Toc227057883"/>
      <w:r>
        <w:rPr>
          <w:rFonts w:hint="eastAsia"/>
          <w:b/>
          <w:color w:val="000000" w:themeColor="text1"/>
          <w:sz w:val="36"/>
          <w:szCs w:val="36"/>
          <w14:textFill>
            <w14:solidFill>
              <w14:schemeClr w14:val="tx1"/>
            </w14:solidFill>
          </w14:textFill>
        </w:rPr>
        <w:t>第二章 竞争性谈判</w:t>
      </w:r>
      <w:r>
        <w:rPr>
          <w:b/>
          <w:color w:val="000000" w:themeColor="text1"/>
          <w:sz w:val="36"/>
          <w:szCs w:val="36"/>
          <w14:textFill>
            <w14:solidFill>
              <w14:schemeClr w14:val="tx1"/>
            </w14:solidFill>
          </w14:textFill>
        </w:rPr>
        <w:t>须知</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供应商须知前附表</w:t>
      </w:r>
    </w:p>
    <w:p>
      <w:pPr>
        <w:jc w:val="left"/>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本表关于要采购的货物及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501" w:type="pct"/>
            <w:tcBorders>
              <w:top w:val="single" w:color="auto" w:sz="6" w:space="0"/>
            </w:tcBorders>
            <w:vAlign w:val="center"/>
          </w:tcPr>
          <w:p>
            <w:pPr>
              <w:spacing w:line="32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条款号</w:t>
            </w:r>
          </w:p>
        </w:tc>
        <w:tc>
          <w:tcPr>
            <w:tcW w:w="738" w:type="pct"/>
            <w:tcBorders>
              <w:top w:val="single" w:color="auto" w:sz="6" w:space="0"/>
            </w:tcBorders>
            <w:vAlign w:val="center"/>
          </w:tcPr>
          <w:p>
            <w:pPr>
              <w:spacing w:line="32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内容</w:t>
            </w:r>
          </w:p>
        </w:tc>
        <w:tc>
          <w:tcPr>
            <w:tcW w:w="3451" w:type="pct"/>
            <w:tcBorders>
              <w:top w:val="single" w:color="auto" w:sz="6" w:space="0"/>
            </w:tcBorders>
            <w:vAlign w:val="center"/>
          </w:tcPr>
          <w:p>
            <w:pPr>
              <w:spacing w:line="32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501"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501" w:type="pct"/>
            <w:vAlign w:val="center"/>
          </w:tcPr>
          <w:p>
            <w:pPr>
              <w:spacing w:line="320" w:lineRule="exact"/>
              <w:jc w:val="center"/>
              <w:rPr>
                <w:color w:val="000000" w:themeColor="text1"/>
                <w:sz w:val="24"/>
                <w14:textFill>
                  <w14:solidFill>
                    <w14:schemeClr w14:val="tx1"/>
                  </w14:solidFill>
                </w14:textFill>
              </w:rPr>
            </w:pP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代理机构</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501"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合格的供应商</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501"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保密</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501"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资格证明文件</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501"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响应文件的技术部分中必须包括的内容</w:t>
            </w:r>
          </w:p>
        </w:tc>
        <w:tc>
          <w:tcPr>
            <w:tcW w:w="3451" w:type="pct"/>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对第五章《技术需求书》的逐项应答，逐项应答必须按照服务偏离表格式，对照竞争性谈判文件需求，依据供应商本身实际情况，如实逐条说明所提供产品及</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501"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合同文本的提供</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501"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8.1</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响应文件的式样和签署</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响应文件纸质版本一式3份（</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份正本、2份副本），电子版本一份（电子版文件内容必须可搜索，U盘形式）。</w:t>
            </w:r>
          </w:p>
          <w:p>
            <w:pPr>
              <w:pStyle w:val="2"/>
              <w:spacing w:line="3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响应文件采用软面胶装，并编制目录及逐页编码。特别地，供应商须对第三章《评审办法》中的评分要求逐项说明在响应文件中装订页码，并将该页装订在响应文件的首页。评审办法中要求提供的业绩按照“附件</w:t>
            </w:r>
            <w:r>
              <w:rPr>
                <w:color w:val="000000" w:themeColor="text1"/>
                <w:sz w:val="24"/>
                <w:szCs w:val="24"/>
                <w14:textFill>
                  <w14:solidFill>
                    <w14:schemeClr w14:val="tx1"/>
                  </w14:solidFill>
                </w14:textFill>
              </w:rPr>
              <w:t>10</w:t>
            </w:r>
            <w:r>
              <w:rPr>
                <w:rFonts w:hint="eastAsia"/>
                <w:color w:val="000000" w:themeColor="text1"/>
                <w:sz w:val="24"/>
                <w:szCs w:val="24"/>
                <w14:textFill>
                  <w14:solidFill>
                    <w14:schemeClr w14:val="tx1"/>
                  </w14:solidFill>
                </w14:textFill>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p>
        </w:tc>
        <w:tc>
          <w:tcPr>
            <w:tcW w:w="501"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.2</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响应文件的盖章或签字</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本条款增加规定：</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1、竞争性谈判文件第六章“响应文件格式”中有单位名称和法定代表人或其委托代理人签字落款的响应文件必须加盖单位公章。</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2、除上述文件以外的其他响应文件组成部分必须加盖骑缝章（骑缝章必须覆盖所有响应文件），或由法定代表人或其委托代理人逐页手签。</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响应文件中所有标注“盖章”处均指单位公章，不能以“业务章”“专用章”“合同章”等代替；如确需要替代，则必须附公章对“业务章”“专用章”“合同章”等的授权（格式自制，且正本中必须附授权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501"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9.1</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应根据本项目实际情况，充分考虑在当前市场情况下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501" w:type="pct"/>
            <w:vAlign w:val="center"/>
          </w:tcPr>
          <w:p>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11.1</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响应有效期</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供应商递交的响应文件应在规定的递交响应文件截止日后的</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501" w:type="pct"/>
            <w:vAlign w:val="center"/>
          </w:tcPr>
          <w:p>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12.1</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递交响应文件截止时间</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501" w:type="pct"/>
            <w:vAlign w:val="center"/>
          </w:tcPr>
          <w:p>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12.1</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递交响应文件地点</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501" w:type="pct"/>
            <w:vAlign w:val="center"/>
          </w:tcPr>
          <w:p>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17.</w:t>
            </w:r>
            <w:r>
              <w:rPr>
                <w:rFonts w:hint="eastAsia"/>
                <w:color w:val="000000" w:themeColor="text1"/>
                <w:sz w:val="24"/>
                <w:szCs w:val="32"/>
                <w14:textFill>
                  <w14:solidFill>
                    <w14:schemeClr w14:val="tx1"/>
                  </w14:solidFill>
                </w14:textFill>
              </w:rPr>
              <w:t>5</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如发现下列情况之一的，其响应文件将可能被拒绝</w:t>
            </w:r>
          </w:p>
        </w:tc>
        <w:tc>
          <w:tcPr>
            <w:tcW w:w="3451" w:type="pct"/>
            <w:vAlign w:val="center"/>
          </w:tcPr>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、不满足竞争性谈判文件对合格供应商的基本资质要求的；</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2、供应商在响应文件中提供的服务内容及质量不能实质性满足竞争性谈判文件要求或不能提供实质性满足证明的；</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w:t>
            </w: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文件中提供的</w:t>
            </w:r>
            <w:r>
              <w:rPr>
                <w:rFonts w:hint="eastAsia"/>
                <w:color w:val="000000" w:themeColor="text1"/>
                <w:sz w:val="24"/>
                <w14:textFill>
                  <w14:solidFill>
                    <w14:schemeClr w14:val="tx1"/>
                  </w14:solidFill>
                </w14:textFill>
              </w:rPr>
              <w:t>产品及/或</w:t>
            </w:r>
            <w:r>
              <w:rPr>
                <w:color w:val="000000" w:themeColor="text1"/>
                <w:sz w:val="24"/>
                <w14:textFill>
                  <w14:solidFill>
                    <w14:schemeClr w14:val="tx1"/>
                  </w14:solidFill>
                </w14:textFill>
              </w:rPr>
              <w:t>服务存在关键条款（“</w:t>
            </w:r>
            <w:r>
              <w:rPr>
                <w:rFonts w:ascii="Segoe UI Symbol" w:hAnsi="Segoe UI Symbol" w:cs="Segoe UI Symbol"/>
                <w:color w:val="000000" w:themeColor="text1"/>
                <w:sz w:val="24"/>
                <w14:textFill>
                  <w14:solidFill>
                    <w14:schemeClr w14:val="tx1"/>
                  </w14:solidFill>
                </w14:textFill>
              </w:rPr>
              <w:t>★</w:t>
            </w:r>
            <w:r>
              <w:rPr>
                <w:color w:val="000000" w:themeColor="text1"/>
                <w:sz w:val="24"/>
                <w14:textFill>
                  <w14:solidFill>
                    <w14:schemeClr w14:val="tx1"/>
                  </w14:solidFill>
                </w14:textFill>
              </w:rPr>
              <w:t>”号条款）不能实质性满足</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文件要求或不能提供实质性满足证明的</w:t>
            </w:r>
            <w:r>
              <w:rPr>
                <w:rFonts w:hint="eastAsia"/>
                <w:color w:val="000000" w:themeColor="text1"/>
                <w:sz w:val="24"/>
                <w14:textFill>
                  <w14:solidFill>
                    <w14:schemeClr w14:val="tx1"/>
                  </w14:solidFill>
                </w14:textFill>
              </w:rPr>
              <w:t>；</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、供应商在响应文件中对于第四章《合同格式》有任何负偏离的；</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、响应函、法人代表授权书不按照第六章“响应文件格式”中《附件1》《附件2》的格式提供的；</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、资格证明文件不全、失效或不符合竞争性谈判文件要求的；</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、响应文件无法定代表人签字，或签字人无法定代表人有效授权的；</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、响应文件或响应有效期不足的；</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、响应文件中提供虚假或失实资料的；</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、未按照竞争性谈判文件规定的方式领取竞争性谈判文件并按要求递交响应文件的；</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501" w:type="pct"/>
            <w:vAlign w:val="center"/>
          </w:tcPr>
          <w:p>
            <w:pPr>
              <w:spacing w:line="320" w:lineRule="exact"/>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19</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w:t>
            </w:r>
          </w:p>
        </w:tc>
        <w:tc>
          <w:tcPr>
            <w:tcW w:w="3451" w:type="pct"/>
            <w:vAlign w:val="center"/>
          </w:tcPr>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、供应商的法定代表人或其授权代表应按采购人规定的时间到指定的地点，与评审委员会进行谈判并对评审委员会提出的问题作出澄清和答复；</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w:t>
            </w:r>
          </w:p>
        </w:tc>
        <w:tc>
          <w:tcPr>
            <w:tcW w:w="501" w:type="pct"/>
            <w:vAlign w:val="center"/>
          </w:tcPr>
          <w:p>
            <w:pPr>
              <w:spacing w:line="320" w:lineRule="exact"/>
              <w:jc w:val="center"/>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w:t>
            </w:r>
            <w:r>
              <w:rPr>
                <w:color w:val="000000" w:themeColor="text1"/>
                <w:sz w:val="24"/>
                <w:szCs w:val="32"/>
                <w14:textFill>
                  <w14:solidFill>
                    <w14:schemeClr w14:val="tx1"/>
                  </w14:solidFill>
                </w14:textFill>
              </w:rPr>
              <w:t>1</w:t>
            </w:r>
            <w:r>
              <w:rPr>
                <w:rFonts w:hint="eastAsia"/>
                <w:color w:val="000000" w:themeColor="text1"/>
                <w:sz w:val="24"/>
                <w:szCs w:val="32"/>
                <w14:textFill>
                  <w14:solidFill>
                    <w14:schemeClr w14:val="tx1"/>
                  </w14:solidFill>
                </w14:textFill>
              </w:rPr>
              <w:t>.1</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成交</w:t>
            </w:r>
          </w:p>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供应商数量</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w:t>
            </w:r>
          </w:p>
        </w:tc>
        <w:tc>
          <w:tcPr>
            <w:tcW w:w="501" w:type="pct"/>
            <w:vAlign w:val="center"/>
          </w:tcPr>
          <w:p>
            <w:pPr>
              <w:spacing w:line="320" w:lineRule="exact"/>
              <w:jc w:val="center"/>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24</w:t>
            </w:r>
          </w:p>
        </w:tc>
        <w:tc>
          <w:tcPr>
            <w:tcW w:w="738" w:type="pct"/>
            <w:vAlign w:val="center"/>
          </w:tcPr>
          <w:p>
            <w:pPr>
              <w:spacing w:line="32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w:t>
            </w:r>
          </w:p>
        </w:tc>
        <w:tc>
          <w:tcPr>
            <w:tcW w:w="3451" w:type="pct"/>
            <w:vAlign w:val="center"/>
          </w:tcPr>
          <w:p>
            <w:pPr>
              <w:spacing w:line="3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采购人与本次成交供应商按本竞争性谈判文件第四章合同格式签订合同。</w:t>
            </w:r>
          </w:p>
        </w:tc>
      </w:tr>
    </w:tbl>
    <w:p>
      <w:pPr>
        <w:ind w:firstLine="484" w:firstLineChars="202"/>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一、说明</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采购人及合格的供应商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采购人是指国内采购产品的国家机关、企业、事业单位或其它组织。本项目采购人详见《供应商须知前附表》。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合格的供应商（详见《供应商须知前附表》）。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费用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供应商应承担所有与准备和参加竞争有关的费用。不论结果如何，采购人均无义务和责任承担这些费用。</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二、竞争性谈判文件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竞争性谈判文件构成</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竞争性谈判文件共六章，内容如下：</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第一章竞争性谈判</w:t>
      </w:r>
      <w:r>
        <w:rPr>
          <w:rFonts w:ascii="宋体" w:hAnsi="宋体"/>
          <w:color w:val="000000" w:themeColor="text1"/>
          <w:sz w:val="24"/>
          <w14:textFill>
            <w14:solidFill>
              <w14:schemeClr w14:val="tx1"/>
            </w14:solidFill>
          </w14:textFill>
        </w:rPr>
        <w:t>公告</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第二章竞争性谈判须知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第三章评审办法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第四章合同格式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第五章技术需求书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第六章竞争性谈判响应文件格式</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竞争性谈判文件的澄清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4.1 </w:t>
      </w:r>
      <w:r>
        <w:rPr>
          <w:rFonts w:hint="eastAsia" w:ascii="宋体" w:hAnsi="宋体"/>
          <w:color w:val="000000" w:themeColor="text1"/>
          <w:sz w:val="24"/>
          <w14:textFill>
            <w14:solidFill>
              <w14:schemeClr w14:val="tx1"/>
            </w14:solidFill>
          </w14:textFill>
        </w:rPr>
        <w:t>任何要求对竞争性谈判文件进行澄清的供应商，均应在规定的递交响应文件截止期五（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）天前以书面形式通知采购人。逾期的澄清要求将不被接受。</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竞争性谈判文件的修改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w:t>
      </w:r>
      <w:r>
        <w:rPr>
          <w:rFonts w:hint="eastAsia" w:ascii="宋体" w:hAnsi="宋体"/>
          <w:color w:val="000000" w:themeColor="text1"/>
          <w:sz w:val="24"/>
          <w14:textFill>
            <w14:solidFill>
              <w14:schemeClr w14:val="tx1"/>
            </w14:solidFill>
          </w14:textFill>
        </w:rPr>
        <w:t>为使供应商准备响应文件时有充分时间对竞争性谈判文件的修改部分进行研究，采购人可自行决定是否延长递交响应文件截止时间。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5.2 </w:t>
      </w:r>
      <w:r>
        <w:rPr>
          <w:rFonts w:hint="eastAsia" w:ascii="宋体" w:hAnsi="宋体"/>
          <w:color w:val="000000" w:themeColor="text1"/>
          <w:sz w:val="24"/>
          <w14:textFill>
            <w14:solidFill>
              <w14:schemeClr w14:val="tx1"/>
            </w14:solidFill>
          </w14:textFill>
        </w:rPr>
        <w:t>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）天以前的任何时候，无论出于何种原因，采购人可主动地或在解答供应商提出的澄清问题时对竞争性谈判文件进行修改。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5.3 </w:t>
      </w:r>
      <w:r>
        <w:rPr>
          <w:rFonts w:hint="eastAsia" w:ascii="宋体" w:hAnsi="宋体"/>
          <w:color w:val="000000" w:themeColor="text1"/>
          <w:sz w:val="24"/>
          <w14:textFill>
            <w14:solidFill>
              <w14:schemeClr w14:val="tx1"/>
            </w14:solidFill>
          </w14:textFill>
        </w:rPr>
        <w:t>竞争性谈判文件的修改将以书面形式在递交响应文件截止时间（包含延长了的递交响应文件截止时间）五（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三、响应文件的编制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响应文件的语言</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响应文件构成</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或服务的合格性和符合竞争性谈判文件规定的文件；竞争性谈判文件要求的其它文件；供应商认为其它需提供的文件。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）响应文件基本文件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项目方案</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响应函（格式见附件）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报价表（格式见附件）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）供应商提交的证明其合格且中选后有能力履行合同的资格证明文件（详见《竞争性谈判公告》）以及供应商认为需提供的其它文件和证书。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）证明供应商所提供的产品及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）竞争性谈判文件要求的其它内容和文件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）供应商认为其它需提供的文件或证书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6）合同文本的提供（详见《供应商须知前附表》）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供应商提供的以上材料必须真实有效，任何一项存在虚假将导致其响应文件被拒绝。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响应文件的式样和签署（详见《供应商须知前附表》）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8.1 </w:t>
      </w:r>
      <w:r>
        <w:rPr>
          <w:rFonts w:hint="eastAsia" w:ascii="宋体" w:hAnsi="宋体"/>
          <w:color w:val="000000" w:themeColor="text1"/>
          <w:sz w:val="24"/>
          <w14:textFill>
            <w14:solidFill>
              <w14:schemeClr w14:val="tx1"/>
            </w14:solidFill>
          </w14:textFill>
        </w:rPr>
        <w:t>响应文件纸质版本一式</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份（</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份正本、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份副本），电子版本一份。响应文件用中文编写，</w:t>
      </w:r>
      <w:r>
        <w:rPr>
          <w:rFonts w:ascii="宋体" w:hAnsi="宋体"/>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纸胶装。其中正本必须注明“正本”字样，正、副本及电子版本内容必须保持一致，副本可以用复印件。若正本和副本或电子版本不符，以正本为准。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如供应商对竞争性谈判文件个别内容不能接受，应在响应文件中另做声明，否则将视为供应商接受竞争性谈判文件全部内容。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8.4 </w:t>
      </w:r>
      <w:r>
        <w:rPr>
          <w:rFonts w:hint="eastAsia" w:ascii="宋体" w:hAnsi="宋体"/>
          <w:color w:val="000000" w:themeColor="text1"/>
          <w:sz w:val="24"/>
          <w14:textFill>
            <w14:solidFill>
              <w14:schemeClr w14:val="tx1"/>
            </w14:solidFill>
          </w14:textFill>
        </w:rPr>
        <w:t>任何对响应文件行间插字、涂改和增删，必须由响应文件签字人签字或盖章后才有效。</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8.5 </w:t>
      </w:r>
      <w:r>
        <w:rPr>
          <w:rFonts w:hint="eastAsia" w:ascii="宋体" w:hAnsi="宋体"/>
          <w:color w:val="000000" w:themeColor="text1"/>
          <w:sz w:val="24"/>
          <w14:textFill>
            <w14:solidFill>
              <w14:schemeClr w14:val="tx1"/>
            </w14:solidFill>
          </w14:textFill>
        </w:rPr>
        <w:t>响应文件因字迹潦草或表达不清所引起的后果由供应商负责。</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报价</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 </w:t>
      </w:r>
      <w:r>
        <w:rPr>
          <w:rFonts w:hint="eastAsia" w:ascii="宋体" w:hAnsi="宋体"/>
          <w:color w:val="000000" w:themeColor="text1"/>
          <w:sz w:val="24"/>
          <w14:textFill>
            <w14:solidFill>
              <w14:schemeClr w14:val="tx1"/>
            </w14:solidFill>
          </w14:textFill>
        </w:rPr>
        <w:t>报价：人民币报价。供应商应按照竞争性谈判文件要求，在响应文件中报出本项目包含的所有产品和服务的报价（格式见附件）。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9.2 </w:t>
      </w:r>
      <w:r>
        <w:rPr>
          <w:rFonts w:hint="eastAsia" w:ascii="宋体" w:hAnsi="宋体"/>
          <w:color w:val="000000" w:themeColor="text1"/>
          <w:sz w:val="24"/>
          <w14:textFill>
            <w14:solidFill>
              <w14:schemeClr w14:val="tx1"/>
            </w14:solidFill>
          </w14:textFill>
        </w:rPr>
        <w:t>供应商的报价包括供应商为完成采购人的项目建设所发生的一切费用（包括全部产品及相关服务）且已包括与所报产品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服务相关的所有税费。供应商估算错误或漏项的风险一律由供应商承担。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9.3 </w:t>
      </w:r>
      <w:r>
        <w:rPr>
          <w:rFonts w:hint="eastAsia" w:ascii="宋体" w:hAnsi="宋体"/>
          <w:color w:val="000000" w:themeColor="text1"/>
          <w:sz w:val="24"/>
          <w14:textFill>
            <w14:solidFill>
              <w14:schemeClr w14:val="tx1"/>
            </w14:solidFill>
          </w14:textFill>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9.4 </w:t>
      </w:r>
      <w:r>
        <w:rPr>
          <w:rFonts w:hint="eastAsia" w:ascii="宋体" w:hAnsi="宋体"/>
          <w:color w:val="000000" w:themeColor="text1"/>
          <w:sz w:val="24"/>
          <w14:textFill>
            <w14:solidFill>
              <w14:schemeClr w14:val="tx1"/>
            </w14:solidFill>
          </w14:textFill>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 响应有效期（详见《供应商须知前附表》）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供应商递交的响应文件应在规定的递交响应文件截止日后的</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天内保持有效。有效期不满足要求的响应文件将被视为非响应性文件而予以拒绝。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10.2 </w:t>
      </w:r>
      <w:r>
        <w:rPr>
          <w:rFonts w:hint="eastAsia" w:ascii="宋体" w:hAnsi="宋体"/>
          <w:color w:val="000000" w:themeColor="text1"/>
          <w:sz w:val="24"/>
          <w14:textFill>
            <w14:solidFill>
              <w14:schemeClr w14:val="tx1"/>
            </w14:solidFill>
          </w14:textFill>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四、响应文件的递交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响应文件的密封和标记</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供应商应将响应文件正本和所有的副本、电子文档分开密封装在单独的信封中，且在信封上标明“正本”“副本”“电子文档”字样。</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内外层信封均应：</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）标明递交至“</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”中指明的地点。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）注明“</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”中指明的项目名称、编号和“在……之前不得启封”的字样，并填入“</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”中规定的日期和时间。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内层信封应写明供应商名称和地址，以便若其响应文件被宣布为“迟到”响应文件时，能原封退回。</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如果外层信封未按本须知第</w:t>
      </w: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条要求加写标记和密封，采购人对误投或过早启封概不负责。</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递交响应文件截止时间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采购人收到响应文件的时间不迟于“递交竞争性谈判响应文件截止时间”。（详见《竞争性谈判公告》）</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采购人可以按本须知第</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迟交的响应文件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13.1 </w:t>
      </w:r>
      <w:r>
        <w:rPr>
          <w:rFonts w:hint="eastAsia" w:ascii="宋体" w:hAnsi="宋体"/>
          <w:color w:val="000000" w:themeColor="text1"/>
          <w:sz w:val="24"/>
          <w14:textFill>
            <w14:solidFill>
              <w14:schemeClr w14:val="tx1"/>
            </w14:solidFill>
          </w14:textFill>
        </w:rPr>
        <w:t>采购人将拒绝并原封退回在规定的递交响应文件截止时间后收到的任何响应文件。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响应文件的修改与撤回</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供应商的修改或撤回通知应按本须知第</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条规定编制、密封、标记和发送。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14.3 </w:t>
      </w:r>
      <w:r>
        <w:rPr>
          <w:rFonts w:hint="eastAsia" w:ascii="宋体" w:hAnsi="宋体"/>
          <w:color w:val="000000" w:themeColor="text1"/>
          <w:sz w:val="24"/>
          <w14:textFill>
            <w14:solidFill>
              <w14:schemeClr w14:val="tx1"/>
            </w14:solidFill>
          </w14:textFill>
        </w:rPr>
        <w:t>在递交响应文件截止时间之后，供应商不得对其响应文件做任何修改。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评审委员会</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w:t>
      </w:r>
      <w:r>
        <w:rPr>
          <w:rFonts w:hint="eastAsia" w:ascii="宋体" w:hAnsi="宋体"/>
          <w:color w:val="000000" w:themeColor="text1"/>
          <w:sz w:val="24"/>
          <w14:textFill>
            <w14:solidFill>
              <w14:schemeClr w14:val="tx1"/>
            </w14:solidFill>
          </w14:textFill>
        </w:rPr>
        <w:t>采购人根据要求组建评审委员会。评审委员会负责整个项目的评审工作。</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响应文件的澄清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w:t>
      </w:r>
      <w:r>
        <w:rPr>
          <w:rFonts w:hint="eastAsia" w:ascii="宋体" w:hAnsi="宋体"/>
          <w:color w:val="000000" w:themeColor="text1"/>
          <w:sz w:val="24"/>
          <w14:textFill>
            <w14:solidFill>
              <w14:schemeClr w14:val="tx1"/>
            </w14:solidFill>
          </w14:textFill>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16.3 </w:t>
      </w:r>
      <w:r>
        <w:rPr>
          <w:rFonts w:hint="eastAsia" w:ascii="宋体" w:hAnsi="宋体"/>
          <w:color w:val="000000" w:themeColor="text1"/>
          <w:sz w:val="24"/>
          <w14:textFill>
            <w14:solidFill>
              <w14:schemeClr w14:val="tx1"/>
            </w14:solidFill>
          </w14:textFill>
        </w:rPr>
        <w:t>接到评审委员会澄清要求的供应商如未按规定做出澄清，其风险由供应商自行承担。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响应文件的初审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17.1 </w:t>
      </w:r>
      <w:r>
        <w:rPr>
          <w:rFonts w:hint="eastAsia" w:ascii="宋体" w:hAnsi="宋体"/>
          <w:color w:val="000000" w:themeColor="text1"/>
          <w:sz w:val="24"/>
          <w14:textFill>
            <w14:solidFill>
              <w14:schemeClr w14:val="tx1"/>
            </w14:solidFill>
          </w14:textFill>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17.3 </w:t>
      </w:r>
      <w:r>
        <w:rPr>
          <w:rFonts w:hint="eastAsia" w:ascii="宋体" w:hAnsi="宋体"/>
          <w:color w:val="000000" w:themeColor="text1"/>
          <w:sz w:val="24"/>
          <w14:textFill>
            <w14:solidFill>
              <w14:schemeClr w14:val="tx1"/>
            </w14:solidFill>
          </w14:textFill>
        </w:rPr>
        <w:t>对于响应文件中不构成实质性偏差的不正规、不一致或不规则，评审委员会可以接受，但这种接受不能损害或影响任何供应商的相对排序。</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17.4 </w:t>
      </w:r>
      <w:r>
        <w:rPr>
          <w:rFonts w:hint="eastAsia" w:ascii="宋体" w:hAnsi="宋体"/>
          <w:color w:val="000000" w:themeColor="text1"/>
          <w:sz w:val="24"/>
          <w14:textFill>
            <w14:solidFill>
              <w14:schemeClr w14:val="tx1"/>
            </w14:solidFill>
          </w14:textFill>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17.5 </w:t>
      </w:r>
      <w:r>
        <w:rPr>
          <w:rFonts w:hint="eastAsia" w:ascii="宋体" w:hAnsi="宋体"/>
          <w:color w:val="000000" w:themeColor="text1"/>
          <w:sz w:val="24"/>
          <w14:textFill>
            <w14:solidFill>
              <w14:schemeClr w14:val="tx1"/>
            </w14:solidFill>
          </w14:textFill>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17.6</w:t>
      </w:r>
      <w:r>
        <w:rPr>
          <w:rFonts w:hint="eastAsia" w:ascii="宋体" w:hAnsi="宋体"/>
          <w:color w:val="000000" w:themeColor="text1"/>
          <w:sz w:val="24"/>
          <w14:textFill>
            <w14:solidFill>
              <w14:schemeClr w14:val="tx1"/>
            </w14:solidFill>
          </w14:textFill>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17.7 </w:t>
      </w:r>
      <w:r>
        <w:rPr>
          <w:rFonts w:hint="eastAsia" w:ascii="宋体" w:hAnsi="宋体"/>
          <w:color w:val="000000" w:themeColor="text1"/>
          <w:sz w:val="24"/>
          <w14:textFill>
            <w14:solidFill>
              <w14:schemeClr w14:val="tx1"/>
            </w14:solidFill>
          </w14:textFill>
        </w:rPr>
        <w:t>采购人保留对通过初审的供应商进行进一步谈判或议价的权利。</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六、谈判和成交供应商评审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18.谈判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18.1</w:t>
      </w:r>
      <w:r>
        <w:rPr>
          <w:rFonts w:hint="eastAsia" w:ascii="宋体" w:hAnsi="宋体"/>
          <w:color w:val="000000" w:themeColor="text1"/>
          <w:sz w:val="24"/>
          <w14:textFill>
            <w14:solidFill>
              <w14:schemeClr w14:val="tx1"/>
            </w14:solidFill>
          </w14:textFill>
        </w:rPr>
        <w:t>获得谈判资格的供应商应按本须知及谈判通知要求准时参加谈判，并在谈判后按要求递交其最终报价和相关承诺，否则将视为在报价有效期内撤回竞争性谈判响应文件，其响应文件将被拒绝。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18.2谈判开始时间预计为：递交竞争性谈判响应文件截止时间后当天（包括法定节假日，具体时间以采购人的通知为准），供应商应提前做好谈判准备。</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18.4 </w:t>
      </w:r>
      <w:r>
        <w:rPr>
          <w:rFonts w:hint="eastAsia" w:ascii="宋体" w:hAnsi="宋体"/>
          <w:color w:val="000000" w:themeColor="text1"/>
          <w:sz w:val="24"/>
          <w14:textFill>
            <w14:solidFill>
              <w14:schemeClr w14:val="tx1"/>
            </w14:solidFill>
          </w14:textFill>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18.5 </w:t>
      </w:r>
      <w:r>
        <w:rPr>
          <w:rFonts w:hint="eastAsia" w:ascii="宋体" w:hAnsi="宋体"/>
          <w:color w:val="000000" w:themeColor="text1"/>
          <w:sz w:val="24"/>
          <w14:textFill>
            <w14:solidFill>
              <w14:schemeClr w14:val="tx1"/>
            </w14:solidFill>
          </w14:textFill>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18.6 </w:t>
      </w:r>
      <w:r>
        <w:rPr>
          <w:rFonts w:hint="eastAsia" w:ascii="宋体" w:hAnsi="宋体"/>
          <w:color w:val="000000" w:themeColor="text1"/>
          <w:sz w:val="24"/>
          <w14:textFill>
            <w14:solidFill>
              <w14:schemeClr w14:val="tx1"/>
            </w14:solidFill>
          </w14:textFill>
        </w:rPr>
        <w:t>供应商应将其最终报价和相关承诺的正本一份密封装在一个信封中，信封上标明“项目名称”“供应商名称和地址”字样，并在规定的时间内递交至采购人。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18.7 </w:t>
      </w:r>
      <w:r>
        <w:rPr>
          <w:rFonts w:hint="eastAsia" w:ascii="宋体" w:hAnsi="宋体"/>
          <w:color w:val="000000" w:themeColor="text1"/>
          <w:sz w:val="24"/>
          <w14:textFill>
            <w14:solidFill>
              <w14:schemeClr w14:val="tx1"/>
            </w14:solidFill>
          </w14:textFill>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19.成交供应商的评审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19.1 </w:t>
      </w:r>
      <w:r>
        <w:rPr>
          <w:rFonts w:hint="eastAsia" w:ascii="宋体" w:hAnsi="宋体"/>
          <w:color w:val="000000" w:themeColor="text1"/>
          <w:sz w:val="24"/>
          <w14:textFill>
            <w14:solidFill>
              <w14:schemeClr w14:val="tx1"/>
            </w14:solidFill>
          </w14:textFill>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19.2 </w:t>
      </w:r>
      <w:r>
        <w:rPr>
          <w:rFonts w:hint="eastAsia" w:ascii="宋体" w:hAnsi="宋体"/>
          <w:color w:val="000000" w:themeColor="text1"/>
          <w:sz w:val="24"/>
          <w14:textFill>
            <w14:solidFill>
              <w14:schemeClr w14:val="tx1"/>
            </w14:solidFill>
          </w14:textFill>
        </w:rPr>
        <w:t>谈判后，评审委员会将对参加谈判的供应商进行综合评审，采用综合评审法并考虑以下因素：具体评审办法详见第三章评审办法。</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19.4评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委员会发现</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的报价明显低于其他报价，有可能影响产品质量或者不能诚信履约的，且无法在评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现场合理的时间内提供书面说明并在必要时提交相关证明材料，以证明其报价合理性的，评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委员会认定该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以低于成本报价竞标，其</w:t>
      </w:r>
      <w:r>
        <w:rPr>
          <w:rFonts w:hint="eastAsia" w:ascii="宋体" w:hAnsi="宋体"/>
          <w:color w:val="000000" w:themeColor="text1"/>
          <w:sz w:val="24"/>
          <w14:textFill>
            <w14:solidFill>
              <w14:schemeClr w14:val="tx1"/>
            </w14:solidFill>
          </w14:textFill>
        </w:rPr>
        <w:t>竞争性谈判响应文件</w:t>
      </w:r>
      <w:r>
        <w:rPr>
          <w:rFonts w:ascii="宋体" w:hAnsi="宋体"/>
          <w:color w:val="000000" w:themeColor="text1"/>
          <w:sz w:val="24"/>
          <w14:textFill>
            <w14:solidFill>
              <w14:schemeClr w14:val="tx1"/>
            </w14:solidFill>
          </w14:textFill>
        </w:rPr>
        <w:t>应作为无效处理。</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七、保密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与采购人的接触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20.1</w:t>
      </w:r>
      <w:r>
        <w:rPr>
          <w:rFonts w:hint="eastAsia" w:ascii="宋体" w:hAnsi="宋体"/>
          <w:color w:val="000000" w:themeColor="text1"/>
          <w:sz w:val="24"/>
          <w14:textFill>
            <w14:solidFill>
              <w14:schemeClr w14:val="tx1"/>
            </w14:solidFill>
          </w14:textFill>
        </w:rPr>
        <w:t>除本须知第</w:t>
      </w:r>
      <w:r>
        <w:rPr>
          <w:rFonts w:ascii="宋体" w:hAnsi="宋体"/>
          <w:color w:val="000000" w:themeColor="text1"/>
          <w:sz w:val="24"/>
          <w14:textFill>
            <w14:solidFill>
              <w14:schemeClr w14:val="tx1"/>
            </w14:solidFill>
          </w14:textFill>
        </w:rPr>
        <w:t>16条和第19条规定外，从递交竞争性谈判响应文件之日起至授予合同期间，供应商不得就与其竞争性谈判响应文件有关的事项与采购人接触。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20.2 </w:t>
      </w:r>
      <w:r>
        <w:rPr>
          <w:rFonts w:hint="eastAsia" w:ascii="宋体" w:hAnsi="宋体"/>
          <w:color w:val="000000" w:themeColor="text1"/>
          <w:sz w:val="24"/>
          <w14:textFill>
            <w14:solidFill>
              <w14:schemeClr w14:val="tx1"/>
            </w14:solidFill>
          </w14:textFill>
        </w:rPr>
        <w:t>供应商试图对评审委员会的评审、比较或授予合同的决定进行影响，都可能导致其响应文件被拒绝。</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八、合同的签订</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合同的签订（详见《供应商须知前附表》）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21.1评审委员会将根据供应商综合评估结果，按综合得分排序向采购人推荐本项目的</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供应商候选人。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21.2 </w:t>
      </w:r>
      <w:r>
        <w:rPr>
          <w:rFonts w:hint="eastAsia" w:ascii="宋体" w:hAnsi="宋体"/>
          <w:color w:val="000000" w:themeColor="text1"/>
          <w:sz w:val="24"/>
          <w14:textFill>
            <w14:solidFill>
              <w14:schemeClr w14:val="tx1"/>
            </w14:solidFill>
          </w14:textFill>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接受和拒绝任何或所有响应文件的权力</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r>
        <w:rPr>
          <w:rFonts w:hint="eastAsia" w:ascii="宋体" w:hAnsi="宋体"/>
          <w:color w:val="000000" w:themeColor="text1"/>
          <w:sz w:val="24"/>
          <w14:textFill>
            <w14:solidFill>
              <w14:schemeClr w14:val="tx1"/>
            </w14:solidFill>
          </w14:textFill>
        </w:rPr>
        <w:t>采购人保留在签订合同之前任何时候接受或拒绝任何响应文件，以及宣布本次采购无效或拒绝所有响应文件的权利，对受影响的供应商不承担任何责任，也无义务向受影响的供应商解释采取这一行动的理由。</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授予合同通知书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采购人确定供应商后，将向成交供应商发出授予合同通知书。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授予合同通知书是合同的一个组成部分。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签订合同</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w:t>
      </w:r>
      <w:r>
        <w:rPr>
          <w:rFonts w:hint="eastAsia" w:ascii="宋体" w:hAnsi="宋体"/>
          <w:color w:val="000000" w:themeColor="text1"/>
          <w:sz w:val="24"/>
          <w14:textFill>
            <w14:solidFill>
              <w14:schemeClr w14:val="tx1"/>
            </w14:solidFill>
          </w14:textFill>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color w:val="000000" w:themeColor="text1"/>
          <w:kern w:val="44"/>
          <w:sz w:val="30"/>
          <w:szCs w:val="4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如果成交供应商没有按照上述规定执行，采购人将有充分理由取消该中选决定。在此情况下，采购人可与下一个候选人签订合同，或重新采购</w:t>
      </w:r>
      <w:r>
        <w:rPr>
          <w:rFonts w:hint="eastAsia" w:ascii="宋体" w:hAnsi="宋体" w:eastAsia="黑体"/>
          <w:bCs/>
          <w:color w:val="000000" w:themeColor="text1"/>
          <w:kern w:val="44"/>
          <w:sz w:val="24"/>
          <w14:textFill>
            <w14:solidFill>
              <w14:schemeClr w14:val="tx1"/>
            </w14:solidFill>
          </w14:textFill>
        </w:rPr>
        <w:t>。</w:t>
      </w:r>
      <w:bookmarkEnd w:id="5"/>
      <w:bookmarkEnd w:id="6"/>
      <w:bookmarkEnd w:id="7"/>
      <w:bookmarkEnd w:id="8"/>
      <w:bookmarkStart w:id="9" w:name="_Toc227057922"/>
      <w:bookmarkStart w:id="10" w:name="_Toc226969316"/>
      <w:bookmarkStart w:id="11" w:name="_Toc107822520"/>
      <w:r>
        <w:rPr>
          <w:color w:val="000000" w:themeColor="text1"/>
          <w14:textFill>
            <w14:solidFill>
              <w14:schemeClr w14:val="tx1"/>
            </w14:solidFill>
          </w14:textFill>
        </w:rPr>
        <w:br w:type="page"/>
      </w:r>
    </w:p>
    <w:bookmarkEnd w:id="9"/>
    <w:bookmarkEnd w:id="10"/>
    <w:bookmarkEnd w:id="11"/>
    <w:p>
      <w:pPr>
        <w:pStyle w:val="3"/>
        <w:numPr>
          <w:ilvl w:val="0"/>
          <w:numId w:val="0"/>
        </w:numPr>
        <w:spacing w:before="0" w:after="0" w:line="360" w:lineRule="auto"/>
        <w:rPr>
          <w:b/>
          <w:color w:val="000000" w:themeColor="text1"/>
          <w:sz w:val="36"/>
          <w:szCs w:val="36"/>
          <w14:textFill>
            <w14:solidFill>
              <w14:schemeClr w14:val="tx1"/>
            </w14:solidFill>
          </w14:textFill>
        </w:rPr>
      </w:pPr>
      <w:bookmarkStart w:id="12" w:name="_Toc69378617"/>
      <w:bookmarkStart w:id="13" w:name="_Toc227057958"/>
      <w:bookmarkStart w:id="14" w:name="_Toc226969352"/>
      <w:bookmarkStart w:id="15" w:name="_Toc107822556"/>
      <w:r>
        <w:rPr>
          <w:rFonts w:hint="eastAsia"/>
          <w:b/>
          <w:color w:val="000000" w:themeColor="text1"/>
          <w:sz w:val="36"/>
          <w:szCs w:val="36"/>
          <w14:textFill>
            <w14:solidFill>
              <w14:schemeClr w14:val="tx1"/>
            </w14:solidFill>
          </w14:textFill>
        </w:rPr>
        <w:t>第三章 评审办法</w:t>
      </w:r>
      <w:bookmarkEnd w:id="12"/>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供应商须对第三章《评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办法》中的评分要求逐项说明在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中的装订页码，并将该页装订在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的首页。</w:t>
      </w:r>
    </w:p>
    <w:p>
      <w:pPr>
        <w:spacing w:line="360" w:lineRule="auto"/>
        <w:jc w:val="left"/>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jc w:val="center"/>
        <w:rPr>
          <w:rFonts w:ascii="黑体" w:hAnsi="黑体" w:eastAsia="黑体"/>
          <w:color w:val="000000" w:themeColor="text1"/>
          <w:sz w:val="37"/>
          <w:szCs w:val="37"/>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黑体" w:eastAsia="黑体"/>
          <w:color w:val="000000" w:themeColor="text1"/>
          <w:sz w:val="37"/>
          <w:szCs w:val="37"/>
          <w14:textFill>
            <w14:solidFill>
              <w14:schemeClr w14:val="tx1"/>
            </w14:solidFill>
          </w14:textFill>
        </w:rPr>
        <w:t>详细</w:t>
      </w:r>
      <w:r>
        <w:rPr>
          <w:rFonts w:ascii="黑体" w:hAnsi="黑体" w:eastAsia="黑体"/>
          <w:color w:val="000000" w:themeColor="text1"/>
          <w:sz w:val="37"/>
          <w:szCs w:val="37"/>
          <w14:textFill>
            <w14:solidFill>
              <w14:schemeClr w14:val="tx1"/>
            </w14:solidFill>
          </w14:textFill>
        </w:rPr>
        <w:t>评分表</w:t>
      </w:r>
    </w:p>
    <w:p>
      <w:pPr>
        <w:spacing w:line="360" w:lineRule="auto"/>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（满分100分）</w:t>
      </w:r>
    </w:p>
    <w:tbl>
      <w:tblPr>
        <w:tblStyle w:val="5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2"/>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color w:val="000000" w:themeColor="text1"/>
                <w:kern w:val="0"/>
                <w:sz w:val="24"/>
                <w14:textFill>
                  <w14:solidFill>
                    <w14:schemeClr w14:val="tx1"/>
                  </w14:solidFill>
                </w14:textFill>
              </w:rPr>
            </w:pPr>
            <w:r>
              <w:rPr>
                <w:rFonts w:asciiTheme="minorEastAsia" w:hAnsiTheme="minorEastAsia" w:eastAsiaTheme="minorEastAsia"/>
                <w:b/>
                <w:color w:val="000000" w:themeColor="text1"/>
                <w:kern w:val="0"/>
                <w:sz w:val="24"/>
                <w14:textFill>
                  <w14:solidFill>
                    <w14:schemeClr w14:val="tx1"/>
                  </w14:solidFill>
                </w14:textFill>
              </w:rPr>
              <w:t>评标项目</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Theme="minorEastAsia" w:hAnsiTheme="minorEastAsia" w:eastAsiaTheme="minorEastAsia"/>
                <w:b/>
                <w:bCs/>
                <w:color w:val="000000" w:themeColor="text1"/>
                <w:kern w:val="0"/>
                <w:sz w:val="24"/>
                <w14:textFill>
                  <w14:solidFill>
                    <w14:schemeClr w14:val="tx1"/>
                  </w14:solidFill>
                </w14:textFill>
              </w:rPr>
            </w:pPr>
            <w:r>
              <w:rPr>
                <w:rFonts w:asciiTheme="minorEastAsia" w:hAnsiTheme="minorEastAsia" w:eastAsiaTheme="minorEastAsia"/>
                <w:b/>
                <w:bCs/>
                <w:color w:val="000000" w:themeColor="text1"/>
                <w:kern w:val="0"/>
                <w:sz w:val="24"/>
                <w14:textFill>
                  <w14:solidFill>
                    <w14:schemeClr w14:val="tx1"/>
                  </w14:solidFill>
                </w14:textFill>
              </w:rPr>
              <w:t>分值</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cs="宋体" w:asciiTheme="minorEastAsia" w:hAnsiTheme="minorEastAsia" w:eastAsiaTheme="minorEastAsia"/>
                <w:b/>
                <w:color w:val="000000" w:themeColor="text1"/>
                <w:kern w:val="0"/>
                <w:sz w:val="24"/>
                <w14:textFill>
                  <w14:solidFill>
                    <w14:schemeClr w14:val="tx1"/>
                  </w14:solidFill>
                </w14:textFill>
              </w:rPr>
            </w:pPr>
            <w:r>
              <w:rPr>
                <w:rFonts w:cs="宋体" w:asciiTheme="minorEastAsia" w:hAnsiTheme="minorEastAsia" w:eastAsiaTheme="minorEastAsia"/>
                <w:b/>
                <w:color w:val="000000" w:themeColor="text1"/>
                <w:kern w:val="0"/>
                <w:sz w:val="24"/>
                <w14:textFill>
                  <w14:solidFill>
                    <w14:schemeClr w14:val="tx1"/>
                  </w14:solidFill>
                </w14:textFill>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价格</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50</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A、评审价的计算：</w:t>
            </w:r>
          </w:p>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1、供应商的响应价如有缺漏项，视为免费提供；</w:t>
            </w:r>
          </w:p>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3、响应文件中如果申报了非采购文件所要求的服务和产品，评审时不予以折价降低评审价；</w:t>
            </w:r>
          </w:p>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4、供应商评审价=经评审的该供应商含税总价。</w:t>
            </w:r>
          </w:p>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B、价格分的计算（保留小数点后2位）</w:t>
            </w:r>
          </w:p>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kern w:val="0"/>
                <w:sz w:val="24"/>
                <w14:textFill>
                  <w14:solidFill>
                    <w14:schemeClr w14:val="tx1"/>
                  </w14:solidFill>
                </w14:textFill>
              </w:rPr>
              <w:t>评审基准价：将满足采购文件要求的所有合格供应商的最低价为评审基准价。</w:t>
            </w:r>
          </w:p>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、报价得分=（评</w:t>
            </w:r>
            <w:r>
              <w:rPr>
                <w:rFonts w:hint="eastAsia" w:asciiTheme="minorEastAsia" w:hAnsiTheme="minorEastAsia" w:eastAsiaTheme="minorEastAsia"/>
                <w:color w:val="000000" w:themeColor="text1"/>
                <w:kern w:val="0"/>
                <w:sz w:val="24"/>
                <w14:textFill>
                  <w14:solidFill>
                    <w14:schemeClr w14:val="tx1"/>
                  </w14:solidFill>
                </w14:textFill>
              </w:rPr>
              <w:t>审</w:t>
            </w:r>
            <w:r>
              <w:rPr>
                <w:rFonts w:hint="eastAsia" w:asciiTheme="minorEastAsia" w:hAnsiTheme="minorEastAsia" w:eastAsiaTheme="minorEastAsia"/>
                <w:color w:val="000000" w:themeColor="text1"/>
                <w:sz w:val="24"/>
                <w14:textFill>
                  <w14:solidFill>
                    <w14:schemeClr w14:val="tx1"/>
                  </w14:solidFill>
                </w14:textFill>
              </w:rPr>
              <w:t>基准价/评</w:t>
            </w:r>
            <w:r>
              <w:rPr>
                <w:rFonts w:hint="eastAsia" w:asciiTheme="minorEastAsia" w:hAnsiTheme="minorEastAsia" w:eastAsiaTheme="minorEastAsia"/>
                <w:color w:val="000000" w:themeColor="text1"/>
                <w:kern w:val="0"/>
                <w:sz w:val="24"/>
                <w14:textFill>
                  <w14:solidFill>
                    <w14:schemeClr w14:val="tx1"/>
                  </w14:solidFill>
                </w14:textFill>
              </w:rPr>
              <w:t>审</w:t>
            </w:r>
            <w:r>
              <w:rPr>
                <w:rFonts w:hint="eastAsia" w:asciiTheme="minorEastAsia" w:hAnsiTheme="minorEastAsia" w:eastAsiaTheme="minorEastAsia"/>
                <w:color w:val="000000" w:themeColor="text1"/>
                <w:sz w:val="24"/>
                <w14:textFill>
                  <w14:solidFill>
                    <w14:schemeClr w14:val="tx1"/>
                  </w14:solidFill>
                </w14:textFill>
              </w:rPr>
              <w:t>价）×</w:t>
            </w:r>
            <w:r>
              <w:rPr>
                <w:rFonts w:asciiTheme="minorEastAsia" w:hAnsiTheme="minorEastAsia" w:eastAsiaTheme="minorEastAsia"/>
                <w:color w:val="000000" w:themeColor="text1"/>
                <w:sz w:val="24"/>
                <w14:textFill>
                  <w14:solidFill>
                    <w14:schemeClr w14:val="tx1"/>
                  </w14:solidFill>
                </w14:textFill>
              </w:rPr>
              <w:t>50</w:t>
            </w: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宋体" w:asciiTheme="minorEastAsia" w:hAnsiTheme="minorEastAsia" w:eastAsiaTheme="minorEastAsia"/>
                <w:b/>
                <w:bCs/>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14:textFill>
                  <w14:solidFill>
                    <w14:schemeClr w14:val="tx1"/>
                  </w14:solidFill>
                </w14:textFill>
              </w:rPr>
              <w:t>响应</w:t>
            </w:r>
            <w:r>
              <w:rPr>
                <w:rFonts w:cs="宋体" w:asciiTheme="minorEastAsia" w:hAnsiTheme="minorEastAsia" w:eastAsiaTheme="minorEastAsia"/>
                <w:b/>
                <w:bCs/>
                <w:color w:val="000000" w:themeColor="text1"/>
                <w:kern w:val="0"/>
                <w:sz w:val="24"/>
                <w14:textFill>
                  <w14:solidFill>
                    <w14:schemeClr w14:val="tx1"/>
                  </w14:solidFill>
                </w14:textFill>
              </w:rPr>
              <w:t>文件的</w:t>
            </w:r>
            <w:r>
              <w:rPr>
                <w:rFonts w:hint="eastAsia" w:cs="宋体" w:asciiTheme="minorEastAsia" w:hAnsiTheme="minorEastAsia" w:eastAsiaTheme="minorEastAsia"/>
                <w:b/>
                <w:bCs/>
                <w:color w:val="000000" w:themeColor="text1"/>
                <w:kern w:val="0"/>
                <w:sz w:val="24"/>
                <w14:textFill>
                  <w14:solidFill>
                    <w14:schemeClr w14:val="tx1"/>
                  </w14:solidFill>
                </w14:textFill>
              </w:rPr>
              <w:t>完整</w:t>
            </w:r>
            <w:r>
              <w:rPr>
                <w:rFonts w:cs="宋体" w:asciiTheme="minorEastAsia" w:hAnsiTheme="minorEastAsia" w:eastAsiaTheme="minorEastAsia"/>
                <w:b/>
                <w:bCs/>
                <w:color w:val="000000" w:themeColor="text1"/>
                <w:kern w:val="0"/>
                <w:sz w:val="24"/>
                <w14:textFill>
                  <w14:solidFill>
                    <w14:schemeClr w14:val="tx1"/>
                  </w14:solidFill>
                </w14:textFill>
              </w:rPr>
              <w:t>有效性</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kern w:val="0"/>
                <w:sz w:val="24"/>
                <w14:textFill>
                  <w14:solidFill>
                    <w14:schemeClr w14:val="tx1"/>
                  </w14:solidFill>
                </w14:textFill>
              </w:rPr>
              <w:t>2</w:t>
            </w:r>
            <w:r>
              <w:rPr>
                <w:rFonts w:cs="宋体" w:asciiTheme="minorEastAsia" w:hAnsiTheme="minorEastAsia" w:eastAsiaTheme="minorEastAsia"/>
                <w:b/>
                <w:bCs/>
                <w:color w:val="000000" w:themeColor="text1"/>
                <w:kern w:val="0"/>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供应商响应文件完全符合采购文件的形式要求，无缺、漏项；文字清晰、描述清楚得2分；如发现不符，酌情扣分；如果发现严重不符或任何弄虚作假的行为，则直接取消参评资格。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综合实力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5</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服务供应商企业注册资金3</w:t>
            </w:r>
            <w:r>
              <w:rPr>
                <w:rFonts w:asciiTheme="minorEastAsia" w:hAnsiTheme="minorEastAsia" w:eastAsiaTheme="minorEastAsia"/>
                <w:color w:val="000000" w:themeColor="text1"/>
                <w:sz w:val="24"/>
                <w14:textFill>
                  <w14:solidFill>
                    <w14:schemeClr w14:val="tx1"/>
                  </w14:solidFill>
                </w14:textFill>
              </w:rPr>
              <w:t>000万以上</w:t>
            </w:r>
            <w:r>
              <w:rPr>
                <w:rFonts w:hint="eastAsia" w:asciiTheme="minorEastAsia" w:hAnsiTheme="minorEastAsia" w:eastAsiaTheme="minorEastAsia"/>
                <w:color w:val="000000" w:themeColor="text1"/>
                <w:sz w:val="24"/>
                <w14:textFill>
                  <w14:solidFill>
                    <w14:schemeClr w14:val="tx1"/>
                  </w14:solidFill>
                </w14:textFill>
              </w:rPr>
              <w:t>得</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低于3</w:t>
            </w:r>
            <w:r>
              <w:rPr>
                <w:rFonts w:asciiTheme="minorEastAsia" w:hAnsiTheme="minorEastAsia" w:eastAsiaTheme="minorEastAsia"/>
                <w:color w:val="000000" w:themeColor="text1"/>
                <w:sz w:val="24"/>
                <w14:textFill>
                  <w14:solidFill>
                    <w14:schemeClr w14:val="tx1"/>
                  </w14:solidFill>
                </w14:textFill>
              </w:rPr>
              <w:t>000</w:t>
            </w:r>
            <w:r>
              <w:rPr>
                <w:rFonts w:hint="eastAsia" w:asciiTheme="minorEastAsia" w:hAnsiTheme="minorEastAsia" w:eastAsiaTheme="minorEastAsia"/>
                <w:color w:val="000000" w:themeColor="text1"/>
                <w:sz w:val="24"/>
                <w14:textFill>
                  <w14:solidFill>
                    <w14:schemeClr w14:val="tx1"/>
                  </w14:solidFill>
                </w14:textFill>
              </w:rPr>
              <w:t>万不得分，4</w:t>
            </w:r>
            <w:r>
              <w:rPr>
                <w:rFonts w:asciiTheme="minorEastAsia" w:hAnsiTheme="minorEastAsia" w:eastAsiaTheme="minorEastAsia"/>
                <w:color w:val="000000" w:themeColor="text1"/>
                <w:sz w:val="24"/>
                <w14:textFill>
                  <w14:solidFill>
                    <w14:schemeClr w14:val="tx1"/>
                  </w14:solidFill>
                </w14:textFill>
              </w:rPr>
              <w:t>000</w:t>
            </w:r>
            <w:r>
              <w:rPr>
                <w:rFonts w:hint="eastAsia" w:asciiTheme="minorEastAsia" w:hAnsiTheme="minorEastAsia" w:eastAsiaTheme="minorEastAsia"/>
                <w:color w:val="000000" w:themeColor="text1"/>
                <w:sz w:val="24"/>
                <w14:textFill>
                  <w14:solidFill>
                    <w14:schemeClr w14:val="tx1"/>
                  </w14:solidFill>
                </w14:textFill>
              </w:rPr>
              <w:t>万以上的得</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分，5</w:t>
            </w:r>
            <w:r>
              <w:rPr>
                <w:rFonts w:asciiTheme="minorEastAsia" w:hAnsiTheme="minorEastAsia" w:eastAsiaTheme="minorEastAsia"/>
                <w:color w:val="000000" w:themeColor="text1"/>
                <w:sz w:val="24"/>
                <w14:textFill>
                  <w14:solidFill>
                    <w14:schemeClr w14:val="tx1"/>
                  </w14:solidFill>
                </w14:textFill>
              </w:rPr>
              <w:t>000万以上得3</w:t>
            </w:r>
            <w:r>
              <w:rPr>
                <w:rFonts w:hint="eastAsia" w:asciiTheme="minorEastAsia" w:hAnsiTheme="minorEastAsia" w:eastAsiaTheme="minorEastAsia"/>
                <w:color w:val="000000" w:themeColor="text1"/>
                <w:sz w:val="24"/>
                <w14:textFill>
                  <w14:solidFill>
                    <w14:schemeClr w14:val="tx1"/>
                  </w14:solidFill>
                </w14:textFill>
              </w:rPr>
              <w:t>分。</w:t>
            </w:r>
          </w:p>
          <w:p>
            <w:pPr>
              <w:pStyle w:val="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服务供应商具备中国市场信息调查业协会会员单位，满足得</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分，具备中华人民共和国涉外调查许可证，满足得</w:t>
            </w:r>
            <w:r>
              <w:rPr>
                <w:rFonts w:asciiTheme="minorEastAsia" w:hAnsiTheme="minorEastAsia" w:eastAsiaTheme="minorEastAsia"/>
                <w:color w:val="000000" w:themeColor="text1"/>
                <w:sz w:val="24"/>
                <w:szCs w:val="24"/>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技术需求应答</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8</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根据供应商对采购文件第五章《技术需求书》的偏离情况打分，满分</w:t>
            </w:r>
            <w:r>
              <w:rPr>
                <w:rFonts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分。</w:t>
            </w:r>
          </w:p>
          <w:p>
            <w:pPr>
              <w:spacing w:line="3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关键条款（“</w:t>
            </w:r>
            <w:r>
              <w:rPr>
                <w:rFonts w:cs="Segoe UI Symbo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”号条款）不满足的视为不实质性响应；每有1条非关键条款不满足扣</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分，本条分数扣完为止。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服务人员</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5</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pPr>
              <w:pStyle w:val="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服务供应商的服务团队在1名项目经理和</w:t>
            </w: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名服务人员，得</w:t>
            </w: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分。少1人扣1分，提供的人员需要具备客户满意度测评相关经验。人员须提供学历毕业证书、自202</w:t>
            </w: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年1月</w:t>
            </w:r>
            <w:r>
              <w:rPr>
                <w:rFonts w:cs="宋体" w:asciiTheme="minorEastAsia" w:hAnsiTheme="minorEastAsia" w:eastAsiaTheme="minorEastAsia"/>
                <w:color w:val="000000" w:themeColor="text1"/>
                <w:kern w:val="0"/>
                <w:sz w:val="24"/>
                <w:szCs w:val="24"/>
                <w14:textFill>
                  <w14:solidFill>
                    <w14:schemeClr w14:val="tx1"/>
                  </w14:solidFill>
                </w14:textFill>
              </w:rPr>
              <w:t>以来</w:t>
            </w:r>
            <w:r>
              <w:rPr>
                <w:rFonts w:hint="eastAsia" w:cs="宋体" w:asciiTheme="minorEastAsia" w:hAnsiTheme="minorEastAsia" w:eastAsiaTheme="minorEastAsia"/>
                <w:color w:val="000000" w:themeColor="text1"/>
                <w:kern w:val="0"/>
                <w:sz w:val="24"/>
                <w:szCs w:val="24"/>
                <w14:textFill>
                  <w14:solidFill>
                    <w14:schemeClr w14:val="tx1"/>
                  </w14:solidFill>
                </w14:textFill>
              </w:rPr>
              <w:t>任意连续三个月</w:t>
            </w:r>
            <w:r>
              <w:rPr>
                <w:rFonts w:hint="eastAsia" w:asciiTheme="minorEastAsia" w:hAnsiTheme="minorEastAsia" w:eastAsiaTheme="minorEastAsia"/>
                <w:color w:val="000000" w:themeColor="text1"/>
                <w:sz w:val="24"/>
                <w:szCs w:val="24"/>
                <w14:textFill>
                  <w14:solidFill>
                    <w14:schemeClr w14:val="tx1"/>
                  </w14:solidFill>
                </w14:textFill>
              </w:rPr>
              <w:t>服务供应商的社保缴纳证明文件。不提供则不得分。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实施经验</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w:t>
            </w:r>
            <w:r>
              <w:rPr>
                <w:rFonts w:asciiTheme="minorEastAsia" w:hAnsiTheme="minorEastAsia" w:eastAsiaTheme="minorEastAsia"/>
                <w:b/>
                <w:bCs/>
                <w:color w:val="000000" w:themeColor="text1"/>
                <w:sz w:val="24"/>
                <w14:textFill>
                  <w14:solidFill>
                    <w14:schemeClr w14:val="tx1"/>
                  </w14:solidFill>
                </w14:textFill>
              </w:rPr>
              <w:t>0</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pPr>
              <w:pStyle w:val="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服务供应商提供2020年1月1日至文件发出之前(不包含当天)同类项目业绩（同类项目指国内客户服务满意度调查（不包含暗访，检查类）的相关经验</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。提供1个单个业绩金额达到20万元及以上的类似项目业绩得</w:t>
            </w: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分，满分</w:t>
            </w:r>
            <w:r>
              <w:rPr>
                <w:rFonts w:asciiTheme="minorEastAsia" w:hAnsiTheme="minorEastAsia" w:eastAsiaTheme="minorEastAsia"/>
                <w:color w:val="000000" w:themeColor="text1"/>
                <w:sz w:val="24"/>
                <w:szCs w:val="24"/>
                <w14:textFill>
                  <w14:solidFill>
                    <w14:schemeClr w14:val="tx1"/>
                  </w14:solidFill>
                </w14:textFill>
              </w:rPr>
              <w:t>20</w:t>
            </w:r>
            <w:r>
              <w:rPr>
                <w:rFonts w:hint="eastAsia" w:asciiTheme="minorEastAsia" w:hAnsiTheme="minorEastAsia" w:eastAsiaTheme="minorEastAsia"/>
                <w:color w:val="000000" w:themeColor="text1"/>
                <w:sz w:val="24"/>
                <w:szCs w:val="24"/>
                <w14:textFill>
                  <w14:solidFill>
                    <w14:schemeClr w14:val="tx1"/>
                  </w14:solidFill>
                </w14:textFill>
              </w:rPr>
              <w:t>分。</w:t>
            </w:r>
          </w:p>
          <w:p>
            <w:pPr>
              <w:pStyle w:val="2"/>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注：单项合同以合同签订日期和金额为准，框架合同则以订单日期和订单金额为准。资料不全、不清晰无法辨认、无法确定业绩的不予认可。（原件备查）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项目理解</w:t>
            </w:r>
          </w:p>
        </w:tc>
        <w:tc>
          <w:tcPr>
            <w:tcW w:w="78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w:t>
            </w:r>
            <w:r>
              <w:rPr>
                <w:rFonts w:asciiTheme="minorEastAsia" w:hAnsiTheme="minorEastAsia" w:eastAsiaTheme="minorEastAsia"/>
                <w:b/>
                <w:bCs/>
                <w:color w:val="000000" w:themeColor="text1"/>
                <w:sz w:val="24"/>
                <w14:textFill>
                  <w14:solidFill>
                    <w14:schemeClr w14:val="tx1"/>
                  </w14:solidFill>
                </w14:textFill>
              </w:rPr>
              <w:t>0</w:t>
            </w:r>
            <w:r>
              <w:rPr>
                <w:rFonts w:hint="eastAsia" w:asciiTheme="minorEastAsia" w:hAnsiTheme="minorEastAsia" w:eastAsiaTheme="minorEastAsia"/>
                <w:b/>
                <w:bCs/>
                <w:color w:val="000000" w:themeColor="text1"/>
                <w:sz w:val="24"/>
                <w14:textFill>
                  <w14:solidFill>
                    <w14:schemeClr w14:val="tx1"/>
                  </w14:solidFill>
                </w14:textFill>
              </w:rPr>
              <w:t>分</w:t>
            </w:r>
          </w:p>
        </w:tc>
        <w:tc>
          <w:tcPr>
            <w:tcW w:w="8148"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1、服务供应商需针对本项目提供信息安全保密措施方案。</w:t>
            </w:r>
          </w:p>
          <w:p>
            <w:pPr>
              <w:widowControl/>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评选专家根据方案是否合理、可执行性等方面进行横向评比,评分为优秀＝</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、良好＝(</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]、一般＝[0，</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]，未提供不得分。</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注：需提供信息安全保密措施方案</w:t>
            </w:r>
          </w:p>
          <w:p>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服务供应商提供的实施方案进行分档评分，重点考评服务供应商对本项目的内容、目的、要求、特点的理解和分析，包含提供最终满意度报告的格式与框架内容，根据执行方案的可行性，完整性、合理性进行评分。评分为优秀＝</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、良好＝(</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]、一般＝[0，</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]，未提供不得分。</w:t>
            </w:r>
          </w:p>
        </w:tc>
      </w:tr>
    </w:tbl>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注：</w:t>
      </w:r>
      <w:r>
        <w:rPr>
          <w:rFonts w:hint="eastAsia"/>
          <w:b/>
          <w:bCs/>
          <w:color w:val="000000" w:themeColor="text1"/>
          <w:sz w:val="24"/>
          <w14:textFill>
            <w14:solidFill>
              <w14:schemeClr w14:val="tx1"/>
            </w14:solidFill>
          </w14:textFill>
        </w:rPr>
        <w:t>评分表中“</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表示含，</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表示不含</w:t>
      </w:r>
      <w:r>
        <w:rPr>
          <w:rFonts w:hint="eastAsia"/>
          <w:b/>
          <w:bCs/>
          <w:color w:val="000000" w:themeColor="text1"/>
          <w:sz w:val="24"/>
          <w14:textFill>
            <w14:solidFill>
              <w14:schemeClr w14:val="tx1"/>
            </w14:solidFill>
          </w14:textFill>
        </w:rPr>
        <w:t>。</w:t>
      </w:r>
    </w:p>
    <w:p>
      <w:pPr>
        <w:pStyle w:val="3"/>
        <w:numPr>
          <w:ilvl w:val="0"/>
          <w:numId w:val="0"/>
        </w:numPr>
        <w:spacing w:before="0" w:after="0" w:line="360" w:lineRule="auto"/>
        <w:rPr>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bookmarkStart w:id="16" w:name="_Toc69378618"/>
      <w:r>
        <w:rPr>
          <w:rFonts w:hint="eastAsia"/>
          <w:b/>
          <w:color w:val="000000" w:themeColor="text1"/>
          <w:sz w:val="36"/>
          <w:szCs w:val="36"/>
          <w14:textFill>
            <w14:solidFill>
              <w14:schemeClr w14:val="tx1"/>
            </w14:solidFill>
          </w14:textFill>
        </w:rPr>
        <w:t xml:space="preserve">第四章 </w:t>
      </w:r>
      <w:r>
        <w:rPr>
          <w:b/>
          <w:color w:val="000000" w:themeColor="text1"/>
          <w:sz w:val="36"/>
          <w:szCs w:val="36"/>
          <w14:textFill>
            <w14:solidFill>
              <w14:schemeClr w14:val="tx1"/>
            </w14:solidFill>
          </w14:textFill>
        </w:rPr>
        <w:t>合同格式</w:t>
      </w:r>
      <w:bookmarkEnd w:id="16"/>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除了对</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章《合同格式》内容的逐项应答外，供应商还应提供一份完整的合同文本，作为</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文件的一部分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章《合同格式》内容的任何负偏离均将</w:t>
      </w:r>
      <w:r>
        <w:rPr>
          <w:rFonts w:hint="eastAsia"/>
          <w:color w:val="000000" w:themeColor="text1"/>
          <w:sz w:val="24"/>
          <w14:textFill>
            <w14:solidFill>
              <w14:schemeClr w14:val="tx1"/>
            </w14:solidFill>
          </w14:textFill>
        </w:rPr>
        <w:t>视为不实质性响应</w:t>
      </w:r>
      <w:r>
        <w:rPr>
          <w:color w:val="000000" w:themeColor="text1"/>
          <w:sz w:val="24"/>
          <w14:textFill>
            <w14:solidFill>
              <w14:schemeClr w14:val="tx1"/>
            </w14:solidFill>
          </w14:textFill>
        </w:rPr>
        <w:t>。</w:t>
      </w:r>
    </w:p>
    <w:p>
      <w:pPr>
        <w:widowControl/>
        <w:spacing w:line="300" w:lineRule="auto"/>
        <w:jc w:val="left"/>
        <w:rPr>
          <w:b/>
          <w:color w:val="000000" w:themeColor="text1"/>
          <w14:textFill>
            <w14:solidFill>
              <w14:schemeClr w14:val="tx1"/>
            </w14:solidFill>
          </w14:textFill>
        </w:rPr>
      </w:pPr>
      <w:r>
        <w:rPr>
          <w:rFonts w:eastAsia="黑体"/>
          <w:bCs/>
          <w:color w:val="000000" w:themeColor="text1"/>
          <w:sz w:val="52"/>
          <w:szCs w:val="52"/>
          <w14:textFill>
            <w14:solidFill>
              <w14:schemeClr w14:val="tx1"/>
            </w14:solidFill>
          </w14:textFill>
        </w:rPr>
        <w:br w:type="page"/>
      </w:r>
    </w:p>
    <w:p>
      <w:pPr>
        <w:spacing w:line="300" w:lineRule="auto"/>
        <w:jc w:val="center"/>
        <w:rPr>
          <w:rFonts w:ascii="黑体" w:hAnsi="宋体" w:eastAsia="黑体"/>
          <w:color w:val="000000" w:themeColor="text1"/>
          <w:kern w:val="0"/>
          <w14:textFill>
            <w14:solidFill>
              <w14:schemeClr w14:val="tx1"/>
            </w14:solidFill>
          </w14:textFill>
        </w:rPr>
      </w:pPr>
      <w:r>
        <w:rPr>
          <w:rFonts w:hint="eastAsia" w:eastAsia="黑体"/>
          <w:color w:val="000000" w:themeColor="text1"/>
          <w:sz w:val="37"/>
          <w14:textFill>
            <w14:solidFill>
              <w14:schemeClr w14:val="tx1"/>
            </w14:solidFill>
          </w14:textFill>
        </w:rPr>
        <w:t>合同格式</w:t>
      </w:r>
    </w:p>
    <w:p>
      <w:pPr>
        <w:spacing w:line="360" w:lineRule="auto"/>
        <w:ind w:firstLine="442" w:firstLineChars="200"/>
        <w:rPr>
          <w:rFonts w:ascii="宋体" w:hAnsi="宋体"/>
          <w:color w:val="000000" w:themeColor="text1"/>
          <w:sz w:val="22"/>
          <w:szCs w:val="22"/>
          <w14:textFill>
            <w14:solidFill>
              <w14:schemeClr w14:val="tx1"/>
            </w14:solidFill>
          </w14:textFill>
        </w:rPr>
      </w:pPr>
      <w:r>
        <w:rPr>
          <w:rFonts w:ascii="宋体" w:hAnsi="宋体"/>
          <w:b/>
          <w:color w:val="000000" w:themeColor="text1"/>
          <w:sz w:val="22"/>
          <w:szCs w:val="22"/>
          <w:u w:val="single"/>
          <w14:textFill>
            <w14:solidFill>
              <w14:schemeClr w14:val="tx1"/>
            </w14:solidFill>
          </w14:textFill>
        </w:rPr>
        <w:t>江苏省广电有线信息网络股份有限公司（以下简称“甲方”）</w:t>
      </w:r>
      <w:r>
        <w:rPr>
          <w:rFonts w:ascii="宋体" w:hAnsi="宋体"/>
          <w:color w:val="000000" w:themeColor="text1"/>
          <w:sz w:val="22"/>
          <w:szCs w:val="22"/>
          <w14:textFill>
            <w14:solidFill>
              <w14:schemeClr w14:val="tx1"/>
            </w14:solidFill>
          </w14:textFill>
        </w:rPr>
        <w:t>就</w:t>
      </w:r>
      <w:r>
        <w:rPr>
          <w:rFonts w:hint="eastAsia" w:ascii="宋体" w:hAnsi="宋体"/>
          <w:b/>
          <w:color w:val="000000" w:themeColor="text1"/>
          <w:sz w:val="22"/>
          <w:szCs w:val="22"/>
          <w:u w:val="single"/>
          <w14:textFill>
            <w14:solidFill>
              <w14:schemeClr w14:val="tx1"/>
            </w14:solidFill>
          </w14:textFill>
        </w:rPr>
        <w:t>2023年江苏有线客户服务满意度第三方测评项目</w:t>
      </w:r>
      <w:r>
        <w:rPr>
          <w:rFonts w:ascii="宋体" w:hAnsi="宋体"/>
          <w:color w:val="000000" w:themeColor="text1"/>
          <w:sz w:val="22"/>
          <w:szCs w:val="22"/>
          <w14:textFill>
            <w14:solidFill>
              <w14:schemeClr w14:val="tx1"/>
            </w14:solidFill>
          </w14:textFill>
        </w:rPr>
        <w:t>的采购及相关服务组织了</w:t>
      </w:r>
      <w:r>
        <w:rPr>
          <w:rFonts w:hint="eastAsia" w:ascii="宋体" w:hAnsi="宋体"/>
          <w:color w:val="000000" w:themeColor="text1"/>
          <w:sz w:val="22"/>
          <w:szCs w:val="22"/>
          <w14:textFill>
            <w14:solidFill>
              <w14:schemeClr w14:val="tx1"/>
            </w14:solidFill>
          </w14:textFill>
        </w:rPr>
        <w:t>竞争性谈判</w:t>
      </w:r>
      <w:r>
        <w:rPr>
          <w:rFonts w:ascii="宋体" w:hAnsi="宋体"/>
          <w:color w:val="000000" w:themeColor="text1"/>
          <w:sz w:val="22"/>
          <w:szCs w:val="22"/>
          <w14:textFill>
            <w14:solidFill>
              <w14:schemeClr w14:val="tx1"/>
            </w14:solidFill>
          </w14:textFill>
        </w:rPr>
        <w:t>，经评委会严格评审，本项目由</w:t>
      </w:r>
      <w:r>
        <w:rPr>
          <w:rFonts w:hint="eastAsia"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u w:val="single"/>
          <w14:textFill>
            <w14:solidFill>
              <w14:schemeClr w14:val="tx1"/>
            </w14:solidFill>
          </w14:textFill>
        </w:rPr>
        <w:t xml:space="preserve">  </w:t>
      </w:r>
      <w:r>
        <w:rPr>
          <w:rFonts w:ascii="宋体" w:hAnsi="宋体"/>
          <w:b/>
          <w:color w:val="000000" w:themeColor="text1"/>
          <w:sz w:val="22"/>
          <w:szCs w:val="22"/>
          <w:u w:val="single"/>
          <w14:textFill>
            <w14:solidFill>
              <w14:schemeClr w14:val="tx1"/>
            </w14:solidFill>
          </w14:textFill>
        </w:rPr>
        <w:t xml:space="preserve">  公司（以下简称“乙方”）</w:t>
      </w:r>
      <w:r>
        <w:rPr>
          <w:rFonts w:ascii="宋体" w:hAnsi="宋体"/>
          <w:color w:val="000000" w:themeColor="text1"/>
          <w:sz w:val="22"/>
          <w:szCs w:val="22"/>
          <w14:textFill>
            <w14:solidFill>
              <w14:schemeClr w14:val="tx1"/>
            </w14:solidFill>
          </w14:textFill>
        </w:rPr>
        <w:t>中</w:t>
      </w:r>
      <w:r>
        <w:rPr>
          <w:rFonts w:hint="eastAsia" w:ascii="宋体" w:hAnsi="宋体"/>
          <w:color w:val="000000" w:themeColor="text1"/>
          <w:sz w:val="22"/>
          <w:szCs w:val="22"/>
          <w14:textFill>
            <w14:solidFill>
              <w14:schemeClr w14:val="tx1"/>
            </w14:solidFill>
          </w14:textFill>
        </w:rPr>
        <w:t>选</w:t>
      </w:r>
      <w:r>
        <w:rPr>
          <w:rFonts w:ascii="宋体" w:hAnsi="宋体"/>
          <w:color w:val="000000" w:themeColor="text1"/>
          <w:sz w:val="22"/>
          <w:szCs w:val="22"/>
          <w14:textFill>
            <w14:solidFill>
              <w14:schemeClr w14:val="tx1"/>
            </w14:solidFill>
          </w14:textFill>
        </w:rPr>
        <w:t>。</w:t>
      </w:r>
    </w:p>
    <w:p>
      <w:pPr>
        <w:spacing w:line="360" w:lineRule="auto"/>
        <w:ind w:firstLine="440" w:firstLineChars="20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甲</w:t>
      </w:r>
      <w:r>
        <w:rPr>
          <w:rFonts w:ascii="宋体" w:hAnsi="宋体"/>
          <w:bCs/>
          <w:color w:val="000000" w:themeColor="text1"/>
          <w:sz w:val="22"/>
          <w:szCs w:val="22"/>
          <w14:textFill>
            <w14:solidFill>
              <w14:schemeClr w14:val="tx1"/>
            </w14:solidFill>
          </w14:textFill>
        </w:rPr>
        <w:t>、</w:t>
      </w:r>
      <w:r>
        <w:rPr>
          <w:rFonts w:hint="eastAsia" w:ascii="宋体" w:hAnsi="宋体"/>
          <w:bCs/>
          <w:color w:val="000000" w:themeColor="text1"/>
          <w:sz w:val="22"/>
          <w:szCs w:val="22"/>
          <w14:textFill>
            <w14:solidFill>
              <w14:schemeClr w14:val="tx1"/>
            </w14:solidFill>
          </w14:textFill>
        </w:rPr>
        <w:t>乙</w:t>
      </w:r>
      <w:r>
        <w:rPr>
          <w:rFonts w:ascii="宋体" w:hAnsi="宋体"/>
          <w:bCs/>
          <w:color w:val="000000" w:themeColor="text1"/>
          <w:sz w:val="22"/>
          <w:szCs w:val="22"/>
          <w14:textFill>
            <w14:solidFill>
              <w14:schemeClr w14:val="tx1"/>
            </w14:solidFill>
          </w14:textFill>
        </w:rPr>
        <w:t>双方根据</w:t>
      </w:r>
      <w:r>
        <w:rPr>
          <w:rFonts w:hint="eastAsia" w:ascii="宋体" w:hAnsi="宋体"/>
          <w:bCs/>
          <w:color w:val="000000" w:themeColor="text1"/>
          <w:sz w:val="22"/>
          <w:szCs w:val="22"/>
          <w:u w:val="single"/>
          <w14:textFill>
            <w14:solidFill>
              <w14:schemeClr w14:val="tx1"/>
            </w14:solidFill>
          </w14:textFill>
        </w:rPr>
        <w:t>2023年江苏有线客户服务满意度第三方测评项目</w:t>
      </w:r>
      <w:r>
        <w:rPr>
          <w:rFonts w:hint="eastAsia" w:ascii="宋体" w:hAnsi="宋体"/>
          <w:color w:val="000000" w:themeColor="text1"/>
          <w:sz w:val="22"/>
          <w:szCs w:val="22"/>
          <w14:textFill>
            <w14:solidFill>
              <w14:schemeClr w14:val="tx1"/>
            </w14:solidFill>
          </w14:textFill>
        </w:rPr>
        <w:t>竞争性谈判</w:t>
      </w:r>
      <w:r>
        <w:rPr>
          <w:rFonts w:ascii="宋体" w:hAnsi="宋体"/>
          <w:color w:val="000000" w:themeColor="text1"/>
          <w:sz w:val="22"/>
          <w:szCs w:val="22"/>
          <w14:textFill>
            <w14:solidFill>
              <w14:schemeClr w14:val="tx1"/>
            </w14:solidFill>
          </w14:textFill>
        </w:rPr>
        <w:t>文件的规定、乙方</w:t>
      </w:r>
      <w:r>
        <w:rPr>
          <w:rFonts w:hint="eastAsia" w:ascii="宋体" w:hAnsi="宋体"/>
          <w:color w:val="000000" w:themeColor="text1"/>
          <w:sz w:val="22"/>
          <w:szCs w:val="22"/>
          <w14:textFill>
            <w14:solidFill>
              <w14:schemeClr w14:val="tx1"/>
            </w14:solidFill>
          </w14:textFill>
        </w:rPr>
        <w:t>响应</w:t>
      </w:r>
      <w:r>
        <w:rPr>
          <w:rFonts w:ascii="宋体" w:hAnsi="宋体"/>
          <w:color w:val="000000" w:themeColor="text1"/>
          <w:sz w:val="22"/>
          <w:szCs w:val="22"/>
          <w14:textFill>
            <w14:solidFill>
              <w14:schemeClr w14:val="tx1"/>
            </w14:solidFill>
          </w14:textFill>
        </w:rPr>
        <w:t>文件及</w:t>
      </w:r>
      <w:r>
        <w:rPr>
          <w:rFonts w:hint="eastAsia" w:ascii="宋体" w:hAnsi="宋体"/>
          <w:color w:val="000000" w:themeColor="text1"/>
          <w:sz w:val="22"/>
          <w:szCs w:val="22"/>
          <w14:textFill>
            <w14:solidFill>
              <w14:schemeClr w14:val="tx1"/>
            </w14:solidFill>
          </w14:textFill>
        </w:rPr>
        <w:t>谈判</w:t>
      </w:r>
      <w:r>
        <w:rPr>
          <w:rFonts w:ascii="宋体" w:hAnsi="宋体"/>
          <w:color w:val="000000" w:themeColor="text1"/>
          <w:sz w:val="22"/>
          <w:szCs w:val="22"/>
          <w14:textFill>
            <w14:solidFill>
              <w14:schemeClr w14:val="tx1"/>
            </w14:solidFill>
          </w14:textFill>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2"/>
          <w:szCs w:val="22"/>
          <w14:textFill>
            <w14:solidFill>
              <w14:schemeClr w14:val="tx1"/>
            </w14:solidFill>
          </w14:textFill>
        </w:rPr>
      </w:pPr>
      <w:bookmarkStart w:id="17" w:name="_Toc69378619"/>
      <w:r>
        <w:rPr>
          <w:rFonts w:ascii="宋体" w:hAnsi="宋体" w:eastAsia="宋体" w:cs="宋体"/>
          <w:b/>
          <w:bCs w:val="0"/>
          <w:color w:val="000000" w:themeColor="text1"/>
          <w:sz w:val="22"/>
          <w:szCs w:val="22"/>
          <w14:textFill>
            <w14:solidFill>
              <w14:schemeClr w14:val="tx1"/>
            </w14:solidFill>
          </w14:textFill>
        </w:rPr>
        <w:t>一、项目标的和内容</w:t>
      </w:r>
      <w:bookmarkEnd w:id="17"/>
    </w:p>
    <w:p>
      <w:pPr>
        <w:spacing w:line="360" w:lineRule="auto"/>
        <w:ind w:firstLine="440" w:firstLineChars="200"/>
        <w:rPr>
          <w:color w:val="000000" w:themeColor="text1"/>
          <w:sz w:val="22"/>
          <w:szCs w:val="22"/>
          <w14:textFill>
            <w14:solidFill>
              <w14:schemeClr w14:val="tx1"/>
            </w14:solidFill>
          </w14:textFill>
        </w:rPr>
      </w:pPr>
      <w:bookmarkStart w:id="18" w:name="_Toc69378620"/>
      <w:r>
        <w:rPr>
          <w:color w:val="000000" w:themeColor="text1"/>
          <w:sz w:val="22"/>
          <w:szCs w:val="22"/>
          <w14:textFill>
            <w14:solidFill>
              <w14:schemeClr w14:val="tx1"/>
            </w14:solidFill>
          </w14:textFill>
        </w:rPr>
        <w:t>项目标的内容包括乙方按照甲方具体要求</w:t>
      </w:r>
      <w:r>
        <w:rPr>
          <w:rFonts w:hint="eastAsia"/>
          <w:color w:val="000000" w:themeColor="text1"/>
          <w:sz w:val="22"/>
          <w:szCs w:val="22"/>
          <w14:textFill>
            <w14:solidFill>
              <w14:schemeClr w14:val="tx1"/>
            </w14:solidFill>
          </w14:textFill>
        </w:rPr>
        <w:t>提供</w:t>
      </w:r>
      <w:r>
        <w:rPr>
          <w:rFonts w:hint="eastAsia" w:ascii="宋体" w:hAnsi="宋体"/>
          <w:color w:val="000000" w:themeColor="text1"/>
          <w:sz w:val="22"/>
          <w:szCs w:val="22"/>
          <w:u w:val="single"/>
          <w14:textFill>
            <w14:solidFill>
              <w14:schemeClr w14:val="tx1"/>
            </w14:solidFill>
          </w14:textFill>
        </w:rPr>
        <w:t>客户服务满意度第三方测评服务与测评报告</w:t>
      </w:r>
      <w:r>
        <w:rPr>
          <w:color w:val="000000" w:themeColor="text1"/>
          <w:sz w:val="22"/>
          <w:szCs w:val="22"/>
          <w14:textFill>
            <w14:solidFill>
              <w14:schemeClr w14:val="tx1"/>
            </w14:solidFill>
          </w14:textFill>
        </w:rPr>
        <w:t>。</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2"/>
          <w:szCs w:val="22"/>
          <w14:textFill>
            <w14:solidFill>
              <w14:schemeClr w14:val="tx1"/>
            </w14:solidFill>
          </w14:textFill>
        </w:rPr>
      </w:pPr>
      <w:r>
        <w:rPr>
          <w:rFonts w:ascii="宋体" w:hAnsi="宋体" w:eastAsia="宋体" w:cs="宋体"/>
          <w:b/>
          <w:bCs w:val="0"/>
          <w:color w:val="000000" w:themeColor="text1"/>
          <w:sz w:val="22"/>
          <w:szCs w:val="22"/>
          <w14:textFill>
            <w14:solidFill>
              <w14:schemeClr w14:val="tx1"/>
            </w14:solidFill>
          </w14:textFill>
        </w:rPr>
        <w:t>二、合同总价</w:t>
      </w:r>
      <w:bookmarkEnd w:id="18"/>
    </w:p>
    <w:p>
      <w:pPr>
        <w:numPr>
          <w:ilvl w:val="1"/>
          <w:numId w:val="5"/>
        </w:numPr>
        <w:tabs>
          <w:tab w:val="left" w:pos="0"/>
          <w:tab w:val="clear" w:pos="1155"/>
        </w:tabs>
        <w:spacing w:line="360" w:lineRule="auto"/>
        <w:ind w:left="0" w:firstLine="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合同总价</w:t>
      </w:r>
      <w:r>
        <w:rPr>
          <w:rFonts w:ascii="宋体" w:hAnsi="宋体"/>
          <w:b/>
          <w:color w:val="000000" w:themeColor="text1"/>
          <w:sz w:val="22"/>
          <w:szCs w:val="22"/>
          <w14:textFill>
            <w14:solidFill>
              <w14:schemeClr w14:val="tx1"/>
            </w14:solidFill>
          </w14:textFill>
        </w:rPr>
        <w:t>（人民币大写）：</w:t>
      </w:r>
      <w:r>
        <w:rPr>
          <w:rFonts w:ascii="宋体" w:hAnsi="宋体"/>
          <w:b/>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w:t>
      </w:r>
    </w:p>
    <w:p>
      <w:pPr>
        <w:spacing w:line="360" w:lineRule="auto"/>
        <w:ind w:firstLine="1325" w:firstLineChars="600"/>
        <w:rPr>
          <w:rFonts w:ascii="宋体" w:hAnsi="宋体"/>
          <w:color w:val="000000" w:themeColor="text1"/>
          <w:sz w:val="22"/>
          <w:szCs w:val="22"/>
          <w14:textFill>
            <w14:solidFill>
              <w14:schemeClr w14:val="tx1"/>
            </w14:solidFill>
          </w14:textFill>
        </w:rPr>
      </w:pPr>
      <w:r>
        <w:rPr>
          <w:rFonts w:ascii="宋体" w:hAnsi="宋体"/>
          <w:b/>
          <w:color w:val="000000" w:themeColor="text1"/>
          <w:sz w:val="22"/>
          <w:szCs w:val="22"/>
          <w14:textFill>
            <w14:solidFill>
              <w14:schemeClr w14:val="tx1"/>
            </w14:solidFill>
          </w14:textFill>
        </w:rPr>
        <w:t>（人民币小写）：</w:t>
      </w:r>
      <w:r>
        <w:rPr>
          <w:rFonts w:ascii="宋体" w:hAnsi="宋体"/>
          <w:b/>
          <w:color w:val="000000" w:themeColor="text1"/>
          <w:sz w:val="22"/>
          <w:szCs w:val="22"/>
          <w:u w:val="single"/>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 xml:space="preserve"> </w:t>
      </w:r>
      <w:r>
        <w:rPr>
          <w:rFonts w:ascii="宋体" w:hAnsi="宋体"/>
          <w:b/>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w:t>
      </w:r>
    </w:p>
    <w:p>
      <w:pPr>
        <w:numPr>
          <w:ilvl w:val="1"/>
          <w:numId w:val="5"/>
        </w:numPr>
        <w:tabs>
          <w:tab w:val="left" w:pos="0"/>
          <w:tab w:val="clear" w:pos="1155"/>
        </w:tabs>
        <w:spacing w:line="360" w:lineRule="auto"/>
        <w:ind w:left="0" w:firstLine="0"/>
        <w:rPr>
          <w:color w:val="000000" w:themeColor="text1"/>
          <w:sz w:val="22"/>
          <w:szCs w:val="22"/>
          <w14:textFill>
            <w14:solidFill>
              <w14:schemeClr w14:val="tx1"/>
            </w14:solidFill>
          </w14:textFill>
        </w:rPr>
      </w:pPr>
      <w:bookmarkStart w:id="19" w:name="_Hlk70610090"/>
      <w:r>
        <w:rPr>
          <w:color w:val="000000" w:themeColor="text1"/>
          <w:sz w:val="22"/>
          <w:szCs w:val="22"/>
          <w14:textFill>
            <w14:solidFill>
              <w14:schemeClr w14:val="tx1"/>
            </w14:solidFill>
          </w14:textFill>
        </w:rPr>
        <w:t>合同总价系指按本合同的规定，</w:t>
      </w:r>
      <w:r>
        <w:rPr>
          <w:rFonts w:hint="eastAsia"/>
          <w:color w:val="000000" w:themeColor="text1"/>
          <w:sz w:val="22"/>
          <w:szCs w:val="22"/>
          <w14:textFill>
            <w14:solidFill>
              <w14:schemeClr w14:val="tx1"/>
            </w14:solidFill>
          </w14:textFill>
        </w:rPr>
        <w:t>乙</w:t>
      </w:r>
      <w:r>
        <w:rPr>
          <w:color w:val="000000" w:themeColor="text1"/>
          <w:sz w:val="22"/>
          <w:szCs w:val="22"/>
          <w14:textFill>
            <w14:solidFill>
              <w14:schemeClr w14:val="tx1"/>
            </w14:solidFill>
          </w14:textFill>
        </w:rPr>
        <w:t>方在完全履行了合同的义务后，</w:t>
      </w:r>
      <w:r>
        <w:rPr>
          <w:rFonts w:hint="eastAsia"/>
          <w:color w:val="000000" w:themeColor="text1"/>
          <w:sz w:val="22"/>
          <w:szCs w:val="22"/>
          <w14:textFill>
            <w14:solidFill>
              <w14:schemeClr w14:val="tx1"/>
            </w14:solidFill>
          </w14:textFill>
        </w:rPr>
        <w:t>甲</w:t>
      </w:r>
      <w:r>
        <w:rPr>
          <w:color w:val="000000" w:themeColor="text1"/>
          <w:sz w:val="22"/>
          <w:szCs w:val="22"/>
          <w14:textFill>
            <w14:solidFill>
              <w14:schemeClr w14:val="tx1"/>
            </w14:solidFill>
          </w14:textFill>
        </w:rPr>
        <w:t>方支付给</w:t>
      </w:r>
      <w:r>
        <w:rPr>
          <w:rFonts w:hint="eastAsia"/>
          <w:color w:val="000000" w:themeColor="text1"/>
          <w:sz w:val="22"/>
          <w:szCs w:val="22"/>
          <w14:textFill>
            <w14:solidFill>
              <w14:schemeClr w14:val="tx1"/>
            </w14:solidFill>
          </w14:textFill>
        </w:rPr>
        <w:t>乙</w:t>
      </w:r>
      <w:r>
        <w:rPr>
          <w:color w:val="000000" w:themeColor="text1"/>
          <w:sz w:val="22"/>
          <w:szCs w:val="22"/>
          <w14:textFill>
            <w14:solidFill>
              <w14:schemeClr w14:val="tx1"/>
            </w14:solidFill>
          </w14:textFill>
        </w:rPr>
        <w:t>方的总价款，包括但不限于</w:t>
      </w:r>
      <w:r>
        <w:rPr>
          <w:rFonts w:hint="eastAsia"/>
          <w:color w:val="000000" w:themeColor="text1"/>
          <w:sz w:val="22"/>
          <w:szCs w:val="22"/>
          <w14:textFill>
            <w14:solidFill>
              <w14:schemeClr w14:val="tx1"/>
            </w14:solidFill>
          </w14:textFill>
        </w:rPr>
        <w:t>外呼话费、外呼咨询费、调查报告、数据处理等费用</w:t>
      </w:r>
      <w:r>
        <w:rPr>
          <w:color w:val="000000" w:themeColor="text1"/>
          <w:sz w:val="22"/>
          <w:szCs w:val="22"/>
          <w14:textFill>
            <w14:solidFill>
              <w14:schemeClr w14:val="tx1"/>
            </w14:solidFill>
          </w14:textFill>
        </w:rPr>
        <w:t>，以及与所供产品和服务有关的一切税费</w:t>
      </w:r>
      <w:r>
        <w:rPr>
          <w:rFonts w:hint="eastAsia"/>
          <w:color w:val="000000" w:themeColor="text1"/>
          <w:sz w:val="22"/>
          <w:szCs w:val="22"/>
          <w14:textFill>
            <w14:solidFill>
              <w14:schemeClr w14:val="tx1"/>
            </w14:solidFill>
          </w14:textFill>
        </w:rPr>
        <w:t>，除此之外，</w:t>
      </w:r>
      <w:r>
        <w:rPr>
          <w:color w:val="000000" w:themeColor="text1"/>
          <w:sz w:val="22"/>
          <w:szCs w:val="22"/>
          <w14:textFill>
            <w14:solidFill>
              <w14:schemeClr w14:val="tx1"/>
            </w14:solidFill>
          </w14:textFill>
        </w:rPr>
        <w:t>甲</w:t>
      </w:r>
      <w:r>
        <w:rPr>
          <w:rFonts w:hint="eastAsia"/>
          <w:color w:val="000000" w:themeColor="text1"/>
          <w:sz w:val="22"/>
          <w:szCs w:val="22"/>
          <w14:textFill>
            <w14:solidFill>
              <w14:schemeClr w14:val="tx1"/>
            </w14:solidFill>
          </w14:textFill>
        </w:rPr>
        <w:t>方不再以任何名义、任何方式向</w:t>
      </w:r>
      <w:r>
        <w:rPr>
          <w:color w:val="000000" w:themeColor="text1"/>
          <w:sz w:val="22"/>
          <w:szCs w:val="22"/>
          <w14:textFill>
            <w14:solidFill>
              <w14:schemeClr w14:val="tx1"/>
            </w14:solidFill>
          </w14:textFill>
        </w:rPr>
        <w:t>乙</w:t>
      </w:r>
      <w:r>
        <w:rPr>
          <w:rFonts w:hint="eastAsia"/>
          <w:color w:val="000000" w:themeColor="text1"/>
          <w:sz w:val="22"/>
          <w:szCs w:val="22"/>
          <w14:textFill>
            <w14:solidFill>
              <w14:schemeClr w14:val="tx1"/>
            </w14:solidFill>
          </w14:textFill>
        </w:rPr>
        <w:t>方支付费用</w:t>
      </w:r>
      <w:r>
        <w:rPr>
          <w:color w:val="000000" w:themeColor="text1"/>
          <w:sz w:val="22"/>
          <w:szCs w:val="22"/>
          <w14:textFill>
            <w14:solidFill>
              <w14:schemeClr w14:val="tx1"/>
            </w14:solidFill>
          </w14:textFill>
        </w:rPr>
        <w:t>。</w:t>
      </w:r>
    </w:p>
    <w:p>
      <w:pPr>
        <w:numPr>
          <w:ilvl w:val="1"/>
          <w:numId w:val="5"/>
        </w:numPr>
        <w:tabs>
          <w:tab w:val="left" w:pos="0"/>
          <w:tab w:val="clear" w:pos="1155"/>
        </w:tabs>
        <w:spacing w:line="360" w:lineRule="auto"/>
        <w:ind w:left="0" w:firstLine="0"/>
        <w:rPr>
          <w:color w:val="000000" w:themeColor="text1"/>
          <w:sz w:val="22"/>
          <w:szCs w:val="22"/>
          <w14:textFill>
            <w14:solidFill>
              <w14:schemeClr w14:val="tx1"/>
            </w14:solidFill>
          </w14:textFill>
        </w:rPr>
      </w:pPr>
      <w:r>
        <w:rPr>
          <w:color w:val="000000" w:themeColor="text1"/>
          <w:sz w:val="22"/>
          <w:szCs w:val="28"/>
          <w14:textFill>
            <w14:solidFill>
              <w14:schemeClr w14:val="tx1"/>
            </w14:solidFill>
          </w14:textFill>
        </w:rPr>
        <w:t>当国家法定增值税税率发生变更，甲乙双方约定以含税价格不变作为基准，调整增值税税额</w:t>
      </w:r>
      <w:bookmarkEnd w:id="19"/>
      <w:r>
        <w:rPr>
          <w:rFonts w:hint="eastAsia"/>
          <w:color w:val="000000" w:themeColor="text1"/>
          <w:sz w:val="22"/>
          <w:szCs w:val="28"/>
          <w14:textFill>
            <w14:solidFill>
              <w14:schemeClr w14:val="tx1"/>
            </w14:solidFill>
          </w14:textFill>
        </w:rPr>
        <w:t>。</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2"/>
          <w:szCs w:val="22"/>
          <w14:textFill>
            <w14:solidFill>
              <w14:schemeClr w14:val="tx1"/>
            </w14:solidFill>
          </w14:textFill>
        </w:rPr>
      </w:pPr>
      <w:r>
        <w:rPr>
          <w:rFonts w:hint="eastAsia" w:ascii="宋体" w:hAnsi="宋体" w:eastAsia="宋体" w:cs="宋体"/>
          <w:b/>
          <w:bCs w:val="0"/>
          <w:color w:val="000000" w:themeColor="text1"/>
          <w:sz w:val="22"/>
          <w:szCs w:val="22"/>
          <w14:textFill>
            <w14:solidFill>
              <w14:schemeClr w14:val="tx1"/>
            </w14:solidFill>
          </w14:textFill>
        </w:rPr>
        <w:t>三</w:t>
      </w:r>
      <w:r>
        <w:rPr>
          <w:rFonts w:ascii="宋体" w:hAnsi="宋体" w:eastAsia="宋体" w:cs="宋体"/>
          <w:b/>
          <w:bCs w:val="0"/>
          <w:color w:val="000000" w:themeColor="text1"/>
          <w:sz w:val="22"/>
          <w:szCs w:val="22"/>
          <w14:textFill>
            <w14:solidFill>
              <w14:schemeClr w14:val="tx1"/>
            </w14:solidFill>
          </w14:textFill>
        </w:rPr>
        <w:t>、付款方式及期限</w:t>
      </w:r>
    </w:p>
    <w:p>
      <w:pPr>
        <w:tabs>
          <w:tab w:val="left" w:pos="0"/>
        </w:tabs>
        <w:spacing w:line="360" w:lineRule="auto"/>
        <w:rPr>
          <w:color w:val="000000" w:themeColor="text1"/>
          <w:sz w:val="22"/>
          <w:szCs w:val="22"/>
          <w14:textFill>
            <w14:solidFill>
              <w14:schemeClr w14:val="tx1"/>
            </w14:solidFill>
          </w14:textFill>
        </w:rPr>
      </w:pPr>
      <w:bookmarkStart w:id="20" w:name="_Toc69378621"/>
      <w:r>
        <w:rPr>
          <w:rFonts w:hint="eastAsia"/>
          <w:color w:val="000000" w:themeColor="text1"/>
          <w:sz w:val="22"/>
          <w:szCs w:val="22"/>
          <w14:textFill>
            <w14:solidFill>
              <w14:schemeClr w14:val="tx1"/>
            </w14:solidFill>
          </w14:textFill>
        </w:rPr>
        <w:t>1．</w:t>
      </w:r>
      <w:r>
        <w:rPr>
          <w:color w:val="000000" w:themeColor="text1"/>
          <w:sz w:val="22"/>
          <w:szCs w:val="22"/>
          <w14:textFill>
            <w14:solidFill>
              <w14:schemeClr w14:val="tx1"/>
            </w14:solidFill>
          </w14:textFill>
        </w:rPr>
        <w:t>付款方式：</w:t>
      </w:r>
      <w:r>
        <w:rPr>
          <w:rFonts w:hint="eastAsia" w:ascii="宋体" w:hAnsi="宋体" w:cs="仿宋"/>
          <w:color w:val="000000" w:themeColor="text1"/>
          <w:sz w:val="22"/>
          <w:szCs w:val="22"/>
          <w14:textFill>
            <w14:solidFill>
              <w14:schemeClr w14:val="tx1"/>
            </w14:solidFill>
          </w14:textFill>
        </w:rPr>
        <w:t>合同</w:t>
      </w:r>
      <w:r>
        <w:rPr>
          <w:rFonts w:ascii="宋体" w:hAnsi="宋体" w:cs="仿宋"/>
          <w:color w:val="000000" w:themeColor="text1"/>
          <w:sz w:val="22"/>
          <w:szCs w:val="22"/>
          <w14:textFill>
            <w14:solidFill>
              <w14:schemeClr w14:val="tx1"/>
            </w14:solidFill>
          </w14:textFill>
        </w:rPr>
        <w:t>金额以电汇或</w:t>
      </w:r>
      <w:r>
        <w:rPr>
          <w:rFonts w:hint="eastAsia" w:ascii="宋体" w:hAnsi="宋体" w:cs="仿宋"/>
          <w:color w:val="000000" w:themeColor="text1"/>
          <w:sz w:val="22"/>
          <w:szCs w:val="22"/>
          <w14:textFill>
            <w14:solidFill>
              <w14:schemeClr w14:val="tx1"/>
            </w14:solidFill>
          </w14:textFill>
        </w:rPr>
        <w:t>转账的方式汇入乙方账号内。</w:t>
      </w:r>
      <w:r>
        <w:rPr>
          <w:color w:val="000000" w:themeColor="text1"/>
          <w:sz w:val="22"/>
          <w:szCs w:val="22"/>
          <w14:textFill>
            <w14:solidFill>
              <w14:schemeClr w14:val="tx1"/>
            </w14:solidFill>
          </w14:textFill>
        </w:rPr>
        <w:t>如收款方的账号和开户行变更，须及时以书面形式通知付款方，通知上必须同时盖有收款方的</w:t>
      </w:r>
      <w:r>
        <w:rPr>
          <w:rFonts w:hint="eastAsia"/>
          <w:color w:val="000000" w:themeColor="text1"/>
          <w:sz w:val="22"/>
          <w:szCs w:val="22"/>
          <w14:textFill>
            <w14:solidFill>
              <w14:schemeClr w14:val="tx1"/>
            </w14:solidFill>
          </w14:textFill>
        </w:rPr>
        <w:t>公</w:t>
      </w:r>
      <w:r>
        <w:rPr>
          <w:color w:val="000000" w:themeColor="text1"/>
          <w:sz w:val="22"/>
          <w:szCs w:val="22"/>
          <w14:textFill>
            <w14:solidFill>
              <w14:schemeClr w14:val="tx1"/>
            </w14:solidFill>
          </w14:textFill>
        </w:rPr>
        <w:t>章</w:t>
      </w:r>
      <w:r>
        <w:rPr>
          <w:rFonts w:hint="eastAsia"/>
          <w:color w:val="000000" w:themeColor="text1"/>
          <w:sz w:val="22"/>
          <w:szCs w:val="22"/>
          <w14:textFill>
            <w14:solidFill>
              <w14:schemeClr w14:val="tx1"/>
            </w14:solidFill>
          </w14:textFill>
        </w:rPr>
        <w:t>或</w:t>
      </w:r>
      <w:r>
        <w:rPr>
          <w:color w:val="000000" w:themeColor="text1"/>
          <w:sz w:val="22"/>
          <w:szCs w:val="22"/>
          <w14:textFill>
            <w14:solidFill>
              <w14:schemeClr w14:val="tx1"/>
            </w14:solidFill>
          </w14:textFill>
        </w:rPr>
        <w:t>财务</w:t>
      </w:r>
      <w:r>
        <w:rPr>
          <w:rFonts w:hint="eastAsia"/>
          <w:color w:val="000000" w:themeColor="text1"/>
          <w:sz w:val="22"/>
          <w:szCs w:val="22"/>
          <w14:textFill>
            <w14:solidFill>
              <w14:schemeClr w14:val="tx1"/>
            </w14:solidFill>
          </w14:textFill>
        </w:rPr>
        <w:t>专用</w:t>
      </w:r>
      <w:r>
        <w:rPr>
          <w:color w:val="000000" w:themeColor="text1"/>
          <w:sz w:val="22"/>
          <w:szCs w:val="22"/>
          <w14:textFill>
            <w14:solidFill>
              <w14:schemeClr w14:val="tx1"/>
            </w14:solidFill>
          </w14:textFill>
        </w:rPr>
        <w:t>章</w:t>
      </w:r>
      <w:r>
        <w:rPr>
          <w:rFonts w:hint="eastAsia"/>
          <w:color w:val="000000" w:themeColor="text1"/>
          <w:sz w:val="22"/>
          <w:szCs w:val="22"/>
          <w14:textFill>
            <w14:solidFill>
              <w14:schemeClr w14:val="tx1"/>
            </w14:solidFill>
          </w14:textFill>
        </w:rPr>
        <w:t>。</w:t>
      </w:r>
    </w:p>
    <w:p>
      <w:pPr>
        <w:tabs>
          <w:tab w:val="left" w:pos="0"/>
        </w:tabs>
        <w:spacing w:line="360" w:lineRule="auto"/>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t>付款期限：</w:t>
      </w:r>
      <w:r>
        <w:rPr>
          <w:rFonts w:hint="eastAsia" w:ascii="宋体" w:hAnsi="宋体" w:cs="仿宋"/>
          <w:color w:val="000000" w:themeColor="text1"/>
          <w:sz w:val="22"/>
          <w:szCs w:val="22"/>
          <w14:textFill>
            <w14:solidFill>
              <w14:schemeClr w14:val="tx1"/>
            </w14:solidFill>
          </w14:textFill>
        </w:rPr>
        <w:t>乙方完成甲方要求的客户满意度第三方测评并提供测评报告，甲方</w:t>
      </w:r>
      <w:r>
        <w:rPr>
          <w:rFonts w:ascii="宋体" w:hAnsi="宋体" w:cs="仿宋"/>
          <w:color w:val="000000" w:themeColor="text1"/>
          <w:sz w:val="22"/>
          <w:szCs w:val="22"/>
          <w14:textFill>
            <w14:solidFill>
              <w14:schemeClr w14:val="tx1"/>
            </w14:solidFill>
          </w14:textFill>
        </w:rPr>
        <w:t>在收到乙方提供的增值税专用发票后，</w:t>
      </w:r>
      <w:r>
        <w:rPr>
          <w:rFonts w:hint="eastAsia" w:ascii="宋体" w:hAnsi="宋体" w:cs="仿宋"/>
          <w:color w:val="000000" w:themeColor="text1"/>
          <w:sz w:val="22"/>
          <w:szCs w:val="22"/>
          <w14:textFill>
            <w14:solidFill>
              <w14:schemeClr w14:val="tx1"/>
            </w14:solidFill>
          </w14:textFill>
        </w:rPr>
        <w:t>其后的15个工作日内支付合同总额的100</w:t>
      </w:r>
      <w:r>
        <w:rPr>
          <w:rFonts w:ascii="宋体" w:hAnsi="宋体" w:cs="仿宋"/>
          <w:color w:val="000000" w:themeColor="text1"/>
          <w:sz w:val="22"/>
          <w:szCs w:val="22"/>
          <w14:textFill>
            <w14:solidFill>
              <w14:schemeClr w14:val="tx1"/>
            </w14:solidFill>
          </w14:textFill>
        </w:rPr>
        <w:t>%</w:t>
      </w:r>
      <w:r>
        <w:rPr>
          <w:rFonts w:hint="eastAsia" w:ascii="宋体" w:hAnsi="宋体" w:cs="仿宋"/>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如乙方违反本合同第八条廉洁条款第二点，甲方有权全部扣除合同总额的10%，若此时合同总额已经全部支付或余款不足10%的，甲方有权根据此合同向乙方进一步追诉。</w:t>
      </w:r>
    </w:p>
    <w:p>
      <w:pPr>
        <w:tabs>
          <w:tab w:val="left" w:pos="0"/>
        </w:tabs>
        <w:spacing w:line="360" w:lineRule="auto"/>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3．付款前，乙方必须按照国家有关发票管理规定，向甲方提供</w:t>
      </w:r>
      <w:r>
        <w:rPr>
          <w:rFonts w:hint="eastAsia"/>
          <w:color w:val="000000" w:themeColor="text1"/>
          <w:sz w:val="22"/>
          <w:szCs w:val="28"/>
          <w14:textFill>
            <w14:solidFill>
              <w14:schemeClr w14:val="tx1"/>
            </w14:solidFill>
          </w14:textFill>
        </w:rPr>
        <w:t>增值税专用发票</w:t>
      </w:r>
      <w:r>
        <w:rPr>
          <w:rFonts w:hint="eastAsia"/>
          <w:color w:val="000000" w:themeColor="text1"/>
          <w:sz w:val="22"/>
          <w:szCs w:val="22"/>
          <w14:textFill>
            <w14:solidFill>
              <w14:schemeClr w14:val="tx1"/>
            </w14:solidFill>
          </w14:textFill>
        </w:rPr>
        <w:t>，由甲方审核无误后再支付货款，否则甲方有权拒绝或迟延支付货款，且不影响乙方履行本合同项下的义务，给甲方造成的损失由乙方承担。</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2"/>
          <w:szCs w:val="22"/>
          <w14:textFill>
            <w14:solidFill>
              <w14:schemeClr w14:val="tx1"/>
            </w14:solidFill>
          </w14:textFill>
        </w:rPr>
      </w:pPr>
      <w:r>
        <w:rPr>
          <w:rFonts w:hint="eastAsia" w:ascii="宋体" w:hAnsi="宋体" w:eastAsia="宋体" w:cs="宋体"/>
          <w:b/>
          <w:bCs w:val="0"/>
          <w:color w:val="000000" w:themeColor="text1"/>
          <w:sz w:val="22"/>
          <w:szCs w:val="22"/>
          <w14:textFill>
            <w14:solidFill>
              <w14:schemeClr w14:val="tx1"/>
            </w14:solidFill>
          </w14:textFill>
        </w:rPr>
        <w:t>四</w:t>
      </w:r>
      <w:r>
        <w:rPr>
          <w:rFonts w:ascii="宋体" w:hAnsi="宋体" w:eastAsia="宋体" w:cs="宋体"/>
          <w:b/>
          <w:bCs w:val="0"/>
          <w:color w:val="000000" w:themeColor="text1"/>
          <w:sz w:val="22"/>
          <w:szCs w:val="22"/>
          <w14:textFill>
            <w14:solidFill>
              <w14:schemeClr w14:val="tx1"/>
            </w14:solidFill>
          </w14:textFill>
        </w:rPr>
        <w:t>、</w:t>
      </w:r>
      <w:r>
        <w:rPr>
          <w:rFonts w:hint="eastAsia" w:ascii="宋体" w:hAnsi="宋体" w:eastAsia="宋体" w:cs="宋体"/>
          <w:b/>
          <w:bCs w:val="0"/>
          <w:color w:val="000000" w:themeColor="text1"/>
          <w:sz w:val="22"/>
          <w:szCs w:val="22"/>
          <w14:textFill>
            <w14:solidFill>
              <w14:schemeClr w14:val="tx1"/>
            </w14:solidFill>
          </w14:textFill>
        </w:rPr>
        <w:t>服务质量要求</w:t>
      </w:r>
    </w:p>
    <w:p>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1.乙方所提供服务的技术指标必须完全满足甲方在“</w:t>
      </w:r>
      <w:r>
        <w:rPr>
          <w:rFonts w:hint="eastAsia" w:ascii="宋体" w:hAnsi="宋体"/>
          <w:color w:val="000000" w:themeColor="text1"/>
          <w:sz w:val="22"/>
          <w:szCs w:val="22"/>
          <w:u w:val="single"/>
          <w14:textFill>
            <w14:solidFill>
              <w14:schemeClr w14:val="tx1"/>
            </w14:solidFill>
          </w14:textFill>
        </w:rPr>
        <w:t>2023年江苏有线客户服务满意度第三方测评项目</w:t>
      </w:r>
      <w:r>
        <w:rPr>
          <w:rFonts w:hint="eastAsia" w:ascii="宋体" w:hAnsi="宋体" w:cs="宋体"/>
          <w:color w:val="000000" w:themeColor="text1"/>
          <w:sz w:val="22"/>
          <w:szCs w:val="22"/>
          <w14:textFill>
            <w14:solidFill>
              <w14:schemeClr w14:val="tx1"/>
            </w14:solidFill>
          </w14:textFill>
        </w:rPr>
        <w:t>”竞争性谈判文件中提出的技术要求，乙方所提供服务必须完全遵守响应文件和谈判时做出的书面承诺。</w:t>
      </w:r>
    </w:p>
    <w:p>
      <w:pPr>
        <w:spacing w:line="360" w:lineRule="auto"/>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2.乙方须在合同签订之日后尽快启动满意度调研，按采购方要求进度完成满意度测评。</w:t>
      </w:r>
      <w:bookmarkEnd w:id="20"/>
      <w:bookmarkStart w:id="21" w:name="_Toc69378633"/>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每逾期一</w:t>
      </w:r>
      <w:r>
        <w:rPr>
          <w:rFonts w:hint="eastAsia" w:ascii="宋体" w:hAnsi="宋体"/>
          <w:color w:val="000000" w:themeColor="text1"/>
          <w:sz w:val="22"/>
          <w:szCs w:val="22"/>
          <w14:textFill>
            <w14:solidFill>
              <w14:schemeClr w14:val="tx1"/>
            </w14:solidFill>
          </w14:textFill>
        </w:rPr>
        <w:t>天</w:t>
      </w:r>
      <w:r>
        <w:rPr>
          <w:rFonts w:ascii="宋体" w:hAnsi="宋体"/>
          <w:color w:val="000000" w:themeColor="text1"/>
          <w:sz w:val="22"/>
          <w:szCs w:val="22"/>
          <w14:textFill>
            <w14:solidFill>
              <w14:schemeClr w14:val="tx1"/>
            </w14:solidFill>
          </w14:textFill>
        </w:rPr>
        <w:t>交</w:t>
      </w:r>
      <w:r>
        <w:rPr>
          <w:rFonts w:hint="eastAsia" w:ascii="宋体" w:hAnsi="宋体"/>
          <w:color w:val="000000" w:themeColor="text1"/>
          <w:sz w:val="22"/>
          <w:szCs w:val="22"/>
          <w14:textFill>
            <w14:solidFill>
              <w14:schemeClr w14:val="tx1"/>
            </w14:solidFill>
          </w14:textFill>
        </w:rPr>
        <w:t>付</w:t>
      </w:r>
      <w:r>
        <w:rPr>
          <w:rFonts w:ascii="宋体" w:hAnsi="宋体"/>
          <w:color w:val="000000" w:themeColor="text1"/>
          <w:sz w:val="22"/>
          <w:szCs w:val="22"/>
          <w14:textFill>
            <w14:solidFill>
              <w14:schemeClr w14:val="tx1"/>
            </w14:solidFill>
          </w14:textFill>
        </w:rPr>
        <w:t>（不足一</w:t>
      </w:r>
      <w:r>
        <w:rPr>
          <w:rFonts w:hint="eastAsia" w:ascii="宋体" w:hAnsi="宋体"/>
          <w:color w:val="000000" w:themeColor="text1"/>
          <w:sz w:val="22"/>
          <w:szCs w:val="22"/>
          <w14:textFill>
            <w14:solidFill>
              <w14:schemeClr w14:val="tx1"/>
            </w14:solidFill>
          </w14:textFill>
        </w:rPr>
        <w:t>天</w:t>
      </w:r>
      <w:r>
        <w:rPr>
          <w:rFonts w:ascii="宋体" w:hAnsi="宋体"/>
          <w:color w:val="000000" w:themeColor="text1"/>
          <w:sz w:val="22"/>
          <w:szCs w:val="22"/>
          <w14:textFill>
            <w14:solidFill>
              <w14:schemeClr w14:val="tx1"/>
            </w14:solidFill>
          </w14:textFill>
        </w:rPr>
        <w:t>按一</w:t>
      </w:r>
      <w:r>
        <w:rPr>
          <w:rFonts w:hint="eastAsia" w:ascii="宋体" w:hAnsi="宋体"/>
          <w:color w:val="000000" w:themeColor="text1"/>
          <w:sz w:val="22"/>
          <w:szCs w:val="22"/>
          <w14:textFill>
            <w14:solidFill>
              <w14:schemeClr w14:val="tx1"/>
            </w14:solidFill>
          </w14:textFill>
        </w:rPr>
        <w:t>天</w:t>
      </w:r>
      <w:r>
        <w:rPr>
          <w:rFonts w:ascii="宋体" w:hAnsi="宋体"/>
          <w:color w:val="000000" w:themeColor="text1"/>
          <w:sz w:val="22"/>
          <w:szCs w:val="22"/>
          <w14:textFill>
            <w14:solidFill>
              <w14:schemeClr w14:val="tx1"/>
            </w14:solidFill>
          </w14:textFill>
        </w:rPr>
        <w:t>计算），按</w:t>
      </w:r>
      <w:r>
        <w:rPr>
          <w:rFonts w:hint="eastAsia" w:ascii="宋体" w:hAnsi="宋体"/>
          <w:color w:val="000000" w:themeColor="text1"/>
          <w:sz w:val="22"/>
          <w:szCs w:val="22"/>
          <w14:textFill>
            <w14:solidFill>
              <w14:schemeClr w14:val="tx1"/>
            </w14:solidFill>
          </w14:textFill>
        </w:rPr>
        <w:t>合同</w:t>
      </w:r>
      <w:r>
        <w:rPr>
          <w:rFonts w:ascii="宋体" w:hAnsi="宋体"/>
          <w:color w:val="000000" w:themeColor="text1"/>
          <w:sz w:val="22"/>
          <w:szCs w:val="22"/>
          <w14:textFill>
            <w14:solidFill>
              <w14:schemeClr w14:val="tx1"/>
            </w14:solidFill>
          </w14:textFill>
        </w:rPr>
        <w:t>总价的5‰收取滞纳金，滞纳金从合同款中扣除。如逾期时间超过</w:t>
      </w:r>
      <w:r>
        <w:rPr>
          <w:rFonts w:hint="eastAsia" w:ascii="宋体" w:hAnsi="宋体"/>
          <w:color w:val="000000" w:themeColor="text1"/>
          <w:sz w:val="22"/>
          <w:szCs w:val="22"/>
          <w14:textFill>
            <w14:solidFill>
              <w14:schemeClr w14:val="tx1"/>
            </w14:solidFill>
          </w14:textFill>
        </w:rPr>
        <w:t>4</w:t>
      </w:r>
      <w:r>
        <w:rPr>
          <w:rFonts w:ascii="宋体" w:hAnsi="宋体"/>
          <w:color w:val="000000" w:themeColor="text1"/>
          <w:sz w:val="22"/>
          <w:szCs w:val="22"/>
          <w14:textFill>
            <w14:solidFill>
              <w14:schemeClr w14:val="tx1"/>
            </w14:solidFill>
          </w14:textFill>
        </w:rPr>
        <w:t>周仍未能交付，在不妨碍</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其他救济手段的情况下，</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可以向</w:t>
      </w:r>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发出书面违约通知从而全部或部分地终止合同，并向</w:t>
      </w:r>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索赔。</w:t>
      </w:r>
    </w:p>
    <w:p>
      <w:pPr>
        <w:spacing w:line="360" w:lineRule="auto"/>
        <w:rPr>
          <w:rFonts w:ascii="宋体" w:hAnsi="宋体"/>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乙方逾期</w:t>
      </w:r>
      <w:r>
        <w:rPr>
          <w:rFonts w:hint="eastAsia"/>
          <w:color w:val="000000" w:themeColor="text1"/>
          <w:sz w:val="22"/>
          <w:szCs w:val="22"/>
          <w14:textFill>
            <w14:solidFill>
              <w14:schemeClr w14:val="tx1"/>
            </w14:solidFill>
          </w14:textFill>
        </w:rPr>
        <w:t>交付</w:t>
      </w:r>
      <w:r>
        <w:rPr>
          <w:color w:val="000000" w:themeColor="text1"/>
          <w:sz w:val="22"/>
          <w:szCs w:val="22"/>
          <w14:textFill>
            <w14:solidFill>
              <w14:schemeClr w14:val="tx1"/>
            </w14:solidFill>
          </w14:textFill>
        </w:rPr>
        <w:t>，甲方接受的，不影响甲方追究乙方逾期</w:t>
      </w:r>
      <w:r>
        <w:rPr>
          <w:rFonts w:hint="eastAsia"/>
          <w:color w:val="000000" w:themeColor="text1"/>
          <w:sz w:val="22"/>
          <w:szCs w:val="22"/>
          <w14:textFill>
            <w14:solidFill>
              <w14:schemeClr w14:val="tx1"/>
            </w14:solidFill>
          </w14:textFill>
        </w:rPr>
        <w:t>交付</w:t>
      </w:r>
      <w:r>
        <w:rPr>
          <w:color w:val="000000" w:themeColor="text1"/>
          <w:sz w:val="22"/>
          <w:szCs w:val="22"/>
          <w14:textFill>
            <w14:solidFill>
              <w14:schemeClr w14:val="tx1"/>
            </w14:solidFill>
          </w14:textFill>
        </w:rPr>
        <w:t>的违约责任。</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2"/>
          <w:szCs w:val="22"/>
          <w14:textFill>
            <w14:solidFill>
              <w14:schemeClr w14:val="tx1"/>
            </w14:solidFill>
          </w14:textFill>
        </w:rPr>
      </w:pPr>
      <w:bookmarkStart w:id="22" w:name="_Toc47617116"/>
      <w:r>
        <w:rPr>
          <w:rFonts w:hint="eastAsia" w:ascii="宋体" w:hAnsi="宋体" w:eastAsia="宋体"/>
          <w:b/>
          <w:color w:val="000000" w:themeColor="text1"/>
          <w:kern w:val="2"/>
          <w:sz w:val="22"/>
          <w:szCs w:val="22"/>
          <w14:textFill>
            <w14:solidFill>
              <w14:schemeClr w14:val="tx1"/>
            </w14:solidFill>
          </w14:textFill>
        </w:rPr>
        <w:t>五</w:t>
      </w:r>
      <w:r>
        <w:rPr>
          <w:rFonts w:ascii="宋体" w:hAnsi="宋体" w:eastAsia="宋体"/>
          <w:b/>
          <w:color w:val="000000" w:themeColor="text1"/>
          <w:kern w:val="2"/>
          <w:sz w:val="22"/>
          <w:szCs w:val="22"/>
          <w14:textFill>
            <w14:solidFill>
              <w14:schemeClr w14:val="tx1"/>
            </w14:solidFill>
          </w14:textFill>
        </w:rPr>
        <w:t>、技术和资料的保密事项</w:t>
      </w:r>
      <w:bookmarkEnd w:id="22"/>
    </w:p>
    <w:p>
      <w:pPr>
        <w:spacing w:line="360" w:lineRule="auto"/>
        <w:rPr>
          <w:rFonts w:ascii="宋体" w:hAnsi="宋体" w:cs="宋体"/>
          <w:color w:val="000000" w:themeColor="text1"/>
          <w:sz w:val="22"/>
          <w:szCs w:val="22"/>
          <w14:textFill>
            <w14:solidFill>
              <w14:schemeClr w14:val="tx1"/>
            </w14:solidFill>
          </w14:textFill>
        </w:rPr>
      </w:pPr>
      <w:bookmarkStart w:id="23" w:name="_Toc72326304"/>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本合同所述保密信息指：a、本合同及与本合同相关的所有文件和信息；b、本合同一方(“信息披露方”)向本合同另一方(“信息接受方”)按照本合同(或就本合同)所提供的各类技术和商业信息、技术规格、图纸、文件、信息及专有技术。保密信息被视为信息披露方的专有财产。</w:t>
      </w:r>
    </w:p>
    <w:p>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除本合同授权实施的行为外，信息接受方应将信息披露方提供的保密信息作为商业秘密对待并予以保护，除非有信息披露方的书面许可或本合同另有规定，任何一方不得：(1)在任何时间向任何合同以外的第三方透露保密信息的任何部分。(2)双方进一步同意把以上信息交给任何人，(3)除非为履行本合同确有必要，对保密信息进行拷贝或抄写。</w:t>
      </w:r>
    </w:p>
    <w:p>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未经甲方的同意，乙方不得将基于本合同的执行所获悉甲方商业信息、客户信息等向任何第三方进行披露；未经乙方的同意，甲方不得将乙方提供的解决方案及相关信息披露给任何第三方或与第三方合作实施；</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2"/>
          <w:szCs w:val="22"/>
          <w14:textFill>
            <w14:solidFill>
              <w14:schemeClr w14:val="tx1"/>
            </w14:solidFill>
          </w14:textFill>
        </w:rPr>
      </w:pPr>
      <w:r>
        <w:rPr>
          <w:rFonts w:hint="eastAsia" w:ascii="宋体" w:hAnsi="宋体" w:eastAsia="宋体"/>
          <w:b/>
          <w:color w:val="000000" w:themeColor="text1"/>
          <w:kern w:val="2"/>
          <w:sz w:val="22"/>
          <w:szCs w:val="22"/>
          <w14:textFill>
            <w14:solidFill>
              <w14:schemeClr w14:val="tx1"/>
            </w14:solidFill>
          </w14:textFill>
        </w:rPr>
        <w:t>六、</w:t>
      </w:r>
      <w:bookmarkEnd w:id="23"/>
      <w:bookmarkStart w:id="24" w:name="_Toc72326305"/>
      <w:r>
        <w:rPr>
          <w:rFonts w:hint="eastAsia" w:ascii="宋体" w:hAnsi="宋体" w:eastAsia="宋体"/>
          <w:b/>
          <w:color w:val="000000" w:themeColor="text1"/>
          <w:kern w:val="2"/>
          <w:sz w:val="22"/>
          <w:szCs w:val="22"/>
          <w14:textFill>
            <w14:solidFill>
              <w14:schemeClr w14:val="tx1"/>
            </w14:solidFill>
          </w14:textFill>
        </w:rPr>
        <w:t>双方责任</w:t>
      </w:r>
      <w:bookmarkEnd w:id="24"/>
    </w:p>
    <w:p>
      <w:pPr>
        <w:spacing w:line="360" w:lineRule="auto"/>
        <w:rPr>
          <w:rFonts w:ascii="宋体" w:hAnsi="宋体" w:cs="宋体"/>
          <w:color w:val="000000" w:themeColor="text1"/>
          <w:sz w:val="22"/>
          <w:szCs w:val="22"/>
          <w14:textFill>
            <w14:solidFill>
              <w14:schemeClr w14:val="tx1"/>
            </w14:solidFill>
          </w14:textFill>
        </w:rPr>
      </w:pPr>
      <w:bookmarkStart w:id="25" w:name="_Toc72326306"/>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若因特殊原因（如甲方系统割接、故障等）导致乙方部分评估数据与实际数据存在较大偏差，无实际参考、分析意义时，甲方可向乙方提出重新测试、分析要求，乙方需于10个工作日内反馈意见。</w:t>
      </w:r>
    </w:p>
    <w:p>
      <w:pPr>
        <w:spacing w:line="360" w:lineRule="auto"/>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若甲方对乙方分析、拨测相关数据存在质疑时，乙方需于15个工作日内将相关分析说明以书面形式反馈甲方。</w:t>
      </w:r>
    </w:p>
    <w:p>
      <w:pPr>
        <w:spacing w:line="360" w:lineRule="auto"/>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乙方需配合甲方做好统计、分析用相关数据保密工作，不得将相关数据泄露给甲方竞争对手。</w:t>
      </w:r>
    </w:p>
    <w:p>
      <w:pPr>
        <w:spacing w:line="360" w:lineRule="auto"/>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4.</w:t>
      </w:r>
      <w:r>
        <w:rPr>
          <w:rFonts w:hint="eastAsia" w:ascii="宋体" w:hAnsi="宋体" w:cs="宋体"/>
          <w:color w:val="000000" w:themeColor="text1"/>
          <w:sz w:val="22"/>
          <w:szCs w:val="22"/>
          <w14:textFill>
            <w14:solidFill>
              <w14:schemeClr w14:val="tx1"/>
            </w14:solidFill>
          </w14:textFill>
        </w:rPr>
        <w:t>甲方不得随意篡改乙方评估、分析、拨测结果并在相关渠道进行发布。</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2"/>
          <w:szCs w:val="22"/>
          <w14:textFill>
            <w14:solidFill>
              <w14:schemeClr w14:val="tx1"/>
            </w14:solidFill>
          </w14:textFill>
        </w:rPr>
      </w:pPr>
      <w:r>
        <w:rPr>
          <w:rFonts w:hint="eastAsia" w:ascii="宋体" w:hAnsi="宋体" w:eastAsia="宋体"/>
          <w:b/>
          <w:color w:val="000000" w:themeColor="text1"/>
          <w:kern w:val="2"/>
          <w:sz w:val="22"/>
          <w:szCs w:val="22"/>
          <w14:textFill>
            <w14:solidFill>
              <w14:schemeClr w14:val="tx1"/>
            </w14:solidFill>
          </w14:textFill>
        </w:rPr>
        <w:t>七、违约责任</w:t>
      </w:r>
      <w:bookmarkEnd w:id="25"/>
    </w:p>
    <w:p>
      <w:pPr>
        <w:numPr>
          <w:ilvl w:val="0"/>
          <w:numId w:val="6"/>
        </w:numPr>
        <w:adjustRightInd w:val="0"/>
        <w:snapToGrid w:val="0"/>
        <w:spacing w:line="360" w:lineRule="auto"/>
        <w:ind w:left="0" w:firstLine="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乙方承担本合同约定事项的违约责任，且不因设备或软件是由第三方制造或开发设计等因素而受到影响。</w:t>
      </w:r>
    </w:p>
    <w:p>
      <w:pPr>
        <w:numPr>
          <w:ilvl w:val="0"/>
          <w:numId w:val="6"/>
        </w:numPr>
        <w:tabs>
          <w:tab w:val="left" w:pos="0"/>
          <w:tab w:val="clear" w:pos="420"/>
        </w:tabs>
        <w:adjustRightInd w:val="0"/>
        <w:snapToGrid w:val="0"/>
        <w:spacing w:line="360" w:lineRule="auto"/>
        <w:ind w:left="0" w:firstLine="0"/>
        <w:rPr>
          <w:color w:val="000000" w:themeColor="text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由于乙方提供的服务不符合竞争性谈判文件及本合同第四条所规定的要求时，甲方有权终止合同，乙方应支付合同总额20%的违约金给甲方。</w:t>
      </w:r>
    </w:p>
    <w:p>
      <w:pPr>
        <w:numPr>
          <w:ilvl w:val="0"/>
          <w:numId w:val="6"/>
        </w:numPr>
        <w:tabs>
          <w:tab w:val="left" w:pos="0"/>
          <w:tab w:val="clear" w:pos="420"/>
        </w:tabs>
        <w:adjustRightInd w:val="0"/>
        <w:snapToGrid w:val="0"/>
        <w:spacing w:line="360" w:lineRule="auto"/>
        <w:ind w:left="0" w:firstLine="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乙方未按本合同约定提供合格的服务，甲方在行使上述权利的同时，有权向第三方寻求该服务，由此产生的费用由乙方承担。</w:t>
      </w:r>
    </w:p>
    <w:p>
      <w:pPr>
        <w:numPr>
          <w:ilvl w:val="0"/>
          <w:numId w:val="6"/>
        </w:numPr>
        <w:tabs>
          <w:tab w:val="left" w:pos="0"/>
          <w:tab w:val="clear" w:pos="420"/>
        </w:tabs>
        <w:adjustRightInd w:val="0"/>
        <w:snapToGrid w:val="0"/>
        <w:spacing w:line="360" w:lineRule="auto"/>
        <w:ind w:left="0" w:firstLine="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因乙方违约导致甲方终止合同的，乙方应将甲方已付的所有合同价款及利息退还甲方，此后，甲方将相关系统成果及资料退还乙方，并要求乙方承担本合同约定的违约责任，乙方应支付甲方合同总价款的20%作为违约金，同时赔偿因此给甲方造成的全部损失。</w:t>
      </w:r>
    </w:p>
    <w:p>
      <w:pPr>
        <w:numPr>
          <w:ilvl w:val="0"/>
          <w:numId w:val="6"/>
        </w:numPr>
        <w:tabs>
          <w:tab w:val="left" w:pos="0"/>
          <w:tab w:val="clear" w:pos="420"/>
        </w:tabs>
        <w:adjustRightInd w:val="0"/>
        <w:snapToGrid w:val="0"/>
        <w:spacing w:line="360" w:lineRule="auto"/>
        <w:ind w:left="0" w:firstLine="0"/>
        <w:rPr>
          <w:rFonts w:ascii="宋体" w:hAnsi="宋体"/>
          <w:color w:val="000000" w:themeColor="text1"/>
          <w:sz w:val="22"/>
          <w:szCs w:val="22"/>
          <w14:textFill>
            <w14:solidFill>
              <w14:schemeClr w14:val="tx1"/>
            </w14:solidFill>
          </w14:textFill>
        </w:rPr>
      </w:pPr>
      <w:bookmarkStart w:id="26" w:name="_Hlk74819798"/>
      <w:r>
        <w:rPr>
          <w:rFonts w:hint="eastAsia" w:ascii="宋体" w:hAnsi="宋体"/>
          <w:color w:val="000000" w:themeColor="text1"/>
          <w:sz w:val="22"/>
          <w:szCs w:val="22"/>
          <w14:textFill>
            <w14:solidFill>
              <w14:schemeClr w14:val="tx1"/>
            </w14:solidFill>
          </w14:textFill>
        </w:rPr>
        <w:t>乙方将本项目转让给他人的，将本项目肢解后分别转让给他人的，违反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26"/>
      <w:r>
        <w:rPr>
          <w:rFonts w:hint="eastAsia" w:ascii="宋体" w:hAnsi="宋体"/>
          <w:color w:val="000000" w:themeColor="text1"/>
          <w:sz w:val="22"/>
          <w:szCs w:val="22"/>
          <w14:textFill>
            <w14:solidFill>
              <w14:schemeClr w14:val="tx1"/>
            </w14:solidFill>
          </w14:textFill>
        </w:rPr>
        <w:t>。</w:t>
      </w:r>
    </w:p>
    <w:p>
      <w:pPr>
        <w:numPr>
          <w:ilvl w:val="0"/>
          <w:numId w:val="6"/>
        </w:numPr>
        <w:tabs>
          <w:tab w:val="left" w:pos="0"/>
          <w:tab w:val="clear" w:pos="420"/>
        </w:tabs>
        <w:adjustRightInd w:val="0"/>
        <w:snapToGrid w:val="0"/>
        <w:spacing w:line="360" w:lineRule="auto"/>
        <w:ind w:left="0" w:firstLine="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由于乙方的原因导致甲方业务数据错误或业务数据丢失，给甲方造成损失的，乙方应赔偿甲方因此遭受的直接损失，如出现一次业务数据错误或业务数据丢失，甲方有权开据处罚单给乙方，并直接扣除合同总额1%作为违约金。</w:t>
      </w:r>
    </w:p>
    <w:p>
      <w:pPr>
        <w:numPr>
          <w:ilvl w:val="0"/>
          <w:numId w:val="6"/>
        </w:numPr>
        <w:tabs>
          <w:tab w:val="left" w:pos="0"/>
          <w:tab w:val="clear" w:pos="420"/>
        </w:tabs>
        <w:adjustRightInd w:val="0"/>
        <w:snapToGrid w:val="0"/>
        <w:spacing w:line="360" w:lineRule="auto"/>
        <w:ind w:left="0" w:firstLine="0"/>
        <w:rPr>
          <w:color w:val="000000" w:themeColor="text1"/>
          <w14:textFill>
            <w14:solidFill>
              <w14:schemeClr w14:val="tx1"/>
            </w14:solidFill>
          </w14:textFill>
        </w:rPr>
      </w:pPr>
      <w:r>
        <w:rPr>
          <w:color w:val="000000" w:themeColor="text1"/>
          <w:szCs w:val="21"/>
          <w14:textFill>
            <w14:solidFill>
              <w14:schemeClr w14:val="tx1"/>
            </w14:solidFill>
          </w14:textFill>
        </w:rPr>
        <w:t>在合同期内，如因乙方原因造成甲方其他经济损失的，乙方须承担赔偿损失的责任。</w:t>
      </w:r>
    </w:p>
    <w:p>
      <w:pPr>
        <w:numPr>
          <w:ilvl w:val="0"/>
          <w:numId w:val="6"/>
        </w:numPr>
        <w:tabs>
          <w:tab w:val="left" w:pos="0"/>
          <w:tab w:val="clear" w:pos="420"/>
        </w:tabs>
        <w:adjustRightInd w:val="0"/>
        <w:snapToGrid w:val="0"/>
        <w:spacing w:line="360" w:lineRule="auto"/>
        <w:ind w:left="0" w:firstLine="0"/>
        <w:rPr>
          <w:color w:val="000000" w:themeColor="text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如果在甲方发出索赔通知后20日内，乙方未作书面答复，视为乙方接受索赔要求，乙方应当立即支付赔偿金。</w:t>
      </w:r>
    </w:p>
    <w:p>
      <w:pPr>
        <w:numPr>
          <w:ilvl w:val="0"/>
          <w:numId w:val="6"/>
        </w:numPr>
        <w:tabs>
          <w:tab w:val="left" w:pos="0"/>
          <w:tab w:val="clear" w:pos="420"/>
        </w:tabs>
        <w:adjustRightInd w:val="0"/>
        <w:snapToGrid w:val="0"/>
        <w:spacing w:line="360" w:lineRule="auto"/>
        <w:ind w:left="0" w:firstLine="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27" w:name="_Hlk100846870"/>
      <w:r>
        <w:rPr>
          <w:rFonts w:hint="eastAsia" w:ascii="宋体" w:hAnsi="宋体"/>
          <w:color w:val="000000" w:themeColor="text1"/>
          <w:sz w:val="22"/>
          <w:szCs w:val="22"/>
          <w14:textFill>
            <w14:solidFill>
              <w14:schemeClr w14:val="tx1"/>
            </w14:solidFill>
          </w14:textFill>
        </w:rPr>
        <w:t>；且乙方对甲方赔偿金的支付已被认为足额补偿采购人的全部损失</w:t>
      </w:r>
      <w:bookmarkEnd w:id="27"/>
      <w:r>
        <w:rPr>
          <w:rFonts w:hint="eastAsia" w:ascii="宋体" w:hAnsi="宋体"/>
          <w:color w:val="000000" w:themeColor="text1"/>
          <w:sz w:val="22"/>
          <w:szCs w:val="22"/>
          <w14:textFill>
            <w14:solidFill>
              <w14:schemeClr w14:val="tx1"/>
            </w14:solidFill>
          </w14:textFill>
        </w:rPr>
        <w:t>。</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2"/>
          <w:szCs w:val="22"/>
          <w14:textFill>
            <w14:solidFill>
              <w14:schemeClr w14:val="tx1"/>
            </w14:solidFill>
          </w14:textFill>
        </w:rPr>
      </w:pPr>
      <w:bookmarkStart w:id="28" w:name="_Toc72326307"/>
      <w:r>
        <w:rPr>
          <w:rFonts w:hint="eastAsia" w:ascii="宋体" w:hAnsi="宋体" w:eastAsia="宋体"/>
          <w:b/>
          <w:color w:val="000000" w:themeColor="text1"/>
          <w:kern w:val="2"/>
          <w:sz w:val="22"/>
          <w:szCs w:val="22"/>
          <w14:textFill>
            <w14:solidFill>
              <w14:schemeClr w14:val="tx1"/>
            </w14:solidFill>
          </w14:textFill>
        </w:rPr>
        <w:t>八、廉洁条款</w:t>
      </w:r>
      <w:bookmarkEnd w:id="28"/>
    </w:p>
    <w:p>
      <w:pPr>
        <w:numPr>
          <w:ilvl w:val="0"/>
          <w:numId w:val="7"/>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7"/>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2"/>
          <w:szCs w:val="22"/>
          <w14:textFill>
            <w14:solidFill>
              <w14:schemeClr w14:val="tx1"/>
            </w14:solidFill>
          </w14:textFill>
        </w:rPr>
      </w:pPr>
      <w:bookmarkStart w:id="29" w:name="_Toc72326308"/>
      <w:r>
        <w:rPr>
          <w:rFonts w:hint="eastAsia" w:ascii="宋体" w:hAnsi="宋体" w:eastAsia="宋体"/>
          <w:b/>
          <w:color w:val="000000" w:themeColor="text1"/>
          <w:kern w:val="2"/>
          <w:sz w:val="22"/>
          <w:szCs w:val="22"/>
          <w14:textFill>
            <w14:solidFill>
              <w14:schemeClr w14:val="tx1"/>
            </w14:solidFill>
          </w14:textFill>
        </w:rPr>
        <w:t>九、不可抗力</w:t>
      </w:r>
      <w:bookmarkEnd w:id="29"/>
    </w:p>
    <w:p>
      <w:pPr>
        <w:numPr>
          <w:ilvl w:val="0"/>
          <w:numId w:val="8"/>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当发生不可抗拒事故时，受影响一方应于</w:t>
      </w:r>
      <w:r>
        <w:rPr>
          <w:rFonts w:ascii="宋体" w:hAnsi="宋体"/>
          <w:color w:val="000000" w:themeColor="text1"/>
          <w:sz w:val="22"/>
          <w:szCs w:val="22"/>
          <w14:textFill>
            <w14:solidFill>
              <w14:schemeClr w14:val="tx1"/>
            </w14:solidFill>
          </w14:textFill>
        </w:rPr>
        <w:t>10</w:t>
      </w:r>
      <w:r>
        <w:rPr>
          <w:rFonts w:hint="eastAsia" w:ascii="宋体" w:hAnsi="宋体"/>
          <w:color w:val="000000" w:themeColor="text1"/>
          <w:sz w:val="22"/>
          <w:szCs w:val="22"/>
          <w14:textFill>
            <w14:solidFill>
              <w14:schemeClr w14:val="tx1"/>
            </w14:solidFill>
          </w14:textFill>
        </w:rPr>
        <w:t>日内以书面形式通知对方，以减轻可能给对方造成的损失，并应当在合理期限内提供公证机构出具的有效证明文件证明。</w:t>
      </w:r>
    </w:p>
    <w:p>
      <w:pPr>
        <w:numPr>
          <w:ilvl w:val="0"/>
          <w:numId w:val="8"/>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当不可抗力事故终止后，受影响一方应以书面形式通知对方，双方商定合同是否继续履行。</w:t>
      </w:r>
    </w:p>
    <w:p>
      <w:pPr>
        <w:numPr>
          <w:ilvl w:val="0"/>
          <w:numId w:val="8"/>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发生不可抗力情况，双方互不追究或承担违约责任。但有违约因素的除外。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2"/>
          <w:szCs w:val="22"/>
          <w14:textFill>
            <w14:solidFill>
              <w14:schemeClr w14:val="tx1"/>
            </w14:solidFill>
          </w14:textFill>
        </w:rPr>
      </w:pPr>
      <w:bookmarkStart w:id="30" w:name="_Toc72326309"/>
      <w:r>
        <w:rPr>
          <w:rFonts w:hint="eastAsia" w:ascii="宋体" w:hAnsi="宋体" w:eastAsia="宋体"/>
          <w:b/>
          <w:color w:val="000000" w:themeColor="text1"/>
          <w:kern w:val="2"/>
          <w:sz w:val="22"/>
          <w:szCs w:val="22"/>
          <w14:textFill>
            <w14:solidFill>
              <w14:schemeClr w14:val="tx1"/>
            </w14:solidFill>
          </w14:textFill>
        </w:rPr>
        <w:t>十、解决纠纷的方式</w:t>
      </w:r>
      <w:bookmarkEnd w:id="30"/>
    </w:p>
    <w:p>
      <w:pPr>
        <w:numPr>
          <w:ilvl w:val="0"/>
          <w:numId w:val="9"/>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凡由执行本合同引起或与合同有关的争议，均应通过友好协商解决；协商不成的，由甲方所在地有管辖权的人民法院裁决。</w:t>
      </w:r>
    </w:p>
    <w:p>
      <w:pPr>
        <w:numPr>
          <w:ilvl w:val="0"/>
          <w:numId w:val="9"/>
        </w:num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除争议事项待处理外，双方应继续执行合同无争议部分，除非无争议部分不可单独履行。</w:t>
      </w:r>
    </w:p>
    <w:p>
      <w:pPr>
        <w:numPr>
          <w:ilvl w:val="0"/>
          <w:numId w:val="9"/>
        </w:num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2"/>
          <w:szCs w:val="22"/>
          <w14:textFill>
            <w14:solidFill>
              <w14:schemeClr w14:val="tx1"/>
            </w14:solidFill>
          </w14:textFill>
        </w:rPr>
      </w:pPr>
      <w:bookmarkStart w:id="31" w:name="_Toc72326310"/>
      <w:r>
        <w:rPr>
          <w:rFonts w:hint="eastAsia" w:ascii="宋体" w:hAnsi="宋体" w:eastAsia="宋体"/>
          <w:b/>
          <w:color w:val="000000" w:themeColor="text1"/>
          <w:kern w:val="2"/>
          <w:sz w:val="22"/>
          <w:szCs w:val="22"/>
          <w14:textFill>
            <w14:solidFill>
              <w14:schemeClr w14:val="tx1"/>
            </w14:solidFill>
          </w14:textFill>
        </w:rPr>
        <w:t>十一、合同生效及其他</w:t>
      </w:r>
      <w:bookmarkEnd w:id="31"/>
    </w:p>
    <w:p>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合同的生效期：本合同一式四份（甲乙双方各二份），每份均具有同等法律效力，自甲乙双方盖章</w:t>
      </w:r>
      <w:r>
        <w:rPr>
          <w:rFonts w:hint="eastAsia" w:ascii="宋体" w:hAnsi="宋体"/>
          <w:color w:val="000000" w:themeColor="text1"/>
          <w:szCs w:val="21"/>
          <w14:textFill>
            <w14:solidFill>
              <w14:schemeClr w14:val="tx1"/>
            </w14:solidFill>
          </w14:textFill>
        </w:rPr>
        <w:t>之日起</w:t>
      </w:r>
      <w:r>
        <w:rPr>
          <w:rFonts w:hint="eastAsia" w:ascii="宋体" w:hAnsi="宋体"/>
          <w:color w:val="000000" w:themeColor="text1"/>
          <w:sz w:val="22"/>
          <w:szCs w:val="22"/>
          <w14:textFill>
            <w14:solidFill>
              <w14:schemeClr w14:val="tx1"/>
            </w14:solidFill>
          </w14:textFill>
        </w:rPr>
        <w:t>生效。</w:t>
      </w:r>
    </w:p>
    <w:p>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本合同所有附件为本合同不可分割的组成部分，与合同正文有同等的法律效力：</w:t>
      </w:r>
    </w:p>
    <w:p>
      <w:p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（1）甲方的竞争性谈判文件、乙方的响应文件、乙方的</w:t>
      </w:r>
      <w:r>
        <w:rPr>
          <w:rFonts w:ascii="宋体" w:hAnsi="宋体"/>
          <w:color w:val="000000" w:themeColor="text1"/>
          <w:sz w:val="22"/>
          <w:szCs w:val="22"/>
          <w14:textFill>
            <w14:solidFill>
              <w14:schemeClr w14:val="tx1"/>
            </w14:solidFill>
          </w14:textFill>
        </w:rPr>
        <w:t>报价</w:t>
      </w:r>
      <w:r>
        <w:rPr>
          <w:rFonts w:hint="eastAsia" w:ascii="宋体" w:hAnsi="宋体"/>
          <w:color w:val="000000" w:themeColor="text1"/>
          <w:sz w:val="22"/>
          <w:szCs w:val="22"/>
          <w14:textFill>
            <w14:solidFill>
              <w14:schemeClr w14:val="tx1"/>
            </w14:solidFill>
          </w14:textFill>
        </w:rPr>
        <w:t>表、谈判时乙方做出的书面承诺及其它补充修改的部分；</w:t>
      </w:r>
    </w:p>
    <w:p>
      <w:p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（2）在执行本合同期间，甲乙双方的所有通知均应采用书面的方式。</w:t>
      </w:r>
    </w:p>
    <w:p>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本合同与上述文件如对相同内容有不同约定，且约定内容有冲突的，除另有特别约定外，依下列原则处理：</w:t>
      </w:r>
    </w:p>
    <w:p>
      <w:p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（1）合同条款优先于竞争性谈判文件和响应文件条款；</w:t>
      </w:r>
    </w:p>
    <w:p>
      <w:p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（2）在后文件的效力优先于在先文件的效力。</w:t>
      </w:r>
    </w:p>
    <w:p>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甲乙双方对合同条款的理解有争议时，应当按照合同的有关条款、合同的目的、交易习惯以及诚实信用原则，确定该条款的真实含义。</w:t>
      </w:r>
    </w:p>
    <w:p>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对本合同的任何修改和增补，以双方另行签订的补充协议为准。</w:t>
      </w:r>
    </w:p>
    <w:p>
      <w:pPr>
        <w:numPr>
          <w:ilvl w:val="0"/>
          <w:numId w:val="10"/>
        </w:numPr>
        <w:tabs>
          <w:tab w:val="left" w:pos="0"/>
          <w:tab w:val="clear" w:pos="420"/>
        </w:tabs>
        <w:adjustRightInd w:val="0"/>
        <w:snapToGrid w:val="0"/>
        <w:spacing w:line="360" w:lineRule="auto"/>
        <w:ind w:left="0" w:firstLine="0"/>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甲乙双方对本合同中产品的具体价格和交易方式有保密的责任，未经对方的书面许可，任何一方不得向第三方透露。</w:t>
      </w:r>
    </w:p>
    <w:p>
      <w:pPr>
        <w:numPr>
          <w:ilvl w:val="0"/>
          <w:numId w:val="10"/>
        </w:numPr>
        <w:adjustRightInd w:val="0"/>
        <w:snapToGrid w:val="0"/>
        <w:spacing w:line="360" w:lineRule="auto"/>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color w:val="000000" w:themeColor="text1"/>
          <w:kern w:val="2"/>
          <w:sz w:val="22"/>
          <w:szCs w:val="22"/>
          <w14:textFill>
            <w14:solidFill>
              <w14:schemeClr w14:val="tx1"/>
            </w14:solidFill>
          </w14:textFill>
        </w:rPr>
      </w:pPr>
      <w:bookmarkStart w:id="32" w:name="_Toc72326311"/>
      <w:r>
        <w:rPr>
          <w:rFonts w:hint="eastAsia" w:ascii="宋体" w:hAnsi="宋体" w:eastAsia="宋体"/>
          <w:b/>
          <w:color w:val="000000" w:themeColor="text1"/>
          <w:kern w:val="2"/>
          <w:sz w:val="22"/>
          <w:szCs w:val="22"/>
          <w14:textFill>
            <w14:solidFill>
              <w14:schemeClr w14:val="tx1"/>
            </w14:solidFill>
          </w14:textFill>
        </w:rPr>
        <w:t>十二、附件列表</w:t>
      </w:r>
      <w:bookmarkEnd w:id="32"/>
    </w:p>
    <w:p>
      <w:pPr>
        <w:adjustRightInd w:val="0"/>
        <w:snapToGrid w:val="0"/>
        <w:spacing w:line="360" w:lineRule="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附件一：价格表</w:t>
      </w:r>
    </w:p>
    <w:p>
      <w:pPr>
        <w:adjustRightInd w:val="0"/>
        <w:snapToGrid w:val="0"/>
        <w:spacing w:line="360" w:lineRule="auto"/>
        <w:ind w:left="220" w:hanging="220" w:hangingChars="10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附件二：技术需求书</w:t>
      </w:r>
    </w:p>
    <w:p>
      <w:pPr>
        <w:adjustRightInd w:val="0"/>
        <w:snapToGrid w:val="0"/>
        <w:spacing w:line="360" w:lineRule="auto"/>
        <w:ind w:left="221" w:hanging="221" w:hangingChars="100"/>
        <w:jc w:val="left"/>
        <w:rPr>
          <w:rFonts w:ascii="宋体" w:hAnsi="宋体" w:cs="宋体"/>
          <w:b/>
          <w:bCs/>
          <w:color w:val="000000" w:themeColor="text1"/>
          <w:sz w:val="22"/>
          <w:szCs w:val="28"/>
          <w14:textFill>
            <w14:solidFill>
              <w14:schemeClr w14:val="tx1"/>
            </w14:solidFill>
          </w14:textFill>
        </w:rPr>
      </w:pPr>
    </w:p>
    <w:p>
      <w:pPr>
        <w:adjustRightInd w:val="0"/>
        <w:snapToGrid w:val="0"/>
        <w:spacing w:line="360" w:lineRule="auto"/>
        <w:ind w:left="221" w:hanging="221" w:hangingChars="100"/>
        <w:jc w:val="left"/>
        <w:rPr>
          <w:rFonts w:ascii="宋体" w:hAnsi="宋体" w:cs="宋体"/>
          <w:b/>
          <w:bCs/>
          <w:color w:val="000000" w:themeColor="text1"/>
          <w:sz w:val="22"/>
          <w:szCs w:val="28"/>
          <w14:textFill>
            <w14:solidFill>
              <w14:schemeClr w14:val="tx1"/>
            </w14:solidFill>
          </w14:textFill>
        </w:rPr>
      </w:pPr>
      <w:r>
        <w:rPr>
          <w:rFonts w:hint="eastAsia" w:ascii="宋体" w:hAnsi="宋体" w:cs="宋体"/>
          <w:b/>
          <w:bCs/>
          <w:color w:val="000000" w:themeColor="text1"/>
          <w:sz w:val="22"/>
          <w:szCs w:val="28"/>
          <w14:textFill>
            <w14:solidFill>
              <w14:schemeClr w14:val="tx1"/>
            </w14:solidFill>
          </w14:textFill>
        </w:rPr>
        <w:t xml:space="preserve"> </w:t>
      </w:r>
    </w:p>
    <w:p>
      <w:pPr>
        <w:adjustRightInd w:val="0"/>
        <w:snapToGrid w:val="0"/>
        <w:spacing w:line="360" w:lineRule="auto"/>
        <w:ind w:left="220" w:hanging="220" w:hangingChars="100"/>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甲方</w:t>
      </w:r>
      <w:r>
        <w:rPr>
          <w:color w:val="000000" w:themeColor="text1"/>
          <w:sz w:val="22"/>
          <w:szCs w:val="22"/>
          <w14:textFill>
            <w14:solidFill>
              <w14:schemeClr w14:val="tx1"/>
            </w14:solidFill>
          </w14:textFill>
        </w:rPr>
        <w:t>：</w:t>
      </w:r>
      <w:r>
        <w:rPr>
          <w:color w:val="000000" w:themeColor="text1"/>
          <w:sz w:val="22"/>
          <w:szCs w:val="22"/>
          <w:u w:val="single"/>
          <w14:textFill>
            <w14:solidFill>
              <w14:schemeClr w14:val="tx1"/>
            </w14:solidFill>
          </w14:textFill>
        </w:rPr>
        <w:t>江苏省广电有线信息网络股份有限公司</w:t>
      </w:r>
      <w:r>
        <w:rPr>
          <w:rFonts w:hint="eastAsia"/>
          <w:color w:val="000000" w:themeColor="text1"/>
          <w:sz w:val="22"/>
          <w:szCs w:val="22"/>
          <w14:textFill>
            <w14:solidFill>
              <w14:schemeClr w14:val="tx1"/>
            </w14:solidFill>
          </w14:textFill>
        </w:rPr>
        <w:t xml:space="preserve"> 乙方</w:t>
      </w:r>
      <w:r>
        <w:rPr>
          <w:color w:val="000000" w:themeColor="text1"/>
          <w:sz w:val="22"/>
          <w:szCs w:val="22"/>
          <w14:textFill>
            <w14:solidFill>
              <w14:schemeClr w14:val="tx1"/>
            </w14:solidFill>
          </w14:textFill>
        </w:rPr>
        <w:t>：</w:t>
      </w:r>
      <w:r>
        <w:rPr>
          <w:color w:val="000000" w:themeColor="text1"/>
          <w:sz w:val="22"/>
          <w:szCs w:val="22"/>
          <w:u w:val="single"/>
          <w14:textFill>
            <w14:solidFill>
              <w14:schemeClr w14:val="tx1"/>
            </w14:solidFill>
          </w14:textFill>
        </w:rPr>
        <w:t xml:space="preserve">                       公司</w:t>
      </w:r>
    </w:p>
    <w:p>
      <w:pPr>
        <w:adjustRightInd w:val="0"/>
        <w:snapToGrid w:val="0"/>
        <w:spacing w:line="36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（盖章）_________________________          （盖章）_______________________</w:t>
      </w:r>
    </w:p>
    <w:p>
      <w:pPr>
        <w:adjustRightInd w:val="0"/>
        <w:snapToGrid w:val="0"/>
        <w:spacing w:line="360" w:lineRule="auto"/>
        <w:ind w:firstLine="110" w:firstLineChars="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地址：___________________                  地址：____________________</w:t>
      </w:r>
    </w:p>
    <w:p>
      <w:pPr>
        <w:adjustRightInd w:val="0"/>
        <w:snapToGrid w:val="0"/>
        <w:spacing w:line="360" w:lineRule="auto"/>
        <w:ind w:firstLine="110" w:firstLineChars="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电话：</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 xml:space="preserve">                 电话：___________________</w:t>
      </w:r>
    </w:p>
    <w:p>
      <w:pPr>
        <w:adjustRightInd w:val="0"/>
        <w:snapToGrid w:val="0"/>
        <w:spacing w:line="360" w:lineRule="auto"/>
        <w:ind w:firstLine="110" w:firstLineChars="50"/>
        <w:rPr>
          <w:color w:val="000000" w:themeColor="text1"/>
          <w:sz w:val="22"/>
          <w:szCs w:val="22"/>
          <w:u w:val="single"/>
          <w14:textFill>
            <w14:solidFill>
              <w14:schemeClr w14:val="tx1"/>
            </w14:solidFill>
          </w14:textFill>
        </w:rPr>
      </w:pPr>
      <w:r>
        <w:rPr>
          <w:color w:val="000000" w:themeColor="text1"/>
          <w:sz w:val="22"/>
          <w:szCs w:val="22"/>
          <w14:textFill>
            <w14:solidFill>
              <w14:schemeClr w14:val="tx1"/>
            </w14:solidFill>
          </w14:textFill>
        </w:rPr>
        <w:t>开户银行：</w:t>
      </w:r>
      <w:r>
        <w:rPr>
          <w:rFonts w:hint="eastAsia"/>
          <w:color w:val="000000" w:themeColor="text1"/>
          <w:sz w:val="22"/>
          <w:szCs w:val="22"/>
          <w14:textFill>
            <w14:solidFill>
              <w14:schemeClr w14:val="tx1"/>
            </w14:solidFill>
          </w14:textFill>
        </w:rPr>
        <w:t xml:space="preserve"> </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 xml:space="preserve">              开户银行：___________________</w:t>
      </w:r>
    </w:p>
    <w:p>
      <w:pPr>
        <w:adjustRightInd w:val="0"/>
        <w:snapToGrid w:val="0"/>
        <w:spacing w:line="360" w:lineRule="auto"/>
        <w:ind w:firstLine="110" w:firstLineChars="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银行账号：</w:t>
      </w:r>
      <w:r>
        <w:rPr>
          <w:color w:val="000000" w:themeColor="text1"/>
          <w:sz w:val="22"/>
          <w:szCs w:val="22"/>
          <w:u w:val="single"/>
          <w14:textFill>
            <w14:solidFill>
              <w14:schemeClr w14:val="tx1"/>
            </w14:solidFill>
          </w14:textFill>
        </w:rPr>
        <w:t xml:space="preserve">                      </w:t>
      </w:r>
      <w:r>
        <w:rPr>
          <w:color w:val="000000" w:themeColor="text1"/>
          <w:sz w:val="22"/>
          <w:szCs w:val="22"/>
          <w14:textFill>
            <w14:solidFill>
              <w14:schemeClr w14:val="tx1"/>
            </w14:solidFill>
          </w14:textFill>
        </w:rPr>
        <w:t xml:space="preserve">           银行账号：___________________</w:t>
      </w:r>
    </w:p>
    <w:p>
      <w:pPr>
        <w:spacing w:line="300" w:lineRule="auto"/>
        <w:ind w:firstLine="5280" w:firstLineChars="2400"/>
        <w:rPr>
          <w:color w:val="000000" w:themeColor="text1"/>
          <w:sz w:val="22"/>
          <w:szCs w:val="22"/>
          <w14:textFill>
            <w14:solidFill>
              <w14:schemeClr w14:val="tx1"/>
            </w14:solidFill>
          </w14:textFill>
        </w:rPr>
      </w:pPr>
    </w:p>
    <w:p>
      <w:pPr>
        <w:spacing w:line="300" w:lineRule="auto"/>
        <w:ind w:firstLine="5280" w:firstLineChars="24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签订日期：</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年</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月</w:t>
      </w:r>
      <w:r>
        <w:rPr>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日</w:t>
      </w:r>
      <w:bookmarkEnd w:id="21"/>
    </w:p>
    <w:p>
      <w:pPr>
        <w:spacing w:line="300" w:lineRule="auto"/>
        <w:ind w:firstLine="5280" w:firstLineChars="24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33" w:name="_Toc69378637"/>
      <w:r>
        <w:rPr>
          <w:rFonts w:hint="eastAsia"/>
          <w:b/>
          <w:color w:val="000000" w:themeColor="text1"/>
          <w:sz w:val="36"/>
          <w:szCs w:val="36"/>
          <w14:textFill>
            <w14:solidFill>
              <w14:schemeClr w14:val="tx1"/>
            </w14:solidFill>
          </w14:textFill>
        </w:rPr>
        <w:t>第五章 技术需求书</w:t>
      </w:r>
      <w:bookmarkEnd w:id="33"/>
    </w:p>
    <w:p>
      <w:pPr>
        <w:pStyle w:val="89"/>
        <w:spacing w:line="360" w:lineRule="auto"/>
        <w:ind w:left="425" w:firstLine="0" w:firstLineChars="0"/>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技术需求书中</w:t>
      </w:r>
      <w:r>
        <w:rPr>
          <w:rFonts w:ascii="宋体" w:hAnsi="宋体"/>
          <w:color w:val="000000" w:themeColor="text1"/>
          <w:sz w:val="24"/>
          <w:szCs w:val="24"/>
          <w14:textFill>
            <w14:solidFill>
              <w14:schemeClr w14:val="tx1"/>
            </w14:solidFill>
          </w14:textFill>
        </w:rPr>
        <w:t>带“</w:t>
      </w:r>
      <w:r>
        <w:rPr>
          <w:rFonts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部分为必须保证满足要求的条款。</w:t>
      </w:r>
    </w:p>
    <w:bookmarkEnd w:id="13"/>
    <w:bookmarkEnd w:id="14"/>
    <w:bookmarkEnd w:id="15"/>
    <w:p>
      <w:pPr>
        <w:spacing w:line="360" w:lineRule="auto"/>
        <w:ind w:firstLine="482" w:firstLineChars="200"/>
        <w:outlineLvl w:val="1"/>
        <w:rPr>
          <w:rFonts w:ascii="宋体" w:hAnsi="宋体"/>
          <w:b/>
          <w:color w:val="000000" w:themeColor="text1"/>
          <w:sz w:val="24"/>
          <w14:textFill>
            <w14:solidFill>
              <w14:schemeClr w14:val="tx1"/>
            </w14:solidFill>
          </w14:textFill>
        </w:rPr>
      </w:pPr>
      <w:bookmarkStart w:id="34" w:name="_Toc512356033"/>
      <w:bookmarkStart w:id="35" w:name="_Toc454971823"/>
      <w:bookmarkStart w:id="36" w:name="_Toc69378657"/>
      <w:bookmarkStart w:id="37" w:name="_Toc502914229"/>
      <w:r>
        <w:rPr>
          <w:rFonts w:hint="eastAsia" w:ascii="宋体" w:hAnsi="宋体"/>
          <w:b/>
          <w:color w:val="000000" w:themeColor="text1"/>
          <w:sz w:val="24"/>
          <w14:textFill>
            <w14:solidFill>
              <w14:schemeClr w14:val="tx1"/>
            </w14:solidFill>
          </w14:textFill>
        </w:rPr>
        <w:t>一</w:t>
      </w:r>
      <w:r>
        <w:rPr>
          <w:rFonts w:ascii="宋体" w:hAnsi="宋体"/>
          <w:b/>
          <w:color w:val="000000" w:themeColor="text1"/>
          <w:sz w:val="24"/>
          <w14:textFill>
            <w14:solidFill>
              <w14:schemeClr w14:val="tx1"/>
            </w14:solidFill>
          </w14:textFill>
        </w:rPr>
        <w:t>、项目</w:t>
      </w:r>
      <w:r>
        <w:rPr>
          <w:rFonts w:hint="eastAsia" w:ascii="宋体" w:hAnsi="宋体"/>
          <w:b/>
          <w:color w:val="000000" w:themeColor="text1"/>
          <w:sz w:val="24"/>
          <w14:textFill>
            <w14:solidFill>
              <w14:schemeClr w14:val="tx1"/>
            </w14:solidFill>
          </w14:textFill>
        </w:rPr>
        <w:t>总体要求</w:t>
      </w:r>
    </w:p>
    <w:p>
      <w:pPr>
        <w:spacing w:line="360" w:lineRule="auto"/>
        <w:ind w:firstLine="480" w:firstLineChars="200"/>
        <w:rPr>
          <w:color w:val="000000" w:themeColor="text1"/>
          <w:sz w:val="24"/>
          <w14:textFill>
            <w14:solidFill>
              <w14:schemeClr w14:val="tx1"/>
            </w14:solidFill>
          </w14:textFill>
        </w:rPr>
      </w:pPr>
      <w:bookmarkStart w:id="38" w:name="_Hlk530059459"/>
      <w:r>
        <w:rPr>
          <w:rFonts w:hint="eastAsia"/>
          <w:color w:val="000000" w:themeColor="text1"/>
          <w:sz w:val="24"/>
          <w14:textFill>
            <w14:solidFill>
              <w14:schemeClr w14:val="tx1"/>
            </w14:solidFill>
          </w14:textFill>
        </w:rPr>
        <w:t>根据《中华人民共和国电信条例》和信息产业部《电信服务质量用户满意指数评价制度》等相关规定,按电信服务质量用户满意度指数（TCSI）测评方法进行用户满意度测评。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测试按规定时间进行评测，评测后提交满意度测评报告。</w:t>
      </w:r>
    </w:p>
    <w:bookmarkEnd w:id="38"/>
    <w:p>
      <w:pPr>
        <w:spacing w:line="360" w:lineRule="auto"/>
        <w:ind w:firstLine="482" w:firstLineChars="200"/>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二、技术要求</w:t>
      </w:r>
      <w:bookmarkEnd w:id="34"/>
      <w:bookmarkEnd w:id="35"/>
    </w:p>
    <w:p>
      <w:pPr>
        <w:spacing w:line="360" w:lineRule="auto"/>
        <w:ind w:firstLine="480" w:firstLineChars="200"/>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1、测评包含三块业务：有线电视业务、宽带业务、5</w:t>
      </w:r>
      <w:r>
        <w:rPr>
          <w:color w:val="000000" w:themeColor="text1"/>
          <w:sz w:val="24"/>
          <w14:textFill>
            <w14:solidFill>
              <w14:schemeClr w14:val="tx1"/>
            </w14:solidFill>
          </w14:textFill>
        </w:rPr>
        <w:t>G</w:t>
      </w:r>
      <w:r>
        <w:rPr>
          <w:rFonts w:hint="eastAsia"/>
          <w:color w:val="000000" w:themeColor="text1"/>
          <w:sz w:val="24"/>
          <w14:textFill>
            <w14:solidFill>
              <w14:schemeClr w14:val="tx1"/>
            </w14:solidFill>
          </w14:textFill>
        </w:rPr>
        <w:t>业务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2、开展方式:CATI电话调查</w:t>
      </w:r>
    </w:p>
    <w:p>
      <w:pPr>
        <w:spacing w:line="360" w:lineRule="auto"/>
        <w:ind w:firstLine="480" w:firstLineChars="20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、有线电视业务、宽带业务、</w:t>
      </w:r>
      <w:r>
        <w:rPr>
          <w:rFonts w:ascii="宋体" w:hAnsi="宋体" w:cs="宋体"/>
          <w:color w:val="000000" w:themeColor="text1"/>
          <w:sz w:val="24"/>
          <w14:textFill>
            <w14:solidFill>
              <w14:schemeClr w14:val="tx1"/>
            </w14:solidFill>
          </w14:textFill>
        </w:rPr>
        <w:t>5G业务</w:t>
      </w:r>
      <w:r>
        <w:rPr>
          <w:rFonts w:hint="eastAsia" w:ascii="宋体" w:hAnsi="宋体" w:cs="宋体"/>
          <w:color w:val="000000" w:themeColor="text1"/>
          <w:sz w:val="24"/>
          <w14:textFill>
            <w14:solidFill>
              <w14:schemeClr w14:val="tx1"/>
            </w14:solidFill>
          </w14:textFill>
        </w:rPr>
        <w:t>三个业务每个业务每个地市（江苏1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个设区市）各1</w:t>
      </w:r>
      <w:r>
        <w:rPr>
          <w:rFonts w:ascii="宋体" w:hAnsi="宋体" w:cs="宋体"/>
          <w:color w:val="000000" w:themeColor="text1"/>
          <w:sz w:val="24"/>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个样本，测评共计3</w:t>
      </w:r>
      <w:r>
        <w:rPr>
          <w:rFonts w:ascii="宋体" w:hAnsi="宋体" w:cs="宋体"/>
          <w:color w:val="000000" w:themeColor="text1"/>
          <w:sz w:val="24"/>
          <w14:textFill>
            <w14:solidFill>
              <w14:schemeClr w14:val="tx1"/>
            </w14:solidFill>
          </w14:textFill>
        </w:rPr>
        <w:t>900</w:t>
      </w:r>
      <w:r>
        <w:rPr>
          <w:rFonts w:hint="eastAsia" w:ascii="宋体" w:hAnsi="宋体" w:cs="宋体"/>
          <w:color w:val="000000" w:themeColor="text1"/>
          <w:sz w:val="24"/>
          <w14:textFill>
            <w14:solidFill>
              <w14:schemeClr w14:val="tx1"/>
            </w14:solidFill>
          </w14:textFill>
        </w:rPr>
        <w:t>个样本，即每个设区市</w:t>
      </w:r>
      <w:r>
        <w:rPr>
          <w:rFonts w:ascii="宋体" w:hAnsi="宋体" w:cs="宋体"/>
          <w:color w:val="000000" w:themeColor="text1"/>
          <w:sz w:val="24"/>
          <w14:textFill>
            <w14:solidFill>
              <w14:schemeClr w14:val="tx1"/>
            </w14:solidFill>
          </w14:textFill>
        </w:rPr>
        <w:t>300</w:t>
      </w:r>
      <w:r>
        <w:rPr>
          <w:rFonts w:hint="eastAsia" w:ascii="宋体" w:hAnsi="宋体" w:cs="宋体"/>
          <w:color w:val="000000" w:themeColor="text1"/>
          <w:sz w:val="24"/>
          <w14:textFill>
            <w14:solidFill>
              <w14:schemeClr w14:val="tx1"/>
            </w14:solidFill>
          </w14:textFill>
        </w:rPr>
        <w:t>个样本，如客户未完成全部测评则作为废弃样本，废弃样本不计入测评打分内。样本抽取原则为年度缴费的活跃用户数据，用户数据由采购方提供，</w:t>
      </w:r>
      <w:r>
        <w:rPr>
          <w:rFonts w:ascii="宋体" w:hAnsi="宋体" w:cs="宋体"/>
          <w:color w:val="000000" w:themeColor="text1"/>
          <w:sz w:val="24"/>
          <w14:textFill>
            <w14:solidFill>
              <w14:schemeClr w14:val="tx1"/>
            </w14:solidFill>
          </w14:textFill>
        </w:rPr>
        <w:t>按问卷回收情况，每个地区</w:t>
      </w:r>
      <w:r>
        <w:rPr>
          <w:rFonts w:hint="eastAsia" w:ascii="宋体" w:hAnsi="宋体" w:cs="宋体"/>
          <w:color w:val="000000" w:themeColor="text1"/>
          <w:sz w:val="24"/>
          <w14:textFill>
            <w14:solidFill>
              <w14:schemeClr w14:val="tx1"/>
            </w14:solidFill>
          </w14:textFill>
        </w:rPr>
        <w:t>有效样本</w:t>
      </w:r>
      <w:r>
        <w:rPr>
          <w:rFonts w:ascii="宋体" w:hAnsi="宋体" w:cs="宋体"/>
          <w:color w:val="000000" w:themeColor="text1"/>
          <w:sz w:val="24"/>
          <w14:textFill>
            <w14:solidFill>
              <w14:schemeClr w14:val="tx1"/>
            </w14:solidFill>
          </w14:textFill>
        </w:rPr>
        <w:t>收满为止</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、满意度加权与计算：采用组合权重。综合满意度得分=有线电视业务得分</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有线电视业务权重（4</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）+宽带业务得分</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宽带业务权重（</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G</w:t>
      </w:r>
      <w:r>
        <w:rPr>
          <w:rFonts w:hint="eastAsia"/>
          <w:color w:val="000000" w:themeColor="text1"/>
          <w:sz w:val="24"/>
          <w14:textFill>
            <w14:solidFill>
              <w14:schemeClr w14:val="tx1"/>
            </w14:solidFill>
          </w14:textFill>
        </w:rPr>
        <w:t>业务得分</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G</w:t>
      </w:r>
      <w:r>
        <w:rPr>
          <w:rFonts w:hint="eastAsia"/>
          <w:color w:val="000000" w:themeColor="text1"/>
          <w:sz w:val="24"/>
          <w14:textFill>
            <w14:solidFill>
              <w14:schemeClr w14:val="tx1"/>
            </w14:solidFill>
          </w14:textFill>
        </w:rPr>
        <w:t>业务权重（</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、测评模型：</w:t>
      </w:r>
    </w:p>
    <w:p>
      <w:pPr>
        <w:ind w:left="64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（1）有线电视业务测评模型</w:t>
      </w:r>
    </w:p>
    <w:tbl>
      <w:tblPr>
        <w:tblStyle w:val="53"/>
        <w:tblW w:w="7197" w:type="dxa"/>
        <w:jc w:val="center"/>
        <w:tblLayout w:type="autofit"/>
        <w:tblCellMar>
          <w:top w:w="0" w:type="dxa"/>
          <w:left w:w="108" w:type="dxa"/>
          <w:bottom w:w="0" w:type="dxa"/>
          <w:right w:w="108" w:type="dxa"/>
        </w:tblCellMar>
      </w:tblPr>
      <w:tblGrid>
        <w:gridCol w:w="2399"/>
        <w:gridCol w:w="2399"/>
        <w:gridCol w:w="2399"/>
      </w:tblGrid>
      <w:tr>
        <w:tblPrEx>
          <w:tblCellMar>
            <w:top w:w="0" w:type="dxa"/>
            <w:left w:w="108" w:type="dxa"/>
            <w:bottom w:w="0" w:type="dxa"/>
            <w:right w:w="108" w:type="dxa"/>
          </w:tblCellMar>
        </w:tblPrEx>
        <w:trPr>
          <w:trHeight w:val="332"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14:textFill>
                  <w14:solidFill>
                    <w14:schemeClr w14:val="tx1"/>
                  </w14:solidFill>
                </w14:textFill>
              </w:rPr>
              <w:t>一级指标</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14:textFill>
                  <w14:solidFill>
                    <w14:schemeClr w14:val="tx1"/>
                  </w14:solidFill>
                </w14:textFill>
              </w:rPr>
              <w:t>二级指标</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14:textFill>
                  <w14:solidFill>
                    <w14:schemeClr w14:val="tx1"/>
                  </w14:solidFill>
                </w14:textFill>
              </w:rPr>
              <w:t>三级指标</w:t>
            </w:r>
          </w:p>
        </w:tc>
      </w:tr>
      <w:tr>
        <w:tblPrEx>
          <w:tblCellMar>
            <w:top w:w="0" w:type="dxa"/>
            <w:left w:w="108" w:type="dxa"/>
            <w:bottom w:w="0" w:type="dxa"/>
            <w:right w:w="108" w:type="dxa"/>
          </w:tblCellMar>
        </w:tblPrEx>
        <w:trPr>
          <w:trHeight w:val="318" w:hRule="atLeast"/>
          <w:jc w:val="center"/>
        </w:trPr>
        <w:tc>
          <w:tcPr>
            <w:tcW w:w="23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r>
      <w:tr>
        <w:tblPrEx>
          <w:tblCellMar>
            <w:top w:w="0" w:type="dxa"/>
            <w:left w:w="108" w:type="dxa"/>
            <w:bottom w:w="0" w:type="dxa"/>
            <w:right w:w="108" w:type="dxa"/>
          </w:tblCellMar>
        </w:tblPrEx>
        <w:trPr>
          <w:trHeight w:val="318" w:hRule="atLeast"/>
          <w:jc w:val="center"/>
        </w:trPr>
        <w:tc>
          <w:tcPr>
            <w:tcW w:w="2399" w:type="dxa"/>
            <w:vMerge w:val="restart"/>
            <w:tcBorders>
              <w:top w:val="nil"/>
              <w:left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满意度</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总体感知</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总体感知</w:t>
            </w:r>
          </w:p>
        </w:tc>
      </w:tr>
      <w:tr>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网络质量</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频道收视质量</w:t>
            </w:r>
          </w:p>
        </w:tc>
      </w:tr>
      <w:tr>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营销宣传</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宣传推广</w:t>
            </w:r>
          </w:p>
        </w:tc>
      </w:tr>
      <w:tr>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业务规则</w:t>
            </w:r>
          </w:p>
        </w:tc>
      </w:tr>
      <w:tr>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明白消费</w:t>
            </w:r>
          </w:p>
        </w:tc>
      </w:tr>
      <w:tr>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服务质量</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渠道服务</w:t>
            </w:r>
          </w:p>
        </w:tc>
      </w:tr>
      <w:tr>
        <w:tblPrEx>
          <w:tblCellMar>
            <w:top w:w="0" w:type="dxa"/>
            <w:left w:w="108" w:type="dxa"/>
            <w:bottom w:w="0" w:type="dxa"/>
            <w:right w:w="108" w:type="dxa"/>
          </w:tblCellMar>
        </w:tblPrEx>
        <w:trPr>
          <w:trHeight w:val="318" w:hRule="atLeast"/>
          <w:jc w:val="center"/>
        </w:trPr>
        <w:tc>
          <w:tcPr>
            <w:tcW w:w="2399"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vMerge w:val="continue"/>
            <w:tcBorders>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装维服务</w:t>
            </w:r>
          </w:p>
        </w:tc>
      </w:tr>
      <w:tr>
        <w:tblPrEx>
          <w:tblCellMar>
            <w:top w:w="0" w:type="dxa"/>
            <w:left w:w="108" w:type="dxa"/>
            <w:bottom w:w="0" w:type="dxa"/>
            <w:right w:w="108" w:type="dxa"/>
          </w:tblCellMar>
        </w:tblPrEx>
        <w:trPr>
          <w:trHeight w:val="318" w:hRule="atLeast"/>
          <w:jc w:val="center"/>
        </w:trPr>
        <w:tc>
          <w:tcPr>
            <w:tcW w:w="23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r>
      <w:tr>
        <w:tblPrEx>
          <w:tblCellMar>
            <w:top w:w="0" w:type="dxa"/>
            <w:left w:w="108" w:type="dxa"/>
            <w:bottom w:w="0" w:type="dxa"/>
            <w:right w:w="108" w:type="dxa"/>
          </w:tblCellMar>
        </w:tblPrEx>
        <w:trPr>
          <w:trHeight w:val="318" w:hRule="atLeast"/>
          <w:jc w:val="center"/>
        </w:trPr>
        <w:tc>
          <w:tcPr>
            <w:tcW w:w="23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c>
          <w:tcPr>
            <w:tcW w:w="23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r>
    </w:tbl>
    <w:p>
      <w:pPr>
        <w:ind w:left="64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）宽带业务测评模型</w:t>
      </w:r>
    </w:p>
    <w:tbl>
      <w:tblPr>
        <w:tblStyle w:val="53"/>
        <w:tblW w:w="7152" w:type="dxa"/>
        <w:jc w:val="center"/>
        <w:tblLayout w:type="autofit"/>
        <w:tblCellMar>
          <w:top w:w="0" w:type="dxa"/>
          <w:left w:w="108" w:type="dxa"/>
          <w:bottom w:w="0" w:type="dxa"/>
          <w:right w:w="108" w:type="dxa"/>
        </w:tblCellMar>
      </w:tblPr>
      <w:tblGrid>
        <w:gridCol w:w="2384"/>
        <w:gridCol w:w="2384"/>
        <w:gridCol w:w="2384"/>
      </w:tblGrid>
      <w:tr>
        <w:tblPrEx>
          <w:tblCellMar>
            <w:top w:w="0" w:type="dxa"/>
            <w:left w:w="108" w:type="dxa"/>
            <w:bottom w:w="0" w:type="dxa"/>
            <w:right w:w="108" w:type="dxa"/>
          </w:tblCellMar>
        </w:tblPrEx>
        <w:trPr>
          <w:trHeight w:val="536" w:hRule="atLeast"/>
          <w:jc w:val="center"/>
        </w:trPr>
        <w:tc>
          <w:tcPr>
            <w:tcW w:w="23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一级指标</w:t>
            </w:r>
          </w:p>
        </w:tc>
        <w:tc>
          <w:tcPr>
            <w:tcW w:w="23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二级指标</w:t>
            </w:r>
          </w:p>
        </w:tc>
        <w:tc>
          <w:tcPr>
            <w:tcW w:w="23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三级指标</w:t>
            </w:r>
          </w:p>
        </w:tc>
      </w:tr>
      <w:tr>
        <w:tblPrEx>
          <w:tblCellMar>
            <w:top w:w="0" w:type="dxa"/>
            <w:left w:w="108" w:type="dxa"/>
            <w:bottom w:w="0" w:type="dxa"/>
            <w:right w:w="108" w:type="dxa"/>
          </w:tblCellMar>
        </w:tblPrEx>
        <w:trPr>
          <w:trHeight w:val="513" w:hRule="atLeast"/>
          <w:jc w:val="center"/>
        </w:trPr>
        <w:tc>
          <w:tcPr>
            <w:tcW w:w="23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r>
      <w:tr>
        <w:tblPrEx>
          <w:tblCellMar>
            <w:top w:w="0" w:type="dxa"/>
            <w:left w:w="108" w:type="dxa"/>
            <w:bottom w:w="0" w:type="dxa"/>
            <w:right w:w="108" w:type="dxa"/>
          </w:tblCellMar>
        </w:tblPrEx>
        <w:trPr>
          <w:trHeight w:val="513" w:hRule="atLeast"/>
          <w:jc w:val="center"/>
        </w:trPr>
        <w:tc>
          <w:tcPr>
            <w:tcW w:w="238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满意度</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总体感知</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总体感知</w:t>
            </w:r>
          </w:p>
        </w:tc>
      </w:tr>
      <w:tr>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网络质量</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上网质量</w:t>
            </w:r>
          </w:p>
        </w:tc>
      </w:tr>
      <w:tr>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营销宣传</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宣传推广</w:t>
            </w:r>
          </w:p>
        </w:tc>
      </w:tr>
      <w:tr>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业务规则</w:t>
            </w:r>
          </w:p>
        </w:tc>
      </w:tr>
      <w:tr>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明白消费</w:t>
            </w:r>
          </w:p>
        </w:tc>
      </w:tr>
      <w:tr>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服务质量</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渠道服务</w:t>
            </w:r>
          </w:p>
        </w:tc>
      </w:tr>
      <w:tr>
        <w:tblPrEx>
          <w:tblCellMar>
            <w:top w:w="0" w:type="dxa"/>
            <w:left w:w="108" w:type="dxa"/>
            <w:bottom w:w="0" w:type="dxa"/>
            <w:right w:w="108" w:type="dxa"/>
          </w:tblCellMar>
        </w:tblPrEx>
        <w:trPr>
          <w:trHeight w:val="513" w:hRule="atLeast"/>
          <w:jc w:val="center"/>
        </w:trPr>
        <w:tc>
          <w:tcPr>
            <w:tcW w:w="2384"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装维服务</w:t>
            </w:r>
          </w:p>
        </w:tc>
      </w:tr>
      <w:tr>
        <w:tblPrEx>
          <w:tblCellMar>
            <w:top w:w="0" w:type="dxa"/>
            <w:left w:w="108" w:type="dxa"/>
            <w:bottom w:w="0" w:type="dxa"/>
            <w:right w:w="108" w:type="dxa"/>
          </w:tblCellMar>
        </w:tblPrEx>
        <w:trPr>
          <w:trHeight w:val="513" w:hRule="atLeast"/>
          <w:jc w:val="center"/>
        </w:trPr>
        <w:tc>
          <w:tcPr>
            <w:tcW w:w="23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r>
      <w:tr>
        <w:tblPrEx>
          <w:tblCellMar>
            <w:top w:w="0" w:type="dxa"/>
            <w:left w:w="108" w:type="dxa"/>
            <w:bottom w:w="0" w:type="dxa"/>
            <w:right w:w="108" w:type="dxa"/>
          </w:tblCellMar>
        </w:tblPrEx>
        <w:trPr>
          <w:trHeight w:val="513" w:hRule="atLeast"/>
          <w:jc w:val="center"/>
        </w:trPr>
        <w:tc>
          <w:tcPr>
            <w:tcW w:w="23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c>
          <w:tcPr>
            <w:tcW w:w="23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r>
    </w:tbl>
    <w:p>
      <w:pPr>
        <w:ind w:left="64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w:t>
      </w:r>
      <w:r>
        <w:rPr>
          <w:rFonts w:asciiTheme="minorEastAsia" w:hAnsiTheme="minorEastAsia" w:eastAsiaTheme="minorEastAsia"/>
          <w:color w:val="000000" w:themeColor="text1"/>
          <w:sz w:val="24"/>
          <w14:textFill>
            <w14:solidFill>
              <w14:schemeClr w14:val="tx1"/>
            </w14:solidFill>
          </w14:textFill>
        </w:rPr>
        <w:t>G</w:t>
      </w:r>
      <w:r>
        <w:rPr>
          <w:rFonts w:hint="eastAsia" w:asciiTheme="minorEastAsia" w:hAnsiTheme="minorEastAsia" w:eastAsiaTheme="minorEastAsia"/>
          <w:color w:val="000000" w:themeColor="text1"/>
          <w:sz w:val="24"/>
          <w14:textFill>
            <w14:solidFill>
              <w14:schemeClr w14:val="tx1"/>
            </w14:solidFill>
          </w14:textFill>
        </w:rPr>
        <w:t>业务测评模型</w:t>
      </w:r>
    </w:p>
    <w:tbl>
      <w:tblPr>
        <w:tblStyle w:val="53"/>
        <w:tblW w:w="7225" w:type="dxa"/>
        <w:jc w:val="center"/>
        <w:tblLayout w:type="autofit"/>
        <w:tblCellMar>
          <w:top w:w="0" w:type="dxa"/>
          <w:left w:w="108" w:type="dxa"/>
          <w:bottom w:w="0" w:type="dxa"/>
          <w:right w:w="108" w:type="dxa"/>
        </w:tblCellMar>
      </w:tblPr>
      <w:tblGrid>
        <w:gridCol w:w="2464"/>
        <w:gridCol w:w="2464"/>
        <w:gridCol w:w="2297"/>
      </w:tblGrid>
      <w:tr>
        <w:tblPrEx>
          <w:tblCellMar>
            <w:top w:w="0" w:type="dxa"/>
            <w:left w:w="108" w:type="dxa"/>
            <w:bottom w:w="0" w:type="dxa"/>
            <w:right w:w="108" w:type="dxa"/>
          </w:tblCellMar>
        </w:tblPrEx>
        <w:trPr>
          <w:trHeight w:val="566"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一级指标</w:t>
            </w:r>
          </w:p>
        </w:tc>
        <w:tc>
          <w:tcPr>
            <w:tcW w:w="24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二级指标</w:t>
            </w:r>
          </w:p>
        </w:tc>
        <w:tc>
          <w:tcPr>
            <w:tcW w:w="22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三级指标</w:t>
            </w:r>
          </w:p>
        </w:tc>
      </w:tr>
      <w:tr>
        <w:tblPrEx>
          <w:tblCellMar>
            <w:top w:w="0" w:type="dxa"/>
            <w:left w:w="108" w:type="dxa"/>
            <w:bottom w:w="0" w:type="dxa"/>
            <w:right w:w="108" w:type="dxa"/>
          </w:tblCellMar>
        </w:tblPrEx>
        <w:trPr>
          <w:trHeight w:val="543" w:hRule="atLeast"/>
          <w:jc w:val="center"/>
        </w:trPr>
        <w:tc>
          <w:tcPr>
            <w:tcW w:w="24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c>
          <w:tcPr>
            <w:tcW w:w="246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预期质量</w:t>
            </w:r>
          </w:p>
        </w:tc>
      </w:tr>
      <w:tr>
        <w:tblPrEx>
          <w:tblCellMar>
            <w:top w:w="0" w:type="dxa"/>
            <w:left w:w="108" w:type="dxa"/>
            <w:bottom w:w="0" w:type="dxa"/>
            <w:right w:w="108" w:type="dxa"/>
          </w:tblCellMar>
        </w:tblPrEx>
        <w:trPr>
          <w:trHeight w:val="543" w:hRule="atLeast"/>
          <w:jc w:val="center"/>
        </w:trPr>
        <w:tc>
          <w:tcPr>
            <w:tcW w:w="2464"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满意度</w:t>
            </w:r>
          </w:p>
        </w:tc>
        <w:tc>
          <w:tcPr>
            <w:tcW w:w="246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总体感知</w:t>
            </w: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总体感知</w:t>
            </w:r>
          </w:p>
        </w:tc>
      </w:tr>
      <w:tr>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4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网络质量</w:t>
            </w: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语音质量</w:t>
            </w:r>
          </w:p>
        </w:tc>
      </w:tr>
      <w:tr>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464"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上网质量</w:t>
            </w:r>
          </w:p>
        </w:tc>
      </w:tr>
      <w:tr>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46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营销宣传</w:t>
            </w: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宣传推广</w:t>
            </w:r>
          </w:p>
        </w:tc>
      </w:tr>
      <w:tr>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46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业务规则</w:t>
            </w:r>
          </w:p>
        </w:tc>
      </w:tr>
      <w:tr>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46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明白消费</w:t>
            </w:r>
          </w:p>
        </w:tc>
      </w:tr>
      <w:tr>
        <w:tblPrEx>
          <w:tblCellMar>
            <w:top w:w="0" w:type="dxa"/>
            <w:left w:w="108" w:type="dxa"/>
            <w:bottom w:w="0" w:type="dxa"/>
            <w:right w:w="108" w:type="dxa"/>
          </w:tblCellMar>
        </w:tblPrEx>
        <w:trPr>
          <w:trHeight w:val="543" w:hRule="atLeast"/>
          <w:jc w:val="center"/>
        </w:trPr>
        <w:tc>
          <w:tcPr>
            <w:tcW w:w="246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2464"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服务质量</w:t>
            </w: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渠道服务</w:t>
            </w:r>
          </w:p>
        </w:tc>
      </w:tr>
      <w:tr>
        <w:tblPrEx>
          <w:tblCellMar>
            <w:top w:w="0" w:type="dxa"/>
            <w:left w:w="108" w:type="dxa"/>
            <w:bottom w:w="0" w:type="dxa"/>
            <w:right w:w="108" w:type="dxa"/>
          </w:tblCellMar>
        </w:tblPrEx>
        <w:trPr>
          <w:trHeight w:val="543"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c>
          <w:tcPr>
            <w:tcW w:w="24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投诉感知</w:t>
            </w:r>
          </w:p>
        </w:tc>
      </w:tr>
      <w:tr>
        <w:tblPrEx>
          <w:tblCellMar>
            <w:top w:w="0" w:type="dxa"/>
            <w:left w:w="108" w:type="dxa"/>
            <w:bottom w:w="0" w:type="dxa"/>
            <w:right w:w="108" w:type="dxa"/>
          </w:tblCellMar>
        </w:tblPrEx>
        <w:trPr>
          <w:trHeight w:val="543" w:hRule="atLeast"/>
          <w:jc w:val="center"/>
        </w:trPr>
        <w:tc>
          <w:tcPr>
            <w:tcW w:w="24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c>
          <w:tcPr>
            <w:tcW w:w="246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c>
          <w:tcPr>
            <w:tcW w:w="229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净推荐值</w:t>
            </w: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6、调查问卷：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满意度测评问卷由采购方制定并提供，每个样本问卷在1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个问题左右。中标方根据采购方提供问卷进行回访。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7、保密要求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对于采购方提供的客户数据进行保密，在客户服务过程中做到数据脱敏，对客户数据内容严格保密，对于测评结果不透露给其他公司。</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8、服务要求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中标方从事过通信网络基础用户满意度调研工作，可以提供规范的满意度测评结果报告。</w:t>
      </w:r>
    </w:p>
    <w:p>
      <w:pPr>
        <w:spacing w:line="360" w:lineRule="auto"/>
        <w:ind w:firstLine="482" w:firstLineChars="200"/>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三、实施要求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1、本次客户服务满意度测评为一次性完成，最迟完成时间为2</w:t>
      </w:r>
      <w:r>
        <w:rPr>
          <w:rFonts w:ascii="宋体" w:hAnsi="宋体" w:cs="宋体"/>
          <w:color w:val="000000" w:themeColor="text1"/>
          <w:sz w:val="24"/>
          <w14:textFill>
            <w14:solidFill>
              <w14:schemeClr w14:val="tx1"/>
            </w14:solidFill>
          </w14:textFill>
        </w:rPr>
        <w:t>023</w:t>
      </w:r>
      <w:r>
        <w:rPr>
          <w:rFonts w:hint="eastAsia" w:ascii="宋体" w:hAnsi="宋体" w:cs="宋体"/>
          <w:color w:val="000000" w:themeColor="text1"/>
          <w:sz w:val="24"/>
          <w14:textFill>
            <w14:solidFill>
              <w14:schemeClr w14:val="tx1"/>
            </w14:solidFill>
          </w14:textFill>
        </w:rPr>
        <w:t>年1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月底。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2、测评根据业务类型设置问卷问题，问题满意度打分按1至1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分打分，打分越高表示用户满意度越高。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3、中标方需提供满意度测评数据报告，报告主要分为1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份，即省公司加上十三家设区市分公司的满意度测评报告。</w:t>
      </w:r>
    </w:p>
    <w:p>
      <w:pPr>
        <w:rPr>
          <w:rFonts w:ascii="宋体" w:hAnsi="宋体"/>
          <w:b/>
          <w:color w:val="000000" w:themeColor="text1"/>
          <w:sz w:val="24"/>
          <w14:textFill>
            <w14:solidFill>
              <w14:schemeClr w14:val="tx1"/>
            </w14:solidFill>
          </w14:textFill>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3"/>
        <w:numPr>
          <w:ilvl w:val="0"/>
          <w:numId w:val="0"/>
        </w:numPr>
        <w:spacing w:line="360" w:lineRule="auto"/>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第六章 竞争性谈判响应文件格式</w:t>
      </w:r>
      <w:bookmarkEnd w:id="36"/>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bookmarkStart w:id="39" w:name="_Toc26259736"/>
      <w:r>
        <w:rPr>
          <w:rFonts w:hint="eastAsia" w:ascii="宋体" w:hAnsi="宋体"/>
          <w:color w:val="000000" w:themeColor="text1"/>
          <w:sz w:val="44"/>
          <w:szCs w:val="44"/>
          <w14:textFill>
            <w14:solidFill>
              <w14:schemeClr w14:val="tx1"/>
            </w14:solidFill>
          </w14:textFill>
        </w:rPr>
        <w:t>江苏省广电有线信息网络股份有限公司</w:t>
      </w:r>
    </w:p>
    <w:bookmarkEnd w:id="39"/>
    <w:p>
      <w:pPr>
        <w:spacing w:after="120" w:line="360" w:lineRule="auto"/>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2023年江苏有线客户服务满意度第三方测评项目采购</w:t>
      </w:r>
    </w:p>
    <w:p>
      <w:pPr>
        <w:rPr>
          <w:color w:val="000000" w:themeColor="text1"/>
          <w14:textFill>
            <w14:solidFill>
              <w14:schemeClr w14:val="tx1"/>
            </w14:solidFill>
          </w14:textFill>
        </w:rPr>
      </w:pPr>
    </w:p>
    <w:p>
      <w:pPr>
        <w:pStyle w:val="21"/>
        <w:kinsoku w:val="0"/>
        <w:overflowPunct w:val="0"/>
        <w:adjustRightInd w:val="0"/>
        <w:snapToGrid w:val="0"/>
        <w:spacing w:before="312" w:beforeLines="100" w:after="312" w:afterLines="100"/>
        <w:ind w:left="210" w:leftChars="100" w:right="210" w:rightChars="100" w:firstLine="400" w:firstLineChars="200"/>
        <w:jc w:val="left"/>
        <w:rPr>
          <w:color w:val="000000" w:themeColor="text1"/>
          <w:sz w:val="20"/>
          <w14:textFill>
            <w14:solidFill>
              <w14:schemeClr w14:val="tx1"/>
            </w14:solidFill>
          </w14:textFill>
        </w:rPr>
      </w:pPr>
    </w:p>
    <w:p>
      <w:pPr>
        <w:pStyle w:val="21"/>
        <w:adjustRightInd w:val="0"/>
        <w:snapToGrid w:val="0"/>
        <w:spacing w:before="312" w:beforeLines="100" w:after="312" w:afterLines="100"/>
        <w:ind w:left="210" w:leftChars="100" w:right="210" w:rightChars="100" w:firstLine="1440" w:firstLineChars="300"/>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竞争性谈判响应文件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themeColor="text1"/>
          <w:sz w:val="61"/>
          <w:szCs w:val="61"/>
          <w14:textFill>
            <w14:solidFill>
              <w14:schemeClr w14:val="tx1"/>
            </w14:solidFill>
          </w14:textFill>
        </w:rPr>
      </w:pPr>
    </w:p>
    <w:p>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供应商：（盖单位章）</w:t>
      </w:r>
    </w:p>
    <w:p>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color w:val="000000" w:themeColor="text1"/>
          <w14:textFill>
            <w14:solidFill>
              <w14:schemeClr w14:val="tx1"/>
            </w14:solidFill>
          </w14:textFill>
        </w:rPr>
      </w:pPr>
      <w:r>
        <w:rPr>
          <w:rFonts w:hint="eastAsia"/>
          <w:color w:val="000000" w:themeColor="text1"/>
          <w:szCs w:val="28"/>
          <w14:textFill>
            <w14:solidFill>
              <w14:schemeClr w14:val="tx1"/>
            </w14:solidFill>
          </w14:textFill>
        </w:rPr>
        <w:t>年</w:t>
      </w:r>
      <w:r>
        <w:rPr>
          <w:rFonts w:hint="eastAsia"/>
          <w:color w:val="000000" w:themeColor="text1"/>
          <w:spacing w:val="-3"/>
          <w:szCs w:val="28"/>
          <w14:textFill>
            <w14:solidFill>
              <w14:schemeClr w14:val="tx1"/>
            </w14:solidFill>
          </w14:textFill>
        </w:rPr>
        <w:t>月</w:t>
      </w:r>
      <w:r>
        <w:rPr>
          <w:rFonts w:hint="eastAsia"/>
          <w:color w:val="000000" w:themeColor="text1"/>
          <w:szCs w:val="28"/>
          <w14:textFill>
            <w14:solidFill>
              <w14:schemeClr w14:val="tx1"/>
            </w14:solidFill>
          </w14:textFill>
        </w:rPr>
        <w:t>日</w:t>
      </w:r>
      <w:r>
        <w:rPr>
          <w:rFonts w:ascii="Arial" w:hAnsi="Arial" w:eastAsia="黑体" w:cs="Arial"/>
          <w:color w:val="000000" w:themeColor="text1"/>
          <w14:textFill>
            <w14:solidFill>
              <w14:schemeClr w14:val="tx1"/>
            </w14:solidFill>
          </w14:textFill>
        </w:rPr>
        <w:br w:type="page"/>
      </w:r>
    </w:p>
    <w:p>
      <w:pPr>
        <w:pStyle w:val="4"/>
        <w:numPr>
          <w:ilvl w:val="0"/>
          <w:numId w:val="0"/>
        </w:numPr>
        <w:jc w:val="center"/>
        <w:rPr>
          <w:color w:val="000000" w:themeColor="text1"/>
          <w14:textFill>
            <w14:solidFill>
              <w14:schemeClr w14:val="tx1"/>
            </w14:solidFill>
          </w14:textFill>
        </w:rPr>
      </w:pPr>
      <w:bookmarkStart w:id="40" w:name="_Toc26260030"/>
      <w:bookmarkStart w:id="41" w:name="_Toc529538374"/>
      <w:bookmarkStart w:id="42" w:name="_Toc69378658"/>
      <w:bookmarkStart w:id="43" w:name="_Toc472689687"/>
      <w:bookmarkStart w:id="44" w:name="_Toc26259737"/>
      <w:bookmarkStart w:id="45" w:name="_Toc447265603"/>
      <w:bookmarkStart w:id="46" w:name="_Toc447265317"/>
      <w:bookmarkStart w:id="47" w:name="_Toc438052118"/>
      <w:r>
        <w:rPr>
          <w:rFonts w:hint="eastAsia"/>
          <w:color w:val="000000" w:themeColor="text1"/>
          <w14:textFill>
            <w14:solidFill>
              <w14:schemeClr w14:val="tx1"/>
            </w14:solidFill>
          </w14:textFill>
        </w:rPr>
        <w:t>评审索引表</w:t>
      </w:r>
      <w:bookmarkEnd w:id="40"/>
      <w:bookmarkEnd w:id="41"/>
      <w:bookmarkEnd w:id="42"/>
      <w:bookmarkEnd w:id="43"/>
      <w:bookmarkEnd w:id="44"/>
    </w:p>
    <w:p>
      <w:pPr>
        <w:spacing w:line="276"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color w:val="000000" w:themeColor="text1"/>
          <w:sz w:val="24"/>
          <w14:textFill>
            <w14:solidFill>
              <w14:schemeClr w14:val="tx1"/>
            </w14:solidFill>
          </w14:textFill>
        </w:rPr>
      </w:pPr>
      <w:bookmarkStart w:id="48" w:name="_Toc427071030"/>
      <w:bookmarkStart w:id="49" w:name="_Toc401133270"/>
      <w:bookmarkStart w:id="50" w:name="_Toc401216443"/>
      <w:bookmarkStart w:id="51" w:name="_Toc429954241"/>
      <w:bookmarkStart w:id="52" w:name="_Toc26260031"/>
      <w:bookmarkStart w:id="53" w:name="_Toc401151285"/>
      <w:bookmarkStart w:id="54" w:name="_Toc26259738"/>
      <w:bookmarkStart w:id="55" w:name="_Toc485737092"/>
      <w:bookmarkStart w:id="56" w:name="_Toc529538375"/>
    </w:p>
    <w:p>
      <w:pPr>
        <w:pStyle w:val="5"/>
        <w:spacing w:before="260" w:after="260" w:line="416" w:lineRule="auto"/>
        <w:jc w:val="center"/>
        <w:rPr>
          <w:rFonts w:ascii="宋体" w:hAnsi="宋体" w:eastAsia="宋体"/>
          <w:b/>
          <w:bCs/>
          <w:color w:val="000000" w:themeColor="text1"/>
          <w:sz w:val="22"/>
          <w:szCs w:val="28"/>
          <w14:textFill>
            <w14:solidFill>
              <w14:schemeClr w14:val="tx1"/>
            </w14:solidFill>
          </w14:textFill>
        </w:rPr>
      </w:pPr>
      <w:bookmarkStart w:id="57" w:name="_Toc69378659"/>
      <w:r>
        <w:rPr>
          <w:rFonts w:hint="eastAsia" w:ascii="宋体" w:hAnsi="宋体" w:eastAsia="宋体"/>
          <w:b/>
          <w:bCs/>
          <w:color w:val="000000" w:themeColor="text1"/>
          <w:sz w:val="22"/>
          <w:szCs w:val="28"/>
          <w14:textFill>
            <w14:solidFill>
              <w14:schemeClr w14:val="tx1"/>
            </w14:solidFill>
          </w14:textFill>
        </w:rPr>
        <w:t>初步</w:t>
      </w:r>
      <w:r>
        <w:rPr>
          <w:rFonts w:ascii="宋体" w:hAnsi="宋体" w:eastAsia="宋体"/>
          <w:b/>
          <w:bCs/>
          <w:color w:val="000000" w:themeColor="text1"/>
          <w:sz w:val="22"/>
          <w:szCs w:val="28"/>
          <w14:textFill>
            <w14:solidFill>
              <w14:schemeClr w14:val="tx1"/>
            </w14:solidFill>
          </w14:textFill>
        </w:rPr>
        <w:t>评审索引表</w:t>
      </w:r>
      <w:bookmarkEnd w:id="48"/>
      <w:bookmarkEnd w:id="49"/>
      <w:bookmarkEnd w:id="50"/>
      <w:bookmarkEnd w:id="51"/>
      <w:bookmarkEnd w:id="52"/>
      <w:bookmarkEnd w:id="53"/>
      <w:bookmarkEnd w:id="54"/>
      <w:bookmarkEnd w:id="55"/>
      <w:bookmarkEnd w:id="56"/>
      <w:bookmarkEnd w:id="57"/>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771"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eastAsia="zh-TW"/>
                <w14:textFill>
                  <w14:solidFill>
                    <w14:schemeClr w14:val="tx1"/>
                  </w14:solidFill>
                </w14:textFill>
              </w:rPr>
              <w:t>评审因素</w:t>
            </w:r>
          </w:p>
        </w:tc>
        <w:tc>
          <w:tcPr>
            <w:tcW w:w="650"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jc w:val="center"/>
              <w:rPr>
                <w:rFonts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771" w:type="pct"/>
            <w:vAlign w:val="center"/>
          </w:tcPr>
          <w:p>
            <w:pPr>
              <w:widowControl/>
              <w:spacing w:line="300" w:lineRule="auto"/>
              <w:jc w:val="left"/>
              <w:rPr>
                <w:rFonts w:ascii="宋体" w:hAnsi="宋体"/>
                <w:color w:val="000000" w:themeColor="text1"/>
                <w:kern w:val="0"/>
                <w:highlight w:val="yellow"/>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
        <w:spacing w:before="260" w:after="260" w:line="416" w:lineRule="auto"/>
        <w:jc w:val="center"/>
        <w:rPr>
          <w:rFonts w:ascii="宋体" w:hAnsi="宋体" w:eastAsia="宋体"/>
          <w:b/>
          <w:bCs/>
          <w:color w:val="000000" w:themeColor="text1"/>
          <w:sz w:val="22"/>
          <w:szCs w:val="28"/>
          <w14:textFill>
            <w14:solidFill>
              <w14:schemeClr w14:val="tx1"/>
            </w14:solidFill>
          </w14:textFill>
        </w:rPr>
      </w:pPr>
      <w:bookmarkStart w:id="58" w:name="_Toc26259739"/>
      <w:bookmarkStart w:id="59" w:name="_Toc26260032"/>
      <w:bookmarkStart w:id="60" w:name="_Toc69378660"/>
      <w:r>
        <w:rPr>
          <w:rFonts w:hint="eastAsia" w:ascii="宋体" w:hAnsi="宋体" w:eastAsia="宋体"/>
          <w:b/>
          <w:bCs/>
          <w:color w:val="000000" w:themeColor="text1"/>
          <w:sz w:val="22"/>
          <w:szCs w:val="28"/>
          <w14:textFill>
            <w14:solidFill>
              <w14:schemeClr w14:val="tx1"/>
            </w14:solidFill>
          </w14:textFill>
        </w:rPr>
        <w:t>详细</w:t>
      </w:r>
      <w:r>
        <w:rPr>
          <w:rFonts w:ascii="宋体" w:hAnsi="宋体" w:eastAsia="宋体"/>
          <w:b/>
          <w:bCs/>
          <w:color w:val="000000" w:themeColor="text1"/>
          <w:sz w:val="22"/>
          <w:szCs w:val="28"/>
          <w14:textFill>
            <w14:solidFill>
              <w14:schemeClr w14:val="tx1"/>
            </w14:solidFill>
          </w14:textFill>
        </w:rPr>
        <w:t>评审索引表</w:t>
      </w:r>
      <w:bookmarkEnd w:id="58"/>
      <w:bookmarkEnd w:id="59"/>
      <w:bookmarkEnd w:id="60"/>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评标项目</w:t>
            </w:r>
          </w:p>
        </w:tc>
        <w:tc>
          <w:tcPr>
            <w:tcW w:w="6778" w:type="dxa"/>
            <w:vAlign w:val="center"/>
          </w:tcPr>
          <w:p>
            <w:pPr>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1141" w:type="dxa"/>
            <w:vAlign w:val="center"/>
          </w:tcPr>
          <w:p>
            <w:pPr>
              <w:jc w:val="center"/>
              <w:rPr>
                <w:b/>
                <w:color w:val="000000" w:themeColor="text1"/>
                <w14:textFill>
                  <w14:solidFill>
                    <w14:schemeClr w14:val="tx1"/>
                  </w14:solidFill>
                </w14:textFill>
              </w:rPr>
            </w:pPr>
            <w:r>
              <w:rPr>
                <w:rFonts w:hint="eastAsia"/>
                <w:b/>
                <w:color w:val="000000" w:themeColor="text1"/>
                <w:kern w:val="0"/>
                <w:szCs w:val="21"/>
                <w14:textFill>
                  <w14:solidFill>
                    <w14:schemeClr w14:val="tx1"/>
                  </w14:solidFill>
                </w14:textFill>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11" w:type="dxa"/>
            <w:vAlign w:val="center"/>
          </w:tcPr>
          <w:p>
            <w:pPr>
              <w:widowControl/>
              <w:spacing w:line="300" w:lineRule="auto"/>
              <w:jc w:val="center"/>
              <w:rPr>
                <w:color w:val="000000" w:themeColor="text1"/>
                <w:kern w:val="0"/>
                <w:szCs w:val="21"/>
                <w14:textFill>
                  <w14:solidFill>
                    <w14:schemeClr w14:val="tx1"/>
                  </w14:solidFill>
                </w14:textFill>
              </w:rPr>
            </w:pPr>
          </w:p>
        </w:tc>
        <w:tc>
          <w:tcPr>
            <w:tcW w:w="6778" w:type="dxa"/>
          </w:tcPr>
          <w:p>
            <w:pPr>
              <w:widowControl/>
              <w:tabs>
                <w:tab w:val="left" w:pos="402"/>
              </w:tabs>
              <w:ind w:left="420"/>
              <w:rPr>
                <w:color w:val="000000" w:themeColor="text1"/>
                <w:kern w:val="0"/>
                <w:szCs w:val="21"/>
                <w14:textFill>
                  <w14:solidFill>
                    <w14:schemeClr w14:val="tx1"/>
                  </w14:solidFill>
                </w14:textFill>
              </w:rPr>
            </w:pPr>
          </w:p>
        </w:tc>
        <w:tc>
          <w:tcPr>
            <w:tcW w:w="1141" w:type="dxa"/>
          </w:tcPr>
          <w:p>
            <w:pPr>
              <w:widowControl/>
              <w:tabs>
                <w:tab w:val="left" w:pos="0"/>
                <w:tab w:val="left" w:pos="402"/>
              </w:tabs>
              <w:spacing w:line="300" w:lineRule="auto"/>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211"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211" w:type="dxa"/>
            <w:vAlign w:val="center"/>
          </w:tcPr>
          <w:p>
            <w:pPr>
              <w:jc w:val="center"/>
              <w:rPr>
                <w:rFonts w:ascii="宋体" w:hAnsi="宋体"/>
                <w:b/>
                <w:color w:val="000000" w:themeColor="text1"/>
                <w14:textFill>
                  <w14:solidFill>
                    <w14:schemeClr w14:val="tx1"/>
                  </w14:solidFill>
                </w14:textFill>
              </w:rPr>
            </w:pPr>
          </w:p>
        </w:tc>
        <w:tc>
          <w:tcPr>
            <w:tcW w:w="6778" w:type="dxa"/>
            <w:vAlign w:val="center"/>
          </w:tcPr>
          <w:p>
            <w:pPr>
              <w:widowControl/>
              <w:jc w:val="left"/>
              <w:rPr>
                <w:rFonts w:ascii="宋体" w:hAnsi="宋体"/>
                <w:color w:val="000000" w:themeColor="text1"/>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11" w:type="dxa"/>
            <w:vAlign w:val="center"/>
          </w:tcPr>
          <w:p>
            <w:pPr>
              <w:jc w:val="center"/>
              <w:rPr>
                <w:color w:val="000000" w:themeColor="text1"/>
                <w:kern w:val="0"/>
                <w:szCs w:val="21"/>
                <w:highlight w:val="yellow"/>
                <w14:textFill>
                  <w14:solidFill>
                    <w14:schemeClr w14:val="tx1"/>
                  </w14:solidFill>
                </w14:textFill>
              </w:rPr>
            </w:pPr>
          </w:p>
        </w:tc>
        <w:tc>
          <w:tcPr>
            <w:tcW w:w="6778" w:type="dxa"/>
          </w:tcPr>
          <w:p>
            <w:pPr>
              <w:widowControl/>
              <w:jc w:val="left"/>
              <w:rPr>
                <w:color w:val="000000" w:themeColor="text1"/>
                <w:kern w:val="0"/>
                <w:szCs w:val="21"/>
                <w:highlight w:val="yellow"/>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211"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211"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rPr>
                <w:rFonts w:eastAsia="仿宋_GB2312"/>
                <w:b/>
                <w:bCs/>
                <w:color w:val="000000" w:themeColor="text1"/>
                <w:kern w:val="0"/>
                <w:sz w:val="24"/>
                <w14:textFill>
                  <w14:solidFill>
                    <w14:schemeClr w14:val="tx1"/>
                  </w14:solidFill>
                </w14:textFill>
              </w:rPr>
            </w:pPr>
          </w:p>
        </w:tc>
        <w:tc>
          <w:tcPr>
            <w:tcW w:w="1141" w:type="dxa"/>
            <w:vAlign w:val="center"/>
          </w:tcPr>
          <w:p>
            <w:pPr>
              <w:widowControl/>
              <w:jc w:val="left"/>
              <w:rPr>
                <w:rFonts w:eastAsia="仿宋_GB2312"/>
                <w:b/>
                <w:bCs/>
                <w:color w:val="000000" w:themeColor="text1"/>
                <w:kern w:val="0"/>
                <w:sz w:val="24"/>
                <w14:textFill>
                  <w14:solidFill>
                    <w14:schemeClr w14:val="tx1"/>
                  </w14:solidFill>
                </w14:textFill>
              </w:rPr>
            </w:pPr>
          </w:p>
        </w:tc>
      </w:tr>
    </w:tbl>
    <w:p>
      <w:pPr>
        <w:pStyle w:val="6"/>
        <w:rPr>
          <w:color w:val="000000" w:themeColor="text1"/>
          <w14:textFill>
            <w14:solidFill>
              <w14:schemeClr w14:val="tx1"/>
            </w14:solidFill>
          </w14:textFill>
        </w:rPr>
      </w:pPr>
    </w:p>
    <w:bookmarkEnd w:id="45"/>
    <w:bookmarkEnd w:id="46"/>
    <w:bookmarkEnd w:id="47"/>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bookmarkStart w:id="61" w:name="_Toc135999006"/>
      <w:bookmarkStart w:id="62" w:name="_Toc161767428"/>
      <w:bookmarkStart w:id="63" w:name="_Toc26260033"/>
      <w:bookmarkStart w:id="64" w:name="_Toc69378663"/>
      <w:bookmarkStart w:id="65" w:name="_Toc472689688"/>
      <w:bookmarkStart w:id="66" w:name="_Toc438052120"/>
      <w:bookmarkStart w:id="67" w:name="_Toc529538377"/>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1</w:t>
      </w:r>
      <w:r>
        <w:rPr>
          <w:rStyle w:val="106"/>
          <w:rFonts w:hint="eastAsia" w:hAnsi="宋体"/>
          <w:b w:val="0"/>
          <w:bCs w:val="0"/>
          <w:color w:val="000000" w:themeColor="text1"/>
          <w:sz w:val="24"/>
          <w:szCs w:val="24"/>
          <w14:textFill>
            <w14:solidFill>
              <w14:schemeClr w14:val="tx1"/>
            </w14:solidFill>
          </w14:textFill>
        </w:rPr>
        <w:t>：</w:t>
      </w:r>
      <w:bookmarkEnd w:id="61"/>
      <w:bookmarkEnd w:id="62"/>
      <w:r>
        <w:rPr>
          <w:rStyle w:val="106"/>
          <w:rFonts w:hint="eastAsia" w:hAnsi="宋体"/>
          <w:b w:val="0"/>
          <w:bCs w:val="0"/>
          <w:color w:val="000000" w:themeColor="text1"/>
          <w:sz w:val="24"/>
          <w:szCs w:val="24"/>
          <w14:textFill>
            <w14:solidFill>
              <w14:schemeClr w14:val="tx1"/>
            </w14:solidFill>
          </w14:textFill>
        </w:rPr>
        <w:t>响应函</w:t>
      </w:r>
      <w:bookmarkEnd w:id="63"/>
      <w:bookmarkEnd w:id="64"/>
    </w:p>
    <w:p>
      <w:pPr>
        <w:snapToGrid w:val="0"/>
        <w:spacing w:before="312" w:beforeLines="100" w:after="312" w:afterLines="100"/>
        <w:ind w:left="210" w:leftChars="100" w:right="210" w:rightChars="100" w:firstLine="643" w:firstLineChars="200"/>
        <w:jc w:val="center"/>
        <w:rPr>
          <w:rStyle w:val="106"/>
          <w:rFonts w:ascii="宋体" w:hAnsi="宋体"/>
          <w:color w:val="000000" w:themeColor="text1"/>
          <w14:textFill>
            <w14:solidFill>
              <w14:schemeClr w14:val="tx1"/>
            </w14:solidFill>
          </w14:textFill>
        </w:rPr>
      </w:pPr>
      <w:r>
        <w:rPr>
          <w:rStyle w:val="106"/>
          <w:rFonts w:hint="eastAsia" w:ascii="宋体" w:hAnsi="宋体"/>
          <w:color w:val="000000" w:themeColor="text1"/>
          <w14:textFill>
            <w14:solidFill>
              <w14:schemeClr w14:val="tx1"/>
            </w14:solidFill>
          </w14:textFill>
        </w:rPr>
        <w:t>响应函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江苏省广电有线信息网络股份有限公司：</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（供应商全称）授权（全权代表姓名、职务、职称）为全权代表，参加贵方组织的（采购编号、项目名称）的有关活动，为此：</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（1）提供供应商须知规定的全部响应文件（正本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份，副本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份、电子版</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（2）提供按竞争性谈判文件要求的产品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服务的报价。（</w:t>
      </w:r>
      <w:r>
        <w:rPr>
          <w:rFonts w:hint="eastAsia" w:ascii="宋体" w:hAnsi="宋体"/>
          <w:color w:val="000000" w:themeColor="text1"/>
          <w:sz w:val="24"/>
          <w:u w:val="single"/>
          <w14:textFill>
            <w14:solidFill>
              <w14:schemeClr w14:val="tx1"/>
            </w14:solidFill>
          </w14:textFill>
        </w:rPr>
        <w:t>详见附件3：报价表</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（3）供应商将按竞争性谈判文件的规定履行全部责任和义务。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（4）供应商已详细审查全部竞争性谈判文件，我们完全理解并同意放弃对竞争性谈判文件提出质疑及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或争议的权利。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（5）本供应商递交响应文件的有效期为自递交响应文件截止日起</w:t>
      </w:r>
      <w:r>
        <w:rPr>
          <w:rFonts w:hint="eastAsia" w:ascii="宋体" w:hAnsi="宋体"/>
          <w:color w:val="000000" w:themeColor="text1"/>
          <w:sz w:val="24"/>
          <w:u w:val="single"/>
          <w14:textFill>
            <w14:solidFill>
              <w14:schemeClr w14:val="tx1"/>
            </w14:solidFill>
          </w14:textFill>
        </w:rPr>
        <w:t>90个</w:t>
      </w:r>
      <w:r>
        <w:rPr>
          <w:rFonts w:hint="eastAsia" w:ascii="宋体" w:hAnsi="宋体"/>
          <w:color w:val="000000" w:themeColor="text1"/>
          <w:sz w:val="24"/>
          <w14:textFill>
            <w14:solidFill>
              <w14:schemeClr w14:val="tx1"/>
            </w14:solidFill>
          </w14:textFill>
        </w:rPr>
        <w:t>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（6）如果在规定的递交响应文件截止时间后，供应商在谈判有效期内撤回响应文件，将取消供应商参与本项目资格。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（7）愿意向贵方提供任何与该项响应文件有关的数据、情况和技术资料，完全理解贵方不一定接受最低价的响应文件或收到的任何响应文件。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）根据本项目要求，我单位委派（姓名）（身份证号）作为本项目的项目负责人。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（11）与本响应文件有关的一切往来通讯请寄：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地址传真：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电话电子函件：</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pStyle w:val="4"/>
        <w:numPr>
          <w:ilvl w:val="0"/>
          <w:numId w:val="0"/>
        </w:numPr>
        <w:snapToGrid w:val="0"/>
        <w:spacing w:before="0" w:after="0"/>
        <w:ind w:right="210" w:rightChars="100"/>
        <w:rPr>
          <w:rFonts w:ascii="黑体"/>
          <w:b/>
          <w:color w:val="000000" w:themeColor="text1"/>
          <w:kern w:val="44"/>
          <w:sz w:val="32"/>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附件2：法定代表人身份证明及授权委托书</w:t>
      </w:r>
    </w:p>
    <w:p>
      <w:pPr>
        <w:topLinePunct/>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 xml:space="preserve"> （供应商名称）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为我方授权代表。授权代表根据授权，以我方名义全权处理</w:t>
      </w:r>
      <w:r>
        <w:rPr>
          <w:rFonts w:hint="eastAsia" w:ascii="宋体" w:hAnsi="宋体" w:cs="宋体"/>
          <w:color w:val="000000" w:themeColor="text1"/>
          <w:szCs w:val="21"/>
          <w:u w:val="single"/>
          <w14:textFill>
            <w14:solidFill>
              <w14:schemeClr w14:val="tx1"/>
            </w14:solidFill>
          </w14:textFill>
        </w:rPr>
        <w:t xml:space="preserve">            项目</w:t>
      </w:r>
      <w:r>
        <w:rPr>
          <w:rFonts w:hint="eastAsia" w:ascii="宋体" w:hAnsi="宋体" w:cs="宋体"/>
          <w:color w:val="000000" w:themeColor="text1"/>
          <w:szCs w:val="21"/>
          <w14:textFill>
            <w14:solidFill>
              <w14:schemeClr w14:val="tx1"/>
            </w14:solidFill>
          </w14:textFill>
        </w:rPr>
        <w:t>（签署、澄清、说明、补正、递交、撤回、修改响应文件、参与谈判、签订合同和处理一切有关事宜），其法律后果由我方承担。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授权代表无转委托权。</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附：法定代表人和授权代表身份证复印件(需同时提供正面及背面)</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BaX0KJgAgAAoQQAAA4AAABkcnMvZTJvRG9jLnhtbK1U&#10;zW7UMBC+I/EOlu80m23D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kkyzLOJOnG&#10;abo9TbMYQ+RX7g59eKSgYd2l4JWBlhLDcGCCQiuCOu0HL8YUqxMfuhxFfuUXawKjy2NtTBRwMT80&#10;yFaCBug4fkNIv2lmLGsLPs3GWUS+ofObEKP4/Qui0ZQiM7op+O6mkbEDix1xfQPCer4eejGH8pz4&#10;ROgnm/aaLjXga85amuqC+1dLgYoz89hST6bpzk63BlHYySZ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Ams0dkAAAALAQAADwAAAAAAAAABACAAAAAiAAAAZHJzL2Rvd25yZXYueG1sUEsBAhQAFAAA&#10;AAgAh07iQBaX0KJgAgAAoQQAAA4AAAAAAAAAAQAgAAAAKA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qzccl2AAAAAoBAAAPAAAAAAAAAAEAIAAAACIAAABkcnMvZG93bnJldi54bWxQSwECFAAUAAAA&#10;CACHTuJAZTuGpW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法定代表人身份证背面复印件</w:t>
                      </w:r>
                    </w:p>
                  </w:txbxContent>
                </v:textbox>
              </v:shape>
            </w:pict>
          </mc:Fallback>
        </mc:AlternateConten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5FE3L2AAAAAoBAAAPAAAAAAAAAAEAIAAAACIAAABkcnMvZG93bnJldi54bWxQSwECFAAUAAAA&#10;CACHTuJAVgdiWG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授权代表身份证背面复印件</w:t>
                      </w:r>
                    </w:p>
                  </w:txbxContent>
                </v:textbox>
              </v:shape>
            </w:pict>
          </mc:Fallback>
        </mc:AlternateContent>
      </w: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qOm12gAAAAsBAAAPAAAAAAAAAAEAIAAAACIAAABkcnMvZG93bnJldi54bWxQSwECFAAUAAAA&#10;CACHTuJAg2Mrq14CAAChBAAADgAAAAAAAAABACAAAAAp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授权代表身份证正面复印件</w:t>
                      </w:r>
                    </w:p>
                  </w:txbxContent>
                </v:textbox>
              </v:shape>
            </w:pict>
          </mc:Fallback>
        </mc:AlternateConten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pPr>
        <w:spacing w:line="360" w:lineRule="auto"/>
        <w:ind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spacing w:line="360" w:lineRule="auto"/>
        <w:ind w:right="420" w:firstLine="2940" w:firstLineChars="1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ind w:right="105"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委托授权代表：</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spacing w:line="360" w:lineRule="auto"/>
        <w:ind w:right="105" w:firstLine="2940" w:firstLineChars="1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ind w:firstLine="2310" w:firstLineChars="11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widowControl/>
        <w:jc w:val="left"/>
        <w:rPr>
          <w:rStyle w:val="106"/>
          <w:rFonts w:hAnsi="宋体"/>
          <w:b w:val="0"/>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bookmarkStart w:id="68" w:name="_Toc26260034"/>
      <w:bookmarkStart w:id="69" w:name="_Toc26259740"/>
      <w:bookmarkStart w:id="70" w:name="_Toc69378664"/>
      <w:r>
        <w:rPr>
          <w:rStyle w:val="106"/>
          <w:rFonts w:hAnsi="宋体"/>
          <w:b w:val="0"/>
          <w:bCs w:val="0"/>
          <w:color w:val="000000" w:themeColor="text1"/>
          <w:sz w:val="24"/>
          <w:szCs w:val="24"/>
          <w14:textFill>
            <w14:solidFill>
              <w14:schemeClr w14:val="tx1"/>
            </w14:solidFill>
          </w14:textFill>
        </w:rPr>
        <w:br w:type="page"/>
      </w:r>
    </w:p>
    <w:p>
      <w:pPr>
        <w:pStyle w:val="4"/>
        <w:numPr>
          <w:ilvl w:val="0"/>
          <w:numId w:val="0"/>
        </w:numPr>
        <w:snapToGrid w:val="0"/>
        <w:spacing w:before="312" w:beforeLines="100" w:after="312" w:afterLines="100"/>
        <w:ind w:right="210" w:rightChars="100"/>
        <w:rPr>
          <w:rStyle w:val="80"/>
          <w:rFonts w:hAnsi="Times New Roman" w:eastAsia="宋体"/>
          <w:bCs w:val="0"/>
          <w:color w:val="000000" w:themeColor="text1"/>
          <w:szCs w:val="24"/>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3</w:t>
      </w:r>
      <w:r>
        <w:rPr>
          <w:rStyle w:val="106"/>
          <w:rFonts w:hint="eastAsia" w:hAnsi="宋体"/>
          <w:b w:val="0"/>
          <w:bCs w:val="0"/>
          <w:color w:val="000000" w:themeColor="text1"/>
          <w:sz w:val="24"/>
          <w:szCs w:val="24"/>
          <w14:textFill>
            <w14:solidFill>
              <w14:schemeClr w14:val="tx1"/>
            </w14:solidFill>
          </w14:textFill>
        </w:rPr>
        <w:t>：报价表</w:t>
      </w:r>
      <w:r>
        <w:rPr>
          <w:rStyle w:val="106"/>
          <w:rFonts w:hAnsi="宋体"/>
          <w:b w:val="0"/>
          <w:bCs w:val="0"/>
          <w:color w:val="000000" w:themeColor="text1"/>
          <w:sz w:val="24"/>
          <w:szCs w:val="24"/>
          <w14:textFill>
            <w14:solidFill>
              <w14:schemeClr w14:val="tx1"/>
            </w14:solidFill>
          </w14:textFill>
        </w:rPr>
        <w:t>(</w:t>
      </w:r>
      <w:r>
        <w:rPr>
          <w:rStyle w:val="106"/>
          <w:rFonts w:hint="eastAsia" w:hAnsi="宋体"/>
          <w:b w:val="0"/>
          <w:bCs w:val="0"/>
          <w:color w:val="000000" w:themeColor="text1"/>
          <w:sz w:val="24"/>
          <w:szCs w:val="24"/>
          <w14:textFill>
            <w14:solidFill>
              <w14:schemeClr w14:val="tx1"/>
            </w14:solidFill>
          </w14:textFill>
        </w:rPr>
        <w:t>格式</w:t>
      </w:r>
      <w:r>
        <w:rPr>
          <w:rStyle w:val="106"/>
          <w:rFonts w:hAnsi="宋体"/>
          <w:b w:val="0"/>
          <w:bCs w:val="0"/>
          <w:color w:val="000000" w:themeColor="text1"/>
          <w:sz w:val="24"/>
          <w:szCs w:val="24"/>
          <w14:textFill>
            <w14:solidFill>
              <w14:schemeClr w14:val="tx1"/>
            </w14:solidFill>
          </w14:textFill>
        </w:rPr>
        <w:t>)</w:t>
      </w:r>
      <w:bookmarkEnd w:id="68"/>
      <w:bookmarkEnd w:id="69"/>
      <w:bookmarkEnd w:id="70"/>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项目名称： </w:t>
      </w:r>
      <w:r>
        <w:rPr>
          <w:rFonts w:hint="eastAsia"/>
          <w:color w:val="000000" w:themeColor="text1"/>
          <w:sz w:val="24"/>
          <w14:textFill>
            <w14:solidFill>
              <w14:schemeClr w14:val="tx1"/>
            </w14:solidFill>
          </w14:textFill>
        </w:rPr>
        <w:t>2023年江苏有线客户服务满意度第三方测评项目</w:t>
      </w:r>
    </w:p>
    <w:tbl>
      <w:tblPr>
        <w:tblStyle w:val="53"/>
        <w:tblpPr w:leftFromText="180" w:rightFromText="180" w:vertAnchor="text" w:horzAnchor="page" w:tblpX="1432" w:tblpY="16"/>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255"/>
        <w:gridCol w:w="2268"/>
        <w:gridCol w:w="131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服务名称</w:t>
            </w:r>
          </w:p>
        </w:tc>
        <w:tc>
          <w:tcPr>
            <w:tcW w:w="225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服务内容</w:t>
            </w:r>
          </w:p>
        </w:tc>
        <w:tc>
          <w:tcPr>
            <w:tcW w:w="226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含税总价（元）</w:t>
            </w:r>
          </w:p>
        </w:tc>
        <w:tc>
          <w:tcPr>
            <w:tcW w:w="131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增值税税率（%）</w:t>
            </w:r>
          </w:p>
        </w:tc>
        <w:tc>
          <w:tcPr>
            <w:tcW w:w="142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含税总价最高限价（元）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09" w:type="dxa"/>
            <w:vAlign w:val="center"/>
          </w:tcPr>
          <w:p>
            <w:pPr>
              <w:spacing w:before="120"/>
              <w:jc w:val="center"/>
              <w:rPr>
                <w:rFonts w:ascii="宋体" w:hAnsi="宋体" w:cs="宋体"/>
                <w:color w:val="000000" w:themeColor="text1"/>
                <w:kern w:val="0"/>
                <w:szCs w:val="21"/>
                <w14:textFill>
                  <w14:solidFill>
                    <w14:schemeClr w14:val="tx1"/>
                  </w14:solidFill>
                </w14:textFill>
              </w:rPr>
            </w:pPr>
            <w:r>
              <w:rPr>
                <w:rFonts w:hint="eastAsia"/>
                <w:color w:val="000000" w:themeColor="text1"/>
                <w:sz w:val="24"/>
                <w14:textFill>
                  <w14:solidFill>
                    <w14:schemeClr w14:val="tx1"/>
                  </w14:solidFill>
                </w14:textFill>
              </w:rPr>
              <w:t>客户服务满意度第三方测评项目</w:t>
            </w:r>
          </w:p>
        </w:tc>
        <w:tc>
          <w:tcPr>
            <w:tcW w:w="2255" w:type="dxa"/>
            <w:vAlign w:val="center"/>
          </w:tcPr>
          <w:p>
            <w:pPr>
              <w:jc w:val="center"/>
              <w:rPr>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测评包含</w:t>
            </w:r>
            <w:r>
              <w:rPr>
                <w:rFonts w:hint="eastAsia" w:ascii="宋体" w:hAnsi="宋体" w:cs="宋体"/>
                <w:color w:val="000000" w:themeColor="text1"/>
                <w:sz w:val="24"/>
                <w14:textFill>
                  <w14:solidFill>
                    <w14:schemeClr w14:val="tx1"/>
                  </w14:solidFill>
                </w14:textFill>
              </w:rPr>
              <w:t>有线电视业务、宽带业务、</w:t>
            </w:r>
            <w:r>
              <w:rPr>
                <w:rFonts w:ascii="宋体" w:hAnsi="宋体" w:cs="宋体"/>
                <w:color w:val="000000" w:themeColor="text1"/>
                <w:sz w:val="24"/>
                <w14:textFill>
                  <w14:solidFill>
                    <w14:schemeClr w14:val="tx1"/>
                  </w14:solidFill>
                </w14:textFill>
              </w:rPr>
              <w:t>5G业务</w:t>
            </w:r>
            <w:r>
              <w:rPr>
                <w:rFonts w:hint="eastAsia" w:ascii="宋体" w:hAnsi="宋体" w:cs="宋体"/>
                <w:color w:val="000000" w:themeColor="text1"/>
                <w:sz w:val="24"/>
                <w14:textFill>
                  <w14:solidFill>
                    <w14:schemeClr w14:val="tx1"/>
                  </w14:solidFill>
                </w14:textFill>
              </w:rPr>
              <w:t>三个业务每个业务1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个地市共计3</w:t>
            </w:r>
            <w:r>
              <w:rPr>
                <w:rFonts w:ascii="宋体" w:hAnsi="宋体" w:cs="宋体"/>
                <w:color w:val="000000" w:themeColor="text1"/>
                <w:sz w:val="24"/>
                <w14:textFill>
                  <w14:solidFill>
                    <w14:schemeClr w14:val="tx1"/>
                  </w14:solidFill>
                </w14:textFill>
              </w:rPr>
              <w:t>900</w:t>
            </w:r>
            <w:r>
              <w:rPr>
                <w:rFonts w:hint="eastAsia" w:ascii="宋体" w:hAnsi="宋体" w:cs="宋体"/>
                <w:color w:val="000000" w:themeColor="text1"/>
                <w:sz w:val="24"/>
                <w14:textFill>
                  <w14:solidFill>
                    <w14:schemeClr w14:val="tx1"/>
                  </w14:solidFill>
                </w14:textFill>
              </w:rPr>
              <w:t>个样本，测评结束提供测评报告</w:t>
            </w:r>
          </w:p>
        </w:tc>
        <w:tc>
          <w:tcPr>
            <w:tcW w:w="2268" w:type="dxa"/>
            <w:vAlign w:val="center"/>
          </w:tcPr>
          <w:p>
            <w:pPr>
              <w:jc w:val="center"/>
              <w:rPr>
                <w:rFonts w:ascii="宋体" w:hAnsi="宋体" w:cs="宋体"/>
                <w:color w:val="000000" w:themeColor="text1"/>
                <w:szCs w:val="21"/>
                <w14:textFill>
                  <w14:solidFill>
                    <w14:schemeClr w14:val="tx1"/>
                  </w14:solidFill>
                </w14:textFill>
              </w:rPr>
            </w:pPr>
          </w:p>
        </w:tc>
        <w:tc>
          <w:tcPr>
            <w:tcW w:w="1312" w:type="dxa"/>
            <w:vAlign w:val="center"/>
          </w:tcPr>
          <w:p>
            <w:pPr>
              <w:jc w:val="center"/>
              <w:rPr>
                <w:rFonts w:ascii="宋体" w:hAnsi="宋体" w:cs="宋体"/>
                <w:color w:val="000000" w:themeColor="text1"/>
                <w:szCs w:val="21"/>
                <w14:textFill>
                  <w14:solidFill>
                    <w14:schemeClr w14:val="tx1"/>
                  </w14:solidFill>
                </w14:textFill>
              </w:rPr>
            </w:pPr>
          </w:p>
        </w:tc>
        <w:tc>
          <w:tcPr>
            <w:tcW w:w="14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261" w:type="dxa"/>
            <w:gridSpan w:val="4"/>
          </w:tcPr>
          <w:p>
            <w:pPr>
              <w:rPr>
                <w:rFonts w:ascii="宋体" w:hAnsi="宋体" w:cs="宋体"/>
                <w:color w:val="000000" w:themeColor="text1"/>
                <w14:textFill>
                  <w14:solidFill>
                    <w14:schemeClr w14:val="tx1"/>
                  </w14:solidFill>
                </w14:textFill>
              </w:rPr>
            </w:pPr>
          </w:p>
        </w:tc>
      </w:tr>
    </w:tbl>
    <w:p>
      <w:pPr>
        <w:rPr>
          <w:color w:val="000000" w:themeColor="text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须按照</w:t>
      </w:r>
      <w:r>
        <w:rPr>
          <w:rFonts w:hint="eastAsia"/>
          <w:color w:val="000000" w:themeColor="text1"/>
          <w:szCs w:val="21"/>
          <w14:textFill>
            <w14:solidFill>
              <w14:schemeClr w14:val="tx1"/>
            </w14:solidFill>
          </w14:textFill>
        </w:rPr>
        <w:t>竞争性谈判文件</w:t>
      </w:r>
      <w:r>
        <w:rPr>
          <w:color w:val="000000" w:themeColor="text1"/>
          <w:szCs w:val="21"/>
          <w14:textFill>
            <w14:solidFill>
              <w14:schemeClr w14:val="tx1"/>
            </w14:solidFill>
          </w14:textFill>
        </w:rPr>
        <w:t>要求，提供货到用户指定现场（到楼层）并提供全部服务的含税</w:t>
      </w:r>
      <w:r>
        <w:rPr>
          <w:rFonts w:hint="eastAsia"/>
          <w:color w:val="000000" w:themeColor="text1"/>
          <w:szCs w:val="21"/>
          <w14:textFill>
            <w14:solidFill>
              <w14:schemeClr w14:val="tx1"/>
            </w14:solidFill>
          </w14:textFill>
        </w:rPr>
        <w:t>价。</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2.报价时请仔细阅读竞争性谈判文件《竞争性谈判须知》中关于报价的要求。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snapToGri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br w:type="page"/>
      </w:r>
      <w:bookmarkStart w:id="71" w:name="_Toc26259742"/>
      <w:bookmarkStart w:id="72" w:name="_Toc26260036"/>
      <w:bookmarkStart w:id="73" w:name="_Toc161767431"/>
      <w:bookmarkStart w:id="74" w:name="_Toc135999010"/>
      <w:bookmarkStart w:id="75" w:name="_Toc69378666"/>
      <w:bookmarkStart w:id="76" w:name="_Toc26259741"/>
      <w:bookmarkStart w:id="77" w:name="_Toc26260035"/>
      <w:bookmarkStart w:id="78" w:name="_Toc69378665"/>
    </w:p>
    <w:p>
      <w:pPr>
        <w:pStyle w:val="4"/>
        <w:numPr>
          <w:ilvl w:val="0"/>
          <w:numId w:val="0"/>
        </w:numPr>
        <w:snapToGrid w:val="0"/>
        <w:spacing w:before="312" w:beforeLines="100" w:after="312" w:afterLines="100"/>
        <w:ind w:right="210" w:rightChars="100"/>
        <w:rPr>
          <w:color w:val="000000" w:themeColor="text1"/>
          <w:szCs w:val="24"/>
          <w:u w:val="single"/>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附件4：商务条款偏离表</w:t>
      </w:r>
      <w:bookmarkEnd w:id="71"/>
      <w:bookmarkEnd w:id="72"/>
      <w:bookmarkEnd w:id="73"/>
      <w:bookmarkEnd w:id="74"/>
      <w:bookmarkEnd w:id="75"/>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 xml:space="preserve"> </w:t>
      </w:r>
      <w:r>
        <w:rPr>
          <w:rFonts w:hint="eastAsia"/>
          <w:color w:val="000000" w:themeColor="text1"/>
          <w:sz w:val="24"/>
          <w14:textFill>
            <w14:solidFill>
              <w14:schemeClr w14:val="tx1"/>
            </w14:solidFill>
          </w14:textFill>
        </w:rPr>
        <w:t>2023年江苏有线客户服务满意度第三方测评项目</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41" w:type="pct"/>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竞争性谈判文件条目号</w:t>
            </w:r>
          </w:p>
        </w:tc>
        <w:tc>
          <w:tcPr>
            <w:tcW w:w="1303" w:type="pct"/>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竞争性谈判文件的商务条款</w:t>
            </w:r>
          </w:p>
        </w:tc>
        <w:tc>
          <w:tcPr>
            <w:tcW w:w="1176" w:type="pct"/>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响应文件的商务条款</w:t>
            </w:r>
          </w:p>
        </w:tc>
        <w:tc>
          <w:tcPr>
            <w:tcW w:w="923" w:type="pct"/>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bl>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如供应商无任何偏离，也需在响应表中注明并在响应文件中递交此表。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pPr>
        <w:widowControl/>
        <w:jc w:val="left"/>
        <w:rPr>
          <w:rStyle w:val="106"/>
          <w:rFonts w:hAnsi="宋体"/>
          <w:b w:val="0"/>
          <w:bCs w:val="0"/>
          <w:color w:val="000000" w:themeColor="text1"/>
          <w:sz w:val="24"/>
          <w:szCs w:val="24"/>
          <w14:textFill>
            <w14:solidFill>
              <w14:schemeClr w14:val="tx1"/>
            </w14:solidFill>
          </w14:textFill>
        </w:rPr>
      </w:pPr>
      <w:r>
        <w:rPr>
          <w:rStyle w:val="106"/>
          <w:rFonts w:hAnsi="宋体"/>
          <w:b w:val="0"/>
          <w:color w:val="000000" w:themeColor="text1"/>
          <w:sz w:val="24"/>
          <w:szCs w:val="24"/>
          <w14:textFill>
            <w14:solidFill>
              <w14:schemeClr w14:val="tx1"/>
            </w14:solidFill>
          </w14:textFill>
        </w:rPr>
        <w:br w:type="page"/>
      </w:r>
    </w:p>
    <w:bookmarkEnd w:id="76"/>
    <w:bookmarkEnd w:id="77"/>
    <w:bookmarkEnd w:id="78"/>
    <w:p>
      <w:pPr>
        <w:pStyle w:val="4"/>
        <w:numPr>
          <w:ilvl w:val="0"/>
          <w:numId w:val="0"/>
        </w:numPr>
        <w:snapToGrid w:val="0"/>
        <w:spacing w:before="312" w:beforeLines="100" w:after="312" w:afterLines="100"/>
        <w:ind w:right="210" w:rightChars="100"/>
        <w:rPr>
          <w:rStyle w:val="106"/>
          <w:bCs/>
          <w:color w:val="000000" w:themeColor="text1"/>
          <w:sz w:val="24"/>
          <w:szCs w:val="24"/>
          <w14:textFill>
            <w14:solidFill>
              <w14:schemeClr w14:val="tx1"/>
            </w14:solidFill>
          </w14:textFill>
        </w:rPr>
      </w:pPr>
      <w:bookmarkStart w:id="79" w:name="_Toc69378667"/>
      <w:bookmarkStart w:id="80" w:name="_Toc26260037"/>
      <w:bookmarkStart w:id="81" w:name="_Toc26259743"/>
      <w:r>
        <w:rPr>
          <w:rStyle w:val="106"/>
          <w:rFonts w:hint="eastAsia" w:hAnsi="宋体"/>
          <w:b w:val="0"/>
          <w:bCs w:val="0"/>
          <w:color w:val="000000" w:themeColor="text1"/>
          <w:sz w:val="24"/>
          <w:szCs w:val="24"/>
          <w14:textFill>
            <w14:solidFill>
              <w14:schemeClr w14:val="tx1"/>
            </w14:solidFill>
          </w14:textFill>
        </w:rPr>
        <w:t>附件5：技术规范偏离表</w:t>
      </w:r>
      <w:bookmarkEnd w:id="79"/>
      <w:bookmarkEnd w:id="80"/>
      <w:bookmarkEnd w:id="81"/>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 xml:space="preserve"> </w:t>
      </w:r>
      <w:r>
        <w:rPr>
          <w:rFonts w:hint="eastAsia"/>
          <w:color w:val="000000" w:themeColor="text1"/>
          <w:sz w:val="24"/>
          <w14:textFill>
            <w14:solidFill>
              <w14:schemeClr w14:val="tx1"/>
            </w14:solidFill>
          </w14:textFill>
        </w:rPr>
        <w:t>2023年江苏有线客户服务满意度第三方测评项目</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序号</w:t>
            </w:r>
          </w:p>
        </w:tc>
        <w:tc>
          <w:tcPr>
            <w:tcW w:w="1673"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w:t>
            </w:r>
            <w:r>
              <w:rPr>
                <w:rFonts w:hint="eastAsia" w:ascii="宋体"/>
                <w:bCs/>
                <w:color w:val="000000" w:themeColor="text1"/>
                <w:szCs w:val="21"/>
                <w14:textFill>
                  <w14:solidFill>
                    <w14:schemeClr w14:val="tx1"/>
                  </w14:solidFill>
                </w14:textFill>
              </w:rPr>
              <w:t>技术需求</w:t>
            </w:r>
            <w:r>
              <w:rPr>
                <w:rFonts w:hint="eastAsia" w:ascii="宋体" w:hAnsi="宋体"/>
                <w:color w:val="000000" w:themeColor="text1"/>
                <w:szCs w:val="21"/>
                <w14:textFill>
                  <w14:solidFill>
                    <w14:schemeClr w14:val="tx1"/>
                  </w14:solidFill>
                </w14:textFill>
              </w:rPr>
              <w:t>书要求</w:t>
            </w:r>
          </w:p>
        </w:tc>
        <w:tc>
          <w:tcPr>
            <w:tcW w:w="1553"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响应文件技术指标情况</w:t>
            </w:r>
          </w:p>
        </w:tc>
        <w:tc>
          <w:tcPr>
            <w:tcW w:w="1238"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bl>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snapToGrid w:val="0"/>
        <w:spacing w:before="312" w:beforeLines="100" w:after="312" w:afterLines="100"/>
        <w:ind w:left="210" w:leftChars="100" w:right="210" w:rightChars="100" w:firstLine="420" w:firstLineChars="200"/>
        <w:rPr>
          <w:rFonts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本表应依据供应商实际情况逐项逐条填写。</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6"/>
          <w:b w:val="0"/>
          <w:bCs w:val="0"/>
          <w:color w:val="000000" w:themeColor="text1"/>
          <w:sz w:val="24"/>
          <w:szCs w:val="24"/>
          <w14:textFill>
            <w14:solidFill>
              <w14:schemeClr w14:val="tx1"/>
            </w14:solidFill>
          </w14:textFill>
        </w:rPr>
      </w:pPr>
      <w:r>
        <w:rPr>
          <w:color w:val="000000" w:themeColor="text1"/>
          <w:szCs w:val="24"/>
          <w14:textFill>
            <w14:solidFill>
              <w14:schemeClr w14:val="tx1"/>
            </w14:solidFill>
          </w14:textFill>
        </w:rPr>
        <w:br w:type="page"/>
      </w:r>
      <w:bookmarkStart w:id="82" w:name="_Toc26259744"/>
      <w:bookmarkStart w:id="83" w:name="_Toc26260038"/>
      <w:bookmarkStart w:id="84" w:name="_Toc69378668"/>
      <w:bookmarkStart w:id="85" w:name="_Toc135999012"/>
      <w:bookmarkStart w:id="86" w:name="_Toc161767433"/>
      <w:r>
        <w:rPr>
          <w:rStyle w:val="106"/>
          <w:rFonts w:hint="eastAsia" w:hAnsi="宋体"/>
          <w:b w:val="0"/>
          <w:bCs w:val="0"/>
          <w:color w:val="000000" w:themeColor="text1"/>
          <w:sz w:val="24"/>
          <w:szCs w:val="24"/>
          <w14:textFill>
            <w14:solidFill>
              <w14:schemeClr w14:val="tx1"/>
            </w14:solidFill>
          </w14:textFill>
        </w:rPr>
        <w:t>附件6：资格证明文件</w:t>
      </w:r>
      <w:bookmarkEnd w:id="82"/>
      <w:bookmarkEnd w:id="83"/>
      <w:bookmarkEnd w:id="84"/>
      <w:bookmarkEnd w:id="85"/>
      <w:bookmarkEnd w:id="86"/>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填写须知</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供应商应填写和提交下述规定的全部格式以及其它有关资料。</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所附格式中要求填写的全部问题和</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或信息都必须填写。</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本资格声明的签字人应保证全部声明和填写的内容是真实的和正确的。</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采购人将应用供应商提交的资料根据自己的判断和考虑决定供应商履行合同的合格性及能力。</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供应商提交的材料将被保密，但不退还。</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全部文件应按规定的语言和份数提交。</w:t>
      </w:r>
    </w:p>
    <w:p>
      <w:pPr>
        <w:snapToGrid w:val="0"/>
        <w:spacing w:before="312" w:beforeLines="100" w:after="312" w:afterLines="100"/>
        <w:ind w:left="210" w:leftChars="100" w:right="210" w:rightChars="100" w:firstLine="420" w:firstLineChars="200"/>
        <w:rPr>
          <w:rFonts w:ascii="宋体"/>
          <w:color w:val="000000" w:themeColor="text1"/>
          <w14:textFill>
            <w14:solidFill>
              <w14:schemeClr w14:val="tx1"/>
            </w14:solidFill>
          </w14:textFill>
        </w:rPr>
      </w:pPr>
    </w:p>
    <w:p>
      <w:pPr>
        <w:snapToGrid w:val="0"/>
        <w:spacing w:before="312" w:beforeLines="100" w:after="312" w:afterLines="100"/>
        <w:ind w:right="210" w:rightChars="100"/>
        <w:rPr>
          <w:rFonts w:ascii="黑体" w:eastAsia="黑体"/>
          <w:b/>
          <w:color w:val="000000" w:themeColor="text1"/>
          <w14:textFill>
            <w14:solidFill>
              <w14:schemeClr w14:val="tx1"/>
            </w14:solidFill>
          </w14:textFill>
        </w:rPr>
      </w:pPr>
      <w:r>
        <w:rPr>
          <w:rFonts w:ascii="宋体"/>
          <w:color w:val="000000" w:themeColor="text1"/>
          <w14:textFill>
            <w14:solidFill>
              <w14:schemeClr w14:val="tx1"/>
            </w14:solidFill>
          </w14:textFill>
        </w:rPr>
        <w:br w:type="page"/>
      </w:r>
      <w:r>
        <w:rPr>
          <w:rFonts w:hint="eastAsia" w:ascii="黑体" w:eastAsia="黑体"/>
          <w:b/>
          <w:color w:val="000000" w:themeColor="text1"/>
          <w14:textFill>
            <w14:solidFill>
              <w14:schemeClr w14:val="tx1"/>
            </w14:solidFill>
          </w14:textFill>
        </w:rPr>
        <w:t>6</w:t>
      </w:r>
      <w:r>
        <w:rPr>
          <w:rFonts w:ascii="黑体" w:eastAsia="黑体"/>
          <w:b/>
          <w:color w:val="000000" w:themeColor="text1"/>
          <w14:textFill>
            <w14:solidFill>
              <w14:schemeClr w14:val="tx1"/>
            </w14:solidFill>
          </w14:textFill>
        </w:rPr>
        <w:t xml:space="preserve">-1  </w:t>
      </w:r>
      <w:r>
        <w:rPr>
          <w:rFonts w:hint="eastAsia" w:ascii="黑体" w:eastAsia="黑体"/>
          <w:b/>
          <w:color w:val="000000" w:themeColor="text1"/>
          <w14:textFill>
            <w14:solidFill>
              <w14:schemeClr w14:val="tx1"/>
            </w14:solidFill>
          </w14:textFill>
        </w:rPr>
        <w:t>资格声明</w:t>
      </w:r>
    </w:p>
    <w:p>
      <w:pPr>
        <w:snapToGrid w:val="0"/>
        <w:spacing w:before="312" w:beforeLines="100" w:after="312" w:afterLines="100"/>
        <w:ind w:right="210" w:right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资格声明</w:t>
      </w:r>
    </w:p>
    <w:p>
      <w:pPr>
        <w:snapToGrid w:val="0"/>
        <w:spacing w:before="312" w:beforeLines="100" w:after="312" w:afterLines="100"/>
        <w:ind w:right="210" w:rightChars="1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尊敬的女士</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先生：</w:t>
      </w:r>
    </w:p>
    <w:p>
      <w:pPr>
        <w:spacing w:line="360" w:lineRule="auto"/>
        <w:ind w:firstLine="63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为响应你方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采购名称</w:t>
      </w:r>
      <w:r>
        <w:rPr>
          <w:rFonts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，下述签字人自愿参与谈判，提供竞争性谈判文件技术需求书中规定的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服务名称</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，提交下述文件并声明全部说明是真实的和正确的。下述签字人将就下述文件中存在的虚假或不真实内容对代理机构和采购人承担法律责任。</w:t>
      </w:r>
    </w:p>
    <w:p>
      <w:pPr>
        <w:numPr>
          <w:ilvl w:val="0"/>
          <w:numId w:val="12"/>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我方的资格声明，各有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份正本，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份副本。</w:t>
      </w:r>
    </w:p>
    <w:p>
      <w:pPr>
        <w:numPr>
          <w:ilvl w:val="0"/>
          <w:numId w:val="12"/>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下述签字人证明本资格文件中的内容是真实的和正确的。</w:t>
      </w:r>
    </w:p>
    <w:p>
      <w:pPr>
        <w:numPr>
          <w:ilvl w:val="0"/>
          <w:numId w:val="12"/>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下述签字人知道，采购人可能要求其提供进一步的资格材料并同意按采购人的要求提交。</w:t>
      </w:r>
    </w:p>
    <w:p>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供应商</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授权签署本资格文件</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名称（盖章）</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签字人姓名、职务（印刷字体）</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 xml:space="preserve">                            </w:t>
      </w:r>
    </w:p>
    <w:p>
      <w:pPr>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传真</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签字</w:t>
      </w:r>
      <w:r>
        <w:rPr>
          <w:color w:val="000000" w:themeColor="text1"/>
          <w:u w:val="single"/>
          <w14:textFill>
            <w14:solidFill>
              <w14:schemeClr w14:val="tx1"/>
            </w14:solidFill>
          </w14:textFill>
        </w:rPr>
        <w:t xml:space="preserve">                        </w:t>
      </w:r>
    </w:p>
    <w:p>
      <w:pPr>
        <w:spacing w:line="360" w:lineRule="auto"/>
        <w:rPr>
          <w:rFonts w:ascii="宋体"/>
          <w:color w:val="000000" w:themeColor="text1"/>
          <w:u w:val="single"/>
          <w14:textFill>
            <w14:solidFill>
              <w14:schemeClr w14:val="tx1"/>
            </w14:solidFill>
          </w14:textFill>
        </w:rPr>
      </w:pPr>
      <w:r>
        <w:rPr>
          <w:color w:val="000000" w:themeColor="text1"/>
          <w14:textFill>
            <w14:solidFill>
              <w14:schemeClr w14:val="tx1"/>
            </w14:solidFill>
          </w14:textFill>
        </w:rPr>
        <w:t>邮编</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电话</w:t>
      </w:r>
      <w:r>
        <w:rPr>
          <w:color w:val="000000" w:themeColor="text1"/>
          <w:u w:val="single"/>
          <w14:textFill>
            <w14:solidFill>
              <w14:schemeClr w14:val="tx1"/>
            </w14:solidFill>
          </w14:textFill>
        </w:rPr>
        <w:t xml:space="preserve">                        </w:t>
      </w:r>
    </w:p>
    <w:p>
      <w:pPr>
        <w:snapToGrid w:val="0"/>
        <w:spacing w:before="312" w:beforeLines="100" w:after="312" w:afterLines="100"/>
        <w:ind w:right="210" w:rightChars="100"/>
        <w:rPr>
          <w:rFonts w:ascii="黑体" w:eastAsia="黑体"/>
          <w:b/>
          <w:color w:val="000000" w:themeColor="text1"/>
          <w14:textFill>
            <w14:solidFill>
              <w14:schemeClr w14:val="tx1"/>
            </w14:solidFill>
          </w14:textFill>
        </w:rPr>
      </w:pPr>
      <w:r>
        <w:rPr>
          <w:rFonts w:ascii="宋体"/>
          <w:color w:val="000000" w:themeColor="text1"/>
          <w:u w:val="single"/>
          <w14:textFill>
            <w14:solidFill>
              <w14:schemeClr w14:val="tx1"/>
            </w14:solidFill>
          </w14:textFill>
        </w:rPr>
        <w:br w:type="page"/>
      </w:r>
      <w:r>
        <w:rPr>
          <w:rFonts w:hint="eastAsia" w:ascii="黑体" w:eastAsia="黑体"/>
          <w:b/>
          <w:color w:val="000000" w:themeColor="text1"/>
          <w14:textFill>
            <w14:solidFill>
              <w14:schemeClr w14:val="tx1"/>
            </w14:solidFill>
          </w14:textFill>
        </w:rPr>
        <w:t>6</w:t>
      </w:r>
      <w:r>
        <w:rPr>
          <w:rFonts w:ascii="黑体" w:eastAsia="黑体"/>
          <w:b/>
          <w:color w:val="000000" w:themeColor="text1"/>
          <w14:textFill>
            <w14:solidFill>
              <w14:schemeClr w14:val="tx1"/>
            </w14:solidFill>
          </w14:textFill>
        </w:rPr>
        <w:t xml:space="preserve">-2  </w:t>
      </w:r>
      <w:r>
        <w:rPr>
          <w:rFonts w:hint="eastAsia" w:ascii="黑体" w:eastAsia="黑体"/>
          <w:b/>
          <w:color w:val="000000" w:themeColor="text1"/>
          <w14:textFill>
            <w14:solidFill>
              <w14:schemeClr w14:val="tx1"/>
            </w14:solidFill>
          </w14:textFill>
        </w:rPr>
        <w:t>供应商的资格声明</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、名称及概况：</w:t>
      </w:r>
    </w:p>
    <w:p>
      <w:pPr>
        <w:numPr>
          <w:ilvl w:val="0"/>
          <w:numId w:val="13"/>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p>
      <w:pPr>
        <w:spacing w:line="360" w:lineRule="auto"/>
        <w:ind w:left="42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电话号码：</w:t>
      </w:r>
    </w:p>
    <w:p>
      <w:pPr>
        <w:numPr>
          <w:ilvl w:val="0"/>
          <w:numId w:val="13"/>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或注册日期：</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注册资金：</w:t>
      </w:r>
    </w:p>
    <w:p>
      <w:pPr>
        <w:numPr>
          <w:ilvl w:val="0"/>
          <w:numId w:val="13"/>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主要负责人名称：（可选填）</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供应商在中国的代表的姓名和地址：（可选填）</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供应商简介（包括但不限于业务范围、注册资金、所有权状况、组织机构及职能、人员构成、公司的场地环境和软硬件设施等）：</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hint="eastAsia" w:ascii="宋体" w:hAnsi="宋体" w:cs="MS Gothic"/>
          <w:color w:val="000000" w:themeColor="text1"/>
          <w:szCs w:val="21"/>
          <w14:textFill>
            <w14:solidFill>
              <w14:schemeClr w14:val="tx1"/>
            </w14:solidFill>
          </w14:textFill>
        </w:rPr>
        <w:t>在中国大</w:t>
      </w:r>
      <w:r>
        <w:rPr>
          <w:rFonts w:hint="eastAsia" w:ascii="宋体" w:hAnsi="宋体" w:cs="宋体"/>
          <w:color w:val="000000" w:themeColor="text1"/>
          <w:szCs w:val="21"/>
          <w14:textFill>
            <w14:solidFill>
              <w14:schemeClr w14:val="tx1"/>
            </w14:solidFill>
          </w14:textFill>
        </w:rPr>
        <w:t>陆</w:t>
      </w:r>
      <w:r>
        <w:rPr>
          <w:rFonts w:hint="eastAsia" w:ascii="宋体" w:hAnsi="宋体" w:cs="MS Gothic"/>
          <w:color w:val="000000" w:themeColor="text1"/>
          <w:szCs w:val="21"/>
          <w14:textFill>
            <w14:solidFill>
              <w14:schemeClr w14:val="tx1"/>
            </w14:solidFill>
          </w14:textFill>
        </w:rPr>
        <w:t>的分公司及</w:t>
      </w:r>
      <w:r>
        <w:rPr>
          <w:rFonts w:hint="eastAsia" w:ascii="宋体" w:hAnsi="宋体" w:cs="宋体"/>
          <w:color w:val="000000" w:themeColor="text1"/>
          <w:szCs w:val="21"/>
          <w14:textFill>
            <w14:solidFill>
              <w14:schemeClr w14:val="tx1"/>
            </w14:solidFill>
          </w14:textFill>
        </w:rPr>
        <w:t>办</w:t>
      </w:r>
      <w:r>
        <w:rPr>
          <w:rFonts w:hint="eastAsia" w:ascii="宋体" w:hAnsi="宋体" w:cs="MS Gothic"/>
          <w:color w:val="000000" w:themeColor="text1"/>
          <w:szCs w:val="21"/>
          <w14:textFill>
            <w14:solidFill>
              <w14:schemeClr w14:val="tx1"/>
            </w14:solidFill>
          </w14:textFill>
        </w:rPr>
        <w:t>事</w:t>
      </w:r>
      <w:r>
        <w:rPr>
          <w:rFonts w:hint="eastAsia" w:ascii="宋体" w:hAnsi="宋体" w:cs="宋体"/>
          <w:color w:val="000000" w:themeColor="text1"/>
          <w:szCs w:val="21"/>
          <w14:textFill>
            <w14:solidFill>
              <w14:schemeClr w14:val="tx1"/>
            </w14:solidFill>
          </w14:textFill>
        </w:rPr>
        <w:t>处</w:t>
      </w:r>
      <w:r>
        <w:rPr>
          <w:rFonts w:hint="eastAsia" w:ascii="宋体" w:hAnsi="宋体" w:cs="MS Gothic"/>
          <w:color w:val="000000" w:themeColor="text1"/>
          <w:szCs w:val="21"/>
          <w14:textFill>
            <w14:solidFill>
              <w14:schemeClr w14:val="tx1"/>
            </w14:solidFill>
          </w14:textFill>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序号</w:t>
            </w: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地区</w:t>
            </w: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分公司</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办</w:t>
            </w:r>
            <w:r>
              <w:rPr>
                <w:rFonts w:hint="eastAsia" w:ascii="宋体" w:hAnsi="宋体" w:cs="MS Gothic"/>
                <w:color w:val="000000" w:themeColor="text1"/>
                <w:spacing w:val="20"/>
                <w:szCs w:val="21"/>
                <w14:textFill>
                  <w14:solidFill>
                    <w14:schemeClr w14:val="tx1"/>
                  </w14:solidFill>
                </w14:textFill>
              </w:rPr>
              <w:t>事</w:t>
            </w:r>
            <w:r>
              <w:rPr>
                <w:rFonts w:hint="eastAsia" w:ascii="宋体" w:hAnsi="宋体" w:cs="宋体"/>
                <w:color w:val="000000" w:themeColor="text1"/>
                <w:spacing w:val="20"/>
                <w:szCs w:val="21"/>
                <w14:textFill>
                  <w14:solidFill>
                    <w14:schemeClr w14:val="tx1"/>
                  </w14:solidFill>
                </w14:textFill>
              </w:rPr>
              <w:t>处</w:t>
            </w:r>
            <w:r>
              <w:rPr>
                <w:rFonts w:hint="eastAsia" w:ascii="宋体" w:hAnsi="宋体" w:cs="MS Gothic"/>
                <w:color w:val="000000" w:themeColor="text1"/>
                <w:spacing w:val="20"/>
                <w:szCs w:val="21"/>
                <w14:textFill>
                  <w14:solidFill>
                    <w14:schemeClr w14:val="tx1"/>
                  </w14:solidFill>
                </w14:textFill>
              </w:rPr>
              <w:t>地址</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联</w:t>
            </w:r>
            <w:r>
              <w:rPr>
                <w:rFonts w:hint="eastAsia" w:ascii="宋体" w:hAnsi="宋体" w:cs="MS Gothic"/>
                <w:color w:val="000000" w:themeColor="text1"/>
                <w:spacing w:val="20"/>
                <w:szCs w:val="21"/>
                <w14:textFill>
                  <w14:solidFill>
                    <w14:schemeClr w14:val="tx1"/>
                  </w14:solidFill>
                </w14:textFill>
              </w:rPr>
              <w:t>系</w:t>
            </w:r>
            <w:r>
              <w:rPr>
                <w:rFonts w:hint="eastAsia" w:ascii="宋体" w:hAnsi="宋体" w:cs="宋体"/>
                <w:color w:val="000000" w:themeColor="text1"/>
                <w:spacing w:val="20"/>
                <w:szCs w:val="21"/>
                <w14:textFill>
                  <w14:solidFill>
                    <w14:schemeClr w14:val="tx1"/>
                  </w14:solidFill>
                </w14:textFill>
              </w:rPr>
              <w:t>电话</w:t>
            </w: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负责</w:t>
            </w:r>
            <w:r>
              <w:rPr>
                <w:rFonts w:hint="eastAsia" w:ascii="宋体" w:hAnsi="宋体" w:cs="MS Gothic"/>
                <w:color w:val="000000" w:themeColor="text1"/>
                <w:spacing w:val="20"/>
                <w:szCs w:val="21"/>
                <w14:textFill>
                  <w14:solidFill>
                    <w14:schemeClr w14:val="tx1"/>
                  </w14:solidFill>
                </w14:textFill>
              </w:rPr>
              <w:t>人</w:t>
            </w: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技</w:t>
            </w:r>
            <w:r>
              <w:rPr>
                <w:rFonts w:hint="eastAsia" w:ascii="宋体" w:hAnsi="宋体" w:cs="宋体"/>
                <w:color w:val="000000" w:themeColor="text1"/>
                <w:spacing w:val="20"/>
                <w:szCs w:val="21"/>
                <w14:textFill>
                  <w14:solidFill>
                    <w14:schemeClr w14:val="tx1"/>
                  </w14:solidFill>
                </w14:textFill>
              </w:rPr>
              <w:t>术</w:t>
            </w:r>
            <w:r>
              <w:rPr>
                <w:rFonts w:hint="eastAsia" w:ascii="宋体" w:hAnsi="宋体" w:cs="MS Gothic"/>
                <w:color w:val="000000" w:themeColor="text1"/>
                <w:spacing w:val="20"/>
                <w:szCs w:val="21"/>
                <w14:textFill>
                  <w14:solidFill>
                    <w14:schemeClr w14:val="tx1"/>
                  </w14:solidFill>
                </w14:textFill>
              </w:rPr>
              <w:t>人</w:t>
            </w:r>
          </w:p>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商</w:t>
            </w:r>
            <w:r>
              <w:rPr>
                <w:rFonts w:hint="eastAsia" w:ascii="宋体" w:hAnsi="宋体" w:cs="宋体"/>
                <w:color w:val="000000" w:themeColor="text1"/>
                <w:spacing w:val="20"/>
                <w:szCs w:val="21"/>
                <w14:textFill>
                  <w14:solidFill>
                    <w14:schemeClr w14:val="tx1"/>
                  </w14:solidFill>
                </w14:textFill>
              </w:rPr>
              <w:t>务</w:t>
            </w:r>
            <w:r>
              <w:rPr>
                <w:rFonts w:hint="eastAsia" w:ascii="宋体" w:hAnsi="宋体" w:cs="MS Gothic"/>
                <w:color w:val="000000" w:themeColor="text1"/>
                <w:spacing w:val="20"/>
                <w:szCs w:val="21"/>
                <w14:textFill>
                  <w14:solidFill>
                    <w14:schemeClr w14:val="tx1"/>
                  </w14:solidFill>
                </w14:textFill>
              </w:rPr>
              <w:t>人</w:t>
            </w:r>
          </w:p>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bl>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研发能力及人员配备：</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有关开户银行的名称和地址：</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供应商所属的集团公司，如有的话：</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其他情况：</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签字人姓名和职务：</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签字人签字：</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签字日期：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电子函件：</w:t>
      </w:r>
      <w:r>
        <w:rPr>
          <w:rFonts w:hint="eastAsia" w:ascii="宋体" w:hAnsi="宋体"/>
          <w:color w:val="000000" w:themeColor="text1"/>
          <w:szCs w:val="21"/>
          <w14:textFill>
            <w14:solidFill>
              <w14:schemeClr w14:val="tx1"/>
            </w14:solidFill>
          </w14:textFill>
        </w:rPr>
        <w:br w:type="page"/>
      </w:r>
    </w:p>
    <w:p>
      <w:pPr>
        <w:pStyle w:val="2"/>
        <w:rPr>
          <w:rFonts w:ascii="黑体" w:eastAsia="黑体"/>
          <w:b/>
          <w:color w:val="000000" w:themeColor="text1"/>
          <w:sz w:val="21"/>
          <w:szCs w:val="24"/>
          <w14:textFill>
            <w14:solidFill>
              <w14:schemeClr w14:val="tx1"/>
            </w14:solidFill>
          </w14:textFill>
        </w:rPr>
      </w:pPr>
      <w:r>
        <w:rPr>
          <w:rFonts w:hint="eastAsia" w:ascii="黑体" w:eastAsia="黑体"/>
          <w:b/>
          <w:color w:val="000000" w:themeColor="text1"/>
          <w:sz w:val="21"/>
          <w:szCs w:val="24"/>
          <w14:textFill>
            <w14:solidFill>
              <w14:schemeClr w14:val="tx1"/>
            </w14:solidFill>
          </w14:textFill>
        </w:rPr>
        <w:t>6-3  资格要求证明材料</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p>
    <w:bookmarkEnd w:id="37"/>
    <w:bookmarkEnd w:id="65"/>
    <w:bookmarkEnd w:id="66"/>
    <w:bookmarkEnd w:id="67"/>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rFonts w:ascii="黑体" w:eastAsia="黑体"/>
          <w:b/>
          <w:color w:val="000000" w:themeColor="text1"/>
          <w:sz w:val="21"/>
          <w:szCs w:val="24"/>
          <w14:textFill>
            <w14:solidFill>
              <w14:schemeClr w14:val="tx1"/>
            </w14:solidFill>
          </w14:textFill>
        </w:rPr>
      </w:pPr>
      <w:bookmarkStart w:id="87" w:name="_Toc19572"/>
      <w:r>
        <w:rPr>
          <w:rFonts w:hint="eastAsia" w:ascii="黑体" w:eastAsia="黑体"/>
          <w:b/>
          <w:color w:val="000000" w:themeColor="text1"/>
          <w:sz w:val="21"/>
          <w:szCs w:val="24"/>
          <w14:textFill>
            <w14:solidFill>
              <w14:schemeClr w14:val="tx1"/>
            </w14:solidFill>
          </w14:textFill>
        </w:rPr>
        <w:t>6-4  供应商认为需要提供的其它证明材料</w:t>
      </w:r>
      <w:bookmarkEnd w:id="87"/>
    </w:p>
    <w:p>
      <w:pPr>
        <w:pStyle w:val="2"/>
        <w:rPr>
          <w:color w:val="000000" w:themeColor="text1"/>
          <w14:textFill>
            <w14:solidFill>
              <w14:schemeClr w14:val="tx1"/>
            </w14:solidFill>
          </w14:textFill>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4">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5">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6">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9">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0">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1">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2">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1"/>
  </w:num>
  <w:num w:numId="2">
    <w:abstractNumId w:val="10"/>
  </w:num>
  <w:num w:numId="3">
    <w:abstractNumId w:val="2"/>
  </w:num>
  <w:num w:numId="4">
    <w:abstractNumId w:val="1"/>
  </w:num>
  <w:num w:numId="5">
    <w:abstractNumId w:val="0"/>
  </w:num>
  <w:num w:numId="6">
    <w:abstractNumId w:val="6"/>
  </w:num>
  <w:num w:numId="7">
    <w:abstractNumId w:val="4"/>
  </w:num>
  <w:num w:numId="8">
    <w:abstractNumId w:val="5"/>
  </w:num>
  <w:num w:numId="9">
    <w:abstractNumId w:val="3"/>
  </w:num>
  <w:num w:numId="10">
    <w:abstractNumId w:val="7"/>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65B"/>
    <w:rsid w:val="00001D1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6E13"/>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65EA"/>
    <w:rsid w:val="00037097"/>
    <w:rsid w:val="00037954"/>
    <w:rsid w:val="00040F17"/>
    <w:rsid w:val="00041779"/>
    <w:rsid w:val="00042584"/>
    <w:rsid w:val="000438A5"/>
    <w:rsid w:val="00043F45"/>
    <w:rsid w:val="00045744"/>
    <w:rsid w:val="00045A14"/>
    <w:rsid w:val="00050BFA"/>
    <w:rsid w:val="00051071"/>
    <w:rsid w:val="0005189A"/>
    <w:rsid w:val="00053058"/>
    <w:rsid w:val="00053A52"/>
    <w:rsid w:val="00053B14"/>
    <w:rsid w:val="00053E94"/>
    <w:rsid w:val="0005497F"/>
    <w:rsid w:val="0005620D"/>
    <w:rsid w:val="00056D8B"/>
    <w:rsid w:val="00056FD5"/>
    <w:rsid w:val="000577B3"/>
    <w:rsid w:val="000578CD"/>
    <w:rsid w:val="0005799E"/>
    <w:rsid w:val="000579B7"/>
    <w:rsid w:val="000618EA"/>
    <w:rsid w:val="00061F51"/>
    <w:rsid w:val="00062008"/>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A28DA"/>
    <w:rsid w:val="000A3669"/>
    <w:rsid w:val="000A5155"/>
    <w:rsid w:val="000A688C"/>
    <w:rsid w:val="000A7250"/>
    <w:rsid w:val="000A72D9"/>
    <w:rsid w:val="000A7D58"/>
    <w:rsid w:val="000B02BC"/>
    <w:rsid w:val="000B11A0"/>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226A"/>
    <w:rsid w:val="000D3662"/>
    <w:rsid w:val="000D5292"/>
    <w:rsid w:val="000D54F8"/>
    <w:rsid w:val="000D66A3"/>
    <w:rsid w:val="000D6E29"/>
    <w:rsid w:val="000D6FBE"/>
    <w:rsid w:val="000E0500"/>
    <w:rsid w:val="000E3F42"/>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471E"/>
    <w:rsid w:val="00115AC1"/>
    <w:rsid w:val="00117CA9"/>
    <w:rsid w:val="0012233A"/>
    <w:rsid w:val="00123B7D"/>
    <w:rsid w:val="00124678"/>
    <w:rsid w:val="001267E8"/>
    <w:rsid w:val="0012786A"/>
    <w:rsid w:val="00127D0A"/>
    <w:rsid w:val="0013034C"/>
    <w:rsid w:val="0013062F"/>
    <w:rsid w:val="001306F9"/>
    <w:rsid w:val="00130F8C"/>
    <w:rsid w:val="00131658"/>
    <w:rsid w:val="00133D00"/>
    <w:rsid w:val="00133D94"/>
    <w:rsid w:val="0013411C"/>
    <w:rsid w:val="001345BD"/>
    <w:rsid w:val="001354DA"/>
    <w:rsid w:val="00136B87"/>
    <w:rsid w:val="0013763D"/>
    <w:rsid w:val="001404C4"/>
    <w:rsid w:val="00141AE1"/>
    <w:rsid w:val="00141DEE"/>
    <w:rsid w:val="001424F4"/>
    <w:rsid w:val="001437EE"/>
    <w:rsid w:val="001453C5"/>
    <w:rsid w:val="00147621"/>
    <w:rsid w:val="00147FB5"/>
    <w:rsid w:val="00150FE4"/>
    <w:rsid w:val="00151447"/>
    <w:rsid w:val="00151FAB"/>
    <w:rsid w:val="0015329D"/>
    <w:rsid w:val="00154AE8"/>
    <w:rsid w:val="00154B29"/>
    <w:rsid w:val="00154BF3"/>
    <w:rsid w:val="00154CBB"/>
    <w:rsid w:val="00155F8E"/>
    <w:rsid w:val="00156879"/>
    <w:rsid w:val="0015708F"/>
    <w:rsid w:val="00157313"/>
    <w:rsid w:val="001609CF"/>
    <w:rsid w:val="001618E3"/>
    <w:rsid w:val="00161FB9"/>
    <w:rsid w:val="00162672"/>
    <w:rsid w:val="00162D92"/>
    <w:rsid w:val="00163258"/>
    <w:rsid w:val="001636DE"/>
    <w:rsid w:val="0016388E"/>
    <w:rsid w:val="00163E91"/>
    <w:rsid w:val="001659CD"/>
    <w:rsid w:val="00167496"/>
    <w:rsid w:val="00167A90"/>
    <w:rsid w:val="001708C4"/>
    <w:rsid w:val="00170BE5"/>
    <w:rsid w:val="00171FDA"/>
    <w:rsid w:val="00172446"/>
    <w:rsid w:val="00172B39"/>
    <w:rsid w:val="001730DF"/>
    <w:rsid w:val="001738F1"/>
    <w:rsid w:val="00173A45"/>
    <w:rsid w:val="001759B2"/>
    <w:rsid w:val="00175A52"/>
    <w:rsid w:val="001764D0"/>
    <w:rsid w:val="00176D2C"/>
    <w:rsid w:val="00176FDB"/>
    <w:rsid w:val="00177676"/>
    <w:rsid w:val="00177E3C"/>
    <w:rsid w:val="00181462"/>
    <w:rsid w:val="0018189F"/>
    <w:rsid w:val="0018438A"/>
    <w:rsid w:val="00185166"/>
    <w:rsid w:val="001860BE"/>
    <w:rsid w:val="001904CE"/>
    <w:rsid w:val="00191298"/>
    <w:rsid w:val="001920C1"/>
    <w:rsid w:val="00193181"/>
    <w:rsid w:val="00193824"/>
    <w:rsid w:val="00193956"/>
    <w:rsid w:val="00193B89"/>
    <w:rsid w:val="00193D2E"/>
    <w:rsid w:val="0019533E"/>
    <w:rsid w:val="001959D9"/>
    <w:rsid w:val="00195AC0"/>
    <w:rsid w:val="00195E9D"/>
    <w:rsid w:val="001962C0"/>
    <w:rsid w:val="00196E74"/>
    <w:rsid w:val="001A116E"/>
    <w:rsid w:val="001A1846"/>
    <w:rsid w:val="001A1988"/>
    <w:rsid w:val="001A1B66"/>
    <w:rsid w:val="001A22A3"/>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1C9B"/>
    <w:rsid w:val="001C2886"/>
    <w:rsid w:val="001C28DC"/>
    <w:rsid w:val="001C32A3"/>
    <w:rsid w:val="001C3919"/>
    <w:rsid w:val="001C4283"/>
    <w:rsid w:val="001C5180"/>
    <w:rsid w:val="001C598B"/>
    <w:rsid w:val="001C6E87"/>
    <w:rsid w:val="001C71DD"/>
    <w:rsid w:val="001C7286"/>
    <w:rsid w:val="001C7EA2"/>
    <w:rsid w:val="001D0F65"/>
    <w:rsid w:val="001D1377"/>
    <w:rsid w:val="001D23D9"/>
    <w:rsid w:val="001D2705"/>
    <w:rsid w:val="001D34DC"/>
    <w:rsid w:val="001D375F"/>
    <w:rsid w:val="001D384F"/>
    <w:rsid w:val="001D415F"/>
    <w:rsid w:val="001D4EE6"/>
    <w:rsid w:val="001D6C53"/>
    <w:rsid w:val="001D73F4"/>
    <w:rsid w:val="001D7B98"/>
    <w:rsid w:val="001E16C1"/>
    <w:rsid w:val="001E200F"/>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1F1E"/>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883"/>
    <w:rsid w:val="00217FE0"/>
    <w:rsid w:val="00220C69"/>
    <w:rsid w:val="0022136D"/>
    <w:rsid w:val="002225AD"/>
    <w:rsid w:val="00223502"/>
    <w:rsid w:val="00223BB5"/>
    <w:rsid w:val="00224456"/>
    <w:rsid w:val="0022501D"/>
    <w:rsid w:val="00226F02"/>
    <w:rsid w:val="0022732E"/>
    <w:rsid w:val="002273BE"/>
    <w:rsid w:val="00227953"/>
    <w:rsid w:val="00227DB7"/>
    <w:rsid w:val="002322AB"/>
    <w:rsid w:val="002338C7"/>
    <w:rsid w:val="00233F18"/>
    <w:rsid w:val="0023456B"/>
    <w:rsid w:val="002347CA"/>
    <w:rsid w:val="00235732"/>
    <w:rsid w:val="00235961"/>
    <w:rsid w:val="00236180"/>
    <w:rsid w:val="00237DAF"/>
    <w:rsid w:val="00237FA2"/>
    <w:rsid w:val="00240411"/>
    <w:rsid w:val="00240D7C"/>
    <w:rsid w:val="00240F58"/>
    <w:rsid w:val="00241B08"/>
    <w:rsid w:val="00242670"/>
    <w:rsid w:val="00242D72"/>
    <w:rsid w:val="0024300F"/>
    <w:rsid w:val="002430DE"/>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574AA"/>
    <w:rsid w:val="00262084"/>
    <w:rsid w:val="002628B4"/>
    <w:rsid w:val="00263946"/>
    <w:rsid w:val="00263ECA"/>
    <w:rsid w:val="0026496B"/>
    <w:rsid w:val="00265008"/>
    <w:rsid w:val="0026539D"/>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2C2"/>
    <w:rsid w:val="002848E8"/>
    <w:rsid w:val="00285002"/>
    <w:rsid w:val="0028542B"/>
    <w:rsid w:val="002871C9"/>
    <w:rsid w:val="0028791B"/>
    <w:rsid w:val="002912E5"/>
    <w:rsid w:val="00293B1A"/>
    <w:rsid w:val="00293EF5"/>
    <w:rsid w:val="00296281"/>
    <w:rsid w:val="00296FB0"/>
    <w:rsid w:val="002977C3"/>
    <w:rsid w:val="002A09B2"/>
    <w:rsid w:val="002A0AA1"/>
    <w:rsid w:val="002A18B6"/>
    <w:rsid w:val="002A20BE"/>
    <w:rsid w:val="002A31A6"/>
    <w:rsid w:val="002A398F"/>
    <w:rsid w:val="002A51DC"/>
    <w:rsid w:val="002A57B4"/>
    <w:rsid w:val="002A63D6"/>
    <w:rsid w:val="002A6A43"/>
    <w:rsid w:val="002A6ADA"/>
    <w:rsid w:val="002A77CF"/>
    <w:rsid w:val="002B07CB"/>
    <w:rsid w:val="002B0F93"/>
    <w:rsid w:val="002B271D"/>
    <w:rsid w:val="002B274E"/>
    <w:rsid w:val="002B30A8"/>
    <w:rsid w:val="002B3E52"/>
    <w:rsid w:val="002C0317"/>
    <w:rsid w:val="002C1A9F"/>
    <w:rsid w:val="002C1F7C"/>
    <w:rsid w:val="002C3B37"/>
    <w:rsid w:val="002C4DE8"/>
    <w:rsid w:val="002C547D"/>
    <w:rsid w:val="002C607F"/>
    <w:rsid w:val="002C6F2C"/>
    <w:rsid w:val="002C7F8D"/>
    <w:rsid w:val="002D0673"/>
    <w:rsid w:val="002D0A8D"/>
    <w:rsid w:val="002D0B99"/>
    <w:rsid w:val="002D1A25"/>
    <w:rsid w:val="002D1EF2"/>
    <w:rsid w:val="002D24AE"/>
    <w:rsid w:val="002D3C6B"/>
    <w:rsid w:val="002D3F7C"/>
    <w:rsid w:val="002D5AC3"/>
    <w:rsid w:val="002D65FA"/>
    <w:rsid w:val="002D706B"/>
    <w:rsid w:val="002E0999"/>
    <w:rsid w:val="002E0F8F"/>
    <w:rsid w:val="002E1BA5"/>
    <w:rsid w:val="002E2877"/>
    <w:rsid w:val="002E4AAE"/>
    <w:rsid w:val="002E5A36"/>
    <w:rsid w:val="002E7F6B"/>
    <w:rsid w:val="002F0F55"/>
    <w:rsid w:val="002F140F"/>
    <w:rsid w:val="002F24DB"/>
    <w:rsid w:val="002F2F96"/>
    <w:rsid w:val="002F30A4"/>
    <w:rsid w:val="002F3ECC"/>
    <w:rsid w:val="002F4C62"/>
    <w:rsid w:val="002F54D3"/>
    <w:rsid w:val="002F5548"/>
    <w:rsid w:val="002F58A2"/>
    <w:rsid w:val="002F5C10"/>
    <w:rsid w:val="002F65C2"/>
    <w:rsid w:val="00300124"/>
    <w:rsid w:val="00300CA0"/>
    <w:rsid w:val="003018A3"/>
    <w:rsid w:val="00301ABD"/>
    <w:rsid w:val="003020BC"/>
    <w:rsid w:val="00302EBB"/>
    <w:rsid w:val="0030349C"/>
    <w:rsid w:val="003035C2"/>
    <w:rsid w:val="00303BFF"/>
    <w:rsid w:val="003044CF"/>
    <w:rsid w:val="00304BAC"/>
    <w:rsid w:val="00304D7F"/>
    <w:rsid w:val="0030539C"/>
    <w:rsid w:val="003054B0"/>
    <w:rsid w:val="003066EF"/>
    <w:rsid w:val="0030688F"/>
    <w:rsid w:val="003109D7"/>
    <w:rsid w:val="00310C07"/>
    <w:rsid w:val="00311B3A"/>
    <w:rsid w:val="00311FBD"/>
    <w:rsid w:val="0031392C"/>
    <w:rsid w:val="00314A42"/>
    <w:rsid w:val="003179F8"/>
    <w:rsid w:val="00317C08"/>
    <w:rsid w:val="0032052D"/>
    <w:rsid w:val="00320DFF"/>
    <w:rsid w:val="003225E3"/>
    <w:rsid w:val="00323914"/>
    <w:rsid w:val="00324A2F"/>
    <w:rsid w:val="0032562C"/>
    <w:rsid w:val="00325CE2"/>
    <w:rsid w:val="00327EC4"/>
    <w:rsid w:val="003305F0"/>
    <w:rsid w:val="00331D34"/>
    <w:rsid w:val="00332EBF"/>
    <w:rsid w:val="003336F4"/>
    <w:rsid w:val="0033591B"/>
    <w:rsid w:val="00336DFE"/>
    <w:rsid w:val="00340248"/>
    <w:rsid w:val="003411C2"/>
    <w:rsid w:val="00342032"/>
    <w:rsid w:val="00342CA6"/>
    <w:rsid w:val="00343793"/>
    <w:rsid w:val="0034452F"/>
    <w:rsid w:val="00345331"/>
    <w:rsid w:val="0034674C"/>
    <w:rsid w:val="0034677A"/>
    <w:rsid w:val="003506BB"/>
    <w:rsid w:val="00350958"/>
    <w:rsid w:val="00351301"/>
    <w:rsid w:val="00351A4B"/>
    <w:rsid w:val="00352C45"/>
    <w:rsid w:val="00352D6D"/>
    <w:rsid w:val="00352DC2"/>
    <w:rsid w:val="00354772"/>
    <w:rsid w:val="00354782"/>
    <w:rsid w:val="00355E15"/>
    <w:rsid w:val="0035600E"/>
    <w:rsid w:val="00356423"/>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3B3E"/>
    <w:rsid w:val="003A4129"/>
    <w:rsid w:val="003A5617"/>
    <w:rsid w:val="003A5B77"/>
    <w:rsid w:val="003A61A5"/>
    <w:rsid w:val="003A635B"/>
    <w:rsid w:val="003A7B17"/>
    <w:rsid w:val="003B0033"/>
    <w:rsid w:val="003B0E45"/>
    <w:rsid w:val="003B2C64"/>
    <w:rsid w:val="003B3BED"/>
    <w:rsid w:val="003B3D55"/>
    <w:rsid w:val="003B4431"/>
    <w:rsid w:val="003B5210"/>
    <w:rsid w:val="003B5605"/>
    <w:rsid w:val="003B5EB6"/>
    <w:rsid w:val="003B652A"/>
    <w:rsid w:val="003B6D44"/>
    <w:rsid w:val="003B7A81"/>
    <w:rsid w:val="003C04AD"/>
    <w:rsid w:val="003C16C9"/>
    <w:rsid w:val="003C1CA7"/>
    <w:rsid w:val="003C1F52"/>
    <w:rsid w:val="003C2093"/>
    <w:rsid w:val="003C58D8"/>
    <w:rsid w:val="003C61E9"/>
    <w:rsid w:val="003C7561"/>
    <w:rsid w:val="003C7928"/>
    <w:rsid w:val="003C7C54"/>
    <w:rsid w:val="003D063B"/>
    <w:rsid w:val="003D0945"/>
    <w:rsid w:val="003D1E0B"/>
    <w:rsid w:val="003D1EFA"/>
    <w:rsid w:val="003D2EF6"/>
    <w:rsid w:val="003D3DA9"/>
    <w:rsid w:val="003D41C8"/>
    <w:rsid w:val="003D59A5"/>
    <w:rsid w:val="003D59E0"/>
    <w:rsid w:val="003D7647"/>
    <w:rsid w:val="003E10C1"/>
    <w:rsid w:val="003E183C"/>
    <w:rsid w:val="003E1BEF"/>
    <w:rsid w:val="003E3225"/>
    <w:rsid w:val="003E5F22"/>
    <w:rsid w:val="003E6A17"/>
    <w:rsid w:val="003E794B"/>
    <w:rsid w:val="003E7A69"/>
    <w:rsid w:val="003F0D93"/>
    <w:rsid w:val="003F138D"/>
    <w:rsid w:val="003F216D"/>
    <w:rsid w:val="003F360C"/>
    <w:rsid w:val="003F4C7C"/>
    <w:rsid w:val="003F4E03"/>
    <w:rsid w:val="003F60F1"/>
    <w:rsid w:val="003F6412"/>
    <w:rsid w:val="003F6ED2"/>
    <w:rsid w:val="003F7664"/>
    <w:rsid w:val="003F7EBD"/>
    <w:rsid w:val="00400138"/>
    <w:rsid w:val="0040070B"/>
    <w:rsid w:val="00400873"/>
    <w:rsid w:val="004011D2"/>
    <w:rsid w:val="004055F1"/>
    <w:rsid w:val="00405B38"/>
    <w:rsid w:val="00407BD1"/>
    <w:rsid w:val="00407EEE"/>
    <w:rsid w:val="0041014B"/>
    <w:rsid w:val="00410A41"/>
    <w:rsid w:val="0041267C"/>
    <w:rsid w:val="00412855"/>
    <w:rsid w:val="0041299D"/>
    <w:rsid w:val="00414098"/>
    <w:rsid w:val="00414316"/>
    <w:rsid w:val="00414C51"/>
    <w:rsid w:val="004151B4"/>
    <w:rsid w:val="004166D8"/>
    <w:rsid w:val="00421886"/>
    <w:rsid w:val="00421DB2"/>
    <w:rsid w:val="00421DBE"/>
    <w:rsid w:val="004223E1"/>
    <w:rsid w:val="004226C7"/>
    <w:rsid w:val="00423970"/>
    <w:rsid w:val="00424449"/>
    <w:rsid w:val="00426010"/>
    <w:rsid w:val="00426B96"/>
    <w:rsid w:val="00426FD9"/>
    <w:rsid w:val="00427AF2"/>
    <w:rsid w:val="0043002B"/>
    <w:rsid w:val="00434AAE"/>
    <w:rsid w:val="00434DEA"/>
    <w:rsid w:val="00436147"/>
    <w:rsid w:val="00436153"/>
    <w:rsid w:val="004369D4"/>
    <w:rsid w:val="00436D27"/>
    <w:rsid w:val="00440AA3"/>
    <w:rsid w:val="004416B7"/>
    <w:rsid w:val="00441BA6"/>
    <w:rsid w:val="00442840"/>
    <w:rsid w:val="004447F8"/>
    <w:rsid w:val="004454EF"/>
    <w:rsid w:val="00445BE7"/>
    <w:rsid w:val="004463F2"/>
    <w:rsid w:val="00446B22"/>
    <w:rsid w:val="004472C3"/>
    <w:rsid w:val="00447A8B"/>
    <w:rsid w:val="0045026C"/>
    <w:rsid w:val="00453075"/>
    <w:rsid w:val="00453AF0"/>
    <w:rsid w:val="00453CED"/>
    <w:rsid w:val="004568A8"/>
    <w:rsid w:val="00457347"/>
    <w:rsid w:val="00457459"/>
    <w:rsid w:val="00460414"/>
    <w:rsid w:val="004607C3"/>
    <w:rsid w:val="00460838"/>
    <w:rsid w:val="004611AD"/>
    <w:rsid w:val="00463598"/>
    <w:rsid w:val="00463956"/>
    <w:rsid w:val="0046498B"/>
    <w:rsid w:val="004663B1"/>
    <w:rsid w:val="00466DB6"/>
    <w:rsid w:val="00467E2B"/>
    <w:rsid w:val="00467FDA"/>
    <w:rsid w:val="00470024"/>
    <w:rsid w:val="00470730"/>
    <w:rsid w:val="00473658"/>
    <w:rsid w:val="00476330"/>
    <w:rsid w:val="00477EF6"/>
    <w:rsid w:val="004809A0"/>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3602"/>
    <w:rsid w:val="004C48F0"/>
    <w:rsid w:val="004C5137"/>
    <w:rsid w:val="004C6542"/>
    <w:rsid w:val="004D0B16"/>
    <w:rsid w:val="004D0C03"/>
    <w:rsid w:val="004D0FD1"/>
    <w:rsid w:val="004D1790"/>
    <w:rsid w:val="004D1F26"/>
    <w:rsid w:val="004D2528"/>
    <w:rsid w:val="004D28EA"/>
    <w:rsid w:val="004D3099"/>
    <w:rsid w:val="004D38A6"/>
    <w:rsid w:val="004D39FE"/>
    <w:rsid w:val="004D3A64"/>
    <w:rsid w:val="004D408D"/>
    <w:rsid w:val="004D46CB"/>
    <w:rsid w:val="004D4E05"/>
    <w:rsid w:val="004D5644"/>
    <w:rsid w:val="004D7389"/>
    <w:rsid w:val="004D7421"/>
    <w:rsid w:val="004E484D"/>
    <w:rsid w:val="004E486F"/>
    <w:rsid w:val="004E645E"/>
    <w:rsid w:val="004E6761"/>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4B1"/>
    <w:rsid w:val="00513F36"/>
    <w:rsid w:val="00514518"/>
    <w:rsid w:val="00514BDD"/>
    <w:rsid w:val="00515427"/>
    <w:rsid w:val="00516300"/>
    <w:rsid w:val="00516A5B"/>
    <w:rsid w:val="00516F8D"/>
    <w:rsid w:val="00517D26"/>
    <w:rsid w:val="005208D2"/>
    <w:rsid w:val="00520A0D"/>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4146"/>
    <w:rsid w:val="0053541D"/>
    <w:rsid w:val="00535BF7"/>
    <w:rsid w:val="00536E1F"/>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3F1D"/>
    <w:rsid w:val="0055501B"/>
    <w:rsid w:val="00555AB6"/>
    <w:rsid w:val="0056014B"/>
    <w:rsid w:val="00560349"/>
    <w:rsid w:val="0056075F"/>
    <w:rsid w:val="00560B57"/>
    <w:rsid w:val="00561407"/>
    <w:rsid w:val="00562135"/>
    <w:rsid w:val="005628ED"/>
    <w:rsid w:val="005630C9"/>
    <w:rsid w:val="00563240"/>
    <w:rsid w:val="005637E0"/>
    <w:rsid w:val="00566416"/>
    <w:rsid w:val="00566566"/>
    <w:rsid w:val="005671A8"/>
    <w:rsid w:val="00567932"/>
    <w:rsid w:val="005701FA"/>
    <w:rsid w:val="0057081A"/>
    <w:rsid w:val="00570E6B"/>
    <w:rsid w:val="0057148D"/>
    <w:rsid w:val="00571A6D"/>
    <w:rsid w:val="00573B44"/>
    <w:rsid w:val="00573DFD"/>
    <w:rsid w:val="00575217"/>
    <w:rsid w:val="00575725"/>
    <w:rsid w:val="00575A46"/>
    <w:rsid w:val="005774B5"/>
    <w:rsid w:val="00581791"/>
    <w:rsid w:val="00581B38"/>
    <w:rsid w:val="00584658"/>
    <w:rsid w:val="00585F0B"/>
    <w:rsid w:val="00586787"/>
    <w:rsid w:val="00587B7E"/>
    <w:rsid w:val="00590759"/>
    <w:rsid w:val="005909E6"/>
    <w:rsid w:val="00591493"/>
    <w:rsid w:val="00592E90"/>
    <w:rsid w:val="0059326F"/>
    <w:rsid w:val="005943C3"/>
    <w:rsid w:val="0059631C"/>
    <w:rsid w:val="00596569"/>
    <w:rsid w:val="0059660B"/>
    <w:rsid w:val="00596A81"/>
    <w:rsid w:val="005A0EB9"/>
    <w:rsid w:val="005A3404"/>
    <w:rsid w:val="005A48EB"/>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57C"/>
    <w:rsid w:val="005C1A0E"/>
    <w:rsid w:val="005C2992"/>
    <w:rsid w:val="005C33AD"/>
    <w:rsid w:val="005C3F69"/>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6B8"/>
    <w:rsid w:val="005E66F2"/>
    <w:rsid w:val="005E69F1"/>
    <w:rsid w:val="005E739F"/>
    <w:rsid w:val="005E7520"/>
    <w:rsid w:val="005F0CAB"/>
    <w:rsid w:val="005F0D66"/>
    <w:rsid w:val="005F0E61"/>
    <w:rsid w:val="005F1861"/>
    <w:rsid w:val="005F2B9A"/>
    <w:rsid w:val="005F2BD7"/>
    <w:rsid w:val="005F3181"/>
    <w:rsid w:val="005F4163"/>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368D"/>
    <w:rsid w:val="00613AF8"/>
    <w:rsid w:val="00613BB9"/>
    <w:rsid w:val="00614B61"/>
    <w:rsid w:val="00614BEA"/>
    <w:rsid w:val="0061556D"/>
    <w:rsid w:val="00616317"/>
    <w:rsid w:val="00616D44"/>
    <w:rsid w:val="00616F6D"/>
    <w:rsid w:val="00617335"/>
    <w:rsid w:val="00620370"/>
    <w:rsid w:val="00620ABA"/>
    <w:rsid w:val="0062180D"/>
    <w:rsid w:val="00621A2C"/>
    <w:rsid w:val="00621AF9"/>
    <w:rsid w:val="0062236E"/>
    <w:rsid w:val="00622D0E"/>
    <w:rsid w:val="00624CD7"/>
    <w:rsid w:val="0062665F"/>
    <w:rsid w:val="006272D3"/>
    <w:rsid w:val="006277CE"/>
    <w:rsid w:val="00627A32"/>
    <w:rsid w:val="00627C51"/>
    <w:rsid w:val="00630099"/>
    <w:rsid w:val="00630515"/>
    <w:rsid w:val="00630BBC"/>
    <w:rsid w:val="00631D27"/>
    <w:rsid w:val="00632E9C"/>
    <w:rsid w:val="006334C8"/>
    <w:rsid w:val="006336BB"/>
    <w:rsid w:val="00633F49"/>
    <w:rsid w:val="00634457"/>
    <w:rsid w:val="00634607"/>
    <w:rsid w:val="00634CE0"/>
    <w:rsid w:val="00635FEF"/>
    <w:rsid w:val="00636808"/>
    <w:rsid w:val="00636CFC"/>
    <w:rsid w:val="006373B9"/>
    <w:rsid w:val="006416E7"/>
    <w:rsid w:val="006432A5"/>
    <w:rsid w:val="0064374C"/>
    <w:rsid w:val="00644070"/>
    <w:rsid w:val="00644955"/>
    <w:rsid w:val="00646026"/>
    <w:rsid w:val="00646477"/>
    <w:rsid w:val="006469B1"/>
    <w:rsid w:val="00650384"/>
    <w:rsid w:val="00652DE7"/>
    <w:rsid w:val="00654E77"/>
    <w:rsid w:val="0065606C"/>
    <w:rsid w:val="00656628"/>
    <w:rsid w:val="006609AE"/>
    <w:rsid w:val="006617C2"/>
    <w:rsid w:val="00661C51"/>
    <w:rsid w:val="006620D5"/>
    <w:rsid w:val="00662A9F"/>
    <w:rsid w:val="00663485"/>
    <w:rsid w:val="00663B61"/>
    <w:rsid w:val="006644E5"/>
    <w:rsid w:val="006648EB"/>
    <w:rsid w:val="00664E16"/>
    <w:rsid w:val="00665858"/>
    <w:rsid w:val="00665C66"/>
    <w:rsid w:val="006663B5"/>
    <w:rsid w:val="00666879"/>
    <w:rsid w:val="00666B9F"/>
    <w:rsid w:val="00671145"/>
    <w:rsid w:val="00674203"/>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4532"/>
    <w:rsid w:val="00685F82"/>
    <w:rsid w:val="00687D68"/>
    <w:rsid w:val="006906EF"/>
    <w:rsid w:val="00690B82"/>
    <w:rsid w:val="0069139D"/>
    <w:rsid w:val="00695D8D"/>
    <w:rsid w:val="00696195"/>
    <w:rsid w:val="00696B7F"/>
    <w:rsid w:val="0069737B"/>
    <w:rsid w:val="0069750C"/>
    <w:rsid w:val="006A00AF"/>
    <w:rsid w:val="006A0495"/>
    <w:rsid w:val="006A0780"/>
    <w:rsid w:val="006A0950"/>
    <w:rsid w:val="006A0B45"/>
    <w:rsid w:val="006A2849"/>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59B6"/>
    <w:rsid w:val="006B5A2F"/>
    <w:rsid w:val="006B7742"/>
    <w:rsid w:val="006B7E51"/>
    <w:rsid w:val="006C236D"/>
    <w:rsid w:val="006C24A2"/>
    <w:rsid w:val="006C3531"/>
    <w:rsid w:val="006C5446"/>
    <w:rsid w:val="006C5828"/>
    <w:rsid w:val="006C6482"/>
    <w:rsid w:val="006C65C2"/>
    <w:rsid w:val="006C739D"/>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230F"/>
    <w:rsid w:val="006E32DB"/>
    <w:rsid w:val="006E3847"/>
    <w:rsid w:val="006E38B9"/>
    <w:rsid w:val="006E43A2"/>
    <w:rsid w:val="006E5842"/>
    <w:rsid w:val="006E7D5D"/>
    <w:rsid w:val="006F0B9C"/>
    <w:rsid w:val="006F0D0A"/>
    <w:rsid w:val="006F2EB0"/>
    <w:rsid w:val="006F34DE"/>
    <w:rsid w:val="006F51A0"/>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93E"/>
    <w:rsid w:val="00711CFB"/>
    <w:rsid w:val="00712EF0"/>
    <w:rsid w:val="007132E7"/>
    <w:rsid w:val="00714276"/>
    <w:rsid w:val="007150CD"/>
    <w:rsid w:val="0071650C"/>
    <w:rsid w:val="00716D73"/>
    <w:rsid w:val="00721317"/>
    <w:rsid w:val="007218A2"/>
    <w:rsid w:val="00721AFA"/>
    <w:rsid w:val="007237EF"/>
    <w:rsid w:val="007238D5"/>
    <w:rsid w:val="00723B29"/>
    <w:rsid w:val="00726076"/>
    <w:rsid w:val="00727269"/>
    <w:rsid w:val="007275F8"/>
    <w:rsid w:val="00727962"/>
    <w:rsid w:val="00727BC4"/>
    <w:rsid w:val="00727BFE"/>
    <w:rsid w:val="007306FC"/>
    <w:rsid w:val="00730EEF"/>
    <w:rsid w:val="0073257C"/>
    <w:rsid w:val="007333EB"/>
    <w:rsid w:val="007349E8"/>
    <w:rsid w:val="00734F07"/>
    <w:rsid w:val="00735EAD"/>
    <w:rsid w:val="007361FA"/>
    <w:rsid w:val="007365B8"/>
    <w:rsid w:val="00736CC6"/>
    <w:rsid w:val="00736D87"/>
    <w:rsid w:val="007374F6"/>
    <w:rsid w:val="00737C7F"/>
    <w:rsid w:val="00737CB1"/>
    <w:rsid w:val="00740C3E"/>
    <w:rsid w:val="00740DA3"/>
    <w:rsid w:val="0074209F"/>
    <w:rsid w:val="0074255B"/>
    <w:rsid w:val="007431B7"/>
    <w:rsid w:val="00743FB5"/>
    <w:rsid w:val="00744032"/>
    <w:rsid w:val="007462FA"/>
    <w:rsid w:val="007474E1"/>
    <w:rsid w:val="00747804"/>
    <w:rsid w:val="00747907"/>
    <w:rsid w:val="007522AE"/>
    <w:rsid w:val="007537A3"/>
    <w:rsid w:val="00753B98"/>
    <w:rsid w:val="0075419E"/>
    <w:rsid w:val="0075476B"/>
    <w:rsid w:val="007554FA"/>
    <w:rsid w:val="00755A5D"/>
    <w:rsid w:val="00756FD6"/>
    <w:rsid w:val="007571D2"/>
    <w:rsid w:val="0076071C"/>
    <w:rsid w:val="00762DA6"/>
    <w:rsid w:val="007632BA"/>
    <w:rsid w:val="00764923"/>
    <w:rsid w:val="00765DD7"/>
    <w:rsid w:val="0077014F"/>
    <w:rsid w:val="00770312"/>
    <w:rsid w:val="007707C0"/>
    <w:rsid w:val="00770E3A"/>
    <w:rsid w:val="007721F5"/>
    <w:rsid w:val="00772563"/>
    <w:rsid w:val="00772D68"/>
    <w:rsid w:val="00773F70"/>
    <w:rsid w:val="00774A4B"/>
    <w:rsid w:val="007756F2"/>
    <w:rsid w:val="0077591D"/>
    <w:rsid w:val="00776526"/>
    <w:rsid w:val="007766B9"/>
    <w:rsid w:val="007801B9"/>
    <w:rsid w:val="0078061D"/>
    <w:rsid w:val="007819BB"/>
    <w:rsid w:val="00782301"/>
    <w:rsid w:val="00783197"/>
    <w:rsid w:val="00783925"/>
    <w:rsid w:val="007842B2"/>
    <w:rsid w:val="007853CA"/>
    <w:rsid w:val="00785C48"/>
    <w:rsid w:val="00785F05"/>
    <w:rsid w:val="00786912"/>
    <w:rsid w:val="00786CD3"/>
    <w:rsid w:val="00786CF4"/>
    <w:rsid w:val="00786E0B"/>
    <w:rsid w:val="00787E47"/>
    <w:rsid w:val="00787F31"/>
    <w:rsid w:val="00790301"/>
    <w:rsid w:val="00791C53"/>
    <w:rsid w:val="007924EF"/>
    <w:rsid w:val="007925BE"/>
    <w:rsid w:val="00793ADF"/>
    <w:rsid w:val="00793EA0"/>
    <w:rsid w:val="00793ECA"/>
    <w:rsid w:val="00794E01"/>
    <w:rsid w:val="00796145"/>
    <w:rsid w:val="00796FB3"/>
    <w:rsid w:val="007977A5"/>
    <w:rsid w:val="00797849"/>
    <w:rsid w:val="007A0B2F"/>
    <w:rsid w:val="007A1357"/>
    <w:rsid w:val="007A198B"/>
    <w:rsid w:val="007A1F66"/>
    <w:rsid w:val="007A1F68"/>
    <w:rsid w:val="007A23B5"/>
    <w:rsid w:val="007A29EC"/>
    <w:rsid w:val="007A2CC8"/>
    <w:rsid w:val="007A3BE3"/>
    <w:rsid w:val="007A415D"/>
    <w:rsid w:val="007A4915"/>
    <w:rsid w:val="007B09F9"/>
    <w:rsid w:val="007B0CB5"/>
    <w:rsid w:val="007B17F8"/>
    <w:rsid w:val="007B2A3A"/>
    <w:rsid w:val="007B3937"/>
    <w:rsid w:val="007B3C00"/>
    <w:rsid w:val="007C12AF"/>
    <w:rsid w:val="007C27D7"/>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D205A"/>
    <w:rsid w:val="007D5BCD"/>
    <w:rsid w:val="007D67FF"/>
    <w:rsid w:val="007D6890"/>
    <w:rsid w:val="007E0E71"/>
    <w:rsid w:val="007E1C82"/>
    <w:rsid w:val="007E1CAC"/>
    <w:rsid w:val="007E1D38"/>
    <w:rsid w:val="007E2972"/>
    <w:rsid w:val="007E482B"/>
    <w:rsid w:val="007E619D"/>
    <w:rsid w:val="007E7526"/>
    <w:rsid w:val="007E7DC1"/>
    <w:rsid w:val="007F1E33"/>
    <w:rsid w:val="007F2162"/>
    <w:rsid w:val="007F219C"/>
    <w:rsid w:val="007F3FB7"/>
    <w:rsid w:val="007F46C4"/>
    <w:rsid w:val="007F4BE5"/>
    <w:rsid w:val="007F4CA1"/>
    <w:rsid w:val="007F64F5"/>
    <w:rsid w:val="007F68CE"/>
    <w:rsid w:val="007F6A3D"/>
    <w:rsid w:val="007F75F7"/>
    <w:rsid w:val="007F781A"/>
    <w:rsid w:val="007F7BFC"/>
    <w:rsid w:val="007F7D95"/>
    <w:rsid w:val="00800EE5"/>
    <w:rsid w:val="00801CFD"/>
    <w:rsid w:val="00802070"/>
    <w:rsid w:val="00804E62"/>
    <w:rsid w:val="008054E6"/>
    <w:rsid w:val="008058B8"/>
    <w:rsid w:val="00805E9B"/>
    <w:rsid w:val="008070FF"/>
    <w:rsid w:val="008107DB"/>
    <w:rsid w:val="008120B6"/>
    <w:rsid w:val="008128A7"/>
    <w:rsid w:val="00812920"/>
    <w:rsid w:val="00812F69"/>
    <w:rsid w:val="008144DF"/>
    <w:rsid w:val="008147CE"/>
    <w:rsid w:val="00815478"/>
    <w:rsid w:val="00817423"/>
    <w:rsid w:val="0082056C"/>
    <w:rsid w:val="00820819"/>
    <w:rsid w:val="008208E5"/>
    <w:rsid w:val="00820E95"/>
    <w:rsid w:val="0082104F"/>
    <w:rsid w:val="00821191"/>
    <w:rsid w:val="00821445"/>
    <w:rsid w:val="00821D94"/>
    <w:rsid w:val="00822D52"/>
    <w:rsid w:val="00824205"/>
    <w:rsid w:val="00826F7D"/>
    <w:rsid w:val="00827672"/>
    <w:rsid w:val="0083009A"/>
    <w:rsid w:val="00830949"/>
    <w:rsid w:val="00831CBA"/>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4775"/>
    <w:rsid w:val="0086550A"/>
    <w:rsid w:val="00865B2F"/>
    <w:rsid w:val="00866B6D"/>
    <w:rsid w:val="00870253"/>
    <w:rsid w:val="008703F6"/>
    <w:rsid w:val="00871AB9"/>
    <w:rsid w:val="00872C9F"/>
    <w:rsid w:val="008732DF"/>
    <w:rsid w:val="00873411"/>
    <w:rsid w:val="008743A0"/>
    <w:rsid w:val="00874CD3"/>
    <w:rsid w:val="008759DE"/>
    <w:rsid w:val="00875A03"/>
    <w:rsid w:val="00877089"/>
    <w:rsid w:val="00877F6A"/>
    <w:rsid w:val="0088273E"/>
    <w:rsid w:val="008837EF"/>
    <w:rsid w:val="00883A60"/>
    <w:rsid w:val="00883F0F"/>
    <w:rsid w:val="008845F6"/>
    <w:rsid w:val="0088504D"/>
    <w:rsid w:val="0088577C"/>
    <w:rsid w:val="008861C5"/>
    <w:rsid w:val="008862AB"/>
    <w:rsid w:val="00892B6D"/>
    <w:rsid w:val="0089322E"/>
    <w:rsid w:val="00893D17"/>
    <w:rsid w:val="00893DF8"/>
    <w:rsid w:val="008947A2"/>
    <w:rsid w:val="008947BE"/>
    <w:rsid w:val="008968CC"/>
    <w:rsid w:val="00896AAF"/>
    <w:rsid w:val="00896CDF"/>
    <w:rsid w:val="008974DB"/>
    <w:rsid w:val="008A1DA2"/>
    <w:rsid w:val="008A3020"/>
    <w:rsid w:val="008A315D"/>
    <w:rsid w:val="008A4020"/>
    <w:rsid w:val="008A4346"/>
    <w:rsid w:val="008A4390"/>
    <w:rsid w:val="008A4A45"/>
    <w:rsid w:val="008A57D8"/>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1653"/>
    <w:rsid w:val="008C41AE"/>
    <w:rsid w:val="008C7458"/>
    <w:rsid w:val="008D1089"/>
    <w:rsid w:val="008D123E"/>
    <w:rsid w:val="008D16B7"/>
    <w:rsid w:val="008D1D1D"/>
    <w:rsid w:val="008D32F6"/>
    <w:rsid w:val="008D5892"/>
    <w:rsid w:val="008D68B3"/>
    <w:rsid w:val="008D6BF3"/>
    <w:rsid w:val="008D71EF"/>
    <w:rsid w:val="008D7264"/>
    <w:rsid w:val="008E0285"/>
    <w:rsid w:val="008E18CA"/>
    <w:rsid w:val="008E22E5"/>
    <w:rsid w:val="008E2B17"/>
    <w:rsid w:val="008E30E6"/>
    <w:rsid w:val="008E40DA"/>
    <w:rsid w:val="008E4215"/>
    <w:rsid w:val="008E5067"/>
    <w:rsid w:val="008E65A4"/>
    <w:rsid w:val="008F0E2E"/>
    <w:rsid w:val="008F1C28"/>
    <w:rsid w:val="008F49E2"/>
    <w:rsid w:val="008F6F63"/>
    <w:rsid w:val="008F7F90"/>
    <w:rsid w:val="0090066A"/>
    <w:rsid w:val="00900C74"/>
    <w:rsid w:val="00900D75"/>
    <w:rsid w:val="00900FD8"/>
    <w:rsid w:val="0090118F"/>
    <w:rsid w:val="00901489"/>
    <w:rsid w:val="00903353"/>
    <w:rsid w:val="00903A91"/>
    <w:rsid w:val="009046D8"/>
    <w:rsid w:val="00904E8A"/>
    <w:rsid w:val="0090784E"/>
    <w:rsid w:val="00907876"/>
    <w:rsid w:val="00907A35"/>
    <w:rsid w:val="00911DA5"/>
    <w:rsid w:val="009122C0"/>
    <w:rsid w:val="009140F3"/>
    <w:rsid w:val="0091504C"/>
    <w:rsid w:val="00915FF9"/>
    <w:rsid w:val="009166E2"/>
    <w:rsid w:val="00916C72"/>
    <w:rsid w:val="00917252"/>
    <w:rsid w:val="009176A5"/>
    <w:rsid w:val="00917C14"/>
    <w:rsid w:val="00917F72"/>
    <w:rsid w:val="009205A1"/>
    <w:rsid w:val="00920676"/>
    <w:rsid w:val="00920899"/>
    <w:rsid w:val="009212B4"/>
    <w:rsid w:val="00922B6D"/>
    <w:rsid w:val="00924060"/>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E90"/>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505BC"/>
    <w:rsid w:val="00951880"/>
    <w:rsid w:val="009540B2"/>
    <w:rsid w:val="0095523A"/>
    <w:rsid w:val="00955708"/>
    <w:rsid w:val="009565F7"/>
    <w:rsid w:val="00956BAB"/>
    <w:rsid w:val="009577FB"/>
    <w:rsid w:val="00960216"/>
    <w:rsid w:val="00960257"/>
    <w:rsid w:val="009603FE"/>
    <w:rsid w:val="00961795"/>
    <w:rsid w:val="00962378"/>
    <w:rsid w:val="00962CB4"/>
    <w:rsid w:val="00963201"/>
    <w:rsid w:val="00963D0F"/>
    <w:rsid w:val="00963DEF"/>
    <w:rsid w:val="00964107"/>
    <w:rsid w:val="00964591"/>
    <w:rsid w:val="0096551F"/>
    <w:rsid w:val="0096591F"/>
    <w:rsid w:val="0096693D"/>
    <w:rsid w:val="0097126D"/>
    <w:rsid w:val="00971644"/>
    <w:rsid w:val="009732CC"/>
    <w:rsid w:val="0097335B"/>
    <w:rsid w:val="00973A50"/>
    <w:rsid w:val="00974409"/>
    <w:rsid w:val="00974A07"/>
    <w:rsid w:val="00975573"/>
    <w:rsid w:val="00975F28"/>
    <w:rsid w:val="00976E34"/>
    <w:rsid w:val="009770E2"/>
    <w:rsid w:val="0097735E"/>
    <w:rsid w:val="00981266"/>
    <w:rsid w:val="0098194E"/>
    <w:rsid w:val="0098288F"/>
    <w:rsid w:val="009832FC"/>
    <w:rsid w:val="00984AFC"/>
    <w:rsid w:val="00985023"/>
    <w:rsid w:val="00986761"/>
    <w:rsid w:val="00987456"/>
    <w:rsid w:val="009907B1"/>
    <w:rsid w:val="00991B5D"/>
    <w:rsid w:val="00993093"/>
    <w:rsid w:val="009933A4"/>
    <w:rsid w:val="009942DA"/>
    <w:rsid w:val="00994BC6"/>
    <w:rsid w:val="0099528C"/>
    <w:rsid w:val="009952A4"/>
    <w:rsid w:val="00995CC5"/>
    <w:rsid w:val="00996E52"/>
    <w:rsid w:val="00997D2F"/>
    <w:rsid w:val="00997EB4"/>
    <w:rsid w:val="009A1670"/>
    <w:rsid w:val="009A2077"/>
    <w:rsid w:val="009A256B"/>
    <w:rsid w:val="009A3C5C"/>
    <w:rsid w:val="009A4828"/>
    <w:rsid w:val="009A486D"/>
    <w:rsid w:val="009A4E50"/>
    <w:rsid w:val="009A7F27"/>
    <w:rsid w:val="009B0BC3"/>
    <w:rsid w:val="009B16F9"/>
    <w:rsid w:val="009B1AA2"/>
    <w:rsid w:val="009B2E27"/>
    <w:rsid w:val="009B4CF6"/>
    <w:rsid w:val="009B57C8"/>
    <w:rsid w:val="009C01D5"/>
    <w:rsid w:val="009C02FA"/>
    <w:rsid w:val="009C08A1"/>
    <w:rsid w:val="009C0F6A"/>
    <w:rsid w:val="009C1119"/>
    <w:rsid w:val="009C1A8B"/>
    <w:rsid w:val="009C1EAD"/>
    <w:rsid w:val="009C3607"/>
    <w:rsid w:val="009C37F0"/>
    <w:rsid w:val="009C3D7A"/>
    <w:rsid w:val="009C4F5A"/>
    <w:rsid w:val="009C60B7"/>
    <w:rsid w:val="009C6B36"/>
    <w:rsid w:val="009C70B0"/>
    <w:rsid w:val="009D2126"/>
    <w:rsid w:val="009D23A2"/>
    <w:rsid w:val="009D28C8"/>
    <w:rsid w:val="009D30D8"/>
    <w:rsid w:val="009D39E8"/>
    <w:rsid w:val="009D6A68"/>
    <w:rsid w:val="009D7CF9"/>
    <w:rsid w:val="009D7D0A"/>
    <w:rsid w:val="009E013E"/>
    <w:rsid w:val="009E19FE"/>
    <w:rsid w:val="009E29A7"/>
    <w:rsid w:val="009E2F42"/>
    <w:rsid w:val="009E46C8"/>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0F1E"/>
    <w:rsid w:val="00A01341"/>
    <w:rsid w:val="00A02C8E"/>
    <w:rsid w:val="00A03185"/>
    <w:rsid w:val="00A03361"/>
    <w:rsid w:val="00A0349B"/>
    <w:rsid w:val="00A03B76"/>
    <w:rsid w:val="00A03EDC"/>
    <w:rsid w:val="00A05147"/>
    <w:rsid w:val="00A05B26"/>
    <w:rsid w:val="00A05E4C"/>
    <w:rsid w:val="00A06AF7"/>
    <w:rsid w:val="00A06D58"/>
    <w:rsid w:val="00A104A6"/>
    <w:rsid w:val="00A108A0"/>
    <w:rsid w:val="00A12A9D"/>
    <w:rsid w:val="00A12BC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46AFB"/>
    <w:rsid w:val="00A50397"/>
    <w:rsid w:val="00A50D1D"/>
    <w:rsid w:val="00A517F4"/>
    <w:rsid w:val="00A518D5"/>
    <w:rsid w:val="00A54988"/>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4D6D"/>
    <w:rsid w:val="00A75BB6"/>
    <w:rsid w:val="00A75C4E"/>
    <w:rsid w:val="00A75E3C"/>
    <w:rsid w:val="00A76790"/>
    <w:rsid w:val="00A7766D"/>
    <w:rsid w:val="00A77688"/>
    <w:rsid w:val="00A80D48"/>
    <w:rsid w:val="00A80E24"/>
    <w:rsid w:val="00A8109B"/>
    <w:rsid w:val="00A81F65"/>
    <w:rsid w:val="00A8386D"/>
    <w:rsid w:val="00A84AAE"/>
    <w:rsid w:val="00A8537F"/>
    <w:rsid w:val="00A858F3"/>
    <w:rsid w:val="00A86097"/>
    <w:rsid w:val="00A86F7F"/>
    <w:rsid w:val="00A90116"/>
    <w:rsid w:val="00A90FA3"/>
    <w:rsid w:val="00A91266"/>
    <w:rsid w:val="00A9230E"/>
    <w:rsid w:val="00A93DD0"/>
    <w:rsid w:val="00A95655"/>
    <w:rsid w:val="00A95D80"/>
    <w:rsid w:val="00A96736"/>
    <w:rsid w:val="00A96C60"/>
    <w:rsid w:val="00A96F72"/>
    <w:rsid w:val="00A97216"/>
    <w:rsid w:val="00AA18BE"/>
    <w:rsid w:val="00AA2E42"/>
    <w:rsid w:val="00AA30BA"/>
    <w:rsid w:val="00AA4DD6"/>
    <w:rsid w:val="00AA5311"/>
    <w:rsid w:val="00AA64DA"/>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6A2F"/>
    <w:rsid w:val="00AC6A3E"/>
    <w:rsid w:val="00AC7378"/>
    <w:rsid w:val="00AC7DDB"/>
    <w:rsid w:val="00AD0538"/>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5086"/>
    <w:rsid w:val="00AE5BE2"/>
    <w:rsid w:val="00AE6186"/>
    <w:rsid w:val="00AE633D"/>
    <w:rsid w:val="00AE6AD7"/>
    <w:rsid w:val="00AE74DF"/>
    <w:rsid w:val="00AE7976"/>
    <w:rsid w:val="00AF0425"/>
    <w:rsid w:val="00AF0F41"/>
    <w:rsid w:val="00AF1CFE"/>
    <w:rsid w:val="00AF221A"/>
    <w:rsid w:val="00AF2714"/>
    <w:rsid w:val="00AF3341"/>
    <w:rsid w:val="00AF340F"/>
    <w:rsid w:val="00AF46FC"/>
    <w:rsid w:val="00AF4A6E"/>
    <w:rsid w:val="00AF4E21"/>
    <w:rsid w:val="00AF6727"/>
    <w:rsid w:val="00AF7E7E"/>
    <w:rsid w:val="00B00D17"/>
    <w:rsid w:val="00B01D29"/>
    <w:rsid w:val="00B0250F"/>
    <w:rsid w:val="00B03DC7"/>
    <w:rsid w:val="00B040A0"/>
    <w:rsid w:val="00B046F6"/>
    <w:rsid w:val="00B05276"/>
    <w:rsid w:val="00B05CCB"/>
    <w:rsid w:val="00B0606D"/>
    <w:rsid w:val="00B07369"/>
    <w:rsid w:val="00B07CF5"/>
    <w:rsid w:val="00B11143"/>
    <w:rsid w:val="00B11D22"/>
    <w:rsid w:val="00B11EF8"/>
    <w:rsid w:val="00B17968"/>
    <w:rsid w:val="00B203C6"/>
    <w:rsid w:val="00B20651"/>
    <w:rsid w:val="00B20AFF"/>
    <w:rsid w:val="00B223B8"/>
    <w:rsid w:val="00B232C2"/>
    <w:rsid w:val="00B24186"/>
    <w:rsid w:val="00B2443F"/>
    <w:rsid w:val="00B27F15"/>
    <w:rsid w:val="00B3059B"/>
    <w:rsid w:val="00B31A51"/>
    <w:rsid w:val="00B32917"/>
    <w:rsid w:val="00B32C50"/>
    <w:rsid w:val="00B3314B"/>
    <w:rsid w:val="00B36610"/>
    <w:rsid w:val="00B36A21"/>
    <w:rsid w:val="00B37CF6"/>
    <w:rsid w:val="00B412A6"/>
    <w:rsid w:val="00B42520"/>
    <w:rsid w:val="00B43956"/>
    <w:rsid w:val="00B4510D"/>
    <w:rsid w:val="00B461C2"/>
    <w:rsid w:val="00B47E12"/>
    <w:rsid w:val="00B51D10"/>
    <w:rsid w:val="00B51D89"/>
    <w:rsid w:val="00B51F3B"/>
    <w:rsid w:val="00B52EB5"/>
    <w:rsid w:val="00B53070"/>
    <w:rsid w:val="00B53E0C"/>
    <w:rsid w:val="00B540D6"/>
    <w:rsid w:val="00B54B12"/>
    <w:rsid w:val="00B554C6"/>
    <w:rsid w:val="00B55B59"/>
    <w:rsid w:val="00B55DFC"/>
    <w:rsid w:val="00B55FB6"/>
    <w:rsid w:val="00B576E9"/>
    <w:rsid w:val="00B60C2D"/>
    <w:rsid w:val="00B61AB1"/>
    <w:rsid w:val="00B63DCC"/>
    <w:rsid w:val="00B6456C"/>
    <w:rsid w:val="00B6699F"/>
    <w:rsid w:val="00B6701C"/>
    <w:rsid w:val="00B6744E"/>
    <w:rsid w:val="00B67BC4"/>
    <w:rsid w:val="00B706D9"/>
    <w:rsid w:val="00B7110B"/>
    <w:rsid w:val="00B71668"/>
    <w:rsid w:val="00B71A2D"/>
    <w:rsid w:val="00B73931"/>
    <w:rsid w:val="00B764D5"/>
    <w:rsid w:val="00B76C86"/>
    <w:rsid w:val="00B76E1B"/>
    <w:rsid w:val="00B77704"/>
    <w:rsid w:val="00B80ED8"/>
    <w:rsid w:val="00B80F35"/>
    <w:rsid w:val="00B82677"/>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3A6F"/>
    <w:rsid w:val="00B93CE5"/>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D56"/>
    <w:rsid w:val="00BA5E52"/>
    <w:rsid w:val="00BA6504"/>
    <w:rsid w:val="00BA6704"/>
    <w:rsid w:val="00BA7E01"/>
    <w:rsid w:val="00BB0E67"/>
    <w:rsid w:val="00BB0F2C"/>
    <w:rsid w:val="00BB1BD0"/>
    <w:rsid w:val="00BB31FD"/>
    <w:rsid w:val="00BB36E6"/>
    <w:rsid w:val="00BB4751"/>
    <w:rsid w:val="00BB47D2"/>
    <w:rsid w:val="00BB59D1"/>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D7807"/>
    <w:rsid w:val="00BE04FA"/>
    <w:rsid w:val="00BE0576"/>
    <w:rsid w:val="00BE16E8"/>
    <w:rsid w:val="00BE1F4B"/>
    <w:rsid w:val="00BE2111"/>
    <w:rsid w:val="00BE286C"/>
    <w:rsid w:val="00BE3108"/>
    <w:rsid w:val="00BE320A"/>
    <w:rsid w:val="00BE3C86"/>
    <w:rsid w:val="00BE5398"/>
    <w:rsid w:val="00BE6786"/>
    <w:rsid w:val="00BE71C0"/>
    <w:rsid w:val="00BE7242"/>
    <w:rsid w:val="00BF2ABC"/>
    <w:rsid w:val="00BF55D9"/>
    <w:rsid w:val="00BF6253"/>
    <w:rsid w:val="00BF6277"/>
    <w:rsid w:val="00BF6BC2"/>
    <w:rsid w:val="00BF72E6"/>
    <w:rsid w:val="00BF77DD"/>
    <w:rsid w:val="00BF7FA3"/>
    <w:rsid w:val="00C022FB"/>
    <w:rsid w:val="00C02B8C"/>
    <w:rsid w:val="00C047F6"/>
    <w:rsid w:val="00C04EE3"/>
    <w:rsid w:val="00C04F9E"/>
    <w:rsid w:val="00C05160"/>
    <w:rsid w:val="00C06549"/>
    <w:rsid w:val="00C06CB7"/>
    <w:rsid w:val="00C1241A"/>
    <w:rsid w:val="00C12D5A"/>
    <w:rsid w:val="00C138E9"/>
    <w:rsid w:val="00C146C1"/>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3D8B"/>
    <w:rsid w:val="00C349D3"/>
    <w:rsid w:val="00C35435"/>
    <w:rsid w:val="00C35578"/>
    <w:rsid w:val="00C37080"/>
    <w:rsid w:val="00C37364"/>
    <w:rsid w:val="00C3740E"/>
    <w:rsid w:val="00C377A2"/>
    <w:rsid w:val="00C3799C"/>
    <w:rsid w:val="00C403E4"/>
    <w:rsid w:val="00C4048F"/>
    <w:rsid w:val="00C40669"/>
    <w:rsid w:val="00C40DBD"/>
    <w:rsid w:val="00C41496"/>
    <w:rsid w:val="00C41848"/>
    <w:rsid w:val="00C441A4"/>
    <w:rsid w:val="00C46EB3"/>
    <w:rsid w:val="00C50B98"/>
    <w:rsid w:val="00C516A2"/>
    <w:rsid w:val="00C52197"/>
    <w:rsid w:val="00C5222B"/>
    <w:rsid w:val="00C527C1"/>
    <w:rsid w:val="00C52B66"/>
    <w:rsid w:val="00C53915"/>
    <w:rsid w:val="00C54296"/>
    <w:rsid w:val="00C55F2D"/>
    <w:rsid w:val="00C56740"/>
    <w:rsid w:val="00C577AE"/>
    <w:rsid w:val="00C61B66"/>
    <w:rsid w:val="00C61CF0"/>
    <w:rsid w:val="00C625CB"/>
    <w:rsid w:val="00C654BF"/>
    <w:rsid w:val="00C65931"/>
    <w:rsid w:val="00C670CA"/>
    <w:rsid w:val="00C67CE3"/>
    <w:rsid w:val="00C67FD0"/>
    <w:rsid w:val="00C703FE"/>
    <w:rsid w:val="00C70483"/>
    <w:rsid w:val="00C7065B"/>
    <w:rsid w:val="00C70D43"/>
    <w:rsid w:val="00C70DBB"/>
    <w:rsid w:val="00C745A7"/>
    <w:rsid w:val="00C7472D"/>
    <w:rsid w:val="00C74BF9"/>
    <w:rsid w:val="00C77881"/>
    <w:rsid w:val="00C77DD1"/>
    <w:rsid w:val="00C77E1E"/>
    <w:rsid w:val="00C80BD4"/>
    <w:rsid w:val="00C82877"/>
    <w:rsid w:val="00C833BA"/>
    <w:rsid w:val="00C83A12"/>
    <w:rsid w:val="00C84C1D"/>
    <w:rsid w:val="00C85E2D"/>
    <w:rsid w:val="00C86304"/>
    <w:rsid w:val="00C86F5E"/>
    <w:rsid w:val="00C90494"/>
    <w:rsid w:val="00C9053F"/>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4A09"/>
    <w:rsid w:val="00CA5324"/>
    <w:rsid w:val="00CA540A"/>
    <w:rsid w:val="00CA55DB"/>
    <w:rsid w:val="00CA5686"/>
    <w:rsid w:val="00CA5910"/>
    <w:rsid w:val="00CA5EAD"/>
    <w:rsid w:val="00CA6026"/>
    <w:rsid w:val="00CA63EE"/>
    <w:rsid w:val="00CB1BA9"/>
    <w:rsid w:val="00CB286E"/>
    <w:rsid w:val="00CB4F1F"/>
    <w:rsid w:val="00CB4F3D"/>
    <w:rsid w:val="00CB5A1D"/>
    <w:rsid w:val="00CB677D"/>
    <w:rsid w:val="00CB6A6A"/>
    <w:rsid w:val="00CB7FF6"/>
    <w:rsid w:val="00CC1B68"/>
    <w:rsid w:val="00CC2048"/>
    <w:rsid w:val="00CC2C14"/>
    <w:rsid w:val="00CC2E48"/>
    <w:rsid w:val="00CC42C8"/>
    <w:rsid w:val="00CC463F"/>
    <w:rsid w:val="00CC4951"/>
    <w:rsid w:val="00CC4B7B"/>
    <w:rsid w:val="00CC51A6"/>
    <w:rsid w:val="00CC584B"/>
    <w:rsid w:val="00CC5F44"/>
    <w:rsid w:val="00CC6B9A"/>
    <w:rsid w:val="00CC6EE0"/>
    <w:rsid w:val="00CC6F0C"/>
    <w:rsid w:val="00CD00E5"/>
    <w:rsid w:val="00CD06F8"/>
    <w:rsid w:val="00CD0969"/>
    <w:rsid w:val="00CD0C6E"/>
    <w:rsid w:val="00CD10C9"/>
    <w:rsid w:val="00CD1496"/>
    <w:rsid w:val="00CD250D"/>
    <w:rsid w:val="00CD25DC"/>
    <w:rsid w:val="00CD40F3"/>
    <w:rsid w:val="00CD41B4"/>
    <w:rsid w:val="00CD46EC"/>
    <w:rsid w:val="00CD4C3F"/>
    <w:rsid w:val="00CD53E3"/>
    <w:rsid w:val="00CD568B"/>
    <w:rsid w:val="00CD5827"/>
    <w:rsid w:val="00CE1C95"/>
    <w:rsid w:val="00CE1DC1"/>
    <w:rsid w:val="00CE2706"/>
    <w:rsid w:val="00CE35BF"/>
    <w:rsid w:val="00CE4BF6"/>
    <w:rsid w:val="00CE6037"/>
    <w:rsid w:val="00CE7AFD"/>
    <w:rsid w:val="00CE7CF5"/>
    <w:rsid w:val="00CE7E45"/>
    <w:rsid w:val="00CF0C6F"/>
    <w:rsid w:val="00CF1EC5"/>
    <w:rsid w:val="00CF20CE"/>
    <w:rsid w:val="00CF3811"/>
    <w:rsid w:val="00CF3BFB"/>
    <w:rsid w:val="00CF4298"/>
    <w:rsid w:val="00CF56F8"/>
    <w:rsid w:val="00CF7939"/>
    <w:rsid w:val="00D008B9"/>
    <w:rsid w:val="00D025BD"/>
    <w:rsid w:val="00D02603"/>
    <w:rsid w:val="00D02C3D"/>
    <w:rsid w:val="00D0309F"/>
    <w:rsid w:val="00D03278"/>
    <w:rsid w:val="00D03FDD"/>
    <w:rsid w:val="00D04C3C"/>
    <w:rsid w:val="00D052EF"/>
    <w:rsid w:val="00D053D1"/>
    <w:rsid w:val="00D05524"/>
    <w:rsid w:val="00D06808"/>
    <w:rsid w:val="00D074A9"/>
    <w:rsid w:val="00D07829"/>
    <w:rsid w:val="00D105A9"/>
    <w:rsid w:val="00D10B5E"/>
    <w:rsid w:val="00D117CD"/>
    <w:rsid w:val="00D11A91"/>
    <w:rsid w:val="00D12634"/>
    <w:rsid w:val="00D1299D"/>
    <w:rsid w:val="00D138B5"/>
    <w:rsid w:val="00D1449B"/>
    <w:rsid w:val="00D15720"/>
    <w:rsid w:val="00D16CE6"/>
    <w:rsid w:val="00D173B5"/>
    <w:rsid w:val="00D17DDB"/>
    <w:rsid w:val="00D17ED7"/>
    <w:rsid w:val="00D21C45"/>
    <w:rsid w:val="00D222D5"/>
    <w:rsid w:val="00D224F1"/>
    <w:rsid w:val="00D22BC7"/>
    <w:rsid w:val="00D25888"/>
    <w:rsid w:val="00D25C84"/>
    <w:rsid w:val="00D27163"/>
    <w:rsid w:val="00D27234"/>
    <w:rsid w:val="00D27BBD"/>
    <w:rsid w:val="00D30FD0"/>
    <w:rsid w:val="00D31255"/>
    <w:rsid w:val="00D312F9"/>
    <w:rsid w:val="00D31621"/>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A58"/>
    <w:rsid w:val="00D46D54"/>
    <w:rsid w:val="00D4771C"/>
    <w:rsid w:val="00D5023E"/>
    <w:rsid w:val="00D505DE"/>
    <w:rsid w:val="00D510B0"/>
    <w:rsid w:val="00D52934"/>
    <w:rsid w:val="00D53759"/>
    <w:rsid w:val="00D54631"/>
    <w:rsid w:val="00D54BB0"/>
    <w:rsid w:val="00D558A8"/>
    <w:rsid w:val="00D558F1"/>
    <w:rsid w:val="00D56B38"/>
    <w:rsid w:val="00D56E99"/>
    <w:rsid w:val="00D57369"/>
    <w:rsid w:val="00D6018C"/>
    <w:rsid w:val="00D6067B"/>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4999"/>
    <w:rsid w:val="00D753B9"/>
    <w:rsid w:val="00D75500"/>
    <w:rsid w:val="00D75587"/>
    <w:rsid w:val="00D755AE"/>
    <w:rsid w:val="00D7696B"/>
    <w:rsid w:val="00D77668"/>
    <w:rsid w:val="00D77C36"/>
    <w:rsid w:val="00D80026"/>
    <w:rsid w:val="00D8044A"/>
    <w:rsid w:val="00D827EF"/>
    <w:rsid w:val="00D837D6"/>
    <w:rsid w:val="00D83E47"/>
    <w:rsid w:val="00D85ECE"/>
    <w:rsid w:val="00D86A7E"/>
    <w:rsid w:val="00D86EB9"/>
    <w:rsid w:val="00D87450"/>
    <w:rsid w:val="00D87A3B"/>
    <w:rsid w:val="00D90D1E"/>
    <w:rsid w:val="00D91AD5"/>
    <w:rsid w:val="00D92BB1"/>
    <w:rsid w:val="00D92CDF"/>
    <w:rsid w:val="00D93431"/>
    <w:rsid w:val="00D93F9F"/>
    <w:rsid w:val="00D94AC3"/>
    <w:rsid w:val="00D95F7A"/>
    <w:rsid w:val="00D968E9"/>
    <w:rsid w:val="00DA0308"/>
    <w:rsid w:val="00DA06C2"/>
    <w:rsid w:val="00DA0999"/>
    <w:rsid w:val="00DA13CB"/>
    <w:rsid w:val="00DA16D9"/>
    <w:rsid w:val="00DA2E3B"/>
    <w:rsid w:val="00DA3CAD"/>
    <w:rsid w:val="00DA43E9"/>
    <w:rsid w:val="00DA5837"/>
    <w:rsid w:val="00DA617C"/>
    <w:rsid w:val="00DA6A64"/>
    <w:rsid w:val="00DA78A1"/>
    <w:rsid w:val="00DA7920"/>
    <w:rsid w:val="00DB02F5"/>
    <w:rsid w:val="00DB0585"/>
    <w:rsid w:val="00DB090B"/>
    <w:rsid w:val="00DB0BC6"/>
    <w:rsid w:val="00DB16AC"/>
    <w:rsid w:val="00DB20DD"/>
    <w:rsid w:val="00DB27CE"/>
    <w:rsid w:val="00DB35C9"/>
    <w:rsid w:val="00DB4858"/>
    <w:rsid w:val="00DB486F"/>
    <w:rsid w:val="00DB4CC3"/>
    <w:rsid w:val="00DB71C0"/>
    <w:rsid w:val="00DB7734"/>
    <w:rsid w:val="00DB7F30"/>
    <w:rsid w:val="00DB7FEE"/>
    <w:rsid w:val="00DC0377"/>
    <w:rsid w:val="00DC0991"/>
    <w:rsid w:val="00DC2336"/>
    <w:rsid w:val="00DC23BA"/>
    <w:rsid w:val="00DC4387"/>
    <w:rsid w:val="00DC46C7"/>
    <w:rsid w:val="00DC6922"/>
    <w:rsid w:val="00DC7389"/>
    <w:rsid w:val="00DD000F"/>
    <w:rsid w:val="00DD238F"/>
    <w:rsid w:val="00DD245F"/>
    <w:rsid w:val="00DD2CAA"/>
    <w:rsid w:val="00DD46B7"/>
    <w:rsid w:val="00DD4C53"/>
    <w:rsid w:val="00DD6D50"/>
    <w:rsid w:val="00DE031C"/>
    <w:rsid w:val="00DE06F5"/>
    <w:rsid w:val="00DE089E"/>
    <w:rsid w:val="00DE29DE"/>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1A"/>
    <w:rsid w:val="00DF6F1C"/>
    <w:rsid w:val="00E0027D"/>
    <w:rsid w:val="00E002D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640C"/>
    <w:rsid w:val="00E16457"/>
    <w:rsid w:val="00E164BD"/>
    <w:rsid w:val="00E170FE"/>
    <w:rsid w:val="00E17B85"/>
    <w:rsid w:val="00E17DA9"/>
    <w:rsid w:val="00E2250E"/>
    <w:rsid w:val="00E22DA1"/>
    <w:rsid w:val="00E23018"/>
    <w:rsid w:val="00E235F5"/>
    <w:rsid w:val="00E24A83"/>
    <w:rsid w:val="00E24ACA"/>
    <w:rsid w:val="00E25E95"/>
    <w:rsid w:val="00E26369"/>
    <w:rsid w:val="00E2655D"/>
    <w:rsid w:val="00E2658D"/>
    <w:rsid w:val="00E2674B"/>
    <w:rsid w:val="00E2699F"/>
    <w:rsid w:val="00E26B54"/>
    <w:rsid w:val="00E27233"/>
    <w:rsid w:val="00E2733B"/>
    <w:rsid w:val="00E3011B"/>
    <w:rsid w:val="00E303DD"/>
    <w:rsid w:val="00E33FF5"/>
    <w:rsid w:val="00E34C21"/>
    <w:rsid w:val="00E35BD2"/>
    <w:rsid w:val="00E35FCC"/>
    <w:rsid w:val="00E3624B"/>
    <w:rsid w:val="00E36E69"/>
    <w:rsid w:val="00E375F6"/>
    <w:rsid w:val="00E37704"/>
    <w:rsid w:val="00E40DC8"/>
    <w:rsid w:val="00E42C6A"/>
    <w:rsid w:val="00E4367B"/>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5E07"/>
    <w:rsid w:val="00E567D1"/>
    <w:rsid w:val="00E56AE2"/>
    <w:rsid w:val="00E57115"/>
    <w:rsid w:val="00E5738A"/>
    <w:rsid w:val="00E57ADB"/>
    <w:rsid w:val="00E6188E"/>
    <w:rsid w:val="00E61CF3"/>
    <w:rsid w:val="00E6204E"/>
    <w:rsid w:val="00E63619"/>
    <w:rsid w:val="00E63A3B"/>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C7CEA"/>
    <w:rsid w:val="00ED0F26"/>
    <w:rsid w:val="00ED17DC"/>
    <w:rsid w:val="00ED1D17"/>
    <w:rsid w:val="00ED1D3A"/>
    <w:rsid w:val="00ED2A92"/>
    <w:rsid w:val="00ED630B"/>
    <w:rsid w:val="00ED658D"/>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3FFA"/>
    <w:rsid w:val="00F240C7"/>
    <w:rsid w:val="00F249BF"/>
    <w:rsid w:val="00F24CD3"/>
    <w:rsid w:val="00F25613"/>
    <w:rsid w:val="00F25AE6"/>
    <w:rsid w:val="00F30966"/>
    <w:rsid w:val="00F30BAE"/>
    <w:rsid w:val="00F31777"/>
    <w:rsid w:val="00F31C86"/>
    <w:rsid w:val="00F3224A"/>
    <w:rsid w:val="00F3377A"/>
    <w:rsid w:val="00F348CA"/>
    <w:rsid w:val="00F34CDD"/>
    <w:rsid w:val="00F3567F"/>
    <w:rsid w:val="00F3594E"/>
    <w:rsid w:val="00F36602"/>
    <w:rsid w:val="00F36872"/>
    <w:rsid w:val="00F36FB1"/>
    <w:rsid w:val="00F403BA"/>
    <w:rsid w:val="00F410A7"/>
    <w:rsid w:val="00F4185A"/>
    <w:rsid w:val="00F42AE8"/>
    <w:rsid w:val="00F42E25"/>
    <w:rsid w:val="00F44A2B"/>
    <w:rsid w:val="00F45016"/>
    <w:rsid w:val="00F45F2E"/>
    <w:rsid w:val="00F47EA3"/>
    <w:rsid w:val="00F50015"/>
    <w:rsid w:val="00F50753"/>
    <w:rsid w:val="00F536FA"/>
    <w:rsid w:val="00F53A17"/>
    <w:rsid w:val="00F53DCD"/>
    <w:rsid w:val="00F54937"/>
    <w:rsid w:val="00F5494B"/>
    <w:rsid w:val="00F5500A"/>
    <w:rsid w:val="00F55965"/>
    <w:rsid w:val="00F55ECB"/>
    <w:rsid w:val="00F56591"/>
    <w:rsid w:val="00F567A2"/>
    <w:rsid w:val="00F56AA2"/>
    <w:rsid w:val="00F57CA9"/>
    <w:rsid w:val="00F6016A"/>
    <w:rsid w:val="00F60BB8"/>
    <w:rsid w:val="00F610A3"/>
    <w:rsid w:val="00F61629"/>
    <w:rsid w:val="00F6202F"/>
    <w:rsid w:val="00F6237D"/>
    <w:rsid w:val="00F62834"/>
    <w:rsid w:val="00F644EC"/>
    <w:rsid w:val="00F645E8"/>
    <w:rsid w:val="00F645F7"/>
    <w:rsid w:val="00F646C5"/>
    <w:rsid w:val="00F648B2"/>
    <w:rsid w:val="00F64ABD"/>
    <w:rsid w:val="00F65CC2"/>
    <w:rsid w:val="00F67CFF"/>
    <w:rsid w:val="00F70EFF"/>
    <w:rsid w:val="00F71698"/>
    <w:rsid w:val="00F71905"/>
    <w:rsid w:val="00F71F8F"/>
    <w:rsid w:val="00F72153"/>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330E"/>
    <w:rsid w:val="00F94372"/>
    <w:rsid w:val="00F9473C"/>
    <w:rsid w:val="00F94968"/>
    <w:rsid w:val="00F9509E"/>
    <w:rsid w:val="00F95A09"/>
    <w:rsid w:val="00F972C1"/>
    <w:rsid w:val="00FA0066"/>
    <w:rsid w:val="00FA0074"/>
    <w:rsid w:val="00FA1553"/>
    <w:rsid w:val="00FA55E5"/>
    <w:rsid w:val="00FA5A55"/>
    <w:rsid w:val="00FA7232"/>
    <w:rsid w:val="00FA7417"/>
    <w:rsid w:val="00FB0122"/>
    <w:rsid w:val="00FB220A"/>
    <w:rsid w:val="00FB29A7"/>
    <w:rsid w:val="00FB2E48"/>
    <w:rsid w:val="00FB5555"/>
    <w:rsid w:val="00FB6124"/>
    <w:rsid w:val="00FB61C8"/>
    <w:rsid w:val="00FB635A"/>
    <w:rsid w:val="00FB64F3"/>
    <w:rsid w:val="00FB7291"/>
    <w:rsid w:val="00FB7CF8"/>
    <w:rsid w:val="00FC08EC"/>
    <w:rsid w:val="00FC0A5C"/>
    <w:rsid w:val="00FC10C9"/>
    <w:rsid w:val="00FC19CE"/>
    <w:rsid w:val="00FC2236"/>
    <w:rsid w:val="00FC26CF"/>
    <w:rsid w:val="00FC2B9A"/>
    <w:rsid w:val="00FC4270"/>
    <w:rsid w:val="00FC4999"/>
    <w:rsid w:val="00FC4EC7"/>
    <w:rsid w:val="00FC572B"/>
    <w:rsid w:val="00FC6743"/>
    <w:rsid w:val="00FC6786"/>
    <w:rsid w:val="00FC6E2A"/>
    <w:rsid w:val="00FC7E62"/>
    <w:rsid w:val="00FD00B5"/>
    <w:rsid w:val="00FD0295"/>
    <w:rsid w:val="00FD1D90"/>
    <w:rsid w:val="00FD209D"/>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F28E5"/>
    <w:rsid w:val="00FF6C26"/>
    <w:rsid w:val="00FF6E9B"/>
    <w:rsid w:val="00FF7AC6"/>
    <w:rsid w:val="01E43F75"/>
    <w:rsid w:val="033F683B"/>
    <w:rsid w:val="043013E0"/>
    <w:rsid w:val="05765502"/>
    <w:rsid w:val="061C0CA8"/>
    <w:rsid w:val="062C280A"/>
    <w:rsid w:val="06D67825"/>
    <w:rsid w:val="07215040"/>
    <w:rsid w:val="07285B25"/>
    <w:rsid w:val="07BB05D6"/>
    <w:rsid w:val="07C0798B"/>
    <w:rsid w:val="08417FA7"/>
    <w:rsid w:val="08762705"/>
    <w:rsid w:val="0942292F"/>
    <w:rsid w:val="0A632019"/>
    <w:rsid w:val="0AAE62EE"/>
    <w:rsid w:val="0B306A87"/>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F62ADD"/>
    <w:rsid w:val="121438CE"/>
    <w:rsid w:val="136F5E09"/>
    <w:rsid w:val="13E1581F"/>
    <w:rsid w:val="140756CA"/>
    <w:rsid w:val="14135CE9"/>
    <w:rsid w:val="14292D22"/>
    <w:rsid w:val="143F7994"/>
    <w:rsid w:val="14556E24"/>
    <w:rsid w:val="145C09B6"/>
    <w:rsid w:val="14DB4F49"/>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7AD3C28"/>
    <w:rsid w:val="28114720"/>
    <w:rsid w:val="28CF63F4"/>
    <w:rsid w:val="29326DC7"/>
    <w:rsid w:val="296A57B2"/>
    <w:rsid w:val="29790544"/>
    <w:rsid w:val="29F26F2A"/>
    <w:rsid w:val="2A144AD2"/>
    <w:rsid w:val="2AA36F32"/>
    <w:rsid w:val="2B4179B6"/>
    <w:rsid w:val="2BC16C32"/>
    <w:rsid w:val="2C85746B"/>
    <w:rsid w:val="2CC855D1"/>
    <w:rsid w:val="2D9B2332"/>
    <w:rsid w:val="2DCC06F5"/>
    <w:rsid w:val="2DDD422B"/>
    <w:rsid w:val="2E3D6939"/>
    <w:rsid w:val="2E84548B"/>
    <w:rsid w:val="2F2B1A5B"/>
    <w:rsid w:val="2FC9681B"/>
    <w:rsid w:val="31014D28"/>
    <w:rsid w:val="32F84944"/>
    <w:rsid w:val="34B250B0"/>
    <w:rsid w:val="34E62D8C"/>
    <w:rsid w:val="35FB623F"/>
    <w:rsid w:val="366E3B3C"/>
    <w:rsid w:val="370F0BCD"/>
    <w:rsid w:val="3715098A"/>
    <w:rsid w:val="377C6EFA"/>
    <w:rsid w:val="38037262"/>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40865941"/>
    <w:rsid w:val="416318D4"/>
    <w:rsid w:val="417F239B"/>
    <w:rsid w:val="41F25792"/>
    <w:rsid w:val="42974085"/>
    <w:rsid w:val="444F3EA9"/>
    <w:rsid w:val="452B5932"/>
    <w:rsid w:val="45497D2B"/>
    <w:rsid w:val="45820476"/>
    <w:rsid w:val="45C11FF3"/>
    <w:rsid w:val="471278DB"/>
    <w:rsid w:val="47775AD7"/>
    <w:rsid w:val="47B916EB"/>
    <w:rsid w:val="49A773FE"/>
    <w:rsid w:val="4A1F4764"/>
    <w:rsid w:val="4A441B1A"/>
    <w:rsid w:val="4B0D67DA"/>
    <w:rsid w:val="4B104729"/>
    <w:rsid w:val="4B561588"/>
    <w:rsid w:val="4B5A2526"/>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D973E25"/>
    <w:rsid w:val="5E653E57"/>
    <w:rsid w:val="5EDC31F2"/>
    <w:rsid w:val="5F6B5569"/>
    <w:rsid w:val="5FD6799D"/>
    <w:rsid w:val="60915A2A"/>
    <w:rsid w:val="60F8252D"/>
    <w:rsid w:val="621E6BB3"/>
    <w:rsid w:val="62350B41"/>
    <w:rsid w:val="629F59D2"/>
    <w:rsid w:val="63C64EB3"/>
    <w:rsid w:val="648D0D03"/>
    <w:rsid w:val="66C24EF1"/>
    <w:rsid w:val="66CC0AAD"/>
    <w:rsid w:val="67A41618"/>
    <w:rsid w:val="689A3E47"/>
    <w:rsid w:val="689F1CB4"/>
    <w:rsid w:val="68AE5B14"/>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6B1C12"/>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0"/>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3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B994B-0ADF-4B19-ACDA-252AAB969A69}">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44</Pages>
  <Words>2955</Words>
  <Characters>16845</Characters>
  <Lines>140</Lines>
  <Paragraphs>39</Paragraphs>
  <TotalTime>0</TotalTime>
  <ScaleCrop>false</ScaleCrop>
  <LinksUpToDate>false</LinksUpToDate>
  <CharactersWithSpaces>19761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2022-06-05T14:53:00Z</dcterms:created>
  <dc:creator>Administrator</dc:creator>
  <cp:lastModifiedBy>Ccyu.</cp:lastModifiedBy>
  <cp:lastPrinted>2017-04-10T13:36:00Z</cp:lastPrinted>
  <dcterms:modified xsi:type="dcterms:W3CDTF">2023-10-27T09:08:49Z</dcterms:modified>
  <cp:revision>802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05F36CD9F3C6404081906CBA7A03E3B4_13</vt:lpwstr>
  </property>
</Properties>
</file>