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color w:val="000000" w:themeColor="text1"/>
          <w:sz w:val="28"/>
          <w:szCs w:val="28"/>
          <w14:textFill>
            <w14:solidFill>
              <w14:schemeClr w14:val="tx1"/>
            </w14:solidFill>
          </w14:textFill>
        </w:rPr>
      </w:pPr>
      <w:bookmarkStart w:id="0" w:name="_Hlk97121947"/>
      <w:bookmarkStart w:id="92" w:name="_GoBack"/>
      <w:bookmarkEnd w:id="92"/>
    </w:p>
    <w:p>
      <w:pPr>
        <w:spacing w:line="360" w:lineRule="auto"/>
        <w:ind w:firstLine="560"/>
        <w:rPr>
          <w:rFonts w:eastAsia="仿宋_GB2312"/>
          <w:color w:val="000000" w:themeColor="text1"/>
          <w:sz w:val="28"/>
          <w:szCs w:val="28"/>
          <w14:textFill>
            <w14:solidFill>
              <w14:schemeClr w14:val="tx1"/>
            </w14:solidFill>
          </w14:textFill>
        </w:rPr>
      </w:pPr>
    </w:p>
    <w:p>
      <w:pPr>
        <w:spacing w:after="120" w:line="360" w:lineRule="auto"/>
        <w:jc w:val="center"/>
        <w:rPr>
          <w:rFonts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江苏省广电有线信息网络股份有限公司</w:t>
      </w:r>
    </w:p>
    <w:p>
      <w:pPr>
        <w:spacing w:after="120" w:line="360" w:lineRule="auto"/>
        <w:jc w:val="center"/>
        <w:rPr>
          <w:rFonts w:ascii="黑体" w:hAnsi="宋体" w:eastAsia="黑体"/>
          <w:color w:val="000000" w:themeColor="text1"/>
          <w:sz w:val="44"/>
          <w:szCs w:val="44"/>
          <w14:textFill>
            <w14:solidFill>
              <w14:schemeClr w14:val="tx1"/>
            </w14:solidFill>
          </w14:textFill>
        </w:rPr>
      </w:pPr>
      <w:bookmarkStart w:id="1" w:name="_Hlk103000311"/>
      <w:bookmarkStart w:id="2" w:name="_Toc227057880"/>
      <w:r>
        <w:rPr>
          <w:rFonts w:hint="eastAsia" w:ascii="黑体" w:hAnsi="宋体" w:eastAsia="黑体"/>
          <w:color w:val="000000" w:themeColor="text1"/>
          <w:sz w:val="44"/>
          <w:szCs w:val="44"/>
          <w14:textFill>
            <w14:solidFill>
              <w14:schemeClr w14:val="tx1"/>
            </w14:solidFill>
          </w14:textFill>
        </w:rPr>
        <w:t>5G边缘云系统</w:t>
      </w:r>
    </w:p>
    <w:p>
      <w:pPr>
        <w:spacing w:after="120" w:line="360" w:lineRule="auto"/>
        <w:jc w:val="center"/>
        <w:rPr>
          <w:rFonts w:ascii="黑体" w:hAnsi="宋体" w:eastAsia="黑体"/>
          <w:color w:val="000000" w:themeColor="text1"/>
          <w:sz w:val="44"/>
          <w:szCs w:val="44"/>
          <w14:textFill>
            <w14:solidFill>
              <w14:schemeClr w14:val="tx1"/>
            </w14:solidFill>
          </w14:textFill>
        </w:rPr>
      </w:pPr>
      <w:r>
        <w:rPr>
          <w:rFonts w:hint="eastAsia" w:ascii="黑体" w:hAnsi="宋体" w:eastAsia="黑体"/>
          <w:color w:val="000000" w:themeColor="text1"/>
          <w:sz w:val="44"/>
          <w:szCs w:val="44"/>
          <w14:textFill>
            <w14:solidFill>
              <w14:schemeClr w14:val="tx1"/>
            </w14:solidFill>
          </w14:textFill>
        </w:rPr>
        <w:t>竞争性</w:t>
      </w:r>
      <w:bookmarkEnd w:id="1"/>
      <w:r>
        <w:rPr>
          <w:rFonts w:hint="eastAsia" w:ascii="黑体" w:hAnsi="宋体" w:eastAsia="黑体"/>
          <w:color w:val="000000" w:themeColor="text1"/>
          <w:sz w:val="44"/>
          <w:szCs w:val="44"/>
          <w:lang w:eastAsia="zh-CN"/>
          <w14:textFill>
            <w14:solidFill>
              <w14:schemeClr w14:val="tx1"/>
            </w14:solidFill>
          </w14:textFill>
        </w:rPr>
        <w:t>谈判</w:t>
      </w:r>
      <w:r>
        <w:rPr>
          <w:rFonts w:hint="eastAsia" w:ascii="黑体" w:hAnsi="宋体" w:eastAsia="黑体"/>
          <w:color w:val="000000" w:themeColor="text1"/>
          <w:sz w:val="44"/>
          <w:szCs w:val="44"/>
          <w14:textFill>
            <w14:solidFill>
              <w14:schemeClr w14:val="tx1"/>
            </w14:solidFill>
          </w14:textFill>
        </w:rPr>
        <w:t>文件</w:t>
      </w:r>
    </w:p>
    <w:p>
      <w:pPr>
        <w:spacing w:after="120" w:line="360" w:lineRule="auto"/>
        <w:jc w:val="center"/>
        <w:rPr>
          <w:b/>
          <w:bCs/>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rFonts w:ascii="仿宋_GB2312" w:hAnsi="宋体" w:eastAsia="仿宋_GB2312"/>
          <w:b/>
          <w:color w:val="000000" w:themeColor="text1"/>
          <w:sz w:val="32"/>
          <w:szCs w:val="32"/>
          <w14:textFill>
            <w14:solidFill>
              <w14:schemeClr w14:val="tx1"/>
            </w14:solidFill>
          </w14:textFill>
        </w:rPr>
      </w:pPr>
    </w:p>
    <w:p>
      <w:pPr>
        <w:spacing w:after="120" w:line="360" w:lineRule="auto"/>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采购人：</w:t>
      </w:r>
      <w:r>
        <w:rPr>
          <w:b/>
          <w:color w:val="000000" w:themeColor="text1"/>
          <w:sz w:val="28"/>
          <w:szCs w:val="28"/>
          <w14:textFill>
            <w14:solidFill>
              <w14:schemeClr w14:val="tx1"/>
            </w14:solidFill>
          </w14:textFill>
        </w:rPr>
        <w:t>江苏省广电有线信息网络股份有限公司</w:t>
      </w:r>
    </w:p>
    <w:p>
      <w:pPr>
        <w:pStyle w:val="21"/>
        <w:adjustRightInd w:val="0"/>
        <w:snapToGrid w:val="0"/>
        <w:spacing w:before="380" w:beforeLines="100" w:after="380" w:afterLines="100"/>
        <w:ind w:right="210" w:rightChars="100"/>
        <w:jc w:val="center"/>
        <w:rPr>
          <w:b/>
          <w:bCs/>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二〇二</w:t>
      </w:r>
      <w:r>
        <w:rPr>
          <w:rFonts w:hint="eastAsia"/>
          <w:b/>
          <w:color w:val="000000" w:themeColor="text1"/>
          <w:szCs w:val="28"/>
          <w:lang w:val="en-US" w:eastAsia="zh-CN"/>
          <w14:textFill>
            <w14:solidFill>
              <w14:schemeClr w14:val="tx1"/>
            </w14:solidFill>
          </w14:textFill>
        </w:rPr>
        <w:t>四</w:t>
      </w:r>
      <w:r>
        <w:rPr>
          <w:rFonts w:hint="eastAsia"/>
          <w:b/>
          <w:color w:val="000000" w:themeColor="text1"/>
          <w:szCs w:val="28"/>
          <w14:textFill>
            <w14:solidFill>
              <w14:schemeClr w14:val="tx1"/>
            </w14:solidFill>
          </w14:textFill>
        </w:rPr>
        <w:t>年</w:t>
      </w:r>
      <w:r>
        <w:rPr>
          <w:rFonts w:hint="eastAsia"/>
          <w:b/>
          <w:color w:val="000000" w:themeColor="text1"/>
          <w:szCs w:val="28"/>
          <w:lang w:val="en-US" w:eastAsia="zh-CN"/>
          <w14:textFill>
            <w14:solidFill>
              <w14:schemeClr w14:val="tx1"/>
            </w14:solidFill>
          </w14:textFill>
        </w:rPr>
        <w:t>一</w:t>
      </w:r>
      <w:r>
        <w:rPr>
          <w:rFonts w:hint="eastAsia"/>
          <w:b/>
          <w:color w:val="000000" w:themeColor="text1"/>
          <w:szCs w:val="28"/>
          <w14:textFill>
            <w14:solidFill>
              <w14:schemeClr w14:val="tx1"/>
            </w14:solidFill>
          </w14:textFill>
        </w:rPr>
        <w:t>月</w:t>
      </w:r>
    </w:p>
    <w:p>
      <w:pPr>
        <w:spacing w:after="120" w:line="360" w:lineRule="auto"/>
        <w:ind w:firstLine="1405" w:firstLineChars="500"/>
        <w:rPr>
          <w:b/>
          <w:color w:val="000000" w:themeColor="text1"/>
          <w:sz w:val="28"/>
          <w:szCs w:val="28"/>
          <w14:textFill>
            <w14:solidFill>
              <w14:schemeClr w14:val="tx1"/>
            </w14:solidFill>
          </w14:textFill>
        </w:rPr>
        <w:sectPr>
          <w:headerReference r:id="rId3" w:type="default"/>
          <w:footerReference r:id="rId5" w:type="default"/>
          <w:headerReference r:id="rId4" w:type="even"/>
          <w:footerReference r:id="rId6" w:type="even"/>
          <w:pgSz w:w="11906" w:h="16838"/>
          <w:pgMar w:top="1440" w:right="1826" w:bottom="1440" w:left="1797" w:header="851" w:footer="992" w:gutter="0"/>
          <w:cols w:space="720" w:num="1"/>
          <w:titlePg/>
          <w:docGrid w:type="lines" w:linePitch="380" w:charSpace="0"/>
        </w:sectPr>
      </w:pPr>
    </w:p>
    <w:p>
      <w:pPr>
        <w:spacing w:after="120" w:line="360" w:lineRule="atLeast"/>
        <w:jc w:val="center"/>
        <w:rPr>
          <w:color w:val="000000" w:themeColor="text1"/>
          <w14:textFill>
            <w14:solidFill>
              <w14:schemeClr w14:val="tx1"/>
            </w14:solidFill>
          </w14:textFill>
        </w:rPr>
      </w:pPr>
    </w:p>
    <w:p>
      <w:pPr>
        <w:pStyle w:val="118"/>
        <w:numPr>
          <w:ilvl w:val="0"/>
          <w:numId w:val="0"/>
        </w:numPr>
        <w:ind w:left="288"/>
        <w:jc w:val="center"/>
        <w:rPr>
          <w:color w:val="000000" w:themeColor="text1"/>
          <w14:textFill>
            <w14:solidFill>
              <w14:schemeClr w14:val="tx1"/>
            </w14:solidFill>
          </w14:textFill>
        </w:rPr>
      </w:pPr>
      <w:r>
        <w:rPr>
          <w:rFonts w:ascii="宋体" w:hAnsi="宋体" w:eastAsia="宋体"/>
          <w:color w:val="000000" w:themeColor="text1"/>
          <w:sz w:val="30"/>
          <w:szCs w:val="30"/>
          <w:lang w:val="zh-CN"/>
          <w14:textFill>
            <w14:solidFill>
              <w14:schemeClr w14:val="tx1"/>
            </w14:solidFill>
          </w14:textFill>
        </w:rPr>
        <w:t>目录</w:t>
      </w:r>
    </w:p>
    <w:p>
      <w:pPr>
        <w:pStyle w:val="39"/>
        <w:tabs>
          <w:tab w:val="right" w:leader="dot" w:pos="8306"/>
          <w:tab w:val="clear" w:pos="851"/>
          <w:tab w:val="clear" w:pos="9072"/>
        </w:tabs>
      </w:pPr>
      <w:r>
        <w:rPr>
          <w:rFonts w:ascii="宋体" w:hAnsi="宋体" w:eastAsia="宋体"/>
          <w:color w:val="000000" w:themeColor="text1"/>
          <w:sz w:val="20"/>
          <w:szCs w:val="20"/>
          <w14:textFill>
            <w14:solidFill>
              <w14:schemeClr w14:val="tx1"/>
            </w14:solidFill>
          </w14:textFill>
        </w:rPr>
        <w:fldChar w:fldCharType="begin"/>
      </w:r>
      <w:r>
        <w:rPr>
          <w:rFonts w:ascii="宋体" w:hAnsi="宋体" w:eastAsia="宋体"/>
          <w:color w:val="000000" w:themeColor="text1"/>
          <w:sz w:val="20"/>
          <w:szCs w:val="20"/>
          <w14:textFill>
            <w14:solidFill>
              <w14:schemeClr w14:val="tx1"/>
            </w14:solidFill>
          </w14:textFill>
        </w:rPr>
        <w:instrText xml:space="preserve"> TOC \o "1-3" \h \z \u </w:instrText>
      </w:r>
      <w:r>
        <w:rPr>
          <w:rFonts w:ascii="宋体" w:hAnsi="宋体" w:eastAsia="宋体"/>
          <w:color w:val="000000" w:themeColor="text1"/>
          <w:sz w:val="20"/>
          <w:szCs w:val="20"/>
          <w14:textFill>
            <w14:solidFill>
              <w14:schemeClr w14:val="tx1"/>
            </w14:solidFill>
          </w14:textFill>
        </w:rPr>
        <w:fldChar w:fldCharType="separate"/>
      </w: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_Toc16046 </w:instrText>
      </w:r>
      <w:r>
        <w:rPr>
          <w:rFonts w:ascii="宋体" w:hAnsi="宋体" w:eastAsia="宋体"/>
          <w:szCs w:val="20"/>
        </w:rPr>
        <w:fldChar w:fldCharType="separate"/>
      </w:r>
      <w:r>
        <w:rPr>
          <w:rFonts w:hint="eastAsia"/>
          <w:szCs w:val="36"/>
        </w:rPr>
        <w:t>第一章</w:t>
      </w:r>
      <w:r>
        <w:rPr>
          <w:rFonts w:hint="eastAsia"/>
          <w:szCs w:val="36"/>
          <w:lang w:val="en-US" w:eastAsia="zh-CN"/>
        </w:rPr>
        <w:t xml:space="preserve"> </w:t>
      </w:r>
      <w:r>
        <w:rPr>
          <w:rFonts w:hint="eastAsia"/>
          <w:szCs w:val="36"/>
        </w:rPr>
        <w:t>竞争性</w:t>
      </w:r>
      <w:r>
        <w:rPr>
          <w:rFonts w:hint="eastAsia"/>
          <w:szCs w:val="36"/>
          <w:lang w:eastAsia="zh-CN"/>
        </w:rPr>
        <w:t>谈判</w:t>
      </w:r>
      <w:r>
        <w:rPr>
          <w:rFonts w:hint="eastAsia"/>
          <w:szCs w:val="36"/>
        </w:rPr>
        <w:t>公告</w:t>
      </w:r>
      <w:r>
        <w:tab/>
      </w:r>
      <w:r>
        <w:fldChar w:fldCharType="begin"/>
      </w:r>
      <w:r>
        <w:instrText xml:space="preserve"> PAGEREF _Toc16046 \h </w:instrText>
      </w:r>
      <w:r>
        <w:fldChar w:fldCharType="separate"/>
      </w:r>
      <w:r>
        <w:t>3</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_Toc16807 </w:instrText>
      </w:r>
      <w:r>
        <w:rPr>
          <w:rFonts w:ascii="宋体" w:hAnsi="宋体" w:eastAsia="宋体"/>
          <w:szCs w:val="20"/>
        </w:rPr>
        <w:fldChar w:fldCharType="separate"/>
      </w:r>
      <w:r>
        <w:rPr>
          <w:rFonts w:hint="eastAsia"/>
          <w:szCs w:val="36"/>
        </w:rPr>
        <w:t>第二章</w:t>
      </w:r>
      <w:r>
        <w:rPr>
          <w:rFonts w:hint="eastAsia"/>
          <w:szCs w:val="36"/>
          <w:lang w:val="en-US" w:eastAsia="zh-CN"/>
        </w:rPr>
        <w:t xml:space="preserve"> </w:t>
      </w:r>
      <w:r>
        <w:rPr>
          <w:rFonts w:hint="eastAsia"/>
          <w:szCs w:val="36"/>
        </w:rPr>
        <w:t>竞争性</w:t>
      </w:r>
      <w:r>
        <w:rPr>
          <w:rFonts w:hint="eastAsia"/>
          <w:szCs w:val="36"/>
          <w:lang w:eastAsia="zh-CN"/>
        </w:rPr>
        <w:t>谈判</w:t>
      </w:r>
      <w:r>
        <w:rPr>
          <w:szCs w:val="36"/>
        </w:rPr>
        <w:t>须知</w:t>
      </w:r>
      <w:r>
        <w:tab/>
      </w:r>
      <w:r>
        <w:fldChar w:fldCharType="begin"/>
      </w:r>
      <w:r>
        <w:instrText xml:space="preserve"> PAGEREF _Toc16807 \h </w:instrText>
      </w:r>
      <w:r>
        <w:fldChar w:fldCharType="separate"/>
      </w:r>
      <w:r>
        <w:t>5</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_Toc21730 </w:instrText>
      </w:r>
      <w:r>
        <w:rPr>
          <w:rFonts w:ascii="宋体" w:hAnsi="宋体" w:eastAsia="宋体"/>
          <w:szCs w:val="20"/>
        </w:rPr>
        <w:fldChar w:fldCharType="separate"/>
      </w:r>
      <w:r>
        <w:rPr>
          <w:rFonts w:hint="eastAsia"/>
          <w:szCs w:val="36"/>
        </w:rPr>
        <w:t>第三章</w:t>
      </w:r>
      <w:r>
        <w:rPr>
          <w:rFonts w:hint="eastAsia"/>
          <w:szCs w:val="36"/>
          <w:lang w:val="en-US" w:eastAsia="zh-CN"/>
        </w:rPr>
        <w:t xml:space="preserve"> </w:t>
      </w:r>
      <w:r>
        <w:rPr>
          <w:rFonts w:hint="eastAsia"/>
          <w:szCs w:val="36"/>
        </w:rPr>
        <w:t>评审办法</w:t>
      </w:r>
      <w:r>
        <w:tab/>
      </w:r>
      <w:r>
        <w:fldChar w:fldCharType="begin"/>
      </w:r>
      <w:r>
        <w:instrText xml:space="preserve"> PAGEREF _Toc21730 \h </w:instrText>
      </w:r>
      <w:r>
        <w:fldChar w:fldCharType="separate"/>
      </w:r>
      <w:r>
        <w:t>16</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_Toc22799 </w:instrText>
      </w:r>
      <w:r>
        <w:rPr>
          <w:rFonts w:ascii="宋体" w:hAnsi="宋体" w:eastAsia="宋体"/>
          <w:szCs w:val="20"/>
        </w:rPr>
        <w:fldChar w:fldCharType="separate"/>
      </w:r>
      <w:r>
        <w:rPr>
          <w:rFonts w:hint="eastAsia"/>
          <w:szCs w:val="36"/>
        </w:rPr>
        <w:t>第四章</w:t>
      </w:r>
      <w:r>
        <w:rPr>
          <w:rFonts w:hint="eastAsia"/>
          <w:szCs w:val="36"/>
          <w:lang w:val="en-US" w:eastAsia="zh-CN"/>
        </w:rPr>
        <w:t xml:space="preserve"> </w:t>
      </w:r>
      <w:r>
        <w:rPr>
          <w:szCs w:val="36"/>
        </w:rPr>
        <w:t>合同格式</w:t>
      </w:r>
      <w:r>
        <w:tab/>
      </w:r>
      <w:r>
        <w:fldChar w:fldCharType="begin"/>
      </w:r>
      <w:r>
        <w:instrText xml:space="preserve"> PAGEREF _Toc22799 \h </w:instrText>
      </w:r>
      <w:r>
        <w:fldChar w:fldCharType="separate"/>
      </w:r>
      <w:r>
        <w:t>19</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_Toc18088 </w:instrText>
      </w:r>
      <w:r>
        <w:rPr>
          <w:rFonts w:ascii="宋体" w:hAnsi="宋体" w:eastAsia="宋体"/>
          <w:szCs w:val="20"/>
        </w:rPr>
        <w:fldChar w:fldCharType="separate"/>
      </w:r>
      <w:r>
        <w:rPr>
          <w:rFonts w:hint="eastAsia"/>
          <w:szCs w:val="36"/>
        </w:rPr>
        <w:t>第五章</w:t>
      </w:r>
      <w:r>
        <w:rPr>
          <w:rFonts w:hint="eastAsia"/>
          <w:szCs w:val="36"/>
          <w:lang w:val="en-US" w:eastAsia="zh-CN"/>
        </w:rPr>
        <w:t xml:space="preserve"> </w:t>
      </w:r>
      <w:r>
        <w:rPr>
          <w:rFonts w:hint="eastAsia"/>
          <w:szCs w:val="36"/>
        </w:rPr>
        <w:t>技术需求书</w:t>
      </w:r>
      <w:r>
        <w:tab/>
      </w:r>
      <w:r>
        <w:fldChar w:fldCharType="begin"/>
      </w:r>
      <w:r>
        <w:instrText xml:space="preserve"> PAGEREF _Toc18088 \h </w:instrText>
      </w:r>
      <w:r>
        <w:fldChar w:fldCharType="separate"/>
      </w:r>
      <w:r>
        <w:t>30</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_Toc10238 </w:instrText>
      </w:r>
      <w:r>
        <w:rPr>
          <w:rFonts w:ascii="宋体" w:hAnsi="宋体" w:eastAsia="宋体"/>
          <w:szCs w:val="20"/>
        </w:rPr>
        <w:fldChar w:fldCharType="separate"/>
      </w:r>
      <w:r>
        <w:rPr>
          <w:rFonts w:hint="eastAsia" w:eastAsia="黑体"/>
          <w:bCs/>
          <w:kern w:val="44"/>
          <w:szCs w:val="36"/>
        </w:rPr>
        <w:t>第六章</w:t>
      </w:r>
      <w:r>
        <w:rPr>
          <w:rFonts w:hint="eastAsia"/>
          <w:bCs/>
          <w:kern w:val="44"/>
          <w:szCs w:val="36"/>
          <w:lang w:val="en-US" w:eastAsia="zh-CN"/>
        </w:rPr>
        <w:t xml:space="preserve"> </w:t>
      </w:r>
      <w:r>
        <w:rPr>
          <w:rFonts w:hint="eastAsia" w:eastAsia="黑体"/>
          <w:bCs/>
          <w:kern w:val="44"/>
          <w:szCs w:val="36"/>
        </w:rPr>
        <w:t>竞争性</w:t>
      </w:r>
      <w:r>
        <w:rPr>
          <w:rFonts w:hint="eastAsia"/>
          <w:bCs/>
          <w:kern w:val="44"/>
          <w:szCs w:val="36"/>
          <w:lang w:eastAsia="zh-CN"/>
        </w:rPr>
        <w:t>谈判</w:t>
      </w:r>
      <w:r>
        <w:rPr>
          <w:rFonts w:hint="eastAsia" w:eastAsia="黑体"/>
          <w:bCs/>
          <w:kern w:val="44"/>
          <w:szCs w:val="36"/>
        </w:rPr>
        <w:t>响应文件格式</w:t>
      </w:r>
      <w:r>
        <w:tab/>
      </w:r>
      <w:r>
        <w:fldChar w:fldCharType="begin"/>
      </w:r>
      <w:r>
        <w:instrText xml:space="preserve"> PAGEREF _Toc10238 \h </w:instrText>
      </w:r>
      <w:r>
        <w:fldChar w:fldCharType="separate"/>
      </w:r>
      <w:r>
        <w:t>41</w:t>
      </w:r>
      <w:r>
        <w:fldChar w:fldCharType="end"/>
      </w:r>
      <w:r>
        <w:rPr>
          <w:rFonts w:ascii="宋体" w:hAnsi="宋体" w:eastAsia="宋体"/>
          <w:color w:val="000000" w:themeColor="text1"/>
          <w:szCs w:val="20"/>
          <w14:textFill>
            <w14:solidFill>
              <w14:schemeClr w14:val="tx1"/>
            </w14:solidFill>
          </w14:textFill>
        </w:rPr>
        <w:fldChar w:fldCharType="end"/>
      </w:r>
    </w:p>
    <w:p>
      <w:pPr>
        <w:pStyle w:val="39"/>
        <w:tabs>
          <w:tab w:val="right" w:leader="dot" w:pos="8306"/>
          <w:tab w:val="clear" w:pos="851"/>
          <w:tab w:val="clear" w:pos="9072"/>
        </w:tabs>
      </w:pPr>
      <w:r>
        <w:rPr>
          <w:rFonts w:ascii="宋体" w:hAnsi="宋体" w:eastAsia="宋体"/>
          <w:color w:val="000000" w:themeColor="text1"/>
          <w:szCs w:val="20"/>
          <w14:textFill>
            <w14:solidFill>
              <w14:schemeClr w14:val="tx1"/>
            </w14:solidFill>
          </w14:textFill>
        </w:rPr>
        <w:fldChar w:fldCharType="begin"/>
      </w:r>
      <w:r>
        <w:rPr>
          <w:rFonts w:ascii="宋体" w:hAnsi="宋体" w:eastAsia="宋体"/>
          <w:szCs w:val="20"/>
        </w:rPr>
        <w:instrText xml:space="preserve"> HYPERLINK \l _Toc24121 </w:instrText>
      </w:r>
      <w:r>
        <w:rPr>
          <w:rFonts w:ascii="宋体" w:hAnsi="宋体" w:eastAsia="宋体"/>
          <w:szCs w:val="20"/>
        </w:rPr>
        <w:fldChar w:fldCharType="separate"/>
      </w:r>
      <w:r>
        <w:rPr>
          <w:rFonts w:hint="eastAsia"/>
          <w:szCs w:val="36"/>
        </w:rPr>
        <w:t>第七章</w:t>
      </w:r>
      <w:r>
        <w:rPr>
          <w:rFonts w:hint="eastAsia"/>
          <w:szCs w:val="36"/>
          <w:lang w:val="en-US" w:eastAsia="zh-CN"/>
        </w:rPr>
        <w:t xml:space="preserve"> </w:t>
      </w:r>
      <w:r>
        <w:rPr>
          <w:rFonts w:hint="eastAsia"/>
          <w:szCs w:val="36"/>
        </w:rPr>
        <w:t>其他</w:t>
      </w:r>
      <w:r>
        <w:tab/>
      </w:r>
      <w:r>
        <w:fldChar w:fldCharType="begin"/>
      </w:r>
      <w:r>
        <w:instrText xml:space="preserve"> PAGEREF _Toc24121 \h </w:instrText>
      </w:r>
      <w:r>
        <w:fldChar w:fldCharType="separate"/>
      </w:r>
      <w:r>
        <w:t>59</w:t>
      </w:r>
      <w:r>
        <w:fldChar w:fldCharType="end"/>
      </w:r>
      <w:r>
        <w:rPr>
          <w:rFonts w:ascii="宋体" w:hAnsi="宋体" w:eastAsia="宋体"/>
          <w:color w:val="000000" w:themeColor="text1"/>
          <w:szCs w:val="20"/>
          <w14:textFill>
            <w14:solidFill>
              <w14:schemeClr w14:val="tx1"/>
            </w14:solidFill>
          </w14:textFill>
        </w:rPr>
        <w:fldChar w:fldCharType="end"/>
      </w:r>
    </w:p>
    <w:p>
      <w:pPr>
        <w:pStyle w:val="39"/>
        <w:rPr>
          <w:rFonts w:ascii="Calibri" w:hAnsi="Calibri" w:eastAsia="宋体"/>
          <w:caps w:val="0"/>
          <w:color w:val="000000" w:themeColor="text1"/>
          <w:kern w:val="2"/>
          <w:szCs w:val="22"/>
          <w14:textFill>
            <w14:solidFill>
              <w14:schemeClr w14:val="tx1"/>
            </w14:solidFill>
          </w14:textFill>
        </w:rPr>
      </w:pPr>
      <w:r>
        <w:rPr>
          <w:rFonts w:ascii="宋体" w:hAnsi="宋体" w:eastAsia="宋体"/>
          <w:color w:val="000000" w:themeColor="text1"/>
          <w:szCs w:val="20"/>
          <w14:textFill>
            <w14:solidFill>
              <w14:schemeClr w14:val="tx1"/>
            </w14:solidFill>
          </w14:textFill>
        </w:rPr>
        <w:fldChar w:fldCharType="end"/>
      </w:r>
    </w:p>
    <w:p>
      <w:pPr>
        <w:widowControl/>
        <w:jc w:val="left"/>
        <w:rPr>
          <w:rFonts w:eastAsia="黑体"/>
          <w:bCs/>
          <w:color w:val="000000" w:themeColor="text1"/>
          <w:kern w:val="44"/>
          <w:sz w:val="30"/>
          <w:szCs w:val="44"/>
          <w14:textFill>
            <w14:solidFill>
              <w14:schemeClr w14:val="tx1"/>
            </w14:solidFill>
          </w14:textFill>
        </w:rPr>
      </w:pPr>
      <w:r>
        <w:rPr>
          <w:color w:val="000000" w:themeColor="text1"/>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3" w:name="_Toc16046"/>
      <w:bookmarkStart w:id="4" w:name="_Hlk106094668"/>
      <w:r>
        <w:rPr>
          <w:rFonts w:hint="eastAsia"/>
          <w:b/>
          <w:color w:val="000000" w:themeColor="text1"/>
          <w:sz w:val="36"/>
          <w:szCs w:val="36"/>
          <w14:textFill>
            <w14:solidFill>
              <w14:schemeClr w14:val="tx1"/>
            </w14:solidFill>
          </w14:textFill>
        </w:rPr>
        <w:t>第一章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竞争性</w:t>
      </w:r>
      <w:r>
        <w:rPr>
          <w:rFonts w:hint="eastAsia"/>
          <w:b/>
          <w:color w:val="000000" w:themeColor="text1"/>
          <w:sz w:val="36"/>
          <w:szCs w:val="36"/>
          <w:lang w:eastAsia="zh-CN"/>
          <w14:textFill>
            <w14:solidFill>
              <w14:schemeClr w14:val="tx1"/>
            </w14:solidFill>
          </w14:textFill>
        </w:rPr>
        <w:t>谈判</w:t>
      </w:r>
      <w:r>
        <w:rPr>
          <w:rFonts w:hint="eastAsia"/>
          <w:b/>
          <w:color w:val="000000" w:themeColor="text1"/>
          <w:sz w:val="36"/>
          <w:szCs w:val="36"/>
          <w14:textFill>
            <w14:solidFill>
              <w14:schemeClr w14:val="tx1"/>
            </w14:solidFill>
          </w14:textFill>
        </w:rPr>
        <w:t>公告</w:t>
      </w:r>
      <w:bookmarkEnd w:id="3"/>
    </w:p>
    <w:bookmarkEnd w:id="2"/>
    <w:p>
      <w:pPr>
        <w:spacing w:line="360" w:lineRule="auto"/>
        <w:rPr>
          <w:rFonts w:ascii="宋体" w:hAnsi="宋体"/>
          <w:b/>
          <w:color w:val="000000" w:themeColor="text1"/>
          <w:sz w:val="24"/>
          <w14:textFill>
            <w14:solidFill>
              <w14:schemeClr w14:val="tx1"/>
            </w14:solidFill>
          </w14:textFill>
        </w:rPr>
      </w:pPr>
      <w:bookmarkStart w:id="5" w:name="_Hlk103000296"/>
      <w:r>
        <w:rPr>
          <w:rFonts w:hint="eastAsia" w:ascii="宋体" w:hAnsi="宋体" w:cs="宋体"/>
          <w:b/>
          <w:color w:val="000000" w:themeColor="text1"/>
          <w:kern w:val="0"/>
          <w:sz w:val="24"/>
          <w14:textFill>
            <w14:solidFill>
              <w14:schemeClr w14:val="tx1"/>
            </w14:solidFill>
          </w14:textFill>
        </w:rPr>
        <w:t>一、项目概况</w:t>
      </w:r>
    </w:p>
    <w:p>
      <w:pPr>
        <w:pStyle w:val="89"/>
        <w:numPr>
          <w:ilvl w:val="0"/>
          <w:numId w:val="6"/>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江苏省广电有线信息网络股份有限公司5G边缘云系统</w:t>
      </w:r>
      <w:r>
        <w:rPr>
          <w:rFonts w:hint="eastAsia" w:ascii="宋体" w:hAnsi="宋体" w:cs="宋体"/>
          <w:color w:val="000000" w:themeColor="text1"/>
          <w:kern w:val="0"/>
          <w:sz w:val="24"/>
          <w:szCs w:val="22"/>
          <w14:textFill>
            <w14:solidFill>
              <w14:schemeClr w14:val="tx1"/>
            </w14:solidFill>
          </w14:textFill>
        </w:rPr>
        <w:t>。</w:t>
      </w:r>
    </w:p>
    <w:p>
      <w:pPr>
        <w:pStyle w:val="89"/>
        <w:numPr>
          <w:ilvl w:val="0"/>
          <w:numId w:val="6"/>
        </w:numPr>
        <w:spacing w:line="360" w:lineRule="auto"/>
        <w:ind w:firstLineChars="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项目内容</w:t>
      </w:r>
    </w:p>
    <w:tbl>
      <w:tblPr>
        <w:tblStyle w:val="53"/>
        <w:tblW w:w="8632" w:type="dxa"/>
        <w:jc w:val="center"/>
        <w:tblLayout w:type="fixed"/>
        <w:tblCellMar>
          <w:top w:w="0" w:type="dxa"/>
          <w:left w:w="108" w:type="dxa"/>
          <w:bottom w:w="0" w:type="dxa"/>
          <w:right w:w="108" w:type="dxa"/>
        </w:tblCellMar>
      </w:tblPr>
      <w:tblGrid>
        <w:gridCol w:w="961"/>
        <w:gridCol w:w="1483"/>
        <w:gridCol w:w="4568"/>
        <w:gridCol w:w="811"/>
        <w:gridCol w:w="809"/>
      </w:tblGrid>
      <w:tr>
        <w:tblPrEx>
          <w:tblCellMar>
            <w:top w:w="0" w:type="dxa"/>
            <w:left w:w="108" w:type="dxa"/>
            <w:bottom w:w="0" w:type="dxa"/>
            <w:right w:w="108" w:type="dxa"/>
          </w:tblCellMar>
        </w:tblPrEx>
        <w:trPr>
          <w:trHeight w:val="540"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序号</w:t>
            </w:r>
          </w:p>
        </w:tc>
        <w:tc>
          <w:tcPr>
            <w:tcW w:w="148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名称</w:t>
            </w:r>
          </w:p>
        </w:tc>
        <w:tc>
          <w:tcPr>
            <w:tcW w:w="4568" w:type="dxa"/>
            <w:tcBorders>
              <w:top w:val="single" w:color="000000" w:sz="6" w:space="0"/>
              <w:left w:val="single" w:color="000000" w:sz="6" w:space="0"/>
              <w:bottom w:val="single" w:color="000000" w:sz="6" w:space="0"/>
              <w:right w:val="single" w:color="000000" w:sz="4" w:space="0"/>
            </w:tcBorders>
            <w:vAlign w:val="center"/>
          </w:tcPr>
          <w:p>
            <w:pPr>
              <w:snapToGrid w:val="0"/>
              <w:spacing w:line="30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用途</w:t>
            </w:r>
          </w:p>
        </w:tc>
        <w:tc>
          <w:tcPr>
            <w:tcW w:w="811"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数量</w:t>
            </w:r>
          </w:p>
        </w:tc>
        <w:tc>
          <w:tcPr>
            <w:tcW w:w="809"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单位</w:t>
            </w:r>
          </w:p>
        </w:tc>
      </w:tr>
      <w:tr>
        <w:tblPrEx>
          <w:tblCellMar>
            <w:top w:w="0" w:type="dxa"/>
            <w:left w:w="108" w:type="dxa"/>
            <w:bottom w:w="0" w:type="dxa"/>
            <w:right w:w="108" w:type="dxa"/>
          </w:tblCellMar>
        </w:tblPrEx>
        <w:trPr>
          <w:trHeight w:val="365" w:hRule="atLeast"/>
          <w:jc w:val="center"/>
        </w:trPr>
        <w:tc>
          <w:tcPr>
            <w:tcW w:w="961"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1483"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5G边缘云</w:t>
            </w:r>
          </w:p>
          <w:p>
            <w:pPr>
              <w:snapToGrid w:val="0"/>
              <w:spacing w:line="300" w:lineRule="auto"/>
              <w:jc w:val="center"/>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w:t>
            </w:r>
          </w:p>
        </w:tc>
        <w:tc>
          <w:tcPr>
            <w:tcW w:w="4568" w:type="dxa"/>
            <w:tcBorders>
              <w:top w:val="single" w:color="000000" w:sz="6" w:space="0"/>
              <w:left w:val="single" w:color="000000" w:sz="6" w:space="0"/>
              <w:bottom w:val="single" w:color="000000" w:sz="6" w:space="0"/>
              <w:right w:val="single" w:color="000000" w:sz="4" w:space="0"/>
            </w:tcBorders>
            <w:vAlign w:val="center"/>
          </w:tcPr>
          <w:p>
            <w:pPr>
              <w:spacing w:line="300" w:lineRule="auto"/>
              <w:jc w:val="left"/>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作为5G一体化小基站接入广电5G核心网的汇聚和转发单元，可有效支撑5G一体化小基站设备快速部署应用。</w:t>
            </w:r>
            <w:r>
              <w:rPr>
                <w:rFonts w:hint="eastAsia"/>
                <w:color w:val="000000" w:themeColor="text1"/>
                <w14:textFill>
                  <w14:solidFill>
                    <w14:schemeClr w14:val="tx1"/>
                  </w14:solidFill>
                </w14:textFill>
              </w:rPr>
              <w:t>满足“</w:t>
            </w:r>
            <w:r>
              <w:rPr>
                <w:rFonts w:hint="eastAsia"/>
                <w:color w:val="000000" w:themeColor="text1"/>
                <w:szCs w:val="21"/>
                <w14:textFill>
                  <w14:solidFill>
                    <w14:schemeClr w14:val="tx1"/>
                  </w14:solidFill>
                </w14:textFill>
              </w:rPr>
              <w:t>第五</w:t>
            </w:r>
            <w:r>
              <w:rPr>
                <w:color w:val="000000" w:themeColor="text1"/>
                <w:szCs w:val="21"/>
                <w14:textFill>
                  <w14:solidFill>
                    <w14:schemeClr w14:val="tx1"/>
                  </w14:solidFill>
                </w14:textFill>
              </w:rPr>
              <w:t>章</w:t>
            </w:r>
            <w:r>
              <w:rPr>
                <w:rFonts w:hint="eastAsia"/>
                <w:color w:val="000000" w:themeColor="text1"/>
                <w:szCs w:val="21"/>
                <w14:textFill>
                  <w14:solidFill>
                    <w14:schemeClr w14:val="tx1"/>
                  </w14:solidFill>
                </w14:textFill>
              </w:rPr>
              <w:t xml:space="preserve"> 技术</w:t>
            </w:r>
            <w:r>
              <w:rPr>
                <w:color w:val="000000" w:themeColor="text1"/>
                <w:szCs w:val="21"/>
                <w14:textFill>
                  <w14:solidFill>
                    <w14:schemeClr w14:val="tx1"/>
                  </w14:solidFill>
                </w14:textFill>
              </w:rPr>
              <w:t>需求书</w:t>
            </w:r>
            <w:r>
              <w:rPr>
                <w:rFonts w:hint="eastAsia"/>
                <w:color w:val="000000" w:themeColor="text1"/>
                <w:szCs w:val="21"/>
                <w14:textFill>
                  <w14:solidFill>
                    <w14:schemeClr w14:val="tx1"/>
                  </w14:solidFill>
                </w14:textFill>
              </w:rPr>
              <w:t>”中的全部软件</w:t>
            </w:r>
            <w:r>
              <w:rPr>
                <w:color w:val="000000" w:themeColor="text1"/>
                <w:szCs w:val="21"/>
                <w14:textFill>
                  <w14:solidFill>
                    <w14:schemeClr w14:val="tx1"/>
                  </w14:solidFill>
                </w14:textFill>
              </w:rPr>
              <w:t>授权</w:t>
            </w:r>
            <w:r>
              <w:rPr>
                <w:rFonts w:hint="eastAsia"/>
                <w:color w:val="000000" w:themeColor="text1"/>
                <w:szCs w:val="21"/>
                <w14:textFill>
                  <w14:solidFill>
                    <w14:schemeClr w14:val="tx1"/>
                  </w14:solidFill>
                </w14:textFill>
              </w:rPr>
              <w:t>，包括5G边缘云系统部署、支撑和后期维护服务，包含3年免费包修服务。</w:t>
            </w:r>
          </w:p>
        </w:tc>
        <w:tc>
          <w:tcPr>
            <w:tcW w:w="811" w:type="dxa"/>
            <w:tcBorders>
              <w:top w:val="single" w:color="000000" w:sz="6" w:space="0"/>
              <w:left w:val="single" w:color="000000" w:sz="4" w:space="0"/>
              <w:bottom w:val="single" w:color="000000" w:sz="6" w:space="0"/>
              <w:right w:val="single" w:color="000000" w:sz="6" w:space="0"/>
            </w:tcBorders>
            <w:vAlign w:val="center"/>
          </w:tcPr>
          <w:p>
            <w:pPr>
              <w:snapToGrid w:val="0"/>
              <w:spacing w:line="300" w:lineRule="auto"/>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809" w:type="dxa"/>
            <w:tcBorders>
              <w:top w:val="single" w:color="000000" w:sz="6" w:space="0"/>
              <w:left w:val="single" w:color="000000" w:sz="6" w:space="0"/>
              <w:bottom w:val="single" w:color="000000" w:sz="6" w:space="0"/>
              <w:right w:val="single" w:color="000000" w:sz="6" w:space="0"/>
            </w:tcBorders>
            <w:vAlign w:val="center"/>
          </w:tcPr>
          <w:p>
            <w:pPr>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套</w:t>
            </w:r>
          </w:p>
        </w:tc>
      </w:tr>
    </w:tbl>
    <w:p>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二、资格审查方式</w:t>
      </w:r>
    </w:p>
    <w:p>
      <w:pPr>
        <w:spacing w:line="360" w:lineRule="auto"/>
        <w:ind w:firstLine="475" w:firstLineChars="197"/>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三、合格供应商的基本资格要求</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1、</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须为在中华人民共和国境内依法注册的独立法人，遵守中国有关法律、法规，具有良好的商业信誉</w:t>
      </w:r>
      <w:r>
        <w:rPr>
          <w:rFonts w:hint="eastAsia" w:ascii="宋体" w:hAnsi="宋体" w:cs="宋体"/>
          <w:color w:val="000000" w:themeColor="text1"/>
          <w:kern w:val="0"/>
          <w:sz w:val="24"/>
          <w:szCs w:val="22"/>
          <w14:textFill>
            <w14:solidFill>
              <w14:schemeClr w14:val="tx1"/>
            </w14:solidFill>
          </w14:textFill>
        </w:rPr>
        <w:t>（提供营业执照复印件）。</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2</w:t>
      </w:r>
      <w:r>
        <w:rPr>
          <w:rFonts w:hint="eastAsia" w:ascii="宋体" w:hAnsi="宋体" w:cs="宋体"/>
          <w:color w:val="000000" w:themeColor="text1"/>
          <w:kern w:val="0"/>
          <w:sz w:val="24"/>
          <w:szCs w:val="22"/>
          <w14:textFill>
            <w14:solidFill>
              <w14:schemeClr w14:val="tx1"/>
            </w14:solidFill>
          </w14:textFill>
        </w:rPr>
        <w:t>、</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hint="eastAsia" w:ascii="宋体" w:hAnsi="宋体" w:cs="宋体"/>
          <w:color w:val="000000" w:themeColor="text1"/>
          <w:kern w:val="0"/>
          <w:sz w:val="24"/>
          <w:szCs w:val="22"/>
          <w14:textFill>
            <w14:solidFill>
              <w14:schemeClr w14:val="tx1"/>
            </w14:solidFill>
          </w14:textFill>
        </w:rPr>
        <w:t>须提供基本账户银行出具的资信证明（近</w:t>
      </w:r>
      <w:r>
        <w:rPr>
          <w:rFonts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14:textFill>
            <w14:solidFill>
              <w14:schemeClr w14:val="tx1"/>
            </w14:solidFill>
          </w14:textFill>
        </w:rPr>
        <w:t>个月内开具）或经第三方审计的</w:t>
      </w:r>
      <w:r>
        <w:rPr>
          <w:rFonts w:ascii="宋体" w:hAnsi="宋体" w:cs="宋体"/>
          <w:color w:val="000000" w:themeColor="text1"/>
          <w:kern w:val="0"/>
          <w:sz w:val="24"/>
          <w:szCs w:val="22"/>
          <w14:textFill>
            <w14:solidFill>
              <w14:schemeClr w14:val="tx1"/>
            </w14:solidFill>
          </w14:textFill>
        </w:rPr>
        <w:t>2022</w:t>
      </w:r>
      <w:r>
        <w:rPr>
          <w:rFonts w:hint="eastAsia" w:ascii="宋体" w:hAnsi="宋体" w:cs="宋体"/>
          <w:color w:val="000000" w:themeColor="text1"/>
          <w:kern w:val="0"/>
          <w:sz w:val="24"/>
          <w:szCs w:val="22"/>
          <w14:textFill>
            <w14:solidFill>
              <w14:schemeClr w14:val="tx1"/>
            </w14:solidFill>
          </w14:textFill>
        </w:rPr>
        <w:t>年度的财务报表复印件（至少包括资产负债表，利润表、现金流量表，财报须能体现经审计）。</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3、</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须是产品的制造商或产品制造商针对本项目唯一授权的代理商，代理商</w:t>
      </w:r>
      <w:r>
        <w:rPr>
          <w:rFonts w:hint="eastAsia" w:ascii="宋体" w:hAnsi="宋体" w:cs="宋体"/>
          <w:color w:val="000000" w:themeColor="text1"/>
          <w:kern w:val="0"/>
          <w:sz w:val="24"/>
          <w:szCs w:val="22"/>
          <w:lang w:val="en-US" w:eastAsia="zh-CN"/>
          <w14:textFill>
            <w14:solidFill>
              <w14:schemeClr w14:val="tx1"/>
            </w14:solidFill>
          </w14:textFill>
        </w:rPr>
        <w:t>谈判</w:t>
      </w:r>
      <w:r>
        <w:rPr>
          <w:rFonts w:ascii="宋体" w:hAnsi="宋体" w:cs="宋体"/>
          <w:color w:val="000000" w:themeColor="text1"/>
          <w:kern w:val="0"/>
          <w:sz w:val="24"/>
          <w:szCs w:val="22"/>
          <w14:textFill>
            <w14:solidFill>
              <w14:schemeClr w14:val="tx1"/>
            </w14:solidFill>
          </w14:textFill>
        </w:rPr>
        <w:t>时，须提供制造商授权函，同一品牌产品的制造商和代理商不可同时参与本项目</w:t>
      </w:r>
      <w:r>
        <w:rPr>
          <w:rFonts w:hint="eastAsia" w:ascii="宋体" w:hAnsi="宋体" w:cs="宋体"/>
          <w:color w:val="000000" w:themeColor="text1"/>
          <w:kern w:val="0"/>
          <w:sz w:val="24"/>
          <w:szCs w:val="22"/>
          <w:lang w:val="en-US" w:eastAsia="zh-CN"/>
          <w14:textFill>
            <w14:solidFill>
              <w14:schemeClr w14:val="tx1"/>
            </w14:solidFill>
          </w14:textFill>
        </w:rPr>
        <w:t>谈判</w:t>
      </w:r>
      <w:r>
        <w:rPr>
          <w:rFonts w:ascii="宋体" w:hAnsi="宋体" w:cs="宋体"/>
          <w:color w:val="000000" w:themeColor="text1"/>
          <w:kern w:val="0"/>
          <w:sz w:val="24"/>
          <w:szCs w:val="22"/>
          <w14:textFill>
            <w14:solidFill>
              <w14:schemeClr w14:val="tx1"/>
            </w14:solidFill>
          </w14:textFill>
        </w:rPr>
        <w:t>。</w:t>
      </w:r>
    </w:p>
    <w:p>
      <w:pPr>
        <w:tabs>
          <w:tab w:val="left" w:pos="851"/>
        </w:tabs>
        <w:spacing w:line="300" w:lineRule="auto"/>
        <w:ind w:firstLine="480" w:firstLineChars="200"/>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4、</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须提供对其所投货物或服务的直接包修或服务的承诺；若</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为代理商，则</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和制造商共同提供承诺（提供承诺书）。</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5、</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须在法律和财务上独立、合法运作并独立于</w:t>
      </w:r>
      <w:r>
        <w:rPr>
          <w:rFonts w:hint="eastAsia" w:ascii="宋体" w:hAnsi="宋体" w:cs="宋体"/>
          <w:color w:val="000000" w:themeColor="text1"/>
          <w:kern w:val="0"/>
          <w:sz w:val="24"/>
          <w:szCs w:val="22"/>
          <w:lang w:val="en-US" w:eastAsia="zh-CN"/>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不得直接或间接地与</w:t>
      </w:r>
      <w:r>
        <w:rPr>
          <w:rFonts w:hint="eastAsia" w:ascii="宋体" w:hAnsi="宋体" w:cs="宋体"/>
          <w:color w:val="000000" w:themeColor="text1"/>
          <w:kern w:val="0"/>
          <w:sz w:val="24"/>
          <w:szCs w:val="22"/>
          <w:lang w:val="en-US" w:eastAsia="zh-CN"/>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或其附属机构有任何关联（提供承诺书）。</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6、</w:t>
      </w:r>
      <w:r>
        <w:rPr>
          <w:rFonts w:hint="eastAsia" w:ascii="宋体" w:hAnsi="宋体" w:cs="宋体"/>
          <w:color w:val="000000" w:themeColor="text1"/>
          <w:kern w:val="0"/>
          <w:sz w:val="24"/>
          <w:szCs w:val="22"/>
          <w:lang w:val="en-US" w:eastAsia="zh-CN"/>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在其本国使用</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lang w:val="en-US" w:eastAsia="zh-CN"/>
          <w14:textFill>
            <w14:solidFill>
              <w14:schemeClr w14:val="tx1"/>
            </w14:solidFill>
          </w14:textFill>
        </w:rPr>
        <w:t>采购人</w:t>
      </w:r>
      <w:r>
        <w:rPr>
          <w:rFonts w:ascii="宋体" w:hAnsi="宋体" w:cs="宋体"/>
          <w:color w:val="000000" w:themeColor="text1"/>
          <w:kern w:val="0"/>
          <w:sz w:val="24"/>
          <w:szCs w:val="22"/>
          <w14:textFill>
            <w14:solidFill>
              <w14:schemeClr w14:val="tx1"/>
            </w14:solidFill>
          </w14:textFill>
        </w:rPr>
        <w:t>使用</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提供的货物而提起的侵权指控，</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（包括制造商）依法承担全部责任（提供承诺书）。</w:t>
      </w:r>
    </w:p>
    <w:p>
      <w:pPr>
        <w:widowControl/>
        <w:tabs>
          <w:tab w:val="left" w:pos="851"/>
        </w:tabs>
        <w:spacing w:line="300" w:lineRule="auto"/>
        <w:ind w:firstLine="480" w:firstLineChars="200"/>
        <w:jc w:val="left"/>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7、</w:t>
      </w:r>
      <w:r>
        <w:rPr>
          <w:rFonts w:hint="eastAsia" w:ascii="宋体" w:hAnsi="宋体" w:cs="宋体"/>
          <w:color w:val="000000" w:themeColor="text1"/>
          <w:kern w:val="0"/>
          <w:sz w:val="24"/>
          <w:szCs w:val="22"/>
          <w:lang w:val="en-US" w:eastAsia="zh-CN"/>
          <w14:textFill>
            <w14:solidFill>
              <w14:schemeClr w14:val="tx1"/>
            </w14:solidFill>
          </w14:textFill>
        </w:rPr>
        <w:t>供应商</w:t>
      </w:r>
      <w:r>
        <w:rPr>
          <w:rFonts w:ascii="宋体" w:hAnsi="宋体" w:cs="宋体"/>
          <w:color w:val="000000" w:themeColor="text1"/>
          <w:kern w:val="0"/>
          <w:sz w:val="24"/>
          <w:szCs w:val="22"/>
          <w14:textFill>
            <w14:solidFill>
              <w14:schemeClr w14:val="tx1"/>
            </w14:solidFill>
          </w14:textFill>
        </w:rPr>
        <w:t>须具备完整的技术支撑服务服务体系、具有快速响应维护能力，在中国境内须具有较大规模的组织机构及完善快捷的技术支持能力（提供承诺书）。</w:t>
      </w:r>
    </w:p>
    <w:p>
      <w:pPr>
        <w:tabs>
          <w:tab w:val="left" w:pos="851"/>
        </w:tabs>
        <w:spacing w:line="300" w:lineRule="auto"/>
        <w:ind w:firstLine="480" w:firstLineChars="200"/>
        <w:rPr>
          <w:rFonts w:ascii="宋体" w:hAnsi="宋体" w:cs="宋体"/>
          <w:color w:val="000000" w:themeColor="text1"/>
          <w:kern w:val="0"/>
          <w:sz w:val="24"/>
          <w:szCs w:val="22"/>
          <w14:textFill>
            <w14:solidFill>
              <w14:schemeClr w14:val="tx1"/>
            </w14:solidFill>
          </w14:textFill>
        </w:rPr>
      </w:pPr>
      <w:r>
        <w:rPr>
          <w:rFonts w:ascii="宋体" w:hAnsi="宋体" w:cs="宋体"/>
          <w:color w:val="000000" w:themeColor="text1"/>
          <w:kern w:val="0"/>
          <w:sz w:val="24"/>
          <w:szCs w:val="22"/>
          <w14:textFill>
            <w14:solidFill>
              <w14:schemeClr w14:val="tx1"/>
            </w14:solidFill>
          </w14:textFill>
        </w:rPr>
        <w:t>8、本项目不接受联合体。</w:t>
      </w:r>
    </w:p>
    <w:p>
      <w:pPr>
        <w:widowControl/>
        <w:spacing w:line="360" w:lineRule="auto"/>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四、竞争性</w:t>
      </w:r>
      <w:r>
        <w:rPr>
          <w:rFonts w:hint="eastAsia" w:ascii="宋体" w:hAnsi="宋体" w:cs="宋体"/>
          <w:b/>
          <w:color w:val="000000" w:themeColor="text1"/>
          <w:kern w:val="0"/>
          <w:sz w:val="24"/>
          <w:lang w:eastAsia="zh-CN"/>
          <w14:textFill>
            <w14:solidFill>
              <w14:schemeClr w14:val="tx1"/>
            </w14:solidFill>
          </w14:textFill>
        </w:rPr>
        <w:t>谈判</w:t>
      </w:r>
      <w:r>
        <w:rPr>
          <w:rFonts w:hint="eastAsia" w:ascii="宋体" w:hAnsi="宋体" w:cs="宋体"/>
          <w:b/>
          <w:color w:val="000000" w:themeColor="text1"/>
          <w:kern w:val="0"/>
          <w:sz w:val="24"/>
          <w14:textFill>
            <w14:solidFill>
              <w14:schemeClr w14:val="tx1"/>
            </w14:solidFill>
          </w14:textFill>
        </w:rPr>
        <w:t>文件的获取</w:t>
      </w:r>
    </w:p>
    <w:p>
      <w:pPr>
        <w:widowControl/>
        <w:spacing w:line="360" w:lineRule="auto"/>
        <w:ind w:firstLine="42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发布及登记时间</w:t>
      </w:r>
      <w:r>
        <w:rPr>
          <w:rFonts w:hint="eastAsia" w:ascii="宋体" w:hAnsi="宋体" w:cs="宋体"/>
          <w:color w:val="000000" w:themeColor="text1"/>
          <w:kern w:val="0"/>
          <w:sz w:val="24"/>
          <w:highlight w:val="none"/>
          <w:shd w:val="clear" w:color="auto" w:fill="FFFFFF"/>
          <w14:textFill>
            <w14:solidFill>
              <w14:schemeClr w14:val="tx1"/>
            </w14:solidFill>
          </w14:textFill>
        </w:rPr>
        <w:t>：</w:t>
      </w:r>
      <w:r>
        <w:rPr>
          <w:rFonts w:ascii="宋体" w:hAnsi="宋体" w:cs="宋体"/>
          <w:color w:val="000000" w:themeColor="text1"/>
          <w:kern w:val="0"/>
          <w:sz w:val="24"/>
          <w:highlight w:val="none"/>
          <w:shd w:val="clear" w:color="auto" w:fill="FFFFFF"/>
          <w14:textFill>
            <w14:solidFill>
              <w14:schemeClr w14:val="tx1"/>
            </w14:solidFill>
          </w14:textFill>
        </w:rPr>
        <w:t>202</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29</w:t>
      </w:r>
      <w:r>
        <w:rPr>
          <w:rFonts w:ascii="宋体" w:hAnsi="宋体" w:cs="宋体"/>
          <w:color w:val="000000" w:themeColor="text1"/>
          <w:kern w:val="0"/>
          <w:sz w:val="24"/>
          <w:highlight w:val="none"/>
          <w:shd w:val="clear" w:color="auto" w:fill="FFFFFF"/>
          <w14:textFill>
            <w14:solidFill>
              <w14:schemeClr w14:val="tx1"/>
            </w14:solidFill>
          </w14:textFill>
        </w:rPr>
        <w:t>日至202</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ascii="宋体" w:hAnsi="宋体" w:cs="宋体"/>
          <w:color w:val="000000" w:themeColor="text1"/>
          <w:kern w:val="0"/>
          <w:sz w:val="24"/>
          <w:highlight w:val="none"/>
          <w:shd w:val="clear" w:color="auto" w:fill="FFFFFF"/>
          <w14:textFill>
            <w14:solidFill>
              <w14:schemeClr w14:val="tx1"/>
            </w14:solidFill>
          </w14:textFill>
        </w:rPr>
        <w:t>日止，每日上午9：00-12：00，下午14：00-17：00（北京时间）。</w:t>
      </w:r>
    </w:p>
    <w:p>
      <w:pPr>
        <w:widowControl/>
        <w:spacing w:line="360" w:lineRule="auto"/>
        <w:ind w:firstLine="42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发放方式：竞争性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文件在报名后自行下载，请响应人联系采购人项目联系人进行报名登记，具体报名方式为将响应确认信息表</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详见采购文件第七章</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FFFFFF"/>
          <w14:textFill>
            <w14:solidFill>
              <w14:schemeClr w14:val="tx1"/>
            </w14:solidFill>
          </w14:textFill>
        </w:rPr>
        <w:t>加盖公司公章同时发至</w:t>
      </w:r>
      <w:r>
        <w:rPr>
          <w:rFonts w:hint="eastAsia" w:ascii="宋体" w:hAnsi="宋体" w:cs="宋体"/>
          <w:color w:val="000000" w:themeColor="text1"/>
          <w:kern w:val="0"/>
          <w:sz w:val="24"/>
          <w:highlight w:val="none"/>
          <w14:textFill>
            <w14:solidFill>
              <w14:schemeClr w14:val="tx1"/>
            </w14:solidFill>
          </w14:textFill>
        </w:rPr>
        <w:t>邮箱</w:t>
      </w:r>
      <w:r>
        <w:rPr>
          <w:rFonts w:hint="eastAsia" w:ascii="宋体" w:hAnsi="宋体" w:cs="宋体"/>
          <w:color w:val="000000" w:themeColor="text1"/>
          <w:kern w:val="0"/>
          <w:sz w:val="24"/>
          <w:highlight w:val="none"/>
          <w:lang w:val="en-US" w:eastAsia="zh-CN"/>
          <w14:textFill>
            <w14:solidFill>
              <w14:schemeClr w14:val="tx1"/>
            </w14:solidFill>
          </w14:textFill>
        </w:rPr>
        <w:t>wangzhen</w:t>
      </w:r>
      <w:r>
        <w:rPr>
          <w:rFonts w:ascii="宋体" w:hAnsi="宋体" w:cs="宋体"/>
          <w:color w:val="000000" w:themeColor="text1"/>
          <w:kern w:val="0"/>
          <w:sz w:val="24"/>
          <w:highlight w:val="none"/>
          <w14:textFill>
            <w14:solidFill>
              <w14:schemeClr w14:val="tx1"/>
            </w14:solidFill>
          </w14:textFill>
        </w:rPr>
        <w:t>@jscnnet.com</w:t>
      </w:r>
      <w:r>
        <w:rPr>
          <w:rFonts w:hint="eastAsia" w:ascii="宋体" w:hAnsi="宋体" w:cs="宋体"/>
          <w:color w:val="000000" w:themeColor="text1"/>
          <w:kern w:val="0"/>
          <w:sz w:val="24"/>
          <w:highlight w:val="none"/>
          <w:shd w:val="clear" w:color="auto" w:fill="FFFFFF"/>
          <w14:textFill>
            <w14:solidFill>
              <w14:schemeClr w14:val="tx1"/>
            </w14:solidFill>
          </w14:textFill>
        </w:rPr>
        <w:t>，未在文件发放日内完成登记的不得参与本项目。</w:t>
      </w:r>
    </w:p>
    <w:p>
      <w:pPr>
        <w:widowControl/>
        <w:spacing w:line="360" w:lineRule="auto"/>
        <w:ind w:firstLine="42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登记方式：请响应人将该项目负责人姓名、联系电话（手机）、联系信箱发至采购人该项目联系人，超过</w:t>
      </w:r>
      <w:r>
        <w:rPr>
          <w:rFonts w:ascii="宋体" w:hAnsi="宋体" w:cs="宋体"/>
          <w:color w:val="000000" w:themeColor="text1"/>
          <w:kern w:val="0"/>
          <w:sz w:val="24"/>
          <w:highlight w:val="none"/>
          <w:shd w:val="clear" w:color="auto" w:fill="FFFFFF"/>
          <w14:textFill>
            <w14:solidFill>
              <w14:schemeClr w14:val="tx1"/>
            </w14:solidFill>
          </w14:textFill>
        </w:rPr>
        <w:t>202</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ascii="宋体" w:hAnsi="宋体" w:cs="宋体"/>
          <w:color w:val="000000" w:themeColor="text1"/>
          <w:kern w:val="0"/>
          <w:sz w:val="24"/>
          <w:highlight w:val="none"/>
          <w:shd w:val="clear" w:color="auto" w:fill="FFFFFF"/>
          <w14:textFill>
            <w14:solidFill>
              <w14:schemeClr w14:val="tx1"/>
            </w14:solidFill>
          </w14:textFill>
        </w:rPr>
        <w:t>日17:00再登记的视为无效。</w:t>
      </w:r>
    </w:p>
    <w:p>
      <w:pPr>
        <w:widowControl/>
        <w:spacing w:line="360" w:lineRule="auto"/>
        <w:ind w:firstLine="42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项目联系人：</w:t>
      </w:r>
      <w:r>
        <w:rPr>
          <w:rFonts w:hint="eastAsia" w:ascii="宋体" w:hAnsi="宋体" w:cs="宋体"/>
          <w:color w:val="000000" w:themeColor="text1"/>
          <w:kern w:val="0"/>
          <w:sz w:val="24"/>
          <w:highlight w:val="none"/>
          <w:lang w:val="en-US" w:eastAsia="zh-CN"/>
          <w14:textFill>
            <w14:solidFill>
              <w14:schemeClr w14:val="tx1"/>
            </w14:solidFill>
          </w14:textFill>
        </w:rPr>
        <w:t>王真</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025-8</w:t>
      </w:r>
      <w:r>
        <w:rPr>
          <w:rFonts w:hint="eastAsia" w:ascii="宋体" w:hAnsi="宋体" w:cs="宋体"/>
          <w:color w:val="000000" w:themeColor="text1"/>
          <w:kern w:val="0"/>
          <w:sz w:val="24"/>
          <w:highlight w:val="none"/>
          <w:lang w:val="en-US" w:eastAsia="zh-CN"/>
          <w14:textFill>
            <w14:solidFill>
              <w14:schemeClr w14:val="tx1"/>
            </w14:solidFill>
          </w14:textFill>
        </w:rPr>
        <w:t>7231517</w:t>
      </w:r>
      <w:r>
        <w:rPr>
          <w:rFonts w:ascii="宋体" w:hAnsi="宋体" w:cs="宋体"/>
          <w:color w:val="000000" w:themeColor="text1"/>
          <w:kern w:val="0"/>
          <w:sz w:val="24"/>
          <w:highlight w:val="none"/>
          <w14:textFill>
            <w14:solidFill>
              <w14:schemeClr w14:val="tx1"/>
            </w14:solidFill>
          </w14:textFill>
        </w:rPr>
        <w:t>）</w:t>
      </w:r>
    </w:p>
    <w:p>
      <w:pPr>
        <w:widowControl/>
        <w:spacing w:line="360" w:lineRule="auto"/>
        <w:jc w:val="left"/>
        <w:rPr>
          <w:rFonts w:hint="eastAsia" w:eastAsia="宋体"/>
          <w:color w:val="000000" w:themeColor="text1"/>
          <w:highlight w:val="none"/>
          <w:lang w:eastAsia="zh-CN"/>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五、响应文件的递交和</w:t>
      </w:r>
      <w:r>
        <w:rPr>
          <w:rFonts w:hint="eastAsia" w:ascii="宋体" w:hAnsi="宋体" w:cs="宋体"/>
          <w:b/>
          <w:bCs/>
          <w:color w:val="000000" w:themeColor="text1"/>
          <w:kern w:val="0"/>
          <w:sz w:val="24"/>
          <w:highlight w:val="none"/>
          <w:shd w:val="clear" w:color="auto" w:fill="FFFFFF"/>
          <w:lang w:eastAsia="zh-CN"/>
          <w14:textFill>
            <w14:solidFill>
              <w14:schemeClr w14:val="tx1"/>
            </w14:solidFill>
          </w14:textFill>
        </w:rPr>
        <w:t>谈判</w:t>
      </w:r>
    </w:p>
    <w:p>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递交竞争性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响应文件截止时间：</w:t>
      </w:r>
      <w:r>
        <w:rPr>
          <w:rFonts w:eastAsia="微软雅黑"/>
          <w:color w:val="000000" w:themeColor="text1"/>
          <w:kern w:val="0"/>
          <w:sz w:val="24"/>
          <w:highlight w:val="none"/>
          <w:shd w:val="clear" w:color="auto" w:fill="FFFFFF"/>
          <w14:textFill>
            <w14:solidFill>
              <w14:schemeClr w14:val="tx1"/>
            </w14:solidFill>
          </w14:textFill>
        </w:rPr>
        <w:t>202</w:t>
      </w:r>
      <w:r>
        <w:rPr>
          <w:rFonts w:hint="eastAsia" w:eastAsia="微软雅黑"/>
          <w:color w:val="000000" w:themeColor="text1"/>
          <w:kern w:val="0"/>
          <w:sz w:val="24"/>
          <w:highlight w:val="none"/>
          <w:shd w:val="clear" w:color="auto" w:fill="FFFFFF"/>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29</w:t>
      </w:r>
      <w:r>
        <w:rPr>
          <w:rFonts w:hint="eastAsia" w:ascii="宋体" w:hAnsi="宋体" w:cs="宋体"/>
          <w:color w:val="000000" w:themeColor="text1"/>
          <w:kern w:val="0"/>
          <w:sz w:val="24"/>
          <w:highlight w:val="none"/>
          <w:shd w:val="clear" w:color="auto" w:fill="FFFFFF"/>
          <w14:textFill>
            <w14:solidFill>
              <w14:schemeClr w14:val="tx1"/>
            </w14:solidFill>
          </w14:textFill>
        </w:rPr>
        <w:t>日下午</w:t>
      </w:r>
      <w:r>
        <w:rPr>
          <w:rFonts w:eastAsia="微软雅黑"/>
          <w:color w:val="000000" w:themeColor="text1"/>
          <w:kern w:val="0"/>
          <w:sz w:val="24"/>
          <w:highlight w:val="none"/>
          <w:shd w:val="clear" w:color="auto" w:fill="FFFFFF"/>
          <w14:textFill>
            <w14:solidFill>
              <w14:schemeClr w14:val="tx1"/>
            </w14:solidFill>
          </w14:textFill>
        </w:rPr>
        <w:t>14:30</w:t>
      </w:r>
      <w:r>
        <w:rPr>
          <w:rFonts w:hint="eastAsia" w:ascii="宋体" w:hAnsi="宋体" w:cs="宋体"/>
          <w:color w:val="000000" w:themeColor="text1"/>
          <w:kern w:val="0"/>
          <w:sz w:val="24"/>
          <w:highlight w:val="none"/>
          <w:shd w:val="clear" w:color="auto" w:fill="FFFFFF"/>
          <w14:textFill>
            <w14:solidFill>
              <w14:schemeClr w14:val="tx1"/>
            </w14:solidFill>
          </w14:textFill>
        </w:rPr>
        <w:t>，逾期收到或不按照竞争性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文件要求密封的响应文件恕不接受。</w:t>
      </w:r>
    </w:p>
    <w:p>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递交竞争性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响应文件地点：南京市玄武区运粮河西路</w:t>
      </w:r>
      <w:r>
        <w:rPr>
          <w:rFonts w:eastAsia="微软雅黑"/>
          <w:color w:val="000000" w:themeColor="text1"/>
          <w:kern w:val="0"/>
          <w:sz w:val="24"/>
          <w:highlight w:val="none"/>
          <w:shd w:val="clear" w:color="auto" w:fill="FFFFFF"/>
          <w14:textFill>
            <w14:solidFill>
              <w14:schemeClr w14:val="tx1"/>
            </w14:solidFill>
          </w14:textFill>
        </w:rPr>
        <w:t>101</w:t>
      </w:r>
      <w:r>
        <w:rPr>
          <w:rFonts w:hint="eastAsia" w:ascii="宋体" w:hAnsi="宋体" w:cs="宋体"/>
          <w:color w:val="000000" w:themeColor="text1"/>
          <w:kern w:val="0"/>
          <w:sz w:val="24"/>
          <w:highlight w:val="none"/>
          <w:shd w:val="clear" w:color="auto" w:fill="FFFFFF"/>
          <w14:textFill>
            <w14:solidFill>
              <w14:schemeClr w14:val="tx1"/>
            </w14:solidFill>
          </w14:textFill>
        </w:rPr>
        <w:t>号</w:t>
      </w:r>
      <w:r>
        <w:rPr>
          <w:rFonts w:eastAsia="微软雅黑"/>
          <w:color w:val="000000" w:themeColor="text1"/>
          <w:kern w:val="0"/>
          <w:sz w:val="24"/>
          <w:highlight w:val="none"/>
          <w:shd w:val="clear" w:color="auto" w:fill="FFFFFF"/>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号楼</w:t>
      </w:r>
      <w:r>
        <w:rPr>
          <w:rFonts w:eastAsia="微软雅黑"/>
          <w:color w:val="000000" w:themeColor="text1"/>
          <w:kern w:val="0"/>
          <w:sz w:val="24"/>
          <w:highlight w:val="none"/>
          <w:shd w:val="clear" w:color="auto" w:fill="FFFFFF"/>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楼。</w:t>
      </w:r>
    </w:p>
    <w:p>
      <w:pPr>
        <w:widowControl/>
        <w:spacing w:line="360" w:lineRule="auto"/>
        <w:ind w:firstLine="420"/>
        <w:jc w:val="left"/>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响应文件接收人：</w:t>
      </w:r>
      <w:r>
        <w:rPr>
          <w:rFonts w:hint="eastAsia" w:ascii="宋体" w:hAnsi="宋体" w:cs="宋体"/>
          <w:color w:val="000000" w:themeColor="text1"/>
          <w:kern w:val="0"/>
          <w:sz w:val="24"/>
          <w:highlight w:val="none"/>
          <w:lang w:val="en-US" w:eastAsia="zh-CN"/>
          <w14:textFill>
            <w14:solidFill>
              <w14:schemeClr w14:val="tx1"/>
            </w14:solidFill>
          </w14:textFill>
        </w:rPr>
        <w:t>王真</w:t>
      </w:r>
      <w:r>
        <w:rPr>
          <w:rFonts w:hint="eastAsia" w:ascii="宋体" w:hAnsi="宋体" w:cs="宋体"/>
          <w:color w:val="000000" w:themeColor="text1"/>
          <w:kern w:val="0"/>
          <w:sz w:val="24"/>
          <w:highlight w:val="none"/>
          <w14:textFill>
            <w14:solidFill>
              <w14:schemeClr w14:val="tx1"/>
            </w14:solidFill>
          </w14:textFill>
        </w:rPr>
        <w:t>，电话：</w:t>
      </w:r>
      <w:r>
        <w:rPr>
          <w:rFonts w:ascii="宋体" w:hAnsi="宋体" w:cs="宋体"/>
          <w:color w:val="000000" w:themeColor="text1"/>
          <w:kern w:val="0"/>
          <w:sz w:val="24"/>
          <w:highlight w:val="none"/>
          <w14:textFill>
            <w14:solidFill>
              <w14:schemeClr w14:val="tx1"/>
            </w14:solidFill>
          </w14:textFill>
        </w:rPr>
        <w:t>025-8</w:t>
      </w:r>
      <w:r>
        <w:rPr>
          <w:rFonts w:hint="eastAsia" w:ascii="宋体" w:hAnsi="宋体" w:cs="宋体"/>
          <w:color w:val="000000" w:themeColor="text1"/>
          <w:kern w:val="0"/>
          <w:sz w:val="24"/>
          <w:highlight w:val="none"/>
          <w:lang w:val="en-US" w:eastAsia="zh-CN"/>
          <w14:textFill>
            <w14:solidFill>
              <w14:schemeClr w14:val="tx1"/>
            </w14:solidFill>
          </w14:textFill>
        </w:rPr>
        <w:t>7231517</w:t>
      </w:r>
    </w:p>
    <w:p>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时间：</w:t>
      </w:r>
      <w:r>
        <w:rPr>
          <w:rFonts w:eastAsia="微软雅黑"/>
          <w:color w:val="000000" w:themeColor="text1"/>
          <w:kern w:val="0"/>
          <w:sz w:val="24"/>
          <w:highlight w:val="none"/>
          <w:shd w:val="clear" w:color="auto" w:fill="FFFFFF"/>
          <w14:textFill>
            <w14:solidFill>
              <w14:schemeClr w14:val="tx1"/>
            </w14:solidFill>
          </w14:textFill>
        </w:rPr>
        <w:t>202</w:t>
      </w:r>
      <w:r>
        <w:rPr>
          <w:rFonts w:hint="eastAsia" w:eastAsia="微软雅黑"/>
          <w:color w:val="000000" w:themeColor="text1"/>
          <w:kern w:val="0"/>
          <w:sz w:val="24"/>
          <w:highlight w:val="none"/>
          <w:shd w:val="clear" w:color="auto" w:fill="FFFFFF"/>
          <w:lang w:val="en-US" w:eastAsia="zh-CN"/>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29</w:t>
      </w:r>
      <w:r>
        <w:rPr>
          <w:rFonts w:hint="eastAsia" w:ascii="宋体" w:hAnsi="宋体" w:cs="宋体"/>
          <w:color w:val="000000" w:themeColor="text1"/>
          <w:kern w:val="0"/>
          <w:sz w:val="24"/>
          <w:highlight w:val="none"/>
          <w:shd w:val="clear" w:color="auto" w:fill="FFFFFF"/>
          <w14:textFill>
            <w14:solidFill>
              <w14:schemeClr w14:val="tx1"/>
            </w14:solidFill>
          </w14:textFill>
        </w:rPr>
        <w:t>日下午</w:t>
      </w:r>
      <w:r>
        <w:rPr>
          <w:rFonts w:eastAsia="微软雅黑"/>
          <w:color w:val="000000" w:themeColor="text1"/>
          <w:kern w:val="0"/>
          <w:sz w:val="24"/>
          <w:highlight w:val="none"/>
          <w:shd w:val="clear" w:color="auto" w:fill="FFFFFF"/>
          <w14:textFill>
            <w14:solidFill>
              <w14:schemeClr w14:val="tx1"/>
            </w14:solidFill>
          </w14:textFill>
        </w:rPr>
        <w:t>14</w:t>
      </w:r>
      <w:r>
        <w:rPr>
          <w:rFonts w:hint="eastAsia" w:ascii="宋体" w:hAnsi="宋体" w:cs="宋体"/>
          <w:color w:val="000000" w:themeColor="text1"/>
          <w:kern w:val="0"/>
          <w:sz w:val="24"/>
          <w:highlight w:val="none"/>
          <w:shd w:val="clear" w:color="auto" w:fill="FFFFFF"/>
          <w14:textFill>
            <w14:solidFill>
              <w14:schemeClr w14:val="tx1"/>
            </w14:solidFill>
          </w14:textFill>
        </w:rPr>
        <w:t>点</w:t>
      </w:r>
      <w:r>
        <w:rPr>
          <w:rFonts w:eastAsia="微软雅黑"/>
          <w:color w:val="000000" w:themeColor="text1"/>
          <w:kern w:val="0"/>
          <w:sz w:val="24"/>
          <w:highlight w:val="none"/>
          <w:shd w:val="clear" w:color="auto" w:fill="FFFFFF"/>
          <w14:textFill>
            <w14:solidFill>
              <w14:schemeClr w14:val="tx1"/>
            </w14:solidFill>
          </w14:textFill>
        </w:rPr>
        <w:t>30</w:t>
      </w:r>
      <w:r>
        <w:rPr>
          <w:rFonts w:hint="eastAsia" w:ascii="宋体" w:hAnsi="宋体" w:cs="宋体"/>
          <w:color w:val="000000" w:themeColor="text1"/>
          <w:kern w:val="0"/>
          <w:sz w:val="24"/>
          <w:highlight w:val="none"/>
          <w:shd w:val="clear" w:color="auto" w:fill="FFFFFF"/>
          <w14:textFill>
            <w14:solidFill>
              <w14:schemeClr w14:val="tx1"/>
            </w14:solidFill>
          </w14:textFill>
        </w:rPr>
        <w:t>分。</w:t>
      </w:r>
    </w:p>
    <w:p>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竞争性</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谈判</w:t>
      </w:r>
      <w:r>
        <w:rPr>
          <w:rFonts w:hint="eastAsia" w:ascii="宋体" w:hAnsi="宋体" w:cs="宋体"/>
          <w:color w:val="000000" w:themeColor="text1"/>
          <w:kern w:val="0"/>
          <w:sz w:val="24"/>
          <w:highlight w:val="none"/>
          <w:shd w:val="clear" w:color="auto" w:fill="FFFFFF"/>
          <w14:textFill>
            <w14:solidFill>
              <w14:schemeClr w14:val="tx1"/>
            </w14:solidFill>
          </w14:textFill>
        </w:rPr>
        <w:t>地点：南京市玄武区运粮河西路</w:t>
      </w:r>
      <w:r>
        <w:rPr>
          <w:rFonts w:eastAsia="微软雅黑"/>
          <w:color w:val="000000" w:themeColor="text1"/>
          <w:kern w:val="0"/>
          <w:sz w:val="24"/>
          <w:highlight w:val="none"/>
          <w:shd w:val="clear" w:color="auto" w:fill="FFFFFF"/>
          <w14:textFill>
            <w14:solidFill>
              <w14:schemeClr w14:val="tx1"/>
            </w14:solidFill>
          </w14:textFill>
        </w:rPr>
        <w:t>101</w:t>
      </w:r>
      <w:r>
        <w:rPr>
          <w:rFonts w:hint="eastAsia" w:ascii="宋体" w:hAnsi="宋体" w:cs="宋体"/>
          <w:color w:val="000000" w:themeColor="text1"/>
          <w:kern w:val="0"/>
          <w:sz w:val="24"/>
          <w:highlight w:val="none"/>
          <w:shd w:val="clear" w:color="auto" w:fill="FFFFFF"/>
          <w14:textFill>
            <w14:solidFill>
              <w14:schemeClr w14:val="tx1"/>
            </w14:solidFill>
          </w14:textFill>
        </w:rPr>
        <w:t>号</w:t>
      </w:r>
      <w:r>
        <w:rPr>
          <w:rFonts w:eastAsia="微软雅黑"/>
          <w:color w:val="000000" w:themeColor="text1"/>
          <w:kern w:val="0"/>
          <w:sz w:val="24"/>
          <w:highlight w:val="none"/>
          <w:shd w:val="clear" w:color="auto" w:fill="FFFFFF"/>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号楼</w:t>
      </w:r>
      <w:r>
        <w:rPr>
          <w:rFonts w:eastAsia="微软雅黑"/>
          <w:color w:val="000000" w:themeColor="text1"/>
          <w:kern w:val="0"/>
          <w:sz w:val="24"/>
          <w:highlight w:val="none"/>
          <w:shd w:val="clear" w:color="auto" w:fill="FFFFFF"/>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楼会议室。</w:t>
      </w:r>
    </w:p>
    <w:p>
      <w:pPr>
        <w:widowControl/>
        <w:spacing w:line="360" w:lineRule="auto"/>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六、发布公告的媒介</w:t>
      </w:r>
    </w:p>
    <w:p>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191919"/>
          <w:kern w:val="0"/>
          <w:sz w:val="24"/>
          <w:highlight w:val="none"/>
          <w:shd w:val="clear" w:color="auto" w:fill="FFFFFF"/>
        </w:rPr>
        <w:t>本次采购事宜相关公告同时在江苏省广电有线信息网络股份有限公司官网（http://www.jscnnet.com）“招标采购”栏目及中国招标投标公共服务平台（http://www.cebpubservice.com/）上发布，其他媒介转载需注明出处</w:t>
      </w:r>
      <w:r>
        <w:rPr>
          <w:rFonts w:hint="eastAsia" w:ascii="宋体" w:hAnsi="宋体" w:cs="宋体"/>
          <w:color w:val="000000" w:themeColor="text1"/>
          <w:kern w:val="0"/>
          <w:sz w:val="24"/>
          <w:highlight w:val="none"/>
          <w:shd w:val="clear" w:color="auto" w:fill="FFFFFF"/>
          <w14:textFill>
            <w14:solidFill>
              <w14:schemeClr w14:val="tx1"/>
            </w14:solidFill>
          </w14:textFill>
        </w:rPr>
        <w:t>。</w:t>
      </w:r>
    </w:p>
    <w:p>
      <w:pPr>
        <w:spacing w:line="360" w:lineRule="auto"/>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七、其他说明事项</w:t>
      </w:r>
    </w:p>
    <w:p>
      <w:pPr>
        <w:widowControl/>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cs="宋体"/>
          <w:bCs/>
          <w:color w:val="000000" w:themeColor="text1"/>
          <w:sz w:val="24"/>
          <w14:textFill>
            <w14:solidFill>
              <w14:schemeClr w14:val="tx1"/>
            </w14:solidFill>
          </w14:textFill>
        </w:rPr>
        <w:t>有关本次</w:t>
      </w:r>
      <w:r>
        <w:rPr>
          <w:rFonts w:hint="eastAsia" w:ascii="宋体" w:cs="宋体"/>
          <w:bCs/>
          <w:color w:val="000000" w:themeColor="text1"/>
          <w:sz w:val="24"/>
          <w:lang w:eastAsia="zh-CN"/>
          <w14:textFill>
            <w14:solidFill>
              <w14:schemeClr w14:val="tx1"/>
            </w14:solidFill>
          </w14:textFill>
        </w:rPr>
        <w:t>谈判</w:t>
      </w:r>
      <w:r>
        <w:rPr>
          <w:rFonts w:hint="eastAsia" w:ascii="宋体" w:cs="宋体"/>
          <w:bCs/>
          <w:color w:val="000000" w:themeColor="text1"/>
          <w:sz w:val="24"/>
          <w14:textFill>
            <w14:solidFill>
              <w14:schemeClr w14:val="tx1"/>
            </w14:solidFill>
          </w14:textFill>
        </w:rPr>
        <w:t>的事项若存在变动或修改，敬请及时关注网上发布的信息更正公告</w:t>
      </w:r>
      <w:bookmarkStart w:id="6" w:name="bookmark1"/>
      <w:bookmarkEnd w:id="6"/>
      <w:r>
        <w:rPr>
          <w:rFonts w:hint="eastAsia" w:ascii="宋体" w:cs="宋体"/>
          <w:bCs/>
          <w:color w:val="000000" w:themeColor="text1"/>
          <w:sz w:val="24"/>
          <w14:textFill>
            <w14:solidFill>
              <w14:schemeClr w14:val="tx1"/>
            </w14:solidFill>
          </w14:textFill>
        </w:rPr>
        <w:t>。</w:t>
      </w:r>
      <w:bookmarkEnd w:id="0"/>
      <w:bookmarkEnd w:id="4"/>
      <w:bookmarkEnd w:id="5"/>
      <w:r>
        <w:rPr>
          <w:rFonts w:ascii="宋体" w:hAnsi="宋体"/>
          <w:color w:val="000000" w:themeColor="text1"/>
          <w:sz w:val="24"/>
          <w14:textFill>
            <w14:solidFill>
              <w14:schemeClr w14:val="tx1"/>
            </w14:solidFill>
          </w14:textFill>
        </w:rPr>
        <w:br w:type="page"/>
      </w:r>
    </w:p>
    <w:p>
      <w:pPr>
        <w:pStyle w:val="3"/>
        <w:numPr>
          <w:ilvl w:val="0"/>
          <w:numId w:val="0"/>
        </w:numPr>
        <w:spacing w:before="0" w:after="0" w:line="360" w:lineRule="auto"/>
        <w:rPr>
          <w:b/>
          <w:color w:val="000000" w:themeColor="text1"/>
          <w:sz w:val="36"/>
          <w:szCs w:val="36"/>
          <w14:textFill>
            <w14:solidFill>
              <w14:schemeClr w14:val="tx1"/>
            </w14:solidFill>
          </w14:textFill>
        </w:rPr>
      </w:pPr>
      <w:bookmarkStart w:id="7" w:name="_Toc16807"/>
      <w:bookmarkStart w:id="8" w:name="_Toc226969276"/>
      <w:bookmarkStart w:id="9" w:name="_Toc107822483"/>
      <w:bookmarkStart w:id="10" w:name="_Toc227057883"/>
      <w:r>
        <w:rPr>
          <w:rFonts w:hint="eastAsia"/>
          <w:b/>
          <w:color w:val="000000" w:themeColor="text1"/>
          <w:sz w:val="36"/>
          <w:szCs w:val="36"/>
          <w14:textFill>
            <w14:solidFill>
              <w14:schemeClr w14:val="tx1"/>
            </w14:solidFill>
          </w14:textFill>
        </w:rPr>
        <w:t>第二章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竞争性</w:t>
      </w:r>
      <w:r>
        <w:rPr>
          <w:rFonts w:hint="eastAsia"/>
          <w:b/>
          <w:color w:val="000000" w:themeColor="text1"/>
          <w:sz w:val="36"/>
          <w:szCs w:val="36"/>
          <w:lang w:eastAsia="zh-CN"/>
          <w14:textFill>
            <w14:solidFill>
              <w14:schemeClr w14:val="tx1"/>
            </w14:solidFill>
          </w14:textFill>
        </w:rPr>
        <w:t>谈判</w:t>
      </w:r>
      <w:r>
        <w:rPr>
          <w:b/>
          <w:color w:val="000000" w:themeColor="text1"/>
          <w:sz w:val="36"/>
          <w:szCs w:val="36"/>
          <w14:textFill>
            <w14:solidFill>
              <w14:schemeClr w14:val="tx1"/>
            </w14:solidFill>
          </w14:textFill>
        </w:rPr>
        <w:t>须知</w:t>
      </w:r>
      <w:bookmarkEnd w:id="7"/>
    </w:p>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供应商须知前附表</w:t>
      </w:r>
    </w:p>
    <w:p>
      <w:pPr>
        <w:jc w:val="left"/>
        <w:rPr>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本表关于要采购的货物及</w:t>
      </w:r>
      <w:r>
        <w:rPr>
          <w:color w:val="000000" w:themeColor="text1"/>
          <w:sz w:val="24"/>
          <w14:textFill>
            <w14:solidFill>
              <w14:schemeClr w14:val="tx1"/>
            </w14:solidFill>
          </w14:textFill>
        </w:rPr>
        <w:t>服务</w:t>
      </w:r>
      <w:r>
        <w:rPr>
          <w:rFonts w:hint="eastAsia"/>
          <w:color w:val="000000" w:themeColor="text1"/>
          <w:sz w:val="24"/>
          <w14:textFill>
            <w14:solidFill>
              <w14:schemeClr w14:val="tx1"/>
            </w14:solidFill>
          </w14:textFill>
        </w:rPr>
        <w:t>的具体资料是对应答供应商须知的具体补充和修改，如有矛盾，以本前附表为准。</w:t>
      </w:r>
    </w:p>
    <w:tbl>
      <w:tblPr>
        <w:tblStyle w:val="53"/>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序号</w:t>
            </w:r>
          </w:p>
        </w:tc>
        <w:tc>
          <w:tcPr>
            <w:tcW w:w="241"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条款号</w:t>
            </w:r>
          </w:p>
        </w:tc>
        <w:tc>
          <w:tcPr>
            <w:tcW w:w="772"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内容</w:t>
            </w:r>
          </w:p>
        </w:tc>
        <w:tc>
          <w:tcPr>
            <w:tcW w:w="3410" w:type="pct"/>
            <w:tcBorders>
              <w:top w:val="single" w:color="auto" w:sz="6" w:space="0"/>
            </w:tcBorders>
            <w:vAlign w:val="center"/>
          </w:tcPr>
          <w:p>
            <w:pPr>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代理机构</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合格的供应商</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文件第一章《竞争性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20.1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保密</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经第三方审计的财务报表</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文件第一章《竞争性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响应文件的技术部分中必须包括的内容</w:t>
            </w:r>
          </w:p>
        </w:tc>
        <w:tc>
          <w:tcPr>
            <w:tcW w:w="3410" w:type="pct"/>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对第五章《技术需求书》的逐项应答，逐项应答必须按照服务偏离表格式，对照竞争性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文件需求，依据供应商本身服务，如实逐条说明所提供产品及</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或服务已对竞争性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7.1</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合同文本的提供</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除了对竞争性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文件的逐项应答（包括第四章《合同格式》）外，供应商还应提供一份完整的合同文本，作为响应文件的一部分，该合同文本对于竞争性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响应文件的式样和签署</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响应文件一式</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份（</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份正本、</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9.1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供应商必须保证所提供的服务能够完全满足采购人的项目建设需求，并充分考虑到采购人的售后服务需求。</w:t>
            </w:r>
          </w:p>
          <w:p>
            <w:pPr>
              <w:pStyle w:val="2"/>
              <w:rPr>
                <w:color w:val="000000" w:themeColor="text1"/>
                <w14:textFill>
                  <w14:solidFill>
                    <w14:schemeClr w14:val="tx1"/>
                  </w14:solidFill>
                </w14:textFill>
              </w:rPr>
            </w:pPr>
            <w:r>
              <w:rPr>
                <w:rFonts w:hint="eastAsia" w:ascii="宋体" w:hAnsi="宋体"/>
                <w:b/>
                <w:color w:val="000000" w:themeColor="text1"/>
                <w:sz w:val="24"/>
                <w14:textFill>
                  <w14:solidFill>
                    <w14:schemeClr w14:val="tx1"/>
                  </w14:solidFill>
                </w14:textFill>
              </w:rPr>
              <w:t>最高限价</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lang w:val="en-US" w:eastAsia="zh-CN"/>
                <w14:textFill>
                  <w14:solidFill>
                    <w14:schemeClr w14:val="tx1"/>
                  </w14:solidFill>
                </w14:textFill>
              </w:rPr>
              <w:t>6</w:t>
            </w:r>
            <w:r>
              <w:rPr>
                <w:rFonts w:hint="eastAsia" w:ascii="宋体" w:hAnsi="宋体"/>
                <w:b/>
                <w:color w:val="000000" w:themeColor="text1"/>
                <w:sz w:val="24"/>
                <w14:textFill>
                  <w14:solidFill>
                    <w14:schemeClr w14:val="tx1"/>
                  </w14:solidFill>
                </w14:textFill>
              </w:rPr>
              <w:t>万元。</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w:t>
            </w:r>
          </w:p>
        </w:tc>
        <w:tc>
          <w:tcPr>
            <w:tcW w:w="241" w:type="pct"/>
            <w:vAlign w:val="center"/>
          </w:tcPr>
          <w:p>
            <w:pPr>
              <w:jc w:val="center"/>
              <w:rPr>
                <w:color w:val="000000" w:themeColor="text1"/>
                <w:sz w:val="24"/>
                <w14:textFill>
                  <w14:solidFill>
                    <w14:schemeClr w14:val="tx1"/>
                  </w14:solidFill>
                </w14:textFill>
              </w:rPr>
            </w:pP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响应文件的盖章或签字</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本条款增加规定：</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文件第六章“响应文件格式”中有单位名称和法定代表人或其委托代理人签字落款的响应文件必须加盖单位公章。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（2）除上述文件以外的其他响应文件组成部分必须加盖骑缝章（骑缝章必须覆盖所有响应文件），或由法定代表人或其委托代理人逐页手签。</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11</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10.1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响应有效期</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供应商递交的响应文件应在规定的递交响应文件截止日后的</w:t>
            </w:r>
            <w:r>
              <w:rPr>
                <w:color w:val="000000" w:themeColor="text1"/>
                <w:sz w:val="24"/>
                <w14:textFill>
                  <w14:solidFill>
                    <w14:schemeClr w14:val="tx1"/>
                  </w14:solidFill>
                </w14:textFill>
              </w:rPr>
              <w:t>90</w:t>
            </w:r>
            <w:r>
              <w:rPr>
                <w:rFonts w:hint="eastAsia"/>
                <w:color w:val="000000" w:themeColor="text1"/>
                <w:sz w:val="24"/>
                <w14:textFill>
                  <w14:solidFill>
                    <w14:schemeClr w14:val="tx1"/>
                  </w14:solidFill>
                </w14:textFill>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递交响应文件截止时间</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文件第一章《竞争性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13</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递交响应文件地点</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见竞争性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文件第一章《竞争性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14</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17.5</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如发现下列情况之一的，其响应文件将可能被拒绝</w:t>
            </w:r>
          </w:p>
        </w:tc>
        <w:tc>
          <w:tcPr>
            <w:tcW w:w="3410" w:type="pct"/>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）不满足竞争性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文件对合格供应商的基本资质要求的；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2）供应商在响应文件中提供的服务内容及质量不能实质性满足竞争性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color w:val="000000" w:themeColor="text1"/>
                <w:sz w:val="24"/>
                <w14:textFill>
                  <w14:solidFill>
                    <w14:schemeClr w14:val="tx1"/>
                  </w14:solidFill>
                </w14:textFill>
              </w:rPr>
              <w:t>号条款要求（或五条及以上非</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color w:val="000000" w:themeColor="text1"/>
                <w:sz w:val="24"/>
                <w14:textFill>
                  <w14:solidFill>
                    <w14:schemeClr w14:val="tx1"/>
                  </w14:solidFill>
                </w14:textFill>
              </w:rPr>
              <w:t>号条款）或不能提供实质性满足证明的；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3）供应商在响应文件中对于第四章《合同格式》有任何负偏离的；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4）响应函、法人代表授权书不按照第六章《附件》的格式提供的；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5）资格证明文件不全、失效或不符合竞争性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文件要求的；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6）响应文件无法定代表人签字，或签字人无法定代表人有效授权的；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7）响应文件或响应有效期不足的；</w:t>
            </w:r>
          </w:p>
          <w:p>
            <w:pPr>
              <w:rPr>
                <w:color w:val="000000" w:themeColor="text1"/>
                <w:sz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8</w:t>
            </w:r>
            <w:r>
              <w:rPr>
                <w:rFonts w:hint="eastAsia"/>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报价超过本项目最高限价的；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9）响应文件中提供虚假或失实资料的；</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10）未按照竞争性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文件规定的方式领取竞争性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文件并按要求递交响应文件的；</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1）评审委员会认为不能实质上满足竞争性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15</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19</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w:t>
            </w:r>
          </w:p>
        </w:tc>
        <w:tc>
          <w:tcPr>
            <w:tcW w:w="3410" w:type="pct"/>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）供应商的法定代表人或其授权代理应按采购人规定的时间到指定的地点，与评审委员会进行</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并对评审委员会提出的问题作出澄清和答复；</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3）供应商逾期递交的或不满足要求的最终报价和相关承诺将被拒绝，并将导致其竞争性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响应文件实质上没有响应竞争性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文件的要求。最终报价和相关承诺在递交后将不得更改，并将作为成交商的评审依据。</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4）评审委员会将对参加</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且实质上响应竞争性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文件要求的各</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供应商进行评价和比较。评审的依据为</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供应商递交的竞争性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响应文件和</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后递交的最终报价及承诺。详见第三章《评审办法》。</w:t>
            </w:r>
          </w:p>
          <w:p>
            <w:pPr>
              <w:rPr>
                <w:color w:val="000000" w:themeColor="text1"/>
                <w:sz w:val="24"/>
                <w14:textFill>
                  <w14:solidFill>
                    <w14:schemeClr w14:val="tx1"/>
                  </w14:solidFill>
                </w14:textFill>
              </w:rPr>
            </w:pP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）评审委员会就服务、合同内容和供应商报价进行</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16</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22.1</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成交</w:t>
            </w:r>
          </w:p>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供应商数量</w:t>
            </w:r>
          </w:p>
        </w:tc>
        <w:tc>
          <w:tcPr>
            <w:tcW w:w="3410" w:type="pct"/>
            <w:vAlign w:val="center"/>
          </w:tcPr>
          <w:p>
            <w:pPr>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w:t>
            </w:r>
            <w:r>
              <w:rPr>
                <w:rFonts w:hint="eastAsia"/>
                <w:b/>
                <w:bCs/>
                <w:color w:val="000000" w:themeColor="text1"/>
                <w:sz w:val="24"/>
                <w14:textFill>
                  <w14:solidFill>
                    <w14:schemeClr w14:val="tx1"/>
                  </w14:solidFill>
                </w14:textFill>
              </w:rPr>
              <w:t>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76"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17</w:t>
            </w:r>
          </w:p>
        </w:tc>
        <w:tc>
          <w:tcPr>
            <w:tcW w:w="241" w:type="pct"/>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24</w:t>
            </w:r>
          </w:p>
        </w:tc>
        <w:tc>
          <w:tcPr>
            <w:tcW w:w="772" w:type="pct"/>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签约</w:t>
            </w:r>
          </w:p>
        </w:tc>
        <w:tc>
          <w:tcPr>
            <w:tcW w:w="3410" w:type="pct"/>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采购人与本次成交供应商按本竞争性</w:t>
            </w:r>
            <w:r>
              <w:rPr>
                <w:rFonts w:hint="eastAsia"/>
                <w:color w:val="000000" w:themeColor="text1"/>
                <w:sz w:val="24"/>
                <w:lang w:eastAsia="zh-CN"/>
                <w14:textFill>
                  <w14:solidFill>
                    <w14:schemeClr w14:val="tx1"/>
                  </w14:solidFill>
                </w14:textFill>
              </w:rPr>
              <w:t>谈判</w:t>
            </w:r>
            <w:r>
              <w:rPr>
                <w:rFonts w:hint="eastAsia"/>
                <w:color w:val="000000" w:themeColor="text1"/>
                <w:sz w:val="24"/>
                <w14:textFill>
                  <w14:solidFill>
                    <w14:schemeClr w14:val="tx1"/>
                  </w14:solidFill>
                </w14:textFill>
              </w:rPr>
              <w:t>文件第四章合同格式签订合同。</w:t>
            </w:r>
          </w:p>
        </w:tc>
      </w:tr>
    </w:tbl>
    <w:p>
      <w:pPr>
        <w:ind w:firstLine="484" w:firstLineChars="202"/>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供应商须知</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一、说明</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采购人及合格的供应商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 </w:t>
      </w:r>
      <w:r>
        <w:rPr>
          <w:rFonts w:hint="eastAsia" w:ascii="宋体" w:hAnsi="宋体"/>
          <w:color w:val="000000" w:themeColor="text1"/>
          <w:sz w:val="24"/>
          <w14:textFill>
            <w14:solidFill>
              <w14:schemeClr w14:val="tx1"/>
            </w14:solidFill>
          </w14:textFill>
        </w:rPr>
        <w:t>采购人是指国内采购产品的国家机关、企业、事业单位或其它组织。本项目采购人（详见《供应商须知前附表》）。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合格的供应商（详见《供应商须知前附表》）。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费用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供应商应承担所有与准备和参加竞争有关的费用。不论结果如何，采购人均无义务和责任承担这些费用。</w:t>
      </w:r>
    </w:p>
    <w:p>
      <w:pPr>
        <w:spacing w:line="360" w:lineRule="auto"/>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w:t>
      </w:r>
      <w:r>
        <w:rPr>
          <w:rFonts w:hint="eastAsia" w:ascii="宋体" w:hAnsi="宋体"/>
          <w:b/>
          <w:color w:val="000000" w:themeColor="text1"/>
          <w:sz w:val="28"/>
          <w:szCs w:val="28"/>
          <w:lang w:eastAsia="zh-CN"/>
          <w14:textFill>
            <w14:solidFill>
              <w14:schemeClr w14:val="tx1"/>
            </w14:solidFill>
          </w14:textFill>
        </w:rPr>
        <w:t>谈判</w:t>
      </w:r>
      <w:r>
        <w:rPr>
          <w:rFonts w:hint="eastAsia" w:ascii="宋体" w:hAnsi="宋体"/>
          <w:b/>
          <w:color w:val="000000" w:themeColor="text1"/>
          <w:sz w:val="28"/>
          <w:szCs w:val="28"/>
          <w14:textFill>
            <w14:solidFill>
              <w14:schemeClr w14:val="tx1"/>
            </w14:solidFill>
          </w14:textFill>
        </w:rPr>
        <w:t>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文件共六章，内容如下：</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第一章竞争性</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公告</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第二章竞争性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须知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第三章评审办法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第四章合同格式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第五章技术需求书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第六章竞争性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响应文件格式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14:textFill>
            <w14:solidFill>
              <w14:schemeClr w14:val="tx1"/>
            </w14:solidFill>
          </w14:textFill>
        </w:rPr>
        <w:t>供应商应认真阅读竞争性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文件中所有的事项、格式、条款和技术规范等。供应商没有按照竞争性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文件要求提交全部资料，或者响应文件没有对竞争性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文件在各方面都作出实质性响应是供应商的风险，并可能导致其响应文件被拒绝。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4.1 </w:t>
      </w:r>
      <w:r>
        <w:rPr>
          <w:rFonts w:hint="eastAsia" w:ascii="宋体" w:hAnsi="宋体"/>
          <w:color w:val="000000" w:themeColor="text1"/>
          <w:sz w:val="24"/>
          <w14:textFill>
            <w14:solidFill>
              <w14:schemeClr w14:val="tx1"/>
            </w14:solidFill>
          </w14:textFill>
        </w:rPr>
        <w:t>任何要求对竞争性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文件进行澄清的供应商，均应按规定的递交响应文件截止期五（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）天前以书面形式通知采购人。逾期的澄清要求将不被接受。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5.1</w:t>
      </w:r>
      <w:r>
        <w:rPr>
          <w:rFonts w:hint="eastAsia" w:ascii="宋体" w:hAnsi="宋体"/>
          <w:color w:val="000000" w:themeColor="text1"/>
          <w:sz w:val="24"/>
          <w14:textFill>
            <w14:solidFill>
              <w14:schemeClr w14:val="tx1"/>
            </w14:solidFill>
          </w14:textFill>
        </w:rPr>
        <w:t>为使供应商准备响应文件时有充分时间对竞争性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文件的修改部分进行研究，采购人可自行决定是否延长递交响应文件截止时间。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5.2 </w:t>
      </w:r>
      <w:r>
        <w:rPr>
          <w:rFonts w:hint="eastAsia" w:ascii="宋体" w:hAnsi="宋体"/>
          <w:color w:val="000000" w:themeColor="text1"/>
          <w:sz w:val="24"/>
          <w14:textFill>
            <w14:solidFill>
              <w14:schemeClr w14:val="tx1"/>
            </w14:solidFill>
          </w14:textFill>
        </w:rPr>
        <w:t>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）天以前的任何时候，无论出于何种原因，采购人可主动地或在解答供应商提出的澄清问题时对竞争性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文件进行修改。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5.3 </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文件的修改将以书面形式在递交响应文件截止时间（包含延长了的递交响应文件截止时间）五（</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）天前通知参与竞争性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三、响应文件的编制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响应文件的语言</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 </w:t>
      </w:r>
      <w:r>
        <w:rPr>
          <w:rFonts w:hint="eastAsia" w:ascii="宋体" w:hAnsi="宋体"/>
          <w:color w:val="000000" w:themeColor="text1"/>
          <w:sz w:val="24"/>
          <w14:textFill>
            <w14:solidFill>
              <w14:schemeClr w14:val="tx1"/>
            </w14:solidFill>
          </w14:textFill>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响应文件构成</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文件规定的文件；竞争性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文件要求的其它文件；供应商认为其它需提供的文件。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）响应文件基本文件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项目方案</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响应函（格式见附件）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报价表（格式见附件）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）供应商提交的证明其合格且中选后有能力履行合同的资格证明文件（详见《竞争性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公告》）以及供应商认为需提供的其它文件和证书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）证明供应商所提供的产品及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或服务的合格性和符合竞争性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文件规定的文件，包括但不限于：对竞争性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文件第五章《技术需求书》的逐项应答，对于某项指标的数据存在证明文件内容不一致的情况，取指标较低的为准。（详见第五章《技术需求书》）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文件要求的其它内容和文件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）供应商认为其它需提供的文件或证书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6）合同文本的提供（详见《供应商须知前附表》）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供应商提供的以上材料必须真实有效，任何一项的虚假将导致其响应文件被拒绝。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响应文件的式样和签署（详见《供应商须知前附表》）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8.1 </w:t>
      </w:r>
      <w:r>
        <w:rPr>
          <w:rFonts w:hint="eastAsia" w:ascii="宋体" w:hAnsi="宋体"/>
          <w:color w:val="000000" w:themeColor="text1"/>
          <w:sz w:val="24"/>
          <w14:textFill>
            <w14:solidFill>
              <w14:schemeClr w14:val="tx1"/>
            </w14:solidFill>
          </w14:textFill>
        </w:rPr>
        <w:t>响应文件一式</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份（</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份正本、</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份副本），电子版本一份。响应文件用中文编写，</w:t>
      </w:r>
      <w:r>
        <w:rPr>
          <w:rFonts w:ascii="宋体" w:hAnsi="宋体"/>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纸胶装。其中正本必须注明“正本”字样，正、副本及电子版本内容必须保持一致，副本可以用复印件。若正本和副本或电子版本不符，以正本为准。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如供应商对竞争性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文件个别内容不能接受，应在响应文件中另做声明，否则将视为供应商接受竞争性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文件全部内容。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8.4 </w:t>
      </w:r>
      <w:r>
        <w:rPr>
          <w:rFonts w:hint="eastAsia" w:ascii="宋体" w:hAnsi="宋体"/>
          <w:color w:val="000000" w:themeColor="text1"/>
          <w:sz w:val="24"/>
          <w14:textFill>
            <w14:solidFill>
              <w14:schemeClr w14:val="tx1"/>
            </w14:solidFill>
          </w14:textFill>
        </w:rPr>
        <w:t>任何对响应文件行间插字、涂改和增删，必须由响应文件签字人签字或盖章后才有效。</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8.5 </w:t>
      </w:r>
      <w:r>
        <w:rPr>
          <w:rFonts w:hint="eastAsia" w:ascii="宋体" w:hAnsi="宋体"/>
          <w:color w:val="000000" w:themeColor="text1"/>
          <w:sz w:val="24"/>
          <w14:textFill>
            <w14:solidFill>
              <w14:schemeClr w14:val="tx1"/>
            </w14:solidFill>
          </w14:textFill>
        </w:rPr>
        <w:t>响应文件因字迹潦草或表达不清所引起的后果由供应商负责。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报价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 </w:t>
      </w:r>
      <w:r>
        <w:rPr>
          <w:rFonts w:hint="eastAsia" w:ascii="宋体" w:hAnsi="宋体"/>
          <w:color w:val="000000" w:themeColor="text1"/>
          <w:sz w:val="24"/>
          <w14:textFill>
            <w14:solidFill>
              <w14:schemeClr w14:val="tx1"/>
            </w14:solidFill>
          </w14:textFill>
        </w:rPr>
        <w:t>报价：人民币报价。供应商应按照竞争性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文件要求，在响应文件中报出本项目包含的所有产品和服务的报价（格式见附件）。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9.2 </w:t>
      </w:r>
      <w:r>
        <w:rPr>
          <w:rFonts w:hint="eastAsia" w:ascii="宋体" w:hAnsi="宋体"/>
          <w:color w:val="000000" w:themeColor="text1"/>
          <w:sz w:val="24"/>
          <w14:textFill>
            <w14:solidFill>
              <w14:schemeClr w14:val="tx1"/>
            </w14:solidFill>
          </w14:textFill>
        </w:rPr>
        <w:t>供应商的报价包括供应商为完成采购人的项目建设所发生的一切费用（包括全部产品及相关服务）且已包括与所报产品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服务相关的所有税费。供应商估算错误或漏项的风险一律由供应商承担。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9.3 </w:t>
      </w:r>
      <w:r>
        <w:rPr>
          <w:rFonts w:hint="eastAsia" w:ascii="宋体" w:hAnsi="宋体"/>
          <w:color w:val="000000" w:themeColor="text1"/>
          <w:sz w:val="24"/>
          <w14:textFill>
            <w14:solidFill>
              <w14:schemeClr w14:val="tx1"/>
            </w14:solidFill>
          </w14:textFill>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9.4 </w:t>
      </w:r>
      <w:r>
        <w:rPr>
          <w:rFonts w:hint="eastAsia" w:ascii="宋体" w:hAnsi="宋体"/>
          <w:color w:val="000000" w:themeColor="text1"/>
          <w:sz w:val="24"/>
          <w14:textFill>
            <w14:solidFill>
              <w14:schemeClr w14:val="tx1"/>
            </w14:solidFill>
          </w14:textFill>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 响应有效期（详见《供应商须知前附表》）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供应商递交的响应文件应在规定的递交响应文件截止日后的</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天内保持有效。有效期不满足要求的响应文件将被视为非响应性文件而予以拒绝。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10.2 </w:t>
      </w:r>
      <w:r>
        <w:rPr>
          <w:rFonts w:hint="eastAsia" w:ascii="宋体" w:hAnsi="宋体"/>
          <w:color w:val="000000" w:themeColor="text1"/>
          <w:sz w:val="24"/>
          <w14:textFill>
            <w14:solidFill>
              <w14:schemeClr w14:val="tx1"/>
            </w14:solidFill>
          </w14:textFill>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四、响应文件的递交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响应文件的密封和标记</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供应商应将响应文件正本和所有的副本、电子文档分开密封装在单独的信封中，且在信封上标明“正本”、“副本”、“电子文档”字样。</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w:t>
      </w:r>
      <w:r>
        <w:rPr>
          <w:rFonts w:hint="eastAsia" w:ascii="宋体" w:hAnsi="宋体"/>
          <w:color w:val="000000" w:themeColor="text1"/>
          <w:sz w:val="24"/>
          <w14:textFill>
            <w14:solidFill>
              <w14:schemeClr w14:val="tx1"/>
            </w14:solidFill>
          </w14:textFill>
        </w:rPr>
        <w:t>内外层信封均应：</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）标明递交至“</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”中指明的地点。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）注明“</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”中指明的项目名称、编号和“在”之前不得启封的字样，并填入“</w:t>
      </w:r>
      <w:r>
        <w:rPr>
          <w:rFonts w:ascii="宋体" w:hAnsi="宋体"/>
          <w:color w:val="000000" w:themeColor="text1"/>
          <w:sz w:val="24"/>
          <w14:textFill>
            <w14:solidFill>
              <w14:schemeClr w14:val="tx1"/>
            </w14:solidFill>
          </w14:textFill>
        </w:rPr>
        <w:t>采购公告</w:t>
      </w:r>
      <w:r>
        <w:rPr>
          <w:rFonts w:hint="eastAsia" w:ascii="宋体" w:hAnsi="宋体"/>
          <w:color w:val="000000" w:themeColor="text1"/>
          <w:sz w:val="24"/>
          <w14:textFill>
            <w14:solidFill>
              <w14:schemeClr w14:val="tx1"/>
            </w14:solidFill>
          </w14:textFill>
        </w:rPr>
        <w:t>”中规定的日期和时间。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内层信封应写明供应商名称和地址，以便若其响应文件被宣布为“迟到”响应文件时，能原封退回。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如果外层信封未按本须知第</w:t>
      </w:r>
      <w:r>
        <w:rPr>
          <w:rFonts w:ascii="宋体" w:hAnsi="宋体"/>
          <w:color w:val="000000" w:themeColor="text1"/>
          <w:sz w:val="24"/>
          <w14:textFill>
            <w14:solidFill>
              <w14:schemeClr w14:val="tx1"/>
            </w14:solidFill>
          </w14:textFill>
        </w:rPr>
        <w:t>12.2</w:t>
      </w:r>
      <w:r>
        <w:rPr>
          <w:rFonts w:hint="eastAsia" w:ascii="宋体" w:hAnsi="宋体"/>
          <w:color w:val="000000" w:themeColor="text1"/>
          <w:sz w:val="24"/>
          <w14:textFill>
            <w14:solidFill>
              <w14:schemeClr w14:val="tx1"/>
            </w14:solidFill>
          </w14:textFill>
        </w:rPr>
        <w:t>条要求加写标记和密封，采购人对误投或过早启封概不负责。</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递交响应文件截止时间</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采购人收到响应文件的时间不迟于（详见《竞争性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公告》）</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采购人可以按本须知第</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条规定，通过修改竞争性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文件自行决定酌情延长递交响应文件截止时间。在此情况下，采购人和供应商受递交响应文件截止时间制约的所有权利和义务均应延长至新的截止期。</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迟交的响应文件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13.1 </w:t>
      </w:r>
      <w:r>
        <w:rPr>
          <w:rFonts w:hint="eastAsia" w:ascii="宋体" w:hAnsi="宋体"/>
          <w:color w:val="000000" w:themeColor="text1"/>
          <w:sz w:val="24"/>
          <w14:textFill>
            <w14:solidFill>
              <w14:schemeClr w14:val="tx1"/>
            </w14:solidFill>
          </w14:textFill>
        </w:rPr>
        <w:t>采购人将拒绝并原封退回在规定的递交响应文件截止时间后收到的任何响应文件。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响应文件的修改与撤回</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14.1 </w:t>
      </w:r>
      <w:r>
        <w:rPr>
          <w:rFonts w:hint="eastAsia" w:ascii="宋体" w:hAnsi="宋体"/>
          <w:color w:val="000000" w:themeColor="text1"/>
          <w:sz w:val="24"/>
          <w14:textFill>
            <w14:solidFill>
              <w14:schemeClr w14:val="tx1"/>
            </w14:solidFill>
          </w14:textFill>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供应商的修改或撤回通知应按本须知第</w:t>
      </w:r>
      <w:r>
        <w:rPr>
          <w:rFonts w:ascii="宋体" w:hAnsi="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条规定编制、密封、标记和发送。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14.3 </w:t>
      </w:r>
      <w:r>
        <w:rPr>
          <w:rFonts w:hint="eastAsia" w:ascii="宋体" w:hAnsi="宋体"/>
          <w:color w:val="000000" w:themeColor="text1"/>
          <w:sz w:val="24"/>
          <w14:textFill>
            <w14:solidFill>
              <w14:schemeClr w14:val="tx1"/>
            </w14:solidFill>
          </w14:textFill>
        </w:rPr>
        <w:t>在递交响应文件截止时间之后，供应商不得对其响应文件做任何修改。</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 </w:t>
      </w:r>
      <w:r>
        <w:rPr>
          <w:rFonts w:hint="eastAsia" w:ascii="宋体" w:hAnsi="宋体"/>
          <w:color w:val="000000" w:themeColor="text1"/>
          <w:sz w:val="24"/>
          <w14:textFill>
            <w14:solidFill>
              <w14:schemeClr w14:val="tx1"/>
            </w14:solidFill>
          </w14:textFill>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r>
        <w:rPr>
          <w:rFonts w:hint="eastAsia" w:ascii="宋体" w:hAnsi="宋体"/>
          <w:color w:val="000000" w:themeColor="text1"/>
          <w:sz w:val="24"/>
          <w14:textFill>
            <w14:solidFill>
              <w14:schemeClr w14:val="tx1"/>
            </w14:solidFill>
          </w14:textFill>
        </w:rPr>
        <w:t>评审委员会</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15.1</w:t>
      </w:r>
      <w:r>
        <w:rPr>
          <w:rFonts w:hint="eastAsia" w:ascii="宋体" w:hAnsi="宋体"/>
          <w:color w:val="000000" w:themeColor="text1"/>
          <w:sz w:val="24"/>
          <w14:textFill>
            <w14:solidFill>
              <w14:schemeClr w14:val="tx1"/>
            </w14:solidFill>
          </w14:textFill>
        </w:rPr>
        <w:t>采购人根据要求组建评审委员会。评审委员会负责整个项目的评审工作。</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响应文件的澄清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在评审期间，评审委员会可要求供应商对其响应文件的任何内容进行澄清或者说明，但是澄清或者说明不得超出响应文件的范围或者改变竞争性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文件的实质性内容。有关澄清的要求和答复均应以书面形式提交。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w:t>
      </w:r>
      <w:r>
        <w:rPr>
          <w:rFonts w:hint="eastAsia" w:ascii="宋体" w:hAnsi="宋体"/>
          <w:color w:val="000000" w:themeColor="text1"/>
          <w:sz w:val="24"/>
          <w14:textFill>
            <w14:solidFill>
              <w14:schemeClr w14:val="tx1"/>
            </w14:solidFill>
          </w14:textFill>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16.4 </w:t>
      </w:r>
      <w:r>
        <w:rPr>
          <w:rFonts w:hint="eastAsia" w:ascii="宋体" w:hAnsi="宋体"/>
          <w:color w:val="000000" w:themeColor="text1"/>
          <w:sz w:val="24"/>
          <w14:textFill>
            <w14:solidFill>
              <w14:schemeClr w14:val="tx1"/>
            </w14:solidFill>
          </w14:textFill>
        </w:rPr>
        <w:t>接到评审委员会澄清要求的供应商如未按规定做出澄清，其风险由供应商自行承担。</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响应文件的初审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17.1 </w:t>
      </w:r>
      <w:r>
        <w:rPr>
          <w:rFonts w:hint="eastAsia" w:ascii="宋体" w:hAnsi="宋体"/>
          <w:color w:val="000000" w:themeColor="text1"/>
          <w:sz w:val="24"/>
          <w14:textFill>
            <w14:solidFill>
              <w14:schemeClr w14:val="tx1"/>
            </w14:solidFill>
          </w14:textFill>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17.3 </w:t>
      </w:r>
      <w:r>
        <w:rPr>
          <w:rFonts w:hint="eastAsia" w:ascii="宋体" w:hAnsi="宋体"/>
          <w:color w:val="000000" w:themeColor="text1"/>
          <w:sz w:val="24"/>
          <w14:textFill>
            <w14:solidFill>
              <w14:schemeClr w14:val="tx1"/>
            </w14:solidFill>
          </w14:textFill>
        </w:rPr>
        <w:t>对于响应文件中不构成实质性偏差的不正规、不一致或不规则，评审委员会可以接受，但这种接受不能损害或影响任何供应商的相对排序。</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17.4 </w:t>
      </w:r>
      <w:r>
        <w:rPr>
          <w:rFonts w:hint="eastAsia" w:ascii="宋体" w:hAnsi="宋体"/>
          <w:color w:val="000000" w:themeColor="text1"/>
          <w:sz w:val="24"/>
          <w14:textFill>
            <w14:solidFill>
              <w14:schemeClr w14:val="tx1"/>
            </w14:solidFill>
          </w14:textFill>
        </w:rPr>
        <w:t>在详细评审之前，评审委员会要审查每份响应文件是否实质上响应了竞争性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文件的要求。实质上响应的响应文件应该是与竞争性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17.5 </w:t>
      </w:r>
      <w:r>
        <w:rPr>
          <w:rFonts w:hint="eastAsia" w:ascii="宋体" w:hAnsi="宋体"/>
          <w:color w:val="000000" w:themeColor="text1"/>
          <w:sz w:val="24"/>
          <w14:textFill>
            <w14:solidFill>
              <w14:schemeClr w14:val="tx1"/>
            </w14:solidFill>
          </w14:textFill>
        </w:rPr>
        <w:t>实质上没有响应竞争性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17.6</w:t>
      </w:r>
      <w:r>
        <w:rPr>
          <w:rFonts w:hint="eastAsia" w:ascii="宋体" w:hAnsi="宋体"/>
          <w:color w:val="000000" w:themeColor="text1"/>
          <w:sz w:val="24"/>
          <w14:textFill>
            <w14:solidFill>
              <w14:schemeClr w14:val="tx1"/>
            </w14:solidFill>
          </w14:textFill>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17.7 </w:t>
      </w:r>
      <w:r>
        <w:rPr>
          <w:rFonts w:hint="eastAsia" w:ascii="宋体" w:hAnsi="宋体"/>
          <w:color w:val="000000" w:themeColor="text1"/>
          <w:sz w:val="24"/>
          <w14:textFill>
            <w14:solidFill>
              <w14:schemeClr w14:val="tx1"/>
            </w14:solidFill>
          </w14:textFill>
        </w:rPr>
        <w:t>采购人保留对通过初审的供应商进行进一步</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或议价的权利。</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w:t>
      </w:r>
      <w:r>
        <w:rPr>
          <w:rFonts w:hint="eastAsia" w:ascii="宋体" w:hAnsi="宋体"/>
          <w:b/>
          <w:color w:val="000000" w:themeColor="text1"/>
          <w:sz w:val="28"/>
          <w:szCs w:val="28"/>
          <w:lang w:eastAsia="zh-CN"/>
          <w14:textFill>
            <w14:solidFill>
              <w14:schemeClr w14:val="tx1"/>
            </w14:solidFill>
          </w14:textFill>
        </w:rPr>
        <w:t>谈判</w:t>
      </w:r>
      <w:r>
        <w:rPr>
          <w:rFonts w:hint="eastAsia" w:ascii="宋体" w:hAnsi="宋体"/>
          <w:b/>
          <w:color w:val="000000" w:themeColor="text1"/>
          <w:sz w:val="28"/>
          <w:szCs w:val="28"/>
          <w14:textFill>
            <w14:solidFill>
              <w14:schemeClr w14:val="tx1"/>
            </w14:solidFill>
          </w14:textFill>
        </w:rPr>
        <w:t>和成交供应商评审</w:t>
      </w:r>
    </w:p>
    <w:p>
      <w:pPr>
        <w:spacing w:line="360" w:lineRule="auto"/>
        <w:rPr>
          <w:rFonts w:hint="eastAsia" w:ascii="宋体" w:hAnsi="宋体" w:eastAsia="宋体"/>
          <w:color w:val="000000" w:themeColor="text1"/>
          <w:sz w:val="24"/>
          <w:lang w:eastAsia="zh-CN"/>
          <w14:textFill>
            <w14:solidFill>
              <w14:schemeClr w14:val="tx1"/>
            </w14:solidFill>
          </w14:textFill>
        </w:rPr>
      </w:pPr>
      <w:r>
        <w:rPr>
          <w:rFonts w:ascii="宋体" w:hAnsi="宋体"/>
          <w:color w:val="000000" w:themeColor="text1"/>
          <w:sz w:val="24"/>
          <w14:textFill>
            <w14:solidFill>
              <w14:schemeClr w14:val="tx1"/>
            </w14:solidFill>
          </w14:textFill>
        </w:rPr>
        <w:t>18.</w:t>
      </w:r>
      <w:r>
        <w:rPr>
          <w:rFonts w:hint="eastAsia" w:ascii="宋体" w:hAnsi="宋体"/>
          <w:color w:val="000000" w:themeColor="text1"/>
          <w:sz w:val="24"/>
          <w:lang w:eastAsia="zh-CN"/>
          <w14:textFill>
            <w14:solidFill>
              <w14:schemeClr w14:val="tx1"/>
            </w14:solidFill>
          </w14:textFill>
        </w:rPr>
        <w:t>谈判</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18.1</w:t>
      </w:r>
      <w:r>
        <w:rPr>
          <w:rFonts w:hint="eastAsia" w:ascii="宋体" w:hAnsi="宋体"/>
          <w:color w:val="000000" w:themeColor="text1"/>
          <w:sz w:val="24"/>
          <w14:textFill>
            <w14:solidFill>
              <w14:schemeClr w14:val="tx1"/>
            </w14:solidFill>
          </w14:textFill>
        </w:rPr>
        <w:t>获得</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资格的供应商应按本须知及</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通知要求准时参加</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，并在</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后按要求提供递交其最终报价和相关承诺，否则将视为在报价有效期内撤回竞争性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响应文件，其响应文件将被拒绝。</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18.2</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开始时间预计为：递交竞争性</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响应文件截止时间后当天（包括法定节假日，具体时间以采购人的通知为准），供应商应提前做好</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准备。</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18.3进行</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的各供应商应由其法定代表人或本项目的授权代表作为</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代表，</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过程中可有商务、技术及售后服务等人员（总人数不超过5人）共同参加</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18.4 </w:t>
      </w:r>
      <w:r>
        <w:rPr>
          <w:rFonts w:hint="eastAsia" w:ascii="宋体" w:hAnsi="宋体"/>
          <w:color w:val="000000" w:themeColor="text1"/>
          <w:sz w:val="24"/>
          <w14:textFill>
            <w14:solidFill>
              <w14:schemeClr w14:val="tx1"/>
            </w14:solidFill>
          </w14:textFill>
        </w:rPr>
        <w:t>评审委员会将与获得</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资格的各供应商分别进行</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内容包括但不限于报价、技术、实施及服务等。在</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的任何一方不得透漏与</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有关的其它供应商的技术资料、价格和其它信息。</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18.5 </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后，参加</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18.6 </w:t>
      </w:r>
      <w:r>
        <w:rPr>
          <w:rFonts w:hint="eastAsia" w:ascii="宋体" w:hAnsi="宋体"/>
          <w:color w:val="000000" w:themeColor="text1"/>
          <w:sz w:val="24"/>
          <w14:textFill>
            <w14:solidFill>
              <w14:schemeClr w14:val="tx1"/>
            </w14:solidFill>
          </w14:textFill>
        </w:rPr>
        <w:t>供应商应将其最终报价和相关承诺的正本一份密封装在一个信封中，信封上标明“项目名称及编号”、“供应商名称和地址”字样，并在规定的时间内递交至采购人。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18.7 </w:t>
      </w:r>
      <w:r>
        <w:rPr>
          <w:rFonts w:hint="eastAsia" w:ascii="宋体" w:hAnsi="宋体"/>
          <w:color w:val="000000" w:themeColor="text1"/>
          <w:sz w:val="24"/>
          <w14:textFill>
            <w14:solidFill>
              <w14:schemeClr w14:val="tx1"/>
            </w14:solidFill>
          </w14:textFill>
        </w:rPr>
        <w:t>供应商逾期递交的或不满足要求的最终报价和相关承诺将被拒绝，并将导致其竞争性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响应文件实质上没有响应竞争性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文件的要求。最终报价和相关承诺在递交后将不得更改，并将作为成交供应商的评审依据。</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19.成交供应商的评审</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19.1 </w:t>
      </w:r>
      <w:r>
        <w:rPr>
          <w:rFonts w:hint="eastAsia" w:ascii="宋体" w:hAnsi="宋体"/>
          <w:color w:val="000000" w:themeColor="text1"/>
          <w:sz w:val="24"/>
          <w14:textFill>
            <w14:solidFill>
              <w14:schemeClr w14:val="tx1"/>
            </w14:solidFill>
          </w14:textFill>
        </w:rPr>
        <w:t>评审委员会将对参加</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且实质上响应竞争性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文件要求的各供应商进行成交供应商的评价和比价。评审的依据为供应商递交的竞争性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响应文件和</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后递交的</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报价、最终报价及承诺。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19.2 </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后，评审委员会将对参加</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的供应商进行综合评审，采用综合评审法并考虑以下因素：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注：具体评审办法详见第三章评审办法。</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19.3评审委员会将根据综合评估结果，对参加</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且实质上响应竞争性</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文件要求的供应商按综合得分排序向采购人推荐本项目的成交供应商候选人。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19.4评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委员会发现</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的报价明显低于其他报价，有可能影响产品质量或者不能诚信履约的，且无法在评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现场合理的时间内提供书面说明并在必要时提交相关证明材料，以证明其报价合理性的，评</w:t>
      </w:r>
      <w:r>
        <w:rPr>
          <w:rFonts w:hint="eastAsia" w:ascii="宋体" w:hAnsi="宋体"/>
          <w:color w:val="000000" w:themeColor="text1"/>
          <w:sz w:val="24"/>
          <w14:textFill>
            <w14:solidFill>
              <w14:schemeClr w14:val="tx1"/>
            </w14:solidFill>
          </w14:textFill>
        </w:rPr>
        <w:t>审</w:t>
      </w:r>
      <w:r>
        <w:rPr>
          <w:rFonts w:ascii="宋体" w:hAnsi="宋体"/>
          <w:color w:val="000000" w:themeColor="text1"/>
          <w:sz w:val="24"/>
          <w14:textFill>
            <w14:solidFill>
              <w14:schemeClr w14:val="tx1"/>
            </w14:solidFill>
          </w14:textFill>
        </w:rPr>
        <w:t>委员会认定该</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以低于成本报价竞标，其</w:t>
      </w:r>
      <w:r>
        <w:rPr>
          <w:rFonts w:hint="eastAsia" w:ascii="宋体" w:hAnsi="宋体"/>
          <w:color w:val="000000" w:themeColor="text1"/>
          <w:sz w:val="24"/>
          <w14:textFill>
            <w14:solidFill>
              <w14:schemeClr w14:val="tx1"/>
            </w14:solidFill>
          </w14:textFill>
        </w:rPr>
        <w:t>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应作为无效处理。</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七、保密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14:textFill>
            <w14:solidFill>
              <w14:schemeClr w14:val="tx1"/>
            </w14:solidFill>
          </w14:textFill>
        </w:rPr>
        <w:t>与采购人的接触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20.1</w:t>
      </w:r>
      <w:r>
        <w:rPr>
          <w:rFonts w:hint="eastAsia" w:ascii="宋体" w:hAnsi="宋体"/>
          <w:color w:val="000000" w:themeColor="text1"/>
          <w:sz w:val="24"/>
          <w14:textFill>
            <w14:solidFill>
              <w14:schemeClr w14:val="tx1"/>
            </w14:solidFill>
          </w14:textFill>
        </w:rPr>
        <w:t>除本须知第</w:t>
      </w:r>
      <w:r>
        <w:rPr>
          <w:rFonts w:ascii="宋体" w:hAnsi="宋体"/>
          <w:color w:val="000000" w:themeColor="text1"/>
          <w:sz w:val="24"/>
          <w14:textFill>
            <w14:solidFill>
              <w14:schemeClr w14:val="tx1"/>
            </w14:solidFill>
          </w14:textFill>
        </w:rPr>
        <w:t>17条和第19条规定外，从递交竞争性</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响应文件之日起至授予合同期间，供应商不得就与其竞争性</w:t>
      </w:r>
      <w:r>
        <w:rPr>
          <w:rFonts w:hint="eastAsia" w:ascii="宋体" w:hAnsi="宋体"/>
          <w:color w:val="000000" w:themeColor="text1"/>
          <w:sz w:val="24"/>
          <w:lang w:eastAsia="zh-CN"/>
          <w14:textFill>
            <w14:solidFill>
              <w14:schemeClr w14:val="tx1"/>
            </w14:solidFill>
          </w14:textFill>
        </w:rPr>
        <w:t>谈判</w:t>
      </w:r>
      <w:r>
        <w:rPr>
          <w:rFonts w:ascii="宋体" w:hAnsi="宋体"/>
          <w:color w:val="000000" w:themeColor="text1"/>
          <w:sz w:val="24"/>
          <w14:textFill>
            <w14:solidFill>
              <w14:schemeClr w14:val="tx1"/>
            </w14:solidFill>
          </w14:textFill>
        </w:rPr>
        <w:t>响应文件有关的事项与采购人接触。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20.2 </w:t>
      </w:r>
      <w:r>
        <w:rPr>
          <w:rFonts w:hint="eastAsia" w:ascii="宋体" w:hAnsi="宋体"/>
          <w:color w:val="000000" w:themeColor="text1"/>
          <w:sz w:val="24"/>
          <w14:textFill>
            <w14:solidFill>
              <w14:schemeClr w14:val="tx1"/>
            </w14:solidFill>
          </w14:textFill>
        </w:rPr>
        <w:t>供应商试图对评审委员会的评审、比较或授予合同的决定进行影响，都可能导致其响应文件被拒绝。</w:t>
      </w:r>
    </w:p>
    <w:p>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八、合同的签订</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合同的签订（详见《供应商须知前附表》）</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21.1评审委员会将根据供应商综合评估结果，按综合得分排序向采购人推荐本项目的</w:t>
      </w:r>
      <w:r>
        <w:rPr>
          <w:rFonts w:hint="eastAsia" w:ascii="宋体" w:hAnsi="宋体"/>
          <w:color w:val="000000" w:themeColor="text1"/>
          <w:sz w:val="24"/>
          <w14:textFill>
            <w14:solidFill>
              <w14:schemeClr w14:val="tx1"/>
            </w14:solidFill>
          </w14:textFill>
        </w:rPr>
        <w:t>成交</w:t>
      </w:r>
      <w:r>
        <w:rPr>
          <w:rFonts w:ascii="宋体" w:hAnsi="宋体"/>
          <w:color w:val="000000" w:themeColor="text1"/>
          <w:sz w:val="24"/>
          <w14:textFill>
            <w14:solidFill>
              <w14:schemeClr w14:val="tx1"/>
            </w14:solidFill>
          </w14:textFill>
        </w:rPr>
        <w:t>供应商候选人。</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21.2 </w:t>
      </w:r>
      <w:r>
        <w:rPr>
          <w:rFonts w:hint="eastAsia" w:ascii="宋体" w:hAnsi="宋体"/>
          <w:color w:val="000000" w:themeColor="text1"/>
          <w:sz w:val="24"/>
          <w14:textFill>
            <w14:solidFill>
              <w14:schemeClr w14:val="tx1"/>
            </w14:solidFill>
          </w14:textFill>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接受和拒绝任何或所有响应文件的权力</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22.1</w:t>
      </w:r>
      <w:r>
        <w:rPr>
          <w:rFonts w:hint="eastAsia" w:ascii="宋体" w:hAnsi="宋体"/>
          <w:color w:val="000000" w:themeColor="text1"/>
          <w:sz w:val="24"/>
          <w14:textFill>
            <w14:solidFill>
              <w14:schemeClr w14:val="tx1"/>
            </w14:solidFill>
          </w14:textFill>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23.</w:t>
      </w:r>
      <w:r>
        <w:rPr>
          <w:rFonts w:hint="eastAsia" w:ascii="宋体" w:hAnsi="宋体"/>
          <w:color w:val="000000" w:themeColor="text1"/>
          <w:sz w:val="24"/>
          <w14:textFill>
            <w14:solidFill>
              <w14:schemeClr w14:val="tx1"/>
            </w14:solidFill>
          </w14:textFill>
        </w:rPr>
        <w:t>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采购人确定供应商后，将向成交供应商发出授予合同通知书。</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授予合同通知书是合同的一个组成部分。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签订合同</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w:t>
      </w:r>
      <w:r>
        <w:rPr>
          <w:rFonts w:hint="eastAsia" w:ascii="宋体" w:hAnsi="宋体"/>
          <w:color w:val="000000" w:themeColor="text1"/>
          <w:sz w:val="24"/>
          <w14:textFill>
            <w14:solidFill>
              <w14:schemeClr w14:val="tx1"/>
            </w14:solidFill>
          </w14:textFill>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color w:val="000000" w:themeColor="text1"/>
          <w:kern w:val="44"/>
          <w:sz w:val="30"/>
          <w:szCs w:val="4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如果成交供应商没有按照上述规定执行，采购人将有充分理由取消该中选决定。在此情况下，采购人可与下一个候选人签订合同，或重新采购</w:t>
      </w:r>
      <w:r>
        <w:rPr>
          <w:rFonts w:hint="eastAsia" w:ascii="宋体" w:hAnsi="宋体" w:eastAsia="黑体"/>
          <w:bCs/>
          <w:color w:val="000000" w:themeColor="text1"/>
          <w:kern w:val="44"/>
          <w:sz w:val="24"/>
          <w14:textFill>
            <w14:solidFill>
              <w14:schemeClr w14:val="tx1"/>
            </w14:solidFill>
          </w14:textFill>
        </w:rPr>
        <w:t>。</w:t>
      </w:r>
      <w:bookmarkEnd w:id="8"/>
      <w:bookmarkEnd w:id="9"/>
      <w:bookmarkEnd w:id="10"/>
      <w:bookmarkStart w:id="11" w:name="_Toc107822520"/>
      <w:bookmarkStart w:id="12" w:name="_Toc227057922"/>
      <w:bookmarkStart w:id="13" w:name="_Toc226969316"/>
      <w:r>
        <w:rPr>
          <w:color w:val="000000" w:themeColor="text1"/>
          <w14:textFill>
            <w14:solidFill>
              <w14:schemeClr w14:val="tx1"/>
            </w14:solidFill>
          </w14:textFill>
        </w:rPr>
        <w:br w:type="page"/>
      </w:r>
    </w:p>
    <w:bookmarkEnd w:id="11"/>
    <w:bookmarkEnd w:id="12"/>
    <w:bookmarkEnd w:id="13"/>
    <w:p>
      <w:pPr>
        <w:pStyle w:val="3"/>
        <w:numPr>
          <w:ilvl w:val="0"/>
          <w:numId w:val="0"/>
        </w:numPr>
        <w:spacing w:before="0" w:after="0" w:line="360" w:lineRule="auto"/>
        <w:rPr>
          <w:b/>
          <w:color w:val="000000" w:themeColor="text1"/>
          <w:sz w:val="36"/>
          <w:szCs w:val="36"/>
          <w14:textFill>
            <w14:solidFill>
              <w14:schemeClr w14:val="tx1"/>
            </w14:solidFill>
          </w14:textFill>
        </w:rPr>
      </w:pPr>
      <w:bookmarkStart w:id="14" w:name="_Toc21730"/>
      <w:bookmarkStart w:id="15" w:name="_Toc107822556"/>
      <w:bookmarkStart w:id="16" w:name="_Toc226969352"/>
      <w:bookmarkStart w:id="17" w:name="_Toc227057958"/>
      <w:r>
        <w:rPr>
          <w:rFonts w:hint="eastAsia"/>
          <w:b/>
          <w:color w:val="000000" w:themeColor="text1"/>
          <w:sz w:val="36"/>
          <w:szCs w:val="36"/>
          <w14:textFill>
            <w14:solidFill>
              <w14:schemeClr w14:val="tx1"/>
            </w14:solidFill>
          </w14:textFill>
        </w:rPr>
        <w:t>第三章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评审办法</w:t>
      </w:r>
      <w:bookmarkEnd w:id="14"/>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须对第三章《</w:t>
      </w:r>
      <w:r>
        <w:rPr>
          <w:rFonts w:hint="eastAsia" w:ascii="宋体" w:hAnsi="宋体"/>
          <w:color w:val="000000" w:themeColor="text1"/>
          <w:sz w:val="24"/>
          <w:lang w:val="en-US" w:eastAsia="zh-CN"/>
          <w14:textFill>
            <w14:solidFill>
              <w14:schemeClr w14:val="tx1"/>
            </w14:solidFill>
          </w14:textFill>
        </w:rPr>
        <w:t>评审</w:t>
      </w:r>
      <w:r>
        <w:rPr>
          <w:rFonts w:ascii="宋体" w:hAnsi="宋体"/>
          <w:color w:val="000000" w:themeColor="text1"/>
          <w:sz w:val="24"/>
          <w14:textFill>
            <w14:solidFill>
              <w14:schemeClr w14:val="tx1"/>
            </w14:solidFill>
          </w14:textFill>
        </w:rPr>
        <w:t>办法》中的评分要求逐项说明在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中的装订页码，并将该页装订在</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的首页。</w:t>
      </w:r>
    </w:p>
    <w:p>
      <w:pPr>
        <w:spacing w:line="360" w:lineRule="auto"/>
        <w:jc w:val="left"/>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jc w:val="center"/>
        <w:rPr>
          <w:rFonts w:ascii="黑体" w:hAnsi="黑体" w:eastAsia="黑体"/>
          <w:color w:val="000000" w:themeColor="text1"/>
          <w:sz w:val="37"/>
          <w:szCs w:val="37"/>
          <w14:textFill>
            <w14:solidFill>
              <w14:schemeClr w14:val="tx1"/>
            </w14:solidFill>
          </w14:textFill>
        </w:rPr>
      </w:pPr>
      <w:r>
        <w:rPr>
          <w:rFonts w:ascii="宋体" w:hAnsi="宋体"/>
          <w:color w:val="000000" w:themeColor="text1"/>
          <w14:textFill>
            <w14:solidFill>
              <w14:schemeClr w14:val="tx1"/>
            </w14:solidFill>
          </w14:textFill>
        </w:rPr>
        <w:br w:type="page"/>
      </w:r>
      <w:r>
        <w:rPr>
          <w:rFonts w:hint="eastAsia" w:ascii="黑体" w:hAnsi="黑体" w:eastAsia="黑体"/>
          <w:color w:val="000000" w:themeColor="text1"/>
          <w:sz w:val="37"/>
          <w:szCs w:val="37"/>
          <w14:textFill>
            <w14:solidFill>
              <w14:schemeClr w14:val="tx1"/>
            </w14:solidFill>
          </w14:textFill>
        </w:rPr>
        <w:t>详细</w:t>
      </w:r>
      <w:r>
        <w:rPr>
          <w:rFonts w:ascii="黑体" w:hAnsi="黑体" w:eastAsia="黑体"/>
          <w:color w:val="000000" w:themeColor="text1"/>
          <w:sz w:val="37"/>
          <w:szCs w:val="37"/>
          <w14:textFill>
            <w14:solidFill>
              <w14:schemeClr w14:val="tx1"/>
            </w14:solidFill>
          </w14:textFill>
        </w:rPr>
        <w:t>评分表</w:t>
      </w:r>
    </w:p>
    <w:p>
      <w:pPr>
        <w:spacing w:line="360" w:lineRule="auto"/>
        <w:jc w:val="center"/>
        <w:rPr>
          <w:rFonts w:ascii="黑体" w:hAnsi="黑体" w:eastAsia="黑体"/>
          <w:color w:val="000000" w:themeColor="text1"/>
          <w:sz w:val="24"/>
          <w14:textFill>
            <w14:solidFill>
              <w14:schemeClr w14:val="tx1"/>
            </w14:solidFill>
          </w14:textFill>
        </w:rPr>
      </w:pPr>
      <w:r>
        <w:rPr>
          <w:rFonts w:ascii="黑体" w:hAnsi="黑体" w:eastAsia="黑体"/>
          <w:color w:val="000000" w:themeColor="text1"/>
          <w:sz w:val="24"/>
          <w14:textFill>
            <w14:solidFill>
              <w14:schemeClr w14:val="tx1"/>
            </w14:solidFill>
          </w14:textFill>
        </w:rPr>
        <w:t>（满分100分）</w:t>
      </w:r>
    </w:p>
    <w:tbl>
      <w:tblPr>
        <w:tblStyle w:val="5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105"/>
        <w:gridCol w:w="5729"/>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pct"/>
            <w:gridSpan w:val="2"/>
            <w:vAlign w:val="center"/>
          </w:tcPr>
          <w:p>
            <w:pPr>
              <w:widowControl/>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3366" w:type="pct"/>
            <w:vAlign w:val="center"/>
          </w:tcPr>
          <w:p>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594" w:type="pct"/>
            <w:vAlign w:val="center"/>
          </w:tcPr>
          <w:p>
            <w:pPr>
              <w:jc w:val="center"/>
              <w:rPr>
                <w:b/>
                <w:color w:val="000000" w:themeColor="text1"/>
                <w14:textFill>
                  <w14:solidFill>
                    <w14:schemeClr w14:val="tx1"/>
                  </w14:solidFill>
                </w14:textFill>
              </w:rPr>
            </w:pPr>
            <w:r>
              <w:rPr>
                <w:rFonts w:hint="eastAsia"/>
                <w:b/>
                <w:color w:val="000000" w:themeColor="text1"/>
                <w:kern w:val="0"/>
                <w:szCs w:val="21"/>
                <w:lang w:val="en-US" w:eastAsia="zh-CN"/>
                <w14:textFill>
                  <w14:solidFill>
                    <w14:schemeClr w14:val="tx1"/>
                  </w14:solidFill>
                </w14:textFill>
              </w:rPr>
              <w:t>谈判</w:t>
            </w:r>
            <w:r>
              <w:rPr>
                <w:rFonts w:hint="eastAsia"/>
                <w:b/>
                <w:color w:val="000000" w:themeColor="text1"/>
                <w:kern w:val="0"/>
                <w:szCs w:val="21"/>
                <w14:textFill>
                  <w14:solidFill>
                    <w14:schemeClr w14:val="tx1"/>
                  </w14:solidFill>
                </w14:textFill>
              </w:rPr>
              <w:t>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价格部分45分</w:t>
            </w:r>
          </w:p>
        </w:tc>
        <w:tc>
          <w:tcPr>
            <w:tcW w:w="649" w:type="pct"/>
            <w:vAlign w:val="center"/>
          </w:tcPr>
          <w:p>
            <w:pPr>
              <w:pStyle w:val="48"/>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报价</w:t>
            </w:r>
          </w:p>
          <w:p>
            <w:pPr>
              <w:pStyle w:val="48"/>
              <w:jc w:val="center"/>
              <w:rPr>
                <w:rFonts w:ascii="宋体" w:hAnsi="宋体" w:cs="宋体"/>
                <w:b/>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（45分）</w:t>
            </w:r>
          </w:p>
        </w:tc>
        <w:tc>
          <w:tcPr>
            <w:tcW w:w="3366" w:type="pct"/>
            <w:vAlign w:val="center"/>
          </w:tcPr>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一、</w:t>
            </w:r>
            <w:r>
              <w:rPr>
                <w:rFonts w:hint="eastAsia" w:ascii="宋体" w:hAnsi="宋体" w:eastAsia="宋体" w:cs="宋体"/>
                <w:color w:val="000000" w:themeColor="text1"/>
                <w:kern w:val="0"/>
                <w14:textFill>
                  <w14:solidFill>
                    <w14:schemeClr w14:val="tx1"/>
                  </w14:solidFill>
                </w14:textFill>
              </w:rPr>
              <w:t>评审价的计算：</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1、供应商的报价如有缺漏项，即视为不实质性响应；</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2、不接受选择性报价或者具有附加条件的报价；</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3、响应文件中如果申报了非采购文件所要求的服务，评审时不予以折价降低评审价；</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4、供应商的报价经勘误、商务偏差调价后的累计值作为该供应商的评审价。</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cs="宋体"/>
                <w:color w:val="000000" w:themeColor="text1"/>
                <w:kern w:val="0"/>
                <w:lang w:val="en-US" w:eastAsia="zh-CN"/>
                <w14:textFill>
                  <w14:solidFill>
                    <w14:schemeClr w14:val="tx1"/>
                  </w14:solidFill>
                </w14:textFill>
              </w:rPr>
              <w:t>二、</w:t>
            </w:r>
            <w:r>
              <w:rPr>
                <w:rFonts w:hint="eastAsia" w:ascii="宋体" w:hAnsi="宋体" w:eastAsia="宋体" w:cs="宋体"/>
                <w:color w:val="000000" w:themeColor="text1"/>
                <w:kern w:val="0"/>
                <w14:textFill>
                  <w14:solidFill>
                    <w14:schemeClr w14:val="tx1"/>
                  </w14:solidFill>
                </w14:textFill>
              </w:rPr>
              <w:t>价格分的计算（以不含税价计算，保留小数点后2位）</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1、评审基准价是指满足</w:t>
            </w:r>
            <w:r>
              <w:rPr>
                <w:rFonts w:hint="eastAsia" w:ascii="宋体" w:hAnsi="宋体" w:cs="宋体"/>
                <w:color w:val="000000" w:themeColor="text1"/>
                <w:kern w:val="0"/>
                <w:lang w:val="en-US" w:eastAsia="zh-CN"/>
                <w14:textFill>
                  <w14:solidFill>
                    <w14:schemeClr w14:val="tx1"/>
                  </w14:solidFill>
                </w14:textFill>
              </w:rPr>
              <w:t>采购</w:t>
            </w:r>
            <w:r>
              <w:rPr>
                <w:rFonts w:hint="eastAsia" w:ascii="宋体" w:hAnsi="宋体" w:eastAsia="宋体" w:cs="宋体"/>
                <w:color w:val="000000" w:themeColor="text1"/>
                <w:kern w:val="0"/>
                <w14:textFill>
                  <w14:solidFill>
                    <w14:schemeClr w14:val="tx1"/>
                  </w14:solidFill>
                </w14:textFill>
              </w:rPr>
              <w:t>文件要求且</w:t>
            </w:r>
            <w:r>
              <w:rPr>
                <w:rFonts w:hint="eastAsia" w:ascii="宋体" w:hAnsi="宋体" w:cs="宋体"/>
                <w:color w:val="000000" w:themeColor="text1"/>
                <w:kern w:val="0"/>
                <w:lang w:eastAsia="zh-CN"/>
                <w14:textFill>
                  <w14:solidFill>
                    <w14:schemeClr w14:val="tx1"/>
                  </w14:solidFill>
                </w14:textFill>
              </w:rPr>
              <w:t>谈判</w:t>
            </w:r>
            <w:r>
              <w:rPr>
                <w:rFonts w:hint="eastAsia" w:ascii="宋体" w:hAnsi="宋体" w:eastAsia="宋体" w:cs="宋体"/>
                <w:color w:val="000000" w:themeColor="text1"/>
                <w:kern w:val="0"/>
                <w14:textFill>
                  <w14:solidFill>
                    <w14:schemeClr w14:val="tx1"/>
                  </w14:solidFill>
                </w14:textFill>
              </w:rPr>
              <w:t>后价格最低的报价，其价格分为满分。</w:t>
            </w:r>
          </w:p>
          <w:p>
            <w:pPr>
              <w:pStyle w:val="48"/>
              <w:overflowPunct w:val="0"/>
              <w:topLinePunct/>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2、其他供应商的价格分统一按下列公式进行计算：</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报价得分＝（评审基准价/供应商的评审价）×4</w:t>
            </w:r>
            <w:r>
              <w:rPr>
                <w:rFonts w:hint="eastAsia" w:ascii="宋体" w:hAnsi="宋体" w:cs="宋体"/>
                <w:color w:val="000000" w:themeColor="text1"/>
                <w:kern w:val="0"/>
                <w:lang w:val="en-US" w:eastAsia="zh-CN"/>
                <w14:textFill>
                  <w14:solidFill>
                    <w14:schemeClr w14:val="tx1"/>
                  </w14:solidFill>
                </w14:textFill>
              </w:rPr>
              <w:t>5</w:t>
            </w:r>
            <w:r>
              <w:rPr>
                <w:rFonts w:hint="eastAsia" w:ascii="宋体" w:hAnsi="宋体" w:eastAsia="宋体" w:cs="宋体"/>
                <w:color w:val="000000" w:themeColor="text1"/>
                <w:kern w:val="0"/>
                <w14:textFill>
                  <w14:solidFill>
                    <w14:schemeClr w14:val="tx1"/>
                  </w14:solidFill>
                </w14:textFill>
              </w:rPr>
              <w:t>。</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90" w:type="pct"/>
            <w:vMerge w:val="restart"/>
            <w:vAlign w:val="center"/>
          </w:tcPr>
          <w:p>
            <w:pPr>
              <w:widowControl/>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商务部分25分</w:t>
            </w:r>
          </w:p>
          <w:p>
            <w:pPr>
              <w:pStyle w:val="3"/>
              <w:rPr>
                <w:rFonts w:ascii="宋体" w:hAnsi="宋体" w:eastAsia="宋体" w:cs="宋体"/>
                <w:color w:val="000000" w:themeColor="text1"/>
                <w:sz w:val="21"/>
                <w:szCs w:val="21"/>
                <w14:textFill>
                  <w14:solidFill>
                    <w14:schemeClr w14:val="tx1"/>
                  </w14:solidFill>
                </w14:textFill>
              </w:rPr>
            </w:pPr>
            <w:bookmarkStart w:id="18" w:name="_Toc24939"/>
            <w:bookmarkEnd w:id="18"/>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综合实力（2分）</w:t>
            </w:r>
          </w:p>
        </w:tc>
        <w:tc>
          <w:tcPr>
            <w:tcW w:w="3366"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的企业规模、业务范围、组织机构、软硬件设施、发展情况、财务状况（总资产、负债率、利润等）和经营信誉等（诉讼、荣誉奖项等）横向比较打分。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优良(</w:t>
            </w: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]分；一般[0-1]分。</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知识产权</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具备5G小基站网关系统相关的软件著作权或专利证书，且证书名称含“网关</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Femto Gateway”或“5G网管”关键字，每提供一项得1分，满分5分。</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资质</w:t>
            </w:r>
            <w:r>
              <w:rPr>
                <w:rFonts w:hint="eastAsia" w:ascii="宋体" w:hAnsi="宋体" w:cs="宋体"/>
                <w:color w:val="000000" w:themeColor="text1"/>
                <w:sz w:val="21"/>
                <w:szCs w:val="21"/>
                <w14:textFill>
                  <w14:solidFill>
                    <w14:schemeClr w14:val="tx1"/>
                  </w14:solidFill>
                </w14:textFill>
              </w:rPr>
              <w:t>证书（5分）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具有的下列有效证书情况进行打分：</w:t>
            </w:r>
          </w:p>
          <w:p>
            <w:pPr>
              <w:pStyle w:val="4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1、具备省级高新技术企业证书、ISO9001质量管理体系认证、ISO14001环境管理体系认证、ISO45001职业健康安全管理体系认证，每提供一项得0.5分，本项共2分。</w:t>
            </w:r>
          </w:p>
          <w:p>
            <w:pPr>
              <w:pStyle w:val="4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2、具备ITSS信息技术服务标准符合性证书-运行维护服务三级（含）以上，得1分，否则不得分。</w:t>
            </w:r>
          </w:p>
          <w:p>
            <w:pPr>
              <w:pStyle w:val="4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3、具备ISO27001信息安全管理体系认证证书，得1分，否则不得分。</w:t>
            </w:r>
          </w:p>
          <w:p>
            <w:pPr>
              <w:pStyle w:val="48"/>
              <w:rPr>
                <w:rFonts w:ascii="宋体" w:hAnsi="宋体" w:cs="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4、具备信息通信网络系统集成企业服务能力甲级证书，得1分，否则不得分。</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提供以上相应证书复印件加盖公章装订在</w:t>
            </w:r>
            <w:r>
              <w:rPr>
                <w:rFonts w:hint="eastAsia" w:ascii="宋体" w:hAnsi="宋体" w:cs="宋体"/>
                <w:color w:val="000000" w:themeColor="text1"/>
                <w:sz w:val="21"/>
                <w:szCs w:val="21"/>
                <w:lang w:val="en-US" w:eastAsia="zh-CN"/>
                <w14:textFill>
                  <w14:solidFill>
                    <w14:schemeClr w14:val="tx1"/>
                  </w14:solidFill>
                </w14:textFill>
              </w:rPr>
              <w:t>响应文件</w:t>
            </w:r>
            <w:r>
              <w:rPr>
                <w:rFonts w:hint="eastAsia" w:ascii="宋体" w:hAnsi="宋体" w:cs="宋体"/>
                <w:color w:val="000000" w:themeColor="text1"/>
                <w:sz w:val="21"/>
                <w:szCs w:val="21"/>
                <w14:textFill>
                  <w14:solidFill>
                    <w14:schemeClr w14:val="tx1"/>
                  </w14:solidFill>
                </w14:textFill>
              </w:rPr>
              <w:t>内。</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业绩</w:t>
            </w:r>
            <w:r>
              <w:rPr>
                <w:rFonts w:hint="eastAsia" w:ascii="宋体" w:hAnsi="宋体" w:cs="宋体"/>
                <w:color w:val="000000" w:themeColor="text1"/>
                <w:sz w:val="21"/>
                <w:szCs w:val="21"/>
                <w:lang w:val="en-US" w:eastAsia="zh-CN"/>
                <w14:textFill>
                  <w14:solidFill>
                    <w14:schemeClr w14:val="tx1"/>
                  </w14:solidFill>
                </w14:textFill>
              </w:rPr>
              <w:t>经验</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14:textFill>
                  <w14:solidFill>
                    <w14:schemeClr w14:val="tx1"/>
                  </w14:solidFill>
                </w14:textFill>
              </w:rPr>
              <w:t>分）</w:t>
            </w:r>
          </w:p>
        </w:tc>
        <w:tc>
          <w:tcPr>
            <w:tcW w:w="3366"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针对</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自</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1月1日以来（以合同签订日期为准，需提供合同首页、关键页和签字页盖章扫描件</w:t>
            </w:r>
            <w:r>
              <w:rPr>
                <w:rFonts w:hint="eastAsia" w:ascii="宋体" w:hAnsi="宋体"/>
                <w:color w:val="000000" w:themeColor="text1"/>
                <w14:textFill>
                  <w14:solidFill>
                    <w14:schemeClr w14:val="tx1"/>
                  </w14:solidFill>
                </w14:textFill>
              </w:rPr>
              <w:t>以及发票），承接的</w:t>
            </w:r>
            <w:r>
              <w:rPr>
                <w:rFonts w:hint="eastAsia" w:ascii="宋体" w:hAnsi="宋体"/>
                <w:b w:val="0"/>
                <w:bCs/>
                <w:color w:val="000000" w:themeColor="text1"/>
                <w14:textFill>
                  <w14:solidFill>
                    <w14:schemeClr w14:val="tx1"/>
                  </w14:solidFill>
                </w14:textFill>
              </w:rPr>
              <w:t>相关建设案例（</w:t>
            </w:r>
            <w:r>
              <w:rPr>
                <w:rFonts w:hint="eastAsia" w:ascii="宋体" w:hAnsi="宋体" w:cs="宋体"/>
                <w:b w:val="0"/>
                <w:bCs/>
                <w:color w:val="000000" w:themeColor="text1"/>
                <w:szCs w:val="21"/>
                <w14:textFill>
                  <w14:solidFill>
                    <w14:schemeClr w14:val="tx1"/>
                  </w14:solidFill>
                </w14:textFill>
              </w:rPr>
              <w:t>含“网关</w:t>
            </w:r>
            <w:r>
              <w:rPr>
                <w:rFonts w:hint="eastAsia" w:ascii="宋体" w:hAnsi="宋体" w:cs="宋体"/>
                <w:b w:val="0"/>
                <w:bCs/>
                <w:color w:val="000000" w:themeColor="text1"/>
                <w:szCs w:val="21"/>
                <w:lang w:eastAsia="zh-CN"/>
                <w14:textFill>
                  <w14:solidFill>
                    <w14:schemeClr w14:val="tx1"/>
                  </w14:solidFill>
                </w14:textFill>
              </w:rPr>
              <w:t>”、“</w:t>
            </w:r>
            <w:r>
              <w:rPr>
                <w:rFonts w:ascii="宋体" w:hAnsi="宋体" w:cs="宋体"/>
                <w:b w:val="0"/>
                <w:bCs/>
                <w:color w:val="000000" w:themeColor="text1"/>
                <w:szCs w:val="21"/>
                <w14:textFill>
                  <w14:solidFill>
                    <w14:schemeClr w14:val="tx1"/>
                  </w14:solidFill>
                </w14:textFill>
              </w:rPr>
              <w:t>Femto Gateway”或“5G网管”关键字</w:t>
            </w:r>
            <w:r>
              <w:rPr>
                <w:rFonts w:hint="eastAsia" w:ascii="宋体" w:hAnsi="宋体"/>
                <w:b w:val="0"/>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情况进行打分，每提供一个合同金额2</w:t>
            </w:r>
            <w:r>
              <w:rPr>
                <w:rFonts w:ascii="宋体" w:hAnsi="宋体"/>
                <w:color w:val="000000" w:themeColor="text1"/>
                <w14:textFill>
                  <w14:solidFill>
                    <w14:schemeClr w14:val="tx1"/>
                  </w14:solidFill>
                </w14:textFill>
              </w:rPr>
              <w:t>0万以上的案例证明的得2分，没有不得分，满分</w:t>
            </w:r>
            <w:r>
              <w:rPr>
                <w:rFonts w:hint="eastAsia" w:ascii="宋体" w:hAnsi="宋体"/>
                <w:color w:val="000000" w:themeColor="text1"/>
                <w:lang w:val="en-US" w:eastAsia="zh-CN"/>
                <w14:textFill>
                  <w14:solidFill>
                    <w14:schemeClr w14:val="tx1"/>
                  </w14:solidFill>
                </w14:textFill>
              </w:rPr>
              <w:t>10</w:t>
            </w:r>
            <w:r>
              <w:rPr>
                <w:rFonts w:hint="eastAsia" w:ascii="宋体" w:hAnsi="宋体"/>
                <w:color w:val="000000" w:themeColor="text1"/>
                <w14:textFill>
                  <w14:solidFill>
                    <w14:schemeClr w14:val="tx1"/>
                  </w14:solidFill>
                </w14:textFill>
              </w:rPr>
              <w:t>分。</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售后服务</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分）</w:t>
            </w:r>
          </w:p>
        </w:tc>
        <w:tc>
          <w:tcPr>
            <w:tcW w:w="3366" w:type="pct"/>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w:t>
            </w:r>
            <w:r>
              <w:rPr>
                <w:rFonts w:hint="eastAsia" w:ascii="宋体" w:hAnsi="宋体" w:cs="宋体"/>
                <w:color w:val="000000" w:themeColor="text1"/>
                <w:szCs w:val="21"/>
                <w:lang w:val="en-US" w:eastAsia="zh-CN"/>
                <w14:textFill>
                  <w14:solidFill>
                    <w14:schemeClr w14:val="tx1"/>
                  </w14:solidFill>
                </w14:textFill>
              </w:rPr>
              <w:t>供应商</w:t>
            </w:r>
            <w:r>
              <w:rPr>
                <w:rFonts w:hint="eastAsia" w:ascii="宋体" w:hAnsi="宋体" w:cs="宋体"/>
                <w:color w:val="000000" w:themeColor="text1"/>
                <w:szCs w:val="21"/>
                <w14:textFill>
                  <w14:solidFill>
                    <w14:schemeClr w14:val="tx1"/>
                  </w14:solidFill>
                </w14:textFill>
              </w:rPr>
              <w:t>的售后服务支撑能力情况进行打分：</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在江苏地区具有售后服务机构（提供营业执照或自有产权证明或房屋租赁合同），满足得3分，否则不得分</w:t>
            </w:r>
            <w:r>
              <w:rPr>
                <w:rFonts w:hint="eastAsia" w:ascii="宋体" w:hAnsi="宋体" w:cs="宋体"/>
                <w:color w:val="000000" w:themeColor="text1"/>
                <w:szCs w:val="21"/>
                <w:lang w:eastAsia="zh-CN"/>
                <w14:textFill>
                  <w14:solidFill>
                    <w14:schemeClr w14:val="tx1"/>
                  </w14:solidFill>
                </w14:textFill>
              </w:rPr>
              <w:t>。</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vMerge w:val="restart"/>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技术部分</w:t>
            </w:r>
            <w:r>
              <w:rPr>
                <w:rFonts w:hint="eastAsia" w:ascii="宋体" w:hAnsi="宋体" w:cs="宋体"/>
                <w:color w:val="000000" w:themeColor="text1"/>
                <w:kern w:val="0"/>
                <w:szCs w:val="21"/>
                <w:lang w:val="en-US" w:eastAsia="zh-CN"/>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分</w:t>
            </w: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技术响应（1</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对</w:t>
            </w:r>
            <w:r>
              <w:rPr>
                <w:rFonts w:hint="eastAsia" w:ascii="宋体" w:hAnsi="宋体" w:cs="宋体"/>
                <w:color w:val="000000" w:themeColor="text1"/>
                <w:sz w:val="21"/>
                <w:szCs w:val="21"/>
                <w:lang w:val="en-US" w:eastAsia="zh-CN"/>
                <w14:textFill>
                  <w14:solidFill>
                    <w14:schemeClr w14:val="tx1"/>
                  </w14:solidFill>
                </w14:textFill>
              </w:rPr>
              <w:t>谈判</w:t>
            </w:r>
            <w:r>
              <w:rPr>
                <w:rFonts w:hint="eastAsia" w:ascii="宋体" w:hAnsi="宋体" w:cs="宋体"/>
                <w:color w:val="000000" w:themeColor="text1"/>
                <w:sz w:val="21"/>
                <w:szCs w:val="21"/>
                <w14:textFill>
                  <w14:solidFill>
                    <w14:schemeClr w14:val="tx1"/>
                  </w14:solidFill>
                </w14:textFill>
              </w:rPr>
              <w:t>文件第五章《技术需求书》响应的偏离情况打分，全部满足的得基本分1</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14:textFill>
                  <w14:solidFill>
                    <w14:schemeClr w14:val="tx1"/>
                  </w14:solidFill>
                </w14:textFill>
              </w:rPr>
              <w:t>分。</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关键条款（“</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”号条款）不满足的直接否决其</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cs="宋体"/>
                <w:color w:val="000000" w:themeColor="text1"/>
                <w:sz w:val="21"/>
                <w:szCs w:val="21"/>
                <w14:textFill>
                  <w14:solidFill>
                    <w14:schemeClr w14:val="tx1"/>
                  </w14:solidFill>
                </w14:textFill>
              </w:rPr>
              <w:t>；</w:t>
            </w:r>
          </w:p>
          <w:p>
            <w:pPr>
              <w:pStyle w:val="48"/>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非关键条款（非“</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 w:val="21"/>
                <w:szCs w:val="21"/>
                <w14:textFill>
                  <w14:solidFill>
                    <w14:schemeClr w14:val="tx1"/>
                  </w14:solidFill>
                </w14:textFill>
              </w:rPr>
              <w:t>”号条款）每项不满足扣</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分，超过5项不满足,则否决其</w:t>
            </w:r>
            <w:r>
              <w:rPr>
                <w:rFonts w:hint="eastAsia" w:ascii="宋体" w:hAnsi="宋体" w:cs="宋体"/>
                <w:color w:val="000000" w:themeColor="text1"/>
                <w:sz w:val="21"/>
                <w:szCs w:val="21"/>
                <w:lang w:val="en-US" w:eastAsia="zh-CN"/>
                <w14:textFill>
                  <w14:solidFill>
                    <w14:schemeClr w14:val="tx1"/>
                  </w14:solidFill>
                </w14:textFill>
              </w:rPr>
              <w:t>响应</w:t>
            </w:r>
            <w:r>
              <w:rPr>
                <w:rFonts w:hint="eastAsia" w:ascii="宋体" w:hAnsi="宋体" w:cs="宋体"/>
                <w:color w:val="000000" w:themeColor="text1"/>
                <w:sz w:val="21"/>
                <w:szCs w:val="21"/>
                <w14:textFill>
                  <w14:solidFill>
                    <w14:schemeClr w14:val="tx1"/>
                  </w14:solidFill>
                </w14:textFill>
              </w:rPr>
              <w:t>。</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产品技术方案</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针对本项目的产品技术方案进行打分，重点阐述产品的功能模块、接口、关键技术及创新点等。</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优秀（4-5]分；良好(2-4]分；一般(0-2]分。</w:t>
            </w:r>
          </w:p>
        </w:tc>
        <w:tc>
          <w:tcPr>
            <w:tcW w:w="594" w:type="pct"/>
            <w:vMerge w:val="restar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组网技术方案</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针对本项目的组网技术方案进行打分，重点阐述对本项目的理解，给出详细、合理的设计方案及创新点等。</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优秀（4-5]分；良好(2-4]分；一般(0-2]分。</w:t>
            </w:r>
          </w:p>
        </w:tc>
        <w:tc>
          <w:tcPr>
            <w:tcW w:w="594" w:type="pct"/>
            <w:vMerge w:val="continue"/>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90" w:type="pct"/>
            <w:vMerge w:val="continue"/>
            <w:vAlign w:val="center"/>
          </w:tcPr>
          <w:p>
            <w:pPr>
              <w:widowControl/>
              <w:jc w:val="center"/>
              <w:rPr>
                <w:rFonts w:ascii="宋体" w:hAnsi="宋体" w:cs="宋体"/>
                <w:color w:val="000000" w:themeColor="text1"/>
                <w:kern w:val="0"/>
                <w:szCs w:val="21"/>
                <w14:textFill>
                  <w14:solidFill>
                    <w14:schemeClr w14:val="tx1"/>
                  </w14:solidFill>
                </w14:textFill>
              </w:rPr>
            </w:pPr>
          </w:p>
        </w:tc>
        <w:tc>
          <w:tcPr>
            <w:tcW w:w="649" w:type="pct"/>
            <w:vAlign w:val="center"/>
          </w:tcPr>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安装调试</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方案</w:t>
            </w:r>
          </w:p>
          <w:p>
            <w:pPr>
              <w:pStyle w:val="48"/>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（5分）</w:t>
            </w:r>
          </w:p>
        </w:tc>
        <w:tc>
          <w:tcPr>
            <w:tcW w:w="3366" w:type="pct"/>
            <w:vAlign w:val="center"/>
          </w:tcPr>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的安装调试方案进行打分，包括但不限于安装、调试、技术服务、技术培训、售后服务等工作计划和安排等。</w:t>
            </w:r>
          </w:p>
          <w:p>
            <w:pPr>
              <w:pStyle w:val="48"/>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优秀（4-5]分；良好(2-4]分；一般(0-2]分。</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390" w:type="pct"/>
            <w:vAlign w:val="center"/>
          </w:tcPr>
          <w:p>
            <w:pPr>
              <w:widowControl/>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加分项5分</w:t>
            </w:r>
          </w:p>
        </w:tc>
        <w:tc>
          <w:tcPr>
            <w:tcW w:w="649" w:type="pct"/>
            <w:vAlign w:val="center"/>
          </w:tcPr>
          <w:p>
            <w:pPr>
              <w:pStyle w:val="48"/>
              <w:jc w:val="center"/>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技术响应（</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14:textFill>
                  <w14:solidFill>
                    <w14:schemeClr w14:val="tx1"/>
                  </w14:solidFill>
                </w14:textFill>
              </w:rPr>
              <w:t>分）</w:t>
            </w:r>
          </w:p>
        </w:tc>
        <w:tc>
          <w:tcPr>
            <w:tcW w:w="3366" w:type="pct"/>
            <w:vAlign w:val="center"/>
          </w:tcPr>
          <w:p>
            <w:pPr>
              <w:pStyle w:val="48"/>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对</w:t>
            </w:r>
            <w:r>
              <w:rPr>
                <w:rFonts w:hint="eastAsia" w:ascii="宋体" w:hAnsi="宋体" w:cs="宋体"/>
                <w:color w:val="000000" w:themeColor="text1"/>
                <w:sz w:val="21"/>
                <w:szCs w:val="21"/>
                <w:lang w:val="en-US" w:eastAsia="zh-CN"/>
                <w14:textFill>
                  <w14:solidFill>
                    <w14:schemeClr w14:val="tx1"/>
                  </w14:solidFill>
                </w14:textFill>
              </w:rPr>
              <w:t>谈判</w:t>
            </w:r>
            <w:r>
              <w:rPr>
                <w:rFonts w:hint="eastAsia" w:ascii="宋体" w:hAnsi="宋体" w:cs="宋体"/>
                <w:color w:val="000000" w:themeColor="text1"/>
                <w:sz w:val="21"/>
                <w:szCs w:val="21"/>
                <w14:textFill>
                  <w14:solidFill>
                    <w14:schemeClr w14:val="tx1"/>
                  </w14:solidFill>
                </w14:textFill>
              </w:rPr>
              <w:t>文件第五章《技术需求书》</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五、轻量化MEC（可选）”的响应情况打分，全部满足的得5分，否则不得分。</w:t>
            </w:r>
          </w:p>
        </w:tc>
        <w:tc>
          <w:tcPr>
            <w:tcW w:w="594" w:type="pct"/>
          </w:tcPr>
          <w:p>
            <w:pPr>
              <w:widowControl/>
              <w:tabs>
                <w:tab w:val="left" w:pos="0"/>
                <w:tab w:val="left" w:pos="402"/>
              </w:tabs>
              <w:rPr>
                <w:rFonts w:ascii="宋体" w:hAnsi="宋体"/>
                <w:color w:val="000000" w:themeColor="text1"/>
                <w:kern w:val="0"/>
                <w:szCs w:val="21"/>
                <w14:textFill>
                  <w14:solidFill>
                    <w14:schemeClr w14:val="tx1"/>
                  </w14:solidFill>
                </w14:textFill>
              </w:rPr>
            </w:pPr>
          </w:p>
        </w:tc>
      </w:tr>
    </w:tbl>
    <w:p>
      <w:pPr>
        <w:spacing w:line="300" w:lineRule="auto"/>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注：</w:t>
      </w:r>
      <w:r>
        <w:rPr>
          <w:rFonts w:hint="eastAsia"/>
          <w:b/>
          <w:bCs/>
          <w:color w:val="000000" w:themeColor="text1"/>
          <w:szCs w:val="21"/>
          <w14:textFill>
            <w14:solidFill>
              <w14:schemeClr w14:val="tx1"/>
            </w14:solidFill>
          </w14:textFill>
        </w:rPr>
        <w:t>评分表中“</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表示含，</w:t>
      </w:r>
      <w:r>
        <w:rPr>
          <w:rFonts w:hint="eastAsia"/>
          <w:b/>
          <w:bCs/>
          <w:color w:val="000000" w:themeColor="text1"/>
          <w:szCs w:val="21"/>
          <w14:textFill>
            <w14:solidFill>
              <w14:schemeClr w14:val="tx1"/>
            </w14:solidFill>
          </w14:textFill>
        </w:rPr>
        <w:t>“(”、“)”</w:t>
      </w:r>
      <w:r>
        <w:rPr>
          <w:b/>
          <w:bCs/>
          <w:color w:val="000000" w:themeColor="text1"/>
          <w:szCs w:val="21"/>
          <w14:textFill>
            <w14:solidFill>
              <w14:schemeClr w14:val="tx1"/>
            </w14:solidFill>
          </w14:textFill>
        </w:rPr>
        <w:t>表示不含</w:t>
      </w:r>
      <w:r>
        <w:rPr>
          <w:rFonts w:hint="eastAsia"/>
          <w:b/>
          <w:bCs/>
          <w:color w:val="000000" w:themeColor="text1"/>
          <w:szCs w:val="21"/>
          <w14:textFill>
            <w14:solidFill>
              <w14:schemeClr w14:val="tx1"/>
            </w14:solidFill>
          </w14:textFill>
        </w:rPr>
        <w:t>。</w:t>
      </w: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spacing w:line="360" w:lineRule="auto"/>
        <w:rPr>
          <w:rFonts w:ascii="黑体" w:hAnsi="黑体" w:eastAsia="黑体"/>
          <w:color w:val="000000" w:themeColor="text1"/>
          <w:sz w:val="24"/>
          <w14:textFill>
            <w14:solidFill>
              <w14:schemeClr w14:val="tx1"/>
            </w14:solidFill>
          </w14:textFill>
        </w:rPr>
      </w:pPr>
    </w:p>
    <w:p>
      <w:pPr>
        <w:pStyle w:val="3"/>
        <w:numPr>
          <w:ilvl w:val="0"/>
          <w:numId w:val="0"/>
        </w:numPr>
        <w:spacing w:before="0" w:after="0" w:line="360" w:lineRule="auto"/>
        <w:rPr>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bookmarkStart w:id="19" w:name="_Toc22799"/>
      <w:r>
        <w:rPr>
          <w:rFonts w:hint="eastAsia"/>
          <w:b/>
          <w:color w:val="000000" w:themeColor="text1"/>
          <w:sz w:val="36"/>
          <w:szCs w:val="36"/>
          <w14:textFill>
            <w14:solidFill>
              <w14:schemeClr w14:val="tx1"/>
            </w14:solidFill>
          </w14:textFill>
        </w:rPr>
        <w:t>第四章</w:t>
      </w:r>
      <w:r>
        <w:rPr>
          <w:rFonts w:hint="eastAsia"/>
          <w:b/>
          <w:color w:val="000000" w:themeColor="text1"/>
          <w:sz w:val="36"/>
          <w:szCs w:val="36"/>
          <w:lang w:val="en-US" w:eastAsia="zh-CN"/>
          <w14:textFill>
            <w14:solidFill>
              <w14:schemeClr w14:val="tx1"/>
            </w14:solidFill>
          </w14:textFill>
        </w:rPr>
        <w:t xml:space="preserve"> </w:t>
      </w:r>
      <w:r>
        <w:rPr>
          <w:b/>
          <w:color w:val="000000" w:themeColor="text1"/>
          <w:sz w:val="36"/>
          <w:szCs w:val="36"/>
          <w14:textFill>
            <w14:solidFill>
              <w14:schemeClr w14:val="tx1"/>
            </w14:solidFill>
          </w14:textFill>
        </w:rPr>
        <w:t>合同格式</w:t>
      </w:r>
      <w:bookmarkEnd w:id="19"/>
    </w:p>
    <w:p>
      <w:pPr>
        <w:widowControl/>
        <w:spacing w:line="360" w:lineRule="auto"/>
        <w:ind w:firstLine="480" w:firstLineChars="20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除了对</w:t>
      </w:r>
      <w:r>
        <w:rPr>
          <w:rFonts w:hint="eastAsia"/>
          <w:color w:val="000000" w:themeColor="text1"/>
          <w:sz w:val="24"/>
          <w:lang w:eastAsia="zh-CN"/>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章《合同格式》内容的逐项应答外，供应商还应提供一份完整的合同文本，作为</w:t>
      </w:r>
      <w:r>
        <w:rPr>
          <w:rFonts w:hint="eastAsia"/>
          <w:color w:val="000000" w:themeColor="text1"/>
          <w:sz w:val="24"/>
          <w14:textFill>
            <w14:solidFill>
              <w14:schemeClr w14:val="tx1"/>
            </w14:solidFill>
          </w14:textFill>
        </w:rPr>
        <w:t>响应</w:t>
      </w:r>
      <w:r>
        <w:rPr>
          <w:color w:val="000000" w:themeColor="text1"/>
          <w:sz w:val="24"/>
          <w14:textFill>
            <w14:solidFill>
              <w14:schemeClr w14:val="tx1"/>
            </w14:solidFill>
          </w14:textFill>
        </w:rPr>
        <w:t>文件的一部分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对于</w:t>
      </w:r>
      <w:r>
        <w:rPr>
          <w:rFonts w:hint="eastAsia"/>
          <w:color w:val="000000" w:themeColor="text1"/>
          <w:sz w:val="24"/>
          <w:lang w:eastAsia="zh-CN"/>
          <w14:textFill>
            <w14:solidFill>
              <w14:schemeClr w14:val="tx1"/>
            </w14:solidFill>
          </w14:textFill>
        </w:rPr>
        <w:t>谈判</w:t>
      </w:r>
      <w:r>
        <w:rPr>
          <w:color w:val="000000" w:themeColor="text1"/>
          <w:sz w:val="24"/>
          <w14:textFill>
            <w14:solidFill>
              <w14:schemeClr w14:val="tx1"/>
            </w14:solidFill>
          </w14:textFill>
        </w:rPr>
        <w:t>文件第</w:t>
      </w:r>
      <w:r>
        <w:rPr>
          <w:rFonts w:hint="eastAsia"/>
          <w:color w:val="000000" w:themeColor="text1"/>
          <w:sz w:val="24"/>
          <w14:textFill>
            <w14:solidFill>
              <w14:schemeClr w14:val="tx1"/>
            </w14:solidFill>
          </w14:textFill>
        </w:rPr>
        <w:t>四</w:t>
      </w:r>
      <w:r>
        <w:rPr>
          <w:color w:val="000000" w:themeColor="text1"/>
          <w:sz w:val="24"/>
          <w14:textFill>
            <w14:solidFill>
              <w14:schemeClr w14:val="tx1"/>
            </w14:solidFill>
          </w14:textFill>
        </w:rPr>
        <w:t>章《合同格式》内容的任何负偏离均将导致废标。</w:t>
      </w:r>
    </w:p>
    <w:p>
      <w:pPr>
        <w:widowControl/>
        <w:spacing w:line="300" w:lineRule="auto"/>
        <w:jc w:val="left"/>
        <w:rPr>
          <w:b/>
          <w:color w:val="000000" w:themeColor="text1"/>
          <w14:textFill>
            <w14:solidFill>
              <w14:schemeClr w14:val="tx1"/>
            </w14:solidFill>
          </w14:textFill>
        </w:rPr>
      </w:pPr>
      <w:r>
        <w:rPr>
          <w:rFonts w:eastAsia="黑体"/>
          <w:bCs/>
          <w:color w:val="000000" w:themeColor="text1"/>
          <w:sz w:val="52"/>
          <w:szCs w:val="52"/>
          <w14:textFill>
            <w14:solidFill>
              <w14:schemeClr w14:val="tx1"/>
            </w14:solidFill>
          </w14:textFill>
        </w:rPr>
        <w:br w:type="page"/>
      </w:r>
    </w:p>
    <w:p>
      <w:pPr>
        <w:widowControl/>
        <w:spacing w:line="360" w:lineRule="auto"/>
        <w:jc w:val="center"/>
        <w:rPr>
          <w:rFonts w:hint="eastAsia" w:ascii="仿宋" w:hAnsi="仿宋" w:eastAsia="仿宋" w:cs="华文仿宋"/>
          <w:b/>
          <w:bCs/>
          <w:sz w:val="24"/>
        </w:rPr>
      </w:pPr>
      <w:bookmarkStart w:id="20" w:name="_Toc69378621"/>
      <w:r>
        <w:rPr>
          <w:rFonts w:hint="eastAsia" w:ascii="仿宋" w:hAnsi="仿宋" w:eastAsia="仿宋"/>
          <w:b/>
          <w:color w:val="000000"/>
          <w:sz w:val="32"/>
          <w:szCs w:val="32"/>
          <w:lang w:val="en-GB"/>
        </w:rPr>
        <w:t>软件服务合同</w:t>
      </w:r>
    </w:p>
    <w:p>
      <w:pPr>
        <w:pStyle w:val="21"/>
        <w:rPr>
          <w:rFonts w:hint="eastAsia"/>
        </w:rPr>
      </w:pPr>
    </w:p>
    <w:p>
      <w:pPr>
        <w:keepNext w:val="0"/>
        <w:keepLines w:val="0"/>
        <w:pageBreakBefore w:val="0"/>
        <w:widowControl w:val="0"/>
        <w:kinsoku/>
        <w:wordWrap/>
        <w:overflowPunct/>
        <w:topLinePunct w:val="0"/>
        <w:autoSpaceDE/>
        <w:autoSpaceDN/>
        <w:bidi w:val="0"/>
        <w:adjustRightInd w:val="0"/>
        <w:snapToGrid/>
        <w:spacing w:line="240" w:lineRule="auto"/>
        <w:jc w:val="both"/>
        <w:textAlignment w:val="auto"/>
        <w:rPr>
          <w:rFonts w:hint="eastAsia" w:ascii="仿宋" w:hAnsi="仿宋" w:eastAsia="仿宋" w:cs="华文仿宋"/>
          <w:b/>
          <w:bCs/>
          <w:sz w:val="24"/>
          <w:u w:val="single"/>
        </w:rPr>
      </w:pPr>
      <w:r>
        <w:rPr>
          <w:rFonts w:hint="eastAsia" w:ascii="仿宋" w:hAnsi="仿宋" w:eastAsia="仿宋" w:cs="华文仿宋"/>
          <w:b/>
          <w:bCs/>
          <w:sz w:val="24"/>
        </w:rPr>
        <w:t>甲方：</w:t>
      </w:r>
    </w:p>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华文仿宋"/>
          <w:b/>
          <w:bCs/>
          <w:sz w:val="24"/>
        </w:rPr>
      </w:pPr>
      <w:r>
        <w:rPr>
          <w:rFonts w:hint="eastAsia" w:ascii="仿宋" w:hAnsi="仿宋" w:eastAsia="仿宋" w:cs="华文仿宋"/>
          <w:b/>
          <w:bCs/>
          <w:sz w:val="24"/>
        </w:rPr>
        <w:t>乙方：</w:t>
      </w:r>
    </w:p>
    <w:p>
      <w:pPr>
        <w:pStyle w:val="21"/>
        <w:spacing w:after="0" w:line="360" w:lineRule="auto"/>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甲方就5G边缘云系统的采购及相关服务，</w:t>
      </w:r>
      <w:r>
        <w:rPr>
          <w:rFonts w:hint="eastAsia" w:ascii="仿宋" w:hAnsi="仿宋" w:eastAsia="仿宋" w:cs="仿宋"/>
          <w:kern w:val="0"/>
          <w:sz w:val="24"/>
          <w:szCs w:val="22"/>
        </w:rPr>
        <w:t>组织</w:t>
      </w:r>
      <w:r>
        <w:rPr>
          <w:rFonts w:hint="eastAsia" w:ascii="仿宋" w:hAnsi="仿宋" w:eastAsia="仿宋" w:cs="仿宋"/>
          <w:kern w:val="0"/>
          <w:sz w:val="24"/>
          <w:szCs w:val="22"/>
          <w:lang w:eastAsia="zh-CN"/>
        </w:rPr>
        <w:t>【</w:t>
      </w:r>
      <w:r>
        <w:rPr>
          <w:rFonts w:hint="eastAsia" w:ascii="仿宋" w:hAnsi="仿宋" w:eastAsia="仿宋" w:cs="仿宋"/>
          <w:kern w:val="0"/>
          <w:sz w:val="24"/>
          <w:szCs w:val="22"/>
          <w:lang w:val="en-US" w:eastAsia="zh-CN"/>
        </w:rPr>
        <w:t>竞争性谈判</w:t>
      </w:r>
      <w:r>
        <w:rPr>
          <w:rFonts w:hint="eastAsia" w:ascii="仿宋" w:hAnsi="仿宋" w:eastAsia="仿宋" w:cs="仿宋"/>
          <w:kern w:val="0"/>
          <w:sz w:val="24"/>
          <w:szCs w:val="22"/>
          <w:lang w:eastAsia="zh-CN"/>
        </w:rPr>
        <w:t>】</w:t>
      </w:r>
      <w:r>
        <w:rPr>
          <w:rFonts w:hint="eastAsia" w:ascii="仿宋" w:hAnsi="仿宋" w:eastAsia="仿宋" w:cs="仿宋"/>
          <w:kern w:val="0"/>
          <w:sz w:val="24"/>
          <w:szCs w:val="22"/>
        </w:rPr>
        <w:t>，经评委会严格评审，本项目由乙方成交。双方根据甲方</w:t>
      </w:r>
      <w:r>
        <w:rPr>
          <w:rFonts w:hint="eastAsia" w:ascii="仿宋" w:hAnsi="仿宋" w:eastAsia="仿宋" w:cs="仿宋"/>
          <w:kern w:val="0"/>
          <w:sz w:val="24"/>
          <w:szCs w:val="22"/>
          <w:lang w:val="en-US" w:eastAsia="zh-CN"/>
        </w:rPr>
        <w:t>采购</w:t>
      </w:r>
      <w:r>
        <w:rPr>
          <w:rFonts w:hint="eastAsia" w:ascii="仿宋" w:hAnsi="仿宋" w:eastAsia="仿宋" w:cs="仿宋"/>
          <w:kern w:val="0"/>
          <w:sz w:val="24"/>
          <w:szCs w:val="22"/>
        </w:rPr>
        <w:t>文件的规定、乙方响应文件及</w:t>
      </w:r>
      <w:r>
        <w:rPr>
          <w:rFonts w:hint="eastAsia" w:ascii="仿宋" w:hAnsi="仿宋" w:eastAsia="仿宋" w:cs="仿宋"/>
          <w:kern w:val="0"/>
          <w:sz w:val="24"/>
          <w:szCs w:val="22"/>
          <w:lang w:val="en-US" w:eastAsia="zh-CN"/>
        </w:rPr>
        <w:t>谈判</w:t>
      </w:r>
      <w:r>
        <w:rPr>
          <w:rFonts w:hint="eastAsia" w:ascii="仿宋" w:hAnsi="仿宋" w:eastAsia="仿宋" w:cs="仿宋"/>
          <w:kern w:val="0"/>
          <w:sz w:val="24"/>
          <w:szCs w:val="22"/>
        </w:rPr>
        <w:t>时乙方作出的书面承诺依法签订本合同</w:t>
      </w:r>
      <w:r>
        <w:rPr>
          <w:rFonts w:hint="eastAsia" w:ascii="方正仿宋_GBK" w:hAnsi="方正仿宋_GBK" w:eastAsia="方正仿宋_GBK" w:cs="方正仿宋_GBK"/>
          <w:kern w:val="0"/>
          <w:sz w:val="24"/>
          <w:szCs w:val="22"/>
          <w:lang w:val="en-US" w:eastAsia="zh-CN"/>
        </w:rPr>
        <w:t>。</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zh-CN" w:eastAsia="zh-CN"/>
        </w:rPr>
      </w:pPr>
      <w:r>
        <w:rPr>
          <w:rFonts w:hint="eastAsia" w:ascii="方正仿宋_GBK" w:hAnsi="方正仿宋_GBK" w:eastAsia="方正仿宋_GBK" w:cs="方正仿宋_GBK"/>
          <w:b/>
          <w:bCs/>
          <w:kern w:val="0"/>
          <w:sz w:val="24"/>
          <w:szCs w:val="24"/>
          <w:lang w:val="en-US" w:eastAsia="zh-CN"/>
        </w:rPr>
        <w:t xml:space="preserve">第一条 </w:t>
      </w:r>
      <w:r>
        <w:rPr>
          <w:rFonts w:hint="eastAsia" w:ascii="方正仿宋_GBK" w:hAnsi="方正仿宋_GBK" w:eastAsia="方正仿宋_GBK" w:cs="方正仿宋_GBK"/>
          <w:b/>
          <w:bCs/>
          <w:kern w:val="0"/>
          <w:sz w:val="24"/>
          <w:szCs w:val="24"/>
          <w:lang w:val="zh-CN" w:eastAsia="zh-CN"/>
        </w:rPr>
        <w:t>项目标的和内容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项目标的内容包括乙方按照甲方具体要求供应5G边缘云系统，并根据甲方需求及双方谈判文件，完成所有系统的开发、安装、调试及操作培训工作，同时乙方承诺与甲方及甲方指定的厂商完成相关的系统集成。乙方系统具体功能、开发内容明细、价格、服务内容等详见附件一《价格表》、附件二《技术需求书》。</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第二条 合同总价</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2.1合同总价（人民币大写）：</w:t>
      </w:r>
      <w:r>
        <w:rPr>
          <w:rFonts w:hint="eastAsia" w:ascii="仿宋" w:hAnsi="仿宋" w:eastAsia="仿宋" w:cs="仿宋"/>
          <w:b w:val="0"/>
          <w:kern w:val="0"/>
          <w:sz w:val="24"/>
          <w:szCs w:val="22"/>
          <w:u w:val="single"/>
          <w:lang w:val="en-US" w:eastAsia="zh-CN"/>
        </w:rPr>
        <w:t xml:space="preserve">      </w:t>
      </w:r>
      <w:r>
        <w:rPr>
          <w:rFonts w:hint="eastAsia" w:ascii="方正仿宋_GBK" w:hAnsi="方正仿宋_GBK" w:eastAsia="方正仿宋_GBK" w:cs="方正仿宋_GBK"/>
          <w:kern w:val="0"/>
          <w:sz w:val="24"/>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1680" w:firstLineChars="7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（人民币小写）：</w:t>
      </w:r>
      <w:r>
        <w:rPr>
          <w:rFonts w:hint="eastAsia" w:ascii="方正仿宋_GBK" w:hAnsi="方正仿宋_GBK" w:eastAsia="方正仿宋_GBK" w:cs="方正仿宋_GBK"/>
          <w:kern w:val="0"/>
          <w:sz w:val="24"/>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2.2合同总价系指按本合同的规定，乙方在完全履行了合同的义务后，甲方支付给乙方的总价款，包括但不限于软件系统的采购费、开发费、安装调试费、检测验收费、培训费、售后服务费、五年内软件升级费，以及与所供产品和服务有关的一切税费；除本合同另有约定外，甲方无需就使用乙方提交的软件向乙方或任何第三方支付合同总价以外的费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2.3当国家法定增值税税率发生变更，甲乙双方约定以含税价格不变作为基准，调整增值税税额。</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第三条 付款方式及期限</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3.1付款方式：全部款项均70%以银行存款电汇的方式汇入乙方账号，30%以半年期银行承兑汇票支付。禁止将货款划入其他账号或支付现金。如乙方的收款账号和开户行变更，须及时以书面形式通知甲方，通知须盖有乙方的公章或财务专用章。</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3.2付款期限：系统通过初验后 30个工作日内，甲方电汇支付乙方合同总价的 30%，即人民币</w:t>
      </w:r>
      <w:r>
        <w:rPr>
          <w:rFonts w:hint="eastAsia" w:ascii="仿宋" w:hAnsi="仿宋" w:eastAsia="仿宋" w:cs="仿宋"/>
          <w:kern w:val="0"/>
          <w:sz w:val="24"/>
          <w:szCs w:val="22"/>
          <w:lang w:val="en-US" w:eastAsia="zh-CN"/>
        </w:rPr>
        <w:t xml:space="preserve">      </w:t>
      </w:r>
      <w:r>
        <w:rPr>
          <w:rFonts w:hint="eastAsia" w:ascii="方正仿宋_GBK" w:hAnsi="方正仿宋_GBK" w:eastAsia="方正仿宋_GBK" w:cs="方正仿宋_GBK"/>
          <w:kern w:val="0"/>
          <w:sz w:val="24"/>
          <w:szCs w:val="22"/>
          <w:lang w:val="en-US" w:eastAsia="zh-CN"/>
        </w:rPr>
        <w:t>；系统通过终验后 30个工作日内，甲方以半年期银行承兑汇票支付乙方合同总价的60%，即人民币</w:t>
      </w:r>
      <w:r>
        <w:rPr>
          <w:rFonts w:hint="eastAsia" w:ascii="仿宋" w:hAnsi="仿宋" w:eastAsia="仿宋" w:cs="仿宋"/>
          <w:kern w:val="0"/>
          <w:sz w:val="24"/>
          <w:szCs w:val="22"/>
          <w:lang w:val="en-US" w:eastAsia="zh-CN"/>
        </w:rPr>
        <w:t xml:space="preserve">   </w:t>
      </w:r>
      <w:r>
        <w:rPr>
          <w:rFonts w:hint="eastAsia" w:ascii="方正仿宋_GBK" w:hAnsi="方正仿宋_GBK" w:eastAsia="方正仿宋_GBK" w:cs="方正仿宋_GBK"/>
          <w:kern w:val="0"/>
          <w:sz w:val="24"/>
          <w:szCs w:val="22"/>
          <w:lang w:val="en-US" w:eastAsia="zh-CN"/>
        </w:rPr>
        <w:t>； 10%余款即人民币</w:t>
      </w:r>
      <w:r>
        <w:rPr>
          <w:rFonts w:hint="eastAsia" w:ascii="仿宋" w:hAnsi="仿宋" w:eastAsia="仿宋" w:cs="仿宋"/>
          <w:kern w:val="0"/>
          <w:sz w:val="24"/>
          <w:szCs w:val="22"/>
          <w:lang w:val="en-US" w:eastAsia="zh-CN"/>
        </w:rPr>
        <w:t xml:space="preserve">   </w:t>
      </w:r>
      <w:r>
        <w:rPr>
          <w:rFonts w:hint="eastAsia" w:ascii="方正仿宋_GBK" w:hAnsi="方正仿宋_GBK" w:eastAsia="方正仿宋_GBK" w:cs="方正仿宋_GBK"/>
          <w:kern w:val="0"/>
          <w:sz w:val="24"/>
          <w:szCs w:val="22"/>
          <w:lang w:val="en-US" w:eastAsia="zh-CN"/>
        </w:rPr>
        <w:t>，作为质量保证金，在终验合格 1年后的 10个工作日之内支付 7%，如乙方此时向甲方开具合同总额 3%的银行保函（此保函须在免费包修期结束后到期），甲方在收到银行保函后 10个工作日内将尾款结清（即合同总价的 10%），否则甲方将在免费包修期结束后的 10个工作日之内支付剩余的 3%给乙方。如乙方违反本合同第十五条廉洁条款第二点，甲方有权全部扣除合同总额的 10%，若此时合同总额已经全部支付或余款不足 10%的，甲方有权根据此合同向乙方进一步追诉。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3.3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3.4付款前，乙方必须按照国家有关发票管理规定，按付款期限向甲方提供各阶段款项对应金额的增值税专用发票，由甲方审核无误后再支付相应款项。乙方不提供、迟延提供或提供有误的，甲方可顺延付款并不负违约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3.5扣款细则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乙方履行义务期间，存在以下情况时，甲方可视情况进行相应的扣款。</w:t>
      </w:r>
    </w:p>
    <w:tbl>
      <w:tblPr>
        <w:tblStyle w:val="54"/>
        <w:tblW w:w="84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51"/>
        <w:gridCol w:w="1182"/>
        <w:gridCol w:w="2206"/>
        <w:gridCol w:w="1837"/>
        <w:gridCol w:w="1534"/>
        <w:gridCol w:w="10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651"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序号</w:t>
            </w:r>
          </w:p>
        </w:tc>
        <w:tc>
          <w:tcPr>
            <w:tcW w:w="1182"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费用类别</w:t>
            </w:r>
          </w:p>
        </w:tc>
        <w:tc>
          <w:tcPr>
            <w:tcW w:w="2206"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适用状况</w:t>
            </w:r>
          </w:p>
        </w:tc>
        <w:tc>
          <w:tcPr>
            <w:tcW w:w="1837"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执行方法</w:t>
            </w:r>
          </w:p>
        </w:tc>
        <w:tc>
          <w:tcPr>
            <w:tcW w:w="1534"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罚款金额</w:t>
            </w:r>
          </w:p>
        </w:tc>
        <w:tc>
          <w:tcPr>
            <w:tcW w:w="1064" w:type="dxa"/>
            <w:vAlign w:val="center"/>
          </w:tcPr>
          <w:p>
            <w:pPr>
              <w:spacing w:line="360" w:lineRule="auto"/>
              <w:jc w:val="center"/>
              <w:rPr>
                <w:rFonts w:ascii="仿宋" w:hAnsi="仿宋" w:eastAsia="仿宋" w:cstheme="minorBidi"/>
                <w:b/>
                <w:color w:val="000000" w:themeColor="text1"/>
                <w:sz w:val="24"/>
                <w:szCs w:val="24"/>
                <w14:textFill>
                  <w14:solidFill>
                    <w14:schemeClr w14:val="tx1"/>
                  </w14:solidFill>
                </w14:textFill>
              </w:rPr>
            </w:pPr>
            <w:r>
              <w:rPr>
                <w:rFonts w:hint="eastAsia" w:ascii="仿宋" w:hAnsi="仿宋" w:eastAsia="仿宋" w:cstheme="minorBidi"/>
                <w:b/>
                <w:color w:val="000000" w:themeColor="text1"/>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1" w:type="dxa"/>
            <w:vAlign w:val="center"/>
          </w:tcPr>
          <w:p>
            <w:pPr>
              <w:spacing w:line="360" w:lineRule="auto"/>
              <w:jc w:val="center"/>
              <w:rPr>
                <w:rFonts w:ascii="仿宋" w:hAnsi="仿宋" w:eastAsia="仿宋" w:cstheme="minorBidi"/>
                <w:color w:val="000000" w:themeColor="text1"/>
                <w:sz w:val="24"/>
                <w:szCs w:val="24"/>
                <w14:textFill>
                  <w14:solidFill>
                    <w14:schemeClr w14:val="tx1"/>
                  </w14:solidFill>
                </w14:textFill>
              </w:rPr>
            </w:pPr>
            <w:r>
              <w:rPr>
                <w:rFonts w:ascii="仿宋" w:hAnsi="仿宋" w:eastAsia="仿宋" w:cstheme="minorBidi"/>
                <w:color w:val="000000" w:themeColor="text1"/>
                <w:sz w:val="24"/>
                <w:szCs w:val="24"/>
                <w14:textFill>
                  <w14:solidFill>
                    <w14:schemeClr w14:val="tx1"/>
                  </w14:solidFill>
                </w14:textFill>
              </w:rPr>
              <w:t>1</w:t>
            </w:r>
          </w:p>
        </w:tc>
        <w:tc>
          <w:tcPr>
            <w:tcW w:w="1182"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项目人员缺勤费用</w:t>
            </w:r>
          </w:p>
        </w:tc>
        <w:tc>
          <w:tcPr>
            <w:tcW w:w="2206"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乙方未按照甲方的考勤要求开展工作或未经甲方同意擅自更换项目人员。</w:t>
            </w:r>
          </w:p>
        </w:tc>
        <w:tc>
          <w:tcPr>
            <w:tcW w:w="1837"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由甲方项目经理提交项目考勤表</w:t>
            </w:r>
            <w:r>
              <w:rPr>
                <w:rFonts w:ascii="仿宋" w:hAnsi="仿宋" w:eastAsia="仿宋" w:cstheme="minorBidi"/>
                <w:color w:val="000000" w:themeColor="text1"/>
                <w:sz w:val="24"/>
                <w:szCs w:val="24"/>
                <w14:textFill>
                  <w14:solidFill>
                    <w14:schemeClr w14:val="tx1"/>
                  </w14:solidFill>
                </w14:textFill>
              </w:rPr>
              <w:t>,</w:t>
            </w:r>
            <w:r>
              <w:rPr>
                <w:rFonts w:hint="eastAsia" w:ascii="仿宋" w:hAnsi="仿宋" w:eastAsia="仿宋" w:cstheme="minorBidi"/>
                <w:color w:val="000000" w:themeColor="text1"/>
                <w:sz w:val="24"/>
                <w:szCs w:val="24"/>
                <w14:textFill>
                  <w14:solidFill>
                    <w14:schemeClr w14:val="tx1"/>
                  </w14:solidFill>
                </w14:textFill>
              </w:rPr>
              <w:t>提交财务部扣款</w:t>
            </w:r>
          </w:p>
        </w:tc>
        <w:tc>
          <w:tcPr>
            <w:tcW w:w="153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500</w:t>
            </w:r>
            <w:r>
              <w:rPr>
                <w:rFonts w:ascii="仿宋" w:hAnsi="仿宋" w:eastAsia="仿宋" w:cstheme="minorBidi"/>
                <w:color w:val="000000" w:themeColor="text1"/>
                <w:sz w:val="24"/>
                <w:szCs w:val="24"/>
                <w14:textFill>
                  <w14:solidFill>
                    <w14:schemeClr w14:val="tx1"/>
                  </w14:solidFill>
                </w14:textFill>
              </w:rPr>
              <w:t>元/人</w:t>
            </w:r>
            <w:r>
              <w:rPr>
                <w:rFonts w:hint="eastAsia" w:ascii="仿宋" w:hAnsi="仿宋" w:eastAsia="仿宋" w:cstheme="minorBidi"/>
                <w:color w:val="000000" w:themeColor="text1"/>
                <w:sz w:val="24"/>
                <w:szCs w:val="24"/>
                <w14:textFill>
                  <w14:solidFill>
                    <w14:schemeClr w14:val="tx1"/>
                  </w14:solidFill>
                </w14:textFill>
              </w:rPr>
              <w:t>/</w:t>
            </w:r>
            <w:r>
              <w:rPr>
                <w:rFonts w:ascii="仿宋" w:hAnsi="仿宋" w:eastAsia="仿宋" w:cstheme="minorBidi"/>
                <w:color w:val="000000" w:themeColor="text1"/>
                <w:sz w:val="24"/>
                <w:szCs w:val="24"/>
                <w14:textFill>
                  <w14:solidFill>
                    <w14:schemeClr w14:val="tx1"/>
                  </w14:solidFill>
                </w14:textFill>
              </w:rPr>
              <w:t>天</w:t>
            </w:r>
          </w:p>
        </w:tc>
        <w:tc>
          <w:tcPr>
            <w:tcW w:w="106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1" w:type="dxa"/>
            <w:vAlign w:val="center"/>
          </w:tcPr>
          <w:p>
            <w:pPr>
              <w:spacing w:line="360" w:lineRule="auto"/>
              <w:jc w:val="center"/>
              <w:rPr>
                <w:rFonts w:hint="eastAsia" w:ascii="仿宋" w:hAnsi="仿宋" w:eastAsia="仿宋" w:cstheme="minorBidi"/>
                <w:color w:val="000000" w:themeColor="text1"/>
                <w:sz w:val="24"/>
                <w:szCs w:val="24"/>
                <w:lang w:eastAsia="zh-CN"/>
                <w14:textFill>
                  <w14:solidFill>
                    <w14:schemeClr w14:val="tx1"/>
                  </w14:solidFill>
                </w14:textFill>
              </w:rPr>
            </w:pPr>
            <w:r>
              <w:rPr>
                <w:rFonts w:hint="eastAsia" w:ascii="仿宋" w:hAnsi="仿宋" w:eastAsia="仿宋" w:cstheme="minorBidi"/>
                <w:color w:val="000000" w:themeColor="text1"/>
                <w:sz w:val="24"/>
                <w:szCs w:val="24"/>
                <w:lang w:val="en-US" w:eastAsia="zh-CN"/>
                <w14:textFill>
                  <w14:solidFill>
                    <w14:schemeClr w14:val="tx1"/>
                  </w14:solidFill>
                </w14:textFill>
              </w:rPr>
              <w:t>2</w:t>
            </w:r>
          </w:p>
        </w:tc>
        <w:tc>
          <w:tcPr>
            <w:tcW w:w="1182"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产品质量不合格</w:t>
            </w:r>
          </w:p>
        </w:tc>
        <w:tc>
          <w:tcPr>
            <w:tcW w:w="2206"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乙方提交的产品不满足事先约定的质量要求。</w:t>
            </w:r>
          </w:p>
        </w:tc>
        <w:tc>
          <w:tcPr>
            <w:tcW w:w="1837"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由甲方项目经理完成产品质量缺陷说明，提交财务部扣款</w:t>
            </w:r>
          </w:p>
        </w:tc>
        <w:tc>
          <w:tcPr>
            <w:tcW w:w="153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ascii="仿宋" w:hAnsi="仿宋" w:eastAsia="仿宋" w:cstheme="minorBidi"/>
                <w:color w:val="000000" w:themeColor="text1"/>
                <w:sz w:val="24"/>
                <w:szCs w:val="24"/>
                <w14:textFill>
                  <w14:solidFill>
                    <w14:schemeClr w14:val="tx1"/>
                  </w14:solidFill>
                </w14:textFill>
              </w:rPr>
              <w:t>合同款*</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5</w:t>
            </w:r>
            <w:r>
              <w:rPr>
                <w:rFonts w:ascii="仿宋" w:hAnsi="仿宋" w:eastAsia="仿宋" w:cstheme="minorBidi"/>
                <w:color w:val="000000" w:themeColor="text1"/>
                <w:sz w:val="24"/>
                <w:szCs w:val="24"/>
                <w14:textFill>
                  <w14:solidFill>
                    <w14:schemeClr w14:val="tx1"/>
                  </w14:solidFill>
                </w14:textFill>
              </w:rPr>
              <w:t>%~</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10</w:t>
            </w:r>
            <w:r>
              <w:rPr>
                <w:rFonts w:ascii="仿宋" w:hAnsi="仿宋" w:eastAsia="仿宋" w:cstheme="minorBidi"/>
                <w:color w:val="000000" w:themeColor="text1"/>
                <w:sz w:val="24"/>
                <w:szCs w:val="24"/>
                <w14:textFill>
                  <w14:solidFill>
                    <w14:schemeClr w14:val="tx1"/>
                  </w14:solidFill>
                </w14:textFill>
              </w:rPr>
              <w:t>%</w:t>
            </w:r>
          </w:p>
        </w:tc>
        <w:tc>
          <w:tcPr>
            <w:tcW w:w="106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视问题严重程度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1" w:type="dxa"/>
            <w:vAlign w:val="center"/>
          </w:tcPr>
          <w:p>
            <w:pPr>
              <w:spacing w:line="360" w:lineRule="auto"/>
              <w:jc w:val="center"/>
              <w:rPr>
                <w:rFonts w:hint="eastAsia" w:ascii="仿宋" w:hAnsi="仿宋" w:eastAsia="仿宋" w:cstheme="minorBidi"/>
                <w:color w:val="000000" w:themeColor="text1"/>
                <w:sz w:val="24"/>
                <w:szCs w:val="24"/>
                <w:lang w:eastAsia="zh-CN"/>
                <w14:textFill>
                  <w14:solidFill>
                    <w14:schemeClr w14:val="tx1"/>
                  </w14:solidFill>
                </w14:textFill>
              </w:rPr>
            </w:pPr>
            <w:r>
              <w:rPr>
                <w:rFonts w:hint="eastAsia" w:ascii="仿宋" w:hAnsi="仿宋" w:eastAsia="仿宋" w:cstheme="minorBidi"/>
                <w:color w:val="000000" w:themeColor="text1"/>
                <w:sz w:val="24"/>
                <w:szCs w:val="24"/>
                <w:lang w:val="en-US" w:eastAsia="zh-CN"/>
                <w14:textFill>
                  <w14:solidFill>
                    <w14:schemeClr w14:val="tx1"/>
                  </w14:solidFill>
                </w14:textFill>
              </w:rPr>
              <w:t>3</w:t>
            </w:r>
          </w:p>
        </w:tc>
        <w:tc>
          <w:tcPr>
            <w:tcW w:w="1182"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技术支持延迟或售后不合格</w:t>
            </w:r>
          </w:p>
        </w:tc>
        <w:tc>
          <w:tcPr>
            <w:tcW w:w="2206"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乙方未在要求的时间内解决甲方提出的符合保修或技术支持范围的问题</w:t>
            </w:r>
          </w:p>
        </w:tc>
        <w:tc>
          <w:tcPr>
            <w:tcW w:w="1837"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由甲方项目经理完成售后反馈表，提交财务部扣款</w:t>
            </w:r>
          </w:p>
        </w:tc>
        <w:tc>
          <w:tcPr>
            <w:tcW w:w="153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5000</w:t>
            </w:r>
            <w:r>
              <w:rPr>
                <w:rFonts w:ascii="仿宋" w:hAnsi="仿宋" w:eastAsia="仿宋" w:cstheme="minorBidi"/>
                <w:color w:val="000000" w:themeColor="text1"/>
                <w:sz w:val="24"/>
                <w:szCs w:val="24"/>
                <w14:textFill>
                  <w14:solidFill>
                    <w14:schemeClr w14:val="tx1"/>
                  </w14:solidFill>
                </w14:textFill>
              </w:rPr>
              <w:t>~</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50000</w:t>
            </w:r>
            <w:r>
              <w:rPr>
                <w:rFonts w:ascii="仿宋" w:hAnsi="仿宋" w:eastAsia="仿宋" w:cstheme="minorBidi"/>
                <w:color w:val="000000" w:themeColor="text1"/>
                <w:sz w:val="24"/>
                <w:szCs w:val="24"/>
                <w14:textFill>
                  <w14:solidFill>
                    <w14:schemeClr w14:val="tx1"/>
                  </w14:solidFill>
                </w14:textFill>
              </w:rPr>
              <w:t>元</w:t>
            </w:r>
          </w:p>
        </w:tc>
        <w:tc>
          <w:tcPr>
            <w:tcW w:w="106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视问题严重程度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51" w:type="dxa"/>
            <w:vAlign w:val="center"/>
          </w:tcPr>
          <w:p>
            <w:pPr>
              <w:spacing w:line="360" w:lineRule="auto"/>
              <w:jc w:val="center"/>
              <w:rPr>
                <w:rFonts w:hint="eastAsia" w:ascii="仿宋" w:hAnsi="仿宋" w:eastAsia="仿宋" w:cstheme="minorBidi"/>
                <w:color w:val="000000" w:themeColor="text1"/>
                <w:sz w:val="24"/>
                <w:szCs w:val="24"/>
                <w:lang w:eastAsia="zh-CN"/>
                <w14:textFill>
                  <w14:solidFill>
                    <w14:schemeClr w14:val="tx1"/>
                  </w14:solidFill>
                </w14:textFill>
              </w:rPr>
            </w:pPr>
            <w:r>
              <w:rPr>
                <w:rFonts w:hint="eastAsia" w:ascii="仿宋" w:hAnsi="仿宋" w:eastAsia="仿宋" w:cstheme="minorBidi"/>
                <w:color w:val="000000" w:themeColor="text1"/>
                <w:sz w:val="24"/>
                <w:szCs w:val="24"/>
                <w:lang w:val="en-US" w:eastAsia="zh-CN"/>
                <w14:textFill>
                  <w14:solidFill>
                    <w14:schemeClr w14:val="tx1"/>
                  </w14:solidFill>
                </w14:textFill>
              </w:rPr>
              <w:t>4</w:t>
            </w:r>
          </w:p>
        </w:tc>
        <w:tc>
          <w:tcPr>
            <w:tcW w:w="1182"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文档缺失或质量不合格</w:t>
            </w:r>
          </w:p>
        </w:tc>
        <w:tc>
          <w:tcPr>
            <w:tcW w:w="2206"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乙方未提供或提供的技术规范、培训材料等文档</w:t>
            </w:r>
          </w:p>
        </w:tc>
        <w:tc>
          <w:tcPr>
            <w:tcW w:w="1837"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由甲方项目经理确认文档条目，提交财务部扣款</w:t>
            </w:r>
          </w:p>
        </w:tc>
        <w:tc>
          <w:tcPr>
            <w:tcW w:w="153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1000</w:t>
            </w:r>
            <w:r>
              <w:rPr>
                <w:rFonts w:ascii="仿宋" w:hAnsi="仿宋" w:eastAsia="仿宋" w:cstheme="minorBidi"/>
                <w:color w:val="000000" w:themeColor="text1"/>
                <w:sz w:val="24"/>
                <w:szCs w:val="24"/>
                <w14:textFill>
                  <w14:solidFill>
                    <w14:schemeClr w14:val="tx1"/>
                  </w14:solidFill>
                </w14:textFill>
              </w:rPr>
              <w:t>~</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5000</w:t>
            </w:r>
            <w:r>
              <w:rPr>
                <w:rFonts w:ascii="仿宋" w:hAnsi="仿宋" w:eastAsia="仿宋" w:cstheme="minorBidi"/>
                <w:color w:val="000000" w:themeColor="text1"/>
                <w:sz w:val="24"/>
                <w:szCs w:val="24"/>
                <w14:textFill>
                  <w14:solidFill>
                    <w14:schemeClr w14:val="tx1"/>
                  </w14:solidFill>
                </w14:textFill>
              </w:rPr>
              <w:t>元</w:t>
            </w:r>
          </w:p>
        </w:tc>
        <w:tc>
          <w:tcPr>
            <w:tcW w:w="1064" w:type="dxa"/>
            <w:vAlign w:val="center"/>
          </w:tcPr>
          <w:p>
            <w:pPr>
              <w:spacing w:line="360" w:lineRule="auto"/>
              <w:rPr>
                <w:rFonts w:ascii="仿宋" w:hAnsi="仿宋" w:eastAsia="仿宋" w:cstheme="minorBidi"/>
                <w:color w:val="000000" w:themeColor="text1"/>
                <w:sz w:val="24"/>
                <w:szCs w:val="24"/>
                <w14:textFill>
                  <w14:solidFill>
                    <w14:schemeClr w14:val="tx1"/>
                  </w14:solidFill>
                </w14:textFill>
              </w:rPr>
            </w:pPr>
            <w:r>
              <w:rPr>
                <w:rFonts w:hint="eastAsia" w:ascii="仿宋" w:hAnsi="仿宋" w:eastAsia="仿宋" w:cstheme="minorBidi"/>
                <w:color w:val="000000" w:themeColor="text1"/>
                <w:sz w:val="24"/>
                <w:szCs w:val="24"/>
                <w14:textFill>
                  <w14:solidFill>
                    <w14:schemeClr w14:val="tx1"/>
                  </w14:solidFill>
                </w14:textFill>
              </w:rPr>
              <w:t>视文档重要性</w:t>
            </w:r>
          </w:p>
        </w:tc>
      </w:tr>
    </w:tbl>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第四条 产品的质量要求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4.1乙方所提供产品的技术指标和生产工艺必须完全满足甲方在采购文件中提出的业务功能需求及技术要求，乙方所提供产品的功能与服务实现必须完全遵守响应文件和谈判时做出的书面承诺；乙方保证所提供的商品是乙方独立开发产品，不存在权利瑕疵，须提供产品的出厂检测报告和产品质量合格证明书，且符合相应技术规定的品质和规格要求；若产品技术性能无相应说明，则按国家或国际有关部门最新颁布的标准及规范为准。</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第五条 系统提交</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5.1产品的交货地点为甲方指定地点、指定平台，并在甲方指定地点及平台完成安装。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5.2乙方交货时应提供下列技术资料：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（1）系统检验报告；</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（2）软件源代码、接口文档、数据字典、设计方案、模块开发卷宗、测试方案、用户手册、系统业务规则等；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（3）采购文件中所要求提交的资料。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5.3系统开发后，甲方负责清点开发功能内容。在系统安装调试前，甲乙双方代表在施工现场共同清点验收。若乙方因故无法抵达施工现场，则无条件接受甲方清点验收结果。</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5.4甲方有权拒收运抵现场的被损坏或有缺陷的或不符合采购文件、乙方响应文件和谈判时乙方做出的书面承诺的任何开发成果。</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第六条 运输费用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6.1乙方承担所有因系统开发而产生的运输、装卸和保险等费用。</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第七条 供货周期</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7.1在合同签订后  自然日（不超过60自然日）内完成系统所有功能模块与接口的开发部署、测试上线及培训推广工作，具备初验条件并提交甲方验收。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7.2乙方每逾期一天提交（不足一天按一天计算），每日按合同总价的5‰向甲方支付滞纳金，滞纳金从合同款中扣除。如逾期时间超过6周仍未能在满足前款要求的前提下提交甲方验收，在不妨碍甲方其他救济手段的情况下，甲方可以向乙方发出书面违约通知从而全部或部分地解除合同，并向乙方索赔。</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7.3乙方逾期提交，甲方接受的，不影响甲方追究乙方逾期交付的违约责任。</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第八条 验收标准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8.1乙方需免费提供验收所需的测试工具、并搭建测试环境，按合同约定、甲方采购文件、乙方响应文件、谈判时乙方做出的书面承诺以及甲、乙双方共同签订的补充协议的要求进行验收。乙方在货到安装调试完毕、系统达到技术要求规定的指标并开通业务后，向甲方提交“</w:t>
      </w:r>
      <w:r>
        <w:rPr>
          <w:rFonts w:hint="eastAsia" w:ascii="仿宋" w:hAnsi="仿宋" w:eastAsia="仿宋" w:cs="仿宋"/>
          <w:kern w:val="0"/>
          <w:sz w:val="24"/>
          <w:szCs w:val="22"/>
          <w:lang w:val="en-US" w:eastAsia="zh-CN"/>
        </w:rPr>
        <w:t xml:space="preserve">   </w:t>
      </w:r>
      <w:r>
        <w:rPr>
          <w:rFonts w:hint="eastAsia" w:ascii="方正仿宋_GBK" w:hAnsi="方正仿宋_GBK" w:eastAsia="方正仿宋_GBK" w:cs="方正仿宋_GBK"/>
          <w:kern w:val="0"/>
          <w:sz w:val="24"/>
          <w:szCs w:val="22"/>
          <w:lang w:val="en-US" w:eastAsia="zh-CN"/>
        </w:rPr>
        <w:t>”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设备性能和业务功能满足采购文件及合同要求，乙方应提交终验申请报告和试运行报告，试运行报告应包括所有数据记录和故障处理过程。甲方应在收到终验申请报告及全部文件后的10个工作日内组织有关部门验收，并在验收后</w:t>
      </w:r>
      <w:permStart w:id="0" w:edGrp="everyone"/>
      <w:r>
        <w:rPr>
          <w:rFonts w:hint="eastAsia" w:ascii="方正仿宋_GBK" w:hAnsi="方正仿宋_GBK" w:eastAsia="方正仿宋_GBK" w:cs="方正仿宋_GBK"/>
          <w:kern w:val="0"/>
          <w:sz w:val="24"/>
          <w:szCs w:val="22"/>
          <w:lang w:val="en-US" w:eastAsia="zh-CN"/>
        </w:rPr>
        <w:t>10</w:t>
      </w:r>
      <w:permEnd w:id="0"/>
      <w:r>
        <w:rPr>
          <w:rFonts w:hint="eastAsia" w:ascii="方正仿宋_GBK" w:hAnsi="方正仿宋_GBK" w:eastAsia="方正仿宋_GBK" w:cs="方正仿宋_GBK"/>
          <w:kern w:val="0"/>
          <w:sz w:val="24"/>
          <w:szCs w:val="22"/>
          <w:lang w:val="en-US" w:eastAsia="zh-CN"/>
        </w:rPr>
        <w:t>个工作日内给予验收结果或提出修改意见。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8.2如第一次初验或终验未通过，甲方应将有关不符合要求的情况书面通知乙方，乙方应在收到甲方书面通知后 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8.3乙方满足验收条件、提交甲方验收的，甲方应及时组织验收。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8.4甲、乙双方应按合同规定的时间进行初验和终验，验收时间因各种原因需要更改的，甲、乙双方应共同商定修改验收日期。</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8.5在初验和终验过程中，若一方对验收过程或结果提出质疑，且经协商不成的，可由甲方选择法定检验机构进行检验，检验费用由乙方承担。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8.6甲、乙双方约定合同产品检验期自交货日起至终验/初验通过之日止。甲、乙双方约定合同产品免费包修期为    年（不少于3年），自终验通过之日起计算。</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第九条 售后服务</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9.1服务响应时间：乙方提供每周7天×24小时的技术支持和服务。如果出现技术问题或故障，乙方应按响应文件和谈判时做出的书面承诺提供相应的服务和技术支持。在得到乙方同意后，或在规定期限内，乙方代表仍未到达现场，甲方可以自己进行故障处理，并要求乙方承担相应费用。重大技术故障乙方需要明确CASE处理的时间。乙方须按照以下表格中规定的时限响应并解决问题。</w:t>
      </w:r>
    </w:p>
    <w:tbl>
      <w:tblPr>
        <w:tblStyle w:val="53"/>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24"/>
        <w:gridCol w:w="1686"/>
        <w:gridCol w:w="1056"/>
        <w:gridCol w:w="147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故障级别</w:t>
            </w:r>
          </w:p>
        </w:tc>
        <w:tc>
          <w:tcPr>
            <w:tcW w:w="1424"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故障描述</w:t>
            </w: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发生时段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电话响应</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现场响应</w:t>
            </w:r>
          </w:p>
        </w:tc>
        <w:tc>
          <w:tcPr>
            <w:tcW w:w="1319"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解决时限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紧急故障</w:t>
            </w:r>
          </w:p>
        </w:tc>
        <w:tc>
          <w:tcPr>
            <w:tcW w:w="1424"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服务中断</w:t>
            </w: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现场解决</w:t>
            </w:r>
          </w:p>
        </w:tc>
        <w:tc>
          <w:tcPr>
            <w:tcW w:w="1319"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10</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15</w:t>
            </w:r>
            <w:r>
              <w:rPr>
                <w:rFonts w:ascii="仿宋" w:hAnsi="仿宋" w:eastAsia="仿宋"/>
                <w:bCs/>
                <w:color w:val="000000" w:themeColor="text1"/>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6"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424"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非正常工作时段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立即响应</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30</w:t>
            </w:r>
            <w:r>
              <w:rPr>
                <w:rFonts w:ascii="仿宋" w:hAnsi="仿宋" w:eastAsia="仿宋"/>
                <w:bCs/>
                <w:color w:val="000000" w:themeColor="text1"/>
                <w:sz w:val="24"/>
                <w:szCs w:val="24"/>
                <w14:textFill>
                  <w14:solidFill>
                    <w14:schemeClr w14:val="tx1"/>
                  </w14:solidFill>
                </w14:textFill>
              </w:rPr>
              <w:t>分钟内</w:t>
            </w:r>
          </w:p>
        </w:tc>
        <w:tc>
          <w:tcPr>
            <w:tcW w:w="1319"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30</w:t>
            </w:r>
            <w:r>
              <w:rPr>
                <w:rFonts w:ascii="仿宋" w:hAnsi="仿宋" w:eastAsia="仿宋"/>
                <w:bCs/>
                <w:color w:val="000000" w:themeColor="text1"/>
                <w:sz w:val="24"/>
                <w:szCs w:val="24"/>
                <w14:textFill>
                  <w14:solidFill>
                    <w14:schemeClr w14:val="tx1"/>
                  </w14:solidFill>
                </w14:textFill>
              </w:rPr>
              <w:t>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6"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严重故障</w:t>
            </w:r>
          </w:p>
        </w:tc>
        <w:tc>
          <w:tcPr>
            <w:tcW w:w="1424"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系统缓慢</w:t>
            </w: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现场解决</w:t>
            </w:r>
          </w:p>
        </w:tc>
        <w:tc>
          <w:tcPr>
            <w:tcW w:w="1319"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r>
              <w:rPr>
                <w:rFonts w:ascii="仿宋" w:hAnsi="仿宋" w:eastAsia="仿宋" w:cs="方正仿宋_GBK"/>
                <w:sz w:val="24"/>
                <w:szCs w:val="24"/>
              </w:rPr>
              <w:t xml:space="preserve"> </w:t>
            </w:r>
            <w:r>
              <w:rPr>
                <w:rFonts w:hint="eastAsia" w:ascii="仿宋" w:hAnsi="仿宋" w:eastAsia="仿宋" w:cs="方正仿宋_GBK"/>
                <w:sz w:val="24"/>
                <w:szCs w:val="24"/>
                <w:lang w:val="en-US" w:eastAsia="zh-CN"/>
              </w:rPr>
              <w:t>10</w:t>
            </w:r>
            <w:r>
              <w:rPr>
                <w:rFonts w:ascii="仿宋" w:hAnsi="仿宋" w:eastAsia="仿宋"/>
                <w:bCs/>
                <w:color w:val="000000" w:themeColor="text1"/>
                <w:sz w:val="24"/>
                <w:szCs w:val="24"/>
                <w14:textFill>
                  <w14:solidFill>
                    <w14:schemeClr w14:val="tx1"/>
                  </w14:solidFill>
                </w14:textFill>
              </w:rPr>
              <w:t>～</w:t>
            </w:r>
            <w:r>
              <w:rPr>
                <w:rFonts w:hint="eastAsia" w:ascii="仿宋" w:hAnsi="仿宋" w:eastAsia="仿宋" w:cs="方正仿宋_GBK"/>
                <w:sz w:val="24"/>
                <w:szCs w:val="24"/>
              </w:rPr>
              <w:t xml:space="preserve"> </w:t>
            </w:r>
            <w:r>
              <w:rPr>
                <w:rFonts w:hint="eastAsia" w:ascii="仿宋" w:hAnsi="仿宋" w:eastAsia="仿宋" w:cs="方正仿宋_GBK"/>
                <w:sz w:val="24"/>
                <w:szCs w:val="24"/>
                <w:lang w:val="en-US" w:eastAsia="zh-CN"/>
              </w:rPr>
              <w:t>15</w:t>
            </w:r>
            <w:r>
              <w:rPr>
                <w:rFonts w:ascii="仿宋" w:hAnsi="仿宋" w:eastAsia="仿宋"/>
                <w:bCs/>
                <w:color w:val="000000" w:themeColor="text1"/>
                <w:sz w:val="24"/>
                <w:szCs w:val="24"/>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56"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424"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非正常工作时段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立即响应</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permStart w:id="1" w:edGrp="everyone"/>
            <w:r>
              <w:rPr>
                <w:rFonts w:ascii="仿宋" w:hAnsi="仿宋" w:eastAsia="仿宋" w:cs="方正仿宋_GBK"/>
                <w:sz w:val="24"/>
                <w:szCs w:val="24"/>
              </w:rPr>
              <w:t xml:space="preserve"> </w:t>
            </w:r>
            <w:r>
              <w:rPr>
                <w:rFonts w:hint="eastAsia" w:ascii="仿宋" w:hAnsi="仿宋" w:eastAsia="仿宋" w:cs="方正仿宋_GBK"/>
                <w:sz w:val="24"/>
                <w:szCs w:val="24"/>
                <w:lang w:val="en-US" w:eastAsia="zh-CN"/>
              </w:rPr>
              <w:t>30</w:t>
            </w:r>
            <w:r>
              <w:rPr>
                <w:rFonts w:ascii="仿宋" w:hAnsi="仿宋" w:eastAsia="仿宋" w:cs="方正仿宋_GBK"/>
                <w:sz w:val="24"/>
                <w:szCs w:val="24"/>
              </w:rPr>
              <w:t xml:space="preserve"> </w:t>
            </w:r>
            <w:permEnd w:id="1"/>
            <w:r>
              <w:rPr>
                <w:rFonts w:ascii="仿宋" w:hAnsi="仿宋" w:eastAsia="仿宋"/>
                <w:bCs/>
                <w:color w:val="000000" w:themeColor="text1"/>
                <w:sz w:val="24"/>
                <w:szCs w:val="24"/>
                <w14:textFill>
                  <w14:solidFill>
                    <w14:schemeClr w14:val="tx1"/>
                  </w14:solidFill>
                </w14:textFill>
              </w:rPr>
              <w:t>分钟内</w:t>
            </w:r>
          </w:p>
        </w:tc>
        <w:tc>
          <w:tcPr>
            <w:tcW w:w="1319"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permStart w:id="2" w:edGrp="everyone"/>
            <w:r>
              <w:rPr>
                <w:rFonts w:ascii="仿宋" w:hAnsi="仿宋" w:eastAsia="仿宋" w:cs="方正仿宋_GBK"/>
                <w:sz w:val="24"/>
                <w:szCs w:val="24"/>
              </w:rPr>
              <w:t xml:space="preserve"> </w:t>
            </w:r>
            <w:r>
              <w:rPr>
                <w:rFonts w:hint="eastAsia" w:ascii="仿宋" w:hAnsi="仿宋" w:eastAsia="仿宋" w:cs="方正仿宋_GBK"/>
                <w:sz w:val="24"/>
                <w:szCs w:val="24"/>
                <w:lang w:val="en-US" w:eastAsia="zh-CN"/>
              </w:rPr>
              <w:t>1</w:t>
            </w:r>
            <w:permEnd w:id="2"/>
            <w:r>
              <w:rPr>
                <w:rFonts w:ascii="仿宋" w:hAnsi="仿宋" w:eastAsia="仿宋"/>
                <w:bCs/>
                <w:color w:val="000000" w:themeColor="text1"/>
                <w:sz w:val="24"/>
                <w:szCs w:val="24"/>
                <w14:textFill>
                  <w14:solidFill>
                    <w14:schemeClr w14:val="tx1"/>
                  </w14:solidFill>
                </w14:textFill>
              </w:rPr>
              <w:t>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56"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中级故障</w:t>
            </w:r>
          </w:p>
        </w:tc>
        <w:tc>
          <w:tcPr>
            <w:tcW w:w="1424"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关键性bug</w:t>
            </w: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现场响应</w:t>
            </w:r>
          </w:p>
        </w:tc>
        <w:tc>
          <w:tcPr>
            <w:tcW w:w="1319"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不超过</w:t>
            </w:r>
            <w:r>
              <w:rPr>
                <w:rFonts w:hint="eastAsia" w:ascii="仿宋" w:hAnsi="仿宋" w:eastAsia="仿宋" w:cs="方正仿宋_GBK"/>
                <w:sz w:val="24"/>
                <w:szCs w:val="24"/>
              </w:rPr>
              <w:t xml:space="preserve"> </w:t>
            </w:r>
            <w:permStart w:id="3" w:edGrp="everyone"/>
            <w:r>
              <w:rPr>
                <w:rFonts w:ascii="仿宋" w:hAnsi="仿宋" w:eastAsia="仿宋" w:cs="方正仿宋_GBK"/>
                <w:sz w:val="24"/>
                <w:szCs w:val="24"/>
              </w:rPr>
              <w:t xml:space="preserve">    </w:t>
            </w:r>
            <w:permEnd w:id="3"/>
            <w:r>
              <w:rPr>
                <w:rFonts w:ascii="仿宋" w:hAnsi="仿宋" w:eastAsia="仿宋"/>
                <w:bCs/>
                <w:color w:val="000000" w:themeColor="text1"/>
                <w:sz w:val="24"/>
                <w:szCs w:val="24"/>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56"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424"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非正常工作时段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立即响应</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permStart w:id="4" w:edGrp="everyone"/>
            <w:r>
              <w:rPr>
                <w:rFonts w:ascii="仿宋" w:hAnsi="仿宋" w:eastAsia="仿宋" w:cs="方正仿宋_GBK"/>
                <w:sz w:val="24"/>
                <w:szCs w:val="24"/>
              </w:rPr>
              <w:t xml:space="preserve"> </w:t>
            </w:r>
            <w:r>
              <w:rPr>
                <w:rFonts w:hint="eastAsia" w:ascii="仿宋" w:hAnsi="仿宋" w:eastAsia="仿宋" w:cs="方正仿宋_GBK"/>
                <w:sz w:val="24"/>
                <w:szCs w:val="24"/>
                <w:lang w:val="en-US" w:eastAsia="zh-CN"/>
              </w:rPr>
              <w:t>1</w:t>
            </w:r>
            <w:r>
              <w:rPr>
                <w:rFonts w:ascii="仿宋" w:hAnsi="仿宋" w:eastAsia="仿宋" w:cs="方正仿宋_GBK"/>
                <w:sz w:val="24"/>
                <w:szCs w:val="24"/>
              </w:rPr>
              <w:t xml:space="preserve"> </w:t>
            </w:r>
            <w:permEnd w:id="4"/>
            <w:r>
              <w:rPr>
                <w:rFonts w:ascii="仿宋" w:hAnsi="仿宋" w:eastAsia="仿宋"/>
                <w:bCs/>
                <w:color w:val="000000" w:themeColor="text1"/>
                <w:sz w:val="24"/>
                <w:szCs w:val="24"/>
                <w14:textFill>
                  <w14:solidFill>
                    <w14:schemeClr w14:val="tx1"/>
                  </w14:solidFill>
                </w14:textFill>
              </w:rPr>
              <w:t>个工作日内</w:t>
            </w:r>
          </w:p>
        </w:tc>
        <w:tc>
          <w:tcPr>
            <w:tcW w:w="1319" w:type="dxa"/>
            <w:vMerge w:val="continue"/>
            <w:vAlign w:val="center"/>
          </w:tcPr>
          <w:p>
            <w:pPr>
              <w:spacing w:line="360" w:lineRule="auto"/>
              <w:rPr>
                <w:rFonts w:ascii="仿宋" w:hAnsi="仿宋" w:eastAsia="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56"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低级故障</w:t>
            </w:r>
          </w:p>
        </w:tc>
        <w:tc>
          <w:tcPr>
            <w:tcW w:w="1424" w:type="dxa"/>
            <w:vMerge w:val="restart"/>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非关键性bug</w:t>
            </w: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现场解决</w:t>
            </w:r>
          </w:p>
        </w:tc>
        <w:tc>
          <w:tcPr>
            <w:tcW w:w="1319" w:type="dxa"/>
            <w:vMerge w:val="restart"/>
            <w:vAlign w:val="center"/>
          </w:tcPr>
          <w:p>
            <w:pPr>
              <w:pStyle w:val="351"/>
              <w:spacing w:before="0"/>
              <w:ind w:firstLine="0"/>
              <w:rPr>
                <w:rFonts w:ascii="仿宋" w:hAnsi="仿宋" w:eastAsia="仿宋"/>
                <w:bCs/>
                <w:color w:val="000000" w:themeColor="text1"/>
                <w:kern w:val="2"/>
                <w14:textFill>
                  <w14:solidFill>
                    <w14:schemeClr w14:val="tx1"/>
                  </w14:solidFill>
                </w14:textFill>
              </w:rPr>
            </w:pPr>
            <w:r>
              <w:rPr>
                <w:rFonts w:ascii="仿宋" w:hAnsi="仿宋" w:eastAsia="仿宋"/>
                <w:bCs/>
                <w:color w:val="000000" w:themeColor="text1"/>
                <w:kern w:val="2"/>
                <w14:textFill>
                  <w14:solidFill>
                    <w14:schemeClr w14:val="tx1"/>
                  </w14:solidFill>
                </w14:textFill>
              </w:rPr>
              <w:t>不超过</w:t>
            </w:r>
            <w:r>
              <w:rPr>
                <w:rFonts w:hint="eastAsia" w:ascii="仿宋" w:hAnsi="仿宋" w:eastAsia="仿宋" w:cs="方正仿宋_GBK"/>
              </w:rPr>
              <w:t xml:space="preserve"> </w:t>
            </w:r>
            <w:permStart w:id="5" w:edGrp="everyone"/>
            <w:r>
              <w:rPr>
                <w:rFonts w:ascii="仿宋" w:hAnsi="仿宋" w:eastAsia="仿宋" w:cs="方正仿宋_GBK"/>
              </w:rPr>
              <w:t xml:space="preserve">    </w:t>
            </w:r>
            <w:permEnd w:id="5"/>
            <w:r>
              <w:rPr>
                <w:rFonts w:ascii="仿宋" w:hAnsi="仿宋" w:eastAsia="仿宋"/>
                <w:bCs/>
                <w:color w:val="000000" w:themeColor="text1"/>
                <w:kern w:val="2"/>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56" w:type="dxa"/>
            <w:vMerge w:val="continue"/>
            <w:vAlign w:val="center"/>
          </w:tcPr>
          <w:p>
            <w:pPr>
              <w:spacing w:line="360" w:lineRule="auto"/>
              <w:jc w:val="center"/>
              <w:rPr>
                <w:rFonts w:ascii="仿宋" w:hAnsi="仿宋" w:eastAsia="仿宋"/>
                <w:b/>
                <w:bCs/>
                <w:color w:val="000000" w:themeColor="text1"/>
                <w:sz w:val="24"/>
                <w:szCs w:val="24"/>
                <w14:textFill>
                  <w14:solidFill>
                    <w14:schemeClr w14:val="tx1"/>
                  </w14:solidFill>
                </w14:textFill>
              </w:rPr>
            </w:pPr>
          </w:p>
        </w:tc>
        <w:tc>
          <w:tcPr>
            <w:tcW w:w="1424" w:type="dxa"/>
            <w:vMerge w:val="continue"/>
            <w:vAlign w:val="center"/>
          </w:tcPr>
          <w:p>
            <w:pPr>
              <w:spacing w:line="360" w:lineRule="auto"/>
              <w:jc w:val="center"/>
              <w:rPr>
                <w:rFonts w:ascii="仿宋" w:hAnsi="仿宋" w:eastAsia="仿宋"/>
                <w:b/>
                <w:bCs/>
                <w:color w:val="000000" w:themeColor="text1"/>
                <w:sz w:val="24"/>
                <w:szCs w:val="24"/>
                <w14:textFill>
                  <w14:solidFill>
                    <w14:schemeClr w14:val="tx1"/>
                  </w14:solidFill>
                </w14:textFill>
              </w:rPr>
            </w:pPr>
          </w:p>
        </w:tc>
        <w:tc>
          <w:tcPr>
            <w:tcW w:w="168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非正常工作时段</w:t>
            </w:r>
          </w:p>
        </w:tc>
        <w:tc>
          <w:tcPr>
            <w:tcW w:w="105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ascii="仿宋" w:hAnsi="仿宋" w:eastAsia="仿宋"/>
                <w:bCs/>
                <w:color w:val="000000" w:themeColor="text1"/>
                <w:sz w:val="24"/>
                <w:szCs w:val="24"/>
                <w14:textFill>
                  <w14:solidFill>
                    <w14:schemeClr w14:val="tx1"/>
                  </w14:solidFill>
                </w14:textFill>
              </w:rPr>
              <w:t>立即响应</w:t>
            </w:r>
          </w:p>
        </w:tc>
        <w:tc>
          <w:tcPr>
            <w:tcW w:w="1476" w:type="dxa"/>
            <w:vAlign w:val="center"/>
          </w:tcPr>
          <w:p>
            <w:pPr>
              <w:spacing w:line="360" w:lineRule="auto"/>
              <w:rPr>
                <w:rFonts w:ascii="仿宋" w:hAnsi="仿宋" w:eastAsia="仿宋"/>
                <w:bCs/>
                <w:color w:val="000000" w:themeColor="text1"/>
                <w:sz w:val="24"/>
                <w:szCs w:val="24"/>
                <w14:textFill>
                  <w14:solidFill>
                    <w14:schemeClr w14:val="tx1"/>
                  </w14:solidFill>
                </w14:textFill>
              </w:rPr>
            </w:pPr>
            <w:r>
              <w:rPr>
                <w:rFonts w:hint="eastAsia" w:ascii="仿宋" w:hAnsi="仿宋" w:eastAsia="仿宋" w:cs="方正仿宋_GBK"/>
                <w:sz w:val="24"/>
                <w:szCs w:val="24"/>
              </w:rPr>
              <w:t xml:space="preserve"> </w:t>
            </w:r>
            <w:permStart w:id="6" w:edGrp="everyone"/>
            <w:r>
              <w:rPr>
                <w:rFonts w:ascii="仿宋" w:hAnsi="仿宋" w:eastAsia="仿宋" w:cs="方正仿宋_GBK"/>
                <w:sz w:val="24"/>
                <w:szCs w:val="24"/>
              </w:rPr>
              <w:t xml:space="preserve"> </w:t>
            </w:r>
            <w:r>
              <w:rPr>
                <w:rFonts w:hint="eastAsia" w:ascii="仿宋" w:hAnsi="仿宋" w:eastAsia="仿宋" w:cs="方正仿宋_GBK"/>
                <w:sz w:val="24"/>
                <w:szCs w:val="24"/>
                <w:lang w:val="en-US" w:eastAsia="zh-CN"/>
              </w:rPr>
              <w:t>1</w:t>
            </w:r>
            <w:r>
              <w:rPr>
                <w:rFonts w:ascii="仿宋" w:hAnsi="仿宋" w:eastAsia="仿宋" w:cs="方正仿宋_GBK"/>
                <w:sz w:val="24"/>
                <w:szCs w:val="24"/>
              </w:rPr>
              <w:t xml:space="preserve"> </w:t>
            </w:r>
            <w:permEnd w:id="6"/>
            <w:r>
              <w:rPr>
                <w:rFonts w:ascii="仿宋" w:hAnsi="仿宋" w:eastAsia="仿宋"/>
                <w:bCs/>
                <w:color w:val="000000" w:themeColor="text1"/>
                <w:sz w:val="24"/>
                <w:szCs w:val="24"/>
                <w14:textFill>
                  <w14:solidFill>
                    <w14:schemeClr w14:val="tx1"/>
                  </w14:solidFill>
                </w14:textFill>
              </w:rPr>
              <w:t>个工作日内</w:t>
            </w:r>
          </w:p>
        </w:tc>
        <w:tc>
          <w:tcPr>
            <w:tcW w:w="1319" w:type="dxa"/>
            <w:vMerge w:val="continue"/>
            <w:vAlign w:val="center"/>
          </w:tcPr>
          <w:p>
            <w:pPr>
              <w:pStyle w:val="351"/>
              <w:spacing w:before="0"/>
              <w:ind w:firstLine="420"/>
              <w:jc w:val="center"/>
              <w:rPr>
                <w:rFonts w:ascii="仿宋" w:hAnsi="仿宋" w:eastAsia="仿宋"/>
                <w:b/>
                <w:bCs/>
                <w:color w:val="000000" w:themeColor="text1"/>
                <w:kern w:val="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9.2包修期：免费包修期   年（不少于3年），自终验通过之日起计算。超过免费包修期后，乙方对其提供的产品在寿命期内提供有偿保修服务，维保服务的内容与包修期相同。整个平台的维保年服务费用（全包）应不超过成交总价（合同价）的   %（不超过5%）。</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9.3培训：包括响应文件和谈判时做出的书面承诺的培训。乙方应对甲方人员进行技术培训，使甲方人员具备独立管理、维护测试和故障处理等工作的能力。培训内容包含但不限于系统的相关技术原理、性能、操作使用方法、维护管理的技术、实际的操作练习等。在进行系统安装、调试过程中，应在每一个项目现场免费提供不少于半天专项现场培训。乙方应提供免费不少于 </w:t>
      </w:r>
      <w:permStart w:id="7" w:edGrp="everyone"/>
      <w:r>
        <w:rPr>
          <w:rFonts w:hint="eastAsia" w:ascii="方正仿宋_GBK" w:hAnsi="方正仿宋_GBK" w:eastAsia="方正仿宋_GBK" w:cs="方正仿宋_GBK"/>
          <w:kern w:val="0"/>
          <w:sz w:val="24"/>
          <w:szCs w:val="22"/>
          <w:lang w:val="en-US" w:eastAsia="zh-CN"/>
        </w:rPr>
        <w:t xml:space="preserve"> 1 </w:t>
      </w:r>
      <w:permEnd w:id="7"/>
      <w:r>
        <w:rPr>
          <w:rFonts w:hint="eastAsia" w:ascii="方正仿宋_GBK" w:hAnsi="方正仿宋_GBK" w:eastAsia="方正仿宋_GBK" w:cs="方正仿宋_GBK"/>
          <w:kern w:val="0"/>
          <w:sz w:val="24"/>
          <w:szCs w:val="22"/>
          <w:lang w:val="en-US" w:eastAsia="zh-CN"/>
        </w:rPr>
        <w:t>次全省集中性培训，并提供相应讲师以及培训计划。乙方另行提供的其它培训，往返路程费用、住宿及餐饮等费用由乙方承担。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9.4自主服务：乙方所提供的自主开发技术服务均已包含 </w:t>
      </w:r>
      <w:permStart w:id="8" w:edGrp="everyone"/>
      <w:r>
        <w:rPr>
          <w:rFonts w:hint="eastAsia" w:ascii="方正仿宋_GBK" w:hAnsi="方正仿宋_GBK" w:eastAsia="方正仿宋_GBK" w:cs="方正仿宋_GBK"/>
          <w:kern w:val="0"/>
          <w:sz w:val="24"/>
          <w:szCs w:val="22"/>
          <w:lang w:val="en-US" w:eastAsia="zh-CN"/>
        </w:rPr>
        <w:t xml:space="preserve"> </w:t>
      </w:r>
      <w:permEnd w:id="8"/>
      <w:r>
        <w:rPr>
          <w:rFonts w:hint="eastAsia" w:ascii="方正仿宋_GBK" w:hAnsi="方正仿宋_GBK" w:eastAsia="方正仿宋_GBK" w:cs="方正仿宋_GBK"/>
          <w:kern w:val="0"/>
          <w:sz w:val="24"/>
          <w:szCs w:val="22"/>
          <w:lang w:val="en-US" w:eastAsia="zh-CN"/>
        </w:rPr>
        <w:t>年期每周7天×24小时服务。如乙方停止销售本合同涉及的开发服务，不免除乙方对此应承担的责任。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9.5现场支持：项目上线一年内，乙方至少有 </w:t>
      </w:r>
      <w:permStart w:id="9" w:edGrp="everyone"/>
      <w:r>
        <w:rPr>
          <w:rFonts w:hint="eastAsia" w:ascii="方正仿宋_GBK" w:hAnsi="方正仿宋_GBK" w:eastAsia="方正仿宋_GBK" w:cs="方正仿宋_GBK"/>
          <w:kern w:val="0"/>
          <w:sz w:val="24"/>
          <w:szCs w:val="22"/>
          <w:lang w:val="en-US" w:eastAsia="zh-CN"/>
        </w:rPr>
        <w:t xml:space="preserve"> 1 </w:t>
      </w:r>
      <w:permEnd w:id="9"/>
      <w:r>
        <w:rPr>
          <w:rFonts w:hint="eastAsia" w:ascii="方正仿宋_GBK" w:hAnsi="方正仿宋_GBK" w:eastAsia="方正仿宋_GBK" w:cs="方正仿宋_GBK"/>
          <w:kern w:val="0"/>
          <w:sz w:val="24"/>
          <w:szCs w:val="22"/>
          <w:lang w:val="en-US" w:eastAsia="zh-CN"/>
        </w:rPr>
        <w:t>名技术人员常驻现场进行支撑，响应系统配置变更需求，并遵守甲方的考勤制度；不符合甲方要求的，乙方有权要求乙方更换常驻技术人员。乙方自行承担常驻技术人员的住宿及餐饮等费用。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9.6其他：见合同附件。</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第十条 技术支持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10.1乙方需提供设备的全套技术文件。文档内容须覆盖承建人所提供软件功能使用及管理应用。如乙方提供的项目/软件文档错误或不达要求，须无条件根据甲方提出细化要求予以补充或修订。文档资料包含但不限于以下内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10.2系统需求分析文档；</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10.3系统设计说明书，包含软件结构图、部署视图、系统接口调用视图、各类设计的详细说明等；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10.4数据结构和数据字典说明，包含系统涉及的所有字段定义的解释及数据关联关系说明；</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10.5系统接口手册，包含系统提供或定制开发的接口类库、说明、示例代码等；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10.6用户操作手册，包含系统所有功能、页面、关键页面信息项的操作指引及信息说明等；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10.7系统运行维护手册，包含系统的安装、升级、迁移、维护等方面内容的说明；</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10.8平台技术使用手册。</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第十一条 技术升级和优惠条件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11.1乙方对所供应用软件开发服务在【包修】期限内提供免费的软件升级服务，并在升级后为甲方提供免费的培训。</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11.2乙方承诺升级后的软件没有版权及权属争议等其它问题，并且保证到下次升级时可正常使用。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11.3本次合同范围，即本项目范围，对于系统今后新增设备和软件的所有集成，乙方全部免收集成费。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11.4乙方所供货物要求实行终身license授权许可，若涉及到license更新操作，需在到期前7日安排技术人员现场更新，并由甲方确认授权生效。</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11.5甲方在本系统扩容时，乙方提供的同类软件系统及相关服务等报价应不高于本项目的中标价格、折扣，且不高于当时市场价格。</w:t>
      </w:r>
    </w:p>
    <w:p>
      <w:pPr>
        <w:keepNext w:val="0"/>
        <w:snapToGrid w:val="0"/>
        <w:ind w:firstLine="480" w:firstLineChars="200"/>
        <w:rPr>
          <w:rFonts w:hint="default"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11.6 该项目的知识产权归买卖双方共有，包括但不局限于版权、创造性成果权、著作权等方面。</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11.7其他见合同附件。</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第十二条 技术和资料的保密事项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12.1甲、乙双方同意，在任何时候，不论是合同有效期内还是合同解除以后，对任何一方提供的秘密信息或双方共有的秘密信息均实行严格保密。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12.2甲方在未得到乙方许可前提下，不得向任何第三方透露乙方提供的软件及所附全部文档和资料的商业秘密和技术秘密。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12.3乙方有责任对技术开发中涉及的甲方商业情报、技术情报及相关文档资料保密。未得到甲方书面许可前提下，不得向任何第三方透露软件开发或使用过程中所涉及的甲方的商业秘密和技术秘密。</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第十三条 双方责任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13.1甲方责任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（1）甲方需为乙方提供项目实施便利，积极配合乙方进行项目实施安装及调试；</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（2）甲方需为乙方协调各方关系提供便利；</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（3）甲方应指派管理人员、技术人员参加项目系统安装、系统测试和其它工作；</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（4）因乙方未按合同质量或要求实施本项目建设或交付产品，甲方有权要求乙方调换项目服务团队成员或拒收产品、解除合同，甲方的该项权利不因产品在启运前通过甲方的验收而受到任何限制或影响。</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13.2乙方责任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（1）乙方承诺：除响应文件及后续书面承诺标明的偏离外，乙方提供的产品和服务均满足采购文件要求；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（2）乙方应按照采购文件、响应文件、乙方后续书面承诺的技术要求以及甲、乙双方协定补充文件，提供合格的产品，并保证通过甲方的验收；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（3）在系统安装、调试、开发过程中，乙方须保证不影响甲方现有系统的正常运行和现有业务的正常发展；</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4）乙方保证对提供给甲方的产品享有合法权利，在系统安装、调试、开发过程中不非法使用第三方软件。不侵犯第三人含知识产权在内的任何合法权益（包括但不限于专利权、版权、对未申请专利的技术秘密和商业秘密的权利等），且不存在其他权属纠纷。否则，甲方有权立即解除合同，乙方应承担甲方由此遭受的全部损失；</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（5）乙方在产品安装、调试、开发过程中须派驻足够的有经验的工程技术人员到施工现场进行安装指导，在甲方的组织安排下负责完成系统调试、现场性能试验和验收，服从甲方的现场安排；</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（6）乙方按照要求提供产品合格证书、产品检测记录、调试记录等技术资料；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（7）乙方负责与硬件设备相配套的软件厂家、其它设备的制造商、第三方软件厂家和售后服务部门等联系沟通，完成安装、调试，配置相关的产品；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（8）乙方负责配合相关厂家，定期检查系统、及时排查系统故障；</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（9）乙方未按合同规定的质量要求交付产品，甲方拒收时，乙方应承担合同的违约责任；若乙方迟延履行，甲方可书面确定一个合理的期限，如乙方仍不能履行，按乙方不履行合同处理；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（10）本合同所有系统开发，都必须由响应文件和谈判时做出的书面承诺中明确的制造商承担，否则将按乙方不履行合同处理；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（11）乙方保证不在软件中对功能、性能、容量进行人为限制，不得含有陷阱、逻辑炸弹、后门等非法程序代码；</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12）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（13）乙方应为其人员（含派驻甲方的技术工程师）提供相应劳动保护，非因甲方原因，乙方人员遭受人身、财产损害，或乙方人员造成甲方、第三人人身财产损害的，由乙方承担全部责任；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（14）乙方负责甲方的软件的安装部署、调试、系统集成工作；</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（15）乙方与甲方双方共享本项目二次开发部分的知识产权，乙方向甲方完全开放所有二次开发源代码及相关文档；</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（16）乙方须保证提供的软件能够完整、平稳的运行在国内外各操作系统；</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17）乙方应当按照合同约定履行义务，完成本项目。乙方不得向他人转让本项目，也不得将本项目分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（18）乙方其他义务见合同附件。</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第十四条 违约责任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14.1乙方承担本合同约定事项的违约责任，且不因设备或软件是由第三方制造或开发设计等因素而受到影响。</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14.2由于乙方提供的产品不符合采购文件及本合同第四条所规定的要求时，甲方有权要求乙方更换，如果乙方产品在更换后仍不符合要求，甲方有权解除合同，乙方应支付合同总额 </w:t>
      </w:r>
      <w:permStart w:id="10" w:edGrp="everyone"/>
      <w:r>
        <w:rPr>
          <w:rFonts w:hint="eastAsia" w:ascii="方正仿宋_GBK" w:hAnsi="方正仿宋_GBK" w:eastAsia="方正仿宋_GBK" w:cs="方正仿宋_GBK"/>
          <w:kern w:val="0"/>
          <w:sz w:val="24"/>
          <w:szCs w:val="22"/>
          <w:lang w:val="en-US" w:eastAsia="zh-CN"/>
        </w:rPr>
        <w:t xml:space="preserve"> 20 </w:t>
      </w:r>
      <w:permEnd w:id="10"/>
      <w:r>
        <w:rPr>
          <w:rFonts w:hint="eastAsia" w:ascii="方正仿宋_GBK" w:hAnsi="方正仿宋_GBK" w:eastAsia="方正仿宋_GBK" w:cs="方正仿宋_GBK"/>
          <w:kern w:val="0"/>
          <w:sz w:val="24"/>
          <w:szCs w:val="22"/>
          <w:lang w:val="en-US" w:eastAsia="zh-CN"/>
        </w:rPr>
        <w:t>%的违约金给甲方。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14.3若甲方已有系统是由乙方提供的，则乙方应按甲方要求进行技术服务，保证业务的正常运营和系统的正常运行，否则甲方有权解除本合同。</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14.4在合同规定的包修期内，如果乙方维修售后服务不及时，产品质量不稳定，则甲方有权酌情扣除质量保证金，并追究乙方赔偿损失的责任。质保金不足的，上述情况每发生一次，乙方按合同总价5%向甲方支付违约金。</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14.5在合同规定的包修期内，如因乙方原因造成甲方其他经济损失的，乙方须承担赔偿损失的责任。</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14.6甲方有权根据当地质检部门出具的检验报告，就乙方提供的产品及系统质量问题向乙方提出索赔，检测费用由乙方承担。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14.7如果在甲方发出索赔通知后20日内，乙方未作书面答复，视为乙方接受索赔要求，乙方应当立即支付赔偿金。</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14.8乙方未按本合同第九条、十条约定提供合格的服务，甲方在行使上述权利的同时，有权向第三方寻求该服务，由此产生的费用由乙方承担。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14.9因乙方违约导致甲方解除合同的，在乙方应将甲方已付的所有合同价款及利息退还甲方，此后，甲方将相关系统成果及资料退还乙方，乙方应支付甲方合同总价款的 </w:t>
      </w:r>
      <w:permStart w:id="11" w:edGrp="everyone"/>
      <w:r>
        <w:rPr>
          <w:rFonts w:hint="eastAsia" w:ascii="方正仿宋_GBK" w:hAnsi="方正仿宋_GBK" w:eastAsia="方正仿宋_GBK" w:cs="方正仿宋_GBK"/>
          <w:kern w:val="0"/>
          <w:sz w:val="24"/>
          <w:szCs w:val="22"/>
          <w:lang w:val="en-US" w:eastAsia="zh-CN"/>
        </w:rPr>
        <w:t xml:space="preserve"> 20 </w:t>
      </w:r>
      <w:permEnd w:id="11"/>
      <w:r>
        <w:rPr>
          <w:rFonts w:hint="eastAsia" w:ascii="方正仿宋_GBK" w:hAnsi="方正仿宋_GBK" w:eastAsia="方正仿宋_GBK" w:cs="方正仿宋_GBK"/>
          <w:kern w:val="0"/>
          <w:sz w:val="24"/>
          <w:szCs w:val="22"/>
          <w:lang w:val="en-US" w:eastAsia="zh-CN"/>
        </w:rPr>
        <w:t>%作为违约金，并赔偿因此给甲方造成的全部损失。</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14.10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 </w:t>
      </w:r>
      <w:permStart w:id="12" w:edGrp="everyone"/>
      <w:r>
        <w:rPr>
          <w:rFonts w:hint="eastAsia" w:ascii="方正仿宋_GBK" w:hAnsi="方正仿宋_GBK" w:eastAsia="方正仿宋_GBK" w:cs="方正仿宋_GBK"/>
          <w:kern w:val="0"/>
          <w:sz w:val="24"/>
          <w:szCs w:val="22"/>
          <w:lang w:val="en-US" w:eastAsia="zh-CN"/>
        </w:rPr>
        <w:t xml:space="preserve"> 5 </w:t>
      </w:r>
      <w:permEnd w:id="12"/>
      <w:r>
        <w:rPr>
          <w:rFonts w:hint="eastAsia" w:ascii="方正仿宋_GBK" w:hAnsi="方正仿宋_GBK" w:eastAsia="方正仿宋_GBK" w:cs="方正仿宋_GBK"/>
          <w:kern w:val="0"/>
          <w:sz w:val="24"/>
          <w:szCs w:val="22"/>
          <w:lang w:val="en-US" w:eastAsia="zh-CN"/>
        </w:rPr>
        <w:t xml:space="preserve">‰作为违约金；如累计超过 </w:t>
      </w:r>
      <w:permStart w:id="13" w:edGrp="everyone"/>
      <w:r>
        <w:rPr>
          <w:rFonts w:hint="eastAsia" w:ascii="方正仿宋_GBK" w:hAnsi="方正仿宋_GBK" w:eastAsia="方正仿宋_GBK" w:cs="方正仿宋_GBK"/>
          <w:kern w:val="0"/>
          <w:sz w:val="24"/>
          <w:szCs w:val="22"/>
          <w:lang w:val="en-US" w:eastAsia="zh-CN"/>
        </w:rPr>
        <w:t xml:space="preserve"> 5 </w:t>
      </w:r>
      <w:permEnd w:id="13"/>
      <w:r>
        <w:rPr>
          <w:rFonts w:hint="eastAsia" w:ascii="方正仿宋_GBK" w:hAnsi="方正仿宋_GBK" w:eastAsia="方正仿宋_GBK" w:cs="方正仿宋_GBK"/>
          <w:kern w:val="0"/>
          <w:sz w:val="24"/>
          <w:szCs w:val="22"/>
          <w:lang w:val="en-US" w:eastAsia="zh-CN"/>
        </w:rPr>
        <w:t>次，则甲方有权终止本合同。</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14.11乙方将本项目转让给他人的，将本项目分解后分别转让给他人的，违反本法规定将中标项目的部分主体、关键性工作分包给他人的，或者分包人再次分包的，转让、分包无效，并视为乙方违约，乙方应向甲方赔偿由此而给甲方造成的全部损失，此外，甲方有权没收乙方全部的履约保证金（即合同总价的 </w:t>
      </w:r>
      <w:permStart w:id="14" w:edGrp="everyone"/>
      <w:r>
        <w:rPr>
          <w:rFonts w:hint="eastAsia" w:ascii="方正仿宋_GBK" w:hAnsi="方正仿宋_GBK" w:eastAsia="方正仿宋_GBK" w:cs="方正仿宋_GBK"/>
          <w:kern w:val="0"/>
          <w:sz w:val="24"/>
          <w:szCs w:val="22"/>
          <w:lang w:val="en-US" w:eastAsia="zh-CN"/>
        </w:rPr>
        <w:t xml:space="preserve"> 10 </w:t>
      </w:r>
      <w:permEnd w:id="14"/>
      <w:r>
        <w:rPr>
          <w:rFonts w:hint="eastAsia" w:ascii="方正仿宋_GBK" w:hAnsi="方正仿宋_GBK" w:eastAsia="方正仿宋_GBK" w:cs="方正仿宋_GBK"/>
          <w:kern w:val="0"/>
          <w:sz w:val="24"/>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14.12由于乙方的原因导致甲方业务数据错误或业务数据丢失，给甲方造成损失的，乙方应赔偿甲方因此遭受的全部损失，如出现一次业务数据错误或业务数据丢失，甲方有权开据处罚单给乙方，并直接从合同款中扣除合同总额 </w:t>
      </w:r>
      <w:permStart w:id="15" w:edGrp="everyone"/>
      <w:r>
        <w:rPr>
          <w:rFonts w:hint="eastAsia" w:ascii="方正仿宋_GBK" w:hAnsi="方正仿宋_GBK" w:eastAsia="方正仿宋_GBK" w:cs="方正仿宋_GBK"/>
          <w:kern w:val="0"/>
          <w:sz w:val="24"/>
          <w:szCs w:val="22"/>
          <w:lang w:val="en-US" w:eastAsia="zh-CN"/>
        </w:rPr>
        <w:t xml:space="preserve"> 1 </w:t>
      </w:r>
      <w:permEnd w:id="15"/>
      <w:r>
        <w:rPr>
          <w:rFonts w:hint="eastAsia" w:ascii="方正仿宋_GBK" w:hAnsi="方正仿宋_GBK" w:eastAsia="方正仿宋_GBK" w:cs="方正仿宋_GBK"/>
          <w:kern w:val="0"/>
          <w:sz w:val="24"/>
          <w:szCs w:val="22"/>
          <w:lang w:val="en-US" w:eastAsia="zh-CN"/>
        </w:rPr>
        <w:t>%作为违约金。乙方软件含有陷阱、逻辑炸弹、后门等非法程序代码的，视为欺诈行为，甲方有权解除本合同，乙方按合同总价的三倍赔偿甲方。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14.13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 </w:t>
      </w:r>
      <w:permStart w:id="16" w:edGrp="everyone"/>
      <w:r>
        <w:rPr>
          <w:rFonts w:hint="eastAsia" w:ascii="方正仿宋_GBK" w:hAnsi="方正仿宋_GBK" w:eastAsia="方正仿宋_GBK" w:cs="方正仿宋_GBK"/>
          <w:kern w:val="0"/>
          <w:sz w:val="24"/>
          <w:szCs w:val="22"/>
          <w:lang w:val="en-US" w:eastAsia="zh-CN"/>
        </w:rPr>
        <w:t xml:space="preserve"> 1 </w:t>
      </w:r>
      <w:permEnd w:id="16"/>
      <w:r>
        <w:rPr>
          <w:rFonts w:hint="eastAsia" w:ascii="方正仿宋_GBK" w:hAnsi="方正仿宋_GBK" w:eastAsia="方正仿宋_GBK" w:cs="方正仿宋_GBK"/>
          <w:kern w:val="0"/>
          <w:sz w:val="24"/>
          <w:szCs w:val="22"/>
          <w:lang w:val="en-US" w:eastAsia="zh-CN"/>
        </w:rPr>
        <w:t>%作为违约金；如连续多个考核周期出现不达标的情况，则翻倍扣除，由甲方开据处罚单给乙方后，直接从合同应付款中扣除。</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第十五条 廉洁条款</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15.1双方应当共同遵守国家关于企业人员廉洁从业的规定，应通过正常合法的途径开展业务工作。</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15.2乙方及其股东、董事、监事、员工、代理方、顾问以企业或私人名义向甲方工作人员私下直接或间接赠送礼金、贵重礼品、有价证券，提供折扣、回扣、免费服务，或以其他方式变相提供不当利益的，应视为侵害甲方利益，同时构成对本合同的严重违约。乙方应对由此给甲方造成的直接和间接损失进行两倍赔偿，同时甲方有权停止向乙方支付应付款项。</w:t>
      </w:r>
      <w:r>
        <w:rPr>
          <w:rFonts w:hint="eastAsia" w:ascii="方正仿宋_GBK" w:hAnsi="方正仿宋_GBK" w:eastAsia="方正仿宋_GBK" w:cs="方正仿宋_GBK"/>
          <w:kern w:val="0"/>
          <w:sz w:val="24"/>
          <w:szCs w:val="22"/>
        </w:rPr>
        <w:t>如有违反，无论乙方是否实际获得利益，甲方均有权立即</w:t>
      </w:r>
      <w:r>
        <w:rPr>
          <w:rFonts w:hint="eastAsia" w:ascii="方正仿宋_GBK" w:hAnsi="方正仿宋_GBK" w:eastAsia="方正仿宋_GBK" w:cs="方正仿宋_GBK"/>
          <w:kern w:val="0"/>
          <w:sz w:val="24"/>
          <w:szCs w:val="22"/>
          <w:lang w:val="en-US" w:eastAsia="zh-CN"/>
        </w:rPr>
        <w:t>终止本合同且5年内不再与乙方进行任何合作</w:t>
      </w:r>
      <w:r>
        <w:rPr>
          <w:rFonts w:hint="eastAsia" w:ascii="方正仿宋_GBK" w:hAnsi="方正仿宋_GBK" w:eastAsia="方正仿宋_GBK" w:cs="方正仿宋_GBK"/>
          <w:kern w:val="0"/>
          <w:sz w:val="24"/>
          <w:szCs w:val="22"/>
        </w:rPr>
        <w:t>。</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15.3如甲方人员违反上述约定私下向乙方业务人员索贿或遇甲方人员刁难，乙方有义务拒绝并向甲方相关部门举报。</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第十六条 不可抗力</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16.1</w:t>
      </w:r>
      <w:r>
        <w:rPr>
          <w:rFonts w:hint="eastAsia" w:ascii="方正仿宋_GBK" w:hAnsi="方正仿宋_GBK" w:eastAsia="方正仿宋_GBK" w:cs="方正仿宋_GBK"/>
          <w:kern w:val="0"/>
          <w:sz w:val="24"/>
          <w:szCs w:val="22"/>
        </w:rPr>
        <w:t>本合同所称不可抗力是指地震、飓风、水灾、火灾等自然灾害、战争以及其他不能预见、不可避免且不能克服的客观情况。但发生在中国大陆区域外的罢工、示威、游行、战争等军事事件、政治事件，均不应当被作为本合同所称的不可抗力。</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16.2</w:t>
      </w:r>
      <w:r>
        <w:rPr>
          <w:rFonts w:hint="eastAsia" w:ascii="方正仿宋_GBK" w:hAnsi="方正仿宋_GBK" w:eastAsia="方正仿宋_GBK" w:cs="方正仿宋_GBK"/>
          <w:kern w:val="0"/>
          <w:sz w:val="24"/>
          <w:szCs w:val="22"/>
        </w:rPr>
        <w:t>一方因不可抗力不能履行合同的，受不可抗力影响的一方应在不可抗力发生之日起五日内以书面形式通知对方</w:t>
      </w:r>
      <w:r>
        <w:rPr>
          <w:rFonts w:hint="eastAsia" w:ascii="方正仿宋_GBK" w:hAnsi="方正仿宋_GBK" w:eastAsia="方正仿宋_GBK" w:cs="方正仿宋_GBK"/>
          <w:kern w:val="0"/>
          <w:sz w:val="24"/>
          <w:szCs w:val="22"/>
          <w:lang w:eastAsia="zh-CN"/>
        </w:rPr>
        <w:t>，</w:t>
      </w:r>
      <w:r>
        <w:rPr>
          <w:rFonts w:hint="eastAsia" w:ascii="方正仿宋_GBK" w:hAnsi="方正仿宋_GBK" w:eastAsia="方正仿宋_GBK" w:cs="方正仿宋_GBK"/>
          <w:b w:val="0"/>
          <w:bCs/>
          <w:sz w:val="24"/>
          <w:szCs w:val="24"/>
          <w:u w:val="none"/>
          <w:lang w:val="en-US" w:eastAsia="zh-CN"/>
        </w:rPr>
        <w:t>并在10个工作日内提供事件详情以及有关部门出具的有效证明文件</w:t>
      </w:r>
      <w:r>
        <w:rPr>
          <w:rFonts w:hint="eastAsia" w:ascii="方正仿宋_GBK" w:hAnsi="方正仿宋_GBK" w:eastAsia="方正仿宋_GBK" w:cs="方正仿宋_GBK"/>
          <w:kern w:val="0"/>
          <w:sz w:val="24"/>
          <w:szCs w:val="22"/>
        </w:rPr>
        <w:t>。受不可抗力影响的一方可据此免除全部或部分责任。</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16.3</w:t>
      </w:r>
      <w:r>
        <w:rPr>
          <w:rFonts w:hint="eastAsia" w:ascii="方正仿宋_GBK" w:hAnsi="方正仿宋_GBK" w:eastAsia="方正仿宋_GBK" w:cs="方正仿宋_GBK"/>
          <w:kern w:val="0"/>
          <w:sz w:val="24"/>
          <w:szCs w:val="22"/>
        </w:rPr>
        <w:t>不可抗力发生后，受不可抗力影响的一方应采取合理措施，继续履行合同，减少损失发生。如</w:t>
      </w:r>
      <w:r>
        <w:rPr>
          <w:rFonts w:hint="eastAsia" w:ascii="方正仿宋_GBK" w:hAnsi="方正仿宋_GBK" w:eastAsia="方正仿宋_GBK" w:cs="方正仿宋_GBK"/>
          <w:kern w:val="0"/>
          <w:sz w:val="24"/>
          <w:szCs w:val="22"/>
          <w:lang w:val="en-US" w:eastAsia="zh-CN"/>
        </w:rPr>
        <w:t>16.1</w:t>
      </w:r>
      <w:r>
        <w:rPr>
          <w:rFonts w:hint="eastAsia" w:ascii="方正仿宋_GBK" w:hAnsi="方正仿宋_GBK" w:eastAsia="方正仿宋_GBK" w:cs="方正仿宋_GBK"/>
          <w:kern w:val="0"/>
          <w:sz w:val="24"/>
          <w:szCs w:val="22"/>
        </w:rPr>
        <w:t>条款中的不可抗力事件阻碍本合同任何一方履行其在本合同项下的义务，则履行该等义务的时间应予以延长，延长时间相等于该等事件影响的时间。</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第十七条 通知和送达</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方正仿宋_GBK" w:hAnsi="方正仿宋_GBK" w:eastAsia="方正仿宋_GBK" w:cs="方正仿宋_GBK"/>
          <w:kern w:val="0"/>
          <w:sz w:val="24"/>
          <w:szCs w:val="22"/>
        </w:rPr>
      </w:pPr>
      <w:r>
        <w:rPr>
          <w:rFonts w:hint="eastAsia" w:ascii="方正仿宋_GBK" w:hAnsi="方正仿宋_GBK" w:eastAsia="方正仿宋_GBK" w:cs="方正仿宋_GBK"/>
          <w:kern w:val="0"/>
          <w:sz w:val="24"/>
          <w:szCs w:val="22"/>
          <w:lang w:val="en-US" w:eastAsia="zh-CN"/>
        </w:rPr>
        <w:t>17.1</w:t>
      </w:r>
      <w:r>
        <w:rPr>
          <w:rFonts w:hint="eastAsia" w:ascii="方正仿宋_GBK" w:hAnsi="方正仿宋_GBK" w:eastAsia="方正仿宋_GBK" w:cs="方正仿宋_GBK"/>
          <w:kern w:val="0"/>
          <w:sz w:val="24"/>
          <w:szCs w:val="22"/>
        </w:rPr>
        <w:t>各方在本合同列示的地址均为各自的送达地址；任何一方的送达地址发生变化的，均应当在送达地址发生变化之日起3个工作日内书面通知对方。各方在向对方列示的任一送达地址送达有关文书时，如果发生收件人拒绝签收或其它无法送达情形的，则从发件人寄出文书之日起视为已经送达对方。各方同意，如因本合同履行产生争议，本合同载明的联系地址可作为诉讼（含仲裁）所有程序中相关法律文书的有效送达地址，按该联系信息送达即视为有效送达。各方之间的通知及往来信函应发送至下列地址、电子邮箱：</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甲方：【】</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地址：【】</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联系人：【】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电话：【】</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电子邮箱：【】</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乙方：【】</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地址：【】</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联系人：【】</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电话：【 】</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hint="eastAsia" w:ascii="仿宋" w:hAnsi="仿宋" w:eastAsia="仿宋" w:cs="仿宋"/>
          <w:kern w:val="0"/>
          <w:sz w:val="24"/>
          <w:szCs w:val="22"/>
        </w:rPr>
      </w:pPr>
      <w:r>
        <w:rPr>
          <w:rFonts w:hint="eastAsia" w:ascii="仿宋" w:hAnsi="仿宋" w:eastAsia="仿宋" w:cs="仿宋"/>
          <w:kern w:val="0"/>
          <w:sz w:val="24"/>
          <w:szCs w:val="22"/>
        </w:rPr>
        <w:t>电子邮箱：【】</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第十八条 法律适用与争议解决</w:t>
      </w:r>
    </w:p>
    <w:p>
      <w:pPr>
        <w:keepNext w:val="0"/>
        <w:keepLines w:val="0"/>
        <w:pageBreakBefore w:val="0"/>
        <w:tabs>
          <w:tab w:val="left" w:pos="0"/>
          <w:tab w:val="left" w:pos="1155"/>
        </w:tabs>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18.1</w:t>
      </w:r>
      <w:r>
        <w:rPr>
          <w:rFonts w:hint="eastAsia" w:ascii="方正仿宋_GBK" w:hAnsi="方正仿宋_GBK" w:eastAsia="方正仿宋_GBK" w:cs="方正仿宋_GBK"/>
          <w:sz w:val="24"/>
          <w:szCs w:val="24"/>
        </w:rPr>
        <w:t>凡由执行本合同引起或与合同有关的争议，均应通过友好协商解决；协商不成的，双方均有权向甲方所在地有管辖权的人民法院提起诉讼。</w:t>
      </w:r>
    </w:p>
    <w:p>
      <w:pPr>
        <w:keepNext w:val="0"/>
        <w:keepLines w:val="0"/>
        <w:pageBreakBefore w:val="0"/>
        <w:tabs>
          <w:tab w:val="left" w:pos="0"/>
          <w:tab w:val="left" w:pos="1155"/>
        </w:tabs>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18.2</w:t>
      </w:r>
      <w:r>
        <w:rPr>
          <w:rFonts w:hint="eastAsia" w:ascii="方正仿宋_GBK" w:hAnsi="方正仿宋_GBK" w:eastAsia="方正仿宋_GBK" w:cs="方正仿宋_GBK"/>
          <w:sz w:val="24"/>
          <w:szCs w:val="24"/>
        </w:rPr>
        <w:t>诉讼期间，双方继续享有各自在本合同项下的其它权利并应继续履行其在本合同下的相应义务。</w:t>
      </w:r>
    </w:p>
    <w:p>
      <w:pPr>
        <w:keepNext w:val="0"/>
        <w:keepLines w:val="0"/>
        <w:pageBreakBefore w:val="0"/>
        <w:tabs>
          <w:tab w:val="left" w:pos="0"/>
          <w:tab w:val="left" w:pos="1155"/>
        </w:tabs>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18.3因乙方原因，导致</w:t>
      </w:r>
      <w:r>
        <w:rPr>
          <w:rFonts w:hint="eastAsia" w:ascii="方正仿宋_GBK" w:hAnsi="方正仿宋_GBK" w:eastAsia="方正仿宋_GBK" w:cs="方正仿宋_GBK"/>
          <w:sz w:val="24"/>
          <w:szCs w:val="24"/>
        </w:rPr>
        <w:t>甲方为实现本合同</w:t>
      </w:r>
      <w:r>
        <w:rPr>
          <w:rFonts w:hint="eastAsia" w:ascii="方正仿宋_GBK" w:hAnsi="方正仿宋_GBK" w:eastAsia="方正仿宋_GBK" w:cs="方正仿宋_GBK"/>
          <w:sz w:val="24"/>
          <w:szCs w:val="24"/>
          <w:lang w:val="en-US" w:eastAsia="zh-CN"/>
        </w:rPr>
        <w:t>目的额外</w:t>
      </w:r>
      <w:r>
        <w:rPr>
          <w:rFonts w:hint="eastAsia" w:ascii="方正仿宋_GBK" w:hAnsi="方正仿宋_GBK" w:eastAsia="方正仿宋_GBK" w:cs="方正仿宋_GBK"/>
          <w:sz w:val="24"/>
          <w:szCs w:val="24"/>
        </w:rPr>
        <w:t>发生的各项费用（包括但不限于诉讼费、保全费、保全担保费、仲裁费、执行费、执行保全担保费、评估费、拍卖费、公证费、公告费、律师费、调查费、差旅费和其他费用）均由乙方承担。</w:t>
      </w:r>
    </w:p>
    <w:p>
      <w:pPr>
        <w:keepNext w:val="0"/>
        <w:keepLines w:val="0"/>
        <w:pageBreakBefore w:val="0"/>
        <w:tabs>
          <w:tab w:val="left" w:pos="0"/>
          <w:tab w:val="left" w:pos="1155"/>
        </w:tabs>
        <w:kinsoku/>
        <w:wordWrap/>
        <w:overflowPunct/>
        <w:topLinePunct w:val="0"/>
        <w:autoSpaceDE/>
        <w:autoSpaceDN/>
        <w:bidi w:val="0"/>
        <w:snapToGrid w:val="0"/>
        <w:spacing w:line="24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18.4</w:t>
      </w:r>
      <w:r>
        <w:rPr>
          <w:rFonts w:hint="eastAsia" w:ascii="方正仿宋_GBK" w:hAnsi="方正仿宋_GBK" w:eastAsia="方正仿宋_GBK" w:cs="方正仿宋_GBK"/>
          <w:sz w:val="24"/>
          <w:szCs w:val="24"/>
        </w:rPr>
        <w:t>本合同的订立、生效、履行、解释、修改、争议解决和终止等事项适用中华人民共和国大陆地区现行有效的法律法规。</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第十九条 合同生效及其他</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 xml:space="preserve">19.1合同的生效期：本合同一式  肆 份（甲、乙双方各 </w:t>
      </w:r>
      <w:permStart w:id="17" w:edGrp="everyone"/>
      <w:r>
        <w:rPr>
          <w:rFonts w:hint="eastAsia" w:ascii="方正仿宋_GBK" w:hAnsi="方正仿宋_GBK" w:eastAsia="方正仿宋_GBK" w:cs="方正仿宋_GBK"/>
          <w:kern w:val="0"/>
          <w:sz w:val="24"/>
          <w:szCs w:val="22"/>
          <w:lang w:val="en-US" w:eastAsia="zh-CN"/>
        </w:rPr>
        <w:t xml:space="preserve"> 贰 </w:t>
      </w:r>
      <w:permEnd w:id="17"/>
      <w:r>
        <w:rPr>
          <w:rFonts w:hint="eastAsia" w:ascii="方正仿宋_GBK" w:hAnsi="方正仿宋_GBK" w:eastAsia="方正仿宋_GBK" w:cs="方正仿宋_GBK"/>
          <w:kern w:val="0"/>
          <w:sz w:val="24"/>
          <w:szCs w:val="22"/>
          <w:lang w:val="en-US" w:eastAsia="zh-CN"/>
        </w:rPr>
        <w:t>份），自甲、乙双方盖章之日起生效。</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19.2本合同所有附件为本合同不可分割的组成部分，与合同正文有同等的法律效力：</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（1）乙方提交的响应函；</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（2）甲方的采购文件、乙方的响应文件、乙方的响应报价表、谈判时乙方做出的书面承诺及其它补充修改的部分；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（3）在执行本合同期间，甲、乙双方采用书面方式的通知。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19.3本合同与上述文件如对相同内容有不同约定，且约定内容有冲突的，除另有特别约定外，依下列原则处理：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（1）招响应文件实质性条款优先于合同条款；</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（2）在后文件的效力优先于在先文件的效力。</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19.4甲、乙双方对合同条款的理解有争议时，应当按照合同的有关条款、合同的目的、交易习惯以及诚实信用原则，确定该条款的真实含义。</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19.5对本合同的任何修改和增补，以双方加盖公章的书面文件为准。</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19.6乙方保证对在讨论、签订、履行本合同过程中所获悉的属于甲方的且无法自公开渠道获得的文件及资料（包括具体价格、交易方式、人员信息、公司计划、运营活动、财务信息、技术信息、经营信息及其他商业秘密）予以保密。未经甲方书面同意，乙方不得向任何第三方泄露该商业秘密的全部或部分内容。本条约定的保密义务一直有效，直至相关保密信息已合法在社会上公开。如因乙方原因发生保密信息泄漏的情况，乙方应向甲方支付合同金额20% 的违约金，并赔偿由此给甲方造成的全部损失。</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19.7本合同中的未尽事宜，甲、乙双方协商解决，并按《中华人民共和国民法典》调整。</w:t>
      </w:r>
    </w:p>
    <w:p>
      <w:pPr>
        <w:widowControl/>
        <w:snapToGrid w:val="0"/>
        <w:spacing w:before="0" w:beforeLines="0" w:line="240" w:lineRule="auto"/>
        <w:ind w:firstLine="482" w:firstLineChars="200"/>
        <w:jc w:val="left"/>
        <w:rPr>
          <w:rFonts w:hint="eastAsia" w:ascii="方正仿宋_GBK" w:hAnsi="方正仿宋_GBK" w:eastAsia="方正仿宋_GBK" w:cs="方正仿宋_GBK"/>
          <w:b/>
          <w:bCs/>
          <w:kern w:val="0"/>
          <w:sz w:val="24"/>
          <w:szCs w:val="24"/>
          <w:lang w:val="en-US" w:eastAsia="zh-CN"/>
        </w:rPr>
      </w:pPr>
      <w:r>
        <w:rPr>
          <w:rFonts w:hint="eastAsia" w:ascii="方正仿宋_GBK" w:hAnsi="方正仿宋_GBK" w:eastAsia="方正仿宋_GBK" w:cs="方正仿宋_GBK"/>
          <w:b/>
          <w:bCs/>
          <w:kern w:val="0"/>
          <w:sz w:val="24"/>
          <w:szCs w:val="24"/>
          <w:lang w:val="en-US" w:eastAsia="zh-CN"/>
        </w:rPr>
        <w:t>第二十条 附件列表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附件1.价格表</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附件2.技术需求书</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附件3.谈判时乙方做出的书面承诺</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附件4.安全保密协议</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方正仿宋_GBK" w:hAnsi="方正仿宋_GBK" w:eastAsia="方正仿宋_GBK" w:cs="方正仿宋_GBK"/>
          <w:kern w:val="0"/>
          <w:sz w:val="24"/>
          <w:szCs w:val="22"/>
          <w:lang w:val="en-US" w:eastAsia="zh-CN"/>
        </w:rPr>
      </w:pPr>
      <w:r>
        <w:rPr>
          <w:rFonts w:hint="eastAsia" w:ascii="方正仿宋_GBK" w:hAnsi="方正仿宋_GBK" w:eastAsia="方正仿宋_GBK" w:cs="方正仿宋_GBK"/>
          <w:kern w:val="0"/>
          <w:sz w:val="24"/>
          <w:szCs w:val="22"/>
          <w:lang w:val="en-US" w:eastAsia="zh-CN"/>
        </w:rPr>
        <w:t>（以下无正文）</w:t>
      </w:r>
    </w:p>
    <w:p>
      <w:pPr>
        <w:widowControl/>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pPr>
        <w:snapToGrid w:val="0"/>
        <w:spacing w:line="360" w:lineRule="auto"/>
        <w:jc w:val="center"/>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签 署 页</w:t>
      </w:r>
    </w:p>
    <w:tbl>
      <w:tblPr>
        <w:tblStyle w:val="53"/>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noWrap w:val="0"/>
            <w:vAlign w:val="center"/>
          </w:tcPr>
          <w:p>
            <w:pPr>
              <w:snapToGrid w:val="0"/>
              <w:spacing w:line="360" w:lineRule="auto"/>
              <w:jc w:val="left"/>
              <w:rPr>
                <w:rFonts w:hint="eastAsia" w:ascii="方正仿宋_GBK" w:hAnsi="方正仿宋_GBK" w:eastAsia="方正仿宋_GBK" w:cs="方正仿宋_GBK"/>
                <w:sz w:val="24"/>
              </w:rPr>
            </w:pPr>
          </w:p>
          <w:p>
            <w:pPr>
              <w:snapToGrid w:val="0"/>
              <w:spacing w:line="360" w:lineRule="auto"/>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w:t>
            </w:r>
            <w:permStart w:id="18" w:edGrp="everyone"/>
            <w:r>
              <w:rPr>
                <w:rFonts w:hint="eastAsia" w:ascii="方正仿宋_GBK" w:hAnsi="方正仿宋_GBK" w:eastAsia="方正仿宋_GBK" w:cs="方正仿宋_GBK"/>
                <w:sz w:val="24"/>
              </w:rPr>
              <w:t xml:space="preserve"> </w:t>
            </w:r>
            <w:permEnd w:id="18"/>
          </w:p>
          <w:p>
            <w:pPr>
              <w:snapToGrid w:val="0"/>
              <w:spacing w:line="360" w:lineRule="auto"/>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（盖章）     </w:t>
            </w:r>
          </w:p>
          <w:p>
            <w:pPr>
              <w:snapToGrid w:val="0"/>
              <w:spacing w:line="360" w:lineRule="auto"/>
              <w:jc w:val="left"/>
              <w:rPr>
                <w:rFonts w:hint="eastAsia" w:ascii="方正仿宋_GBK" w:hAnsi="方正仿宋_GBK" w:eastAsia="方正仿宋_GBK" w:cs="方正仿宋_GBK"/>
                <w:sz w:val="24"/>
              </w:rPr>
            </w:pPr>
          </w:p>
        </w:tc>
        <w:tc>
          <w:tcPr>
            <w:tcW w:w="4320" w:type="dxa"/>
            <w:noWrap w:val="0"/>
            <w:vAlign w:val="center"/>
          </w:tcPr>
          <w:p>
            <w:pPr>
              <w:snapToGrid w:val="0"/>
              <w:spacing w:line="360" w:lineRule="auto"/>
              <w:jc w:val="left"/>
              <w:rPr>
                <w:rFonts w:hint="eastAsia" w:ascii="方正仿宋_GBK" w:hAnsi="方正仿宋_GBK" w:eastAsia="方正仿宋_GBK" w:cs="方正仿宋_GBK"/>
                <w:sz w:val="24"/>
              </w:rPr>
            </w:pPr>
          </w:p>
          <w:p>
            <w:pPr>
              <w:snapToGrid w:val="0"/>
              <w:spacing w:line="360" w:lineRule="auto"/>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w:t>
            </w:r>
            <w:permStart w:id="19" w:edGrp="everyone"/>
            <w:r>
              <w:rPr>
                <w:rFonts w:hint="eastAsia" w:ascii="方正仿宋_GBK" w:hAnsi="方正仿宋_GBK" w:eastAsia="方正仿宋_GBK" w:cs="方正仿宋_GBK"/>
                <w:sz w:val="24"/>
              </w:rPr>
              <w:t xml:space="preserve">  </w:t>
            </w:r>
            <w:permEnd w:id="19"/>
            <w:r>
              <w:rPr>
                <w:rFonts w:hint="eastAsia" w:ascii="方正仿宋_GBK" w:hAnsi="方正仿宋_GBK" w:eastAsia="方正仿宋_GBK" w:cs="方正仿宋_GBK"/>
                <w:sz w:val="24"/>
              </w:rPr>
              <w:t xml:space="preserve"> </w:t>
            </w:r>
          </w:p>
          <w:p>
            <w:pPr>
              <w:snapToGrid w:val="0"/>
              <w:spacing w:line="360" w:lineRule="auto"/>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（盖章）</w:t>
            </w:r>
          </w:p>
          <w:p>
            <w:pPr>
              <w:snapToGrid w:val="0"/>
              <w:spacing w:line="360" w:lineRule="auto"/>
              <w:jc w:val="left"/>
              <w:rPr>
                <w:rFonts w:hint="eastAsia" w:ascii="方正仿宋_GBK" w:hAnsi="方正仿宋_GBK" w:eastAsia="方正仿宋_GBK" w:cs="方正仿宋_GBK"/>
                <w:sz w:val="24"/>
              </w:rPr>
            </w:pPr>
          </w:p>
        </w:tc>
      </w:tr>
      <w:tr>
        <w:tblPrEx>
          <w:tblCellMar>
            <w:top w:w="0" w:type="dxa"/>
            <w:left w:w="108" w:type="dxa"/>
            <w:bottom w:w="0" w:type="dxa"/>
            <w:right w:w="108" w:type="dxa"/>
          </w:tblCellMar>
        </w:tblPrEx>
        <w:trPr>
          <w:jc w:val="center"/>
        </w:trPr>
        <w:tc>
          <w:tcPr>
            <w:tcW w:w="4368" w:type="dxa"/>
            <w:noWrap w:val="0"/>
            <w:vAlign w:val="bottom"/>
          </w:tcPr>
          <w:p>
            <w:pPr>
              <w:pStyle w:val="381"/>
              <w:spacing w:line="36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法定代表人(负责人)或</w:t>
            </w:r>
          </w:p>
          <w:p>
            <w:pPr>
              <w:pStyle w:val="381"/>
              <w:spacing w:line="36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授权代表（签字）：</w:t>
            </w:r>
            <w:permStart w:id="20" w:edGrp="everyone"/>
            <w:r>
              <w:rPr>
                <w:rFonts w:hint="eastAsia" w:ascii="方正仿宋_GBK" w:hAnsi="方正仿宋_GBK" w:eastAsia="方正仿宋_GBK" w:cs="方正仿宋_GBK"/>
                <w:color w:val="000000"/>
                <w:sz w:val="24"/>
                <w:szCs w:val="24"/>
              </w:rPr>
              <w:t xml:space="preserve">        </w:t>
            </w:r>
            <w:permEnd w:id="20"/>
          </w:p>
        </w:tc>
        <w:tc>
          <w:tcPr>
            <w:tcW w:w="4320" w:type="dxa"/>
            <w:noWrap w:val="0"/>
            <w:vAlign w:val="bottom"/>
          </w:tcPr>
          <w:p>
            <w:pPr>
              <w:pStyle w:val="381"/>
              <w:spacing w:line="36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法定代表人(负责人)或</w:t>
            </w:r>
          </w:p>
          <w:p>
            <w:pPr>
              <w:pStyle w:val="381"/>
              <w:spacing w:line="360" w:lineRule="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授权代表（签字）：</w:t>
            </w:r>
            <w:permStart w:id="21" w:edGrp="everyone"/>
            <w:r>
              <w:rPr>
                <w:rFonts w:hint="eastAsia" w:ascii="方正仿宋_GBK" w:hAnsi="方正仿宋_GBK" w:eastAsia="方正仿宋_GBK" w:cs="方正仿宋_GBK"/>
                <w:color w:val="000000"/>
                <w:sz w:val="24"/>
                <w:szCs w:val="24"/>
              </w:rPr>
              <w:t xml:space="preserve">        </w:t>
            </w:r>
            <w:permEnd w:id="21"/>
          </w:p>
        </w:tc>
      </w:tr>
      <w:tr>
        <w:tblPrEx>
          <w:tblCellMar>
            <w:top w:w="0" w:type="dxa"/>
            <w:left w:w="108" w:type="dxa"/>
            <w:bottom w:w="0" w:type="dxa"/>
            <w:right w:w="108" w:type="dxa"/>
          </w:tblCellMar>
        </w:tblPrEx>
        <w:trPr>
          <w:jc w:val="center"/>
        </w:trPr>
        <w:tc>
          <w:tcPr>
            <w:tcW w:w="4368"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签订日期：</w:t>
            </w:r>
            <w:permStart w:id="22"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年  </w:t>
            </w:r>
            <w:r>
              <w:rPr>
                <w:rFonts w:ascii="仿宋" w:hAnsi="仿宋" w:eastAsia="仿宋"/>
                <w:color w:val="000000"/>
                <w:sz w:val="24"/>
                <w:szCs w:val="24"/>
              </w:rPr>
              <w:t xml:space="preserve"> </w:t>
            </w:r>
            <w:r>
              <w:rPr>
                <w:rFonts w:hint="eastAsia" w:ascii="仿宋" w:hAnsi="仿宋" w:eastAsia="仿宋"/>
                <w:color w:val="000000"/>
                <w:sz w:val="24"/>
                <w:szCs w:val="24"/>
              </w:rPr>
              <w:t xml:space="preserve">月 </w:t>
            </w:r>
            <w:r>
              <w:rPr>
                <w:rFonts w:ascii="仿宋" w:hAnsi="仿宋" w:eastAsia="仿宋"/>
                <w:color w:val="000000"/>
                <w:sz w:val="24"/>
                <w:szCs w:val="24"/>
              </w:rPr>
              <w:t xml:space="preserve">  </w:t>
            </w:r>
            <w:r>
              <w:rPr>
                <w:rFonts w:hint="eastAsia" w:ascii="仿宋" w:hAnsi="仿宋" w:eastAsia="仿宋"/>
                <w:color w:val="000000"/>
                <w:sz w:val="24"/>
                <w:szCs w:val="24"/>
              </w:rPr>
              <w:t>日</w:t>
            </w:r>
            <w:permEnd w:id="22"/>
          </w:p>
        </w:tc>
        <w:tc>
          <w:tcPr>
            <w:tcW w:w="4320"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签订日期：</w:t>
            </w:r>
            <w:permStart w:id="23"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r>
              <w:rPr>
                <w:rFonts w:hint="eastAsia" w:ascii="仿宋" w:hAnsi="仿宋" w:eastAsia="仿宋"/>
                <w:color w:val="000000"/>
                <w:sz w:val="24"/>
                <w:szCs w:val="24"/>
              </w:rPr>
              <w:t xml:space="preserve">年 </w:t>
            </w:r>
            <w:r>
              <w:rPr>
                <w:rFonts w:ascii="仿宋" w:hAnsi="仿宋" w:eastAsia="仿宋"/>
                <w:color w:val="000000"/>
                <w:sz w:val="24"/>
                <w:szCs w:val="24"/>
              </w:rPr>
              <w:t xml:space="preserve">  </w:t>
            </w:r>
            <w:r>
              <w:rPr>
                <w:rFonts w:hint="eastAsia" w:ascii="仿宋" w:hAnsi="仿宋" w:eastAsia="仿宋"/>
                <w:color w:val="000000"/>
                <w:sz w:val="24"/>
                <w:szCs w:val="24"/>
              </w:rPr>
              <w:t xml:space="preserve">月 </w:t>
            </w:r>
            <w:r>
              <w:rPr>
                <w:rFonts w:ascii="仿宋" w:hAnsi="仿宋" w:eastAsia="仿宋"/>
                <w:color w:val="000000"/>
                <w:sz w:val="24"/>
                <w:szCs w:val="24"/>
              </w:rPr>
              <w:t xml:space="preserve">  </w:t>
            </w:r>
            <w:r>
              <w:rPr>
                <w:rFonts w:hint="eastAsia" w:ascii="仿宋" w:hAnsi="仿宋" w:eastAsia="仿宋"/>
                <w:color w:val="000000"/>
                <w:sz w:val="24"/>
                <w:szCs w:val="24"/>
              </w:rPr>
              <w:t>日</w:t>
            </w:r>
            <w:permEnd w:id="23"/>
          </w:p>
        </w:tc>
      </w:tr>
      <w:tr>
        <w:tblPrEx>
          <w:tblCellMar>
            <w:top w:w="0" w:type="dxa"/>
            <w:left w:w="108" w:type="dxa"/>
            <w:bottom w:w="0" w:type="dxa"/>
            <w:right w:w="108" w:type="dxa"/>
          </w:tblCellMar>
        </w:tblPrEx>
        <w:trPr>
          <w:jc w:val="center"/>
        </w:trPr>
        <w:tc>
          <w:tcPr>
            <w:tcW w:w="4368"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联系人：</w:t>
            </w:r>
            <w:permStart w:id="24"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4"/>
          </w:p>
        </w:tc>
        <w:tc>
          <w:tcPr>
            <w:tcW w:w="4320"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联系人：</w:t>
            </w:r>
            <w:permStart w:id="25"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5"/>
          </w:p>
        </w:tc>
      </w:tr>
      <w:tr>
        <w:tblPrEx>
          <w:tblCellMar>
            <w:top w:w="0" w:type="dxa"/>
            <w:left w:w="108" w:type="dxa"/>
            <w:bottom w:w="0" w:type="dxa"/>
            <w:right w:w="108" w:type="dxa"/>
          </w:tblCellMar>
        </w:tblPrEx>
        <w:trPr>
          <w:jc w:val="center"/>
        </w:trPr>
        <w:tc>
          <w:tcPr>
            <w:tcW w:w="4368"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联系地址：</w:t>
            </w:r>
            <w:permStart w:id="26"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6"/>
          </w:p>
        </w:tc>
        <w:tc>
          <w:tcPr>
            <w:tcW w:w="4320"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联系地址：</w:t>
            </w:r>
            <w:permStart w:id="27"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7"/>
          </w:p>
        </w:tc>
      </w:tr>
      <w:tr>
        <w:tblPrEx>
          <w:tblCellMar>
            <w:top w:w="0" w:type="dxa"/>
            <w:left w:w="108" w:type="dxa"/>
            <w:bottom w:w="0" w:type="dxa"/>
            <w:right w:w="108" w:type="dxa"/>
          </w:tblCellMar>
        </w:tblPrEx>
        <w:trPr>
          <w:jc w:val="center"/>
        </w:trPr>
        <w:tc>
          <w:tcPr>
            <w:tcW w:w="4368"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联系电话：</w:t>
            </w:r>
            <w:permStart w:id="28"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8"/>
          </w:p>
        </w:tc>
        <w:tc>
          <w:tcPr>
            <w:tcW w:w="4320" w:type="dxa"/>
            <w:noWrap w:val="0"/>
            <w:vAlign w:val="center"/>
          </w:tcPr>
          <w:p>
            <w:pPr>
              <w:pStyle w:val="381"/>
              <w:spacing w:line="360" w:lineRule="auto"/>
              <w:rPr>
                <w:rFonts w:ascii="仿宋" w:hAnsi="仿宋" w:eastAsia="仿宋"/>
                <w:color w:val="000000"/>
                <w:sz w:val="24"/>
                <w:szCs w:val="24"/>
              </w:rPr>
            </w:pPr>
            <w:r>
              <w:rPr>
                <w:rFonts w:hint="eastAsia" w:ascii="仿宋" w:hAnsi="仿宋" w:eastAsia="仿宋"/>
                <w:color w:val="000000"/>
                <w:sz w:val="24"/>
                <w:szCs w:val="24"/>
              </w:rPr>
              <w:t>联系电话：</w:t>
            </w:r>
            <w:permStart w:id="29" w:edGrp="everyone"/>
            <w:r>
              <w:rPr>
                <w:rFonts w:hint="eastAsia" w:ascii="仿宋" w:hAnsi="仿宋" w:eastAsia="仿宋"/>
                <w:color w:val="000000"/>
                <w:sz w:val="24"/>
                <w:szCs w:val="24"/>
              </w:rPr>
              <w:t xml:space="preserve">  </w:t>
            </w:r>
            <w:r>
              <w:rPr>
                <w:rFonts w:ascii="仿宋" w:hAnsi="仿宋" w:eastAsia="仿宋"/>
                <w:color w:val="000000"/>
                <w:sz w:val="24"/>
                <w:szCs w:val="24"/>
              </w:rPr>
              <w:t xml:space="preserve"> </w:t>
            </w:r>
            <w:permEnd w:id="29"/>
          </w:p>
        </w:tc>
      </w:tr>
    </w:tbl>
    <w:p>
      <w:pPr>
        <w:snapToGrid w:val="0"/>
        <w:spacing w:after="156" w:afterLines="50" w:line="360" w:lineRule="auto"/>
        <w:rPr>
          <w:rFonts w:ascii="仿宋" w:hAnsi="仿宋" w:eastAsia="仿宋"/>
          <w:b/>
          <w:sz w:val="28"/>
          <w:szCs w:val="28"/>
        </w:rPr>
      </w:pPr>
    </w:p>
    <w:p>
      <w:pPr>
        <w:widowControl/>
        <w:spacing w:line="360" w:lineRule="auto"/>
        <w:jc w:val="right"/>
        <w:rPr>
          <w:rFonts w:ascii="仿宋" w:hAnsi="仿宋" w:eastAsia="仿宋" w:cs="宋体"/>
          <w:color w:val="000000" w:themeColor="text1"/>
          <w:sz w:val="24"/>
          <w:szCs w:val="24"/>
          <w14:textFill>
            <w14:solidFill>
              <w14:schemeClr w14:val="tx1"/>
            </w14:solidFill>
          </w14:textFill>
        </w:rPr>
      </w:pPr>
    </w:p>
    <w:p>
      <w:pPr>
        <w:widowControl/>
        <w:spacing w:line="360" w:lineRule="auto"/>
        <w:jc w:val="right"/>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br w:type="page"/>
      </w:r>
    </w:p>
    <w:p>
      <w:pPr>
        <w:spacing w:line="360" w:lineRule="auto"/>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附件</w:t>
      </w:r>
      <w:r>
        <w:rPr>
          <w:rFonts w:hint="eastAsia" w:ascii="仿宋" w:hAnsi="仿宋" w:eastAsia="仿宋"/>
          <w:b/>
          <w:bCs/>
          <w:color w:val="000000" w:themeColor="text1"/>
          <w:sz w:val="24"/>
          <w:szCs w:val="24"/>
          <w:lang w:val="en-US" w:eastAsia="zh-CN"/>
          <w14:textFill>
            <w14:solidFill>
              <w14:schemeClr w14:val="tx1"/>
            </w14:solidFill>
          </w14:textFill>
        </w:rPr>
        <w:t>1</w:t>
      </w:r>
      <w:r>
        <w:rPr>
          <w:rFonts w:hint="eastAsia" w:ascii="仿宋" w:hAnsi="仿宋" w:eastAsia="仿宋"/>
          <w:b/>
          <w:bCs/>
          <w:color w:val="000000" w:themeColor="text1"/>
          <w:sz w:val="24"/>
          <w:szCs w:val="24"/>
          <w14:textFill>
            <w14:solidFill>
              <w14:schemeClr w14:val="tx1"/>
            </w14:solidFill>
          </w14:textFill>
        </w:rPr>
        <w:t>：价格表</w:t>
      </w:r>
    </w:p>
    <w:p>
      <w:pPr>
        <w:pStyle w:val="21"/>
        <w:rPr>
          <w:rFonts w:hint="eastAsia" w:ascii="仿宋" w:hAnsi="仿宋" w:eastAsia="仿宋"/>
          <w:b/>
          <w:bCs/>
          <w:color w:val="000000" w:themeColor="text1"/>
          <w:sz w:val="24"/>
          <w:szCs w:val="24"/>
          <w14:textFill>
            <w14:solidFill>
              <w14:schemeClr w14:val="tx1"/>
            </w14:solidFill>
          </w14:textFill>
        </w:rPr>
      </w:pPr>
    </w:p>
    <w:p>
      <w:pPr>
        <w:pStyle w:val="21"/>
        <w:rPr>
          <w:rFonts w:hint="eastAsia" w:ascii="仿宋" w:hAnsi="仿宋" w:eastAsia="仿宋"/>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r>
        <w:rPr>
          <w:rFonts w:hint="eastAsia" w:ascii="仿宋" w:hAnsi="仿宋" w:eastAsia="仿宋" w:cs="Times New Roman"/>
          <w:b/>
          <w:bCs/>
          <w:color w:val="000000" w:themeColor="text1"/>
          <w:kern w:val="2"/>
          <w:sz w:val="24"/>
          <w:szCs w:val="24"/>
          <w:lang w:val="en-US" w:eastAsia="zh-CN"/>
          <w14:textFill>
            <w14:solidFill>
              <w14:schemeClr w14:val="tx1"/>
            </w14:solidFill>
          </w14:textFill>
        </w:rPr>
        <w:t>附件2.技术需求书</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r>
        <w:rPr>
          <w:rFonts w:hint="eastAsia" w:ascii="仿宋" w:hAnsi="仿宋" w:eastAsia="仿宋" w:cs="Times New Roman"/>
          <w:b/>
          <w:bCs/>
          <w:color w:val="000000" w:themeColor="text1"/>
          <w:kern w:val="2"/>
          <w:sz w:val="24"/>
          <w:szCs w:val="24"/>
          <w:lang w:val="en-US" w:eastAsia="zh-CN"/>
          <w14:textFill>
            <w14:solidFill>
              <w14:schemeClr w14:val="tx1"/>
            </w14:solidFill>
          </w14:textFill>
        </w:rPr>
        <w:t>附件3.谈判时乙方做出的书面承诺</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Times New Roman"/>
          <w:b/>
          <w:bCs/>
          <w:color w:val="000000" w:themeColor="text1"/>
          <w:kern w:val="2"/>
          <w:sz w:val="24"/>
          <w:szCs w:val="24"/>
          <w:lang w:val="en-US" w:eastAsia="zh-CN"/>
          <w14:textFill>
            <w14:solidFill>
              <w14:schemeClr w14:val="tx1"/>
            </w14:solidFill>
          </w14:textFill>
        </w:rPr>
      </w:pPr>
      <w:r>
        <w:rPr>
          <w:rFonts w:hint="eastAsia" w:ascii="仿宋" w:hAnsi="仿宋" w:eastAsia="仿宋" w:cs="Times New Roman"/>
          <w:b/>
          <w:bCs/>
          <w:color w:val="000000" w:themeColor="text1"/>
          <w:kern w:val="2"/>
          <w:sz w:val="24"/>
          <w:szCs w:val="24"/>
          <w:lang w:val="en-US" w:eastAsia="zh-CN"/>
          <w14:textFill>
            <w14:solidFill>
              <w14:schemeClr w14:val="tx1"/>
            </w14:solidFill>
          </w14:textFill>
        </w:rPr>
        <w:t>附件4.安全保密协议</w:t>
      </w:r>
    </w:p>
    <w:p>
      <w:pPr>
        <w:spacing w:line="360" w:lineRule="auto"/>
        <w:jc w:val="center"/>
        <w:rPr>
          <w:rFonts w:hint="eastAsia"/>
          <w:b w:val="0"/>
          <w:bCs w:val="0"/>
          <w:color w:val="auto"/>
          <w:spacing w:val="-10"/>
          <w:sz w:val="36"/>
        </w:rPr>
      </w:pPr>
      <w:r>
        <w:rPr>
          <w:rFonts w:hint="eastAsia"/>
          <w:b/>
          <w:bCs/>
          <w:color w:val="auto"/>
          <w:spacing w:val="-10"/>
          <w:sz w:val="30"/>
          <w:szCs w:val="30"/>
        </w:rPr>
        <w:t>安全保密协议</w:t>
      </w:r>
    </w:p>
    <w:p>
      <w:pPr>
        <w:spacing w:line="360" w:lineRule="auto"/>
        <w:rPr>
          <w:rFonts w:hint="eastAsia" w:ascii="宋体" w:hAnsi="宋体"/>
          <w:b/>
          <w:bCs/>
          <w:spacing w:val="-10"/>
          <w:sz w:val="24"/>
          <w:szCs w:val="24"/>
        </w:rPr>
      </w:pPr>
    </w:p>
    <w:p>
      <w:pPr>
        <w:spacing w:line="360" w:lineRule="auto"/>
        <w:rPr>
          <w:rFonts w:hint="eastAsia" w:ascii="宋体" w:hAnsi="宋体"/>
          <w:b/>
          <w:spacing w:val="-10"/>
          <w:sz w:val="24"/>
          <w:szCs w:val="24"/>
        </w:rPr>
      </w:pPr>
      <w:r>
        <w:rPr>
          <w:rFonts w:hint="eastAsia" w:ascii="宋体" w:hAnsi="宋体"/>
          <w:b/>
          <w:spacing w:val="-10"/>
          <w:sz w:val="24"/>
          <w:szCs w:val="24"/>
        </w:rPr>
        <w:t>甲方：</w:t>
      </w:r>
    </w:p>
    <w:p>
      <w:pPr>
        <w:spacing w:line="360" w:lineRule="auto"/>
        <w:rPr>
          <w:rFonts w:hint="eastAsia" w:ascii="宋体" w:hAnsi="宋体"/>
          <w:b/>
          <w:spacing w:val="-10"/>
          <w:sz w:val="24"/>
          <w:szCs w:val="24"/>
        </w:rPr>
      </w:pPr>
      <w:r>
        <w:rPr>
          <w:rFonts w:hint="eastAsia" w:ascii="宋体" w:hAnsi="宋体"/>
          <w:b/>
          <w:spacing w:val="-10"/>
          <w:sz w:val="24"/>
          <w:szCs w:val="24"/>
        </w:rPr>
        <w:t>乙方：</w:t>
      </w:r>
    </w:p>
    <w:p>
      <w:pPr>
        <w:spacing w:line="360" w:lineRule="auto"/>
        <w:rPr>
          <w:rFonts w:hint="eastAsia" w:ascii="宋体" w:hAnsi="宋体"/>
          <w:b/>
          <w:spacing w:val="-10"/>
          <w:sz w:val="24"/>
          <w:szCs w:val="24"/>
        </w:rPr>
      </w:pPr>
    </w:p>
    <w:p>
      <w:pPr>
        <w:spacing w:line="360" w:lineRule="auto"/>
        <w:ind w:firstLine="440" w:firstLineChars="200"/>
        <w:rPr>
          <w:rFonts w:hint="eastAsia" w:ascii="宋体" w:hAnsi="宋体"/>
          <w:bCs/>
          <w:spacing w:val="-10"/>
          <w:sz w:val="24"/>
          <w:szCs w:val="24"/>
        </w:rPr>
      </w:pPr>
      <w:r>
        <w:rPr>
          <w:rFonts w:hint="eastAsia" w:ascii="宋体" w:hAnsi="宋体"/>
          <w:bCs/>
          <w:spacing w:val="-10"/>
          <w:sz w:val="24"/>
          <w:szCs w:val="24"/>
          <w:lang w:val="en-US" w:eastAsia="zh-CN"/>
        </w:rPr>
        <w:t>为使甲乙双方顺利完成主合同项下权利及义务，</w:t>
      </w:r>
      <w:r>
        <w:rPr>
          <w:rFonts w:hint="eastAsia" w:ascii="宋体" w:hAnsi="宋体"/>
          <w:bCs/>
          <w:spacing w:val="-10"/>
          <w:sz w:val="24"/>
          <w:szCs w:val="24"/>
        </w:rPr>
        <w:t>乙方在为甲方提供</w:t>
      </w:r>
      <w:r>
        <w:rPr>
          <w:rFonts w:hint="eastAsia" w:ascii="宋体" w:hAnsi="宋体"/>
          <w:bCs/>
          <w:spacing w:val="-10"/>
          <w:sz w:val="24"/>
          <w:szCs w:val="24"/>
          <w:lang w:val="en-US" w:eastAsia="zh-CN"/>
        </w:rPr>
        <w:t>软件</w:t>
      </w:r>
      <w:r>
        <w:rPr>
          <w:rFonts w:hint="eastAsia" w:ascii="宋体" w:hAnsi="宋体"/>
          <w:bCs/>
          <w:spacing w:val="-10"/>
          <w:sz w:val="24"/>
          <w:szCs w:val="24"/>
        </w:rPr>
        <w:t>服务期间，</w:t>
      </w:r>
      <w:r>
        <w:rPr>
          <w:rFonts w:hint="eastAsia" w:ascii="宋体" w:hAnsi="宋体"/>
          <w:bCs/>
          <w:spacing w:val="-10"/>
          <w:sz w:val="24"/>
          <w:szCs w:val="24"/>
          <w:lang w:val="en-US" w:eastAsia="zh-CN"/>
        </w:rPr>
        <w:t>会获取甲方公司相应数据及信息</w:t>
      </w:r>
      <w:r>
        <w:rPr>
          <w:rFonts w:hint="eastAsia" w:ascii="宋体" w:hAnsi="宋体"/>
          <w:bCs/>
          <w:spacing w:val="-10"/>
          <w:sz w:val="24"/>
          <w:szCs w:val="24"/>
        </w:rPr>
        <w:t>，</w:t>
      </w:r>
      <w:r>
        <w:rPr>
          <w:rFonts w:hint="eastAsia" w:ascii="宋体" w:hAnsi="宋体"/>
          <w:bCs/>
          <w:spacing w:val="-10"/>
          <w:sz w:val="24"/>
          <w:szCs w:val="24"/>
          <w:lang w:val="en-US" w:eastAsia="zh-CN"/>
        </w:rPr>
        <w:t>现为保证甲方公司数据及信息安全，</w:t>
      </w:r>
      <w:r>
        <w:rPr>
          <w:rFonts w:hint="eastAsia" w:ascii="宋体" w:hAnsi="宋体"/>
          <w:bCs/>
          <w:spacing w:val="-10"/>
          <w:sz w:val="24"/>
          <w:szCs w:val="24"/>
        </w:rPr>
        <w:t>经双方协商一致，</w:t>
      </w:r>
      <w:r>
        <w:rPr>
          <w:rFonts w:hint="eastAsia" w:ascii="宋体" w:hAnsi="宋体"/>
          <w:bCs/>
          <w:spacing w:val="-10"/>
          <w:sz w:val="24"/>
          <w:szCs w:val="24"/>
          <w:lang w:val="en-US" w:eastAsia="zh-CN"/>
        </w:rPr>
        <w:t>签订本协议</w:t>
      </w:r>
      <w:r>
        <w:rPr>
          <w:rFonts w:hint="eastAsia" w:ascii="宋体" w:hAnsi="宋体"/>
          <w:bCs/>
          <w:spacing w:val="-10"/>
          <w:sz w:val="24"/>
          <w:szCs w:val="24"/>
        </w:rPr>
        <w:t>。</w:t>
      </w:r>
    </w:p>
    <w:p>
      <w:pPr>
        <w:numPr>
          <w:ilvl w:val="0"/>
          <w:numId w:val="7"/>
        </w:numPr>
        <w:spacing w:line="360" w:lineRule="auto"/>
        <w:ind w:left="0" w:firstLine="0"/>
        <w:rPr>
          <w:rFonts w:hint="eastAsia" w:ascii="宋体" w:hAnsi="宋体"/>
          <w:sz w:val="24"/>
          <w:szCs w:val="24"/>
        </w:rPr>
      </w:pPr>
      <w:r>
        <w:rPr>
          <w:rFonts w:hint="eastAsia" w:ascii="宋体" w:hAnsi="宋体"/>
          <w:sz w:val="24"/>
          <w:szCs w:val="24"/>
        </w:rPr>
        <w:t>乙方在</w:t>
      </w:r>
      <w:r>
        <w:rPr>
          <w:rFonts w:hint="eastAsia" w:ascii="宋体" w:hAnsi="宋体"/>
          <w:sz w:val="24"/>
          <w:szCs w:val="24"/>
          <w:lang w:val="en-US" w:eastAsia="zh-CN"/>
        </w:rPr>
        <w:t>提供服务过程中</w:t>
      </w:r>
      <w:r>
        <w:rPr>
          <w:rFonts w:hint="eastAsia" w:ascii="宋体" w:hAnsi="宋体"/>
          <w:sz w:val="24"/>
          <w:szCs w:val="24"/>
        </w:rPr>
        <w:t>，应遵守甲方制定的各项管理规定。</w:t>
      </w:r>
    </w:p>
    <w:p>
      <w:pPr>
        <w:numPr>
          <w:ilvl w:val="0"/>
          <w:numId w:val="7"/>
        </w:numPr>
        <w:spacing w:line="360" w:lineRule="auto"/>
        <w:ind w:left="0" w:firstLine="0"/>
        <w:rPr>
          <w:rFonts w:hint="eastAsia" w:ascii="宋体" w:hAnsi="宋体"/>
          <w:sz w:val="24"/>
          <w:szCs w:val="24"/>
        </w:rPr>
      </w:pPr>
      <w:r>
        <w:rPr>
          <w:rFonts w:hint="eastAsia" w:ascii="宋体" w:hAnsi="宋体"/>
          <w:bCs/>
          <w:spacing w:val="-10"/>
          <w:sz w:val="24"/>
          <w:szCs w:val="24"/>
        </w:rPr>
        <w:t>甲方向乙方开放的</w:t>
      </w:r>
      <w:r>
        <w:rPr>
          <w:rFonts w:hint="eastAsia" w:ascii="宋体" w:hAnsi="宋体"/>
          <w:bCs/>
          <w:spacing w:val="-10"/>
          <w:sz w:val="24"/>
          <w:szCs w:val="24"/>
          <w:lang w:val="en-US" w:eastAsia="zh-CN"/>
        </w:rPr>
        <w:t>公司</w:t>
      </w:r>
      <w:r>
        <w:rPr>
          <w:rFonts w:hint="eastAsia" w:ascii="宋体" w:hAnsi="宋体"/>
          <w:bCs/>
          <w:spacing w:val="-10"/>
          <w:sz w:val="24"/>
          <w:szCs w:val="24"/>
        </w:rPr>
        <w:t>信息系统访问权限</w:t>
      </w:r>
      <w:r>
        <w:rPr>
          <w:rFonts w:hint="eastAsia" w:ascii="宋体" w:hAnsi="宋体"/>
          <w:bCs/>
          <w:spacing w:val="-10"/>
          <w:sz w:val="24"/>
          <w:szCs w:val="24"/>
          <w:lang w:eastAsia="zh-CN"/>
        </w:rPr>
        <w:t>、</w:t>
      </w:r>
      <w:r>
        <w:rPr>
          <w:rFonts w:hint="eastAsia" w:ascii="宋体" w:hAnsi="宋体"/>
          <w:bCs/>
          <w:spacing w:val="-10"/>
          <w:sz w:val="24"/>
          <w:szCs w:val="24"/>
          <w:lang w:val="en-US" w:eastAsia="zh-CN"/>
        </w:rPr>
        <w:t>提供过的公司文档、数据及各类材料，乙方仅可用于履行合同义务。</w:t>
      </w:r>
      <w:r>
        <w:rPr>
          <w:rFonts w:hint="eastAsia"/>
          <w:sz w:val="24"/>
          <w:szCs w:val="24"/>
        </w:rPr>
        <w:t>。</w:t>
      </w:r>
    </w:p>
    <w:p>
      <w:pPr>
        <w:numPr>
          <w:ilvl w:val="0"/>
          <w:numId w:val="7"/>
        </w:numPr>
        <w:tabs>
          <w:tab w:val="clear" w:pos="855"/>
        </w:tabs>
        <w:spacing w:line="360" w:lineRule="auto"/>
        <w:ind w:left="0" w:firstLine="0"/>
        <w:rPr>
          <w:rFonts w:hint="eastAsia" w:ascii="宋体" w:hAnsi="宋体"/>
          <w:sz w:val="24"/>
          <w:szCs w:val="24"/>
        </w:rPr>
      </w:pPr>
      <w:r>
        <w:rPr>
          <w:rFonts w:hint="eastAsia"/>
          <w:sz w:val="24"/>
          <w:szCs w:val="24"/>
        </w:rPr>
        <w:t>乙方负有保护甲方企业的网络安全、信息安全和系统数据的义务和责任；</w:t>
      </w:r>
      <w:r>
        <w:rPr>
          <w:rFonts w:hint="eastAsia" w:ascii="宋体" w:hAnsi="宋体"/>
          <w:sz w:val="24"/>
          <w:szCs w:val="24"/>
        </w:rPr>
        <w:t>负有保护所持有、接触的属于或涉及甲方企业商业秘密的信息安全的义务和责任。商业秘密是指因其信息泄露会影响企业生产和发展、影响企业营销活动、影响企业技术进步、使企业在商业竞争中处于被动或不利地位、使企业经济利益受到损害、影响企业对外交流和商业谈判顺利进行、影响企业稳定和安全、影响企业对外承担保密义务的事项。甲方的商业密码包括但不限于《商业秘密一览表》 (见附件)所列举的事项，甲方有权根据需要</w:t>
      </w:r>
      <w:r>
        <w:rPr>
          <w:rFonts w:hint="eastAsia" w:ascii="宋体" w:hAnsi="宋体"/>
          <w:sz w:val="24"/>
          <w:szCs w:val="24"/>
          <w:lang w:eastAsia="zh-CN"/>
        </w:rPr>
        <w:t>随时</w:t>
      </w:r>
      <w:r>
        <w:rPr>
          <w:rFonts w:hint="eastAsia" w:ascii="宋体" w:hAnsi="宋体"/>
          <w:sz w:val="24"/>
          <w:szCs w:val="24"/>
        </w:rPr>
        <w:t>增加商业秘密的内容。</w:t>
      </w:r>
    </w:p>
    <w:p>
      <w:pPr>
        <w:numPr>
          <w:ilvl w:val="0"/>
          <w:numId w:val="7"/>
        </w:numPr>
        <w:spacing w:line="360" w:lineRule="auto"/>
        <w:ind w:left="0" w:firstLine="0"/>
        <w:rPr>
          <w:rFonts w:hint="eastAsia" w:ascii="宋体" w:hAnsi="宋体"/>
          <w:sz w:val="24"/>
          <w:szCs w:val="24"/>
        </w:rPr>
      </w:pPr>
      <w:r>
        <w:rPr>
          <w:rFonts w:hint="eastAsia" w:ascii="宋体" w:hAnsi="宋体"/>
          <w:sz w:val="24"/>
          <w:szCs w:val="24"/>
        </w:rPr>
        <w:t>甲方保留对乙方</w:t>
      </w:r>
      <w:r>
        <w:rPr>
          <w:rFonts w:hint="eastAsia" w:ascii="宋体" w:hAnsi="宋体"/>
          <w:sz w:val="24"/>
          <w:szCs w:val="24"/>
          <w:lang w:val="en-US" w:eastAsia="zh-CN"/>
        </w:rPr>
        <w:t>合同履行</w:t>
      </w:r>
      <w:r>
        <w:rPr>
          <w:rFonts w:hint="eastAsia" w:ascii="宋体" w:hAnsi="宋体"/>
          <w:sz w:val="24"/>
          <w:szCs w:val="24"/>
        </w:rPr>
        <w:t>过程中进行管理、监控和审查的权利，乙方应详细记录系统维护过程中的</w:t>
      </w:r>
      <w:r>
        <w:rPr>
          <w:rFonts w:hint="eastAsia"/>
          <w:sz w:val="24"/>
          <w:szCs w:val="24"/>
        </w:rPr>
        <w:t>操作记录，以及所采集的数据等。</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乙方不得公布、发布、出版、传授、转让或者以其它任何方式泄漏从甲方信息系统中获取的信息，也不得在履行公务之外使用这些信息。乙方有义务避免使任何第三方获得、知悉上述信息。</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乙方必须妥善保管甲方为其提供的用户账号和密码，并不得随意扩散或转借他人。</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乙方不得将甲方信息系统中重要或敏感的数据和信息拷贝到个人电脑或其它存储介质中。如确实因工作需要必需拷贝的，必须经甲方同意，并进行加密处理(可采用加密功能或专门的加密软件、加密设备)并妥善保管。</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乙方在发现与网络或信息安全有关的可疑现象时，有义务及时向甲方报告，并协助进行问题的诊断。</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乙方明白，若泄漏甲方企业商业秘密，乙方除支付违约罚款，还应当赔偿甲方的损失，如情节恶劣、后果严重，构成犯罪的，将承担刑事责任。</w:t>
      </w:r>
    </w:p>
    <w:p>
      <w:pPr>
        <w:numPr>
          <w:ilvl w:val="0"/>
          <w:numId w:val="7"/>
        </w:numPr>
        <w:tabs>
          <w:tab w:val="clear" w:pos="855"/>
        </w:tabs>
        <w:spacing w:line="360" w:lineRule="auto"/>
        <w:ind w:left="0" w:firstLine="0"/>
        <w:rPr>
          <w:rFonts w:hint="eastAsia" w:ascii="宋体" w:hAnsi="宋体"/>
          <w:sz w:val="24"/>
          <w:szCs w:val="24"/>
        </w:rPr>
      </w:pPr>
      <w:r>
        <w:rPr>
          <w:rFonts w:hint="eastAsia" w:ascii="宋体" w:hAnsi="宋体"/>
          <w:sz w:val="24"/>
          <w:szCs w:val="24"/>
        </w:rPr>
        <w:t>因本协议引起的纠纷应通过协商解决。如果协商解决不成，任何一方均有权</w:t>
      </w:r>
      <w:r>
        <w:rPr>
          <w:rFonts w:hint="eastAsia" w:ascii="宋体" w:hAnsi="宋体"/>
          <w:sz w:val="24"/>
          <w:szCs w:val="24"/>
          <w:lang w:eastAsia="zh-CN"/>
        </w:rPr>
        <w:t>向甲方所在地人民法院</w:t>
      </w:r>
      <w:r>
        <w:rPr>
          <w:rFonts w:hint="eastAsia" w:ascii="宋体" w:hAnsi="宋体"/>
          <w:sz w:val="24"/>
          <w:szCs w:val="24"/>
        </w:rPr>
        <w:t>提</w:t>
      </w:r>
      <w:r>
        <w:rPr>
          <w:rFonts w:hint="eastAsia" w:ascii="宋体" w:hAnsi="宋体"/>
          <w:sz w:val="24"/>
          <w:szCs w:val="24"/>
          <w:lang w:eastAsia="zh-CN"/>
        </w:rPr>
        <w:t>起</w:t>
      </w:r>
      <w:r>
        <w:rPr>
          <w:rFonts w:hint="eastAsia" w:ascii="宋体" w:hAnsi="宋体"/>
          <w:sz w:val="24"/>
          <w:szCs w:val="24"/>
        </w:rPr>
        <w:t>诉讼。本协议如与双方以前的口头或书面协议有抵触，以本协议为准。本协议的修改必须采用双方同意的书面形式。</w:t>
      </w:r>
    </w:p>
    <w:p>
      <w:pPr>
        <w:rPr>
          <w:sz w:val="28"/>
          <w:szCs w:val="28"/>
        </w:rPr>
      </w:pPr>
      <w:r>
        <w:rPr>
          <w:sz w:val="28"/>
          <w:szCs w:val="28"/>
        </w:rPr>
        <w:br w:type="page"/>
      </w:r>
      <w:r>
        <w:rPr>
          <w:rFonts w:hint="eastAsia" w:ascii="宋体" w:hAnsi="宋体"/>
          <w:b/>
          <w:bCs w:val="0"/>
          <w:spacing w:val="-10"/>
          <w:sz w:val="28"/>
          <w:szCs w:val="28"/>
          <w:lang w:eastAsia="zh-CN"/>
        </w:rPr>
        <w:t>附件</w:t>
      </w:r>
    </w:p>
    <w:p>
      <w:pPr>
        <w:ind w:firstLine="570"/>
        <w:jc w:val="center"/>
        <w:rPr>
          <w:rFonts w:hint="eastAsia" w:ascii="宋体" w:hAnsi="宋体"/>
          <w:b/>
          <w:sz w:val="40"/>
          <w:szCs w:val="40"/>
        </w:rPr>
      </w:pPr>
      <w:r>
        <w:rPr>
          <w:rFonts w:hint="eastAsia" w:ascii="宋体" w:hAnsi="宋体"/>
          <w:b/>
          <w:sz w:val="40"/>
          <w:szCs w:val="40"/>
        </w:rPr>
        <w:t>商业秘密一览表</w:t>
      </w:r>
    </w:p>
    <w:p>
      <w:pPr>
        <w:ind w:firstLine="570"/>
        <w:jc w:val="center"/>
        <w:rPr>
          <w:rFonts w:hint="eastAsia"/>
          <w:sz w:val="28"/>
          <w:szCs w:val="28"/>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序号</w:t>
            </w:r>
          </w:p>
        </w:tc>
        <w:tc>
          <w:tcPr>
            <w:tcW w:w="7679" w:type="dxa"/>
            <w:noWrap w:val="0"/>
            <w:vAlign w:val="top"/>
          </w:tcPr>
          <w:p>
            <w:pPr>
              <w:jc w:val="center"/>
              <w:rPr>
                <w:rFonts w:hint="eastAsia"/>
                <w:sz w:val="24"/>
              </w:rPr>
            </w:pPr>
            <w:r>
              <w:rPr>
                <w:rFonts w:hint="eastAsia"/>
                <w:sz w:val="24"/>
              </w:rPr>
              <w:t>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w:t>
            </w:r>
          </w:p>
        </w:tc>
        <w:tc>
          <w:tcPr>
            <w:tcW w:w="7679" w:type="dxa"/>
            <w:noWrap w:val="0"/>
            <w:vAlign w:val="top"/>
          </w:tcPr>
          <w:p>
            <w:pPr>
              <w:rPr>
                <w:rFonts w:hint="eastAsia"/>
                <w:sz w:val="24"/>
              </w:rPr>
            </w:pPr>
            <w:r>
              <w:rPr>
                <w:rFonts w:hint="eastAsia"/>
                <w:sz w:val="24"/>
                <w:lang w:eastAsia="zh-CN"/>
              </w:rPr>
              <w:t>企业</w:t>
            </w:r>
            <w:r>
              <w:rPr>
                <w:rFonts w:hint="eastAsia"/>
                <w:sz w:val="24"/>
              </w:rPr>
              <w:t>发展规划和相关资料(</w:t>
            </w:r>
            <w:r>
              <w:rPr>
                <w:rFonts w:hint="eastAsia"/>
                <w:sz w:val="24"/>
                <w:lang w:eastAsia="zh-CN"/>
              </w:rPr>
              <w:t>企业</w:t>
            </w:r>
            <w:r>
              <w:rPr>
                <w:rFonts w:hint="eastAsia"/>
                <w:sz w:val="24"/>
              </w:rPr>
              <w:t>发展规划和发展策略，网络发展</w:t>
            </w:r>
          </w:p>
          <w:p>
            <w:pPr>
              <w:rPr>
                <w:rFonts w:hint="eastAsia"/>
                <w:sz w:val="24"/>
              </w:rPr>
            </w:pPr>
            <w:r>
              <w:rPr>
                <w:rFonts w:hint="eastAsia"/>
                <w:sz w:val="24"/>
              </w:rPr>
              <w:t>规划，新技术、新设备的采用材料、通信能力、网络布局情况)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w:t>
            </w:r>
          </w:p>
        </w:tc>
        <w:tc>
          <w:tcPr>
            <w:tcW w:w="7679" w:type="dxa"/>
            <w:noWrap w:val="0"/>
            <w:vAlign w:val="top"/>
          </w:tcPr>
          <w:p>
            <w:pPr>
              <w:rPr>
                <w:rFonts w:hint="eastAsia"/>
                <w:sz w:val="24"/>
              </w:rPr>
            </w:pPr>
            <w:r>
              <w:rPr>
                <w:rFonts w:hint="eastAsia"/>
                <w:sz w:val="24"/>
                <w:lang w:eastAsia="zh-CN"/>
              </w:rPr>
              <w:t>企业</w:t>
            </w:r>
            <w:r>
              <w:rPr>
                <w:rFonts w:hint="eastAsia"/>
                <w:sz w:val="24"/>
              </w:rPr>
              <w:t xml:space="preserve">生产经营决策资料(业务发展策略，领导同志有关讲话材料， </w:t>
            </w:r>
          </w:p>
          <w:p>
            <w:pPr>
              <w:rPr>
                <w:rFonts w:hint="eastAsia"/>
                <w:sz w:val="24"/>
              </w:rPr>
            </w:pPr>
            <w:r>
              <w:rPr>
                <w:rFonts w:hint="eastAsia"/>
                <w:sz w:val="24"/>
              </w:rPr>
              <w:t>企业生产经营情况的调查报告，大客户及重点用户的有关资料)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3</w:t>
            </w:r>
          </w:p>
        </w:tc>
        <w:tc>
          <w:tcPr>
            <w:tcW w:w="7679" w:type="dxa"/>
            <w:noWrap w:val="0"/>
            <w:vAlign w:val="top"/>
          </w:tcPr>
          <w:p>
            <w:pPr>
              <w:rPr>
                <w:rFonts w:hint="eastAsia"/>
                <w:sz w:val="24"/>
              </w:rPr>
            </w:pPr>
            <w:r>
              <w:rPr>
                <w:rFonts w:hint="eastAsia"/>
                <w:sz w:val="24"/>
                <w:lang w:eastAsia="zh-CN"/>
              </w:rPr>
              <w:t>企业</w:t>
            </w:r>
            <w:r>
              <w:rPr>
                <w:rFonts w:hint="eastAsia"/>
                <w:sz w:val="24"/>
              </w:rPr>
              <w:t>生产经营统计资料(企业概况，</w:t>
            </w:r>
            <w:r>
              <w:rPr>
                <w:rFonts w:hint="eastAsia"/>
                <w:sz w:val="24"/>
                <w:lang w:eastAsia="zh-CN"/>
              </w:rPr>
              <w:t>企业</w:t>
            </w:r>
            <w:r>
              <w:rPr>
                <w:rFonts w:hint="eastAsia"/>
                <w:sz w:val="24"/>
              </w:rPr>
              <w:t>统计资料汇编，</w:t>
            </w:r>
            <w:r>
              <w:rPr>
                <w:rFonts w:hint="eastAsia"/>
                <w:sz w:val="24"/>
                <w:lang w:eastAsia="zh-CN"/>
              </w:rPr>
              <w:t>企业</w:t>
            </w:r>
            <w:r>
              <w:rPr>
                <w:rFonts w:hint="eastAsia"/>
                <w:sz w:val="24"/>
              </w:rPr>
              <w:t>统计资料提要，各专业统计报表)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4</w:t>
            </w:r>
          </w:p>
        </w:tc>
        <w:tc>
          <w:tcPr>
            <w:tcW w:w="7679" w:type="dxa"/>
            <w:noWrap w:val="0"/>
            <w:vAlign w:val="top"/>
          </w:tcPr>
          <w:p>
            <w:pPr>
              <w:rPr>
                <w:rFonts w:hint="eastAsia"/>
                <w:sz w:val="24"/>
              </w:rPr>
            </w:pPr>
            <w:r>
              <w:rPr>
                <w:rFonts w:hint="eastAsia"/>
                <w:sz w:val="24"/>
                <w:lang w:eastAsia="zh-CN"/>
              </w:rPr>
              <w:t>企业</w:t>
            </w:r>
            <w:r>
              <w:rPr>
                <w:rFonts w:hint="eastAsia"/>
                <w:sz w:val="24"/>
              </w:rPr>
              <w:t>生产经营客户资料、计费清单、账单等。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5</w:t>
            </w:r>
          </w:p>
        </w:tc>
        <w:tc>
          <w:tcPr>
            <w:tcW w:w="7679" w:type="dxa"/>
            <w:noWrap w:val="0"/>
            <w:vAlign w:val="top"/>
          </w:tcPr>
          <w:p>
            <w:pPr>
              <w:rPr>
                <w:rFonts w:hint="eastAsia"/>
                <w:sz w:val="24"/>
                <w:szCs w:val="28"/>
              </w:rPr>
            </w:pPr>
            <w:r>
              <w:rPr>
                <w:rFonts w:hint="eastAsia"/>
                <w:sz w:val="24"/>
              </w:rPr>
              <w:t>全省</w:t>
            </w:r>
            <w:r>
              <w:rPr>
                <w:rFonts w:hint="eastAsia"/>
                <w:sz w:val="24"/>
                <w:lang w:eastAsia="zh-CN"/>
              </w:rPr>
              <w:t>企业</w:t>
            </w:r>
            <w:r>
              <w:rPr>
                <w:rFonts w:hint="eastAsia"/>
                <w:sz w:val="24"/>
              </w:rPr>
              <w:t>多种经营状况及统计报表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6</w:t>
            </w:r>
          </w:p>
        </w:tc>
        <w:tc>
          <w:tcPr>
            <w:tcW w:w="7679" w:type="dxa"/>
            <w:noWrap w:val="0"/>
            <w:vAlign w:val="top"/>
          </w:tcPr>
          <w:p>
            <w:pPr>
              <w:rPr>
                <w:rFonts w:hint="eastAsia"/>
                <w:sz w:val="24"/>
              </w:rPr>
            </w:pPr>
            <w:r>
              <w:rPr>
                <w:rFonts w:hint="eastAsia"/>
                <w:sz w:val="24"/>
              </w:rPr>
              <w:t>企业人才发展规划，劳动组织编制，员工队伍素质构成，劳动工资和人员信息统计报表，人事档案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7</w:t>
            </w:r>
          </w:p>
        </w:tc>
        <w:tc>
          <w:tcPr>
            <w:tcW w:w="7679" w:type="dxa"/>
            <w:noWrap w:val="0"/>
            <w:vAlign w:val="top"/>
          </w:tcPr>
          <w:p>
            <w:pPr>
              <w:rPr>
                <w:rFonts w:hint="eastAsia"/>
                <w:sz w:val="24"/>
                <w:szCs w:val="28"/>
              </w:rPr>
            </w:pPr>
            <w:r>
              <w:rPr>
                <w:rFonts w:hint="eastAsia"/>
                <w:sz w:val="24"/>
              </w:rPr>
              <w:t>涉及企业秘密的信息、文件资料、会议记录、纪要等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8</w:t>
            </w:r>
          </w:p>
        </w:tc>
        <w:tc>
          <w:tcPr>
            <w:tcW w:w="7679" w:type="dxa"/>
            <w:noWrap w:val="0"/>
            <w:vAlign w:val="top"/>
          </w:tcPr>
          <w:p>
            <w:pPr>
              <w:rPr>
                <w:rFonts w:hint="eastAsia"/>
                <w:sz w:val="24"/>
                <w:szCs w:val="28"/>
              </w:rPr>
            </w:pPr>
            <w:r>
              <w:rPr>
                <w:rFonts w:hint="eastAsia"/>
                <w:sz w:val="24"/>
              </w:rPr>
              <w:t>竞争性业务发展对策及大客户发展的经营政策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9</w:t>
            </w:r>
          </w:p>
        </w:tc>
        <w:tc>
          <w:tcPr>
            <w:tcW w:w="7679" w:type="dxa"/>
            <w:noWrap w:val="0"/>
            <w:vAlign w:val="top"/>
          </w:tcPr>
          <w:p>
            <w:pPr>
              <w:rPr>
                <w:rFonts w:hint="eastAsia"/>
                <w:sz w:val="24"/>
                <w:szCs w:val="28"/>
              </w:rPr>
            </w:pPr>
            <w:r>
              <w:rPr>
                <w:rFonts w:hint="eastAsia"/>
                <w:sz w:val="24"/>
              </w:rPr>
              <w:t>调整</w:t>
            </w:r>
            <w:r>
              <w:rPr>
                <w:rFonts w:hint="eastAsia"/>
                <w:sz w:val="24"/>
                <w:lang w:eastAsia="zh-CN"/>
              </w:rPr>
              <w:t>企业</w:t>
            </w:r>
            <w:r>
              <w:rPr>
                <w:rFonts w:hint="eastAsia"/>
                <w:sz w:val="24"/>
              </w:rPr>
              <w:t>资费预案(</w:t>
            </w:r>
            <w:r>
              <w:rPr>
                <w:rFonts w:hint="eastAsia"/>
                <w:sz w:val="24"/>
                <w:lang w:eastAsia="zh-CN"/>
              </w:rPr>
              <w:t>企业</w:t>
            </w:r>
            <w:r>
              <w:rPr>
                <w:rFonts w:hint="eastAsia"/>
                <w:sz w:val="24"/>
              </w:rPr>
              <w:t>资费制定依据和</w:t>
            </w:r>
            <w:r>
              <w:rPr>
                <w:rFonts w:hint="eastAsia"/>
                <w:sz w:val="24"/>
                <w:lang w:eastAsia="zh-CN"/>
              </w:rPr>
              <w:t>企业</w:t>
            </w:r>
            <w:r>
              <w:rPr>
                <w:rFonts w:hint="eastAsia"/>
                <w:sz w:val="24"/>
              </w:rPr>
              <w:t>产品成本测算数据)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10</w:t>
            </w:r>
          </w:p>
        </w:tc>
        <w:tc>
          <w:tcPr>
            <w:tcW w:w="7679" w:type="dxa"/>
            <w:noWrap w:val="0"/>
            <w:vAlign w:val="top"/>
          </w:tcPr>
          <w:p>
            <w:pPr>
              <w:rPr>
                <w:rFonts w:hint="eastAsia"/>
                <w:sz w:val="24"/>
                <w:szCs w:val="28"/>
              </w:rPr>
            </w:pPr>
            <w:r>
              <w:rPr>
                <w:rFonts w:hint="eastAsia"/>
                <w:sz w:val="24"/>
              </w:rPr>
              <w:t>企业筹资情况、负债情况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11</w:t>
            </w:r>
          </w:p>
        </w:tc>
        <w:tc>
          <w:tcPr>
            <w:tcW w:w="7679" w:type="dxa"/>
            <w:noWrap w:val="0"/>
            <w:vAlign w:val="top"/>
          </w:tcPr>
          <w:p>
            <w:pPr>
              <w:rPr>
                <w:rFonts w:hint="eastAsia"/>
                <w:sz w:val="24"/>
                <w:szCs w:val="28"/>
              </w:rPr>
            </w:pPr>
            <w:r>
              <w:rPr>
                <w:rFonts w:hint="eastAsia"/>
                <w:sz w:val="24"/>
              </w:rPr>
              <w:t>企业财务年度预算、决算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12</w:t>
            </w:r>
          </w:p>
        </w:tc>
        <w:tc>
          <w:tcPr>
            <w:tcW w:w="7679" w:type="dxa"/>
            <w:noWrap w:val="0"/>
            <w:vAlign w:val="top"/>
          </w:tcPr>
          <w:p>
            <w:pPr>
              <w:rPr>
                <w:rFonts w:hint="eastAsia"/>
                <w:sz w:val="24"/>
              </w:rPr>
            </w:pPr>
            <w:r>
              <w:rPr>
                <w:rFonts w:hint="eastAsia"/>
                <w:sz w:val="24"/>
              </w:rPr>
              <w:t>企业引进技术、设备，利用外资的项目计划，进口设备选型意见、技资估算、签约前的价格方案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13</w:t>
            </w:r>
          </w:p>
        </w:tc>
        <w:tc>
          <w:tcPr>
            <w:tcW w:w="7679" w:type="dxa"/>
            <w:noWrap w:val="0"/>
            <w:vAlign w:val="top"/>
          </w:tcPr>
          <w:p>
            <w:pPr>
              <w:rPr>
                <w:rFonts w:hint="eastAsia"/>
                <w:sz w:val="24"/>
                <w:szCs w:val="28"/>
              </w:rPr>
            </w:pPr>
            <w:r>
              <w:rPr>
                <w:rFonts w:hint="eastAsia"/>
                <w:sz w:val="24"/>
              </w:rPr>
              <w:t>集团、省重点通信骨干项目的可行性研究报告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14</w:t>
            </w:r>
          </w:p>
        </w:tc>
        <w:tc>
          <w:tcPr>
            <w:tcW w:w="7679" w:type="dxa"/>
            <w:noWrap w:val="0"/>
            <w:vAlign w:val="top"/>
          </w:tcPr>
          <w:p>
            <w:pPr>
              <w:rPr>
                <w:rFonts w:hint="eastAsia"/>
                <w:sz w:val="24"/>
                <w:szCs w:val="28"/>
              </w:rPr>
            </w:pPr>
            <w:r>
              <w:rPr>
                <w:rFonts w:hint="eastAsia"/>
                <w:sz w:val="24"/>
                <w:lang w:eastAsia="zh-CN"/>
              </w:rPr>
              <w:t>企业</w:t>
            </w:r>
            <w:r>
              <w:rPr>
                <w:rFonts w:hint="eastAsia"/>
                <w:sz w:val="24"/>
              </w:rPr>
              <w:t>工程骨干项目的可行性研究报告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15</w:t>
            </w:r>
          </w:p>
        </w:tc>
        <w:tc>
          <w:tcPr>
            <w:tcW w:w="7679" w:type="dxa"/>
            <w:noWrap w:val="0"/>
            <w:vAlign w:val="top"/>
          </w:tcPr>
          <w:p>
            <w:pPr>
              <w:rPr>
                <w:rFonts w:hint="eastAsia"/>
                <w:sz w:val="24"/>
                <w:szCs w:val="28"/>
              </w:rPr>
            </w:pPr>
            <w:r>
              <w:rPr>
                <w:rFonts w:hint="eastAsia"/>
                <w:sz w:val="24"/>
                <w:lang w:eastAsia="zh-CN"/>
              </w:rPr>
              <w:t>企业</w:t>
            </w:r>
            <w:r>
              <w:rPr>
                <w:rFonts w:hint="eastAsia"/>
                <w:sz w:val="24"/>
              </w:rPr>
              <w:t>网络图及资源、电路使用情况的系统资料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16</w:t>
            </w:r>
          </w:p>
        </w:tc>
        <w:tc>
          <w:tcPr>
            <w:tcW w:w="7679" w:type="dxa"/>
            <w:noWrap w:val="0"/>
            <w:vAlign w:val="top"/>
          </w:tcPr>
          <w:p>
            <w:pPr>
              <w:rPr>
                <w:rFonts w:hint="eastAsia"/>
                <w:sz w:val="24"/>
              </w:rPr>
            </w:pPr>
            <w:r>
              <w:rPr>
                <w:rFonts w:hint="eastAsia"/>
                <w:sz w:val="24"/>
              </w:rPr>
              <w:t>省内、市内交换设备、传输设备、终端设备、数据通信的具体设置示意图，省内骨干传输线路网络图及有关资料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17</w:t>
            </w:r>
          </w:p>
        </w:tc>
        <w:tc>
          <w:tcPr>
            <w:tcW w:w="7679" w:type="dxa"/>
            <w:noWrap w:val="0"/>
            <w:vAlign w:val="top"/>
          </w:tcPr>
          <w:p>
            <w:pPr>
              <w:rPr>
                <w:rFonts w:hint="eastAsia"/>
                <w:sz w:val="24"/>
                <w:szCs w:val="28"/>
              </w:rPr>
            </w:pPr>
            <w:r>
              <w:rPr>
                <w:rFonts w:hint="eastAsia"/>
                <w:sz w:val="24"/>
              </w:rPr>
              <w:t>战备应急通信有关路由、资料、计划与安排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18</w:t>
            </w:r>
          </w:p>
        </w:tc>
        <w:tc>
          <w:tcPr>
            <w:tcW w:w="7679" w:type="dxa"/>
            <w:noWrap w:val="0"/>
            <w:vAlign w:val="top"/>
          </w:tcPr>
          <w:p>
            <w:pPr>
              <w:rPr>
                <w:rFonts w:hint="eastAsia"/>
                <w:sz w:val="24"/>
              </w:rPr>
            </w:pPr>
            <w:r>
              <w:rPr>
                <w:rFonts w:hint="eastAsia"/>
                <w:sz w:val="24"/>
                <w:lang w:eastAsia="zh-CN"/>
              </w:rPr>
              <w:t>机顶盒、智能卡</w:t>
            </w:r>
            <w:r>
              <w:rPr>
                <w:rFonts w:hint="eastAsia"/>
                <w:sz w:val="24"/>
              </w:rPr>
              <w:t>的发行计划，数量，存放位置，库存数量，密码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19</w:t>
            </w:r>
          </w:p>
        </w:tc>
        <w:tc>
          <w:tcPr>
            <w:tcW w:w="7679" w:type="dxa"/>
            <w:noWrap w:val="0"/>
            <w:vAlign w:val="top"/>
          </w:tcPr>
          <w:p>
            <w:pPr>
              <w:rPr>
                <w:rFonts w:hint="eastAsia"/>
                <w:sz w:val="24"/>
                <w:szCs w:val="28"/>
              </w:rPr>
            </w:pPr>
            <w:r>
              <w:rPr>
                <w:rFonts w:hint="eastAsia"/>
                <w:sz w:val="24"/>
              </w:rPr>
              <w:t>至集团、省机要传真的保密措施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20</w:t>
            </w:r>
          </w:p>
        </w:tc>
        <w:tc>
          <w:tcPr>
            <w:tcW w:w="7679" w:type="dxa"/>
            <w:noWrap w:val="0"/>
            <w:vAlign w:val="top"/>
          </w:tcPr>
          <w:p>
            <w:pPr>
              <w:rPr>
                <w:rFonts w:hint="eastAsia"/>
                <w:sz w:val="24"/>
                <w:szCs w:val="28"/>
              </w:rPr>
            </w:pPr>
            <w:r>
              <w:rPr>
                <w:rFonts w:hint="eastAsia"/>
                <w:sz w:val="24"/>
              </w:rPr>
              <w:t>未公开的对外</w:t>
            </w:r>
            <w:r>
              <w:rPr>
                <w:rFonts w:hint="eastAsia"/>
                <w:sz w:val="24"/>
                <w:lang w:eastAsia="zh-CN"/>
              </w:rPr>
              <w:t>企业</w:t>
            </w:r>
            <w:r>
              <w:rPr>
                <w:rFonts w:hint="eastAsia"/>
                <w:sz w:val="24"/>
              </w:rPr>
              <w:t>通信合作计划、协议、协定、纪要、备忘录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21</w:t>
            </w:r>
          </w:p>
        </w:tc>
        <w:tc>
          <w:tcPr>
            <w:tcW w:w="7679" w:type="dxa"/>
            <w:noWrap w:val="0"/>
            <w:vAlign w:val="top"/>
          </w:tcPr>
          <w:p>
            <w:pPr>
              <w:rPr>
                <w:rFonts w:hint="eastAsia"/>
                <w:sz w:val="24"/>
              </w:rPr>
            </w:pPr>
            <w:r>
              <w:rPr>
                <w:rFonts w:hint="eastAsia"/>
                <w:sz w:val="24"/>
              </w:rPr>
              <w:t>审计工作的重要实施方案，处理意见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22</w:t>
            </w:r>
          </w:p>
        </w:tc>
        <w:tc>
          <w:tcPr>
            <w:tcW w:w="7679" w:type="dxa"/>
            <w:noWrap w:val="0"/>
            <w:vAlign w:val="top"/>
          </w:tcPr>
          <w:p>
            <w:pPr>
              <w:rPr>
                <w:rFonts w:hint="eastAsia"/>
                <w:sz w:val="24"/>
              </w:rPr>
            </w:pPr>
            <w:r>
              <w:rPr>
                <w:rFonts w:hint="eastAsia"/>
                <w:sz w:val="24"/>
              </w:rPr>
              <w:t>具有独特新工艺、新配方产品的有关资料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23</w:t>
            </w:r>
          </w:p>
        </w:tc>
        <w:tc>
          <w:tcPr>
            <w:tcW w:w="7679" w:type="dxa"/>
            <w:noWrap w:val="0"/>
            <w:vAlign w:val="top"/>
          </w:tcPr>
          <w:p>
            <w:pPr>
              <w:rPr>
                <w:rFonts w:hint="eastAsia"/>
                <w:sz w:val="24"/>
              </w:rPr>
            </w:pPr>
            <w:r>
              <w:rPr>
                <w:rFonts w:hint="eastAsia"/>
                <w:sz w:val="24"/>
                <w:lang w:eastAsia="zh-CN"/>
              </w:rPr>
              <w:t>企业</w:t>
            </w:r>
            <w:r>
              <w:rPr>
                <w:rFonts w:hint="eastAsia"/>
                <w:sz w:val="24"/>
              </w:rPr>
              <w:t>通信要害部位分布位置、功能、容量等相关资料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24</w:t>
            </w:r>
          </w:p>
        </w:tc>
        <w:tc>
          <w:tcPr>
            <w:tcW w:w="7679" w:type="dxa"/>
            <w:noWrap w:val="0"/>
            <w:vAlign w:val="top"/>
          </w:tcPr>
          <w:p>
            <w:pPr>
              <w:rPr>
                <w:rFonts w:hint="eastAsia"/>
                <w:sz w:val="24"/>
              </w:rPr>
            </w:pPr>
            <w:r>
              <w:rPr>
                <w:rFonts w:hint="eastAsia"/>
                <w:sz w:val="24"/>
                <w:lang w:eastAsia="zh-CN"/>
              </w:rPr>
              <w:t>企业</w:t>
            </w:r>
            <w:r>
              <w:rPr>
                <w:rFonts w:hint="eastAsia"/>
                <w:sz w:val="24"/>
              </w:rPr>
              <w:t>安全保卫工作力量、装备、组织及分布情况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top"/>
          </w:tcPr>
          <w:p>
            <w:pPr>
              <w:jc w:val="center"/>
              <w:rPr>
                <w:rFonts w:hint="eastAsia"/>
                <w:sz w:val="24"/>
              </w:rPr>
            </w:pPr>
            <w:r>
              <w:rPr>
                <w:rFonts w:hint="eastAsia"/>
                <w:sz w:val="24"/>
              </w:rPr>
              <w:t>25</w:t>
            </w:r>
          </w:p>
        </w:tc>
        <w:tc>
          <w:tcPr>
            <w:tcW w:w="7679" w:type="dxa"/>
            <w:noWrap w:val="0"/>
            <w:vAlign w:val="top"/>
          </w:tcPr>
          <w:p>
            <w:pPr>
              <w:rPr>
                <w:rFonts w:hint="eastAsia"/>
                <w:sz w:val="24"/>
              </w:rPr>
            </w:pPr>
            <w:r>
              <w:rPr>
                <w:rFonts w:hint="eastAsia"/>
                <w:sz w:val="24"/>
              </w:rPr>
              <w:t>计算机通信网安全技术和防范措施</w:t>
            </w:r>
          </w:p>
        </w:tc>
      </w:tr>
    </w:tbl>
    <w:p>
      <w:pPr>
        <w:spacing w:line="360" w:lineRule="auto"/>
        <w:rPr>
          <w:rFonts w:ascii="仿宋" w:hAnsi="仿宋" w:eastAsia="仿宋"/>
          <w:sz w:val="24"/>
          <w:szCs w:val="24"/>
        </w:rPr>
      </w:pPr>
    </w:p>
    <w:p>
      <w:pPr>
        <w:pStyle w:val="21"/>
        <w:rPr>
          <w:rFonts w:hint="eastAsia" w:ascii="仿宋" w:hAnsi="仿宋" w:eastAsia="仿宋"/>
          <w:b/>
          <w:bCs/>
          <w:color w:val="000000" w:themeColor="text1"/>
          <w:sz w:val="24"/>
          <w:szCs w:val="24"/>
          <w14:textFill>
            <w14:solidFill>
              <w14:schemeClr w14:val="tx1"/>
            </w14:solidFill>
          </w14:textFill>
        </w:rPr>
      </w:pPr>
    </w:p>
    <w:p>
      <w:pPr>
        <w:spacing w:line="240" w:lineRule="auto"/>
        <w:rPr>
          <w:rFonts w:hint="eastAsia"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br w:type="page"/>
      </w:r>
    </w:p>
    <w:bookmarkEnd w:id="20"/>
    <w:p>
      <w:pPr>
        <w:pStyle w:val="3"/>
        <w:numPr>
          <w:ilvl w:val="0"/>
          <w:numId w:val="0"/>
        </w:numPr>
        <w:spacing w:before="0" w:after="0" w:line="360" w:lineRule="auto"/>
        <w:rPr>
          <w:b/>
          <w:color w:val="000000" w:themeColor="text1"/>
          <w:sz w:val="36"/>
          <w:szCs w:val="36"/>
          <w14:textFill>
            <w14:solidFill>
              <w14:schemeClr w14:val="tx1"/>
            </w14:solidFill>
          </w14:textFill>
        </w:rPr>
      </w:pPr>
      <w:bookmarkStart w:id="21" w:name="_Toc18088"/>
      <w:r>
        <w:rPr>
          <w:rFonts w:hint="eastAsia"/>
          <w:b/>
          <w:color w:val="000000" w:themeColor="text1"/>
          <w:sz w:val="36"/>
          <w:szCs w:val="36"/>
          <w14:textFill>
            <w14:solidFill>
              <w14:schemeClr w14:val="tx1"/>
            </w14:solidFill>
          </w14:textFill>
        </w:rPr>
        <w:t>第五章</w:t>
      </w:r>
      <w:r>
        <w:rPr>
          <w:rFonts w:hint="eastAsia"/>
          <w:b/>
          <w:color w:val="000000" w:themeColor="text1"/>
          <w:sz w:val="36"/>
          <w:szCs w:val="36"/>
          <w:lang w:val="en-US" w:eastAsia="zh-CN"/>
          <w14:textFill>
            <w14:solidFill>
              <w14:schemeClr w14:val="tx1"/>
            </w14:solidFill>
          </w14:textFill>
        </w:rPr>
        <w:t xml:space="preserve"> </w:t>
      </w:r>
      <w:r>
        <w:rPr>
          <w:rFonts w:hint="eastAsia"/>
          <w:b/>
          <w:color w:val="000000" w:themeColor="text1"/>
          <w:sz w:val="36"/>
          <w:szCs w:val="36"/>
          <w14:textFill>
            <w14:solidFill>
              <w14:schemeClr w14:val="tx1"/>
            </w14:solidFill>
          </w14:textFill>
        </w:rPr>
        <w:t>技术需求书</w:t>
      </w:r>
      <w:bookmarkEnd w:id="21"/>
    </w:p>
    <w:p>
      <w:pPr>
        <w:pStyle w:val="89"/>
        <w:numPr>
          <w:ilvl w:val="0"/>
          <w:numId w:val="8"/>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供应商须对照本《技术需求书》，依据第三方检测报告、供应商本身产品说明书及样本，逐条说明所提供货物和服务已对竞争性</w:t>
      </w:r>
      <w:r>
        <w:rPr>
          <w:rFonts w:hint="eastAsia" w:ascii="宋体" w:hAnsi="宋体" w:eastAsia="宋体"/>
          <w:color w:val="000000" w:themeColor="text1"/>
          <w:sz w:val="21"/>
          <w:szCs w:val="21"/>
          <w:lang w:eastAsia="zh-CN"/>
          <w14:textFill>
            <w14:solidFill>
              <w14:schemeClr w14:val="tx1"/>
            </w14:solidFill>
          </w14:textFill>
        </w:rPr>
        <w:t>谈判</w:t>
      </w:r>
      <w:r>
        <w:rPr>
          <w:rFonts w:ascii="宋体" w:hAnsi="宋体"/>
          <w:color w:val="000000" w:themeColor="text1"/>
          <w:sz w:val="21"/>
          <w:szCs w:val="21"/>
          <w14:textFill>
            <w14:solidFill>
              <w14:schemeClr w14:val="tx1"/>
            </w14:solidFill>
          </w14:textFill>
        </w:rPr>
        <w:t>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w:t>
      </w:r>
      <w:r>
        <w:rPr>
          <w:rFonts w:hint="eastAsia" w:ascii="宋体" w:hAnsi="宋体" w:eastAsia="宋体"/>
          <w:color w:val="000000" w:themeColor="text1"/>
          <w:sz w:val="21"/>
          <w:szCs w:val="21"/>
          <w:lang w:eastAsia="zh-CN"/>
          <w14:textFill>
            <w14:solidFill>
              <w14:schemeClr w14:val="tx1"/>
            </w14:solidFill>
          </w14:textFill>
        </w:rPr>
        <w:t>谈判</w:t>
      </w:r>
      <w:r>
        <w:rPr>
          <w:rFonts w:ascii="宋体" w:hAnsi="宋体"/>
          <w:color w:val="000000" w:themeColor="text1"/>
          <w:sz w:val="21"/>
          <w:szCs w:val="21"/>
          <w14:textFill>
            <w14:solidFill>
              <w14:schemeClr w14:val="tx1"/>
            </w14:solidFill>
          </w14:textFill>
        </w:rPr>
        <w:t>文件技术要求或简单标注“符合”“满足”的响应文件将可能取消评审。供应商在合同签订中的任何偏差都不得超越技术偏离表中已被供应商确认的条款。</w:t>
      </w:r>
    </w:p>
    <w:p>
      <w:pPr>
        <w:pStyle w:val="89"/>
        <w:numPr>
          <w:ilvl w:val="0"/>
          <w:numId w:val="8"/>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竞争性</w:t>
      </w:r>
      <w:r>
        <w:rPr>
          <w:rFonts w:hint="eastAsia" w:ascii="宋体" w:hAnsi="宋体" w:eastAsia="宋体"/>
          <w:color w:val="000000" w:themeColor="text1"/>
          <w:sz w:val="21"/>
          <w:szCs w:val="21"/>
          <w:lang w:eastAsia="zh-CN"/>
          <w14:textFill>
            <w14:solidFill>
              <w14:schemeClr w14:val="tx1"/>
            </w14:solidFill>
          </w14:textFill>
        </w:rPr>
        <w:t>谈判</w:t>
      </w:r>
      <w:r>
        <w:rPr>
          <w:rFonts w:hint="eastAsia" w:ascii="宋体" w:hAnsi="宋体"/>
          <w:color w:val="000000" w:themeColor="text1"/>
          <w:sz w:val="21"/>
          <w:szCs w:val="21"/>
          <w14:textFill>
            <w14:solidFill>
              <w14:schemeClr w14:val="tx1"/>
            </w14:solidFill>
          </w14:textFill>
        </w:rPr>
        <w:t>文件技术要求中所</w:t>
      </w:r>
      <w:r>
        <w:rPr>
          <w:rFonts w:ascii="宋体" w:hAnsi="宋体"/>
          <w:color w:val="000000" w:themeColor="text1"/>
          <w:sz w:val="21"/>
          <w:szCs w:val="21"/>
          <w14:textFill>
            <w14:solidFill>
              <w14:schemeClr w14:val="tx1"/>
            </w14:solidFill>
          </w14:textFill>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8"/>
        </w:numPr>
        <w:spacing w:line="300" w:lineRule="auto"/>
        <w:ind w:left="0" w:firstLine="426" w:firstLineChars="0"/>
        <w:rPr>
          <w:rFonts w:ascii="宋体" w:hAnsi="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技术需求书中</w:t>
      </w:r>
      <w:r>
        <w:rPr>
          <w:rFonts w:ascii="宋体" w:hAnsi="宋体"/>
          <w:color w:val="000000" w:themeColor="text1"/>
          <w:sz w:val="21"/>
          <w:szCs w:val="21"/>
          <w14:textFill>
            <w14:solidFill>
              <w14:schemeClr w14:val="tx1"/>
            </w14:solidFill>
          </w14:textFill>
        </w:rPr>
        <w:t>带“</w:t>
      </w:r>
      <w:r>
        <w:rPr>
          <w:rFonts w:ascii="宋体" w:hAnsi="宋体" w:cs="宋体"/>
          <w:color w:val="000000" w:themeColor="text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部分为必须保证满足要求的条款。</w:t>
      </w:r>
    </w:p>
    <w:p>
      <w:pPr>
        <w:pStyle w:val="89"/>
        <w:numPr>
          <w:ilvl w:val="0"/>
          <w:numId w:val="8"/>
        </w:numPr>
        <w:spacing w:line="360" w:lineRule="auto"/>
        <w:ind w:left="0" w:firstLine="426"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color w:val="000000" w:themeColor="text1"/>
          <w:szCs w:val="21"/>
          <w14:textFill>
            <w14:solidFill>
              <w14:schemeClr w14:val="tx1"/>
            </w14:solidFill>
          </w14:textFill>
        </w:rPr>
        <w:sectPr>
          <w:headerReference r:id="rId7" w:type="default"/>
          <w:footerReference r:id="rId8" w:type="default"/>
          <w:pgSz w:w="11906" w:h="16838"/>
          <w:pgMar w:top="1440" w:right="1800" w:bottom="1440" w:left="1800" w:header="851" w:footer="992" w:gutter="0"/>
          <w:cols w:space="720" w:num="1"/>
          <w:docGrid w:type="lines" w:linePitch="312" w:charSpace="0"/>
        </w:sectPr>
      </w:pPr>
      <w:bookmarkStart w:id="22" w:name="_Toc31826"/>
      <w:bookmarkStart w:id="23" w:name="_Toc51053569"/>
      <w:bookmarkStart w:id="24" w:name="_Toc76856250"/>
      <w:bookmarkStart w:id="25" w:name="_Toc76996580"/>
      <w:bookmarkStart w:id="26" w:name="_Toc30212"/>
    </w:p>
    <w:bookmarkEnd w:id="22"/>
    <w:bookmarkEnd w:id="23"/>
    <w:bookmarkEnd w:id="24"/>
    <w:bookmarkEnd w:id="25"/>
    <w:bookmarkEnd w:id="26"/>
    <w:p>
      <w:pPr>
        <w:spacing w:line="360" w:lineRule="auto"/>
        <w:outlineLvl w:val="1"/>
        <w:rPr>
          <w:b/>
          <w:color w:val="000000" w:themeColor="text1"/>
          <w:sz w:val="24"/>
          <w14:textFill>
            <w14:solidFill>
              <w14:schemeClr w14:val="tx1"/>
            </w14:solidFill>
          </w14:textFill>
        </w:rPr>
      </w:pPr>
      <w:bookmarkStart w:id="27" w:name="_Toc20262"/>
      <w:r>
        <w:rPr>
          <w:rFonts w:hint="eastAsia"/>
          <w:b/>
          <w:color w:val="000000" w:themeColor="text1"/>
          <w:szCs w:val="21"/>
          <w14:textFill>
            <w14:solidFill>
              <w14:schemeClr w14:val="tx1"/>
            </w14:solidFill>
          </w14:textFill>
        </w:rPr>
        <w:t>一、项目背景</w:t>
      </w:r>
      <w:bookmarkEnd w:id="27"/>
    </w:p>
    <w:p>
      <w:pPr>
        <w:numPr>
          <w:ilvl w:val="255"/>
          <w:numId w:val="0"/>
        </w:numPr>
        <w:spacing w:line="360" w:lineRule="auto"/>
        <w:ind w:firstLine="420" w:firstLineChars="200"/>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如下图所示，</w:t>
      </w:r>
      <w:r>
        <w:rPr>
          <w:rFonts w:hint="eastAsia" w:asciiTheme="minorEastAsia" w:hAnsiTheme="minorEastAsia" w:eastAsiaTheme="minorEastAsia" w:cstheme="minorEastAsia"/>
          <w:color w:val="000000" w:themeColor="text1"/>
          <w:szCs w:val="22"/>
          <w14:textFill>
            <w14:solidFill>
              <w14:schemeClr w14:val="tx1"/>
            </w14:solidFill>
          </w14:textFill>
        </w:rPr>
        <w:t>本项目</w:t>
      </w: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5G边缘云系统包括5G网关、5G网管两部分。</w:t>
      </w:r>
    </w:p>
    <w:p>
      <w:pPr>
        <w:numPr>
          <w:ilvl w:val="255"/>
          <w:numId w:val="0"/>
        </w:numPr>
        <w:spacing w:line="360" w:lineRule="auto"/>
        <w:ind w:firstLine="420" w:firstLineChars="200"/>
        <w:rPr>
          <w:rFonts w:asciiTheme="minorEastAsia" w:hAnsiTheme="minorEastAsia" w:eastAsiaTheme="minorEastAsia" w:cstheme="minorEastAsia"/>
          <w:color w:val="000000" w:themeColor="text1"/>
          <w:szCs w:val="22"/>
          <w14:textFill>
            <w14:solidFill>
              <w14:schemeClr w14:val="tx1"/>
            </w14:solidFill>
          </w14:textFill>
        </w:rPr>
      </w:pP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w:t>
      </w:r>
      <w:r>
        <w:rPr>
          <w:rFonts w:hint="eastAsia" w:asciiTheme="minorEastAsia" w:hAnsiTheme="minorEastAsia" w:eastAsia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简称“5G小基站”）</w:t>
      </w:r>
      <w:r>
        <w:rPr>
          <w:rFonts w:hint="eastAsia" w:asciiTheme="minorEastAsia" w:hAnsiTheme="minorEastAsia" w:eastAsiaTheme="minorEastAsia" w:cstheme="minorEastAsia"/>
          <w:color w:val="000000" w:themeColor="text1"/>
          <w:szCs w:val="22"/>
          <w14:textFill>
            <w14:solidFill>
              <w14:schemeClr w14:val="tx1"/>
            </w14:solidFill>
          </w14:textFill>
        </w:rPr>
        <w:t>从用户家庭</w:t>
      </w:r>
      <w:r>
        <w:rPr>
          <w:rFonts w:asciiTheme="minorEastAsia" w:hAnsiTheme="minorEastAsia" w:eastAsiaTheme="minorEastAsia" w:cstheme="minorEastAsia"/>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地下室等室内应用场景接入，通过</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网关接入广电</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核心网。</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网关</w:t>
      </w:r>
      <w:r>
        <w:rPr>
          <w:rFonts w:hint="eastAsia" w:asciiTheme="minorEastAsia" w:hAnsiTheme="minorEastAsia" w:eastAsiaTheme="minorEastAsia" w:cstheme="minorEastAsia"/>
          <w:color w:val="000000" w:themeColor="text1"/>
          <w:szCs w:val="22"/>
          <w14:textFill>
            <w14:solidFill>
              <w14:schemeClr w14:val="tx1"/>
            </w14:solidFill>
          </w14:textFill>
        </w:rPr>
        <w:t>部署在前端机房，接入广电</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核心网网元</w:t>
      </w:r>
      <w:r>
        <w:rPr>
          <w:rFonts w:asciiTheme="minorEastAsia" w:hAnsiTheme="minorEastAsia" w:eastAsiaTheme="minorEastAsia" w:cstheme="minorEastAsia"/>
          <w:color w:val="000000" w:themeColor="text1"/>
          <w:szCs w:val="22"/>
          <w14:textFill>
            <w14:solidFill>
              <w14:schemeClr w14:val="tx1"/>
            </w14:solidFill>
          </w14:textFill>
        </w:rPr>
        <w:t>AMF</w:t>
      </w:r>
      <w:r>
        <w:rPr>
          <w:rFonts w:hint="eastAsia" w:asciiTheme="minorEastAsia" w:hAnsiTheme="minorEastAsia" w:eastAsiaTheme="minorEastAsia" w:cstheme="minorEastAsia"/>
          <w:color w:val="000000" w:themeColor="text1"/>
          <w:szCs w:val="22"/>
          <w14:textFill>
            <w14:solidFill>
              <w14:schemeClr w14:val="tx1"/>
            </w14:solidFill>
          </w14:textFill>
        </w:rPr>
        <w:t>、</w:t>
      </w:r>
      <w:r>
        <w:rPr>
          <w:rFonts w:asciiTheme="minorEastAsia" w:hAnsiTheme="minorEastAsia" w:eastAsiaTheme="minorEastAsia" w:cstheme="minorEastAsia"/>
          <w:color w:val="000000" w:themeColor="text1"/>
          <w:szCs w:val="22"/>
          <w14:textFill>
            <w14:solidFill>
              <w14:schemeClr w14:val="tx1"/>
            </w14:solidFill>
          </w14:textFill>
        </w:rPr>
        <w:t>UPF</w:t>
      </w:r>
      <w:r>
        <w:rPr>
          <w:rFonts w:hint="eastAsia" w:asciiTheme="minorEastAsia" w:hAnsiTheme="minorEastAsia" w:eastAsiaTheme="minorEastAsia" w:cstheme="minorEastAsia"/>
          <w:color w:val="000000" w:themeColor="text1"/>
          <w:szCs w:val="22"/>
          <w14:textFill>
            <w14:solidFill>
              <w14:schemeClr w14:val="tx1"/>
            </w14:solidFill>
          </w14:textFill>
        </w:rPr>
        <w:t>。</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一体化小基站的</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业务流量（控制面</w:t>
      </w:r>
      <w:r>
        <w:rPr>
          <w:rFonts w:asciiTheme="minorEastAsia" w:hAnsiTheme="minorEastAsia" w:eastAsiaTheme="minorEastAsia" w:cstheme="minorEastAsia"/>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szCs w:val="22"/>
          <w14:textFill>
            <w14:solidFill>
              <w14:schemeClr w14:val="tx1"/>
            </w14:solidFill>
          </w14:textFill>
        </w:rPr>
        <w:t>用户面）经地市公司接入网、城域网、省干传输网接入至基站交换机。</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网关接入核心网采用</w:t>
      </w:r>
      <w:r>
        <w:rPr>
          <w:rFonts w:asciiTheme="minorEastAsia" w:hAnsiTheme="minorEastAsia" w:eastAsiaTheme="minorEastAsia" w:cstheme="minorEastAsia"/>
          <w:color w:val="000000" w:themeColor="text1"/>
          <w:szCs w:val="22"/>
          <w14:textFill>
            <w14:solidFill>
              <w14:schemeClr w14:val="tx1"/>
            </w14:solidFill>
          </w14:textFill>
        </w:rPr>
        <w:t>IPv6</w:t>
      </w:r>
      <w:r>
        <w:rPr>
          <w:rFonts w:hint="eastAsia" w:asciiTheme="minorEastAsia" w:hAnsiTheme="minorEastAsia" w:eastAsiaTheme="minorEastAsia" w:cstheme="minorEastAsia"/>
          <w:color w:val="000000" w:themeColor="text1"/>
          <w:szCs w:val="22"/>
          <w14:textFill>
            <w14:solidFill>
              <w14:schemeClr w14:val="tx1"/>
            </w14:solidFill>
          </w14:textFill>
        </w:rPr>
        <w:t>地址，接</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一体化小基站采用</w:t>
      </w:r>
      <w:r>
        <w:rPr>
          <w:rFonts w:asciiTheme="minorEastAsia" w:hAnsiTheme="minorEastAsia" w:eastAsiaTheme="minorEastAsia" w:cstheme="minorEastAsia"/>
          <w:color w:val="000000" w:themeColor="text1"/>
          <w:szCs w:val="22"/>
          <w14:textFill>
            <w14:solidFill>
              <w14:schemeClr w14:val="tx1"/>
            </w14:solidFill>
          </w14:textFill>
        </w:rPr>
        <w:t>IPv4</w:t>
      </w:r>
      <w:r>
        <w:rPr>
          <w:rFonts w:hint="eastAsia" w:asciiTheme="minorEastAsia" w:hAnsiTheme="minorEastAsia" w:eastAsiaTheme="minorEastAsia" w:cstheme="minorEastAsia"/>
          <w:color w:val="000000" w:themeColor="text1"/>
          <w:szCs w:val="22"/>
          <w14:textFill>
            <w14:solidFill>
              <w14:schemeClr w14:val="tx1"/>
            </w14:solidFill>
          </w14:textFill>
        </w:rPr>
        <w:t>地址。</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网关汇聚和处理</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一体化小基站和</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核心网之间的信令和用户数据，为在</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一体化小基站覆盖范围内的终端用户提供可靠的</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接入。</w:t>
      </w: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同时，</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网管部署在前端机房，负责对</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一体化小基站和</w:t>
      </w:r>
      <w:r>
        <w:rPr>
          <w:rFonts w:asciiTheme="minorEastAsia" w:hAnsiTheme="minorEastAsia" w:eastAsiaTheme="minorEastAsia" w:cstheme="minorEastAsia"/>
          <w:color w:val="000000" w:themeColor="text1"/>
          <w:szCs w:val="22"/>
          <w14:textFill>
            <w14:solidFill>
              <w14:schemeClr w14:val="tx1"/>
            </w14:solidFill>
          </w14:textFill>
        </w:rPr>
        <w:t>5G</w:t>
      </w:r>
      <w:r>
        <w:rPr>
          <w:rFonts w:hint="eastAsia" w:asciiTheme="minorEastAsia" w:hAnsiTheme="minorEastAsia" w:eastAsiaTheme="minorEastAsia" w:cstheme="minorEastAsia"/>
          <w:color w:val="000000" w:themeColor="text1"/>
          <w:szCs w:val="22"/>
          <w14:textFill>
            <w14:solidFill>
              <w14:schemeClr w14:val="tx1"/>
            </w14:solidFill>
          </w14:textFill>
        </w:rPr>
        <w:t>网关提供统一的集中式远程管理。</w:t>
      </w:r>
    </w:p>
    <w:p>
      <w:pPr>
        <w:widowControl/>
        <w:spacing w:line="360" w:lineRule="auto"/>
        <w:jc w:val="center"/>
        <w:rPr>
          <w:rFonts w:eastAsia="方正仿宋_GBK"/>
          <w:color w:val="000000" w:themeColor="text1"/>
          <w:sz w:val="32"/>
          <w:szCs w:val="32"/>
          <w14:textFill>
            <w14:solidFill>
              <w14:schemeClr w14:val="tx1"/>
            </w14:solidFill>
          </w14:textFill>
        </w:rPr>
      </w:pPr>
      <w:r>
        <w:rPr>
          <w:color w:val="000000" w:themeColor="text1"/>
          <w14:textFill>
            <w14:solidFill>
              <w14:schemeClr w14:val="tx1"/>
            </w14:solidFill>
          </w14:textFill>
        </w:rPr>
        <w:drawing>
          <wp:inline distT="0" distB="0" distL="114300" distR="114300">
            <wp:extent cx="5271135" cy="2612390"/>
            <wp:effectExtent l="0" t="0" r="12065" b="381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5271135" cy="2612390"/>
                    </a:xfrm>
                    <a:prstGeom prst="rect">
                      <a:avLst/>
                    </a:prstGeom>
                    <a:noFill/>
                    <a:ln>
                      <a:noFill/>
                    </a:ln>
                  </pic:spPr>
                </pic:pic>
              </a:graphicData>
            </a:graphic>
          </wp:inline>
        </w:drawing>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采购内容如下：</w:t>
      </w:r>
    </w:p>
    <w:tbl>
      <w:tblPr>
        <w:tblStyle w:val="5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4"/>
        <w:gridCol w:w="1430"/>
        <w:gridCol w:w="1074"/>
        <w:gridCol w:w="728"/>
        <w:gridCol w:w="728"/>
        <w:gridCol w:w="873"/>
        <w:gridCol w:w="1018"/>
        <w:gridCol w:w="1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40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469" w:type="pct"/>
            <w:gridSpan w:val="2"/>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采购内容</w:t>
            </w:r>
          </w:p>
        </w:tc>
        <w:tc>
          <w:tcPr>
            <w:tcW w:w="42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单位</w:t>
            </w:r>
          </w:p>
        </w:tc>
        <w:tc>
          <w:tcPr>
            <w:tcW w:w="42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512"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规格</w:t>
            </w:r>
          </w:p>
        </w:tc>
        <w:tc>
          <w:tcPr>
            <w:tcW w:w="59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1159"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407" w:type="pct"/>
            <w:vMerge w:val="restart"/>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p>
            <w:pPr>
              <w:jc w:val="center"/>
              <w:rPr>
                <w:rFonts w:ascii="宋体" w:hAnsi="宋体"/>
                <w:color w:val="000000" w:themeColor="text1"/>
                <w:szCs w:val="21"/>
                <w14:textFill>
                  <w14:solidFill>
                    <w14:schemeClr w14:val="tx1"/>
                  </w14:solidFill>
                </w14:textFill>
              </w:rPr>
            </w:pPr>
          </w:p>
        </w:tc>
        <w:tc>
          <w:tcPr>
            <w:tcW w:w="839" w:type="pct"/>
            <w:vMerge w:val="restart"/>
            <w:tcBorders>
              <w:right w:val="single" w:color="auto" w:sz="4" w:space="0"/>
            </w:tcBorders>
            <w:vAlign w:val="center"/>
          </w:tcPr>
          <w:p>
            <w:pPr>
              <w:jc w:val="center"/>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5G</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边缘云系统</w:t>
            </w:r>
          </w:p>
        </w:tc>
        <w:tc>
          <w:tcPr>
            <w:tcW w:w="630" w:type="pct"/>
            <w:tcBorders>
              <w:left w:val="single" w:color="auto" w:sz="4" w:space="0"/>
            </w:tcBorders>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5G网关</w:t>
            </w:r>
          </w:p>
        </w:tc>
        <w:tc>
          <w:tcPr>
            <w:tcW w:w="427" w:type="pc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套</w:t>
            </w:r>
          </w:p>
        </w:tc>
        <w:tc>
          <w:tcPr>
            <w:tcW w:w="427" w:type="pc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512" w:type="pct"/>
            <w:vAlign w:val="center"/>
          </w:tcPr>
          <w:p>
            <w:pPr>
              <w:jc w:val="left"/>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满足技术</w:t>
            </w:r>
            <w:r>
              <w:rPr>
                <w:rFonts w:hint="eastAsia" w:ascii="宋体" w:hAnsi="宋体"/>
                <w:color w:val="000000" w:themeColor="text1"/>
                <w:szCs w:val="21"/>
                <w:lang w:val="en-US" w:eastAsia="zh-CN"/>
                <w14:textFill>
                  <w14:solidFill>
                    <w14:schemeClr w14:val="tx1"/>
                  </w14:solidFill>
                </w14:textFill>
              </w:rPr>
              <w:t>需求书</w:t>
            </w:r>
          </w:p>
        </w:tc>
        <w:tc>
          <w:tcPr>
            <w:tcW w:w="59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合同签订后</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0日</w:t>
            </w:r>
            <w:r>
              <w:rPr>
                <w:rFonts w:ascii="宋体" w:hAnsi="宋体"/>
                <w:color w:val="000000" w:themeColor="text1"/>
                <w:szCs w:val="21"/>
                <w14:textFill>
                  <w14:solidFill>
                    <w14:schemeClr w14:val="tx1"/>
                  </w14:solidFill>
                </w14:textFill>
              </w:rPr>
              <w:t>内</w:t>
            </w:r>
          </w:p>
        </w:tc>
        <w:tc>
          <w:tcPr>
            <w:tcW w:w="1159" w:type="pct"/>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江苏省广电有线信息网络股份有限公司指定地点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407" w:type="pct"/>
            <w:vMerge w:val="continue"/>
            <w:vAlign w:val="center"/>
          </w:tcPr>
          <w:p>
            <w:pPr>
              <w:jc w:val="center"/>
              <w:rPr>
                <w:rFonts w:ascii="宋体" w:hAnsi="宋体"/>
                <w:color w:val="000000" w:themeColor="text1"/>
                <w:szCs w:val="21"/>
                <w14:textFill>
                  <w14:solidFill>
                    <w14:schemeClr w14:val="tx1"/>
                  </w14:solidFill>
                </w14:textFill>
              </w:rPr>
            </w:pPr>
          </w:p>
        </w:tc>
        <w:tc>
          <w:tcPr>
            <w:tcW w:w="839" w:type="pct"/>
            <w:vMerge w:val="continue"/>
            <w:tcBorders>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630" w:type="pct"/>
            <w:tcBorders>
              <w:left w:val="single" w:color="auto" w:sz="4" w:space="0"/>
            </w:tcBorders>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5G网管</w:t>
            </w:r>
          </w:p>
        </w:tc>
        <w:tc>
          <w:tcPr>
            <w:tcW w:w="427" w:type="pc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套</w:t>
            </w:r>
          </w:p>
        </w:tc>
        <w:tc>
          <w:tcPr>
            <w:tcW w:w="427" w:type="pct"/>
            <w:vAlign w:val="center"/>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p>
        </w:tc>
        <w:tc>
          <w:tcPr>
            <w:tcW w:w="512" w:type="pct"/>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满足技术</w:t>
            </w:r>
            <w:r>
              <w:rPr>
                <w:rFonts w:hint="eastAsia" w:ascii="宋体" w:hAnsi="宋体"/>
                <w:color w:val="000000" w:themeColor="text1"/>
                <w:szCs w:val="21"/>
                <w:lang w:val="en-US" w:eastAsia="zh-CN"/>
                <w14:textFill>
                  <w14:solidFill>
                    <w14:schemeClr w14:val="tx1"/>
                  </w14:solidFill>
                </w14:textFill>
              </w:rPr>
              <w:t>需求书</w:t>
            </w:r>
          </w:p>
        </w:tc>
        <w:tc>
          <w:tcPr>
            <w:tcW w:w="597" w:type="pc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合同签订后</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0日</w:t>
            </w:r>
            <w:r>
              <w:rPr>
                <w:rFonts w:ascii="宋体" w:hAnsi="宋体"/>
                <w:color w:val="000000" w:themeColor="text1"/>
                <w:szCs w:val="21"/>
                <w14:textFill>
                  <w14:solidFill>
                    <w14:schemeClr w14:val="tx1"/>
                  </w14:solidFill>
                </w14:textFill>
              </w:rPr>
              <w:t>内</w:t>
            </w:r>
          </w:p>
        </w:tc>
        <w:tc>
          <w:tcPr>
            <w:tcW w:w="1159" w:type="pct"/>
            <w:vAlign w:val="center"/>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江苏省广电有线信息网络股份有限公司指定地点</w:t>
            </w:r>
          </w:p>
        </w:tc>
      </w:tr>
    </w:tbl>
    <w:p>
      <w:pPr>
        <w:widowControl/>
        <w:spacing w:line="360" w:lineRule="auto"/>
        <w:ind w:firstLine="420" w:firstLineChars="200"/>
        <w:jc w:val="left"/>
        <w:rPr>
          <w:rFonts w:hint="default" w:ascii="Tahoma" w:hAnsi="Tahoma" w:eastAsia="宋体"/>
          <w:color w:val="000000" w:themeColor="text1"/>
          <w:sz w:val="2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color w:val="000000" w:themeColor="text1"/>
          <w:szCs w:val="21"/>
          <w14:textFill>
            <w14:solidFill>
              <w14:schemeClr w14:val="tx1"/>
            </w14:solidFill>
          </w14:textFill>
        </w:rPr>
        <w:t>需根据以下具体技术要求，提供详尽的技术实现方案，标注有</w:t>
      </w:r>
      <w:r>
        <w:rPr>
          <w:rFonts w:hint="eastAsia" w:ascii="宋体" w:hAnsi="宋体" w:cs="Courier New"/>
          <w:color w:val="000000" w:themeColor="text1"/>
          <w:kern w:val="0"/>
          <w:szCs w:val="21"/>
          <w14:textFill>
            <w14:solidFill>
              <w14:schemeClr w14:val="tx1"/>
            </w14:solidFill>
          </w14:textFill>
        </w:rPr>
        <w:t>★</w:t>
      </w:r>
      <w:r>
        <w:rPr>
          <w:rFonts w:hint="eastAsia"/>
          <w:color w:val="000000" w:themeColor="text1"/>
          <w:szCs w:val="21"/>
          <w14:textFill>
            <w14:solidFill>
              <w14:schemeClr w14:val="tx1"/>
            </w14:solidFill>
          </w14:textFill>
        </w:rPr>
        <w:t>的条款为必须满足的条款。</w:t>
      </w:r>
      <w:r>
        <w:rPr>
          <w:rFonts w:hint="eastAsia"/>
          <w:b/>
          <w:bCs/>
          <w:color w:val="000000" w:themeColor="text1"/>
          <w:szCs w:val="21"/>
          <w:lang w:val="en-US" w:eastAsia="zh-CN"/>
          <w14:textFill>
            <w14:solidFill>
              <w14:schemeClr w14:val="tx1"/>
            </w14:solidFill>
          </w14:textFill>
        </w:rPr>
        <w:t>“</w:t>
      </w:r>
      <w:r>
        <w:rPr>
          <w:rFonts w:hint="eastAsia" w:ascii="Times New Roman" w:hAnsi="Times New Roman"/>
          <w:b/>
          <w:color w:val="000000" w:themeColor="text1"/>
          <w:sz w:val="21"/>
          <w:szCs w:val="21"/>
          <w:lang w:val="en-US" w:eastAsia="zh-CN" w:bidi="en-US"/>
          <w14:textFill>
            <w14:solidFill>
              <w14:schemeClr w14:val="tx1"/>
            </w14:solidFill>
          </w14:textFill>
        </w:rPr>
        <w:t>五、轻量化MEC</w:t>
      </w:r>
      <w:r>
        <w:rPr>
          <w:rFonts w:hint="eastAsia"/>
          <w:b/>
          <w:color w:val="000000" w:themeColor="text1"/>
          <w:sz w:val="21"/>
          <w:szCs w:val="21"/>
          <w:lang w:val="en-US" w:eastAsia="zh-CN" w:bidi="en-US"/>
          <w14:textFill>
            <w14:solidFill>
              <w14:schemeClr w14:val="tx1"/>
            </w14:solidFill>
          </w14:textFill>
        </w:rPr>
        <w:t>（可选）</w:t>
      </w:r>
      <w:r>
        <w:rPr>
          <w:rFonts w:hint="eastAsia"/>
          <w:b/>
          <w:bCs/>
          <w:color w:val="000000" w:themeColor="text1"/>
          <w:szCs w:val="21"/>
          <w:lang w:val="en-US" w:eastAsia="zh-CN"/>
          <w14:textFill>
            <w14:solidFill>
              <w14:schemeClr w14:val="tx1"/>
            </w14:solidFill>
          </w14:textFill>
        </w:rPr>
        <w:t>”条款为加分条款。</w:t>
      </w:r>
    </w:p>
    <w:p>
      <w:pPr>
        <w:spacing w:line="360" w:lineRule="auto"/>
        <w:outlineLvl w:val="1"/>
        <w:rPr>
          <w:b/>
          <w:color w:val="000000" w:themeColor="text1"/>
          <w:szCs w:val="21"/>
          <w14:textFill>
            <w14:solidFill>
              <w14:schemeClr w14:val="tx1"/>
            </w14:solidFill>
          </w14:textFill>
        </w:rPr>
      </w:pPr>
      <w:bookmarkStart w:id="28" w:name="_Toc22365"/>
      <w:r>
        <w:rPr>
          <w:rFonts w:hint="eastAsia"/>
          <w:b/>
          <w:color w:val="000000" w:themeColor="text1"/>
          <w:szCs w:val="21"/>
          <w14:textFill>
            <w14:solidFill>
              <w14:schemeClr w14:val="tx1"/>
            </w14:solidFill>
          </w14:textFill>
        </w:rPr>
        <w:t>二</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项目总体</w:t>
      </w:r>
      <w:r>
        <w:rPr>
          <w:b/>
          <w:color w:val="000000" w:themeColor="text1"/>
          <w:szCs w:val="21"/>
          <w14:textFill>
            <w14:solidFill>
              <w14:schemeClr w14:val="tx1"/>
            </w14:solidFill>
          </w14:textFill>
        </w:rPr>
        <w:t>要求</w:t>
      </w:r>
      <w:bookmarkEnd w:id="28"/>
    </w:p>
    <w:p>
      <w:pPr>
        <w:spacing w:line="360" w:lineRule="auto"/>
        <w:ind w:firstLine="420" w:firstLineChars="200"/>
        <w:rPr>
          <w:color w:val="000000" w:themeColor="text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color w:val="000000" w:themeColor="text1"/>
          <w:szCs w:val="21"/>
          <w14:textFill>
            <w14:solidFill>
              <w14:schemeClr w14:val="tx1"/>
            </w14:solidFill>
          </w14:textFill>
        </w:rPr>
        <w:t>应在对该项目业务需求深刻理解的基础上按照统一格式明确地逐条回答所有技术要求：“完全满足”是指完全响应采购人的技术要求，“部分满足”必须详细说明满足的部分和不满足的原因和解决措施，“不满足”必须详细说明不满足的原因和解决措施。</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谈判</w:t>
      </w:r>
      <w:r>
        <w:rPr>
          <w:rFonts w:hint="eastAsia"/>
          <w:color w:val="000000" w:themeColor="text1"/>
          <w:szCs w:val="21"/>
          <w14:textFill>
            <w14:solidFill>
              <w14:schemeClr w14:val="tx1"/>
            </w14:solidFill>
          </w14:textFill>
        </w:rPr>
        <w:t>文件技术要求中所描述的内容为本项目的基本技术要求，不应作为完整的详细要求。对于为满足正常运行所需设备材料的供应、安装、调试、验收及质量保证的内容请</w:t>
      </w:r>
      <w:r>
        <w:rPr>
          <w:rFonts w:hint="eastAsia" w:ascii="宋体" w:hAnsi="宋体" w:cs="宋体"/>
          <w:color w:val="000000" w:themeColor="text1"/>
          <w:sz w:val="21"/>
          <w:szCs w:val="21"/>
          <w:lang w:val="en-US" w:eastAsia="zh-CN"/>
          <w14:textFill>
            <w14:solidFill>
              <w14:schemeClr w14:val="tx1"/>
            </w14:solidFill>
          </w14:textFill>
        </w:rPr>
        <w:t>供应商</w:t>
      </w:r>
      <w:r>
        <w:rPr>
          <w:rFonts w:hint="eastAsia"/>
          <w:color w:val="000000" w:themeColor="text1"/>
          <w:szCs w:val="21"/>
          <w14:textFill>
            <w14:solidFill>
              <w14:schemeClr w14:val="tx1"/>
            </w14:solidFill>
          </w14:textFill>
        </w:rPr>
        <w:t>自行考虑。中标人应满足本技术需求书中未描述的，但为保证设备能正常有效运行所需要的其它要求和所需的设备与附件。</w:t>
      </w:r>
    </w:p>
    <w:p>
      <w:pPr>
        <w:spacing w:line="360" w:lineRule="auto"/>
        <w:ind w:firstLine="422" w:firstLineChars="200"/>
        <w:outlineLvl w:val="2"/>
        <w:rPr>
          <w:b/>
          <w:bCs/>
          <w:color w:val="000000" w:themeColor="text1"/>
          <w:szCs w:val="21"/>
          <w14:textFill>
            <w14:solidFill>
              <w14:schemeClr w14:val="tx1"/>
            </w14:solidFill>
          </w14:textFill>
        </w:rPr>
      </w:pPr>
      <w:bookmarkStart w:id="29" w:name="_Toc1880"/>
      <w:r>
        <w:rPr>
          <w:rFonts w:hint="eastAsia"/>
          <w:b/>
          <w:bCs/>
          <w:color w:val="000000" w:themeColor="text1"/>
          <w:szCs w:val="21"/>
          <w14:textFill>
            <w14:solidFill>
              <w14:schemeClr w14:val="tx1"/>
            </w14:solidFill>
          </w14:textFill>
        </w:rPr>
        <w:t>2.1</w:t>
      </w:r>
      <w:r>
        <w:rPr>
          <w:rFonts w:hint="eastAsia" w:ascii="宋体" w:hAnsi="宋体" w:cs="Courier New"/>
          <w:b/>
          <w:bCs/>
          <w:color w:val="000000" w:themeColor="text1"/>
          <w:kern w:val="0"/>
          <w:szCs w:val="21"/>
          <w14:textFill>
            <w14:solidFill>
              <w14:schemeClr w14:val="tx1"/>
            </w14:solidFill>
          </w14:textFill>
        </w:rPr>
        <w:t>★</w:t>
      </w:r>
      <w:r>
        <w:rPr>
          <w:rFonts w:hint="eastAsia"/>
          <w:b/>
          <w:bCs/>
          <w:color w:val="000000" w:themeColor="text1"/>
          <w:szCs w:val="21"/>
          <w14:textFill>
            <w14:solidFill>
              <w14:schemeClr w14:val="tx1"/>
            </w14:solidFill>
          </w14:textFill>
        </w:rPr>
        <w:t>先进性和实用性</w:t>
      </w:r>
      <w:bookmarkEnd w:id="29"/>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系统的设计必须采用先进的概念、技术和方法，达到国际一流、国内领先的水平。</w:t>
      </w:r>
    </w:p>
    <w:p>
      <w:pPr>
        <w:spacing w:line="360" w:lineRule="auto"/>
        <w:ind w:firstLine="422" w:firstLineChars="200"/>
        <w:outlineLvl w:val="2"/>
        <w:rPr>
          <w:b/>
          <w:bCs/>
          <w:color w:val="000000" w:themeColor="text1"/>
          <w:szCs w:val="21"/>
          <w14:textFill>
            <w14:solidFill>
              <w14:schemeClr w14:val="tx1"/>
            </w14:solidFill>
          </w14:textFill>
        </w:rPr>
      </w:pPr>
      <w:bookmarkStart w:id="30" w:name="_Toc21620"/>
      <w:r>
        <w:rPr>
          <w:rFonts w:hint="eastAsia"/>
          <w:b/>
          <w:bCs/>
          <w:color w:val="000000" w:themeColor="text1"/>
          <w:szCs w:val="21"/>
          <w14:textFill>
            <w14:solidFill>
              <w14:schemeClr w14:val="tx1"/>
            </w14:solidFill>
          </w14:textFill>
        </w:rPr>
        <w:t>2.2★标准性和开放性</w:t>
      </w:r>
      <w:bookmarkEnd w:id="30"/>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系统的各项技术和设备应当符合国际、国内或者行业内有关标准，提供开放、标准的协议接口，使得系统具有良好的互操作性。</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至少</w:t>
      </w:r>
      <w:r>
        <w:rPr>
          <w:rFonts w:hint="eastAsia" w:asciiTheme="minorEastAsia" w:hAnsiTheme="minorEastAsia" w:eastAsiaTheme="minorEastAsia" w:cstheme="minorEastAsia"/>
          <w:color w:val="000000" w:themeColor="text1"/>
          <w:sz w:val="21"/>
          <w:szCs w:val="22"/>
          <w14:textFill>
            <w14:solidFill>
              <w14:schemeClr w14:val="tx1"/>
            </w14:solidFill>
          </w14:textFill>
        </w:rPr>
        <w:t>满足3GPP R1</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2"/>
          <w14:textFill>
            <w14:solidFill>
              <w14:schemeClr w14:val="tx1"/>
            </w14:solidFill>
          </w14:textFill>
        </w:rPr>
        <w:t>标准</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能够根据甲方要求格式提供相关技术交底。</w:t>
      </w:r>
    </w:p>
    <w:p>
      <w:pPr>
        <w:spacing w:line="360" w:lineRule="auto"/>
        <w:ind w:firstLine="422" w:firstLineChars="200"/>
        <w:outlineLvl w:val="2"/>
        <w:rPr>
          <w:b/>
          <w:bCs/>
          <w:color w:val="000000" w:themeColor="text1"/>
          <w:szCs w:val="21"/>
          <w14:textFill>
            <w14:solidFill>
              <w14:schemeClr w14:val="tx1"/>
            </w14:solidFill>
          </w14:textFill>
        </w:rPr>
      </w:pPr>
      <w:bookmarkStart w:id="31" w:name="_Toc28968"/>
      <w:r>
        <w:rPr>
          <w:rFonts w:hint="eastAsia"/>
          <w:b/>
          <w:bCs/>
          <w:color w:val="000000" w:themeColor="text1"/>
          <w:szCs w:val="21"/>
          <w14:textFill>
            <w14:solidFill>
              <w14:schemeClr w14:val="tx1"/>
            </w14:solidFill>
          </w14:textFill>
        </w:rPr>
        <w:t>2.3★可靠性和安全性</w:t>
      </w:r>
      <w:bookmarkEnd w:id="31"/>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在考虑技术先进性的同时，还必须从系统结构、技术措施、设备性能、系统管理及维护等方面着手，确保系统安全稳定运行及与其相关联的业务数据的安全。</w:t>
      </w:r>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满足7*24小时不间断的稳定运行，且月度及年度的可靠运行时间及正常提供服务的时间比不低于99.9</w:t>
      </w:r>
      <w:r>
        <w:rPr>
          <w:rFonts w:hint="eastAsia"/>
          <w:color w:val="000000" w:themeColor="text1"/>
          <w:szCs w:val="21"/>
          <w:lang w:val="en-US" w:eastAsia="zh-CN"/>
          <w14:textFill>
            <w14:solidFill>
              <w14:schemeClr w14:val="tx1"/>
            </w14:solidFill>
          </w14:textFill>
        </w:rPr>
        <w:t>99</w:t>
      </w:r>
      <w:r>
        <w:rPr>
          <w:rFonts w:hint="eastAsia"/>
          <w:color w:val="000000" w:themeColor="text1"/>
          <w:szCs w:val="21"/>
          <w14:textFill>
            <w14:solidFill>
              <w14:schemeClr w14:val="tx1"/>
            </w14:solidFill>
          </w14:textFill>
        </w:rPr>
        <w:t>%。</w:t>
      </w:r>
    </w:p>
    <w:p>
      <w:pPr>
        <w:spacing w:line="360" w:lineRule="auto"/>
        <w:ind w:firstLine="422" w:firstLineChars="200"/>
        <w:outlineLvl w:val="2"/>
        <w:rPr>
          <w:b/>
          <w:bCs/>
          <w:color w:val="000000" w:themeColor="text1"/>
          <w:szCs w:val="21"/>
          <w14:textFill>
            <w14:solidFill>
              <w14:schemeClr w14:val="tx1"/>
            </w14:solidFill>
          </w14:textFill>
        </w:rPr>
      </w:pPr>
      <w:bookmarkStart w:id="32" w:name="_Toc32098"/>
      <w:r>
        <w:rPr>
          <w:rFonts w:hint="eastAsia"/>
          <w:b/>
          <w:bCs/>
          <w:color w:val="000000" w:themeColor="text1"/>
          <w:szCs w:val="21"/>
          <w14:textFill>
            <w14:solidFill>
              <w14:schemeClr w14:val="tx1"/>
            </w14:solidFill>
          </w14:textFill>
        </w:rPr>
        <w:t>2.4★灵活性和可扩展性</w:t>
      </w:r>
      <w:bookmarkEnd w:id="32"/>
    </w:p>
    <w:p>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系统应当具有良好的升级能力和扩展性，支持系统的扩容和远程升级。</w:t>
      </w:r>
    </w:p>
    <w:p>
      <w:pPr>
        <w:widowControl/>
        <w:spacing w:line="360" w:lineRule="auto"/>
        <w:ind w:firstLine="422" w:firstLineChars="200"/>
        <w:jc w:val="left"/>
        <w:rPr>
          <w:rFonts w:asciiTheme="minorEastAsia" w:hAnsiTheme="minorEastAsia" w:eastAsiaTheme="minorEastAsia" w:cstheme="minorEastAsia"/>
          <w:b/>
          <w:bCs/>
          <w:color w:val="000000" w:themeColor="text1"/>
          <w:szCs w:val="22"/>
          <w14:textFill>
            <w14:solidFill>
              <w14:schemeClr w14:val="tx1"/>
            </w14:solidFill>
          </w14:textFill>
        </w:rPr>
      </w:pPr>
      <w:r>
        <w:rPr>
          <w:rFonts w:hint="eastAsia" w:asciiTheme="minorEastAsia" w:hAnsiTheme="minorEastAsia" w:eastAsiaTheme="minorEastAsia" w:cstheme="minorEastAsia"/>
          <w:b/>
          <w:bCs/>
          <w:color w:val="000000" w:themeColor="text1"/>
          <w:szCs w:val="22"/>
          <w14:textFill>
            <w14:solidFill>
              <w14:schemeClr w14:val="tx1"/>
            </w14:solidFill>
          </w14:textFill>
        </w:rPr>
        <w:t>2.5</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2"/>
          <w14:textFill>
            <w14:solidFill>
              <w14:schemeClr w14:val="tx1"/>
            </w14:solidFill>
          </w14:textFill>
        </w:rPr>
        <w:t>互通性要求</w:t>
      </w:r>
    </w:p>
    <w:p>
      <w:pPr>
        <w:widowControl/>
        <w:spacing w:line="360" w:lineRule="auto"/>
        <w:ind w:firstLine="420" w:firstLineChars="200"/>
        <w:jc w:val="left"/>
        <w:rPr>
          <w:rFonts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5G边缘云系统，包括5G网关、网管设备应支持与采购人的5G一体化小基站互通。本次互通的5G一体化小基站的数量及规格如下：</w:t>
      </w:r>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42"/>
        <w:gridCol w:w="1479"/>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spacing w:line="360" w:lineRule="auto"/>
              <w:jc w:val="center"/>
              <w:rPr>
                <w:rFonts w:asciiTheme="minorEastAsia" w:hAnsiTheme="minorEastAsia" w:eastAsiaTheme="minorEastAsia"/>
                <w:color w:val="000000" w:themeColor="text1"/>
                <w:szCs w:val="16"/>
                <w14:textFill>
                  <w14:solidFill>
                    <w14:schemeClr w14:val="tx1"/>
                  </w14:solidFill>
                </w14:textFill>
              </w:rPr>
            </w:pPr>
            <w:r>
              <w:rPr>
                <w:rFonts w:hint="eastAsia" w:asciiTheme="minorEastAsia" w:hAnsiTheme="minorEastAsia" w:eastAsiaTheme="minorEastAsia"/>
                <w:color w:val="000000" w:themeColor="text1"/>
                <w:szCs w:val="16"/>
                <w14:textFill>
                  <w14:solidFill>
                    <w14:schemeClr w14:val="tx1"/>
                  </w14:solidFill>
                </w14:textFill>
              </w:rPr>
              <w:t>型号</w:t>
            </w:r>
          </w:p>
        </w:tc>
        <w:tc>
          <w:tcPr>
            <w:tcW w:w="553" w:type="pct"/>
          </w:tcPr>
          <w:p>
            <w:pPr>
              <w:widowControl/>
              <w:spacing w:line="360" w:lineRule="auto"/>
              <w:jc w:val="center"/>
              <w:rPr>
                <w:rFonts w:asciiTheme="minorEastAsia" w:hAnsiTheme="minorEastAsia" w:eastAsiaTheme="minorEastAsia"/>
                <w:color w:val="000000" w:themeColor="text1"/>
                <w:szCs w:val="16"/>
                <w14:textFill>
                  <w14:solidFill>
                    <w14:schemeClr w14:val="tx1"/>
                  </w14:solidFill>
                </w14:textFill>
              </w:rPr>
            </w:pPr>
            <w:r>
              <w:rPr>
                <w:rFonts w:hint="eastAsia" w:asciiTheme="minorEastAsia" w:hAnsiTheme="minorEastAsia" w:eastAsiaTheme="minorEastAsia"/>
                <w:color w:val="000000" w:themeColor="text1"/>
                <w:szCs w:val="16"/>
                <w14:textFill>
                  <w14:solidFill>
                    <w14:schemeClr w14:val="tx1"/>
                  </w14:solidFill>
                </w14:textFill>
              </w:rPr>
              <w:t>数量（台）</w:t>
            </w:r>
          </w:p>
        </w:tc>
        <w:tc>
          <w:tcPr>
            <w:tcW w:w="867" w:type="pct"/>
          </w:tcPr>
          <w:p>
            <w:pPr>
              <w:widowControl/>
              <w:spacing w:line="360" w:lineRule="auto"/>
              <w:jc w:val="center"/>
              <w:rPr>
                <w:rFonts w:asciiTheme="minorEastAsia" w:hAnsiTheme="minorEastAsia" w:eastAsiaTheme="minorEastAsia"/>
                <w:color w:val="000000" w:themeColor="text1"/>
                <w:szCs w:val="16"/>
                <w14:textFill>
                  <w14:solidFill>
                    <w14:schemeClr w14:val="tx1"/>
                  </w14:solidFill>
                </w14:textFill>
              </w:rPr>
            </w:pPr>
            <w:r>
              <w:rPr>
                <w:rFonts w:hint="eastAsia" w:asciiTheme="minorEastAsia" w:hAnsiTheme="minorEastAsia" w:eastAsiaTheme="minorEastAsia"/>
                <w:color w:val="000000" w:themeColor="text1"/>
                <w:szCs w:val="16"/>
                <w14:textFill>
                  <w14:solidFill>
                    <w14:schemeClr w14:val="tx1"/>
                  </w14:solidFill>
                </w14:textFill>
              </w:rPr>
              <w:t>规格</w:t>
            </w:r>
          </w:p>
        </w:tc>
        <w:tc>
          <w:tcPr>
            <w:tcW w:w="3126" w:type="pct"/>
          </w:tcPr>
          <w:p>
            <w:pPr>
              <w:widowControl/>
              <w:spacing w:line="360" w:lineRule="auto"/>
              <w:jc w:val="center"/>
              <w:rPr>
                <w:rFonts w:asciiTheme="minorEastAsia" w:hAnsiTheme="minorEastAsia" w:eastAsiaTheme="minorEastAsia"/>
                <w:color w:val="000000" w:themeColor="text1"/>
                <w:szCs w:val="16"/>
                <w14:textFill>
                  <w14:solidFill>
                    <w14:schemeClr w14:val="tx1"/>
                  </w14:solidFill>
                </w14:textFill>
              </w:rPr>
            </w:pPr>
            <w:r>
              <w:rPr>
                <w:rFonts w:hint="eastAsia" w:asciiTheme="minorEastAsia" w:hAnsiTheme="minorEastAsia" w:eastAsiaTheme="minorEastAsia"/>
                <w:color w:val="000000" w:themeColor="text1"/>
                <w:szCs w:val="16"/>
                <w14:textFill>
                  <w14:solidFill>
                    <w14:schemeClr w14:val="tx1"/>
                  </w14:solidFill>
                </w14:textFill>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自主型</w:t>
            </w:r>
          </w:p>
        </w:tc>
        <w:tc>
          <w:tcPr>
            <w:tcW w:w="553" w:type="pct"/>
          </w:tcPr>
          <w:p>
            <w:pPr>
              <w:widowControl/>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p>
        </w:tc>
        <w:tc>
          <w:tcPr>
            <w:tcW w:w="867" w:type="pct"/>
          </w:tcPr>
          <w:p>
            <w:pPr>
              <w:widowControl/>
              <w:numPr>
                <w:ilvl w:val="255"/>
                <w:numId w:val="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支持同轴H</w:t>
            </w:r>
            <w:r>
              <w:rPr>
                <w:rFonts w:ascii="宋体" w:hAnsi="宋体" w:cs="宋体"/>
                <w:color w:val="000000" w:themeColor="text1"/>
                <w:kern w:val="0"/>
                <w:szCs w:val="21"/>
                <w14:textFill>
                  <w14:solidFill>
                    <w14:schemeClr w14:val="tx1"/>
                  </w14:solidFill>
                </w14:textFill>
              </w:rPr>
              <w:t>INOC</w:t>
            </w:r>
            <w:r>
              <w:rPr>
                <w:rFonts w:hint="eastAsia" w:ascii="宋体" w:hAnsi="宋体" w:cs="宋体"/>
                <w:color w:val="000000" w:themeColor="text1"/>
                <w:kern w:val="0"/>
                <w:szCs w:val="21"/>
                <w14:textFill>
                  <w14:solidFill>
                    <w14:schemeClr w14:val="tx1"/>
                  </w14:solidFill>
                </w14:textFill>
              </w:rPr>
              <w:t>网络环境（5台），支持F</w:t>
            </w:r>
            <w:r>
              <w:rPr>
                <w:rFonts w:ascii="宋体" w:hAnsi="宋体" w:cs="宋体"/>
                <w:color w:val="000000" w:themeColor="text1"/>
                <w:kern w:val="0"/>
                <w:szCs w:val="21"/>
                <w14:textFill>
                  <w14:solidFill>
                    <w14:schemeClr w14:val="tx1"/>
                  </w14:solidFill>
                </w14:textFill>
              </w:rPr>
              <w:t>TTH</w:t>
            </w:r>
            <w:r>
              <w:rPr>
                <w:rFonts w:hint="eastAsia" w:ascii="宋体" w:hAnsi="宋体" w:cs="宋体"/>
                <w:color w:val="000000" w:themeColor="text1"/>
                <w:kern w:val="0"/>
                <w:szCs w:val="21"/>
                <w14:textFill>
                  <w14:solidFill>
                    <w14:schemeClr w14:val="tx1"/>
                  </w14:solidFill>
                </w14:textFill>
              </w:rPr>
              <w:t>网络环境（2</w:t>
            </w:r>
            <w:r>
              <w:rPr>
                <w:rFonts w:ascii="宋体" w:hAnsi="宋体" w:cs="宋体"/>
                <w:color w:val="000000" w:themeColor="text1"/>
                <w:kern w:val="0"/>
                <w:szCs w:val="21"/>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台）。</w:t>
            </w:r>
            <w:r>
              <w:rPr>
                <w:rFonts w:ascii="宋体" w:hAnsi="宋体" w:cs="宋体"/>
                <w:color w:val="000000" w:themeColor="text1"/>
                <w:kern w:val="0"/>
                <w:szCs w:val="21"/>
                <w14:textFill>
                  <w14:solidFill>
                    <w14:schemeClr w14:val="tx1"/>
                  </w14:solidFill>
                </w14:textFill>
              </w:rPr>
              <w:t>BBU</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RRU</w:t>
            </w:r>
            <w:r>
              <w:rPr>
                <w:rFonts w:hint="eastAsia" w:ascii="宋体" w:hAnsi="宋体" w:cs="宋体"/>
                <w:color w:val="000000" w:themeColor="text1"/>
                <w:kern w:val="0"/>
                <w:szCs w:val="21"/>
                <w14:textFill>
                  <w14:solidFill>
                    <w14:schemeClr w14:val="tx1"/>
                  </w14:solidFill>
                </w14:textFill>
              </w:rPr>
              <w:t>一体化集成，单一设备可完成基站接入功能，上下行综合速率大于1</w:t>
            </w:r>
            <w:r>
              <w:rPr>
                <w:rFonts w:ascii="宋体" w:hAnsi="宋体" w:cs="宋体"/>
                <w:color w:val="000000" w:themeColor="text1"/>
                <w:kern w:val="0"/>
                <w:szCs w:val="21"/>
                <w14:textFill>
                  <w14:solidFill>
                    <w14:schemeClr w14:val="tx1"/>
                  </w14:solidFill>
                </w14:textFill>
              </w:rPr>
              <w:t>G</w:t>
            </w:r>
            <w:r>
              <w:rPr>
                <w:rFonts w:hint="eastAsia" w:ascii="宋体" w:hAnsi="宋体" w:cs="宋体"/>
                <w:color w:val="000000" w:themeColor="text1"/>
                <w:kern w:val="0"/>
                <w:szCs w:val="21"/>
                <w14:textFill>
                  <w14:solidFill>
                    <w14:schemeClr w14:val="tx1"/>
                  </w14:solidFill>
                </w14:textFill>
              </w:rPr>
              <w:t>bps。支持</w:t>
            </w:r>
            <w:r>
              <w:rPr>
                <w:rFonts w:ascii="宋体" w:hAnsi="宋体" w:cs="宋体"/>
                <w:color w:val="000000" w:themeColor="text1"/>
                <w:kern w:val="0"/>
                <w:szCs w:val="21"/>
                <w14:textFill>
                  <w14:solidFill>
                    <w14:schemeClr w14:val="tx1"/>
                  </w14:solidFill>
                </w14:textFill>
              </w:rPr>
              <w:t>IPv4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IPv6</w:t>
            </w:r>
            <w:r>
              <w:rPr>
                <w:rFonts w:hint="eastAsia" w:ascii="宋体" w:hAnsi="宋体" w:cs="宋体"/>
                <w:color w:val="000000" w:themeColor="text1"/>
                <w:kern w:val="0"/>
                <w:szCs w:val="21"/>
                <w14:textFill>
                  <w14:solidFill>
                    <w14:schemeClr w14:val="tx1"/>
                  </w14:solidFill>
                </w14:textFill>
              </w:rPr>
              <w:t>。支持</w:t>
            </w:r>
            <w:r>
              <w:rPr>
                <w:rFonts w:ascii="宋体" w:hAnsi="宋体" w:cs="宋体"/>
                <w:color w:val="000000" w:themeColor="text1"/>
                <w:kern w:val="0"/>
                <w:szCs w:val="21"/>
                <w14:textFill>
                  <w14:solidFill>
                    <w14:schemeClr w14:val="tx1"/>
                  </w14:solidFill>
                </w14:textFill>
              </w:rPr>
              <w:t>POE</w:t>
            </w:r>
            <w:r>
              <w:rPr>
                <w:rFonts w:hint="eastAsia" w:ascii="宋体" w:hAnsi="宋体" w:cs="宋体"/>
                <w:color w:val="000000" w:themeColor="text1"/>
                <w:kern w:val="0"/>
                <w:szCs w:val="21"/>
                <w14:textFill>
                  <w14:solidFill>
                    <w14:schemeClr w14:val="tx1"/>
                  </w14:solidFill>
                </w14:textFill>
              </w:rPr>
              <w:t>供电。支持光口、电口多种回传。</w:t>
            </w:r>
          </w:p>
        </w:tc>
        <w:tc>
          <w:tcPr>
            <w:tcW w:w="3126" w:type="pct"/>
          </w:tcPr>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协议标准：3</w:t>
            </w:r>
            <w:r>
              <w:rPr>
                <w:rFonts w:ascii="宋体" w:hAnsi="宋体" w:cs="宋体"/>
                <w:color w:val="000000" w:themeColor="text1"/>
                <w:szCs w:val="21"/>
                <w14:textFill>
                  <w14:solidFill>
                    <w14:schemeClr w14:val="tx1"/>
                  </w14:solidFill>
                </w14:textFill>
              </w:rPr>
              <w:t>GPP R15</w:t>
            </w:r>
            <w:r>
              <w:rPr>
                <w:rFonts w:hint="eastAsia" w:ascii="宋体" w:hAnsi="宋体" w:cs="宋体"/>
                <w:color w:val="000000" w:themeColor="text1"/>
                <w:szCs w:val="21"/>
                <w14:textFill>
                  <w14:solidFill>
                    <w14:schemeClr w14:val="tx1"/>
                  </w14:solidFill>
                </w14:textFill>
              </w:rPr>
              <w:t>；</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主芯片：</w:t>
            </w:r>
            <w:r>
              <w:rPr>
                <w:rFonts w:ascii="宋体" w:hAnsi="宋体" w:cs="宋体"/>
                <w:color w:val="000000" w:themeColor="text1"/>
                <w:szCs w:val="21"/>
                <w14:textFill>
                  <w14:solidFill>
                    <w14:schemeClr w14:val="tx1"/>
                  </w14:solidFill>
                </w14:textFill>
              </w:rPr>
              <w:t>Baseband</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RFIC:Qualcomm FSM</w:t>
            </w:r>
            <w:r>
              <w:rPr>
                <w:rFonts w:hint="eastAsia" w:ascii="宋体" w:hAnsi="宋体" w:cs="宋体"/>
                <w:color w:val="000000" w:themeColor="text1"/>
                <w:szCs w:val="21"/>
                <w14:textFill>
                  <w14:solidFill>
                    <w14:schemeClr w14:val="tx1"/>
                  </w14:solidFill>
                </w14:textFill>
              </w:rPr>
              <w:t>100xx套片方案；</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工作制式：TDD；</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工作频段：</w:t>
            </w:r>
            <w:r>
              <w:rPr>
                <w:rFonts w:ascii="宋体" w:hAnsi="宋体" w:cs="宋体"/>
                <w:color w:val="000000" w:themeColor="text1"/>
                <w:szCs w:val="21"/>
                <w14:textFill>
                  <w14:solidFill>
                    <w14:schemeClr w14:val="tx1"/>
                  </w14:solidFill>
                </w14:textFill>
              </w:rPr>
              <w:t>3.3-3.4GH</w:t>
            </w:r>
            <w:r>
              <w:rPr>
                <w:rFonts w:hint="eastAsia" w:ascii="宋体" w:hAnsi="宋体" w:cs="宋体"/>
                <w:color w:val="000000" w:themeColor="text1"/>
                <w:szCs w:val="21"/>
                <w14:textFill>
                  <w14:solidFill>
                    <w14:schemeClr w14:val="tx1"/>
                  </w14:solidFill>
                </w14:textFill>
              </w:rPr>
              <w:t>z；</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工作最大带宽：100M；</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天线制式：2T2R（MIMO）；</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灵敏度：-97dBm；</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发射功率：2×250mW；</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整机功耗：＜</w:t>
            </w:r>
            <w:r>
              <w:rPr>
                <w:rFonts w:ascii="宋体" w:hAnsi="宋体" w:cs="宋体"/>
                <w:color w:val="000000" w:themeColor="text1"/>
                <w:szCs w:val="21"/>
                <w14:textFill>
                  <w14:solidFill>
                    <w14:schemeClr w14:val="tx1"/>
                  </w14:solidFill>
                </w14:textFill>
              </w:rPr>
              <w:t>35W</w:t>
            </w:r>
            <w:r>
              <w:rPr>
                <w:rFonts w:hint="eastAsia" w:ascii="宋体" w:hAnsi="宋体" w:cs="宋体"/>
                <w:color w:val="000000" w:themeColor="text1"/>
                <w:szCs w:val="21"/>
                <w14:textFill>
                  <w14:solidFill>
                    <w14:schemeClr w14:val="tx1"/>
                  </w14:solidFill>
                </w14:textFill>
              </w:rPr>
              <w:t>；</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尺寸：2</w:t>
            </w:r>
            <w:r>
              <w:rPr>
                <w:rFonts w:ascii="宋体" w:hAnsi="宋体" w:cs="宋体"/>
                <w:color w:val="000000" w:themeColor="text1"/>
                <w:szCs w:val="21"/>
                <w14:textFill>
                  <w14:solidFill>
                    <w14:schemeClr w14:val="tx1"/>
                  </w14:solidFill>
                </w14:textFill>
              </w:rPr>
              <w:t>40mm×240mm×65mm</w:t>
            </w:r>
            <w:r>
              <w:rPr>
                <w:rFonts w:hint="eastAsia" w:ascii="宋体" w:hAnsi="宋体" w:cs="宋体"/>
                <w:color w:val="000000" w:themeColor="text1"/>
                <w:szCs w:val="21"/>
                <w14:textFill>
                  <w14:solidFill>
                    <w14:schemeClr w14:val="tx1"/>
                  </w14:solidFill>
                </w14:textFill>
              </w:rPr>
              <w:t>；</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重量：2.21kg；</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用户容量（最大同时接入用户数）：128；</w:t>
            </w:r>
          </w:p>
          <w:p>
            <w:pPr>
              <w:numPr>
                <w:ilvl w:val="0"/>
                <w:numId w:val="9"/>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接口：GPS×1，LAN（10M/100M/1000M)×</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、WAN（10M/100M/1000M</w:t>
            </w:r>
            <w:r>
              <w:rPr>
                <w:rFonts w:ascii="宋体" w:hAnsi="宋体" w:cs="宋体"/>
                <w:color w:val="000000" w:themeColor="text1"/>
                <w:szCs w:val="21"/>
                <w14:textFill>
                  <w14:solidFill>
                    <w14:schemeClr w14:val="tx1"/>
                  </w14:solidFill>
                </w14:textFill>
              </w:rPr>
              <w:t>/10000M)</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，TYPE-C接口，SFP+(10GE）×</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同步方式：GPS，</w:t>
            </w:r>
            <w:r>
              <w:rPr>
                <w:rFonts w:ascii="宋体" w:hAnsi="宋体" w:cs="宋体"/>
                <w:color w:val="000000" w:themeColor="text1"/>
                <w:szCs w:val="21"/>
                <w14:textFill>
                  <w14:solidFill>
                    <w14:schemeClr w14:val="tx1"/>
                  </w14:solidFill>
                </w14:textFill>
              </w:rPr>
              <w:t>IEEE1588V2</w:t>
            </w:r>
            <w:r>
              <w:rPr>
                <w:rFonts w:hint="eastAsia" w:ascii="宋体" w:hAnsi="宋体" w:cs="宋体"/>
                <w:color w:val="000000" w:themeColor="text1"/>
                <w:szCs w:val="21"/>
                <w14:textFill>
                  <w14:solidFill>
                    <w14:schemeClr w14:val="tx1"/>
                  </w14:solidFill>
                </w14:textFill>
              </w:rPr>
              <w:t>；</w:t>
            </w:r>
          </w:p>
          <w:p>
            <w:pPr>
              <w:numPr>
                <w:ilvl w:val="0"/>
                <w:numId w:val="9"/>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供电：12V直流，Poe供电。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 w:type="pct"/>
          </w:tcPr>
          <w:p>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高通型</w:t>
            </w:r>
          </w:p>
        </w:tc>
        <w:tc>
          <w:tcPr>
            <w:tcW w:w="553" w:type="pct"/>
          </w:tcPr>
          <w:p>
            <w:pPr>
              <w:widowControl/>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60</w:t>
            </w:r>
          </w:p>
        </w:tc>
        <w:tc>
          <w:tcPr>
            <w:tcW w:w="867" w:type="pct"/>
          </w:tcPr>
          <w:p>
            <w:pPr>
              <w:widowControl/>
              <w:numPr>
                <w:ilvl w:val="255"/>
                <w:numId w:val="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支持F</w:t>
            </w:r>
            <w:r>
              <w:rPr>
                <w:rFonts w:ascii="宋体" w:hAnsi="宋体" w:cs="宋体"/>
                <w:color w:val="000000" w:themeColor="text1"/>
                <w:kern w:val="0"/>
                <w:szCs w:val="21"/>
                <w14:textFill>
                  <w14:solidFill>
                    <w14:schemeClr w14:val="tx1"/>
                  </w14:solidFill>
                </w14:textFill>
              </w:rPr>
              <w:t>TTH</w:t>
            </w:r>
            <w:r>
              <w:rPr>
                <w:rFonts w:hint="eastAsia" w:ascii="宋体" w:hAnsi="宋体" w:cs="宋体"/>
                <w:color w:val="000000" w:themeColor="text1"/>
                <w:kern w:val="0"/>
                <w:szCs w:val="21"/>
                <w14:textFill>
                  <w14:solidFill>
                    <w14:schemeClr w14:val="tx1"/>
                  </w14:solidFill>
                </w14:textFill>
              </w:rPr>
              <w:t>网络环境。</w:t>
            </w:r>
            <w:r>
              <w:rPr>
                <w:rFonts w:ascii="宋体" w:hAnsi="宋体" w:cs="宋体"/>
                <w:color w:val="000000" w:themeColor="text1"/>
                <w:kern w:val="0"/>
                <w:szCs w:val="21"/>
                <w14:textFill>
                  <w14:solidFill>
                    <w14:schemeClr w14:val="tx1"/>
                  </w14:solidFill>
                </w14:textFill>
              </w:rPr>
              <w:t>BBU</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RRU</w:t>
            </w:r>
            <w:r>
              <w:rPr>
                <w:rFonts w:hint="eastAsia" w:ascii="宋体" w:hAnsi="宋体" w:cs="宋体"/>
                <w:color w:val="000000" w:themeColor="text1"/>
                <w:kern w:val="0"/>
                <w:szCs w:val="21"/>
                <w14:textFill>
                  <w14:solidFill>
                    <w14:schemeClr w14:val="tx1"/>
                  </w14:solidFill>
                </w14:textFill>
              </w:rPr>
              <w:t>一体化集成，单一设备可完成基站接入功能，上下行综合速率大于1</w:t>
            </w:r>
            <w:r>
              <w:rPr>
                <w:rFonts w:ascii="宋体" w:hAnsi="宋体" w:cs="宋体"/>
                <w:color w:val="000000" w:themeColor="text1"/>
                <w:kern w:val="0"/>
                <w:szCs w:val="21"/>
                <w14:textFill>
                  <w14:solidFill>
                    <w14:schemeClr w14:val="tx1"/>
                  </w14:solidFill>
                </w14:textFill>
              </w:rPr>
              <w:t>G</w:t>
            </w:r>
            <w:r>
              <w:rPr>
                <w:rFonts w:hint="eastAsia" w:ascii="宋体" w:hAnsi="宋体" w:cs="宋体"/>
                <w:color w:val="000000" w:themeColor="text1"/>
                <w:kern w:val="0"/>
                <w:szCs w:val="21"/>
                <w14:textFill>
                  <w14:solidFill>
                    <w14:schemeClr w14:val="tx1"/>
                  </w14:solidFill>
                </w14:textFill>
              </w:rPr>
              <w:t>bps。支持</w:t>
            </w:r>
            <w:r>
              <w:rPr>
                <w:rFonts w:ascii="宋体" w:hAnsi="宋体" w:cs="宋体"/>
                <w:color w:val="000000" w:themeColor="text1"/>
                <w:kern w:val="0"/>
                <w:szCs w:val="21"/>
                <w14:textFill>
                  <w14:solidFill>
                    <w14:schemeClr w14:val="tx1"/>
                  </w14:solidFill>
                </w14:textFill>
              </w:rPr>
              <w:t>IPv4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IPv6</w:t>
            </w:r>
            <w:r>
              <w:rPr>
                <w:rFonts w:hint="eastAsia" w:ascii="宋体" w:hAnsi="宋体" w:cs="宋体"/>
                <w:color w:val="000000" w:themeColor="text1"/>
                <w:kern w:val="0"/>
                <w:szCs w:val="21"/>
                <w14:textFill>
                  <w14:solidFill>
                    <w14:schemeClr w14:val="tx1"/>
                  </w14:solidFill>
                </w14:textFill>
              </w:rPr>
              <w:t>。支持</w:t>
            </w:r>
            <w:r>
              <w:rPr>
                <w:rFonts w:ascii="宋体" w:hAnsi="宋体" w:cs="宋体"/>
                <w:color w:val="000000" w:themeColor="text1"/>
                <w:kern w:val="0"/>
                <w:szCs w:val="21"/>
                <w14:textFill>
                  <w14:solidFill>
                    <w14:schemeClr w14:val="tx1"/>
                  </w14:solidFill>
                </w14:textFill>
              </w:rPr>
              <w:t>POE</w:t>
            </w:r>
            <w:r>
              <w:rPr>
                <w:rFonts w:hint="eastAsia" w:ascii="宋体" w:hAnsi="宋体" w:cs="宋体"/>
                <w:color w:val="000000" w:themeColor="text1"/>
                <w:kern w:val="0"/>
                <w:szCs w:val="21"/>
                <w14:textFill>
                  <w14:solidFill>
                    <w14:schemeClr w14:val="tx1"/>
                  </w14:solidFill>
                </w14:textFill>
              </w:rPr>
              <w:t>供电。支持光口、电口多种回传。</w:t>
            </w:r>
          </w:p>
        </w:tc>
        <w:tc>
          <w:tcPr>
            <w:tcW w:w="3126" w:type="pct"/>
          </w:tcPr>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协议标准：3</w:t>
            </w:r>
            <w:r>
              <w:rPr>
                <w:rFonts w:ascii="宋体" w:hAnsi="宋体" w:cs="宋体"/>
                <w:color w:val="000000" w:themeColor="text1"/>
                <w:szCs w:val="21"/>
                <w14:textFill>
                  <w14:solidFill>
                    <w14:schemeClr w14:val="tx1"/>
                  </w14:solidFill>
                </w14:textFill>
              </w:rPr>
              <w:t>GPP R15</w:t>
            </w:r>
            <w:r>
              <w:rPr>
                <w:rFonts w:hint="eastAsia" w:ascii="宋体" w:hAnsi="宋体" w:cs="宋体"/>
                <w:color w:val="000000" w:themeColor="text1"/>
                <w:szCs w:val="21"/>
                <w14:textFill>
                  <w14:solidFill>
                    <w14:schemeClr w14:val="tx1"/>
                  </w14:solidFill>
                </w14:textFill>
              </w:rPr>
              <w:t>；</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主芯片：Baseband:</w:t>
            </w:r>
            <w:r>
              <w:rPr>
                <w:rFonts w:ascii="宋体" w:hAnsi="宋体" w:cs="宋体"/>
                <w:color w:val="000000" w:themeColor="text1"/>
                <w:szCs w:val="21"/>
                <w14:textFill>
                  <w14:solidFill>
                    <w14:schemeClr w14:val="tx1"/>
                  </w14:solidFill>
                </w14:textFill>
              </w:rPr>
              <w:t xml:space="preserve"> Qualcomm FSM10056 </w:t>
            </w:r>
            <w:r>
              <w:rPr>
                <w:rFonts w:hint="eastAsia" w:ascii="宋体" w:hAnsi="宋体" w:cs="宋体"/>
                <w:color w:val="000000" w:themeColor="text1"/>
                <w:szCs w:val="21"/>
                <w14:textFill>
                  <w14:solidFill>
                    <w14:schemeClr w14:val="tx1"/>
                  </w14:solidFill>
                </w14:textFill>
              </w:rPr>
              <w:t>SoC，RFIC:</w:t>
            </w:r>
            <w:r>
              <w:rPr>
                <w:rFonts w:ascii="宋体" w:hAnsi="宋体" w:cs="宋体"/>
                <w:color w:val="000000" w:themeColor="text1"/>
                <w:szCs w:val="21"/>
                <w14:textFill>
                  <w14:solidFill>
                    <w14:schemeClr w14:val="tx1"/>
                  </w14:solidFill>
                </w14:textFill>
              </w:rPr>
              <w:t xml:space="preserve"> Qualcomm </w:t>
            </w:r>
            <w:r>
              <w:rPr>
                <w:rFonts w:hint="eastAsia" w:ascii="宋体" w:hAnsi="宋体" w:cs="宋体"/>
                <w:color w:val="000000" w:themeColor="text1"/>
                <w:szCs w:val="21"/>
                <w14:textFill>
                  <w14:solidFill>
                    <w14:schemeClr w14:val="tx1"/>
                  </w14:solidFill>
                </w14:textFill>
              </w:rPr>
              <w:t>SDR9000，CPU:</w:t>
            </w:r>
            <w:r>
              <w:rPr>
                <w:rFonts w:ascii="宋体" w:hAnsi="宋体" w:cs="宋体"/>
                <w:color w:val="000000" w:themeColor="text1"/>
                <w:szCs w:val="21"/>
                <w14:textFill>
                  <w14:solidFill>
                    <w14:schemeClr w14:val="tx1"/>
                  </w14:solidFill>
                </w14:textFill>
              </w:rPr>
              <w:t xml:space="preserve"> NXP </w:t>
            </w:r>
            <w:r>
              <w:rPr>
                <w:rFonts w:hint="eastAsia" w:ascii="宋体" w:hAnsi="宋体" w:cs="宋体"/>
                <w:color w:val="000000" w:themeColor="text1"/>
                <w:szCs w:val="21"/>
                <w14:textFill>
                  <w14:solidFill>
                    <w14:schemeClr w14:val="tx1"/>
                  </w14:solidFill>
                </w14:textFill>
              </w:rPr>
              <w:t>LS1043；</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工作制式：TDD；</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工作频段：3.3-3.4GHz；</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工作最大带宽：100M；</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天线制式：2T2R（MIMO）；</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灵敏度：-97dBm；</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发射功率：2×250mW；</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整机功耗：＜25W；</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尺寸：200mm×200mm×62mm；</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重量：2.21kg；</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用户容量（最大同时接入用户数）：128；</w:t>
            </w:r>
          </w:p>
          <w:p>
            <w:pPr>
              <w:numPr>
                <w:ilvl w:val="0"/>
                <w:numId w:val="10"/>
              </w:num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接口：GPS×1，LAN（10M/100M/1000M)×</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、WAN（10M/100M/1000M)×</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，TYPE-C接口，SFP+(10GE）×</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同步方式：GPS/BD，</w:t>
            </w:r>
            <w:r>
              <w:rPr>
                <w:rFonts w:ascii="宋体" w:hAnsi="宋体" w:cs="宋体"/>
                <w:color w:val="000000" w:themeColor="text1"/>
                <w:szCs w:val="21"/>
                <w14:textFill>
                  <w14:solidFill>
                    <w14:schemeClr w14:val="tx1"/>
                  </w14:solidFill>
                </w14:textFill>
              </w:rPr>
              <w:t>IEEE1588V2</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SyncE</w:t>
            </w:r>
            <w:r>
              <w:rPr>
                <w:rFonts w:hint="eastAsia" w:ascii="宋体" w:hAnsi="宋体" w:cs="宋体"/>
                <w:color w:val="000000" w:themeColor="text1"/>
                <w:szCs w:val="21"/>
                <w14:textFill>
                  <w14:solidFill>
                    <w14:schemeClr w14:val="tx1"/>
                  </w14:solidFill>
                </w14:textFill>
              </w:rPr>
              <w:t>；</w:t>
            </w:r>
          </w:p>
          <w:p>
            <w:pPr>
              <w:numPr>
                <w:ilvl w:val="0"/>
                <w:numId w:val="10"/>
              </w:num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供电：12V直流，Poe供电。</w:t>
            </w:r>
          </w:p>
        </w:tc>
      </w:tr>
    </w:tbl>
    <w:p>
      <w:pPr>
        <w:widowControl/>
        <w:spacing w:line="360" w:lineRule="auto"/>
        <w:jc w:val="left"/>
        <w:outlineLvl w:val="1"/>
        <w:rPr>
          <w:b/>
          <w:color w:val="000000" w:themeColor="text1"/>
          <w:szCs w:val="21"/>
          <w14:textFill>
            <w14:solidFill>
              <w14:schemeClr w14:val="tx1"/>
            </w14:solidFill>
          </w14:textFill>
        </w:rPr>
      </w:pPr>
      <w:bookmarkStart w:id="33" w:name="_Toc9828"/>
      <w:r>
        <w:rPr>
          <w:rFonts w:hint="eastAsia"/>
          <w:b/>
          <w:color w:val="000000" w:themeColor="text1"/>
          <w:szCs w:val="21"/>
          <w14:textFill>
            <w14:solidFill>
              <w14:schemeClr w14:val="tx1"/>
            </w14:solidFill>
          </w14:textFill>
        </w:rPr>
        <w:t>三、</w:t>
      </w:r>
      <w:r>
        <w:rPr>
          <w:b/>
          <w:color w:val="000000" w:themeColor="text1"/>
          <w:szCs w:val="21"/>
          <w14:textFill>
            <w14:solidFill>
              <w14:schemeClr w14:val="tx1"/>
            </w14:solidFill>
          </w14:textFill>
        </w:rPr>
        <w:t>5G</w:t>
      </w:r>
      <w:r>
        <w:rPr>
          <w:rFonts w:hint="eastAsia"/>
          <w:b/>
          <w:color w:val="000000" w:themeColor="text1"/>
          <w:szCs w:val="21"/>
          <w14:textFill>
            <w14:solidFill>
              <w14:schemeClr w14:val="tx1"/>
            </w14:solidFill>
          </w14:textFill>
        </w:rPr>
        <w:t>网关技术要求</w:t>
      </w:r>
      <w:bookmarkEnd w:id="33"/>
    </w:p>
    <w:p>
      <w:pPr>
        <w:widowControl/>
        <w:numPr>
          <w:ilvl w:val="255"/>
          <w:numId w:val="0"/>
        </w:numPr>
        <w:spacing w:line="360" w:lineRule="auto"/>
        <w:ind w:firstLine="422" w:firstLineChars="200"/>
        <w:jc w:val="left"/>
        <w:outlineLvl w:val="2"/>
        <w:rPr>
          <w:rFonts w:hint="default" w:asciiTheme="minorEastAsia" w:hAnsiTheme="minorEastAsia" w:eastAsiaTheme="minorEastAsia" w:cstheme="minorEastAsia"/>
          <w:b/>
          <w:bCs/>
          <w:color w:val="000000" w:themeColor="text1"/>
          <w:szCs w:val="21"/>
          <w:lang w:val="en-US" w:eastAsia="zh-CN"/>
          <w14:textFill>
            <w14:solidFill>
              <w14:schemeClr w14:val="tx1"/>
            </w14:solidFill>
          </w14:textFill>
        </w:rPr>
      </w:pPr>
      <w:bookmarkStart w:id="34" w:name="_Toc9278"/>
      <w:r>
        <w:rPr>
          <w:rFonts w:asciiTheme="minorEastAsia" w:hAnsiTheme="minorEastAsia" w:eastAsiaTheme="minorEastAsia" w:cstheme="minorEastAsia"/>
          <w:b/>
          <w:bCs/>
          <w:color w:val="000000" w:themeColor="text1"/>
          <w:szCs w:val="21"/>
          <w14:textFill>
            <w14:solidFill>
              <w14:schemeClr w14:val="tx1"/>
            </w14:solidFill>
          </w14:textFill>
        </w:rPr>
        <w:t>3.1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bCs/>
          <w:color w:val="000000" w:themeColor="text1"/>
          <w:szCs w:val="21"/>
          <w:lang w:val="en-US" w:eastAsia="zh-CN"/>
          <w14:textFill>
            <w14:solidFill>
              <w14:schemeClr w14:val="tx1"/>
            </w14:solidFill>
          </w14:textFill>
        </w:rPr>
        <w:t>部署方式</w:t>
      </w:r>
      <w:bookmarkEnd w:id="34"/>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pacing w:val="0"/>
          <w:kern w:val="2"/>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3.1.1 </w:t>
      </w:r>
      <w:r>
        <w:rPr>
          <w:rFonts w:hint="eastAsia" w:asciiTheme="minorEastAsia" w:hAnsiTheme="minorEastAsia" w:eastAsiaTheme="minorEastAsia" w:cstheme="minorEastAsia"/>
          <w:color w:val="000000" w:themeColor="text1"/>
          <w:sz w:val="21"/>
          <w:szCs w:val="22"/>
          <w14:textFill>
            <w14:solidFill>
              <w14:schemeClr w14:val="tx1"/>
            </w14:solidFill>
          </w14:textFill>
        </w:rPr>
        <w:t>在</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5G网关</w:t>
      </w:r>
      <w:r>
        <w:rPr>
          <w:rFonts w:hint="eastAsia" w:asciiTheme="minorEastAsia" w:hAnsiTheme="minorEastAsia" w:eastAsiaTheme="minorEastAsia" w:cstheme="minorEastAsia"/>
          <w:color w:val="000000" w:themeColor="text1"/>
          <w:sz w:val="21"/>
          <w:szCs w:val="22"/>
          <w14:textFill>
            <w14:solidFill>
              <w14:schemeClr w14:val="tx1"/>
            </w14:solidFill>
          </w14:textFill>
        </w:rPr>
        <w:t>部署初期，</w:t>
      </w:r>
      <w:r>
        <w:rPr>
          <w:rFonts w:hint="eastAsia" w:asciiTheme="minorEastAsia" w:hAnsiTheme="minorEastAsia" w:eastAsiaTheme="minorEastAsia" w:cstheme="minorEastAsia"/>
          <w:color w:val="000000" w:themeColor="text1"/>
          <w:kern w:val="2"/>
          <w:sz w:val="21"/>
          <w:szCs w:val="22"/>
          <w:lang w:val="en-US" w:eastAsia="zh-CN"/>
          <w14:textFill>
            <w14:solidFill>
              <w14:schemeClr w14:val="tx1"/>
            </w14:solidFill>
          </w14:textFill>
        </w:rPr>
        <w:t>通过广电城域网、骨干网回传，</w:t>
      </w:r>
      <w:r>
        <w:rPr>
          <w:rFonts w:hint="eastAsia" w:asciiTheme="minorEastAsia" w:hAnsiTheme="minorEastAsia" w:eastAsiaTheme="minorEastAsia" w:cstheme="minorEastAsia"/>
          <w:color w:val="000000" w:themeColor="text1"/>
          <w:sz w:val="21"/>
          <w:szCs w:val="22"/>
          <w14:textFill>
            <w14:solidFill>
              <w14:schemeClr w14:val="tx1"/>
            </w14:solidFill>
          </w14:textFill>
        </w:rPr>
        <w:t>可以不引入</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安全</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w:t>
      </w:r>
      <w:r>
        <w:rPr>
          <w:rFonts w:hint="eastAsia" w:asciiTheme="minorEastAsia" w:hAnsiTheme="minorEastAsia" w:eastAsiaTheme="minorEastAsia" w:cstheme="minorEastAsia"/>
          <w:color w:val="000000" w:themeColor="text1"/>
          <w:kern w:val="2"/>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后期</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可</w:t>
      </w:r>
      <w:r>
        <w:rPr>
          <w:rFonts w:hint="eastAsia" w:asciiTheme="minorEastAsia" w:hAnsiTheme="minorEastAsia" w:eastAsiaTheme="minorEastAsia" w:cstheme="minorEastAsia"/>
          <w:color w:val="000000" w:themeColor="text1"/>
          <w:sz w:val="21"/>
          <w:szCs w:val="22"/>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G小基站共建共享</w:t>
      </w:r>
      <w:r>
        <w:rPr>
          <w:rFonts w:hint="eastAsia" w:asciiTheme="minorEastAsia" w:hAnsiTheme="minorEastAsia" w:eastAsiaTheme="minorEastAsia" w:cstheme="minorEastAsia"/>
          <w:color w:val="000000" w:themeColor="text1"/>
          <w:sz w:val="21"/>
          <w:szCs w:val="22"/>
          <w14:textFill>
            <w14:solidFill>
              <w14:schemeClr w14:val="tx1"/>
            </w14:solidFill>
          </w14:textFill>
        </w:rPr>
        <w:t>的规划来引入</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安全</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pacing w:val="0"/>
          <w:sz w:val="21"/>
          <w:szCs w:val="22"/>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2"/>
          <w:lang w:val="en-US" w:eastAsia="zh-CN"/>
          <w14:textFill>
            <w14:solidFill>
              <w14:schemeClr w14:val="tx1"/>
            </w14:solidFill>
          </w14:textFill>
        </w:rPr>
        <w:t xml:space="preserve">3.1.2 </w:t>
      </w:r>
      <w:r>
        <w:rPr>
          <w:rFonts w:hint="eastAsia" w:asciiTheme="minorEastAsia" w:hAnsiTheme="minorEastAsia" w:eastAsiaTheme="minorEastAsia" w:cstheme="minorEastAsia"/>
          <w:color w:val="000000" w:themeColor="text1"/>
          <w:spacing w:val="0"/>
          <w:sz w:val="21"/>
          <w:szCs w:val="22"/>
          <w14:textFill>
            <w14:solidFill>
              <w14:schemeClr w14:val="tx1"/>
            </w14:solidFill>
          </w14:textFill>
        </w:rPr>
        <w:t>5G网关应具有灵活的可扩展性，通过软件升级</w:t>
      </w:r>
      <w:r>
        <w:rPr>
          <w:rFonts w:hint="eastAsia" w:asciiTheme="minorEastAsia" w:hAnsiTheme="minorEastAsia" w:eastAsiaTheme="minorEastAsia" w:cstheme="minorEastAsia"/>
          <w:color w:val="000000" w:themeColor="text1"/>
          <w:spacing w:val="0"/>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1"/>
          <w:szCs w:val="22"/>
          <w14:textFill>
            <w14:solidFill>
              <w14:schemeClr w14:val="tx1"/>
            </w14:solidFill>
          </w14:textFill>
        </w:rPr>
        <w:t>增加硬件的方式</w:t>
      </w:r>
      <w:r>
        <w:rPr>
          <w:rFonts w:hint="eastAsia" w:asciiTheme="minorEastAsia" w:hAnsiTheme="minorEastAsia" w:eastAsiaTheme="minorEastAsia" w:cstheme="minorEastAsia"/>
          <w:color w:val="000000" w:themeColor="text1"/>
          <w:spacing w:val="0"/>
          <w:sz w:val="21"/>
          <w:szCs w:val="22"/>
          <w:lang w:val="en-US" w:eastAsia="zh-CN"/>
          <w14:textFill>
            <w14:solidFill>
              <w14:schemeClr w14:val="tx1"/>
            </w14:solidFill>
          </w14:textFill>
        </w:rPr>
        <w:t>增加</w:t>
      </w:r>
      <w:r>
        <w:rPr>
          <w:rFonts w:hint="eastAsia" w:asciiTheme="minorEastAsia" w:hAnsiTheme="minorEastAsia" w:eastAsiaTheme="minorEastAsia" w:cstheme="minorEastAsia"/>
          <w:color w:val="000000" w:themeColor="text1"/>
          <w:spacing w:val="0"/>
          <w:sz w:val="21"/>
          <w:szCs w:val="22"/>
          <w14:textFill>
            <w14:solidFill>
              <w14:schemeClr w14:val="tx1"/>
            </w14:solidFill>
          </w14:textFill>
        </w:rPr>
        <w:t>系统的容量，</w:t>
      </w:r>
      <w:r>
        <w:rPr>
          <w:rFonts w:hint="eastAsia" w:asciiTheme="minorEastAsia" w:hAnsiTheme="minorEastAsia" w:eastAsiaTheme="minorEastAsia" w:cstheme="minorEastAsia"/>
          <w:color w:val="000000" w:themeColor="text1"/>
          <w:spacing w:val="0"/>
          <w:sz w:val="21"/>
          <w:szCs w:val="22"/>
          <w:lang w:val="en-US" w:eastAsia="zh-CN"/>
          <w14:textFill>
            <w14:solidFill>
              <w14:schemeClr w14:val="tx1"/>
            </w14:solidFill>
          </w14:textFill>
        </w:rPr>
        <w:t>满足进一步</w:t>
      </w:r>
      <w:r>
        <w:rPr>
          <w:rFonts w:hint="eastAsia" w:asciiTheme="minorEastAsia" w:hAnsiTheme="minorEastAsia" w:eastAsiaTheme="minorEastAsia" w:cstheme="minorEastAsia"/>
          <w:color w:val="000000" w:themeColor="text1"/>
          <w:spacing w:val="0"/>
          <w:sz w:val="21"/>
          <w:szCs w:val="22"/>
          <w14:textFill>
            <w14:solidFill>
              <w14:schemeClr w14:val="tx1"/>
            </w14:solidFill>
          </w14:textFill>
        </w:rPr>
        <w:t>商用的需求。</w:t>
      </w:r>
    </w:p>
    <w:p>
      <w:pPr>
        <w:widowControl/>
        <w:numPr>
          <w:ilvl w:val="255"/>
          <w:numId w:val="0"/>
        </w:numPr>
        <w:spacing w:line="360" w:lineRule="auto"/>
        <w:ind w:firstLine="422" w:firstLineChars="200"/>
        <w:jc w:val="left"/>
        <w:textAlignment w:val="auto"/>
        <w:outlineLvl w:val="2"/>
        <w:rPr>
          <w:rFonts w:asciiTheme="minorEastAsia" w:hAnsiTheme="minorEastAsia" w:eastAsiaTheme="minorEastAsia" w:cstheme="minorEastAsia"/>
          <w:b/>
          <w:bCs/>
          <w:color w:val="000000" w:themeColor="text1"/>
          <w:sz w:val="21"/>
          <w:szCs w:val="21"/>
          <w14:textFill>
            <w14:solidFill>
              <w14:schemeClr w14:val="tx1"/>
            </w14:solidFill>
          </w14:textFill>
        </w:rPr>
      </w:pPr>
      <w:bookmarkStart w:id="35" w:name="_Toc23102"/>
      <w:bookmarkStart w:id="36" w:name="_Toc127190915"/>
      <w:bookmarkStart w:id="37" w:name="_Toc150792609"/>
      <w:bookmarkStart w:id="38" w:name="_Toc516738421"/>
      <w:bookmarkStart w:id="39" w:name="_Toc536046998"/>
      <w:bookmarkStart w:id="40" w:name="_Toc23330589"/>
      <w:bookmarkStart w:id="41" w:name="_Toc276464803"/>
      <w:bookmarkStart w:id="42" w:name="_Toc330224420"/>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3.2</w:t>
      </w:r>
      <w:r>
        <w:rPr>
          <w:rFonts w:hint="default" w:asciiTheme="minorEastAsia" w:hAnsiTheme="minorEastAsia" w:eastAsiaTheme="minorEastAsia" w:cstheme="minorEastAsia"/>
          <w:b/>
          <w:bCs/>
          <w:color w:val="000000" w:themeColor="text1"/>
          <w:sz w:val="21"/>
          <w:szCs w:val="21"/>
          <w14:textFill>
            <w14:solidFill>
              <w14:schemeClr w14:val="tx1"/>
            </w14:solidFill>
          </w14:textFill>
        </w:rPr>
        <w:t>功能要求</w:t>
      </w:r>
      <w:bookmarkEnd w:id="35"/>
      <w:bookmarkEnd w:id="36"/>
      <w:bookmarkEnd w:id="37"/>
    </w:p>
    <w:bookmarkEnd w:id="38"/>
    <w:bookmarkEnd w:id="39"/>
    <w:bookmarkEnd w:id="40"/>
    <w:bookmarkEnd w:id="41"/>
    <w:bookmarkEnd w:id="42"/>
    <w:p>
      <w:pPr>
        <w:widowControl/>
        <w:numPr>
          <w:ilvl w:val="255"/>
          <w:numId w:val="0"/>
        </w:numPr>
        <w:spacing w:line="360" w:lineRule="auto"/>
        <w:ind w:firstLine="420" w:firstLineChars="200"/>
        <w:jc w:val="left"/>
        <w:outlineLvl w:val="9"/>
        <w:rPr>
          <w:rFonts w:hint="default" w:asciiTheme="minorEastAsia" w:hAnsiTheme="minorEastAsia" w:eastAsiaTheme="minorEastAsia" w:cstheme="minorEastAsia"/>
          <w:color w:val="000000" w:themeColor="text1"/>
          <w:sz w:val="21"/>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基本要求</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3.2.1.1 </w:t>
      </w:r>
      <w:r>
        <w:rPr>
          <w:rFonts w:hint="eastAsia" w:asciiTheme="minorEastAsia" w:hAnsiTheme="minorEastAsia" w:eastAsiaTheme="minorEastAsia" w:cstheme="minorEastAsia"/>
          <w:color w:val="000000" w:themeColor="text1"/>
          <w:sz w:val="21"/>
          <w:szCs w:val="22"/>
          <w14:textFill>
            <w14:solidFill>
              <w14:schemeClr w14:val="tx1"/>
            </w14:solidFill>
          </w14:textFill>
        </w:rPr>
        <w:t>5G网关</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能够</w:t>
      </w:r>
      <w:r>
        <w:rPr>
          <w:rFonts w:hint="eastAsia" w:asciiTheme="minorEastAsia" w:hAnsiTheme="minorEastAsia" w:eastAsiaTheme="minorEastAsia" w:cstheme="minorEastAsia"/>
          <w:color w:val="000000" w:themeColor="text1"/>
          <w:sz w:val="21"/>
          <w:szCs w:val="22"/>
          <w14:textFill>
            <w14:solidFill>
              <w14:schemeClr w14:val="tx1"/>
            </w14:solidFill>
          </w14:textFill>
        </w:rPr>
        <w:t>增加5G小基站和5GC</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之</w:t>
      </w:r>
      <w:r>
        <w:rPr>
          <w:rFonts w:hint="eastAsia" w:asciiTheme="minorEastAsia" w:hAnsiTheme="minorEastAsia" w:eastAsiaTheme="minorEastAsia" w:cstheme="minorEastAsia"/>
          <w:color w:val="000000" w:themeColor="text1"/>
          <w:sz w:val="21"/>
          <w:szCs w:val="22"/>
          <w14:textFill>
            <w14:solidFill>
              <w14:schemeClr w14:val="tx1"/>
            </w14:solidFill>
          </w14:textFill>
        </w:rPr>
        <w:t>间NG接口的可扩展性，支持大量5G小基站的接入。通过在5G网关上引入控制面的集中功能，使得5GC不</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会</w:t>
      </w:r>
      <w:r>
        <w:rPr>
          <w:rFonts w:hint="eastAsia" w:asciiTheme="minorEastAsia" w:hAnsiTheme="minorEastAsia" w:eastAsiaTheme="minorEastAsia" w:cstheme="minorEastAsia"/>
          <w:color w:val="000000" w:themeColor="text1"/>
          <w:sz w:val="21"/>
          <w:szCs w:val="22"/>
          <w14:textFill>
            <w14:solidFill>
              <w14:schemeClr w14:val="tx1"/>
            </w14:solidFill>
          </w14:textFill>
        </w:rPr>
        <w:t>因为5G小基站的频繁开关所引发的SCTP(Stream Control Transmission Protocol</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2"/>
          <w:shd w:val="clear" w:fill="auto"/>
          <w14:textFill>
            <w14:solidFill>
              <w14:schemeClr w14:val="tx1"/>
            </w14:solidFill>
          </w14:textFill>
        </w:rPr>
        <w:t>流控制传输协议</w:t>
      </w:r>
      <w:r>
        <w:rPr>
          <w:rFonts w:hint="eastAsia" w:asciiTheme="minorEastAsia" w:hAnsiTheme="minorEastAsia" w:eastAsiaTheme="minorEastAsia" w:cstheme="minorEastAsia"/>
          <w:color w:val="000000" w:themeColor="text1"/>
          <w:sz w:val="21"/>
          <w:szCs w:val="22"/>
          <w14:textFill>
            <w14:solidFill>
              <w14:schemeClr w14:val="tx1"/>
            </w14:solidFill>
          </w14:textFill>
        </w:rPr>
        <w:t>)连接的建立和释放所产生大量信令带来的冲击。</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3.2.1.2 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网关应遵循以下原则：</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（1）每个</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网关控制的5G小基站覆盖的地理位置</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2"/>
          <w14:textFill>
            <w14:solidFill>
              <w14:schemeClr w14:val="tx1"/>
            </w14:solidFill>
          </w14:textFill>
        </w:rPr>
        <w:t>相对集中，尽量避免与其它</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网关所辖5G小基站在地理位置上</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存在</w:t>
      </w:r>
      <w:r>
        <w:rPr>
          <w:rFonts w:hint="eastAsia" w:asciiTheme="minorEastAsia" w:hAnsiTheme="minorEastAsia" w:eastAsiaTheme="minorEastAsia" w:cstheme="minorEastAsia"/>
          <w:color w:val="000000" w:themeColor="text1"/>
          <w:sz w:val="21"/>
          <w:szCs w:val="22"/>
          <w14:textFill>
            <w14:solidFill>
              <w14:schemeClr w14:val="tx1"/>
            </w14:solidFill>
          </w14:textFill>
        </w:rPr>
        <w:t>交叉；</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（2）尽量使</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各个</w:t>
      </w:r>
      <w:r>
        <w:rPr>
          <w:rFonts w:hint="eastAsia" w:asciiTheme="minorEastAsia" w:hAnsiTheme="minorEastAsia" w:eastAsiaTheme="minorEastAsia" w:cstheme="minorEastAsia"/>
          <w:color w:val="000000" w:themeColor="text1"/>
          <w:sz w:val="21"/>
          <w:szCs w:val="22"/>
          <w14:textFill>
            <w14:solidFill>
              <w14:schemeClr w14:val="tx1"/>
            </w14:solidFill>
          </w14:textFill>
        </w:rPr>
        <w:t>5G网关控制的5G小基站的总话务量比较均匀，以使各5G网关负荷比较均衡；</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2"/>
          <w14:textFill>
            <w14:solidFill>
              <w14:schemeClr w14:val="tx1"/>
            </w14:solidFill>
          </w14:textFill>
        </w:rPr>
        <w:t>）5G网关和5GC的连接需尽量避免切入和切出网关的服务小区时，发生AMF的改变；</w:t>
      </w:r>
    </w:p>
    <w:p>
      <w:pPr>
        <w:numPr>
          <w:ilvl w:val="255"/>
          <w:numId w:val="0"/>
        </w:numPr>
        <w:spacing w:line="360" w:lineRule="auto"/>
        <w:ind w:firstLine="420" w:firstLineChars="200"/>
        <w:rPr>
          <w:rFonts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2"/>
          <w14:textFill>
            <w14:solidFill>
              <w14:schemeClr w14:val="tx1"/>
            </w14:solidFill>
          </w14:textFill>
        </w:rPr>
        <w:t>）</w:t>
      </w:r>
      <w:r>
        <w:rPr>
          <w:rFonts w:asciiTheme="minorEastAsia" w:hAnsiTheme="minorEastAsia" w:eastAsiaTheme="minorEastAsia" w:cstheme="minorEastAsia"/>
          <w:color w:val="000000" w:themeColor="text1"/>
          <w:szCs w:val="22"/>
          <w14:textFill>
            <w14:solidFill>
              <w14:schemeClr w14:val="tx1"/>
            </w14:solidFill>
          </w14:textFill>
        </w:rPr>
        <w:t>5G网关采用以下逻辑架构</w:t>
      </w:r>
      <w:r>
        <w:rPr>
          <w:rFonts w:hint="eastAsia" w:asciiTheme="minorEastAsia" w:hAnsiTheme="minorEastAsia" w:eastAsiaTheme="minorEastAsia" w:cstheme="minorEastAsia"/>
          <w:color w:val="000000" w:themeColor="text1"/>
          <w:szCs w:val="22"/>
          <w14:textFill>
            <w14:solidFill>
              <w14:schemeClr w14:val="tx1"/>
            </w14:solidFill>
          </w14:textFill>
        </w:rPr>
        <w:t>。其中，NG-C代表控制面，NG-U代表用户面，箭头方向代表数据的上、下行。网关作为控制面（NG-C接口）和用户面（NG-C接口）的集中器。</w:t>
      </w:r>
    </w:p>
    <w:p>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drawing>
          <wp:inline distT="0" distB="0" distL="114300" distR="114300">
            <wp:extent cx="3644900" cy="2444750"/>
            <wp:effectExtent l="0" t="0" r="0" b="6350"/>
            <wp:docPr id="5" name="图片 5" descr="2d193981652c446c9bf880368ee6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d193981652c446c9bf880368ee6781"/>
                    <pic:cNvPicPr>
                      <a:picLocks noChangeAspect="1"/>
                    </pic:cNvPicPr>
                  </pic:nvPicPr>
                  <pic:blipFill>
                    <a:blip r:embed="rId13"/>
                    <a:stretch>
                      <a:fillRect/>
                    </a:stretch>
                  </pic:blipFill>
                  <pic:spPr>
                    <a:xfrm>
                      <a:off x="0" y="0"/>
                      <a:ext cx="3644900" cy="2444750"/>
                    </a:xfrm>
                    <a:prstGeom prst="rect">
                      <a:avLst/>
                    </a:prstGeom>
                  </pic:spPr>
                </pic:pic>
              </a:graphicData>
            </a:graphic>
          </wp:inline>
        </w:drawing>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 接口功能</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网关作为控制面（NG-C接口）的集中器。从AMF</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角度,5G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相当于</w:t>
      </w:r>
      <w:r>
        <w:rPr>
          <w:rFonts w:hint="eastAsia" w:asciiTheme="minorEastAsia" w:hAnsiTheme="minorEastAsia" w:eastAsiaTheme="minorEastAsia" w:cstheme="minorEastAsia"/>
          <w:color w:val="000000" w:themeColor="text1"/>
          <w:sz w:val="21"/>
          <w:szCs w:val="22"/>
          <w14:textFill>
            <w14:solidFill>
              <w14:schemeClr w14:val="tx1"/>
            </w14:solidFill>
          </w14:textFill>
        </w:rPr>
        <w:t>一个gNB。从5G小基站角度，</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相当于</w:t>
      </w:r>
      <w:r>
        <w:rPr>
          <w:rFonts w:hint="eastAsia" w:asciiTheme="minorEastAsia" w:hAnsiTheme="minorEastAsia" w:eastAsiaTheme="minorEastAsia" w:cstheme="minorEastAsia"/>
          <w:color w:val="000000" w:themeColor="text1"/>
          <w:sz w:val="21"/>
          <w:szCs w:val="22"/>
          <w14:textFill>
            <w14:solidFill>
              <w14:schemeClr w14:val="tx1"/>
            </w14:solidFill>
          </w14:textFill>
        </w:rPr>
        <w:t>一个AMF。</w:t>
      </w:r>
    </w:p>
    <w:p>
      <w:pPr>
        <w:widowControl/>
        <w:numPr>
          <w:ilvl w:val="255"/>
          <w:numId w:val="0"/>
        </w:numPr>
        <w:snapToGrid/>
        <w:spacing w:line="360" w:lineRule="auto"/>
        <w:ind w:firstLine="420" w:firstLineChars="200"/>
        <w:jc w:val="left"/>
        <w:outlineLvl w:val="9"/>
        <w:rPr>
          <w:rFonts w:hint="default"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3.2.2.2</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NG接口管理（</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无线接入网与5G核心网之间的接口）</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支持配置</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数据更新，如网管修改了基站的</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PLMN、TAC等参数时，基站会发起RAN Configuration Update给网关，同步所修改的参数</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涉及流程：NG Setup；RAN Configuration Update；AMF Configuration Update</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支持错误指示，涉及流程：Error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支持复位功能，涉及流程：NG Reset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支持AMF状态指示，涉及流程：AMF Status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3" w:name="_Toc127190919"/>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3.2.2.3</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PDU会话管理</w:t>
      </w:r>
      <w:bookmarkEnd w:id="43"/>
      <w:r>
        <w:rPr>
          <w:rFonts w:hint="eastAsia" w:asciiTheme="minorEastAsia" w:hAnsiTheme="minorEastAsia" w:eastAsiaTheme="minorEastAsia" w:cstheme="minorEastAsia"/>
          <w:color w:val="000000" w:themeColor="text1"/>
          <w:sz w:val="21"/>
          <w:szCs w:val="22"/>
          <w14:textFill>
            <w14:solidFill>
              <w14:schemeClr w14:val="tx1"/>
            </w14:solidFill>
          </w14:textFill>
        </w:rPr>
        <w:t>（Protocol Data Unit，通过UPF用户平面功能在UE终端和DN特定数据网络之间提供端到端的用户面连接）</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支持PDU会话资源建立，涉及流程：PDU Session Resource Setup</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支持PDU会话资源修改，涉及流程：PDU Session Resource Modify；PDU Session Resource Modify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支持PDU会话资源释放，涉及流程：PDU Session Resource Release</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支持PDU会话资源通知，涉及流程：PDU Session Resource Notify</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bookmarkStart w:id="44" w:name="_Toc127190920"/>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3.2.2.4</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UE上下文管理</w:t>
      </w:r>
      <w:bookmarkEnd w:id="44"/>
      <w:r>
        <w:rPr>
          <w:rFonts w:hint="eastAsia" w:asciiTheme="minorEastAsia" w:hAnsiTheme="minorEastAsia" w:eastAsiaTheme="minorEastAsia" w:cstheme="minorEastAsia"/>
          <w:color w:val="000000" w:themeColor="text1"/>
          <w:sz w:val="21"/>
          <w:szCs w:val="22"/>
          <w14:textFill>
            <w14:solidFill>
              <w14:schemeClr w14:val="tx1"/>
            </w14:solidFill>
          </w14:textFill>
        </w:rPr>
        <w:t>（终端与网络建立联系，网络需要存储必须的信息，比如终端能力</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鉴权信息</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基站ID等）</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支持初始UE上下文信息建立，涉及流程：Initial Context Setup</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支持初始UE上下文修改，涉及流程：UE Context Modification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支持初始UE上下文释放，涉及流程：UE Context Release；UE Context Release Request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支持UE非激活态状态转换上报，涉及流程：RRC Inactive Transition Report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5" w:name="_Toc127190921"/>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3.2.2.5</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UE能力传递(包括：无线能力</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安全能力</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业务能力。</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其中，</w:t>
      </w:r>
      <w:r>
        <w:rPr>
          <w:rFonts w:hint="eastAsia" w:asciiTheme="minorEastAsia" w:hAnsiTheme="minorEastAsia" w:eastAsiaTheme="minorEastAsia" w:cstheme="minorEastAsia"/>
          <w:color w:val="000000" w:themeColor="text1"/>
          <w:sz w:val="21"/>
          <w:szCs w:val="22"/>
          <w14:textFill>
            <w14:solidFill>
              <w14:schemeClr w14:val="tx1"/>
            </w14:solidFill>
          </w14:textFill>
        </w:rPr>
        <w:t>无线能力包括支持无线接入</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频段等</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安全能力包括支持的加密和完整性保护算法等</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业务能力包括支持VoNR等。)</w:t>
      </w:r>
      <w:bookmarkEnd w:id="45"/>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支持UE能力信息传递，涉及流程：UE Radio Capability Info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支持UE能力检查，涉及流程：UE Radio Capability Check</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6" w:name="_Toc127190922"/>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3.2.2.6</w:t>
      </w:r>
      <w:r>
        <w:rPr>
          <w:rFonts w:hint="eastAsia"/>
          <w:b/>
          <w:bCs/>
          <w:color w:val="000000" w:themeColor="text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移动性管理</w:t>
      </w:r>
      <w:bookmarkEnd w:id="46"/>
      <w:r>
        <w:rPr>
          <w:rFonts w:hint="eastAsia" w:asciiTheme="minorEastAsia" w:hAnsiTheme="minorEastAsia" w:eastAsiaTheme="minorEastAsia" w:cstheme="minorEastAsia"/>
          <w:color w:val="000000" w:themeColor="text1"/>
          <w:sz w:val="21"/>
          <w:szCs w:val="22"/>
          <w14:textFill>
            <w14:solidFill>
              <w14:schemeClr w14:val="tx1"/>
            </w14:solidFill>
          </w14:textFill>
        </w:rPr>
        <w:t>（UE在连接状态下的切换，包括5G系统内切换</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5G与其他制式之间的切换）</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支持5G系统内切换，涉及流程：Handover Preparation；Handover Resource Allocation；Handover Notification；Path Switch Request；Handover Cancellation；Uplink RAN Status Transfer；Downlink RAN Status Transfer</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支持Inter-3GPP RAT系统内切换，涉及流程：Handover Preparation；Handover Resource Allocation；Handover Notification；Handover Cancellation；Uplink RAN Status Transfer；Downlink RAN Status Transfer</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7" w:name="_Toc127190923"/>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3.2.2.7 </w:t>
      </w:r>
      <w:r>
        <w:rPr>
          <w:rFonts w:hint="eastAsia" w:asciiTheme="minorEastAsia" w:hAnsiTheme="minorEastAsia" w:eastAsiaTheme="minorEastAsia" w:cstheme="minorEastAsia"/>
          <w:color w:val="000000" w:themeColor="text1"/>
          <w:sz w:val="21"/>
          <w:szCs w:val="22"/>
          <w14:textFill>
            <w14:solidFill>
              <w14:schemeClr w14:val="tx1"/>
            </w14:solidFill>
          </w14:textFill>
        </w:rPr>
        <w:t>SON消息传递</w:t>
      </w:r>
      <w:bookmarkEnd w:id="47"/>
      <w:r>
        <w:rPr>
          <w:rFonts w:hint="eastAsia" w:asciiTheme="minorEastAsia" w:hAnsiTheme="minorEastAsia" w:eastAsiaTheme="minorEastAsia" w:cstheme="minorEastAsia"/>
          <w:color w:val="000000" w:themeColor="text1"/>
          <w:sz w:val="21"/>
          <w:szCs w:val="22"/>
          <w14:textFill>
            <w14:solidFill>
              <w14:schemeClr w14:val="tx1"/>
            </w14:solidFill>
          </w14:textFill>
        </w:rPr>
        <w:t>(Self-Organizing Networks，自组网相关消息 )</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支持NG口上传递SON消息，涉及流程：Uplink RAN Configuration Transfer；Downlink RAN Configuration Transfer</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8" w:name="_Toc127190924"/>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3.2.2.8 </w:t>
      </w:r>
      <w:r>
        <w:rPr>
          <w:rFonts w:hint="eastAsia" w:asciiTheme="minorEastAsia" w:hAnsiTheme="minorEastAsia" w:eastAsiaTheme="minorEastAsia" w:cstheme="minorEastAsia"/>
          <w:color w:val="000000" w:themeColor="text1"/>
          <w:sz w:val="21"/>
          <w:szCs w:val="22"/>
          <w14:textFill>
            <w14:solidFill>
              <w14:schemeClr w14:val="tx1"/>
            </w14:solidFill>
          </w14:textFill>
        </w:rPr>
        <w:t>NAS消息传递</w:t>
      </w:r>
      <w:bookmarkEnd w:id="48"/>
      <w:r>
        <w:rPr>
          <w:rFonts w:hint="eastAsia" w:asciiTheme="minorEastAsia" w:hAnsiTheme="minorEastAsia" w:eastAsiaTheme="minorEastAsia" w:cstheme="minorEastAsia"/>
          <w:color w:val="000000" w:themeColor="text1"/>
          <w:sz w:val="21"/>
          <w:szCs w:val="22"/>
          <w14:textFill>
            <w14:solidFill>
              <w14:schemeClr w14:val="tx1"/>
            </w14:solidFill>
          </w14:textFill>
        </w:rPr>
        <w:t>（Non-Access-Stratum 消息，</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即</w:t>
      </w:r>
      <w:r>
        <w:rPr>
          <w:rFonts w:hint="eastAsia" w:asciiTheme="minorEastAsia" w:hAnsiTheme="minorEastAsia" w:eastAsiaTheme="minorEastAsia" w:cstheme="minorEastAsia"/>
          <w:color w:val="000000" w:themeColor="text1"/>
          <w:sz w:val="21"/>
          <w:szCs w:val="22"/>
          <w14:textFill>
            <w14:solidFill>
              <w14:schemeClr w14:val="tx1"/>
            </w14:solidFill>
          </w14:textFill>
        </w:rPr>
        <w:t>非接入层消息，是UE和核心网之间交互的消息）</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支持NAS信息传递，涉及流程：Initial UE Message；Uplink NAS transport；Downlink NAS transport；NAS non delivery indication；Reroute NAS Request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49" w:name="_Toc127190925"/>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3.2.2.9 </w:t>
      </w:r>
      <w:r>
        <w:rPr>
          <w:rFonts w:hint="eastAsia" w:asciiTheme="minorEastAsia" w:hAnsiTheme="minorEastAsia" w:eastAsiaTheme="minorEastAsia" w:cstheme="minorEastAsia"/>
          <w:color w:val="000000" w:themeColor="text1"/>
          <w:sz w:val="21"/>
          <w:szCs w:val="22"/>
          <w14:textFill>
            <w14:solidFill>
              <w14:schemeClr w14:val="tx1"/>
            </w14:solidFill>
          </w14:textFill>
        </w:rPr>
        <w:t>寻呼</w:t>
      </w:r>
      <w:bookmarkEnd w:id="49"/>
      <w:r>
        <w:rPr>
          <w:rFonts w:hint="eastAsia" w:asciiTheme="minorEastAsia" w:hAnsiTheme="minorEastAsia" w:eastAsiaTheme="minorEastAsia" w:cstheme="minorEastAsia"/>
          <w:color w:val="000000" w:themeColor="text1"/>
          <w:sz w:val="21"/>
          <w:szCs w:val="22"/>
          <w14:textFill>
            <w14:solidFill>
              <w14:schemeClr w14:val="tx1"/>
            </w14:solidFill>
          </w14:textFill>
        </w:rPr>
        <w:t>（UE处于没有无线连接时，网络通过寻呼流程来查找移动用户）</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支持寻呼功能，涉及流程：Paging</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50" w:name="_Toc127190926"/>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3.2.2.10 </w:t>
      </w:r>
      <w:r>
        <w:rPr>
          <w:rFonts w:hint="eastAsia" w:asciiTheme="minorEastAsia" w:hAnsiTheme="minorEastAsia" w:eastAsiaTheme="minorEastAsia" w:cstheme="minorEastAsia"/>
          <w:color w:val="000000" w:themeColor="text1"/>
          <w:sz w:val="21"/>
          <w:szCs w:val="22"/>
          <w14:textFill>
            <w14:solidFill>
              <w14:schemeClr w14:val="tx1"/>
            </w14:solidFill>
          </w14:textFill>
        </w:rPr>
        <w:t>负载管理</w:t>
      </w:r>
      <w:bookmarkEnd w:id="50"/>
      <w:r>
        <w:rPr>
          <w:rFonts w:hint="eastAsia" w:asciiTheme="minorEastAsia" w:hAnsiTheme="minorEastAsia" w:eastAsiaTheme="minorEastAsia" w:cstheme="minorEastAsia"/>
          <w:color w:val="000000" w:themeColor="text1"/>
          <w:sz w:val="21"/>
          <w:szCs w:val="22"/>
          <w14:textFill>
            <w14:solidFill>
              <w14:schemeClr w14:val="tx1"/>
            </w14:solidFill>
          </w14:textFill>
        </w:rPr>
        <w:t>（通过负载管理来合理分配每个AMF的处理载荷）</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支持AMF负载均衡，涉及流程：NG Setup；AMF Configuration Update</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支持过载指示，涉及流程：Overload Start；Overload Stop</w:t>
      </w:r>
      <w:bookmarkStart w:id="51" w:name="_Toc127190928"/>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3.2.2.11 </w:t>
      </w:r>
      <w:r>
        <w:rPr>
          <w:rFonts w:hint="eastAsia" w:asciiTheme="minorEastAsia" w:hAnsiTheme="minorEastAsia" w:eastAsiaTheme="minorEastAsia" w:cstheme="minorEastAsia"/>
          <w:color w:val="000000" w:themeColor="text1"/>
          <w:sz w:val="21"/>
          <w:szCs w:val="22"/>
          <w14:textFill>
            <w14:solidFill>
              <w14:schemeClr w14:val="tx1"/>
            </w14:solidFill>
          </w14:textFill>
        </w:rPr>
        <w:t>AMF管理</w:t>
      </w:r>
      <w:bookmarkEnd w:id="51"/>
      <w:r>
        <w:rPr>
          <w:rFonts w:hint="eastAsia" w:asciiTheme="minorEastAsia" w:hAnsiTheme="minorEastAsia" w:eastAsiaTheme="minorEastAsia" w:cstheme="minorEastAsia"/>
          <w:color w:val="000000" w:themeColor="text1"/>
          <w:sz w:val="21"/>
          <w:szCs w:val="22"/>
          <w14:textFill>
            <w14:solidFill>
              <w14:schemeClr w14:val="tx1"/>
            </w14:solidFill>
          </w14:textFill>
        </w:rPr>
        <w:t>（当AMF不可用的时候，为UE选择新的AMF）</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支持AMF状态声明，涉及流程：AMF Status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支持UE TNLA绑定释放，涉及流程：UE TNLA Binding Release</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52" w:name="_Toc127190929"/>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3.2.2.12 </w:t>
      </w:r>
      <w:r>
        <w:rPr>
          <w:rFonts w:hint="eastAsia" w:asciiTheme="minorEastAsia" w:hAnsiTheme="minorEastAsia" w:eastAsiaTheme="minorEastAsia" w:cstheme="minorEastAsia"/>
          <w:color w:val="000000" w:themeColor="text1"/>
          <w:sz w:val="21"/>
          <w:szCs w:val="22"/>
          <w14:textFill>
            <w14:solidFill>
              <w14:schemeClr w14:val="tx1"/>
            </w14:solidFill>
          </w14:textFill>
        </w:rPr>
        <w:t>警告消息传递</w:t>
      </w:r>
      <w:bookmarkEnd w:id="52"/>
      <w:r>
        <w:rPr>
          <w:rFonts w:hint="eastAsia" w:asciiTheme="minorEastAsia" w:hAnsiTheme="minorEastAsia" w:eastAsiaTheme="minorEastAsia" w:cstheme="minorEastAsia"/>
          <w:color w:val="000000" w:themeColor="text1"/>
          <w:sz w:val="21"/>
          <w:szCs w:val="22"/>
          <w14:textFill>
            <w14:solidFill>
              <w14:schemeClr w14:val="tx1"/>
            </w14:solidFill>
          </w14:textFill>
        </w:rPr>
        <w:t>（告警信息包括地震</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海啸等灾害，基站广播这些信息给终端）</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支持警告消息广播管理，涉及流程：Write-Replace Warning；PWS Cancel；PWS Restart Indication；PWS Failure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53" w:name="_Toc127190930"/>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3.2.2.13 </w:t>
      </w:r>
      <w:r>
        <w:rPr>
          <w:rFonts w:hint="eastAsia" w:asciiTheme="minorEastAsia" w:hAnsiTheme="minorEastAsia" w:eastAsiaTheme="minorEastAsia" w:cstheme="minorEastAsia"/>
          <w:color w:val="000000" w:themeColor="text1"/>
          <w:sz w:val="21"/>
          <w:szCs w:val="22"/>
          <w14:textFill>
            <w14:solidFill>
              <w14:schemeClr w14:val="tx1"/>
            </w14:solidFill>
          </w14:textFill>
        </w:rPr>
        <w:t>位置报告</w:t>
      </w:r>
      <w:bookmarkEnd w:id="53"/>
      <w:r>
        <w:rPr>
          <w:rFonts w:hint="eastAsia" w:asciiTheme="minorEastAsia" w:hAnsiTheme="minorEastAsia" w:eastAsiaTheme="minorEastAsia" w:cstheme="minorEastAsia"/>
          <w:color w:val="000000" w:themeColor="text1"/>
          <w:sz w:val="21"/>
          <w:szCs w:val="22"/>
          <w14:textFill>
            <w14:solidFill>
              <w14:schemeClr w14:val="tx1"/>
            </w14:solidFill>
          </w14:textFill>
        </w:rPr>
        <w:t>（UE位置报告，包含UE所在小区和TAC）</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支持UE位置报告，涉及流程：Location Reporting Control；Location Report；Location Reporting Failure Indication</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54" w:name="_Toc127190931"/>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3.2.2.14 </w:t>
      </w:r>
      <w:r>
        <w:rPr>
          <w:rFonts w:hint="eastAsia" w:asciiTheme="minorEastAsia" w:hAnsiTheme="minorEastAsia" w:eastAsiaTheme="minorEastAsia" w:cstheme="minorEastAsia"/>
          <w:color w:val="000000" w:themeColor="text1"/>
          <w:sz w:val="21"/>
          <w:szCs w:val="22"/>
          <w14:textFill>
            <w14:solidFill>
              <w14:schemeClr w14:val="tx1"/>
            </w14:solidFill>
          </w14:textFill>
        </w:rPr>
        <w:t>UE跟踪</w:t>
      </w:r>
      <w:bookmarkEnd w:id="54"/>
      <w:r>
        <w:rPr>
          <w:rFonts w:hint="eastAsia" w:asciiTheme="minorEastAsia" w:hAnsiTheme="minorEastAsia" w:eastAsiaTheme="minorEastAsia" w:cstheme="minorEastAsia"/>
          <w:color w:val="000000" w:themeColor="text1"/>
          <w:sz w:val="21"/>
          <w:szCs w:val="22"/>
          <w14:textFill>
            <w14:solidFill>
              <w14:schemeClr w14:val="tx1"/>
            </w14:solidFill>
          </w14:textFill>
        </w:rPr>
        <w:t>（追踪UE相关的信令或无线信号的测量等，用于网络监测和优化）</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支持UE跟踪，涉及流程：Trace Start；Trace Failure Indication；Deactivate Trace；Cell Traffic Trace</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bookmarkStart w:id="55" w:name="_Toc127190932"/>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3.2.2.15 </w:t>
      </w:r>
      <w:r>
        <w:rPr>
          <w:rFonts w:hint="eastAsia" w:asciiTheme="minorEastAsia" w:hAnsiTheme="minorEastAsia" w:eastAsiaTheme="minorEastAsia" w:cstheme="minorEastAsia"/>
          <w:color w:val="000000" w:themeColor="text1"/>
          <w:sz w:val="21"/>
          <w:szCs w:val="22"/>
          <w14:textFill>
            <w14:solidFill>
              <w14:schemeClr w14:val="tx1"/>
            </w14:solidFill>
          </w14:textFill>
        </w:rPr>
        <w:t>NR定位协议（可以启动UE对小区信号的到达</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定时偏移</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信号强度的测量，也可以启动对其他接入制式或者WIFI的测量</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还</w:t>
      </w:r>
      <w:r>
        <w:rPr>
          <w:rFonts w:hint="eastAsia" w:asciiTheme="minorEastAsia" w:hAnsiTheme="minorEastAsia" w:eastAsiaTheme="minorEastAsia" w:cstheme="minorEastAsia"/>
          <w:color w:val="000000" w:themeColor="text1"/>
          <w:sz w:val="21"/>
          <w:szCs w:val="22"/>
          <w14:textFill>
            <w14:solidFill>
              <w14:schemeClr w14:val="tx1"/>
            </w14:solidFill>
          </w14:textFill>
        </w:rPr>
        <w:t>可以启动OTDOA的测量</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一种应用于移动网络的定位方式</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w:t>
      </w:r>
      <w:bookmarkEnd w:id="55"/>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支持UE相关NRPPa（NR Positioning Protocal A）信令传递，涉及流程：Downlink UE Associated NRPPa Transport；Uplink UE Associated NRPPa Transport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napToGrid/>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支持非UE相关NRPPa（NR Positioning Protocal A）信令传递，涉及流程：Downlink non-UE Associated NRPPa Transport；Uplink non-UE Associated NRPPa Transpor</w:t>
      </w:r>
      <w:bookmarkStart w:id="56" w:name="_Toc120088565"/>
      <w:bookmarkEnd w:id="56"/>
      <w:bookmarkStart w:id="57" w:name="_Toc120088220"/>
      <w:bookmarkEnd w:id="57"/>
      <w:bookmarkStart w:id="58" w:name="_Toc120030332"/>
      <w:bookmarkEnd w:id="58"/>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3.2.3 信令处理</w:t>
      </w:r>
    </w:p>
    <w:p>
      <w:pPr>
        <w:widowControl/>
        <w:numPr>
          <w:ilvl w:val="255"/>
          <w:numId w:val="0"/>
        </w:numPr>
        <w:spacing w:line="360" w:lineRule="auto"/>
        <w:ind w:firstLine="420" w:firstLineChars="200"/>
        <w:jc w:val="left"/>
        <w:outlineLvl w:val="9"/>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3.2.3.1 </w:t>
      </w:r>
      <w:r>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t>支持UE相关信令的透传，对非UE相关信令（基站信令）</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的</w:t>
      </w:r>
      <w:r>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t>透传。</w:t>
      </w:r>
    </w:p>
    <w:p>
      <w:pPr>
        <w:widowControl/>
        <w:numPr>
          <w:ilvl w:val="255"/>
          <w:numId w:val="0"/>
        </w:numPr>
        <w:spacing w:line="360" w:lineRule="auto"/>
        <w:ind w:firstLine="420" w:firstLineChars="200"/>
        <w:jc w:val="left"/>
        <w:outlineLvl w:val="9"/>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3.2.3.2 </w:t>
      </w:r>
      <w:r>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t>对UE相关的NG消息，网关对相应消息在AMF和UE间进行Relay。</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3.2.3.3 </w:t>
      </w:r>
      <w:r>
        <w:rPr>
          <w:rStyle w:val="55"/>
          <w:rFonts w:hint="eastAsia" w:asciiTheme="minorEastAsia" w:hAnsiTheme="minorEastAsia" w:eastAsiaTheme="minorEastAsia" w:cstheme="minorEastAsia"/>
          <w:color w:val="000000" w:themeColor="text1"/>
          <w:sz w:val="21"/>
          <w:szCs w:val="22"/>
          <w14:textFill>
            <w14:solidFill>
              <w14:schemeClr w14:val="tx1"/>
            </w14:solidFill>
          </w14:textFill>
        </w:rPr>
        <w:t>对于非UE相关的NG消息，网关对相应消息在5G小基站和AMF间进行Relay。</w:t>
      </w:r>
    </w:p>
    <w:p>
      <w:pPr>
        <w:widowControl/>
        <w:numPr>
          <w:ilvl w:val="255"/>
          <w:numId w:val="0"/>
        </w:numPr>
        <w:snapToGrid w:val="0"/>
        <w:spacing w:before="156" w:beforeLines="50" w:line="360" w:lineRule="auto"/>
        <w:ind w:firstLine="420" w:firstLineChars="200"/>
        <w:jc w:val="left"/>
        <w:outlineLvl w:val="9"/>
        <w:rPr>
          <w:rFonts w:hint="eastAsia" w:asciiTheme="minorEastAsia" w:hAnsiTheme="minorEastAsia" w:eastAsiaTheme="minorEastAsia" w:cstheme="minorEastAsia"/>
          <w:b w:val="0"/>
          <w:color w:val="000000" w:themeColor="text1"/>
          <w:sz w:val="21"/>
          <w:szCs w:val="22"/>
          <w14:textFill>
            <w14:solidFill>
              <w14:schemeClr w14:val="tx1"/>
            </w14:solidFill>
          </w14:textFill>
        </w:rPr>
      </w:pPr>
      <w:bookmarkStart w:id="59" w:name="_Toc150792612"/>
      <w:bookmarkStart w:id="60" w:name="_Toc127190936"/>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4</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 xml:space="preserve"> 信令汇聚</w:t>
      </w:r>
      <w:bookmarkEnd w:id="59"/>
      <w:bookmarkEnd w:id="60"/>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4</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 xml:space="preserve"> </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支持将</w:t>
      </w:r>
      <w:r>
        <w:rPr>
          <w:rFonts w:hint="eastAsia" w:asciiTheme="minorEastAsia" w:hAnsiTheme="minorEastAsia" w:eastAsiaTheme="minorEastAsia" w:cstheme="minorEastAsia"/>
          <w:color w:val="000000" w:themeColor="text1"/>
          <w:sz w:val="21"/>
          <w:szCs w:val="22"/>
          <w14:textFill>
            <w14:solidFill>
              <w14:schemeClr w14:val="tx1"/>
            </w14:solidFill>
          </w14:textFill>
        </w:rPr>
        <w:t>小基站的UE ID（</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RAN UE NGAP ID）</w:t>
      </w:r>
      <w:r>
        <w:rPr>
          <w:rFonts w:hint="eastAsia" w:asciiTheme="minorEastAsia" w:hAnsiTheme="minorEastAsia" w:eastAsiaTheme="minorEastAsia" w:cstheme="minorEastAsia"/>
          <w:color w:val="000000" w:themeColor="text1"/>
          <w:sz w:val="21"/>
          <w:szCs w:val="22"/>
          <w14:textFill>
            <w14:solidFill>
              <w14:schemeClr w14:val="tx1"/>
            </w14:solidFill>
          </w14:textFill>
        </w:rPr>
        <w:t>转换为网关的UE ID，传给核心网。</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4</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支持将</w:t>
      </w:r>
      <w:r>
        <w:rPr>
          <w:rFonts w:hint="eastAsia" w:asciiTheme="minorEastAsia" w:hAnsiTheme="minorEastAsia" w:eastAsiaTheme="minorEastAsia" w:cstheme="minorEastAsia"/>
          <w:color w:val="000000" w:themeColor="text1"/>
          <w:sz w:val="21"/>
          <w:szCs w:val="22"/>
          <w14:textFill>
            <w14:solidFill>
              <w14:schemeClr w14:val="tx1"/>
            </w14:solidFill>
          </w14:textFill>
        </w:rPr>
        <w:t>核心网的UE ID（</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AMF UE NGAP ID）</w:t>
      </w:r>
      <w:r>
        <w:rPr>
          <w:rFonts w:hint="eastAsia" w:asciiTheme="minorEastAsia" w:hAnsiTheme="minorEastAsia" w:eastAsiaTheme="minorEastAsia" w:cstheme="minorEastAsia"/>
          <w:color w:val="000000" w:themeColor="text1"/>
          <w:sz w:val="21"/>
          <w:szCs w:val="22"/>
          <w14:textFill>
            <w14:solidFill>
              <w14:schemeClr w14:val="tx1"/>
            </w14:solidFill>
          </w14:textFill>
        </w:rPr>
        <w:t>转换为网关的UE ID，传给小基站。</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4</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网关应具有信令汇聚功能，对于接收到5G小基站的UE消息，网关根据实际需要调整</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AMF UE NGAP ID和RAN UE NGAP ID，</w:t>
      </w:r>
      <w:r>
        <w:rPr>
          <w:rFonts w:hint="eastAsia" w:asciiTheme="minorEastAsia" w:hAnsiTheme="minorEastAsia" w:eastAsiaTheme="minorEastAsia" w:cstheme="minorEastAsia"/>
          <w:color w:val="000000" w:themeColor="text1"/>
          <w:sz w:val="21"/>
          <w:szCs w:val="22"/>
          <w14:textFill>
            <w14:solidFill>
              <w14:schemeClr w14:val="tx1"/>
            </w14:solidFill>
          </w14:textFill>
        </w:rPr>
        <w:t>转发给合适的AMF；对于接收到AMF的消息，网关调整AMF UE NGAP ID和RAN UE NGAP ID，转发给指定的5G小基站。</w:t>
      </w:r>
    </w:p>
    <w:p>
      <w:pPr>
        <w:widowControl/>
        <w:numPr>
          <w:ilvl w:val="255"/>
          <w:numId w:val="0"/>
        </w:numPr>
        <w:tabs>
          <w:tab w:val="left" w:pos="644"/>
        </w:tabs>
        <w:snapToGrid w:val="0"/>
        <w:spacing w:before="156" w:beforeLines="50" w:line="360" w:lineRule="auto"/>
        <w:ind w:firstLine="420" w:firstLineChars="200"/>
        <w:jc w:val="left"/>
        <w:outlineLvl w:val="9"/>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5</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IPv6功能</w:t>
      </w:r>
    </w:p>
    <w:p>
      <w:pPr>
        <w:widowControl/>
        <w:numPr>
          <w:ilvl w:val="255"/>
          <w:numId w:val="0"/>
        </w:numPr>
        <w:snapToGrid/>
        <w:spacing w:before="0" w:beforeLines="-2147483648" w:line="360" w:lineRule="auto"/>
        <w:ind w:firstLine="420" w:firstLineChars="200"/>
        <w:jc w:val="left"/>
        <w:outlineLvl w:val="9"/>
        <w:rPr>
          <w:rFonts w:hint="eastAsia" w:asciiTheme="minorEastAsia" w:hAnsiTheme="minorEastAsia" w:eastAsiaTheme="minorEastAsia" w:cstheme="minorEastAsia"/>
          <w:i w:val="0"/>
          <w:iCs w:val="0"/>
          <w:caps w:val="0"/>
          <w:color w:val="000000" w:themeColor="text1"/>
          <w:spacing w:val="0"/>
          <w:sz w:val="21"/>
          <w:szCs w:val="22"/>
          <w:shd w:val="clear"/>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支持</w:t>
      </w:r>
      <w:r>
        <w:rPr>
          <w:rStyle w:val="55"/>
          <w:rFonts w:hint="eastAsia" w:asciiTheme="minorEastAsia" w:hAnsiTheme="minorEastAsia" w:eastAsiaTheme="minorEastAsia" w:cstheme="minorEastAsia"/>
          <w:i w:val="0"/>
          <w:iCs w:val="0"/>
          <w:caps w:val="0"/>
          <w:color w:val="000000" w:themeColor="text1"/>
          <w:spacing w:val="0"/>
          <w:sz w:val="21"/>
          <w:szCs w:val="22"/>
          <w:shd w:val="clear" w:fill="FFFFFF"/>
          <w14:textFill>
            <w14:solidFill>
              <w14:schemeClr w14:val="tx1"/>
            </w14:solidFill>
          </w14:textFill>
        </w:rPr>
        <w:t>IPv4</w:t>
      </w:r>
      <w:r>
        <w:rPr>
          <w:rFonts w:hint="eastAsia" w:asciiTheme="minorEastAsia" w:hAnsiTheme="minorEastAsia" w:eastAsiaTheme="minorEastAsia" w:cstheme="minorEastAsia"/>
          <w:i w:val="0"/>
          <w:iCs w:val="0"/>
          <w:caps w:val="0"/>
          <w:color w:val="000000" w:themeColor="text1"/>
          <w:spacing w:val="0"/>
          <w:sz w:val="21"/>
          <w:szCs w:val="22"/>
          <w:shd w:val="clear" w:fill="auto"/>
          <w14:textFill>
            <w14:solidFill>
              <w14:schemeClr w14:val="tx1"/>
            </w14:solidFill>
          </w14:textFill>
        </w:rPr>
        <w:t>/</w:t>
      </w:r>
      <w:r>
        <w:rPr>
          <w:rStyle w:val="55"/>
          <w:rFonts w:hint="eastAsia" w:asciiTheme="minorEastAsia" w:hAnsiTheme="minorEastAsia" w:eastAsiaTheme="minorEastAsia" w:cstheme="minorEastAsia"/>
          <w:i w:val="0"/>
          <w:iCs w:val="0"/>
          <w:caps w:val="0"/>
          <w:color w:val="000000" w:themeColor="text1"/>
          <w:spacing w:val="0"/>
          <w:sz w:val="21"/>
          <w:szCs w:val="22"/>
          <w:shd w:val="clear" w:fill="FFFFFF"/>
          <w14:textFill>
            <w14:solidFill>
              <w14:schemeClr w14:val="tx1"/>
            </w14:solidFill>
          </w14:textFill>
        </w:rPr>
        <w:t>IPv6双栈</w:t>
      </w:r>
      <w:r>
        <w:rPr>
          <w:rFonts w:hint="eastAsia" w:asciiTheme="minorEastAsia" w:hAnsiTheme="minorEastAsia" w:eastAsiaTheme="minorEastAsia" w:cstheme="minorEastAsia"/>
          <w:i w:val="0"/>
          <w:iCs w:val="0"/>
          <w:caps w:val="0"/>
          <w:color w:val="000000" w:themeColor="text1"/>
          <w:spacing w:val="0"/>
          <w:sz w:val="21"/>
          <w:szCs w:val="22"/>
          <w:shd w:val="clear"/>
          <w:lang w:eastAsia="zh-CN"/>
          <w14:textFill>
            <w14:solidFill>
              <w14:schemeClr w14:val="tx1"/>
            </w14:solidFill>
          </w14:textFill>
        </w:rPr>
        <w:t>。</w:t>
      </w:r>
    </w:p>
    <w:p>
      <w:pPr>
        <w:widowControl/>
        <w:numPr>
          <w:ilvl w:val="255"/>
          <w:numId w:val="0"/>
        </w:numPr>
        <w:tabs>
          <w:tab w:val="left" w:pos="504"/>
        </w:tabs>
        <w:spacing w:line="360" w:lineRule="auto"/>
        <w:ind w:firstLine="422" w:firstLineChars="200"/>
        <w:jc w:val="left"/>
        <w:textAlignment w:val="auto"/>
        <w:outlineLvl w:val="2"/>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61" w:name="_Toc6918"/>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3.3 性能</w:t>
      </w:r>
      <w:r>
        <w:rPr>
          <w:rFonts w:hint="default" w:asciiTheme="minorEastAsia" w:hAnsiTheme="minorEastAsia" w:eastAsiaTheme="minorEastAsia" w:cstheme="minorEastAsia"/>
          <w:b/>
          <w:bCs/>
          <w:color w:val="000000" w:themeColor="text1"/>
          <w:sz w:val="21"/>
          <w:szCs w:val="21"/>
          <w14:textFill>
            <w14:solidFill>
              <w14:schemeClr w14:val="tx1"/>
            </w14:solidFill>
          </w14:textFill>
        </w:rPr>
        <w:t>要求</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和其它要求</w:t>
      </w:r>
      <w:bookmarkEnd w:id="61"/>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3.3.1 性能要求</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1.1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支持不少于</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000个5G小基站的接入。</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业务数据支持的吞吐量不低于</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2"/>
          <w14:textFill>
            <w14:solidFill>
              <w14:schemeClr w14:val="tx1"/>
            </w14:solidFill>
          </w14:textFill>
        </w:rPr>
        <w:t>0G bit/s。</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2"/>
          <w:lang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b w:val="0"/>
          <w:color w:val="000000" w:themeColor="text1"/>
          <w:sz w:val="21"/>
          <w:szCs w:val="22"/>
          <w:lang w:val="en-US" w:eastAsia="zh-CN"/>
          <w14:textFill>
            <w14:solidFill>
              <w14:schemeClr w14:val="tx1"/>
            </w14:solidFill>
          </w14:textFill>
        </w:rPr>
        <w:t>1.3</w:t>
      </w:r>
      <w:r>
        <w:rPr>
          <w:rFonts w:hint="eastAsia" w:asciiTheme="minorEastAsia" w:hAnsiTheme="minorEastAsia" w:eastAsiaTheme="minorEastAsia" w:cstheme="minorEastAsia"/>
          <w:b w:val="0"/>
          <w:color w:val="000000" w:themeColor="text1"/>
          <w:sz w:val="21"/>
          <w:szCs w:val="22"/>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2"/>
          <w14:textFill>
            <w14:solidFill>
              <w14:schemeClr w14:val="tx1"/>
            </w14:solidFill>
          </w14:textFill>
        </w:rPr>
        <w:t>转发时延不大于10ms。</w:t>
      </w:r>
      <w:r>
        <w:rPr>
          <w:rFonts w:hint="eastAsia" w:asciiTheme="minorEastAsia" w:hAnsiTheme="minorEastAsia" w:eastAsiaTheme="minorEastAsia" w:cstheme="minorEastAsia"/>
          <w:color w:val="000000" w:themeColor="text1"/>
          <w:szCs w:val="22"/>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网关收到小基站的消息发给核心网，网关收到核心网的消息发给小基站</w:t>
      </w:r>
      <w:r>
        <w:rPr>
          <w:rFonts w:hint="eastAsia" w:asciiTheme="minorEastAsia" w:hAnsiTheme="minorEastAsia" w:eastAsiaTheme="minorEastAsia" w:cstheme="minorEastAsia"/>
          <w:color w:val="000000" w:themeColor="text1"/>
          <w:szCs w:val="22"/>
          <w14:textFill>
            <w14:solidFill>
              <w14:schemeClr w14:val="tx1"/>
            </w14:solidFill>
          </w14:textFill>
        </w:rPr>
        <w:t>）。</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 xml:space="preserve">3.3.1.4 </w:t>
      </w:r>
      <w:r>
        <w:rPr>
          <w:rFonts w:hint="eastAsia" w:asciiTheme="minorEastAsia" w:hAnsiTheme="minorEastAsia" w:eastAsiaTheme="minorEastAsia" w:cstheme="minorEastAsia"/>
          <w:color w:val="000000" w:themeColor="text1"/>
          <w:sz w:val="21"/>
          <w:szCs w:val="22"/>
          <w14:textFill>
            <w14:solidFill>
              <w14:schemeClr w14:val="tx1"/>
            </w14:solidFill>
          </w14:textFill>
        </w:rPr>
        <w:t>基站接入速度应大于10个/s。</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bookmarkStart w:id="62" w:name="_Toc9077"/>
      <w:bookmarkStart w:id="63" w:name="_Toc1537"/>
      <w:bookmarkStart w:id="64" w:name="_Toc150792616"/>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3.3.2</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安全要求</w:t>
      </w:r>
      <w:bookmarkEnd w:id="62"/>
      <w:bookmarkEnd w:id="63"/>
      <w:bookmarkEnd w:id="64"/>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满足GB4943</w:t>
      </w:r>
      <w:r>
        <w:rPr>
          <w:rFonts w:hint="eastAsia" w:asciiTheme="minorEastAsia" w:hAnsiTheme="minorEastAsia" w:eastAsiaTheme="minorEastAsia" w:cstheme="minorEastAsia"/>
          <w:color w:val="000000" w:themeColor="text1"/>
          <w:sz w:val="21"/>
          <w:szCs w:val="22"/>
          <w:highlight w:val="none"/>
          <w:lang w:val="en-US" w:eastAsia="zh-CN"/>
          <w14:textFill>
            <w14:solidFill>
              <w14:schemeClr w14:val="tx1"/>
            </w14:solidFill>
          </w14:textFill>
        </w:rPr>
        <w:t>-2011</w:t>
      </w:r>
      <w:r>
        <w:rPr>
          <w:rFonts w:hint="eastAsia" w:asciiTheme="minorEastAsia" w:hAnsiTheme="minorEastAsia" w:eastAsiaTheme="minorEastAsia" w:cstheme="minorEastAsia"/>
          <w:color w:val="000000" w:themeColor="text1"/>
          <w:sz w:val="21"/>
          <w:szCs w:val="22"/>
          <w:highlight w:val="none"/>
          <w14:textFill>
            <w14:solidFill>
              <w14:schemeClr w14:val="tx1"/>
            </w14:solidFill>
          </w14:textFill>
        </w:rPr>
        <w:t>《信息技术设备的安全》</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bookmarkStart w:id="65" w:name="_Toc150792617"/>
      <w:bookmarkStart w:id="66" w:name="_Toc29706"/>
      <w:bookmarkStart w:id="67" w:name="_Toc16064"/>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3.3.3</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防护要求</w:t>
      </w:r>
      <w:bookmarkEnd w:id="65"/>
      <w:bookmarkEnd w:id="66"/>
      <w:bookmarkEnd w:id="67"/>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满足YD/T1082</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-2000</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接入网设备过电压过电流防护及基本环境适应性技术条件的要求</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3.3.4 环境</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要求</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温度15～30℃</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相对湿度40～65％</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bookmarkStart w:id="68" w:name="_Toc150792619"/>
      <w:bookmarkStart w:id="69" w:name="_Toc15728"/>
      <w:bookmarkStart w:id="70" w:name="_Toc20414"/>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 xml:space="preserve">3.3.5 </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抗震要求</w:t>
      </w:r>
      <w:bookmarkEnd w:id="68"/>
      <w:bookmarkEnd w:id="69"/>
      <w:bookmarkEnd w:id="70"/>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kern w:val="2"/>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14:textFill>
            <w14:solidFill>
              <w14:schemeClr w14:val="tx1"/>
            </w14:solidFill>
          </w14:textFill>
        </w:rPr>
        <w:t>满足</w:t>
      </w:r>
      <w:r>
        <w:rPr>
          <w:rFonts w:hint="eastAsia" w:asciiTheme="minorEastAsia" w:hAnsiTheme="minorEastAsia" w:eastAsiaTheme="minorEastAsia" w:cstheme="minorEastAsia"/>
          <w:color w:val="000000" w:themeColor="text1"/>
          <w:kern w:val="2"/>
          <w:sz w:val="21"/>
          <w:szCs w:val="22"/>
          <w:highlight w:val="none"/>
          <w14:textFill>
            <w14:solidFill>
              <w14:schemeClr w14:val="tx1"/>
            </w14:solidFill>
          </w14:textFill>
        </w:rPr>
        <w:t>GB/T 2423.6</w:t>
      </w:r>
      <w:r>
        <w:rPr>
          <w:rFonts w:hint="eastAsia" w:asciiTheme="minorEastAsia" w:hAnsiTheme="minorEastAsia" w:eastAsiaTheme="minorEastAsia" w:cstheme="minorEastAsia"/>
          <w:color w:val="000000" w:themeColor="text1"/>
          <w:kern w:val="2"/>
          <w:sz w:val="21"/>
          <w:szCs w:val="22"/>
          <w:highlight w:val="none"/>
          <w:lang w:val="en-US" w:eastAsia="zh-CN"/>
          <w14:textFill>
            <w14:solidFill>
              <w14:schemeClr w14:val="tx1"/>
            </w14:solidFill>
          </w14:textFill>
        </w:rPr>
        <w:t>-1995</w:t>
      </w:r>
      <w:r>
        <w:rPr>
          <w:rFonts w:hint="eastAsia" w:asciiTheme="minorEastAsia" w:hAnsiTheme="minorEastAsia" w:eastAsiaTheme="minorEastAsia" w:cstheme="minorEastAsia"/>
          <w:color w:val="000000" w:themeColor="text1"/>
          <w:kern w:val="2"/>
          <w:sz w:val="21"/>
          <w:szCs w:val="22"/>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2"/>
          <w14:textFill>
            <w14:solidFill>
              <w14:schemeClr w14:val="tx1"/>
            </w14:solidFill>
          </w14:textFill>
        </w:rPr>
        <w:t>电工电子产品环境试验　第2部分：试验方法　试验Eb和导则：碰撞</w:t>
      </w:r>
      <w:r>
        <w:rPr>
          <w:rFonts w:hint="eastAsia" w:asciiTheme="minorEastAsia" w:hAnsiTheme="minorEastAsia" w:eastAsiaTheme="minorEastAsia" w:cstheme="minorEastAsia"/>
          <w:color w:val="000000" w:themeColor="text1"/>
          <w:kern w:val="2"/>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1"/>
          <w:szCs w:val="22"/>
          <w:highlight w:val="none"/>
          <w14:textFill>
            <w14:solidFill>
              <w14:schemeClr w14:val="tx1"/>
            </w14:solidFill>
          </w14:textFill>
        </w:rPr>
        <w:t>。</w:t>
      </w:r>
    </w:p>
    <w:p>
      <w:pPr>
        <w:widowControl/>
        <w:numPr>
          <w:ilvl w:val="255"/>
          <w:numId w:val="0"/>
        </w:numPr>
        <w:tabs>
          <w:tab w:val="left" w:pos="504"/>
        </w:tabs>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3.3.6 电磁兼容</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要求</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满足</w:t>
      </w:r>
      <w:r>
        <w:rPr>
          <w:rFonts w:hint="eastAsia" w:asciiTheme="minorEastAsia" w:hAnsiTheme="minorEastAsia" w:eastAsiaTheme="minorEastAsia" w:cstheme="minorEastAsia"/>
          <w:color w:val="000000" w:themeColor="text1"/>
          <w:sz w:val="21"/>
          <w:szCs w:val="22"/>
          <w14:textFill>
            <w14:solidFill>
              <w14:schemeClr w14:val="tx1"/>
            </w14:solidFill>
          </w14:textFill>
        </w:rPr>
        <w:t>ETSI EN300 386</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-2016</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ElectroMagnetic Compatibility(EMC)requirements》、</w:t>
      </w:r>
      <w:r>
        <w:rPr>
          <w:rStyle w:val="55"/>
          <w:rFonts w:hint="eastAsia" w:asciiTheme="minorEastAsia" w:hAnsiTheme="minorEastAsia" w:eastAsiaTheme="minorEastAsia" w:cstheme="minorEastAsia"/>
          <w:i w:val="0"/>
          <w:iCs w:val="0"/>
          <w:caps w:val="0"/>
          <w:color w:val="000000" w:themeColor="text1"/>
          <w:spacing w:val="0"/>
          <w:sz w:val="21"/>
          <w:szCs w:val="22"/>
          <w:shd w:val="clear" w:fill="FFFFFF"/>
          <w14:textFill>
            <w14:solidFill>
              <w14:schemeClr w14:val="tx1"/>
            </w14:solidFill>
          </w14:textFill>
        </w:rPr>
        <w:t>GB/T 9254</w:t>
      </w:r>
      <w:r>
        <w:rPr>
          <w:rStyle w:val="55"/>
          <w:rFonts w:hint="eastAsia" w:asciiTheme="minorEastAsia" w:hAnsiTheme="minorEastAsia" w:eastAsiaTheme="minorEastAsia" w:cstheme="minorEastAsia"/>
          <w:i w:val="0"/>
          <w:iCs w:val="0"/>
          <w:caps w:val="0"/>
          <w:color w:val="000000" w:themeColor="text1"/>
          <w:spacing w:val="0"/>
          <w:sz w:val="21"/>
          <w:szCs w:val="22"/>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2"/>
          <w:shd w:val="clear" w:fill="auto"/>
          <w14:textFill>
            <w14:solidFill>
              <w14:schemeClr w14:val="tx1"/>
            </w14:solidFill>
          </w14:textFill>
        </w:rPr>
        <w:t>电子设备电磁兼容性试验技术要求和试验方法</w:t>
      </w:r>
      <w:r>
        <w:rPr>
          <w:rStyle w:val="55"/>
          <w:rFonts w:hint="eastAsia" w:asciiTheme="minorEastAsia" w:hAnsiTheme="minorEastAsia" w:eastAsiaTheme="minorEastAsia" w:cstheme="minorEastAsia"/>
          <w:i w:val="0"/>
          <w:iCs w:val="0"/>
          <w:caps w:val="0"/>
          <w:color w:val="000000" w:themeColor="text1"/>
          <w:spacing w:val="0"/>
          <w:sz w:val="21"/>
          <w:szCs w:val="22"/>
          <w:shd w:val="clear"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2"/>
          <w:shd w:val="clear"/>
          <w:lang w:eastAsia="zh-CN"/>
          <w14:textFill>
            <w14:solidFill>
              <w14:schemeClr w14:val="tx1"/>
            </w14:solidFill>
          </w14:textFill>
        </w:rPr>
        <w:t>。</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bookmarkStart w:id="71" w:name="_Toc150792621"/>
      <w:bookmarkStart w:id="72" w:name="_Toc10620"/>
      <w:bookmarkStart w:id="73" w:name="_Toc24097"/>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3.3.7</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供电</w:t>
      </w:r>
      <w:bookmarkEnd w:id="71"/>
      <w:bookmarkEnd w:id="72"/>
      <w:bookmarkEnd w:id="73"/>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要求</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kern w:val="2"/>
          <w:sz w:val="21"/>
          <w:szCs w:val="22"/>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2"/>
          <w14:textFill>
            <w14:solidFill>
              <w14:schemeClr w14:val="tx1"/>
            </w14:solidFill>
          </w14:textFill>
        </w:rPr>
        <w:t>额定电压220V。设备应能在以下供电变化范围内正常工作：电压范围110V～300V，频率范围45Hz～65Hz。</w:t>
      </w:r>
    </w:p>
    <w:p>
      <w:pPr>
        <w:widowControl/>
        <w:numPr>
          <w:ilvl w:val="255"/>
          <w:numId w:val="0"/>
        </w:numPr>
        <w:spacing w:line="360" w:lineRule="auto"/>
        <w:ind w:firstLine="420" w:firstLineChars="200"/>
        <w:jc w:val="left"/>
        <w:textAlignment w:val="auto"/>
        <w:outlineLvl w:val="9"/>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3.3.8</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时间同步要求</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kern w:val="2"/>
          <w:sz w:val="2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3.3.8.1</w:t>
      </w:r>
      <w:r>
        <w:rPr>
          <w:rFonts w:hint="eastAsia" w:asciiTheme="minorEastAsia" w:hAnsiTheme="minorEastAsia" w:eastAsiaTheme="minorEastAsia" w:cstheme="minorEastAsia"/>
          <w:b w:val="0"/>
          <w:bCs w:val="0"/>
          <w:color w:val="000000" w:themeColor="text1"/>
          <w:sz w:val="21"/>
          <w:szCs w:val="22"/>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支持NTP（</w:t>
      </w:r>
      <w:r>
        <w:rPr>
          <w:rFonts w:hint="eastAsia" w:asciiTheme="minorEastAsia" w:hAnsiTheme="minorEastAsia" w:eastAsiaTheme="minorEastAsia" w:cstheme="minorEastAsia"/>
          <w:color w:val="000000" w:themeColor="text1"/>
          <w:spacing w:val="0"/>
          <w:sz w:val="21"/>
          <w:szCs w:val="22"/>
          <w:shd w:val="clear" w:color="auto" w:fill="auto"/>
          <w14:textFill>
            <w14:solidFill>
              <w14:schemeClr w14:val="tx1"/>
            </w14:solidFill>
          </w14:textFill>
        </w:rPr>
        <w:t>Network Time Protocol</w:t>
      </w:r>
      <w:r>
        <w:rPr>
          <w:rFonts w:hint="eastAsia" w:asciiTheme="minorEastAsia" w:hAnsiTheme="minorEastAsia" w:eastAsiaTheme="minorEastAsia" w:cstheme="minorEastAsia"/>
          <w:color w:val="000000" w:themeColor="text1"/>
          <w:spacing w:val="0"/>
          <w:sz w:val="21"/>
          <w:szCs w:val="22"/>
          <w:shd w:val="clear"/>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1"/>
          <w:szCs w:val="22"/>
          <w:shd w:val="clear"/>
          <w14:textFill>
            <w14:solidFill>
              <w14:schemeClr w14:val="tx1"/>
            </w14:solidFill>
          </w14:textFill>
        </w:rPr>
        <w:t>由RFC 1305定义的时间同步协议</w:t>
      </w:r>
      <w:r>
        <w:rPr>
          <w:rFonts w:hint="eastAsia" w:asciiTheme="minorEastAsia" w:hAnsiTheme="minorEastAsia" w:eastAsiaTheme="minorEastAsia" w:cstheme="minorEastAsia"/>
          <w:color w:val="000000" w:themeColor="text1"/>
          <w:spacing w:val="0"/>
          <w:sz w:val="21"/>
          <w:szCs w:val="22"/>
          <w:shd w:val="clear" w:color="auto" w:fill="auto"/>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3.3.8.2 支持</w:t>
      </w:r>
      <w:r>
        <w:rPr>
          <w:rFonts w:hint="eastAsia" w:asciiTheme="minorEastAsia" w:hAnsiTheme="minorEastAsia" w:eastAsiaTheme="minorEastAsia" w:cstheme="minorEastAsia"/>
          <w:color w:val="000000" w:themeColor="text1"/>
          <w:sz w:val="21"/>
          <w:szCs w:val="22"/>
          <w14:textFill>
            <w14:solidFill>
              <w14:schemeClr w14:val="tx1"/>
            </w14:solidFill>
          </w14:textFill>
        </w:rPr>
        <w:t>接受网管系统的指令，修改工作时间。</w:t>
      </w:r>
    </w:p>
    <w:p>
      <w:pPr>
        <w:widowControl/>
        <w:numPr>
          <w:ilvl w:val="255"/>
          <w:numId w:val="0"/>
        </w:numPr>
        <w:spacing w:line="360" w:lineRule="auto"/>
        <w:ind w:firstLine="420" w:firstLineChars="200"/>
        <w:jc w:val="left"/>
        <w:outlineLvl w:val="9"/>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3.3.8.3 5G</w:t>
      </w:r>
      <w:r>
        <w:rPr>
          <w:rFonts w:hint="eastAsia" w:asciiTheme="minorEastAsia" w:hAnsiTheme="minorEastAsia" w:eastAsiaTheme="minorEastAsia" w:cstheme="minorEastAsia"/>
          <w:color w:val="000000" w:themeColor="text1"/>
          <w:sz w:val="21"/>
          <w:szCs w:val="22"/>
          <w14:textFill>
            <w14:solidFill>
              <w14:schemeClr w14:val="tx1"/>
            </w14:solidFill>
          </w14:textFill>
        </w:rPr>
        <w:t>网关修改时间的过程不对系统产生影响，不影响业务的正常进行。</w:t>
      </w:r>
    </w:p>
    <w:p>
      <w:pPr>
        <w:widowControl/>
        <w:spacing w:line="360" w:lineRule="auto"/>
        <w:jc w:val="left"/>
        <w:outlineLvl w:val="1"/>
        <w:rPr>
          <w:b/>
          <w:color w:val="000000" w:themeColor="text1"/>
          <w:szCs w:val="21"/>
          <w14:textFill>
            <w14:solidFill>
              <w14:schemeClr w14:val="tx1"/>
            </w14:solidFill>
          </w14:textFill>
        </w:rPr>
      </w:pPr>
      <w:bookmarkStart w:id="74" w:name="_Toc7177"/>
      <w:r>
        <w:rPr>
          <w:rFonts w:hint="eastAsia"/>
          <w:b/>
          <w:color w:val="000000" w:themeColor="text1"/>
          <w:szCs w:val="21"/>
          <w:lang w:val="en-US" w:eastAsia="zh-CN"/>
          <w14:textFill>
            <w14:solidFill>
              <w14:schemeClr w14:val="tx1"/>
            </w14:solidFill>
          </w14:textFill>
        </w:rPr>
        <w:t>四</w:t>
      </w:r>
      <w:r>
        <w:rPr>
          <w:rFonts w:hint="eastAsia"/>
          <w:b/>
          <w:color w:val="000000" w:themeColor="text1"/>
          <w:szCs w:val="21"/>
          <w14:textFill>
            <w14:solidFill>
              <w14:schemeClr w14:val="tx1"/>
            </w14:solidFill>
          </w14:textFill>
        </w:rPr>
        <w:t>、</w:t>
      </w:r>
      <w:r>
        <w:rPr>
          <w:b/>
          <w:color w:val="000000" w:themeColor="text1"/>
          <w:szCs w:val="21"/>
          <w14:textFill>
            <w14:solidFill>
              <w14:schemeClr w14:val="tx1"/>
            </w14:solidFill>
          </w14:textFill>
        </w:rPr>
        <w:t>5G</w:t>
      </w:r>
      <w:r>
        <w:rPr>
          <w:rFonts w:hint="eastAsia"/>
          <w:b/>
          <w:color w:val="000000" w:themeColor="text1"/>
          <w:szCs w:val="21"/>
          <w14:textFill>
            <w14:solidFill>
              <w14:schemeClr w14:val="tx1"/>
            </w14:solidFill>
          </w14:textFill>
        </w:rPr>
        <w:t>网</w:t>
      </w:r>
      <w:r>
        <w:rPr>
          <w:rFonts w:hint="eastAsia"/>
          <w:b/>
          <w:color w:val="000000" w:themeColor="text1"/>
          <w:szCs w:val="21"/>
          <w:lang w:val="en-US" w:eastAsia="zh-CN"/>
          <w14:textFill>
            <w14:solidFill>
              <w14:schemeClr w14:val="tx1"/>
            </w14:solidFill>
          </w14:textFill>
        </w:rPr>
        <w:t>管</w:t>
      </w:r>
      <w:r>
        <w:rPr>
          <w:rFonts w:hint="eastAsia"/>
          <w:b/>
          <w:color w:val="000000" w:themeColor="text1"/>
          <w:szCs w:val="21"/>
          <w14:textFill>
            <w14:solidFill>
              <w14:schemeClr w14:val="tx1"/>
            </w14:solidFill>
          </w14:textFill>
        </w:rPr>
        <w:t>技术要求</w:t>
      </w:r>
      <w:bookmarkEnd w:id="74"/>
    </w:p>
    <w:p>
      <w:pPr>
        <w:widowControl/>
        <w:numPr>
          <w:ilvl w:val="255"/>
          <w:numId w:val="0"/>
        </w:numPr>
        <w:tabs>
          <w:tab w:val="left" w:pos="504"/>
        </w:tabs>
        <w:spacing w:line="360" w:lineRule="auto"/>
        <w:ind w:firstLine="422" w:firstLineChars="200"/>
        <w:jc w:val="left"/>
        <w:textAlignment w:val="auto"/>
        <w:outlineLvl w:val="2"/>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75" w:name="_Toc19424"/>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4.1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基本要求</w:t>
      </w:r>
      <w:bookmarkEnd w:id="75"/>
    </w:p>
    <w:p>
      <w:pPr>
        <w:widowControl/>
        <w:autoSpaceDE/>
        <w:autoSpaceDN/>
        <w:adjustRightInd/>
        <w:spacing w:line="360" w:lineRule="auto"/>
        <w:ind w:firstLine="359" w:firstLineChars="171"/>
        <w:jc w:val="left"/>
        <w:textAlignment w:val="auto"/>
        <w:rPr>
          <w:rFonts w:ascii="宋体" w:hAnsi="宋体"/>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4.1.1 如下图所示，5G</w:t>
      </w:r>
      <w:r>
        <w:rPr>
          <w:rFonts w:hint="eastAsia" w:ascii="宋体" w:hAnsi="宋体"/>
          <w:color w:val="000000" w:themeColor="text1"/>
          <w:sz w:val="21"/>
          <w:szCs w:val="22"/>
          <w:lang w:bidi="en-US"/>
          <w14:textFill>
            <w14:solidFill>
              <w14:schemeClr w14:val="tx1"/>
            </w14:solidFill>
          </w14:textFill>
        </w:rPr>
        <w:t>网</w:t>
      </w:r>
      <w:r>
        <w:rPr>
          <w:rFonts w:hint="eastAsia" w:ascii="宋体" w:hAnsi="宋体"/>
          <w:color w:val="000000" w:themeColor="text1"/>
          <w:sz w:val="21"/>
          <w:szCs w:val="22"/>
          <w:lang w:val="en-US" w:eastAsia="zh-CN" w:bidi="en-US"/>
          <w14:textFill>
            <w14:solidFill>
              <w14:schemeClr w14:val="tx1"/>
            </w14:solidFill>
          </w14:textFill>
        </w:rPr>
        <w:t>管</w:t>
      </w:r>
      <w:r>
        <w:rPr>
          <w:rFonts w:hint="eastAsia" w:ascii="宋体" w:hAnsi="宋体"/>
          <w:color w:val="000000" w:themeColor="text1"/>
          <w:sz w:val="21"/>
          <w:szCs w:val="22"/>
          <w:lang w:bidi="en-US"/>
          <w14:textFill>
            <w14:solidFill>
              <w14:schemeClr w14:val="tx1"/>
            </w14:solidFill>
          </w14:textFill>
        </w:rPr>
        <w:t>与</w:t>
      </w:r>
      <w:r>
        <w:rPr>
          <w:rFonts w:hint="eastAsia" w:ascii="宋体" w:hAnsi="宋体"/>
          <w:color w:val="000000" w:themeColor="text1"/>
          <w:sz w:val="21"/>
          <w:szCs w:val="22"/>
          <w:lang w:val="en-US" w:eastAsia="zh-CN" w:bidi="en-US"/>
          <w14:textFill>
            <w14:solidFill>
              <w14:schemeClr w14:val="tx1"/>
            </w14:solidFill>
          </w14:textFill>
        </w:rPr>
        <w:t>5G小</w:t>
      </w:r>
      <w:r>
        <w:rPr>
          <w:rFonts w:hint="eastAsia" w:ascii="宋体" w:hAnsi="宋体"/>
          <w:color w:val="000000" w:themeColor="text1"/>
          <w:sz w:val="21"/>
          <w:szCs w:val="22"/>
          <w:lang w:bidi="en-US"/>
          <w14:textFill>
            <w14:solidFill>
              <w14:schemeClr w14:val="tx1"/>
            </w14:solidFill>
          </w14:textFill>
        </w:rPr>
        <w:t>基站、</w:t>
      </w:r>
      <w:r>
        <w:rPr>
          <w:rFonts w:hint="eastAsia" w:ascii="宋体" w:hAnsi="宋体"/>
          <w:color w:val="000000" w:themeColor="text1"/>
          <w:sz w:val="21"/>
          <w:szCs w:val="22"/>
          <w:lang w:val="en-US" w:eastAsia="zh-CN" w:bidi="en-US"/>
          <w14:textFill>
            <w14:solidFill>
              <w14:schemeClr w14:val="tx1"/>
            </w14:solidFill>
          </w14:textFill>
        </w:rPr>
        <w:t>5G</w:t>
      </w:r>
      <w:r>
        <w:rPr>
          <w:rFonts w:hint="eastAsia" w:ascii="宋体" w:hAnsi="宋体"/>
          <w:color w:val="000000" w:themeColor="text1"/>
          <w:sz w:val="21"/>
          <w:szCs w:val="22"/>
          <w:lang w:bidi="en-US"/>
          <w14:textFill>
            <w14:solidFill>
              <w14:schemeClr w14:val="tx1"/>
            </w14:solidFill>
          </w14:textFill>
        </w:rPr>
        <w:t>网关</w:t>
      </w:r>
      <w:r>
        <w:rPr>
          <w:rFonts w:ascii="宋体" w:hAnsi="宋体"/>
          <w:color w:val="000000" w:themeColor="text1"/>
          <w:sz w:val="21"/>
          <w:szCs w:val="22"/>
          <w:lang w:bidi="en-US"/>
          <w14:textFill>
            <w14:solidFill>
              <w14:schemeClr w14:val="tx1"/>
            </w14:solidFill>
          </w14:textFill>
        </w:rPr>
        <w:t>之间采用</w:t>
      </w:r>
      <w:r>
        <w:rPr>
          <w:rFonts w:hint="eastAsia" w:ascii="宋体" w:hAnsi="宋体"/>
          <w:color w:val="000000" w:themeColor="text1"/>
          <w:sz w:val="21"/>
          <w:szCs w:val="22"/>
          <w:lang w:bidi="en-US"/>
          <w14:textFill>
            <w14:solidFill>
              <w14:schemeClr w14:val="tx1"/>
            </w14:solidFill>
          </w14:textFill>
        </w:rPr>
        <w:t>南向</w:t>
      </w:r>
      <w:r>
        <w:rPr>
          <w:rFonts w:ascii="宋体" w:hAnsi="宋体"/>
          <w:color w:val="000000" w:themeColor="text1"/>
          <w:sz w:val="21"/>
          <w:szCs w:val="22"/>
          <w:lang w:bidi="en-US"/>
          <w14:textFill>
            <w14:solidFill>
              <w14:schemeClr w14:val="tx1"/>
            </w14:solidFill>
          </w14:textFill>
        </w:rPr>
        <w:t>接口连接。</w:t>
      </w:r>
    </w:p>
    <w:p>
      <w:pPr>
        <w:widowControl/>
        <w:autoSpaceDE/>
        <w:autoSpaceDN/>
        <w:adjustRightInd/>
        <w:spacing w:line="360" w:lineRule="auto"/>
        <w:ind w:firstLine="359" w:firstLineChars="171"/>
        <w:jc w:val="center"/>
        <w:textAlignment w:val="auto"/>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drawing>
          <wp:inline distT="0" distB="0" distL="114300" distR="114300">
            <wp:extent cx="3002915" cy="2218690"/>
            <wp:effectExtent l="0" t="0" r="6985" b="3810"/>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14"/>
                    <a:stretch>
                      <a:fillRect/>
                    </a:stretch>
                  </pic:blipFill>
                  <pic:spPr>
                    <a:xfrm>
                      <a:off x="0" y="0"/>
                      <a:ext cx="3002915" cy="2218690"/>
                    </a:xfrm>
                    <a:prstGeom prst="rect">
                      <a:avLst/>
                    </a:prstGeom>
                  </pic:spPr>
                </pic:pic>
              </a:graphicData>
            </a:graphic>
          </wp:inline>
        </w:drawing>
      </w:r>
    </w:p>
    <w:p>
      <w:pPr>
        <w:widowControl/>
        <w:autoSpaceDE/>
        <w:autoSpaceDN/>
        <w:adjustRightInd/>
        <w:spacing w:line="360" w:lineRule="auto"/>
        <w:ind w:firstLine="359" w:firstLineChars="171"/>
        <w:jc w:val="both"/>
        <w:textAlignment w:val="auto"/>
        <w:rPr>
          <w:rFonts w:hint="eastAsia" w:ascii="宋体" w:hAnsi="宋体"/>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14:textFill>
            <w14:solidFill>
              <w14:schemeClr w14:val="tx1"/>
            </w14:solidFill>
          </w14:textFill>
        </w:rPr>
        <w:t xml:space="preserve">4.1.2 </w:t>
      </w:r>
      <w:r>
        <w:rPr>
          <w:rFonts w:hint="eastAsia" w:ascii="宋体" w:hAnsi="宋体"/>
          <w:color w:val="000000" w:themeColor="text1"/>
          <w:sz w:val="21"/>
          <w:szCs w:val="22"/>
          <w:lang w:bidi="en-US"/>
          <w14:textFill>
            <w14:solidFill>
              <w14:schemeClr w14:val="tx1"/>
            </w14:solidFill>
          </w14:textFill>
        </w:rPr>
        <w:t>基站网管负责为</w:t>
      </w:r>
      <w:r>
        <w:rPr>
          <w:rFonts w:hint="eastAsia" w:ascii="宋体" w:hAnsi="宋体"/>
          <w:color w:val="000000" w:themeColor="text1"/>
          <w:sz w:val="21"/>
          <w:szCs w:val="22"/>
          <w:lang w:val="en-US" w:eastAsia="zh-CN" w:bidi="en-US"/>
          <w14:textFill>
            <w14:solidFill>
              <w14:schemeClr w14:val="tx1"/>
            </w14:solidFill>
          </w14:textFill>
        </w:rPr>
        <w:t>5G</w:t>
      </w:r>
      <w:r>
        <w:rPr>
          <w:rFonts w:hint="eastAsia" w:ascii="宋体" w:hAnsi="宋体"/>
          <w:color w:val="000000" w:themeColor="text1"/>
          <w:sz w:val="21"/>
          <w:szCs w:val="22"/>
          <w:lang w:bidi="en-US"/>
          <w14:textFill>
            <w14:solidFill>
              <w14:schemeClr w14:val="tx1"/>
            </w14:solidFill>
          </w14:textFill>
        </w:rPr>
        <w:t>小基站提供配置参数、性能管理、告警管理等。</w:t>
      </w:r>
    </w:p>
    <w:p>
      <w:pPr>
        <w:widowControl/>
        <w:autoSpaceDE/>
        <w:autoSpaceDN/>
        <w:adjustRightInd/>
        <w:spacing w:line="360" w:lineRule="auto"/>
        <w:ind w:firstLine="359" w:firstLineChars="171"/>
        <w:jc w:val="both"/>
        <w:textAlignment w:val="auto"/>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 xml:space="preserve">4.1.3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网关网管负责为</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5G</w:t>
      </w:r>
      <w:r>
        <w:rPr>
          <w:rFonts w:hint="eastAsia" w:asciiTheme="minorEastAsia" w:hAnsiTheme="minorEastAsia" w:eastAsiaTheme="minorEastAsia" w:cstheme="minorEastAsia"/>
          <w:color w:val="000000" w:themeColor="text1"/>
          <w:sz w:val="21"/>
          <w:szCs w:val="22"/>
          <w:highlight w:val="none"/>
          <w:lang w:bidi="en-US"/>
          <w14:textFill>
            <w14:solidFill>
              <w14:schemeClr w14:val="tx1"/>
            </w14:solidFill>
          </w14:textFill>
        </w:rPr>
        <w:t>网关</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提供配置参数、性能管理、告警管理等。</w:t>
      </w:r>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2"/>
          <w:lang w:val="en-US" w:eastAsia="zh-CN" w:bidi="en-US"/>
          <w14:textFill>
            <w14:solidFill>
              <w14:schemeClr w14:val="tx1"/>
            </w14:solidFill>
          </w14:textFill>
        </w:rPr>
        <w:t xml:space="preserve">4.1.4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采用TR069标准，B/S结构部署。</w:t>
      </w:r>
    </w:p>
    <w:p>
      <w:pPr>
        <w:widowControl/>
        <w:numPr>
          <w:ilvl w:val="255"/>
          <w:numId w:val="0"/>
        </w:numPr>
        <w:tabs>
          <w:tab w:val="left" w:pos="504"/>
        </w:tabs>
        <w:spacing w:line="360" w:lineRule="auto"/>
        <w:ind w:firstLine="422" w:firstLineChars="200"/>
        <w:jc w:val="left"/>
        <w:textAlignment w:val="auto"/>
        <w:outlineLvl w:val="2"/>
        <w:rPr>
          <w:rFonts w:hint="default"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bookmarkStart w:id="76" w:name="_Toc27882"/>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4.2 功能要求</w:t>
      </w:r>
      <w:bookmarkEnd w:id="76"/>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4.2.1 用户接口</w:t>
      </w:r>
    </w:p>
    <w:p>
      <w:pPr>
        <w:widowControl/>
        <w:numPr>
          <w:ilvl w:val="-1"/>
          <w:numId w:val="0"/>
        </w:numPr>
        <w:autoSpaceDE/>
        <w:autoSpaceDN/>
        <w:adjustRightInd/>
        <w:spacing w:line="360" w:lineRule="auto"/>
        <w:ind w:left="0" w:firstLine="359" w:firstLineChars="171"/>
        <w:textAlignment w:val="auto"/>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4.2.1.1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提供</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面向</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G小</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基站</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5G网关</w:t>
      </w:r>
      <w:r>
        <w:rPr>
          <w:rFonts w:hint="eastAsia" w:asciiTheme="minorEastAsia" w:hAnsiTheme="minorEastAsia" w:eastAsiaTheme="minorEastAsia" w:cstheme="minorEastAsia"/>
          <w:color w:val="000000" w:themeColor="text1"/>
          <w:sz w:val="21"/>
          <w:szCs w:val="22"/>
          <w14:textFill>
            <w14:solidFill>
              <w14:schemeClr w14:val="tx1"/>
            </w14:solidFill>
          </w14:textFill>
        </w:rPr>
        <w:t>物理设备操作维护的图形界面；</w:t>
      </w:r>
    </w:p>
    <w:p>
      <w:pPr>
        <w:widowControl/>
        <w:numPr>
          <w:ilvl w:val="-1"/>
          <w:numId w:val="0"/>
        </w:numPr>
        <w:autoSpaceDE/>
        <w:autoSpaceDN/>
        <w:adjustRightInd/>
        <w:spacing w:line="360" w:lineRule="auto"/>
        <w:ind w:left="0" w:firstLine="359" w:firstLineChars="171"/>
        <w:textAlignment w:val="auto"/>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4.2.1.2 图形</w:t>
      </w:r>
      <w:r>
        <w:rPr>
          <w:rFonts w:hint="eastAsia" w:asciiTheme="minorEastAsia" w:hAnsiTheme="minorEastAsia" w:eastAsiaTheme="minorEastAsia" w:cstheme="minorEastAsia"/>
          <w:color w:val="000000" w:themeColor="text1"/>
          <w:sz w:val="21"/>
          <w:szCs w:val="22"/>
          <w14:textFill>
            <w14:solidFill>
              <w14:schemeClr w14:val="tx1"/>
            </w14:solidFill>
          </w14:textFill>
        </w:rPr>
        <w:t>界面直观易于理解</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14:textFill>
            <w14:solidFill>
              <w14:schemeClr w14:val="tx1"/>
            </w14:solidFill>
          </w14:textFill>
        </w:rPr>
        <w:t>并根据</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用户选择</w:t>
      </w:r>
      <w:r>
        <w:rPr>
          <w:rFonts w:hint="eastAsia" w:asciiTheme="minorEastAsia" w:hAnsiTheme="minorEastAsia" w:eastAsiaTheme="minorEastAsia" w:cstheme="minorEastAsia"/>
          <w:color w:val="000000" w:themeColor="text1"/>
          <w:sz w:val="21"/>
          <w:szCs w:val="22"/>
          <w14:textFill>
            <w14:solidFill>
              <w14:schemeClr w14:val="tx1"/>
            </w14:solidFill>
          </w14:textFill>
        </w:rPr>
        <w:t>提供相对应图形界面</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4.2.2 配置管理</w:t>
      </w:r>
    </w:p>
    <w:p>
      <w:pPr>
        <w:widowControl/>
        <w:numPr>
          <w:ilvl w:val="-1"/>
          <w:numId w:val="0"/>
        </w:numPr>
        <w:autoSpaceDE/>
        <w:autoSpaceDN/>
        <w:adjustRightInd/>
        <w:spacing w:line="360" w:lineRule="auto"/>
        <w:ind w:left="0" w:firstLine="359" w:firstLineChars="171"/>
        <w:jc w:val="both"/>
        <w:textAlignment w:val="auto"/>
        <w:outlineLvl w:val="9"/>
        <w:rPr>
          <w:rFonts w:hAnsi="宋体"/>
          <w:color w:val="000000" w:themeColor="text1"/>
          <w:sz w:val="21"/>
          <w:szCs w:val="21"/>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4.2.2.1</w:t>
      </w:r>
      <w:r>
        <w:rPr>
          <w:rFonts w:hint="eastAsia" w:ascii="宋体" w:hAnsi="宋体" w:cs="宋体"/>
          <w:color w:val="000000" w:themeColor="text1"/>
          <w:kern w:val="0"/>
          <w:szCs w:val="21"/>
          <w14:textFill>
            <w14:solidFill>
              <w14:schemeClr w14:val="tx1"/>
            </w14:solidFill>
          </w14:textFill>
        </w:rPr>
        <w:t>★</w:t>
      </w:r>
      <w:r>
        <w:rPr>
          <w:rFonts w:hint="eastAsia" w:hAnsi="宋体"/>
          <w:color w:val="000000" w:themeColor="text1"/>
          <w:sz w:val="21"/>
          <w:szCs w:val="21"/>
          <w:lang w:bidi="en-US"/>
          <w14:textFill>
            <w14:solidFill>
              <w14:schemeClr w14:val="tx1"/>
            </w14:solidFill>
          </w14:textFill>
        </w:rPr>
        <w:t>支持对5G小基站进行添加、删除</w:t>
      </w:r>
      <w:r>
        <w:rPr>
          <w:rFonts w:hAnsi="宋体"/>
          <w:color w:val="000000" w:themeColor="text1"/>
          <w:sz w:val="21"/>
          <w:szCs w:val="21"/>
          <w:lang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4.2.2.2</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支持对5G小基站进行</w:t>
      </w:r>
      <w:r>
        <w:rPr>
          <w:rFonts w:hint="eastAsia" w:asciiTheme="minorEastAsia" w:hAnsiTheme="minorEastAsia" w:eastAsiaTheme="minorEastAsia" w:cstheme="minorEastAsia"/>
          <w:color w:val="000000" w:themeColor="text1"/>
          <w:sz w:val="21"/>
          <w:szCs w:val="22"/>
          <w:highlight w:val="none"/>
          <w:lang w:bidi="en-US"/>
          <w14:textFill>
            <w14:solidFill>
              <w14:schemeClr w14:val="tx1"/>
            </w14:solidFill>
          </w14:textFill>
        </w:rPr>
        <w:t>参数</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配置</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包括</w:t>
      </w:r>
      <w:r>
        <w:rPr>
          <w:rFonts w:hint="eastAsia" w:asciiTheme="minorEastAsia" w:hAnsiTheme="minorEastAsia" w:eastAsiaTheme="minorEastAsia" w:cstheme="minorEastAsia"/>
          <w:color w:val="000000" w:themeColor="text1"/>
          <w:sz w:val="21"/>
          <w:szCs w:val="22"/>
          <w:highlight w:val="none"/>
          <w:lang w:val="en-US" w:eastAsia="zh-CN" w:bidi="en-US"/>
          <w14:textFill>
            <w14:solidFill>
              <w14:schemeClr w14:val="tx1"/>
            </w14:solidFill>
          </w14:textFill>
        </w:rPr>
        <w:t>：基站IP地址、无线参数</w:t>
      </w:r>
      <w:r>
        <w:rPr>
          <w:rFonts w:hint="eastAsia" w:asciiTheme="minorEastAsia" w:hAnsiTheme="minorEastAsia" w:eastAsiaTheme="minorEastAsia" w:cstheme="minorEastAsia"/>
          <w:color w:val="000000" w:themeColor="text1"/>
          <w:sz w:val="21"/>
          <w:szCs w:val="22"/>
          <w:highlight w:val="none"/>
          <w:lang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jc w:val="both"/>
        <w:textAlignment w:val="auto"/>
        <w:outlineLvl w:val="9"/>
        <w:rPr>
          <w:rFonts w:hint="eastAsia" w:eastAsia="宋体" w:asciiTheme="minorEastAsia" w:hAnsi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 xml:space="preserve">4.2.2.3 </w:t>
      </w:r>
      <w:r>
        <w:rPr>
          <w:rFonts w:hint="eastAsia" w:hAnsi="宋体" w:eastAsiaTheme="minorEastAsia"/>
          <w:color w:val="000000" w:themeColor="text1"/>
          <w:sz w:val="21"/>
          <w:szCs w:val="21"/>
          <w:lang w:val="en-US" w:eastAsia="zh-CN" w:bidi="en-US"/>
          <w14:textFill>
            <w14:solidFill>
              <w14:schemeClr w14:val="tx1"/>
            </w14:solidFill>
          </w14:textFill>
        </w:rPr>
        <w:t>支持</w:t>
      </w:r>
      <w:r>
        <w:rPr>
          <w:rFonts w:hAnsi="宋体"/>
          <w:color w:val="000000" w:themeColor="text1"/>
          <w:sz w:val="21"/>
          <w:szCs w:val="21"/>
          <w:lang w:bidi="en-US"/>
          <w14:textFill>
            <w14:solidFill>
              <w14:schemeClr w14:val="tx1"/>
            </w14:solidFill>
          </w14:textFill>
        </w:rPr>
        <w:t>查询</w:t>
      </w:r>
      <w:r>
        <w:rPr>
          <w:rFonts w:hint="eastAsia" w:hAnsi="宋体"/>
          <w:color w:val="000000" w:themeColor="text1"/>
          <w:sz w:val="21"/>
          <w:szCs w:val="21"/>
          <w:lang w:eastAsia="zh-CN" w:bidi="en-US"/>
          <w14:textFill>
            <w14:solidFill>
              <w14:schemeClr w14:val="tx1"/>
            </w14:solidFill>
          </w14:textFill>
        </w:rPr>
        <w:t>、</w:t>
      </w:r>
      <w:r>
        <w:rPr>
          <w:rFonts w:hint="eastAsia" w:hAnsi="宋体"/>
          <w:color w:val="000000" w:themeColor="text1"/>
          <w:sz w:val="21"/>
          <w:szCs w:val="21"/>
          <w:lang w:val="en-US" w:eastAsia="zh-CN" w:bidi="en-US"/>
          <w14:textFill>
            <w14:solidFill>
              <w14:schemeClr w14:val="tx1"/>
            </w14:solidFill>
          </w14:textFill>
        </w:rPr>
        <w:t>下载</w:t>
      </w:r>
      <w:r>
        <w:rPr>
          <w:rFonts w:hAnsi="宋体"/>
          <w:color w:val="000000" w:themeColor="text1"/>
          <w:sz w:val="21"/>
          <w:szCs w:val="21"/>
          <w:lang w:bidi="en-US"/>
          <w14:textFill>
            <w14:solidFill>
              <w14:schemeClr w14:val="tx1"/>
            </w14:solidFill>
          </w14:textFill>
        </w:rPr>
        <w:t>配置数据</w:t>
      </w:r>
      <w:r>
        <w:rPr>
          <w:rFonts w:hint="eastAsia" w:hAnsi="宋体"/>
          <w:color w:val="000000" w:themeColor="text1"/>
          <w:sz w:val="21"/>
          <w:szCs w:val="21"/>
          <w:lang w:eastAsia="zh-CN" w:bidi="en-US"/>
          <w14:textFill>
            <w14:solidFill>
              <w14:schemeClr w14:val="tx1"/>
            </w14:solidFill>
          </w14:textFill>
        </w:rPr>
        <w:t>。</w:t>
      </w:r>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4.2.3 性能管理</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4.2.3.1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通过</w:t>
      </w:r>
      <w:r>
        <w:rPr>
          <w:rFonts w:hint="eastAsia" w:asciiTheme="minorEastAsia" w:hAnsiTheme="minorEastAsia" w:eastAsiaTheme="minorEastAsia" w:cstheme="minorEastAsia"/>
          <w:color w:val="000000" w:themeColor="text1"/>
          <w:sz w:val="21"/>
          <w:szCs w:val="22"/>
          <w:highlight w:val="none"/>
          <w:lang w:bidi="en-US"/>
          <w14:textFill>
            <w14:solidFill>
              <w14:schemeClr w14:val="tx1"/>
            </w14:solidFill>
          </w14:textFill>
        </w:rPr>
        <w:t>时间、分组、粒度及统计指标</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进行测量和统计</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分组：按SN号、域；粒度：小时、天；统计指标：RRC成功率等）</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 xml:space="preserve">4.2.3.2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支持图表、数据等形式展示测量结果</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 xml:space="preserve">4.2.3.3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查询、下载</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测量</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结果</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w:t>
      </w:r>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4.2.4 告警管理</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4.2.4.1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告警采集</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当</w:t>
      </w: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G小</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基站</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5G网关</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设备</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产生</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故障时，</w:t>
      </w:r>
      <w:r>
        <w:rPr>
          <w:rFonts w:hint="eastAsia" w:asciiTheme="minorEastAsia" w:hAnsiTheme="minorEastAsia" w:eastAsiaTheme="minorEastAsia" w:cstheme="minorEastAsia"/>
          <w:color w:val="000000" w:themeColor="text1"/>
          <w:kern w:val="2"/>
          <w:sz w:val="21"/>
          <w:szCs w:val="22"/>
          <w:lang w:bidi="en-US"/>
          <w14:textFill>
            <w14:solidFill>
              <w14:schemeClr w14:val="tx1"/>
            </w14:solidFill>
          </w14:textFill>
        </w:rPr>
        <w:t>能</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查询相应告警</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信息</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4.2.4.2 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告警操作</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包括</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告警确认、告警清除等；</w:t>
      </w:r>
    </w:p>
    <w:p>
      <w:pPr>
        <w:widowControl/>
        <w:numPr>
          <w:ilvl w:val="-1"/>
          <w:numId w:val="0"/>
        </w:numPr>
        <w:autoSpaceDE/>
        <w:autoSpaceDN/>
        <w:adjustRightInd/>
        <w:spacing w:line="360" w:lineRule="auto"/>
        <w:ind w:left="0"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4.2.4.3 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告警查询</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能够查询</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当前告警、历史告警；</w:t>
      </w:r>
    </w:p>
    <w:p>
      <w:pPr>
        <w:widowControl/>
        <w:numPr>
          <w:ilvl w:val="-1"/>
          <w:numId w:val="0"/>
        </w:numPr>
        <w:spacing w:line="360" w:lineRule="auto"/>
        <w:ind w:firstLine="359" w:firstLineChars="171"/>
        <w:jc w:val="both"/>
        <w:textAlignment w:val="auto"/>
        <w:outlineLvl w:val="9"/>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4.2.5 维护管理</w:t>
      </w:r>
    </w:p>
    <w:p>
      <w:pPr>
        <w:widowControl/>
        <w:numPr>
          <w:ilvl w:val="-1"/>
          <w:numId w:val="0"/>
        </w:numPr>
        <w:autoSpaceDE/>
        <w:autoSpaceDN/>
        <w:adjustRightInd/>
        <w:spacing w:line="360" w:lineRule="auto"/>
        <w:ind w:left="0" w:firstLine="359" w:firstLineChars="171"/>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4.2.5.1</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对</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5G小基站重启；</w:t>
      </w:r>
    </w:p>
    <w:p>
      <w:pPr>
        <w:widowControl/>
        <w:numPr>
          <w:ilvl w:val="-1"/>
          <w:numId w:val="0"/>
        </w:numPr>
        <w:autoSpaceDE/>
        <w:autoSpaceDN/>
        <w:adjustRightInd/>
        <w:spacing w:line="360" w:lineRule="auto"/>
        <w:ind w:left="0" w:firstLine="359" w:firstLineChars="171"/>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4.2.5.2</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支持对5G小基站进行升级管理</w:t>
      </w:r>
      <w:r>
        <w:rPr>
          <w:rFonts w:hint="eastAsia" w:asciiTheme="minorEastAsia" w:hAnsiTheme="minorEastAsia" w:eastAsiaTheme="minorEastAsia" w:cstheme="minorEastAsia"/>
          <w:color w:val="000000" w:themeColor="text1"/>
          <w:sz w:val="21"/>
          <w:szCs w:val="22"/>
          <w:lang w:eastAsia="zh-CN" w:bidi="en-US"/>
          <w14:textFill>
            <w14:solidFill>
              <w14:schemeClr w14:val="tx1"/>
            </w14:solidFill>
          </w14:textFill>
        </w:rPr>
        <w:t>；</w:t>
      </w:r>
    </w:p>
    <w:p>
      <w:pPr>
        <w:widowControl/>
        <w:numPr>
          <w:ilvl w:val="-1"/>
          <w:numId w:val="0"/>
        </w:numPr>
        <w:autoSpaceDE/>
        <w:autoSpaceDN/>
        <w:adjustRightInd/>
        <w:spacing w:line="360" w:lineRule="auto"/>
        <w:ind w:left="0" w:firstLine="359" w:firstLineChars="171"/>
        <w:textAlignment w:val="auto"/>
        <w:outlineLvl w:val="9"/>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4.2.5.3 支持</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对5G小基站</w:t>
      </w:r>
      <w:r>
        <w:rPr>
          <w:rFonts w:hint="eastAsia" w:ascii="宋体" w:hAnsi="宋体"/>
          <w:color w:val="000000" w:themeColor="text1"/>
          <w:sz w:val="21"/>
          <w:szCs w:val="21"/>
          <w14:textFill>
            <w14:solidFill>
              <w14:schemeClr w14:val="tx1"/>
            </w14:solidFill>
          </w14:textFill>
        </w:rPr>
        <w:t>恢复出厂设置。</w:t>
      </w:r>
    </w:p>
    <w:p>
      <w:pPr>
        <w:widowControl/>
        <w:numPr>
          <w:ilvl w:val="-1"/>
          <w:numId w:val="0"/>
        </w:numPr>
        <w:autoSpaceDE/>
        <w:autoSpaceDN/>
        <w:adjustRightInd/>
        <w:spacing w:line="360" w:lineRule="auto"/>
        <w:ind w:left="0" w:firstLine="359" w:firstLineChars="171"/>
        <w:jc w:val="left"/>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4.2.5.4</w:t>
      </w:r>
      <w:r>
        <w:rPr>
          <w:rFonts w:hint="eastAsia" w:ascii="宋体" w:hAnsi="宋体" w:cs="宋体"/>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支持权限</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管理</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，可设置操作员级别、业务权限、操作时段、有效期、口令；</w:t>
      </w:r>
    </w:p>
    <w:p>
      <w:pPr>
        <w:widowControl/>
        <w:numPr>
          <w:ilvl w:val="-1"/>
          <w:numId w:val="0"/>
        </w:numPr>
        <w:autoSpaceDE/>
        <w:autoSpaceDN/>
        <w:adjustRightInd/>
        <w:spacing w:line="360" w:lineRule="auto"/>
        <w:ind w:left="0" w:firstLine="359" w:firstLineChars="171"/>
        <w:jc w:val="left"/>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4.2.5.5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支持对操作员信息的保护，支持界面锁定；</w:t>
      </w:r>
    </w:p>
    <w:p>
      <w:pPr>
        <w:widowControl/>
        <w:numPr>
          <w:ilvl w:val="-1"/>
          <w:numId w:val="0"/>
        </w:numPr>
        <w:autoSpaceDE/>
        <w:autoSpaceDN/>
        <w:adjustRightInd/>
        <w:spacing w:line="360" w:lineRule="auto"/>
        <w:ind w:left="0" w:firstLine="359" w:firstLineChars="171"/>
        <w:jc w:val="left"/>
        <w:textAlignment w:val="auto"/>
        <w:outlineLvl w:val="9"/>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 xml:space="preserve">4.2.5.6 </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支持集中监控所有在线</w:t>
      </w:r>
      <w:r>
        <w:rPr>
          <w:rFonts w:hint="eastAsia" w:asciiTheme="minorEastAsia" w:hAnsiTheme="minorEastAsia" w:eastAsiaTheme="minorEastAsia" w:cstheme="minorEastAsia"/>
          <w:color w:val="000000" w:themeColor="text1"/>
          <w:sz w:val="21"/>
          <w:szCs w:val="22"/>
          <w:lang w:val="en-US" w:eastAsia="zh-CN" w:bidi="en-US"/>
          <w14:textFill>
            <w14:solidFill>
              <w14:schemeClr w14:val="tx1"/>
            </w14:solidFill>
          </w14:textFill>
        </w:rPr>
        <w:t>操作员</w:t>
      </w:r>
      <w:r>
        <w:rPr>
          <w:rFonts w:hint="eastAsia" w:asciiTheme="minorEastAsia" w:hAnsiTheme="minorEastAsia" w:eastAsiaTheme="minorEastAsia" w:cstheme="minorEastAsia"/>
          <w:color w:val="000000" w:themeColor="text1"/>
          <w:sz w:val="21"/>
          <w:szCs w:val="22"/>
          <w:lang w:bidi="en-US"/>
          <w14:textFill>
            <w14:solidFill>
              <w14:schemeClr w14:val="tx1"/>
            </w14:solidFill>
          </w14:textFill>
        </w:rPr>
        <w:t>用户。</w:t>
      </w:r>
    </w:p>
    <w:p>
      <w:pPr>
        <w:widowControl/>
        <w:numPr>
          <w:ilvl w:val="-1"/>
          <w:numId w:val="0"/>
        </w:numPr>
        <w:autoSpaceDE/>
        <w:autoSpaceDN/>
        <w:adjustRightInd/>
        <w:spacing w:line="360" w:lineRule="auto"/>
        <w:ind w:left="0" w:firstLine="359" w:firstLineChars="171"/>
        <w:jc w:val="left"/>
        <w:textAlignment w:val="auto"/>
        <w:outlineLvl w:val="9"/>
        <w:rPr>
          <w:rFonts w:hint="eastAsia" w:ascii="宋体" w:hAnsi="宋体"/>
          <w:color w:val="000000" w:themeColor="text1"/>
          <w:sz w:val="21"/>
          <w:szCs w:val="21"/>
          <w:lang w:bidi="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4.2.5.7</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 w:val="21"/>
          <w:szCs w:val="21"/>
          <w:lang w:bidi="en-US"/>
          <w14:textFill>
            <w14:solidFill>
              <w14:schemeClr w14:val="tx1"/>
            </w14:solidFill>
          </w14:textFill>
        </w:rPr>
        <w:t>具体完整日志记录能力，对用户认证、鉴权、操作日志等进行完整记录，保证所有操作可查，回溯一个月</w:t>
      </w:r>
      <w:r>
        <w:rPr>
          <w:rFonts w:hint="eastAsia" w:ascii="宋体" w:hAnsi="宋体"/>
          <w:color w:val="000000" w:themeColor="text1"/>
          <w:sz w:val="21"/>
          <w:szCs w:val="21"/>
          <w:lang w:eastAsia="zh-CN" w:bidi="en-US"/>
          <w14:textFill>
            <w14:solidFill>
              <w14:schemeClr w14:val="tx1"/>
            </w14:solidFill>
          </w14:textFill>
        </w:rPr>
        <w:t>。</w:t>
      </w:r>
      <w:r>
        <w:rPr>
          <w:rFonts w:hint="eastAsia" w:ascii="宋体" w:hAnsi="宋体"/>
          <w:color w:val="000000" w:themeColor="text1"/>
          <w:sz w:val="21"/>
          <w:szCs w:val="21"/>
          <w:lang w:bidi="en-US"/>
          <w14:textFill>
            <w14:solidFill>
              <w14:schemeClr w14:val="tx1"/>
            </w14:solidFill>
          </w14:textFill>
        </w:rPr>
        <w:t xml:space="preserve"> </w:t>
      </w:r>
    </w:p>
    <w:p>
      <w:pPr>
        <w:widowControl/>
        <w:numPr>
          <w:ilvl w:val="-1"/>
          <w:numId w:val="0"/>
        </w:numPr>
        <w:autoSpaceDE/>
        <w:autoSpaceDN/>
        <w:adjustRightInd/>
        <w:spacing w:line="360" w:lineRule="auto"/>
        <w:ind w:left="0" w:firstLine="359" w:firstLineChars="171"/>
        <w:jc w:val="left"/>
        <w:textAlignment w:val="auto"/>
        <w:outlineLvl w:val="9"/>
        <w:rPr>
          <w:rFonts w:hint="eastAsia" w:ascii="宋体" w:hAnsi="宋体"/>
          <w:color w:val="000000" w:themeColor="text1"/>
          <w:sz w:val="21"/>
          <w:szCs w:val="21"/>
          <w:lang w:bidi="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4.2.5.8 </w:t>
      </w:r>
      <w:r>
        <w:rPr>
          <w:rFonts w:hint="eastAsia" w:ascii="宋体" w:hAnsi="宋体"/>
          <w:color w:val="000000" w:themeColor="text1"/>
          <w:sz w:val="21"/>
          <w:szCs w:val="21"/>
          <w:lang w:bidi="en-US"/>
          <w14:textFill>
            <w14:solidFill>
              <w14:schemeClr w14:val="tx1"/>
            </w14:solidFill>
          </w14:textFill>
        </w:rPr>
        <w:t>支持5G一体化小基站划分归属地域、分组管理。</w:t>
      </w:r>
    </w:p>
    <w:p>
      <w:pPr>
        <w:widowControl/>
        <w:numPr>
          <w:ins w:id="0" w:author="包yeemin" w:date="2024-01-05T09:28:21Z"/>
        </w:numPr>
        <w:spacing w:line="360" w:lineRule="auto"/>
        <w:jc w:val="left"/>
        <w:outlineLvl w:val="1"/>
        <w:rPr>
          <w:rFonts w:hint="default" w:ascii="Times New Roman" w:hAnsi="Times New Roman" w:eastAsia="宋体" w:cs="Times New Roman"/>
          <w:b/>
          <w:color w:val="000000" w:themeColor="text1"/>
          <w:sz w:val="21"/>
          <w:szCs w:val="21"/>
          <w:lang w:val="en-US" w:eastAsia="zh-CN" w:bidi="en-US"/>
          <w14:textFill>
            <w14:solidFill>
              <w14:schemeClr w14:val="tx1"/>
            </w14:solidFill>
          </w14:textFill>
        </w:rPr>
      </w:pPr>
      <w:r>
        <w:rPr>
          <w:rFonts w:hint="eastAsia" w:ascii="Times New Roman" w:hAnsi="Times New Roman" w:eastAsia="宋体" w:cs="Times New Roman"/>
          <w:b/>
          <w:color w:val="000000" w:themeColor="text1"/>
          <w:sz w:val="21"/>
          <w:szCs w:val="21"/>
          <w:lang w:val="en-US" w:eastAsia="zh-CN" w:bidi="en-US"/>
          <w14:textFill>
            <w14:solidFill>
              <w14:schemeClr w14:val="tx1"/>
            </w14:solidFill>
          </w14:textFill>
        </w:rPr>
        <w:t>五、轻量化MEC（可选）</w:t>
      </w:r>
    </w:p>
    <w:p>
      <w:pPr>
        <w:widowControl/>
        <w:numPr>
          <w:ilvl w:val="255"/>
          <w:numId w:val="0"/>
        </w:numPr>
        <w:tabs>
          <w:tab w:val="left" w:pos="504"/>
        </w:tabs>
        <w:spacing w:line="360" w:lineRule="auto"/>
        <w:ind w:left="0" w:firstLine="422" w:firstLineChars="200"/>
        <w:jc w:val="left"/>
        <w:outlineLvl w:val="2"/>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5.1 总体要求</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5.1.1 云平台支持底层CPU或GPU的虚拟化；</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5.1.2 支持应用服务以容器或虚拟机方式部署；</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5.1.3 支持与采购人已有业务系统对接，支持MEC应用在5G网络终端上的实现。</w:t>
      </w:r>
    </w:p>
    <w:p>
      <w:pPr>
        <w:widowControl/>
        <w:numPr>
          <w:ilvl w:val="255"/>
          <w:numId w:val="0"/>
        </w:numPr>
        <w:tabs>
          <w:tab w:val="left" w:pos="504"/>
        </w:tabs>
        <w:spacing w:line="360" w:lineRule="auto"/>
        <w:ind w:left="0" w:leftChars="0" w:firstLine="422" w:firstLineChars="200"/>
        <w:jc w:val="left"/>
        <w:outlineLvl w:val="2"/>
        <w:rPr>
          <w:rFonts w:hint="default"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 xml:space="preserve">5.2 </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MEC</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软件功能要求</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5.2.1 提供MEC边缘云基础底座能力；</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5.2.2 提供应用服务快速部署；</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5.2.3 提供智能边缘网络的环境支撑；</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5.2.4 通过LADN、UL CL或者IPV6多归属方案实现5G边缘UPF的选择及特定数据业务分流；</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5.2.5 提供可视化的MEC资源监控能力。</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5.2.6 支持边缘云服务器资源虚拟化。支持在一台MEC物理服务器中创建多个相互独立的虚拟机，每个虚拟机各自拥有计算、存储和网络等资源，运行各自的应用，虚拟机的计算、存储和网络资源是通过物理资源抽象的方式生成。</w:t>
      </w:r>
    </w:p>
    <w:p>
      <w:pPr>
        <w:widowControl/>
        <w:numPr>
          <w:ilvl w:val="255"/>
          <w:numId w:val="0"/>
        </w:numPr>
        <w:tabs>
          <w:tab w:val="left" w:pos="504"/>
        </w:tabs>
        <w:spacing w:line="360" w:lineRule="auto"/>
        <w:ind w:left="0" w:firstLine="422" w:firstLineChars="200"/>
        <w:jc w:val="left"/>
        <w:outlineLvl w:val="2"/>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5.3 边缘云应用或服务</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5.3.1 在边缘云软件架构基础上，支持以虚机部署方式，安装第三方应用、服务， MEC边缘云产品应自带1-2个本地应用，不局限于智慧社区、智慧工地、AI工业智能检测等，支持其他厂家第三方应用落地。</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5.3.2 投标人应详细说明MEC边缘云产品本地应用、解决方案，相关应用需要配套轻量化终端的，如摄像头，投标人提供1套终端产品。</w:t>
      </w:r>
    </w:p>
    <w:p>
      <w:pPr>
        <w:widowControl/>
        <w:numPr>
          <w:ilvl w:val="255"/>
          <w:numId w:val="0"/>
        </w:numPr>
        <w:tabs>
          <w:tab w:val="left" w:pos="504"/>
        </w:tabs>
        <w:spacing w:line="360" w:lineRule="auto"/>
        <w:ind w:left="0" w:firstLine="422" w:firstLineChars="200"/>
        <w:jc w:val="left"/>
        <w:outlineLvl w:val="2"/>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5.4 MEC硬件要求</w:t>
      </w:r>
    </w:p>
    <w:p>
      <w:pPr>
        <w:widowControl/>
        <w:numPr>
          <w:ilvl w:val="0"/>
          <w:numId w:val="0"/>
        </w:numPr>
        <w:spacing w:line="360" w:lineRule="auto"/>
        <w:ind w:left="0" w:leftChars="0" w:firstLine="359" w:firstLineChars="171"/>
        <w:jc w:val="left"/>
        <w:outlineLvl w:val="9"/>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Times New Roman"/>
          <w:bCs w:val="0"/>
          <w:color w:val="000000" w:themeColor="text1"/>
          <w:kern w:val="2"/>
          <w:sz w:val="21"/>
          <w:szCs w:val="21"/>
          <w:lang w:val="en-US" w:eastAsia="zh-CN" w:bidi="ar-SA"/>
          <w14:textFill>
            <w14:solidFill>
              <w14:schemeClr w14:val="tx1"/>
            </w14:solidFill>
          </w14:textFill>
        </w:rPr>
        <w:t>MEC边缘云不限制产品硬件形态，关键指标不低于以下标准：</w:t>
      </w:r>
    </w:p>
    <w:tbl>
      <w:tblPr>
        <w:tblStyle w:val="53"/>
        <w:tblW w:w="6414" w:type="dxa"/>
        <w:jc w:val="center"/>
        <w:tblLayout w:type="autofit"/>
        <w:tblCellMar>
          <w:top w:w="0" w:type="dxa"/>
          <w:left w:w="108" w:type="dxa"/>
          <w:bottom w:w="0" w:type="dxa"/>
          <w:right w:w="108" w:type="dxa"/>
        </w:tblCellMar>
      </w:tblPr>
      <w:tblGrid>
        <w:gridCol w:w="1397"/>
        <w:gridCol w:w="5017"/>
      </w:tblGrid>
      <w:tr>
        <w:tblPrEx>
          <w:tblCellMar>
            <w:top w:w="0" w:type="dxa"/>
            <w:left w:w="108" w:type="dxa"/>
            <w:bottom w:w="0" w:type="dxa"/>
            <w:right w:w="108" w:type="dxa"/>
          </w:tblCellMar>
        </w:tblPrEx>
        <w:trPr>
          <w:trHeight w:val="58" w:hRule="atLeast"/>
          <w:jc w:val="center"/>
        </w:trPr>
        <w:tc>
          <w:tcPr>
            <w:tcW w:w="13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部件名称</w:t>
            </w:r>
          </w:p>
        </w:tc>
        <w:tc>
          <w:tcPr>
            <w:tcW w:w="50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要求</w:t>
            </w:r>
          </w:p>
        </w:tc>
      </w:tr>
      <w:tr>
        <w:tblPrEx>
          <w:tblCellMar>
            <w:top w:w="0" w:type="dxa"/>
            <w:left w:w="108" w:type="dxa"/>
            <w:bottom w:w="0" w:type="dxa"/>
            <w:right w:w="108" w:type="dxa"/>
          </w:tblCellMar>
        </w:tblPrEx>
        <w:trPr>
          <w:trHeight w:val="300"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CPU</w:t>
            </w:r>
          </w:p>
        </w:tc>
        <w:tc>
          <w:tcPr>
            <w:tcW w:w="50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ARM或通用X86</w:t>
            </w:r>
          </w:p>
        </w:tc>
      </w:tr>
      <w:tr>
        <w:tblPrEx>
          <w:tblCellMar>
            <w:top w:w="0" w:type="dxa"/>
            <w:left w:w="108" w:type="dxa"/>
            <w:bottom w:w="0" w:type="dxa"/>
            <w:right w:w="108" w:type="dxa"/>
          </w:tblCellMar>
        </w:tblPrEx>
        <w:trPr>
          <w:trHeight w:val="300"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rPr>
            </w:pPr>
            <w:r>
              <w:rPr>
                <w:rFonts w:hint="eastAsia" w:ascii="宋体" w:hAnsi="宋体" w:cs="宋体"/>
                <w:color w:val="000000"/>
                <w:kern w:val="0"/>
                <w:sz w:val="21"/>
                <w:szCs w:val="21"/>
              </w:rPr>
              <w:t>内存</w:t>
            </w:r>
          </w:p>
        </w:tc>
        <w:tc>
          <w:tcPr>
            <w:tcW w:w="501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1"/>
                <w:szCs w:val="21"/>
                <w:lang w:val="en-US"/>
              </w:rPr>
            </w:pPr>
            <w:r>
              <w:rPr>
                <w:rFonts w:hint="eastAsia" w:ascii="宋体" w:hAnsi="宋体" w:cs="宋体"/>
                <w:color w:val="000000"/>
                <w:kern w:val="0"/>
                <w:sz w:val="21"/>
                <w:szCs w:val="21"/>
                <w:lang w:val="en-US" w:eastAsia="zh-CN"/>
              </w:rPr>
              <w:t>8GB DDR4，可扩展，以满足软件功能正常使用为要求</w:t>
            </w:r>
          </w:p>
        </w:tc>
      </w:tr>
      <w:tr>
        <w:tblPrEx>
          <w:tblCellMar>
            <w:top w:w="0" w:type="dxa"/>
            <w:left w:w="108" w:type="dxa"/>
            <w:bottom w:w="0" w:type="dxa"/>
            <w:right w:w="108" w:type="dxa"/>
          </w:tblCellMar>
        </w:tblPrEx>
        <w:trPr>
          <w:trHeight w:val="300"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val="en-US" w:eastAsia="zh-CN"/>
              </w:rPr>
              <w:t>存储</w:t>
            </w:r>
          </w:p>
        </w:tc>
        <w:tc>
          <w:tcPr>
            <w:tcW w:w="50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rPr>
            </w:pPr>
            <w:r>
              <w:rPr>
                <w:rFonts w:hint="eastAsia" w:ascii="宋体" w:hAnsi="宋体" w:cs="宋体"/>
                <w:color w:val="000000"/>
                <w:kern w:val="0"/>
                <w:sz w:val="21"/>
                <w:szCs w:val="21"/>
                <w:lang w:val="en-US" w:eastAsia="zh-CN"/>
              </w:rPr>
              <w:t>128GB，可扩展，以满足软件功能正常使用为要求</w:t>
            </w:r>
          </w:p>
        </w:tc>
      </w:tr>
      <w:tr>
        <w:tblPrEx>
          <w:tblCellMar>
            <w:top w:w="0" w:type="dxa"/>
            <w:left w:w="108" w:type="dxa"/>
            <w:bottom w:w="0" w:type="dxa"/>
            <w:right w:w="108" w:type="dxa"/>
          </w:tblCellMar>
        </w:tblPrEx>
        <w:trPr>
          <w:trHeight w:val="464" w:hRule="atLeast"/>
          <w:jc w:val="center"/>
        </w:trPr>
        <w:tc>
          <w:tcPr>
            <w:tcW w:w="13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eastAsia" w:ascii="宋体" w:hAnsi="宋体" w:cs="宋体"/>
                <w:color w:val="000000"/>
                <w:kern w:val="0"/>
                <w:sz w:val="21"/>
                <w:szCs w:val="21"/>
              </w:rPr>
            </w:pPr>
            <w:r>
              <w:rPr>
                <w:rFonts w:hint="eastAsia" w:ascii="宋体" w:hAnsi="宋体" w:eastAsia="宋体" w:cs="宋体"/>
                <w:color w:val="000000"/>
                <w:kern w:val="0"/>
                <w:sz w:val="21"/>
                <w:szCs w:val="21"/>
                <w:lang w:val="en-US" w:eastAsia="zh-CN" w:bidi="ar"/>
              </w:rPr>
              <w:t>网络接口</w:t>
            </w:r>
          </w:p>
        </w:tc>
        <w:tc>
          <w:tcPr>
            <w:tcW w:w="50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2个千兆以上光纤接口或RJ45接口</w:t>
            </w:r>
          </w:p>
        </w:tc>
      </w:tr>
    </w:tbl>
    <w:p>
      <w:pPr>
        <w:spacing w:line="360" w:lineRule="auto"/>
        <w:outlineLvl w:val="1"/>
        <w:rPr>
          <w:b/>
          <w:color w:val="000000" w:themeColor="text1"/>
          <w:szCs w:val="21"/>
          <w14:textFill>
            <w14:solidFill>
              <w14:schemeClr w14:val="tx1"/>
            </w14:solidFill>
          </w14:textFill>
        </w:rPr>
      </w:pPr>
      <w:bookmarkStart w:id="77" w:name="_Toc23696"/>
      <w:r>
        <w:rPr>
          <w:rFonts w:hint="eastAsia"/>
          <w:b/>
          <w:color w:val="000000" w:themeColor="text1"/>
          <w:szCs w:val="21"/>
          <w:lang w:val="en-US" w:eastAsia="zh-CN"/>
          <w14:textFill>
            <w14:solidFill>
              <w14:schemeClr w14:val="tx1"/>
            </w14:solidFill>
          </w14:textFill>
        </w:rPr>
        <w:t>六</w:t>
      </w:r>
      <w:r>
        <w:rPr>
          <w:rFonts w:hint="eastAsia"/>
          <w:b/>
          <w:color w:val="000000" w:themeColor="text1"/>
          <w:szCs w:val="21"/>
          <w14:textFill>
            <w14:solidFill>
              <w14:schemeClr w14:val="tx1"/>
            </w14:solidFill>
          </w14:textFill>
        </w:rPr>
        <w:t>、附加软件授权、售后服务及其它要求</w:t>
      </w:r>
      <w:bookmarkEnd w:id="77"/>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7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07" w:type="pct"/>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指标项</w:t>
            </w:r>
          </w:p>
        </w:tc>
        <w:tc>
          <w:tcPr>
            <w:tcW w:w="4192" w:type="pct"/>
            <w:vAlign w:val="center"/>
          </w:tcPr>
          <w:p>
            <w:pPr>
              <w:widowControl/>
              <w:ind w:firstLine="1687" w:firstLineChars="800"/>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7" w:type="pct"/>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5.1 </w:t>
            </w:r>
            <w:r>
              <w:rPr>
                <w:rFonts w:hint="eastAsia"/>
                <w:b/>
                <w:bCs/>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授权</w:t>
            </w:r>
          </w:p>
        </w:tc>
        <w:tc>
          <w:tcPr>
            <w:tcW w:w="4192" w:type="pct"/>
            <w:vAlign w:val="center"/>
          </w:tcPr>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本期采购的系统软件授权包含“第五章.技术需求书”章节部分的全部软件授权。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7" w:type="pct"/>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5.2 </w:t>
            </w:r>
            <w:r>
              <w:rPr>
                <w:rFonts w:hint="eastAsia"/>
                <w:b/>
                <w:bCs/>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安装和实施</w:t>
            </w:r>
          </w:p>
        </w:tc>
        <w:tc>
          <w:tcPr>
            <w:tcW w:w="4192" w:type="pct"/>
            <w:vAlign w:val="center"/>
          </w:tcPr>
          <w:p>
            <w:pPr>
              <w:widowControl/>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在与广电现有网络、设备对接测试时，必须无偿予以支撑和服务，保障建立访问通道，正常开展语音、流量各项业务。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7" w:type="pct"/>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5.3 </w:t>
            </w:r>
            <w:r>
              <w:rPr>
                <w:rFonts w:hint="eastAsia"/>
                <w:b/>
                <w:bCs/>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售后服务</w:t>
            </w:r>
          </w:p>
        </w:tc>
        <w:tc>
          <w:tcPr>
            <w:tcW w:w="4192" w:type="pct"/>
            <w:vAlign w:val="center"/>
          </w:tcPr>
          <w:p>
            <w:pPr>
              <w:widowControl/>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三年免费维保服务，提供包括但不限于7*24小时电话及邮件技术支持，在客户需要时提供现场技术支持，服务期内免费软件版本升级。</w:t>
            </w:r>
          </w:p>
          <w:p>
            <w:pPr>
              <w:widowControl/>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产品</w:t>
            </w:r>
            <w:r>
              <w:rPr>
                <w:rFonts w:hint="eastAsia" w:ascii="宋体" w:hAnsi="宋体" w:cs="宋体"/>
                <w:color w:val="000000" w:themeColor="text1"/>
                <w:sz w:val="21"/>
                <w:szCs w:val="21"/>
                <w14:textFill>
                  <w14:solidFill>
                    <w14:schemeClr w14:val="tx1"/>
                  </w14:solidFill>
                </w14:textFill>
              </w:rPr>
              <w:t>出现故障时，半小时内响应，2小时内安排人员到达现场，4小时内完成故障修复</w:t>
            </w:r>
            <w:r>
              <w:rPr>
                <w:rFonts w:hint="eastAsia" w:ascii="宋体" w:hAnsi="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07" w:type="pct"/>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5.4 </w:t>
            </w:r>
            <w:r>
              <w:rPr>
                <w:rFonts w:hint="eastAsia"/>
                <w:b/>
                <w:bCs/>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测试</w:t>
            </w:r>
          </w:p>
        </w:tc>
        <w:tc>
          <w:tcPr>
            <w:tcW w:w="4192" w:type="pct"/>
            <w:vAlign w:val="center"/>
          </w:tcPr>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中标后，要求中标方提供测试，如果与</w:t>
            </w:r>
            <w:r>
              <w:rPr>
                <w:rFonts w:hint="eastAsia" w:ascii="宋体" w:hAnsi="宋体" w:cs="宋体"/>
                <w:color w:val="000000" w:themeColor="text1"/>
                <w:szCs w:val="21"/>
                <w:lang w:val="en-US" w:eastAsia="zh-CN"/>
                <w14:textFill>
                  <w14:solidFill>
                    <w14:schemeClr w14:val="tx1"/>
                  </w14:solidFill>
                </w14:textFill>
              </w:rPr>
              <w:t>响应</w:t>
            </w:r>
            <w:r>
              <w:rPr>
                <w:rFonts w:hint="eastAsia" w:ascii="宋体" w:hAnsi="宋体" w:cs="宋体"/>
                <w:color w:val="000000" w:themeColor="text1"/>
                <w:szCs w:val="21"/>
                <w14:textFill>
                  <w14:solidFill>
                    <w14:schemeClr w14:val="tx1"/>
                  </w14:solidFill>
                </w14:textFill>
              </w:rPr>
              <w:t>参数不匹配，客户有权要求退货。</w:t>
            </w:r>
          </w:p>
        </w:tc>
      </w:tr>
    </w:tbl>
    <w:p>
      <w:pPr>
        <w:pStyle w:val="48"/>
        <w:rPr>
          <w:color w:val="000000" w:themeColor="text1"/>
          <w14:textFill>
            <w14:solidFill>
              <w14:schemeClr w14:val="tx1"/>
            </w14:solidFill>
          </w14:textFill>
        </w:rPr>
      </w:pPr>
    </w:p>
    <w:bookmarkEnd w:id="15"/>
    <w:bookmarkEnd w:id="16"/>
    <w:bookmarkEnd w:id="17"/>
    <w:p>
      <w:pPr>
        <w:spacing w:line="360" w:lineRule="auto"/>
        <w:ind w:firstLine="420" w:firstLineChars="200"/>
        <w:rPr>
          <w:rFonts w:eastAsia="黑体"/>
          <w:b/>
          <w:bCs/>
          <w:color w:val="000000" w:themeColor="text1"/>
          <w:kern w:val="44"/>
          <w:sz w:val="36"/>
          <w:szCs w:val="36"/>
          <w14:textFill>
            <w14:solidFill>
              <w14:schemeClr w14:val="tx1"/>
            </w14:solidFill>
          </w14:textFill>
        </w:rPr>
      </w:pPr>
      <w:bookmarkStart w:id="78" w:name="_Toc502914229"/>
      <w:r>
        <w:rPr>
          <w:color w:val="000000" w:themeColor="text1"/>
          <w14:textFill>
            <w14:solidFill>
              <w14:schemeClr w14:val="tx1"/>
            </w14:solidFill>
          </w14:textFill>
        </w:rPr>
        <w:br w:type="page"/>
      </w:r>
    </w:p>
    <w:bookmarkEnd w:id="78"/>
    <w:p>
      <w:pPr>
        <w:autoSpaceDE w:val="0"/>
        <w:autoSpaceDN w:val="0"/>
        <w:spacing w:line="240" w:lineRule="atLeast"/>
        <w:jc w:val="center"/>
        <w:outlineLvl w:val="0"/>
        <w:rPr>
          <w:rFonts w:eastAsia="黑体"/>
          <w:b/>
          <w:bCs/>
          <w:color w:val="000000" w:themeColor="text1"/>
          <w:kern w:val="44"/>
          <w:sz w:val="36"/>
          <w:szCs w:val="36"/>
          <w14:textFill>
            <w14:solidFill>
              <w14:schemeClr w14:val="tx1"/>
            </w14:solidFill>
          </w14:textFill>
        </w:rPr>
      </w:pPr>
      <w:bookmarkStart w:id="79" w:name="_Toc10238"/>
      <w:r>
        <w:rPr>
          <w:rFonts w:hint="eastAsia" w:eastAsia="黑体"/>
          <w:b/>
          <w:bCs/>
          <w:color w:val="000000" w:themeColor="text1"/>
          <w:kern w:val="44"/>
          <w:sz w:val="36"/>
          <w:szCs w:val="36"/>
          <w14:textFill>
            <w14:solidFill>
              <w14:schemeClr w14:val="tx1"/>
            </w14:solidFill>
          </w14:textFill>
        </w:rPr>
        <w:t>第六章</w:t>
      </w:r>
      <w:r>
        <w:rPr>
          <w:rFonts w:hint="eastAsia" w:eastAsia="黑体"/>
          <w:b/>
          <w:bCs/>
          <w:color w:val="000000" w:themeColor="text1"/>
          <w:kern w:val="44"/>
          <w:sz w:val="36"/>
          <w:szCs w:val="36"/>
          <w:lang w:val="en-US" w:eastAsia="zh-CN"/>
          <w14:textFill>
            <w14:solidFill>
              <w14:schemeClr w14:val="tx1"/>
            </w14:solidFill>
          </w14:textFill>
        </w:rPr>
        <w:t xml:space="preserve"> </w:t>
      </w:r>
      <w:r>
        <w:rPr>
          <w:rFonts w:hint="eastAsia" w:eastAsia="黑体"/>
          <w:b/>
          <w:bCs/>
          <w:color w:val="000000" w:themeColor="text1"/>
          <w:kern w:val="44"/>
          <w:sz w:val="36"/>
          <w:szCs w:val="36"/>
          <w14:textFill>
            <w14:solidFill>
              <w14:schemeClr w14:val="tx1"/>
            </w14:solidFill>
          </w14:textFill>
        </w:rPr>
        <w:t>竞争性</w:t>
      </w:r>
      <w:r>
        <w:rPr>
          <w:rFonts w:hint="eastAsia" w:eastAsia="黑体"/>
          <w:b/>
          <w:bCs/>
          <w:color w:val="000000" w:themeColor="text1"/>
          <w:kern w:val="44"/>
          <w:sz w:val="36"/>
          <w:szCs w:val="36"/>
          <w:lang w:eastAsia="zh-CN"/>
          <w14:textFill>
            <w14:solidFill>
              <w14:schemeClr w14:val="tx1"/>
            </w14:solidFill>
          </w14:textFill>
        </w:rPr>
        <w:t>谈判</w:t>
      </w:r>
      <w:r>
        <w:rPr>
          <w:rFonts w:hint="eastAsia" w:eastAsia="黑体"/>
          <w:b/>
          <w:bCs/>
          <w:color w:val="000000" w:themeColor="text1"/>
          <w:kern w:val="44"/>
          <w:sz w:val="36"/>
          <w:szCs w:val="36"/>
          <w14:textFill>
            <w14:solidFill>
              <w14:schemeClr w14:val="tx1"/>
            </w14:solidFill>
          </w14:textFill>
        </w:rPr>
        <w:t>响应文件格式</w:t>
      </w:r>
      <w:bookmarkEnd w:id="79"/>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ascii="宋体" w:hAnsi="宋体"/>
          <w:color w:val="000000" w:themeColor="text1"/>
          <w:sz w:val="44"/>
          <w:szCs w:val="44"/>
          <w14:textFill>
            <w14:solidFill>
              <w14:schemeClr w14:val="tx1"/>
            </w14:solidFill>
          </w14:textFill>
        </w:rPr>
        <w:t>江苏省广电有线信息网络股份有限公司</w:t>
      </w:r>
    </w:p>
    <w:p>
      <w:pPr>
        <w:jc w:val="center"/>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5G边缘云系统</w:t>
      </w:r>
    </w:p>
    <w:p>
      <w:pPr>
        <w:rPr>
          <w:color w:val="000000" w:themeColor="text1"/>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themeColor="text1"/>
          <w:sz w:val="20"/>
          <w14:textFill>
            <w14:solidFill>
              <w14:schemeClr w14:val="tx1"/>
            </w14:solidFill>
          </w14:textFill>
        </w:rPr>
      </w:pPr>
    </w:p>
    <w:p>
      <w:pPr>
        <w:pStyle w:val="21"/>
        <w:adjustRightInd w:val="0"/>
        <w:snapToGrid w:val="0"/>
        <w:spacing w:before="312" w:beforeLines="100" w:after="312" w:afterLines="100"/>
        <w:ind w:left="210" w:leftChars="100" w:right="210" w:rightChars="100" w:firstLine="1440" w:firstLineChars="300"/>
        <w:rPr>
          <w:color w:val="000000" w:themeColor="text1"/>
          <w:sz w:val="48"/>
          <w:szCs w:val="48"/>
          <w14:textFill>
            <w14:solidFill>
              <w14:schemeClr w14:val="tx1"/>
            </w14:solidFill>
          </w14:textFill>
        </w:rPr>
      </w:pPr>
      <w:r>
        <w:rPr>
          <w:rFonts w:hint="eastAsia"/>
          <w:color w:val="000000" w:themeColor="text1"/>
          <w:sz w:val="48"/>
          <w:szCs w:val="48"/>
          <w14:textFill>
            <w14:solidFill>
              <w14:schemeClr w14:val="tx1"/>
            </w14:solidFill>
          </w14:textFill>
        </w:rPr>
        <w:t>竞争性</w:t>
      </w:r>
      <w:r>
        <w:rPr>
          <w:rFonts w:hint="eastAsia"/>
          <w:color w:val="000000" w:themeColor="text1"/>
          <w:sz w:val="48"/>
          <w:szCs w:val="48"/>
          <w:lang w:eastAsia="zh-CN"/>
          <w14:textFill>
            <w14:solidFill>
              <w14:schemeClr w14:val="tx1"/>
            </w14:solidFill>
          </w14:textFill>
        </w:rPr>
        <w:t>谈判</w:t>
      </w:r>
      <w:r>
        <w:rPr>
          <w:rFonts w:hint="eastAsia"/>
          <w:color w:val="000000" w:themeColor="text1"/>
          <w:sz w:val="48"/>
          <w:szCs w:val="48"/>
          <w14:textFill>
            <w14:solidFill>
              <w14:schemeClr w14:val="tx1"/>
            </w14:solidFill>
          </w14:textFill>
        </w:rPr>
        <w:t>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right="210" w:rightChars="100"/>
        <w:jc w:val="left"/>
        <w:rPr>
          <w:color w:val="000000" w:themeColor="text1"/>
          <w:sz w:val="44"/>
          <w:szCs w:val="44"/>
          <w14:textFill>
            <w14:solidFill>
              <w14:schemeClr w14:val="tx1"/>
            </w14:solidFill>
          </w14:textFill>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themeColor="text1"/>
          <w:sz w:val="61"/>
          <w:szCs w:val="61"/>
          <w14:textFill>
            <w14:solidFill>
              <w14:schemeClr w14:val="tx1"/>
            </w14:solidFill>
          </w14:textFill>
        </w:rPr>
      </w:pP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供应商：（盖单位章）</w:t>
      </w:r>
    </w:p>
    <w:p>
      <w:pPr>
        <w:pStyle w:val="21"/>
        <w:adjustRightInd w:val="0"/>
        <w:snapToGrid w:val="0"/>
        <w:spacing w:before="312" w:beforeLines="100" w:after="312" w:afterLines="100"/>
        <w:ind w:left="210" w:leftChars="100" w:right="210" w:rightChars="100" w:firstLine="560" w:firstLineChars="200"/>
        <w:jc w:val="left"/>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color w:val="000000" w:themeColor="text1"/>
          <w14:textFill>
            <w14:solidFill>
              <w14:schemeClr w14:val="tx1"/>
            </w14:solidFill>
          </w14:textFill>
        </w:rPr>
      </w:pPr>
      <w:r>
        <w:rPr>
          <w:rFonts w:hint="eastAsia"/>
          <w:color w:val="000000" w:themeColor="text1"/>
          <w:szCs w:val="28"/>
          <w14:textFill>
            <w14:solidFill>
              <w14:schemeClr w14:val="tx1"/>
            </w14:solidFill>
          </w14:textFill>
        </w:rPr>
        <w:t>年</w:t>
      </w:r>
      <w:r>
        <w:rPr>
          <w:rFonts w:hint="eastAsia"/>
          <w:color w:val="000000" w:themeColor="text1"/>
          <w:spacing w:val="-3"/>
          <w:szCs w:val="28"/>
          <w14:textFill>
            <w14:solidFill>
              <w14:schemeClr w14:val="tx1"/>
            </w14:solidFill>
          </w14:textFill>
        </w:rPr>
        <w:t>月</w:t>
      </w:r>
      <w:r>
        <w:rPr>
          <w:rFonts w:hint="eastAsia"/>
          <w:color w:val="000000" w:themeColor="text1"/>
          <w:szCs w:val="28"/>
          <w14:textFill>
            <w14:solidFill>
              <w14:schemeClr w14:val="tx1"/>
            </w14:solidFill>
          </w14:textFill>
        </w:rPr>
        <w:t>日</w:t>
      </w:r>
      <w:r>
        <w:rPr>
          <w:rFonts w:ascii="Arial" w:hAnsi="Arial" w:eastAsia="黑体" w:cs="Arial"/>
          <w:color w:val="000000" w:themeColor="text1"/>
          <w14:textFill>
            <w14:solidFill>
              <w14:schemeClr w14:val="tx1"/>
            </w14:solidFill>
          </w14:textFill>
        </w:rPr>
        <w:br w:type="page"/>
      </w:r>
    </w:p>
    <w:p>
      <w:pPr>
        <w:pStyle w:val="4"/>
        <w:numPr>
          <w:ilvl w:val="0"/>
          <w:numId w:val="0"/>
        </w:numPr>
        <w:jc w:val="center"/>
        <w:rPr>
          <w:color w:val="000000" w:themeColor="text1"/>
          <w14:textFill>
            <w14:solidFill>
              <w14:schemeClr w14:val="tx1"/>
            </w14:solidFill>
          </w14:textFill>
        </w:rPr>
      </w:pPr>
      <w:bookmarkStart w:id="80" w:name="_Toc32384"/>
      <w:r>
        <w:rPr>
          <w:rFonts w:hint="eastAsia"/>
          <w:color w:val="000000" w:themeColor="text1"/>
          <w14:textFill>
            <w14:solidFill>
              <w14:schemeClr w14:val="tx1"/>
            </w14:solidFill>
          </w14:textFill>
        </w:rPr>
        <w:t>评审索引表</w:t>
      </w:r>
      <w:bookmarkEnd w:id="80"/>
    </w:p>
    <w:p>
      <w:pPr>
        <w:spacing w:line="276"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为了便于评审高效有序进行，请供应商提供如下索引表，并请将该索引表置于应答文件首页。请供应商按照索引表及竞争性</w:t>
      </w:r>
      <w:r>
        <w:rPr>
          <w:rFonts w:hint="eastAsia"/>
          <w:b/>
          <w:color w:val="000000" w:themeColor="text1"/>
          <w:sz w:val="24"/>
          <w:lang w:eastAsia="zh-CN"/>
          <w14:textFill>
            <w14:solidFill>
              <w14:schemeClr w14:val="tx1"/>
            </w14:solidFill>
          </w14:textFill>
        </w:rPr>
        <w:t>谈判</w:t>
      </w:r>
      <w:r>
        <w:rPr>
          <w:rFonts w:hint="eastAsia"/>
          <w:b/>
          <w:color w:val="000000" w:themeColor="text1"/>
          <w:sz w:val="24"/>
          <w14:textFill>
            <w14:solidFill>
              <w14:schemeClr w14:val="tx1"/>
            </w14:solidFill>
          </w14:textFill>
        </w:rPr>
        <w:t>文件要求提供相关材料。供应商没有按照竞争性</w:t>
      </w:r>
      <w:r>
        <w:rPr>
          <w:rFonts w:hint="eastAsia"/>
          <w:b/>
          <w:color w:val="000000" w:themeColor="text1"/>
          <w:sz w:val="24"/>
          <w:lang w:eastAsia="zh-CN"/>
          <w14:textFill>
            <w14:solidFill>
              <w14:schemeClr w14:val="tx1"/>
            </w14:solidFill>
          </w14:textFill>
        </w:rPr>
        <w:t>谈判</w:t>
      </w:r>
      <w:r>
        <w:rPr>
          <w:rFonts w:hint="eastAsia"/>
          <w:b/>
          <w:color w:val="000000" w:themeColor="text1"/>
          <w:sz w:val="24"/>
          <w14:textFill>
            <w14:solidFill>
              <w14:schemeClr w14:val="tx1"/>
            </w14:solidFill>
          </w14:textFill>
        </w:rPr>
        <w:t>文件要求提交全部资料，或者应答没有对竞争性</w:t>
      </w:r>
      <w:r>
        <w:rPr>
          <w:rFonts w:hint="eastAsia"/>
          <w:b/>
          <w:color w:val="000000" w:themeColor="text1"/>
          <w:sz w:val="24"/>
          <w:lang w:eastAsia="zh-CN"/>
          <w14:textFill>
            <w14:solidFill>
              <w14:schemeClr w14:val="tx1"/>
            </w14:solidFill>
          </w14:textFill>
        </w:rPr>
        <w:t>谈判</w:t>
      </w:r>
      <w:r>
        <w:rPr>
          <w:rFonts w:hint="eastAsia"/>
          <w:b/>
          <w:color w:val="000000" w:themeColor="text1"/>
          <w:sz w:val="24"/>
          <w14:textFill>
            <w14:solidFill>
              <w14:schemeClr w14:val="tx1"/>
            </w14:solidFill>
          </w14:textFill>
        </w:rPr>
        <w:t>文件做出实质性响应是供应商的风险，并可能导致其响应文件作否决处理。</w:t>
      </w:r>
    </w:p>
    <w:p>
      <w:pPr>
        <w:pStyle w:val="15"/>
        <w:rPr>
          <w:rFonts w:ascii="宋体" w:hAnsi="宋体" w:eastAsia="宋体"/>
          <w:b/>
          <w:color w:val="000000" w:themeColor="text1"/>
          <w:sz w:val="24"/>
          <w14:textFill>
            <w14:solidFill>
              <w14:schemeClr w14:val="tx1"/>
            </w14:solidFill>
          </w14:textFill>
        </w:rPr>
      </w:pPr>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81" w:name="_Toc30919"/>
      <w:r>
        <w:rPr>
          <w:rFonts w:hint="eastAsia" w:ascii="宋体" w:hAnsi="宋体" w:eastAsia="宋体"/>
          <w:b/>
          <w:bCs/>
          <w:color w:val="000000" w:themeColor="text1"/>
          <w:sz w:val="22"/>
          <w:szCs w:val="28"/>
          <w14:textFill>
            <w14:solidFill>
              <w14:schemeClr w14:val="tx1"/>
            </w14:solidFill>
          </w14:textFill>
        </w:rPr>
        <w:t>初步</w:t>
      </w:r>
      <w:r>
        <w:rPr>
          <w:rFonts w:ascii="宋体" w:hAnsi="宋体" w:eastAsia="宋体"/>
          <w:b/>
          <w:bCs/>
          <w:color w:val="000000" w:themeColor="text1"/>
          <w:sz w:val="22"/>
          <w:szCs w:val="28"/>
          <w14:textFill>
            <w14:solidFill>
              <w14:schemeClr w14:val="tx1"/>
            </w14:solidFill>
          </w14:textFill>
        </w:rPr>
        <w:t>评审索引表</w:t>
      </w:r>
      <w:bookmarkEnd w:id="81"/>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序号</w:t>
            </w:r>
          </w:p>
        </w:tc>
        <w:tc>
          <w:tcPr>
            <w:tcW w:w="3771"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lang w:eastAsia="zh-TW"/>
                <w14:textFill>
                  <w14:solidFill>
                    <w14:schemeClr w14:val="tx1"/>
                  </w14:solidFill>
                </w14:textFill>
              </w:rPr>
              <w:t>评审因素</w:t>
            </w:r>
          </w:p>
        </w:tc>
        <w:tc>
          <w:tcPr>
            <w:tcW w:w="650" w:type="pct"/>
            <w:vAlign w:val="center"/>
          </w:tcPr>
          <w:p>
            <w:pPr>
              <w:widowControl/>
              <w:jc w:val="center"/>
              <w:rPr>
                <w:rFonts w:ascii="宋体" w:hAnsi="宋体" w:cs="宋体"/>
                <w:b/>
                <w:bCs/>
                <w:color w:val="000000" w:themeColor="text1"/>
                <w:kern w:val="0"/>
                <w:sz w:val="20"/>
                <w:szCs w:val="20"/>
                <w14:textFill>
                  <w14:solidFill>
                    <w14:schemeClr w14:val="tx1"/>
                  </w14:solidFill>
                </w14:textFill>
              </w:rPr>
            </w:pPr>
            <w:r>
              <w:rPr>
                <w:rFonts w:hint="eastAsia" w:ascii="宋体" w:hAnsi="宋体" w:cs="宋体"/>
                <w:b/>
                <w:bCs/>
                <w:color w:val="000000" w:themeColor="text1"/>
                <w:kern w:val="0"/>
                <w:sz w:val="20"/>
                <w:szCs w:val="20"/>
                <w14:textFill>
                  <w14:solidFill>
                    <w14:schemeClr w14:val="tx1"/>
                  </w14:solidFill>
                </w14:textFill>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jc w:val="center"/>
              <w:rPr>
                <w:rFonts w:ascii="宋体" w:hAnsi="宋体" w:cs="宋体"/>
                <w:b/>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2</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3</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4</w:t>
            </w: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olor w:val="000000" w:themeColor="text1"/>
                <w14:textFill>
                  <w14:solidFill>
                    <w14:schemeClr w14:val="tx1"/>
                  </w14:solidFill>
                </w14:textFill>
              </w:rPr>
            </w:pPr>
          </w:p>
        </w:tc>
        <w:tc>
          <w:tcPr>
            <w:tcW w:w="3771" w:type="pct"/>
            <w:vAlign w:val="center"/>
          </w:tcPr>
          <w:p>
            <w:pPr>
              <w:widowControl/>
              <w:spacing w:line="300" w:lineRule="auto"/>
              <w:jc w:val="left"/>
              <w:rPr>
                <w:rFonts w:ascii="宋体" w:hAnsi="宋体"/>
                <w:color w:val="000000" w:themeColor="text1"/>
                <w:kern w:val="0"/>
                <w14:textFill>
                  <w14:solidFill>
                    <w14:schemeClr w14:val="tx1"/>
                  </w14:solidFill>
                </w14:textFill>
              </w:rPr>
            </w:pPr>
          </w:p>
        </w:tc>
        <w:tc>
          <w:tcPr>
            <w:tcW w:w="650" w:type="pct"/>
            <w:vAlign w:val="center"/>
          </w:tcPr>
          <w:p>
            <w:pPr>
              <w:widowControl/>
              <w:rPr>
                <w:rFonts w:ascii="宋体" w:hAnsi="宋体" w:cs="宋体"/>
                <w:color w:val="000000" w:themeColor="text1"/>
                <w:kern w:val="0"/>
                <w:szCs w:val="21"/>
                <w14:textFill>
                  <w14:solidFill>
                    <w14:schemeClr w14:val="tx1"/>
                  </w14:solidFill>
                </w14:textFill>
              </w:rPr>
            </w:pPr>
          </w:p>
        </w:tc>
      </w:tr>
    </w:tbl>
    <w:p>
      <w:pPr>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2"/>
        <w:ind w:firstLine="560"/>
        <w:rPr>
          <w:color w:val="000000" w:themeColor="text1"/>
          <w14:textFill>
            <w14:solidFill>
              <w14:schemeClr w14:val="tx1"/>
            </w14:solidFill>
          </w14:textFill>
        </w:rPr>
      </w:pPr>
    </w:p>
    <w:p>
      <w:pPr>
        <w:pStyle w:val="5"/>
        <w:spacing w:before="260" w:after="260" w:line="416" w:lineRule="auto"/>
        <w:jc w:val="center"/>
        <w:rPr>
          <w:rFonts w:ascii="宋体" w:hAnsi="宋体" w:eastAsia="宋体"/>
          <w:b/>
          <w:bCs/>
          <w:color w:val="000000" w:themeColor="text1"/>
          <w:sz w:val="22"/>
          <w:szCs w:val="28"/>
          <w14:textFill>
            <w14:solidFill>
              <w14:schemeClr w14:val="tx1"/>
            </w14:solidFill>
          </w14:textFill>
        </w:rPr>
      </w:pPr>
      <w:bookmarkStart w:id="82" w:name="_Toc22528"/>
      <w:r>
        <w:rPr>
          <w:rFonts w:hint="eastAsia" w:ascii="宋体" w:hAnsi="宋体" w:eastAsia="宋体"/>
          <w:b/>
          <w:bCs/>
          <w:color w:val="000000" w:themeColor="text1"/>
          <w:sz w:val="22"/>
          <w:szCs w:val="28"/>
          <w14:textFill>
            <w14:solidFill>
              <w14:schemeClr w14:val="tx1"/>
            </w14:solidFill>
          </w14:textFill>
        </w:rPr>
        <w:t>详细</w:t>
      </w:r>
      <w:r>
        <w:rPr>
          <w:rFonts w:ascii="宋体" w:hAnsi="宋体" w:eastAsia="宋体"/>
          <w:b/>
          <w:bCs/>
          <w:color w:val="000000" w:themeColor="text1"/>
          <w:sz w:val="22"/>
          <w:szCs w:val="28"/>
          <w14:textFill>
            <w14:solidFill>
              <w14:schemeClr w14:val="tx1"/>
            </w14:solidFill>
          </w14:textFill>
        </w:rPr>
        <w:t>评审索引表</w:t>
      </w:r>
      <w:bookmarkEnd w:id="82"/>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评标项目</w:t>
            </w:r>
          </w:p>
        </w:tc>
        <w:tc>
          <w:tcPr>
            <w:tcW w:w="6778" w:type="dxa"/>
            <w:vAlign w:val="center"/>
          </w:tcPr>
          <w:p>
            <w:pPr>
              <w:jc w:val="center"/>
              <w:rPr>
                <w:b/>
                <w:color w:val="000000" w:themeColor="text1"/>
                <w14:textFill>
                  <w14:solidFill>
                    <w14:schemeClr w14:val="tx1"/>
                  </w14:solidFill>
                </w14:textFill>
              </w:rPr>
            </w:pPr>
            <w:r>
              <w:rPr>
                <w:b/>
                <w:color w:val="000000" w:themeColor="text1"/>
                <w:kern w:val="0"/>
                <w:szCs w:val="21"/>
                <w14:textFill>
                  <w14:solidFill>
                    <w14:schemeClr w14:val="tx1"/>
                  </w14:solidFill>
                </w14:textFill>
              </w:rPr>
              <w:t>评分要求</w:t>
            </w:r>
          </w:p>
        </w:tc>
        <w:tc>
          <w:tcPr>
            <w:tcW w:w="1141" w:type="dxa"/>
            <w:vAlign w:val="center"/>
          </w:tcPr>
          <w:p>
            <w:pPr>
              <w:jc w:val="center"/>
              <w:rPr>
                <w:b/>
                <w:color w:val="000000" w:themeColor="text1"/>
                <w14:textFill>
                  <w14:solidFill>
                    <w14:schemeClr w14:val="tx1"/>
                  </w14:solidFill>
                </w14:textFill>
              </w:rPr>
            </w:pPr>
            <w:r>
              <w:rPr>
                <w:rFonts w:hint="eastAsia"/>
                <w:b/>
                <w:color w:val="000000" w:themeColor="text1"/>
                <w:kern w:val="0"/>
                <w:szCs w:val="21"/>
                <w14:textFill>
                  <w14:solidFill>
                    <w14:schemeClr w14:val="tx1"/>
                  </w14:solidFill>
                </w14:textFill>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211" w:type="dxa"/>
            <w:vAlign w:val="center"/>
          </w:tcPr>
          <w:p>
            <w:pPr>
              <w:widowControl/>
              <w:spacing w:line="300" w:lineRule="auto"/>
              <w:jc w:val="center"/>
              <w:rPr>
                <w:color w:val="000000" w:themeColor="text1"/>
                <w:kern w:val="0"/>
                <w:szCs w:val="21"/>
                <w14:textFill>
                  <w14:solidFill>
                    <w14:schemeClr w14:val="tx1"/>
                  </w14:solidFill>
                </w14:textFill>
              </w:rPr>
            </w:pPr>
          </w:p>
        </w:tc>
        <w:tc>
          <w:tcPr>
            <w:tcW w:w="6778" w:type="dxa"/>
          </w:tcPr>
          <w:p>
            <w:pPr>
              <w:widowControl/>
              <w:tabs>
                <w:tab w:val="left" w:pos="402"/>
              </w:tabs>
              <w:ind w:left="420"/>
              <w:rPr>
                <w:color w:val="000000" w:themeColor="text1"/>
                <w:kern w:val="0"/>
                <w:szCs w:val="21"/>
                <w14:textFill>
                  <w14:solidFill>
                    <w14:schemeClr w14:val="tx1"/>
                  </w14:solidFill>
                </w14:textFill>
              </w:rPr>
            </w:pPr>
          </w:p>
        </w:tc>
        <w:tc>
          <w:tcPr>
            <w:tcW w:w="1141" w:type="dxa"/>
          </w:tcPr>
          <w:p>
            <w:pPr>
              <w:widowControl/>
              <w:tabs>
                <w:tab w:val="left" w:pos="0"/>
                <w:tab w:val="left" w:pos="402"/>
              </w:tabs>
              <w:spacing w:line="300" w:lineRule="auto"/>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c>
          <w:tcPr>
            <w:tcW w:w="1211" w:type="dxa"/>
            <w:vAlign w:val="center"/>
          </w:tcPr>
          <w:p>
            <w:pPr>
              <w:jc w:val="center"/>
              <w:rPr>
                <w:rFonts w:ascii="宋体" w:hAnsi="宋体"/>
                <w:b/>
                <w:color w:val="000000" w:themeColor="text1"/>
                <w14:textFill>
                  <w14:solidFill>
                    <w14:schemeClr w14:val="tx1"/>
                  </w14:solidFill>
                </w14:textFill>
              </w:rPr>
            </w:pPr>
          </w:p>
        </w:tc>
        <w:tc>
          <w:tcPr>
            <w:tcW w:w="6778" w:type="dxa"/>
            <w:vAlign w:val="center"/>
          </w:tcPr>
          <w:p>
            <w:pPr>
              <w:widowControl/>
              <w:jc w:val="left"/>
              <w:rPr>
                <w:rFonts w:ascii="宋体" w:hAnsi="宋体"/>
                <w:color w:val="000000" w:themeColor="text1"/>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11" w:type="dxa"/>
            <w:vAlign w:val="center"/>
          </w:tcPr>
          <w:p>
            <w:pPr>
              <w:jc w:val="center"/>
              <w:rPr>
                <w:color w:val="000000" w:themeColor="text1"/>
                <w:kern w:val="0"/>
                <w:szCs w:val="21"/>
                <w14:textFill>
                  <w14:solidFill>
                    <w14:schemeClr w14:val="tx1"/>
                  </w14:solidFill>
                </w14:textFill>
              </w:rPr>
            </w:pPr>
          </w:p>
        </w:tc>
        <w:tc>
          <w:tcPr>
            <w:tcW w:w="6778" w:type="dxa"/>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pPr>
              <w:widowControl/>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jc w:val="left"/>
              <w:rPr>
                <w:color w:val="000000" w:themeColor="text1"/>
                <w:kern w:val="0"/>
                <w:szCs w:val="21"/>
                <w14:textFill>
                  <w14:solidFill>
                    <w14:schemeClr w14:val="tx1"/>
                  </w14:solidFill>
                </w14:textFill>
              </w:rPr>
            </w:pPr>
          </w:p>
        </w:tc>
        <w:tc>
          <w:tcPr>
            <w:tcW w:w="1141" w:type="dxa"/>
          </w:tcPr>
          <w:p>
            <w:pPr>
              <w:widowControl/>
              <w:jc w:val="left"/>
              <w:rPr>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w:t>
            </w:r>
          </w:p>
        </w:tc>
        <w:tc>
          <w:tcPr>
            <w:tcW w:w="1211" w:type="dxa"/>
            <w:vAlign w:val="center"/>
          </w:tcPr>
          <w:p>
            <w:pPr>
              <w:jc w:val="center"/>
              <w:rPr>
                <w:color w:val="000000" w:themeColor="text1"/>
                <w:kern w:val="0"/>
                <w:szCs w:val="21"/>
                <w14:textFill>
                  <w14:solidFill>
                    <w14:schemeClr w14:val="tx1"/>
                  </w14:solidFill>
                </w14:textFill>
              </w:rPr>
            </w:pPr>
          </w:p>
        </w:tc>
        <w:tc>
          <w:tcPr>
            <w:tcW w:w="6778" w:type="dxa"/>
            <w:vAlign w:val="center"/>
          </w:tcPr>
          <w:p>
            <w:pPr>
              <w:widowControl/>
              <w:rPr>
                <w:rFonts w:eastAsia="仿宋_GB2312"/>
                <w:b/>
                <w:bCs/>
                <w:color w:val="000000" w:themeColor="text1"/>
                <w:kern w:val="0"/>
                <w:sz w:val="24"/>
                <w14:textFill>
                  <w14:solidFill>
                    <w14:schemeClr w14:val="tx1"/>
                  </w14:solidFill>
                </w14:textFill>
              </w:rPr>
            </w:pPr>
          </w:p>
        </w:tc>
        <w:tc>
          <w:tcPr>
            <w:tcW w:w="1141" w:type="dxa"/>
            <w:vAlign w:val="center"/>
          </w:tcPr>
          <w:p>
            <w:pPr>
              <w:widowControl/>
              <w:jc w:val="left"/>
              <w:rPr>
                <w:rFonts w:eastAsia="仿宋_GB2312"/>
                <w:b/>
                <w:bCs/>
                <w:color w:val="000000" w:themeColor="text1"/>
                <w:kern w:val="0"/>
                <w:sz w:val="24"/>
                <w14:textFill>
                  <w14:solidFill>
                    <w14:schemeClr w14:val="tx1"/>
                  </w14:solidFill>
                </w14:textFill>
              </w:rPr>
            </w:pPr>
          </w:p>
        </w:tc>
      </w:tr>
    </w:tbl>
    <w:p>
      <w:pPr>
        <w:pStyle w:val="15"/>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color w:val="000000" w:themeColor="text1"/>
          <w:sz w:val="24"/>
          <w:szCs w:val="24"/>
          <w14:textFill>
            <w14:solidFill>
              <w14:schemeClr w14:val="tx1"/>
            </w14:solidFill>
          </w14:textFill>
        </w:rPr>
      </w:pPr>
      <w:bookmarkStart w:id="83" w:name="_Toc14807"/>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1</w:t>
      </w:r>
      <w:r>
        <w:rPr>
          <w:rStyle w:val="106"/>
          <w:rFonts w:hint="eastAsia" w:hAnsi="宋体"/>
          <w:b w:val="0"/>
          <w:bCs w:val="0"/>
          <w:color w:val="000000" w:themeColor="text1"/>
          <w:sz w:val="24"/>
          <w:szCs w:val="24"/>
          <w14:textFill>
            <w14:solidFill>
              <w14:schemeClr w14:val="tx1"/>
            </w14:solidFill>
          </w14:textFill>
        </w:rPr>
        <w:t>：响应函</w:t>
      </w:r>
      <w:bookmarkEnd w:id="83"/>
    </w:p>
    <w:p>
      <w:pPr>
        <w:snapToGrid w:val="0"/>
        <w:spacing w:before="312" w:beforeLines="100" w:after="312" w:afterLines="100"/>
        <w:ind w:left="210" w:leftChars="100" w:right="210" w:rightChars="100" w:firstLine="643" w:firstLineChars="200"/>
        <w:jc w:val="center"/>
        <w:rPr>
          <w:rStyle w:val="106"/>
          <w:rFonts w:ascii="宋体" w:hAnsi="宋体"/>
          <w:bCs w:val="0"/>
          <w:color w:val="000000" w:themeColor="text1"/>
          <w14:textFill>
            <w14:solidFill>
              <w14:schemeClr w14:val="tx1"/>
            </w14:solidFill>
          </w14:textFill>
        </w:rPr>
      </w:pPr>
      <w:r>
        <w:rPr>
          <w:rStyle w:val="106"/>
          <w:rFonts w:hint="eastAsia" w:ascii="宋体" w:hAnsi="宋体"/>
          <w:color w:val="000000" w:themeColor="text1"/>
          <w14:textFill>
            <w14:solidFill>
              <w14:schemeClr w14:val="tx1"/>
            </w14:solidFill>
          </w14:textFill>
        </w:rPr>
        <w:t>响应函</w:t>
      </w:r>
    </w:p>
    <w:p>
      <w:pPr>
        <w:snapToGrid w:val="0"/>
        <w:spacing w:before="312" w:beforeLines="100" w:after="312" w:afterLines="100"/>
        <w:ind w:left="210" w:leftChars="100" w:right="210" w:rightChars="100" w:firstLine="420" w:firstLineChars="200"/>
        <w:rPr>
          <w:rFonts w:ascii="宋体"/>
          <w:color w:val="000000" w:themeColor="text1"/>
          <w:szCs w:val="21"/>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江苏省广电有线信息网络股份有限公司：</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（供应商全称）授权（全权代表姓名、职务、职称）为全权代表，参加贵方组织的（采购编号、项目名称）的有关活动，为此：</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（1）提供供应商须知规定的全部响应文件（正本</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份，副本</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份、电子版</w:t>
      </w:r>
      <w:r>
        <w:rPr>
          <w:rFonts w:ascii="宋体" w:hAnsi="宋体"/>
          <w:color w:val="000000" w:themeColor="text1"/>
          <w:sz w:val="24"/>
          <w14:textFill>
            <w14:solidFill>
              <w14:schemeClr w14:val="tx1"/>
            </w14:solidFill>
          </w14:textFill>
        </w:rPr>
        <w:t>[ 1 ]</w:t>
      </w:r>
      <w:r>
        <w:rPr>
          <w:rFonts w:hint="eastAsia" w:ascii="宋体" w:hAnsi="宋体"/>
          <w:color w:val="000000" w:themeColor="text1"/>
          <w:sz w:val="24"/>
          <w14:textFill>
            <w14:solidFill>
              <w14:schemeClr w14:val="tx1"/>
            </w14:solidFill>
          </w14:textFill>
        </w:rPr>
        <w:t>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（2）提供按竞争性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文件要求的产品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服务的报价。（</w:t>
      </w:r>
      <w:r>
        <w:rPr>
          <w:rFonts w:hint="eastAsia" w:ascii="宋体" w:hAnsi="宋体"/>
          <w:color w:val="000000" w:themeColor="text1"/>
          <w:sz w:val="24"/>
          <w:u w:val="single"/>
          <w14:textFill>
            <w14:solidFill>
              <w14:schemeClr w14:val="tx1"/>
            </w14:solidFill>
          </w14:textFill>
        </w:rPr>
        <w:t>详见附件：报价表</w:t>
      </w:r>
      <w:r>
        <w:rPr>
          <w:rFonts w:hint="eastAsia" w:ascii="宋体" w:hAnsi="宋体"/>
          <w:color w:val="000000" w:themeColor="text1"/>
          <w:sz w:val="24"/>
          <w14:textFill>
            <w14:solidFill>
              <w14:schemeClr w14:val="tx1"/>
            </w14:solidFill>
          </w14:textFill>
        </w:rPr>
        <w:t>）。</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（3）供应商将按竞争性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文件的规定履行全部责任和义务。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（4）供应商已详细审查全部竞争性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文件，我们完全理解并同意放弃对竞争性</w:t>
      </w:r>
      <w:r>
        <w:rPr>
          <w:rFonts w:hint="eastAsia" w:ascii="宋体" w:hAnsi="宋体"/>
          <w:color w:val="000000" w:themeColor="text1"/>
          <w:sz w:val="24"/>
          <w:lang w:eastAsia="zh-CN"/>
          <w14:textFill>
            <w14:solidFill>
              <w14:schemeClr w14:val="tx1"/>
            </w14:solidFill>
          </w14:textFill>
        </w:rPr>
        <w:t>谈判</w:t>
      </w:r>
      <w:r>
        <w:rPr>
          <w:rFonts w:hint="eastAsia" w:ascii="宋体" w:hAnsi="宋体"/>
          <w:color w:val="000000" w:themeColor="text1"/>
          <w:sz w:val="24"/>
          <w14:textFill>
            <w14:solidFill>
              <w14:schemeClr w14:val="tx1"/>
            </w14:solidFill>
          </w14:textFill>
        </w:rPr>
        <w:t>文件提出质疑及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或争议的权利。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（5）本供应商递交响应文件的有效期为自递交响应文件截止日起</w:t>
      </w:r>
      <w:r>
        <w:rPr>
          <w:rFonts w:hint="eastAsia" w:ascii="宋体" w:hAnsi="宋体"/>
          <w:color w:val="000000" w:themeColor="text1"/>
          <w:sz w:val="24"/>
          <w:u w:val="single"/>
          <w14:textFill>
            <w14:solidFill>
              <w14:schemeClr w14:val="tx1"/>
            </w14:solidFill>
          </w14:textFill>
        </w:rPr>
        <w:t>90个</w:t>
      </w:r>
      <w:r>
        <w:rPr>
          <w:rFonts w:hint="eastAsia" w:ascii="宋体" w:hAnsi="宋体"/>
          <w:color w:val="000000" w:themeColor="text1"/>
          <w:sz w:val="24"/>
          <w14:textFill>
            <w14:solidFill>
              <w14:schemeClr w14:val="tx1"/>
            </w14:solidFill>
          </w14:textFill>
        </w:rPr>
        <w:t>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（6）如果在规定的递交响应文件截止时间后，供应商在谈判有效期内撤回响应文件，将取消供应商参与本项目资格。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（7）愿意向贵方提供任何与该项响应文件有关的数据、情况和技术资料，完全理解贵方不一定接受最低价的响应文件或收到的任何响应文件。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（9）我方在法律和财务上独立、合法运作并独立于采购人。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）我方具有较大规模的销售和售后服务的组织机构及完善快捷的技术支持能力，承诺在南京地区拥有固定可靠的有效服务网点。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）根据本项目要求，我单位委派（姓名）（身份证号）作为本项目的项目负责人。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）与本响应文件有关的一切往来通讯请寄：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地址传真：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电话电子函件：</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供应商名称（盖章）：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日期：</w:t>
      </w:r>
    </w:p>
    <w:p>
      <w:pPr>
        <w:pStyle w:val="4"/>
        <w:numPr>
          <w:ilvl w:val="0"/>
          <w:numId w:val="0"/>
        </w:numPr>
        <w:snapToGrid w:val="0"/>
        <w:spacing w:before="312" w:beforeLines="100" w:after="312" w:afterLines="100"/>
        <w:ind w:right="210" w:rightChars="100"/>
        <w:rPr>
          <w:rStyle w:val="106"/>
          <w:rFonts w:hAnsi="宋体"/>
          <w:b w:val="0"/>
          <w:bCs/>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84" w:name="_Toc6327"/>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2</w:t>
      </w:r>
      <w:r>
        <w:rPr>
          <w:rStyle w:val="106"/>
          <w:rFonts w:hint="eastAsia" w:hAnsi="宋体"/>
          <w:b w:val="0"/>
          <w:bCs w:val="0"/>
          <w:color w:val="000000" w:themeColor="text1"/>
          <w:sz w:val="24"/>
          <w:szCs w:val="24"/>
          <w14:textFill>
            <w14:solidFill>
              <w14:schemeClr w14:val="tx1"/>
            </w14:solidFill>
          </w14:textFill>
        </w:rPr>
        <w:t>：制造商的授权函和承诺函</w:t>
      </w:r>
      <w:r>
        <w:rPr>
          <w:rStyle w:val="106"/>
          <w:rFonts w:hAnsi="宋体"/>
          <w:b w:val="0"/>
          <w:bCs w:val="0"/>
          <w:color w:val="000000" w:themeColor="text1"/>
          <w:sz w:val="24"/>
          <w:szCs w:val="24"/>
          <w14:textFill>
            <w14:solidFill>
              <w14:schemeClr w14:val="tx1"/>
            </w14:solidFill>
          </w14:textFill>
        </w:rPr>
        <w:br w:type="page"/>
      </w:r>
      <w:bookmarkEnd w:id="84"/>
    </w:p>
    <w:p>
      <w:pPr>
        <w:pStyle w:val="4"/>
        <w:numPr>
          <w:ilvl w:val="0"/>
          <w:numId w:val="0"/>
        </w:numPr>
        <w:snapToGrid w:val="0"/>
        <w:spacing w:before="312" w:beforeLines="100" w:after="312" w:afterLines="100"/>
        <w:ind w:right="210" w:rightChars="100"/>
        <w:rPr>
          <w:rStyle w:val="80"/>
          <w:rFonts w:hAnsi="Times New Roman" w:eastAsia="宋体"/>
          <w:bCs w:val="0"/>
          <w:color w:val="000000" w:themeColor="text1"/>
          <w:szCs w:val="24"/>
          <w14:textFill>
            <w14:solidFill>
              <w14:schemeClr w14:val="tx1"/>
            </w14:solidFill>
          </w14:textFill>
        </w:rPr>
      </w:pPr>
      <w:bookmarkStart w:id="85" w:name="_Toc9756"/>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3</w:t>
      </w:r>
      <w:r>
        <w:rPr>
          <w:rStyle w:val="106"/>
          <w:rFonts w:hint="eastAsia" w:hAnsi="宋体"/>
          <w:b w:val="0"/>
          <w:bCs w:val="0"/>
          <w:color w:val="000000" w:themeColor="text1"/>
          <w:sz w:val="24"/>
          <w:szCs w:val="24"/>
          <w14:textFill>
            <w14:solidFill>
              <w14:schemeClr w14:val="tx1"/>
            </w14:solidFill>
          </w14:textFill>
        </w:rPr>
        <w:t>：报价表</w:t>
      </w:r>
      <w:r>
        <w:rPr>
          <w:rStyle w:val="106"/>
          <w:rFonts w:hAnsi="宋体"/>
          <w:b w:val="0"/>
          <w:bCs w:val="0"/>
          <w:color w:val="000000" w:themeColor="text1"/>
          <w:sz w:val="24"/>
          <w:szCs w:val="24"/>
          <w14:textFill>
            <w14:solidFill>
              <w14:schemeClr w14:val="tx1"/>
            </w14:solidFill>
          </w14:textFill>
        </w:rPr>
        <w:t>(</w:t>
      </w:r>
      <w:r>
        <w:rPr>
          <w:rStyle w:val="106"/>
          <w:rFonts w:hint="eastAsia" w:hAnsi="宋体"/>
          <w:b w:val="0"/>
          <w:bCs w:val="0"/>
          <w:color w:val="000000" w:themeColor="text1"/>
          <w:sz w:val="24"/>
          <w:szCs w:val="24"/>
          <w14:textFill>
            <w14:solidFill>
              <w14:schemeClr w14:val="tx1"/>
            </w14:solidFill>
          </w14:textFill>
        </w:rPr>
        <w:t>格式</w:t>
      </w:r>
      <w:r>
        <w:rPr>
          <w:rStyle w:val="106"/>
          <w:rFonts w:hAnsi="宋体"/>
          <w:b w:val="0"/>
          <w:bCs w:val="0"/>
          <w:color w:val="000000" w:themeColor="text1"/>
          <w:sz w:val="24"/>
          <w:szCs w:val="24"/>
          <w14:textFill>
            <w14:solidFill>
              <w14:schemeClr w14:val="tx1"/>
            </w14:solidFill>
          </w14:textFill>
        </w:rPr>
        <w:t>)</w:t>
      </w:r>
      <w:bookmarkEnd w:id="85"/>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5G边缘云系统</w:t>
      </w:r>
    </w:p>
    <w:tbl>
      <w:tblPr>
        <w:tblStyle w:val="53"/>
        <w:tblpPr w:leftFromText="180" w:rightFromText="180" w:vertAnchor="text" w:horzAnchor="page" w:tblpX="1067" w:tblpY="455"/>
        <w:tblOverlap w:val="never"/>
        <w:tblW w:w="9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79"/>
        <w:gridCol w:w="2785"/>
        <w:gridCol w:w="717"/>
        <w:gridCol w:w="2207"/>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gridSpan w:val="2"/>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产品名称</w:t>
            </w:r>
          </w:p>
        </w:tc>
        <w:tc>
          <w:tcPr>
            <w:tcW w:w="2785"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内容</w:t>
            </w:r>
          </w:p>
        </w:tc>
        <w:tc>
          <w:tcPr>
            <w:tcW w:w="71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数量</w:t>
            </w:r>
          </w:p>
        </w:tc>
        <w:tc>
          <w:tcPr>
            <w:tcW w:w="2207"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含税单价（元）</w:t>
            </w:r>
          </w:p>
        </w:tc>
        <w:tc>
          <w:tcPr>
            <w:tcW w:w="1663" w:type="dxa"/>
            <w:vAlign w:val="center"/>
          </w:tcPr>
          <w:p>
            <w:pPr>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1" w:type="dxa"/>
            <w:vMerge w:val="restart"/>
            <w:vAlign w:val="center"/>
          </w:tcPr>
          <w:p>
            <w:pPr>
              <w:spacing w:before="120"/>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5G边缘云系统</w:t>
            </w:r>
          </w:p>
        </w:tc>
        <w:tc>
          <w:tcPr>
            <w:tcW w:w="979" w:type="dxa"/>
            <w:vAlign w:val="center"/>
          </w:tcPr>
          <w:p>
            <w:pPr>
              <w:spacing w:before="12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5G网关</w:t>
            </w:r>
          </w:p>
        </w:tc>
        <w:tc>
          <w:tcPr>
            <w:tcW w:w="2785" w:type="dxa"/>
            <w:vAlign w:val="center"/>
          </w:tcPr>
          <w:p>
            <w:pPr>
              <w:jc w:val="left"/>
              <w:rPr>
                <w:rFonts w:hint="eastAsia" w:asciiTheme="minorEastAsia" w:hAnsiTheme="minorEastAsia" w:eastAsiaTheme="minorEastAsia" w:cstheme="minorEastAsia"/>
                <w:color w:val="000000" w:themeColor="text1"/>
                <w:sz w:val="21"/>
                <w:szCs w:val="22"/>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能够</w:t>
            </w:r>
            <w:r>
              <w:rPr>
                <w:rFonts w:hint="eastAsia" w:asciiTheme="minorEastAsia" w:hAnsiTheme="minorEastAsia" w:eastAsiaTheme="minorEastAsia" w:cstheme="minorEastAsia"/>
                <w:color w:val="000000" w:themeColor="text1"/>
                <w:sz w:val="21"/>
                <w:szCs w:val="22"/>
                <w14:textFill>
                  <w14:solidFill>
                    <w14:schemeClr w14:val="tx1"/>
                  </w14:solidFill>
                </w14:textFill>
              </w:rPr>
              <w:t>增加5G</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一体化</w:t>
            </w:r>
            <w:r>
              <w:rPr>
                <w:rFonts w:hint="eastAsia" w:asciiTheme="minorEastAsia" w:hAnsiTheme="minorEastAsia" w:eastAsiaTheme="minorEastAsia" w:cstheme="minorEastAsia"/>
                <w:color w:val="000000" w:themeColor="text1"/>
                <w:sz w:val="21"/>
                <w:szCs w:val="22"/>
                <w14:textFill>
                  <w14:solidFill>
                    <w14:schemeClr w14:val="tx1"/>
                  </w14:solidFill>
                </w14:textFill>
              </w:rPr>
              <w:t>小基站和5GC</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之</w:t>
            </w:r>
            <w:r>
              <w:rPr>
                <w:rFonts w:hint="eastAsia" w:asciiTheme="minorEastAsia" w:hAnsiTheme="minorEastAsia" w:eastAsiaTheme="minorEastAsia" w:cstheme="minorEastAsia"/>
                <w:color w:val="000000" w:themeColor="text1"/>
                <w:sz w:val="21"/>
                <w:szCs w:val="22"/>
                <w14:textFill>
                  <w14:solidFill>
                    <w14:schemeClr w14:val="tx1"/>
                  </w14:solidFill>
                </w14:textFill>
              </w:rPr>
              <w:t>间NG接口的可扩展性，支持</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不低于1000台</w:t>
            </w:r>
            <w:r>
              <w:rPr>
                <w:rFonts w:hint="eastAsia" w:asciiTheme="minorEastAsia" w:hAnsiTheme="minorEastAsia" w:eastAsiaTheme="minorEastAsia" w:cstheme="minorEastAsia"/>
                <w:color w:val="000000" w:themeColor="text1"/>
                <w:sz w:val="21"/>
                <w:szCs w:val="22"/>
                <w14:textFill>
                  <w14:solidFill>
                    <w14:schemeClr w14:val="tx1"/>
                  </w14:solidFill>
                </w14:textFill>
              </w:rPr>
              <w:t>5G</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一体化</w:t>
            </w:r>
            <w:r>
              <w:rPr>
                <w:rFonts w:hint="eastAsia" w:asciiTheme="minorEastAsia" w:hAnsiTheme="minorEastAsia" w:eastAsiaTheme="minorEastAsia" w:cstheme="minorEastAsia"/>
                <w:color w:val="000000" w:themeColor="text1"/>
                <w:sz w:val="21"/>
                <w:szCs w:val="22"/>
                <w14:textFill>
                  <w14:solidFill>
                    <w14:schemeClr w14:val="tx1"/>
                  </w14:solidFill>
                </w14:textFill>
              </w:rPr>
              <w:t>小基站的接入。</w:t>
            </w:r>
          </w:p>
          <w:p>
            <w:pPr>
              <w:jc w:val="left"/>
              <w:rPr>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具体详见技术需求书）</w:t>
            </w:r>
          </w:p>
        </w:tc>
        <w:tc>
          <w:tcPr>
            <w:tcW w:w="717" w:type="dxa"/>
            <w:vAlign w:val="center"/>
          </w:tcPr>
          <w:p>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套</w:t>
            </w:r>
          </w:p>
        </w:tc>
        <w:tc>
          <w:tcPr>
            <w:tcW w:w="2207" w:type="dxa"/>
            <w:vAlign w:val="center"/>
          </w:tcPr>
          <w:p>
            <w:pPr>
              <w:jc w:val="center"/>
              <w:rPr>
                <w:rFonts w:ascii="宋体" w:hAnsi="宋体" w:cs="宋体"/>
                <w:color w:val="000000" w:themeColor="text1"/>
                <w:szCs w:val="21"/>
                <w14:textFill>
                  <w14:solidFill>
                    <w14:schemeClr w14:val="tx1"/>
                  </w14:solidFill>
                </w14:textFill>
              </w:rPr>
            </w:pPr>
          </w:p>
        </w:tc>
        <w:tc>
          <w:tcPr>
            <w:tcW w:w="1663"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1" w:type="dxa"/>
            <w:vMerge w:val="continue"/>
            <w:vAlign w:val="center"/>
          </w:tcPr>
          <w:p>
            <w:pPr>
              <w:spacing w:before="120"/>
              <w:jc w:val="center"/>
              <w:rPr>
                <w:rFonts w:ascii="宋体" w:hAnsi="宋体" w:cs="宋体"/>
                <w:color w:val="000000" w:themeColor="text1"/>
                <w:kern w:val="0"/>
                <w:szCs w:val="21"/>
                <w14:textFill>
                  <w14:solidFill>
                    <w14:schemeClr w14:val="tx1"/>
                  </w14:solidFill>
                </w14:textFill>
              </w:rPr>
            </w:pPr>
          </w:p>
        </w:tc>
        <w:tc>
          <w:tcPr>
            <w:tcW w:w="979" w:type="dxa"/>
            <w:vAlign w:val="center"/>
          </w:tcPr>
          <w:p>
            <w:pPr>
              <w:spacing w:before="120"/>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5G网管</w:t>
            </w:r>
          </w:p>
        </w:tc>
        <w:tc>
          <w:tcPr>
            <w:tcW w:w="2785" w:type="dxa"/>
            <w:vAlign w:val="center"/>
          </w:tcPr>
          <w:p>
            <w:pPr>
              <w:numPr>
                <w:ilvl w:val="0"/>
                <w:numId w:val="0"/>
              </w:numPr>
              <w:jc w:val="left"/>
              <w:rPr>
                <w:rFonts w:hint="eastAsia" w:eastAsia="宋体"/>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2"/>
                <w14:textFill>
                  <w14:solidFill>
                    <w14:schemeClr w14:val="tx1"/>
                  </w14:solidFill>
                </w14:textFill>
              </w:rPr>
              <w:t>负责对5G一体化小基站和5G网关提供统一的集中式远程管理</w:t>
            </w:r>
            <w:r>
              <w:rPr>
                <w:rFonts w:hint="eastAsia" w:asciiTheme="minorEastAsia" w:hAnsiTheme="minorEastAsia" w:eastAsiaTheme="minorEastAsia" w:cstheme="minorEastAsia"/>
                <w:color w:val="000000" w:themeColor="text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lang w:val="en-US" w:eastAsia="zh-CN"/>
                <w14:textFill>
                  <w14:solidFill>
                    <w14:schemeClr w14:val="tx1"/>
                  </w14:solidFill>
                </w14:textFill>
              </w:rPr>
              <w:t>包括</w:t>
            </w:r>
            <w:r>
              <w:rPr>
                <w:rFonts w:hint="eastAsia" w:ascii="宋体" w:hAnsi="宋体"/>
                <w:color w:val="000000" w:themeColor="text1"/>
                <w:sz w:val="21"/>
                <w:szCs w:val="22"/>
                <w:lang w:bidi="en-US"/>
                <w14:textFill>
                  <w14:solidFill>
                    <w14:schemeClr w14:val="tx1"/>
                  </w14:solidFill>
                </w14:textFill>
              </w:rPr>
              <w:t>配置参数、性能管理、告警管理等</w:t>
            </w:r>
            <w:r>
              <w:rPr>
                <w:rFonts w:hint="eastAsia" w:ascii="宋体" w:hAnsi="宋体"/>
                <w:color w:val="000000" w:themeColor="text1"/>
                <w:sz w:val="21"/>
                <w:szCs w:val="22"/>
                <w:lang w:eastAsia="zh-CN" w:bidi="en-US"/>
                <w14:textFill>
                  <w14:solidFill>
                    <w14:schemeClr w14:val="tx1"/>
                  </w14:solidFill>
                </w14:textFill>
              </w:rPr>
              <w:t>。</w:t>
            </w:r>
          </w:p>
          <w:p>
            <w:pPr>
              <w:jc w:val="left"/>
              <w:rPr>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themeColor="text1"/>
                <w:sz w:val="21"/>
                <w:szCs w:val="22"/>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2"/>
                <w:lang w:val="en-US" w:eastAsia="zh-CN"/>
                <w14:textFill>
                  <w14:solidFill>
                    <w14:schemeClr w14:val="tx1"/>
                  </w14:solidFill>
                </w14:textFill>
              </w:rPr>
              <w:t>具体详见技术需求书）</w:t>
            </w:r>
          </w:p>
        </w:tc>
        <w:tc>
          <w:tcPr>
            <w:tcW w:w="717"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rFonts w:hint="eastAsia"/>
                <w:color w:val="000000" w:themeColor="text1"/>
                <w:szCs w:val="21"/>
                <w:lang w:val="en-US" w:eastAsia="zh-CN"/>
                <w14:textFill>
                  <w14:solidFill>
                    <w14:schemeClr w14:val="tx1"/>
                  </w14:solidFill>
                </w14:textFill>
              </w:rPr>
              <w:t>套</w:t>
            </w:r>
          </w:p>
        </w:tc>
        <w:tc>
          <w:tcPr>
            <w:tcW w:w="2207" w:type="dxa"/>
            <w:vAlign w:val="center"/>
          </w:tcPr>
          <w:p>
            <w:pPr>
              <w:jc w:val="center"/>
              <w:rPr>
                <w:rFonts w:ascii="宋体" w:hAnsi="宋体" w:cs="宋体"/>
                <w:color w:val="000000" w:themeColor="text1"/>
                <w:szCs w:val="21"/>
                <w14:textFill>
                  <w14:solidFill>
                    <w14:schemeClr w14:val="tx1"/>
                  </w14:solidFill>
                </w14:textFill>
              </w:rPr>
            </w:pPr>
          </w:p>
        </w:tc>
        <w:tc>
          <w:tcPr>
            <w:tcW w:w="1663"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w:t>
            </w:r>
          </w:p>
        </w:tc>
        <w:tc>
          <w:tcPr>
            <w:tcW w:w="7372"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天（</w:t>
            </w:r>
            <w:r>
              <w:rPr>
                <w:rFonts w:hint="eastAsia" w:ascii="宋体" w:hAnsi="宋体" w:cs="宋体"/>
                <w:b/>
                <w:bCs/>
                <w:color w:val="000000" w:themeColor="text1"/>
                <w14:textFill>
                  <w14:solidFill>
                    <w14:schemeClr w14:val="tx1"/>
                  </w14:solidFill>
                </w14:textFill>
              </w:rPr>
              <w:t>不超过</w:t>
            </w:r>
            <w:r>
              <w:rPr>
                <w:rFonts w:ascii="宋体" w:hAnsi="宋体"/>
                <w:b/>
                <w:bCs/>
                <w:color w:val="000000" w:themeColor="text1"/>
                <w:szCs w:val="21"/>
                <w14:textFill>
                  <w14:solidFill>
                    <w14:schemeClr w14:val="tx1"/>
                  </w14:solidFill>
                </w14:textFill>
              </w:rPr>
              <w:t>60</w:t>
            </w:r>
            <w:r>
              <w:rPr>
                <w:rFonts w:hint="eastAsia" w:ascii="宋体" w:hAnsi="宋体"/>
                <w:b/>
                <w:bCs/>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交货地点</w:t>
            </w:r>
          </w:p>
        </w:tc>
        <w:tc>
          <w:tcPr>
            <w:tcW w:w="7372"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免费包修期</w:t>
            </w:r>
          </w:p>
        </w:tc>
        <w:tc>
          <w:tcPr>
            <w:tcW w:w="7372" w:type="dxa"/>
            <w:gridSpan w:val="4"/>
            <w:vAlign w:val="center"/>
          </w:tcPr>
          <w:p>
            <w:pPr>
              <w:spacing w:line="360" w:lineRule="auto"/>
              <w:rPr>
                <w:rFonts w:ascii="宋体" w:hAnsi="宋体"/>
                <w:color w:val="000000" w:themeColor="text1"/>
                <w:szCs w:val="2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终</w:t>
            </w:r>
            <w:r>
              <w:rPr>
                <w:rFonts w:hint="eastAsia" w:ascii="宋体" w:hAnsi="宋体" w:cs="宋体"/>
                <w:color w:val="000000" w:themeColor="text1"/>
                <w14:textFill>
                  <w14:solidFill>
                    <w14:schemeClr w14:val="tx1"/>
                  </w14:solidFill>
                </w14:textFill>
              </w:rPr>
              <w:t>验通过后</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包修期内的服务内容</w:t>
            </w:r>
          </w:p>
        </w:tc>
        <w:tc>
          <w:tcPr>
            <w:tcW w:w="7372" w:type="dxa"/>
            <w:gridSpan w:val="4"/>
            <w:vAlign w:val="center"/>
          </w:tcPr>
          <w:p>
            <w:pPr>
              <w:spacing w:line="360" w:lineRule="auto"/>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w:t>
            </w:r>
            <w:r>
              <w:rPr>
                <w:color w:val="000000" w:themeColor="text1"/>
                <w14:textFill>
                  <w14:solidFill>
                    <w14:schemeClr w14:val="tx1"/>
                  </w14:solidFill>
                </w14:textFill>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gridSpan w:val="2"/>
            <w:vAlign w:val="center"/>
          </w:tcPr>
          <w:p>
            <w:pPr>
              <w:spacing w:line="400" w:lineRule="exact"/>
              <w:jc w:val="center"/>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包修期满后的服务价格</w:t>
            </w:r>
          </w:p>
        </w:tc>
        <w:tc>
          <w:tcPr>
            <w:tcW w:w="7372" w:type="dxa"/>
            <w:gridSpan w:val="4"/>
            <w:vAlign w:val="center"/>
          </w:tcPr>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t>维保价格：</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元/年（</w:t>
            </w:r>
            <w:r>
              <w:rPr>
                <w:color w:val="000000" w:themeColor="text1"/>
                <w:szCs w:val="21"/>
                <w14:textFill>
                  <w14:solidFill>
                    <w14:schemeClr w14:val="tx1"/>
                  </w14:solidFill>
                </w14:textFill>
              </w:rPr>
              <w:t>年维保费用不得高于合同价格的</w:t>
            </w: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w:t>
            </w:r>
            <w:r>
              <w:rPr>
                <w:color w:val="000000" w:themeColor="text1"/>
                <w14:textFill>
                  <w14:solidFill>
                    <w14:schemeClr w14:val="tx1"/>
                  </w14:solidFill>
                </w14:textFill>
              </w:rPr>
              <w:t>）</w:t>
            </w:r>
          </w:p>
          <w:p>
            <w:pPr>
              <w:spacing w:line="40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包含内容：</w:t>
            </w:r>
            <w:r>
              <w:rPr>
                <w:color w:val="000000" w:themeColor="text1"/>
                <w:u w:val="single"/>
                <w14:textFill>
                  <w14:solidFill>
                    <w14:schemeClr w14:val="tx1"/>
                  </w14:solidFill>
                </w14:textFill>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gridSpan w:val="2"/>
            <w:vAlign w:val="center"/>
          </w:tcPr>
          <w:p>
            <w:pPr>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tc>
        <w:tc>
          <w:tcPr>
            <w:tcW w:w="7372" w:type="dxa"/>
            <w:gridSpan w:val="4"/>
          </w:tcPr>
          <w:p>
            <w:pPr>
              <w:jc w:val="left"/>
              <w:rPr>
                <w:rFonts w:ascii="宋体" w:hAnsi="宋体" w:cs="宋体"/>
                <w:color w:val="000000" w:themeColor="text1"/>
                <w14:textFill>
                  <w14:solidFill>
                    <w14:schemeClr w14:val="tx1"/>
                  </w14:solidFill>
                </w14:textFill>
              </w:rPr>
            </w:pP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须按照</w:t>
      </w:r>
      <w:r>
        <w:rPr>
          <w:rFonts w:hint="eastAsia"/>
          <w:color w:val="000000" w:themeColor="text1"/>
          <w:szCs w:val="21"/>
          <w14:textFill>
            <w14:solidFill>
              <w14:schemeClr w14:val="tx1"/>
            </w14:solidFill>
          </w14:textFill>
        </w:rPr>
        <w:t>竞争性</w:t>
      </w:r>
      <w:r>
        <w:rPr>
          <w:rFonts w:hint="eastAsia"/>
          <w:color w:val="000000" w:themeColor="text1"/>
          <w:szCs w:val="21"/>
          <w:lang w:eastAsia="zh-CN"/>
          <w14:textFill>
            <w14:solidFill>
              <w14:schemeClr w14:val="tx1"/>
            </w14:solidFill>
          </w14:textFill>
        </w:rPr>
        <w:t>谈判</w:t>
      </w:r>
      <w:r>
        <w:rPr>
          <w:rFonts w:hint="eastAsia"/>
          <w:color w:val="000000" w:themeColor="text1"/>
          <w:szCs w:val="21"/>
          <w14:textFill>
            <w14:solidFill>
              <w14:schemeClr w14:val="tx1"/>
            </w14:solidFill>
          </w14:textFill>
        </w:rPr>
        <w:t>文件</w:t>
      </w:r>
      <w:r>
        <w:rPr>
          <w:color w:val="000000" w:themeColor="text1"/>
          <w:szCs w:val="21"/>
          <w14:textFill>
            <w14:solidFill>
              <w14:schemeClr w14:val="tx1"/>
            </w14:solidFill>
          </w14:textFill>
        </w:rPr>
        <w:t>要求，提供货到用户指定现场（到楼层）并提供全部服务的含税</w:t>
      </w:r>
      <w:r>
        <w:rPr>
          <w:rFonts w:hint="eastAsia"/>
          <w:color w:val="000000" w:themeColor="text1"/>
          <w:szCs w:val="21"/>
          <w14:textFill>
            <w14:solidFill>
              <w14:schemeClr w14:val="tx1"/>
            </w14:solidFill>
          </w14:textFill>
        </w:rPr>
        <w:t>价。</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2.报价时请仔细阅读竞争性</w:t>
      </w:r>
      <w:r>
        <w:rPr>
          <w:rFonts w:hint="eastAsia"/>
          <w:color w:val="000000" w:themeColor="text1"/>
          <w:szCs w:val="21"/>
          <w:lang w:eastAsia="zh-CN"/>
          <w14:textFill>
            <w14:solidFill>
              <w14:schemeClr w14:val="tx1"/>
            </w14:solidFill>
          </w14:textFill>
        </w:rPr>
        <w:t>谈判</w:t>
      </w:r>
      <w:r>
        <w:rPr>
          <w:rFonts w:hint="eastAsia"/>
          <w:color w:val="000000" w:themeColor="text1"/>
          <w:szCs w:val="21"/>
          <w14:textFill>
            <w14:solidFill>
              <w14:schemeClr w14:val="tx1"/>
            </w14:solidFill>
          </w14:textFill>
        </w:rPr>
        <w:t>文件《竞争性</w:t>
      </w:r>
      <w:r>
        <w:rPr>
          <w:rFonts w:hint="eastAsia"/>
          <w:color w:val="000000" w:themeColor="text1"/>
          <w:szCs w:val="21"/>
          <w:lang w:eastAsia="zh-CN"/>
          <w14:textFill>
            <w14:solidFill>
              <w14:schemeClr w14:val="tx1"/>
            </w14:solidFill>
          </w14:textFill>
        </w:rPr>
        <w:t>谈判</w:t>
      </w:r>
      <w:r>
        <w:rPr>
          <w:rFonts w:hint="eastAsia"/>
          <w:color w:val="000000" w:themeColor="text1"/>
          <w:szCs w:val="21"/>
          <w14:textFill>
            <w14:solidFill>
              <w14:schemeClr w14:val="tx1"/>
            </w14:solidFill>
          </w14:textFill>
        </w:rPr>
        <w:t>须知》中关于报价的要求。</w:t>
      </w:r>
    </w:p>
    <w:p>
      <w:pPr>
        <w:snapToGrid w:val="0"/>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3.供应商应按照竞争性</w:t>
      </w:r>
      <w:r>
        <w:rPr>
          <w:rFonts w:hint="eastAsia"/>
          <w:color w:val="000000" w:themeColor="text1"/>
          <w:szCs w:val="21"/>
          <w:lang w:eastAsia="zh-CN"/>
          <w14:textFill>
            <w14:solidFill>
              <w14:schemeClr w14:val="tx1"/>
            </w14:solidFill>
          </w14:textFill>
        </w:rPr>
        <w:t>谈判</w:t>
      </w:r>
      <w:r>
        <w:rPr>
          <w:rFonts w:hint="eastAsia"/>
          <w:color w:val="000000" w:themeColor="text1"/>
          <w:szCs w:val="21"/>
          <w14:textFill>
            <w14:solidFill>
              <w14:schemeClr w14:val="tx1"/>
            </w14:solidFill>
          </w14:textFill>
        </w:rPr>
        <w:t>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ascii="宋体" w:hAnsi="宋体"/>
          <w:color w:val="000000" w:themeColor="text1"/>
          <w:szCs w:val="21"/>
          <w14:textFill>
            <w14:solidFill>
              <w14:schemeClr w14:val="tx1"/>
            </w14:solidFill>
          </w14:textFill>
        </w:rPr>
        <w:t>代表签字</w:t>
      </w:r>
      <w:r>
        <w:rPr>
          <w:rFonts w:ascii="宋体" w:hAnsi="宋体"/>
          <w:color w:val="000000" w:themeColor="text1"/>
          <w:szCs w:val="21"/>
          <w:u w:val="single"/>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4"/>
        <w:numPr>
          <w:ilvl w:val="0"/>
          <w:numId w:val="0"/>
        </w:numPr>
        <w:snapToGrid w:val="0"/>
        <w:spacing w:before="312" w:beforeLines="100" w:after="312" w:afterLines="100"/>
        <w:ind w:right="210" w:rightChars="100"/>
        <w:rPr>
          <w:color w:val="000000" w:themeColor="text1"/>
          <w:szCs w:val="24"/>
          <w:u w:val="single"/>
          <w14:textFill>
            <w14:solidFill>
              <w14:schemeClr w14:val="tx1"/>
            </w14:solidFill>
          </w14:textFill>
        </w:rPr>
      </w:pPr>
      <w:r>
        <w:rPr>
          <w:rFonts w:hint="eastAsia"/>
          <w:color w:val="000000" w:themeColor="text1"/>
          <w14:textFill>
            <w14:solidFill>
              <w14:schemeClr w14:val="tx1"/>
            </w14:solidFill>
          </w14:textFill>
        </w:rPr>
        <w:br w:type="page"/>
      </w:r>
      <w:bookmarkStart w:id="86" w:name="_Toc6737"/>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4</w:t>
      </w:r>
      <w:r>
        <w:rPr>
          <w:rStyle w:val="106"/>
          <w:rFonts w:hint="eastAsia" w:hAnsi="宋体"/>
          <w:b w:val="0"/>
          <w:bCs w:val="0"/>
          <w:color w:val="000000" w:themeColor="text1"/>
          <w:sz w:val="24"/>
          <w:szCs w:val="24"/>
          <w14:textFill>
            <w14:solidFill>
              <w14:schemeClr w14:val="tx1"/>
            </w14:solidFill>
          </w14:textFill>
        </w:rPr>
        <w:t>：商务条款偏离表</w:t>
      </w:r>
      <w:bookmarkEnd w:id="86"/>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w:t>
            </w:r>
            <w:r>
              <w:rPr>
                <w:rFonts w:hint="eastAsia" w:ascii="宋体" w:hAnsi="宋体"/>
                <w:color w:val="000000" w:themeColor="text1"/>
                <w:szCs w:val="21"/>
                <w:lang w:eastAsia="zh-CN"/>
                <w14:textFill>
                  <w14:solidFill>
                    <w14:schemeClr w14:val="tx1"/>
                  </w14:solidFill>
                </w14:textFill>
              </w:rPr>
              <w:t>谈判</w:t>
            </w:r>
            <w:r>
              <w:rPr>
                <w:rFonts w:hint="eastAsia" w:ascii="宋体" w:hAnsi="宋体"/>
                <w:color w:val="000000" w:themeColor="text1"/>
                <w:szCs w:val="21"/>
                <w14:textFill>
                  <w14:solidFill>
                    <w14:schemeClr w14:val="tx1"/>
                  </w14:solidFill>
                </w14:textFill>
              </w:rPr>
              <w:t>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w:t>
            </w:r>
            <w:r>
              <w:rPr>
                <w:rFonts w:hint="eastAsia" w:ascii="宋体" w:hAnsi="宋体"/>
                <w:color w:val="000000" w:themeColor="text1"/>
                <w:szCs w:val="21"/>
                <w:lang w:eastAsia="zh-CN"/>
                <w14:textFill>
                  <w14:solidFill>
                    <w14:schemeClr w14:val="tx1"/>
                  </w14:solidFill>
                </w14:textFill>
              </w:rPr>
              <w:t>谈判</w:t>
            </w:r>
            <w:r>
              <w:rPr>
                <w:rFonts w:hint="eastAsia" w:ascii="宋体" w:hAnsi="宋体"/>
                <w:color w:val="000000" w:themeColor="text1"/>
                <w:szCs w:val="21"/>
                <w14:textFill>
                  <w14:solidFill>
                    <w14:schemeClr w14:val="tx1"/>
                  </w14:solidFill>
                </w14:textFill>
              </w:rPr>
              <w:t>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如供应商无任何偏离，也需在响应表中注明并在响应文件中递交此表。</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偏离包括正、负偏离，正偏离指供应商的响应高于竞争性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文件要求，负偏离指供应商的响应低于竞争性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文件要求。</w:t>
      </w:r>
    </w:p>
    <w:p>
      <w:pPr>
        <w:widowControl/>
        <w:jc w:val="left"/>
        <w:rPr>
          <w:rStyle w:val="106"/>
          <w:rFonts w:hAnsi="宋体"/>
          <w:b w:val="0"/>
          <w:bCs w:val="0"/>
          <w:color w:val="000000" w:themeColor="text1"/>
          <w:sz w:val="24"/>
          <w:szCs w:val="24"/>
          <w14:textFill>
            <w14:solidFill>
              <w14:schemeClr w14:val="tx1"/>
            </w14:solidFill>
          </w14:textFill>
        </w:rPr>
      </w:pPr>
      <w:r>
        <w:rPr>
          <w:rStyle w:val="106"/>
          <w:rFonts w:hAnsi="宋体"/>
          <w:b w:val="0"/>
          <w:color w:val="000000" w:themeColor="text1"/>
          <w:sz w:val="24"/>
          <w:szCs w:val="24"/>
          <w14:textFill>
            <w14:solidFill>
              <w14:schemeClr w14:val="tx1"/>
            </w14:solidFill>
          </w14:textFill>
        </w:rPr>
        <w:br w:type="page"/>
      </w:r>
    </w:p>
    <w:p>
      <w:pPr>
        <w:topLinePunct/>
        <w:spacing w:line="360" w:lineRule="auto"/>
        <w:ind w:firstLine="480" w:firstLineChars="200"/>
        <w:outlineLvl w:val="1"/>
        <w:rPr>
          <w:rStyle w:val="106"/>
          <w:rFonts w:hint="eastAsia" w:hAnsi="宋体"/>
          <w:b w:val="0"/>
          <w:bCs w:val="0"/>
          <w:color w:val="000000" w:themeColor="text1"/>
          <w:sz w:val="24"/>
          <w:szCs w:val="24"/>
          <w14:textFill>
            <w14:solidFill>
              <w14:schemeClr w14:val="tx1"/>
            </w14:solidFill>
          </w14:textFill>
        </w:rPr>
      </w:pPr>
      <w:bookmarkStart w:id="87" w:name="_Toc22836"/>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5</w:t>
      </w:r>
      <w:r>
        <w:rPr>
          <w:rStyle w:val="106"/>
          <w:rFonts w:hint="eastAsia" w:hAnsi="宋体"/>
          <w:b w:val="0"/>
          <w:bCs w:val="0"/>
          <w:color w:val="000000" w:themeColor="text1"/>
          <w:sz w:val="24"/>
          <w:szCs w:val="24"/>
          <w14:textFill>
            <w14:solidFill>
              <w14:schemeClr w14:val="tx1"/>
            </w14:solidFill>
          </w14:textFill>
        </w:rPr>
        <w:t>：法定代表人身份证明及授权委托书</w:t>
      </w:r>
      <w:bookmarkEnd w:id="87"/>
    </w:p>
    <w:p>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pPr>
        <w:spacing w:line="360" w:lineRule="auto"/>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授权代表无转委托权。</w:t>
      </w:r>
    </w:p>
    <w:p>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pPr>
        <w:spacing w:line="360" w:lineRule="auto"/>
        <w:ind w:firstLine="420" w:firstLineChars="200"/>
        <w:rPr>
          <w:rFonts w:ascii="宋体" w:hAnsi="宋体" w:cs="宋体"/>
          <w:szCs w:val="21"/>
        </w:rPr>
      </w:pPr>
      <w:r>
        <w:rPr>
          <w:rFonts w:hint="eastAsia"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ms0dkAAAALAQAADwAAAAAAAAABACAAAAAiAAAAZHJzL2Rvd25yZXYueG1sUEsBAhQAFAAA&#10;AAgAh07iQBaX0KJgAgAAoQQAAA4AAAAAAAAAAQAgAAAAKAEAAGRycy9lMm9Eb2MueG1sUEsFBgAA&#10;AAAGAAYAWQEAAPo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法定代表人身份证正面复印件</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s3HJdgAAAAKAQAADwAAAAAAAAABACAAAAAiAAAAZHJzL2Rvd25yZXYueG1sUEsBAhQAFAAAAAgA&#10;h07iQINjK6teAgAAoQQAAA4AAAAAAAAAAQAgAAAAJwEAAGRycy9lMm9Eb2MueG1sUEsFBgAAAAAG&#10;AAYAWQEAAPcFAAAAAA==&#10;">
                <v:fill on="t" focussize="0,0"/>
                <v:stroke color="#000000" miterlimit="8" joinstyle="miter"/>
                <v:imagedata o:title=""/>
                <o:lock v:ext="edit" aspectratio="f"/>
                <v:textbox>
                  <w:txbxContent>
                    <w:p>
                      <w:pPr>
                        <w:ind w:firstLine="420"/>
                        <w:jc w:val="center"/>
                        <w:rPr>
                          <w:szCs w:val="21"/>
                        </w:rPr>
                      </w:pPr>
                      <w:r>
                        <w:rPr>
                          <w:rFonts w:hint="eastAsia"/>
                          <w:szCs w:val="21"/>
                        </w:rPr>
                        <w:t>法定代表人身份证背面复印件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5FE3L2AAAAAoBAAAPAAAAAAAAAAEAIAAAACIAAABkcnMvZG93bnJldi54bWxQSwECFAAUAAAA&#10;CACHTuJA6RpuQmACAAChBAAADgAAAAAAAAABACAAAAAnAQAAZHJzL2Uyb0RvYy54bWxQSwUGAAAA&#10;AAYABgBZAQAA+QU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授权代表身份证背面复印件</w:t>
                      </w:r>
                    </w:p>
                  </w:txbxContent>
                </v:textbox>
              </v:shape>
            </w:pict>
          </mc:Fallback>
        </mc:AlternateContent>
      </w: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wps:spPr>
                      <wps:txbx>
                        <w:txbxContent>
                          <w:p>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So6bXaAAAACwEAAA8AAAAAAAAAAQAgAAAAIgAAAGRycy9kb3ducmV2LnhtbFBLAQIUABQA&#10;AAAIAIdO4kDwz32sYAIAAKEEAAAOAAAAAAAAAAEAIAAAACkBAABkcnMvZTJvRG9jLnhtbFBLBQYA&#10;AAAABgAGAFkBAAD7BQAAAAA=&#10;">
                <v:fill on="t" focussize="0,0"/>
                <v:stroke color="#000000" miterlimit="8" joinstyle="miter"/>
                <v:imagedata o:title=""/>
                <o:lock v:ext="edit" aspectratio="f"/>
                <v:textbox>
                  <w:txbxContent>
                    <w:p>
                      <w:pPr>
                        <w:ind w:firstLine="420"/>
                        <w:jc w:val="center"/>
                        <w:rPr>
                          <w:szCs w:val="21"/>
                        </w:rPr>
                      </w:pPr>
                      <w:r>
                        <w:rPr>
                          <w:rFonts w:hint="eastAsia"/>
                          <w:szCs w:val="21"/>
                        </w:rPr>
                        <w:t>授权代表身份证正面复印件</w:t>
                      </w:r>
                    </w:p>
                  </w:txbxContent>
                </v:textbox>
              </v:shape>
            </w:pict>
          </mc:Fallback>
        </mc:AlternateConten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ind w:firstLine="420" w:firstLineChars="200"/>
        <w:jc w:val="righ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420"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w:t>
      </w:r>
      <w:r>
        <w:rPr>
          <w:rFonts w:hint="eastAsia" w:ascii="宋体" w:hAnsi="宋体" w:cs="宋体"/>
          <w:szCs w:val="21"/>
          <w:u w:val="single"/>
        </w:rPr>
        <w:t xml:space="preserve">                            </w:t>
      </w:r>
      <w:r>
        <w:rPr>
          <w:rFonts w:hint="eastAsia" w:ascii="宋体" w:hAnsi="宋体" w:cs="宋体"/>
          <w:szCs w:val="21"/>
        </w:rPr>
        <w:t>（签字）</w:t>
      </w:r>
    </w:p>
    <w:p>
      <w:pPr>
        <w:spacing w:line="360" w:lineRule="auto"/>
        <w:ind w:right="105" w:firstLine="2940" w:firstLineChars="1400"/>
        <w:rPr>
          <w:rFonts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pPr>
        <w:spacing w:line="360" w:lineRule="auto"/>
        <w:ind w:firstLine="2310" w:firstLineChars="1100"/>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4"/>
        <w:numPr>
          <w:ilvl w:val="0"/>
          <w:numId w:val="0"/>
        </w:numPr>
        <w:snapToGrid w:val="0"/>
        <w:spacing w:before="312" w:beforeLines="100" w:after="312" w:afterLines="100"/>
        <w:ind w:right="210" w:rightChars="100"/>
        <w:rPr>
          <w:rStyle w:val="106"/>
          <w:bCs/>
          <w:color w:val="000000" w:themeColor="text1"/>
          <w:sz w:val="24"/>
          <w:szCs w:val="24"/>
          <w14:textFill>
            <w14:solidFill>
              <w14:schemeClr w14:val="tx1"/>
            </w14:solidFill>
          </w14:textFill>
        </w:rPr>
      </w:pPr>
      <w:bookmarkStart w:id="88" w:name="_Toc14322"/>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6</w:t>
      </w:r>
      <w:r>
        <w:rPr>
          <w:rStyle w:val="106"/>
          <w:rFonts w:hint="eastAsia" w:hAnsi="宋体"/>
          <w:b w:val="0"/>
          <w:bCs w:val="0"/>
          <w:color w:val="000000" w:themeColor="text1"/>
          <w:sz w:val="24"/>
          <w:szCs w:val="24"/>
          <w14:textFill>
            <w14:solidFill>
              <w14:schemeClr w14:val="tx1"/>
            </w14:solidFill>
          </w14:textFill>
        </w:rPr>
        <w:t>：技术规范偏离表</w:t>
      </w:r>
      <w:bookmarkEnd w:id="88"/>
    </w:p>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67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w:t>
            </w:r>
            <w:r>
              <w:rPr>
                <w:rFonts w:hint="eastAsia" w:ascii="宋体" w:hAnsi="宋体"/>
                <w:color w:val="000000" w:themeColor="text1"/>
                <w:szCs w:val="21"/>
                <w:lang w:eastAsia="zh-CN"/>
                <w14:textFill>
                  <w14:solidFill>
                    <w14:schemeClr w14:val="tx1"/>
                  </w14:solidFill>
                </w14:textFill>
              </w:rPr>
              <w:t>谈判</w:t>
            </w:r>
            <w:r>
              <w:rPr>
                <w:rFonts w:hint="eastAsia" w:ascii="宋体" w:hAnsi="宋体"/>
                <w:color w:val="000000" w:themeColor="text1"/>
                <w:szCs w:val="21"/>
                <w14:textFill>
                  <w14:solidFill>
                    <w14:schemeClr w14:val="tx1"/>
                  </w14:solidFill>
                </w14:textFill>
              </w:rPr>
              <w:t>文件</w:t>
            </w:r>
            <w:r>
              <w:rPr>
                <w:rFonts w:hint="eastAsia" w:ascii="宋体"/>
                <w:bCs/>
                <w:color w:val="000000" w:themeColor="text1"/>
                <w:szCs w:val="21"/>
                <w14:textFill>
                  <w14:solidFill>
                    <w14:schemeClr w14:val="tx1"/>
                  </w14:solidFill>
                </w14:textFill>
              </w:rPr>
              <w:t>技术需求</w:t>
            </w:r>
            <w:r>
              <w:rPr>
                <w:rFonts w:hint="eastAsia" w:ascii="宋体" w:hAnsi="宋体"/>
                <w:color w:val="000000" w:themeColor="text1"/>
                <w:szCs w:val="21"/>
                <w14:textFill>
                  <w14:solidFill>
                    <w14:schemeClr w14:val="tx1"/>
                  </w14:solidFill>
                </w14:textFill>
              </w:rPr>
              <w:t>书要求</w:t>
            </w:r>
          </w:p>
        </w:tc>
        <w:tc>
          <w:tcPr>
            <w:tcW w:w="1552"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响应文件技术指标情况</w:t>
            </w:r>
          </w:p>
        </w:tc>
        <w:tc>
          <w:tcPr>
            <w:tcW w:w="1238" w:type="pct"/>
            <w:vAlign w:val="center"/>
          </w:tcPr>
          <w:p>
            <w:pPr>
              <w:snapToGrid w:val="0"/>
              <w:spacing w:before="312" w:beforeLines="100" w:after="312" w:afterLines="100"/>
              <w:ind w:right="210" w:rightChars="1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color w:val="000000" w:themeColor="text1"/>
                <w:sz w:val="30"/>
                <w:szCs w:val="21"/>
                <w14:textFill>
                  <w14:solidFill>
                    <w14:schemeClr w14:val="tx1"/>
                  </w14:solidFill>
                </w14:textFill>
              </w:rPr>
            </w:pPr>
          </w:p>
        </w:tc>
      </w:tr>
    </w:tbl>
    <w:p>
      <w:pPr>
        <w:snapToGrid w:val="0"/>
        <w:spacing w:before="312" w:beforeLines="100" w:after="312" w:afterLines="100"/>
        <w:ind w:left="210" w:leftChars="100" w:right="210" w:rightChars="100"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供应商名称（公章）：</w:t>
      </w:r>
    </w:p>
    <w:p>
      <w:pPr>
        <w:snapToGrid w:val="0"/>
        <w:spacing w:before="312" w:beforeLines="100" w:after="312" w:afterLines="100"/>
        <w:ind w:left="210" w:leftChars="100" w:right="210" w:rightChars="100" w:firstLine="420" w:firstLineChars="200"/>
        <w:rPr>
          <w:rFonts w:ascii="宋体" w:hAnsi="宋体"/>
          <w:i/>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供应商代表签字</w:t>
      </w:r>
      <w:r>
        <w:rPr>
          <w:rFonts w:hint="eastAsia" w:ascii="宋体" w:hAnsi="宋体"/>
          <w:color w:val="000000" w:themeColor="text1"/>
          <w:szCs w:val="21"/>
          <w:u w:val="single"/>
          <w14:textFill>
            <w14:solidFill>
              <w14:schemeClr w14:val="tx1"/>
            </w14:solidFill>
          </w14:textFill>
        </w:rPr>
        <w:t>：</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本表应依据供应商实际情况逐项逐条填写。</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作为响应文件重要的组成部分，任何通过简单拷贝竞争性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文件技术要求或简单标注“符合”“满足”或使用“明白”、“理解”、“部分满足”等含混词语的响应文件将被视为实质性不符合。</w:t>
      </w:r>
    </w:p>
    <w:p>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偏离包括正、负偏离，正偏离指供应商的响应高于竞争性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文件要求，负偏离指供应商的响应低于竞争性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文件要求。</w:t>
      </w:r>
    </w:p>
    <w:p>
      <w:pPr>
        <w:pStyle w:val="4"/>
        <w:numPr>
          <w:ilvl w:val="0"/>
          <w:numId w:val="0"/>
        </w:numPr>
        <w:snapToGrid w:val="0"/>
        <w:spacing w:before="312" w:beforeLines="100" w:after="312" w:afterLines="100"/>
        <w:ind w:right="210" w:rightChars="100"/>
        <w:rPr>
          <w:rStyle w:val="106"/>
          <w:b w:val="0"/>
          <w:bCs w:val="0"/>
          <w:color w:val="000000" w:themeColor="text1"/>
          <w:sz w:val="24"/>
          <w:szCs w:val="24"/>
          <w14:textFill>
            <w14:solidFill>
              <w14:schemeClr w14:val="tx1"/>
            </w14:solidFill>
          </w14:textFill>
        </w:rPr>
      </w:pPr>
      <w:r>
        <w:rPr>
          <w:color w:val="000000" w:themeColor="text1"/>
          <w:szCs w:val="24"/>
          <w14:textFill>
            <w14:solidFill>
              <w14:schemeClr w14:val="tx1"/>
            </w14:solidFill>
          </w14:textFill>
        </w:rPr>
        <w:br w:type="page"/>
      </w:r>
      <w:bookmarkStart w:id="89" w:name="_Toc16305"/>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7</w:t>
      </w:r>
      <w:r>
        <w:rPr>
          <w:rStyle w:val="106"/>
          <w:rFonts w:hint="eastAsia" w:hAnsi="宋体"/>
          <w:b w:val="0"/>
          <w:bCs w:val="0"/>
          <w:color w:val="000000" w:themeColor="text1"/>
          <w:sz w:val="24"/>
          <w:szCs w:val="24"/>
          <w14:textFill>
            <w14:solidFill>
              <w14:schemeClr w14:val="tx1"/>
            </w14:solidFill>
          </w14:textFill>
        </w:rPr>
        <w:t>：资格证明文件</w:t>
      </w:r>
      <w:bookmarkEnd w:id="89"/>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填写须知</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供应商应填写和提交下述规定的全部格式以及其它有关资料。</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所附格式中要求填写的全部问题和</w:t>
      </w:r>
      <w:r>
        <w:rPr>
          <w:rFonts w:ascii="宋体"/>
          <w:color w:val="000000" w:themeColor="text1"/>
          <w:szCs w:val="21"/>
          <w14:textFill>
            <w14:solidFill>
              <w14:schemeClr w14:val="tx1"/>
            </w14:solidFill>
          </w14:textFill>
        </w:rPr>
        <w:t>/</w:t>
      </w:r>
      <w:r>
        <w:rPr>
          <w:rFonts w:hint="eastAsia" w:ascii="宋体"/>
          <w:color w:val="000000" w:themeColor="text1"/>
          <w:szCs w:val="21"/>
          <w14:textFill>
            <w14:solidFill>
              <w14:schemeClr w14:val="tx1"/>
            </w14:solidFill>
          </w14:textFill>
        </w:rPr>
        <w:t>或信息都必须填写。</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本资格声明的签字人应保证全部声明和填写的内容是真实的和正确的。</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采购人将应用供应商提交的资料根据自己的判断和考虑决定供应商履行合同的合格性及能力。</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供应商提交的材料将被保密，但不退还。</w:t>
      </w:r>
    </w:p>
    <w:p>
      <w:pPr>
        <w:numPr>
          <w:ilvl w:val="0"/>
          <w:numId w:val="11"/>
        </w:numPr>
        <w:spacing w:line="360" w:lineRule="auto"/>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全部文件应按规定的语言和份数提交。</w:t>
      </w:r>
    </w:p>
    <w:p>
      <w:pPr>
        <w:snapToGrid w:val="0"/>
        <w:spacing w:before="312" w:beforeLines="100" w:after="312" w:afterLines="100"/>
        <w:ind w:left="210" w:leftChars="100" w:right="210" w:rightChars="100" w:firstLine="420" w:firstLineChars="200"/>
        <w:rPr>
          <w:rFonts w:ascii="宋体"/>
          <w:color w:val="000000" w:themeColor="text1"/>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14:textFill>
            <w14:solidFill>
              <w14:schemeClr w14:val="tx1"/>
            </w14:solidFill>
          </w14:textFill>
        </w:rPr>
        <w:br w:type="page"/>
      </w:r>
      <w:r>
        <w:rPr>
          <w:rFonts w:ascii="黑体" w:eastAsia="黑体"/>
          <w:b/>
          <w:color w:val="000000" w:themeColor="text1"/>
          <w14:textFill>
            <w14:solidFill>
              <w14:schemeClr w14:val="tx1"/>
            </w14:solidFill>
          </w14:textFill>
        </w:rPr>
        <w:t xml:space="preserve">7-1  </w:t>
      </w:r>
      <w:r>
        <w:rPr>
          <w:rFonts w:hint="eastAsia" w:ascii="黑体" w:eastAsia="黑体"/>
          <w:b/>
          <w:color w:val="000000" w:themeColor="text1"/>
          <w14:textFill>
            <w14:solidFill>
              <w14:schemeClr w14:val="tx1"/>
            </w14:solidFill>
          </w14:textFill>
        </w:rPr>
        <w:t>资格声明</w:t>
      </w:r>
    </w:p>
    <w:p>
      <w:pPr>
        <w:snapToGrid w:val="0"/>
        <w:spacing w:before="312" w:beforeLines="100" w:after="312" w:afterLines="100"/>
        <w:ind w:right="210" w:righ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资格声明</w:t>
      </w:r>
    </w:p>
    <w:p>
      <w:pPr>
        <w:snapToGrid w:val="0"/>
        <w:spacing w:before="312" w:beforeLines="100" w:after="312" w:afterLines="100"/>
        <w:ind w:right="210" w:rightChars="100"/>
        <w:jc w:val="left"/>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尊敬的女士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先生：</w:t>
      </w:r>
    </w:p>
    <w:p>
      <w:pPr>
        <w:spacing w:line="360" w:lineRule="auto"/>
        <w:ind w:firstLine="63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为响应你方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月</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日的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采购</w:t>
      </w:r>
      <w:r>
        <w:rPr>
          <w:rFonts w:hint="eastAsia" w:ascii="宋体" w:hAnsi="宋体"/>
          <w:color w:val="000000" w:themeColor="text1"/>
          <w:szCs w:val="21"/>
          <w:u w:val="single"/>
          <w:lang w:val="en-US" w:eastAsia="zh-CN"/>
          <w14:textFill>
            <w14:solidFill>
              <w14:schemeClr w14:val="tx1"/>
            </w14:solidFill>
          </w14:textFill>
        </w:rPr>
        <w:t>名称</w:t>
      </w:r>
      <w:r>
        <w:rPr>
          <w:rFonts w:ascii="宋体" w:hAnsi="宋体"/>
          <w:color w:val="000000" w:themeColor="text1"/>
          <w:szCs w:val="21"/>
          <w:u w:val="single"/>
          <w14:textFill>
            <w14:solidFill>
              <w14:schemeClr w14:val="tx1"/>
            </w14:solidFill>
          </w14:textFill>
        </w:rPr>
        <w:t>]</w:t>
      </w:r>
      <w:r>
        <w:rPr>
          <w:rFonts w:ascii="宋体" w:hAnsi="宋体"/>
          <w:color w:val="000000" w:themeColor="text1"/>
          <w:szCs w:val="21"/>
          <w14:textFill>
            <w14:solidFill>
              <w14:schemeClr w14:val="tx1"/>
            </w14:solidFill>
          </w14:textFill>
        </w:rPr>
        <w:t>采购公告</w:t>
      </w:r>
      <w:r>
        <w:rPr>
          <w:rFonts w:hint="eastAsia" w:ascii="宋体" w:hAnsi="宋体"/>
          <w:color w:val="000000" w:themeColor="text1"/>
          <w:szCs w:val="21"/>
          <w14:textFill>
            <w14:solidFill>
              <w14:schemeClr w14:val="tx1"/>
            </w14:solidFill>
          </w14:textFill>
        </w:rPr>
        <w:t>，下述签字人自愿参与</w:t>
      </w:r>
      <w:r>
        <w:rPr>
          <w:rFonts w:hint="eastAsia" w:ascii="宋体" w:hAnsi="宋体"/>
          <w:color w:val="000000" w:themeColor="text1"/>
          <w:szCs w:val="21"/>
          <w:lang w:eastAsia="zh-CN"/>
          <w14:textFill>
            <w14:solidFill>
              <w14:schemeClr w14:val="tx1"/>
            </w14:solidFill>
          </w14:textFill>
        </w:rPr>
        <w:t>谈判</w:t>
      </w:r>
      <w:r>
        <w:rPr>
          <w:rFonts w:hint="eastAsia" w:ascii="宋体" w:hAnsi="宋体"/>
          <w:color w:val="000000" w:themeColor="text1"/>
          <w:szCs w:val="21"/>
          <w14:textFill>
            <w14:solidFill>
              <w14:schemeClr w14:val="tx1"/>
            </w14:solidFill>
          </w14:textFill>
        </w:rPr>
        <w:t>，提供竞争性</w:t>
      </w:r>
      <w:r>
        <w:rPr>
          <w:rFonts w:hint="eastAsia" w:ascii="宋体" w:hAnsi="宋体"/>
          <w:color w:val="000000" w:themeColor="text1"/>
          <w:szCs w:val="21"/>
          <w:lang w:eastAsia="zh-CN"/>
          <w14:textFill>
            <w14:solidFill>
              <w14:schemeClr w14:val="tx1"/>
            </w14:solidFill>
          </w14:textFill>
        </w:rPr>
        <w:t>谈判</w:t>
      </w:r>
      <w:r>
        <w:rPr>
          <w:rFonts w:hint="eastAsia" w:ascii="宋体" w:hAnsi="宋体"/>
          <w:color w:val="000000" w:themeColor="text1"/>
          <w:szCs w:val="21"/>
          <w14:textFill>
            <w14:solidFill>
              <w14:schemeClr w14:val="tx1"/>
            </w14:solidFill>
          </w14:textFill>
        </w:rPr>
        <w:t>文件技术需求书中规定的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服务名称</w:t>
      </w:r>
      <w:r>
        <w:rPr>
          <w:rFonts w:ascii="宋体" w:hAnsi="宋体"/>
          <w:color w:val="000000" w:themeColor="text1"/>
          <w:szCs w:val="21"/>
          <w:u w:val="single"/>
          <w14:textFill>
            <w14:solidFill>
              <w14:schemeClr w14:val="tx1"/>
            </w14:solidFill>
          </w14:textFill>
        </w:rPr>
        <w:t>]</w:t>
      </w:r>
      <w:r>
        <w:rPr>
          <w:rFonts w:hint="eastAsia" w:ascii="宋体" w:hAnsi="宋体"/>
          <w:color w:val="000000" w:themeColor="text1"/>
          <w:szCs w:val="21"/>
          <w14:textFill>
            <w14:solidFill>
              <w14:schemeClr w14:val="tx1"/>
            </w14:solidFill>
          </w14:textFill>
        </w:rPr>
        <w:t>，提交下述文件并声明全部说明是真实的和正确的。下述签字人将就下述文件中存在的虚假或不真实内容对代理机构和采购人承担法律责任。</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我方的资格声明，各有</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份正本，</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份副本。</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下述签字人证明本资格文件中的内容是真实的和正确的。</w:t>
      </w:r>
    </w:p>
    <w:p>
      <w:pPr>
        <w:numPr>
          <w:ilvl w:val="0"/>
          <w:numId w:val="12"/>
        </w:numPr>
        <w:spacing w:line="360" w:lineRule="auto"/>
        <w:ind w:left="420" w:hanging="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下述签字人知道，采购人可能要求其提供进一步的资格材料并同意按采购人的要求提交。</w:t>
      </w:r>
    </w:p>
    <w:p>
      <w:pPr>
        <w:spacing w:line="360" w:lineRule="auto"/>
        <w:rPr>
          <w:rFonts w:ascii="宋体" w:hAnsi="宋体"/>
          <w:b/>
          <w:color w:val="000000" w:themeColor="text1"/>
          <w:szCs w:val="21"/>
          <w14:textFill>
            <w14:solidFill>
              <w14:schemeClr w14:val="tx1"/>
            </w14:solidFill>
          </w14:textFill>
        </w:rPr>
      </w:pPr>
    </w:p>
    <w:p>
      <w:pPr>
        <w:spacing w:line="360" w:lineRule="auto"/>
        <w:rPr>
          <w:color w:val="000000"/>
        </w:rPr>
      </w:pPr>
      <w:r>
        <w:rPr>
          <w:rFonts w:hint="eastAsia"/>
          <w:b/>
          <w:color w:val="000000"/>
        </w:rPr>
        <w:t>供应商</w:t>
      </w:r>
      <w:r>
        <w:rPr>
          <w:b/>
          <w:color w:val="000000"/>
        </w:rPr>
        <w:t xml:space="preserve"> </w:t>
      </w:r>
      <w:r>
        <w:rPr>
          <w:color w:val="000000"/>
        </w:rPr>
        <w:t xml:space="preserve">                                授权签署本资格文件</w:t>
      </w:r>
    </w:p>
    <w:p>
      <w:pPr>
        <w:spacing w:line="360" w:lineRule="auto"/>
        <w:rPr>
          <w:color w:val="000000"/>
        </w:rPr>
      </w:pPr>
      <w:r>
        <w:rPr>
          <w:color w:val="000000"/>
        </w:rPr>
        <w:t>名称（盖章）</w:t>
      </w:r>
      <w:r>
        <w:rPr>
          <w:color w:val="000000"/>
          <w:u w:val="single"/>
        </w:rPr>
        <w:t xml:space="preserve">                     </w:t>
      </w:r>
      <w:r>
        <w:rPr>
          <w:color w:val="000000"/>
        </w:rPr>
        <w:t xml:space="preserve">      签字人姓名、职务（印刷字体）</w:t>
      </w:r>
    </w:p>
    <w:p>
      <w:pPr>
        <w:spacing w:line="360" w:lineRule="auto"/>
        <w:rPr>
          <w:color w:val="000000"/>
        </w:rPr>
      </w:pPr>
      <w:r>
        <w:rPr>
          <w:color w:val="000000"/>
        </w:rPr>
        <w:t>地址</w:t>
      </w:r>
      <w:r>
        <w:rPr>
          <w:color w:val="000000"/>
          <w:u w:val="single"/>
        </w:rPr>
        <w:t xml:space="preserve">                             </w:t>
      </w:r>
      <w:r>
        <w:rPr>
          <w:color w:val="000000"/>
        </w:rPr>
        <w:t xml:space="preserve">      </w:t>
      </w:r>
      <w:r>
        <w:rPr>
          <w:color w:val="000000"/>
          <w:u w:val="single"/>
        </w:rPr>
        <w:t xml:space="preserve">                            </w:t>
      </w:r>
    </w:p>
    <w:p>
      <w:pPr>
        <w:spacing w:line="360" w:lineRule="auto"/>
        <w:rPr>
          <w:color w:val="000000"/>
          <w:u w:val="single"/>
        </w:rPr>
      </w:pPr>
      <w:r>
        <w:rPr>
          <w:color w:val="000000"/>
        </w:rPr>
        <w:t>传真</w:t>
      </w:r>
      <w:r>
        <w:rPr>
          <w:color w:val="000000"/>
          <w:u w:val="single"/>
        </w:rPr>
        <w:t xml:space="preserve">                             </w:t>
      </w:r>
      <w:r>
        <w:rPr>
          <w:color w:val="000000"/>
        </w:rPr>
        <w:t xml:space="preserve">      签字</w:t>
      </w:r>
      <w:r>
        <w:rPr>
          <w:color w:val="000000"/>
          <w:u w:val="single"/>
        </w:rPr>
        <w:t xml:space="preserve">                        </w:t>
      </w:r>
    </w:p>
    <w:p>
      <w:pPr>
        <w:spacing w:line="360" w:lineRule="auto"/>
        <w:rPr>
          <w:rFonts w:ascii="宋体"/>
          <w:u w:val="single"/>
        </w:rPr>
      </w:pPr>
      <w:r>
        <w:rPr>
          <w:color w:val="000000"/>
        </w:rPr>
        <w:t>邮编</w:t>
      </w:r>
      <w:r>
        <w:rPr>
          <w:color w:val="000000"/>
          <w:u w:val="single"/>
        </w:rPr>
        <w:t xml:space="preserve">                             </w:t>
      </w:r>
      <w:r>
        <w:rPr>
          <w:color w:val="000000"/>
        </w:rPr>
        <w:t xml:space="preserve">      电话</w:t>
      </w:r>
      <w:r>
        <w:rPr>
          <w:color w:val="000000"/>
          <w:u w:val="single"/>
        </w:rPr>
        <w:t xml:space="preserve">                        </w:t>
      </w:r>
    </w:p>
    <w:p>
      <w:pPr>
        <w:snapToGrid w:val="0"/>
        <w:spacing w:before="312" w:beforeLines="100" w:after="312" w:afterLines="100"/>
        <w:ind w:left="210" w:leftChars="100" w:right="210" w:rightChars="100" w:firstLine="420" w:firstLineChars="200"/>
        <w:rPr>
          <w:rFonts w:ascii="宋体"/>
          <w:color w:val="000000" w:themeColor="text1"/>
          <w:u w:val="single"/>
          <w14:textFill>
            <w14:solidFill>
              <w14:schemeClr w14:val="tx1"/>
            </w14:solidFill>
          </w14:textFill>
        </w:rPr>
      </w:pPr>
    </w:p>
    <w:p>
      <w:pPr>
        <w:snapToGrid w:val="0"/>
        <w:spacing w:before="312" w:beforeLines="100" w:after="312" w:afterLines="100"/>
        <w:ind w:left="210" w:leftChars="100" w:right="210" w:rightChars="100" w:firstLine="420" w:firstLineChars="200"/>
        <w:rPr>
          <w:rFonts w:ascii="黑体" w:eastAsia="黑体"/>
          <w:b/>
          <w:color w:val="000000" w:themeColor="text1"/>
          <w14:textFill>
            <w14:solidFill>
              <w14:schemeClr w14:val="tx1"/>
            </w14:solidFill>
          </w14:textFill>
        </w:rPr>
      </w:pPr>
      <w:r>
        <w:rPr>
          <w:rFonts w:ascii="宋体"/>
          <w:color w:val="000000" w:themeColor="text1"/>
          <w:u w:val="single"/>
          <w14:textFill>
            <w14:solidFill>
              <w14:schemeClr w14:val="tx1"/>
            </w14:solidFill>
          </w14:textFill>
        </w:rPr>
        <w:br w:type="page"/>
      </w:r>
      <w:r>
        <w:rPr>
          <w:rFonts w:ascii="黑体" w:eastAsia="黑体"/>
          <w:b/>
          <w:color w:val="000000" w:themeColor="text1"/>
          <w14:textFill>
            <w14:solidFill>
              <w14:schemeClr w14:val="tx1"/>
            </w14:solidFill>
          </w14:textFill>
        </w:rPr>
        <w:t xml:space="preserve">7-2  </w:t>
      </w:r>
      <w:r>
        <w:rPr>
          <w:rFonts w:hint="eastAsia" w:ascii="黑体" w:eastAsia="黑体"/>
          <w:b/>
          <w:color w:val="000000" w:themeColor="text1"/>
          <w14:textFill>
            <w14:solidFill>
              <w14:schemeClr w14:val="tx1"/>
            </w14:solidFill>
          </w14:textFill>
        </w:rPr>
        <w:t>供应商的资格声明</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、名称及概况：</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总部地址：</w:t>
      </w:r>
    </w:p>
    <w:p>
      <w:pPr>
        <w:spacing w:line="360" w:lineRule="auto"/>
        <w:ind w:left="42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传真</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电话号码：</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成立和</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或注册日期：</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实收资本：</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近期资产负债表（到年月日止）</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）固定资产：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）流动资产：</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）长期负债：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）流动负债：</w:t>
      </w:r>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）净值：</w:t>
      </w:r>
    </w:p>
    <w:p>
      <w:pPr>
        <w:numPr>
          <w:ilvl w:val="0"/>
          <w:numId w:val="13"/>
        </w:num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主要负责人名称：（可选填）</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供应商在中国的代表的姓名和地址：（可选填）</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供应商简介（包括但不限于业务范围、注册资金、所有权状况、组织机构及职能、人员构成、公司的场地环境和软硬件设施等）：</w:t>
      </w:r>
    </w:p>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w:t>
      </w:r>
      <w:r>
        <w:rPr>
          <w:rFonts w:hint="eastAsia" w:ascii="宋体" w:hAnsi="宋体" w:cs="MS Gothic"/>
          <w:color w:val="000000" w:themeColor="text1"/>
          <w:szCs w:val="21"/>
          <w14:textFill>
            <w14:solidFill>
              <w14:schemeClr w14:val="tx1"/>
            </w14:solidFill>
          </w14:textFill>
        </w:rPr>
        <w:t>在中国大</w:t>
      </w:r>
      <w:r>
        <w:rPr>
          <w:rFonts w:hint="eastAsia" w:ascii="宋体" w:hAnsi="宋体" w:cs="宋体"/>
          <w:color w:val="000000" w:themeColor="text1"/>
          <w:szCs w:val="21"/>
          <w14:textFill>
            <w14:solidFill>
              <w14:schemeClr w14:val="tx1"/>
            </w14:solidFill>
          </w14:textFill>
        </w:rPr>
        <w:t>陆</w:t>
      </w:r>
      <w:r>
        <w:rPr>
          <w:rFonts w:hint="eastAsia" w:ascii="宋体" w:hAnsi="宋体" w:cs="MS Gothic"/>
          <w:color w:val="000000" w:themeColor="text1"/>
          <w:szCs w:val="21"/>
          <w14:textFill>
            <w14:solidFill>
              <w14:schemeClr w14:val="tx1"/>
            </w14:solidFill>
          </w14:textFill>
        </w:rPr>
        <w:t>的分公司及</w:t>
      </w:r>
      <w:r>
        <w:rPr>
          <w:rFonts w:hint="eastAsia" w:ascii="宋体" w:hAnsi="宋体" w:cs="宋体"/>
          <w:color w:val="000000" w:themeColor="text1"/>
          <w:szCs w:val="21"/>
          <w14:textFill>
            <w14:solidFill>
              <w14:schemeClr w14:val="tx1"/>
            </w14:solidFill>
          </w14:textFill>
        </w:rPr>
        <w:t>办</w:t>
      </w:r>
      <w:r>
        <w:rPr>
          <w:rFonts w:hint="eastAsia" w:ascii="宋体" w:hAnsi="宋体" w:cs="MS Gothic"/>
          <w:color w:val="000000" w:themeColor="text1"/>
          <w:szCs w:val="21"/>
          <w14:textFill>
            <w14:solidFill>
              <w14:schemeClr w14:val="tx1"/>
            </w14:solidFill>
          </w14:textFill>
        </w:rPr>
        <w:t>事</w:t>
      </w:r>
      <w:r>
        <w:rPr>
          <w:rFonts w:hint="eastAsia" w:ascii="宋体" w:hAnsi="宋体" w:cs="宋体"/>
          <w:color w:val="000000" w:themeColor="text1"/>
          <w:szCs w:val="21"/>
          <w14:textFill>
            <w14:solidFill>
              <w14:schemeClr w14:val="tx1"/>
            </w14:solidFill>
          </w14:textFill>
        </w:rPr>
        <w:t>处</w:t>
      </w:r>
      <w:r>
        <w:rPr>
          <w:rFonts w:hint="eastAsia" w:ascii="宋体" w:hAnsi="宋体" w:cs="MS Gothic"/>
          <w:color w:val="000000" w:themeColor="text1"/>
          <w:szCs w:val="21"/>
          <w14:textFill>
            <w14:solidFill>
              <w14:schemeClr w14:val="tx1"/>
            </w14:solidFill>
          </w14:textFill>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序号</w:t>
            </w: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地区</w:t>
            </w: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分公司</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办</w:t>
            </w:r>
            <w:r>
              <w:rPr>
                <w:rFonts w:hint="eastAsia" w:ascii="宋体" w:hAnsi="宋体" w:cs="MS Gothic"/>
                <w:color w:val="000000" w:themeColor="text1"/>
                <w:spacing w:val="20"/>
                <w:szCs w:val="21"/>
                <w14:textFill>
                  <w14:solidFill>
                    <w14:schemeClr w14:val="tx1"/>
                  </w14:solidFill>
                </w14:textFill>
              </w:rPr>
              <w:t>事</w:t>
            </w:r>
            <w:r>
              <w:rPr>
                <w:rFonts w:hint="eastAsia" w:ascii="宋体" w:hAnsi="宋体" w:cs="宋体"/>
                <w:color w:val="000000" w:themeColor="text1"/>
                <w:spacing w:val="20"/>
                <w:szCs w:val="21"/>
                <w14:textFill>
                  <w14:solidFill>
                    <w14:schemeClr w14:val="tx1"/>
                  </w14:solidFill>
                </w14:textFill>
              </w:rPr>
              <w:t>处</w:t>
            </w:r>
            <w:r>
              <w:rPr>
                <w:rFonts w:hint="eastAsia" w:ascii="宋体" w:hAnsi="宋体" w:cs="MS Gothic"/>
                <w:color w:val="000000" w:themeColor="text1"/>
                <w:spacing w:val="20"/>
                <w:szCs w:val="21"/>
                <w14:textFill>
                  <w14:solidFill>
                    <w14:schemeClr w14:val="tx1"/>
                  </w14:solidFill>
                </w14:textFill>
              </w:rPr>
              <w:t>地址</w:t>
            </w:r>
            <w:r>
              <w:rPr>
                <w:rFonts w:ascii="宋体" w:hAnsi="宋体"/>
                <w:color w:val="000000" w:themeColor="text1"/>
                <w:spacing w:val="20"/>
                <w:szCs w:val="21"/>
                <w14:textFill>
                  <w14:solidFill>
                    <w14:schemeClr w14:val="tx1"/>
                  </w14:solidFill>
                </w14:textFill>
              </w:rPr>
              <w:t>/</w:t>
            </w:r>
            <w:r>
              <w:rPr>
                <w:rFonts w:hint="eastAsia" w:ascii="宋体" w:hAnsi="宋体" w:cs="宋体"/>
                <w:color w:val="000000" w:themeColor="text1"/>
                <w:spacing w:val="20"/>
                <w:szCs w:val="21"/>
                <w14:textFill>
                  <w14:solidFill>
                    <w14:schemeClr w14:val="tx1"/>
                  </w14:solidFill>
                </w14:textFill>
              </w:rPr>
              <w:t>联</w:t>
            </w:r>
            <w:r>
              <w:rPr>
                <w:rFonts w:hint="eastAsia" w:ascii="宋体" w:hAnsi="宋体" w:cs="MS Gothic"/>
                <w:color w:val="000000" w:themeColor="text1"/>
                <w:spacing w:val="20"/>
                <w:szCs w:val="21"/>
                <w14:textFill>
                  <w14:solidFill>
                    <w14:schemeClr w14:val="tx1"/>
                  </w14:solidFill>
                </w14:textFill>
              </w:rPr>
              <w:t>系</w:t>
            </w:r>
            <w:r>
              <w:rPr>
                <w:rFonts w:hint="eastAsia" w:ascii="宋体" w:hAnsi="宋体" w:cs="宋体"/>
                <w:color w:val="000000" w:themeColor="text1"/>
                <w:spacing w:val="20"/>
                <w:szCs w:val="21"/>
                <w14:textFill>
                  <w14:solidFill>
                    <w14:schemeClr w14:val="tx1"/>
                  </w14:solidFill>
                </w14:textFill>
              </w:rPr>
              <w:t>电话</w:t>
            </w: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负责</w:t>
            </w:r>
            <w:r>
              <w:rPr>
                <w:rFonts w:hint="eastAsia" w:ascii="宋体" w:hAnsi="宋体" w:cs="MS Gothic"/>
                <w:color w:val="000000" w:themeColor="text1"/>
                <w:spacing w:val="20"/>
                <w:szCs w:val="21"/>
                <w14:textFill>
                  <w14:solidFill>
                    <w14:schemeClr w14:val="tx1"/>
                  </w14:solidFill>
                </w14:textFill>
              </w:rPr>
              <w:t>人</w:t>
            </w: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技</w:t>
            </w:r>
            <w:r>
              <w:rPr>
                <w:rFonts w:hint="eastAsia" w:ascii="宋体" w:hAnsi="宋体" w:cs="宋体"/>
                <w:color w:val="000000" w:themeColor="text1"/>
                <w:spacing w:val="20"/>
                <w:szCs w:val="21"/>
                <w14:textFill>
                  <w14:solidFill>
                    <w14:schemeClr w14:val="tx1"/>
                  </w14:solidFill>
                </w14:textFill>
              </w:rPr>
              <w:t>术</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olor w:val="000000" w:themeColor="text1"/>
                <w:spacing w:val="20"/>
                <w:szCs w:val="21"/>
                <w14:textFill>
                  <w14:solidFill>
                    <w14:schemeClr w14:val="tx1"/>
                  </w14:solidFill>
                </w14:textFill>
              </w:rPr>
              <w:t>商</w:t>
            </w:r>
            <w:r>
              <w:rPr>
                <w:rFonts w:hint="eastAsia" w:ascii="宋体" w:hAnsi="宋体" w:cs="宋体"/>
                <w:color w:val="000000" w:themeColor="text1"/>
                <w:spacing w:val="20"/>
                <w:szCs w:val="21"/>
                <w14:textFill>
                  <w14:solidFill>
                    <w14:schemeClr w14:val="tx1"/>
                  </w14:solidFill>
                </w14:textFill>
              </w:rPr>
              <w:t>务</w:t>
            </w:r>
            <w:r>
              <w:rPr>
                <w:rFonts w:hint="eastAsia" w:ascii="宋体" w:hAnsi="宋体" w:cs="MS Gothic"/>
                <w:color w:val="000000" w:themeColor="text1"/>
                <w:spacing w:val="20"/>
                <w:szCs w:val="21"/>
                <w14:textFill>
                  <w14:solidFill>
                    <w14:schemeClr w14:val="tx1"/>
                  </w14:solidFill>
                </w14:textFill>
              </w:rPr>
              <w:t>人</w:t>
            </w:r>
          </w:p>
          <w:p>
            <w:pPr>
              <w:tabs>
                <w:tab w:val="left" w:pos="930"/>
                <w:tab w:val="left" w:pos="8364"/>
              </w:tabs>
              <w:ind w:right="-58"/>
              <w:rPr>
                <w:rFonts w:ascii="宋体" w:hAnsi="宋体"/>
                <w:color w:val="000000" w:themeColor="text1"/>
                <w:spacing w:val="20"/>
                <w:szCs w:val="21"/>
                <w14:textFill>
                  <w14:solidFill>
                    <w14:schemeClr w14:val="tx1"/>
                  </w14:solidFill>
                </w14:textFill>
              </w:rPr>
            </w:pPr>
            <w:r>
              <w:rPr>
                <w:rFonts w:hint="eastAsia" w:ascii="宋体" w:hAnsi="宋体" w:cs="宋体"/>
                <w:color w:val="000000" w:themeColor="text1"/>
                <w:spacing w:val="20"/>
                <w:szCs w:val="21"/>
                <w14:textFill>
                  <w14:solidFill>
                    <w14:schemeClr w14:val="tx1"/>
                  </w14:solidFill>
                </w14:textFill>
              </w:rPr>
              <w:t>员</w:t>
            </w:r>
            <w:r>
              <w:rPr>
                <w:rFonts w:hint="eastAsia" w:ascii="宋体" w:hAnsi="宋体" w:cs="MS Gothic"/>
                <w:color w:val="000000" w:themeColor="text1"/>
                <w:spacing w:val="20"/>
                <w:szCs w:val="2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color w:val="000000" w:themeColor="text1"/>
                <w:spacing w:val="20"/>
                <w:szCs w:val="21"/>
                <w14:textFill>
                  <w14:solidFill>
                    <w14:schemeClr w14:val="tx1"/>
                  </w14:solidFill>
                </w14:textFill>
              </w:rPr>
            </w:pPr>
          </w:p>
        </w:tc>
        <w:tc>
          <w:tcPr>
            <w:tcW w:w="108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3978"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155"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72"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c>
          <w:tcPr>
            <w:tcW w:w="1066" w:type="dxa"/>
          </w:tcPr>
          <w:p>
            <w:pPr>
              <w:tabs>
                <w:tab w:val="left" w:pos="930"/>
                <w:tab w:val="left" w:pos="8364"/>
              </w:tabs>
              <w:ind w:right="-58"/>
              <w:rPr>
                <w:rFonts w:ascii="宋体" w:hAnsi="宋体"/>
                <w:color w:val="000000" w:themeColor="text1"/>
                <w:spacing w:val="20"/>
                <w:szCs w:val="21"/>
                <w14:textFill>
                  <w14:solidFill>
                    <w14:schemeClr w14:val="tx1"/>
                  </w14:solidFill>
                </w14:textFill>
              </w:rPr>
            </w:pPr>
          </w:p>
        </w:tc>
      </w:tr>
    </w:tbl>
    <w:p>
      <w:pPr>
        <w:numPr>
          <w:ilvl w:val="0"/>
          <w:numId w:val="13"/>
        </w:num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研发能力及人员配备：</w:t>
      </w:r>
    </w:p>
    <w:p>
      <w:pPr>
        <w:spacing w:line="360" w:lineRule="auto"/>
        <w:ind w:left="425"/>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有关开户银行的名称和地址：</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供应商所属的集团公司，如有的话：</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其他情况：</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兹证明上述声明是真实、正确的，并提供了全部能提供的资料和数据，我们同意遵照贵方要求出示有关证明文件。</w:t>
      </w:r>
    </w:p>
    <w:p>
      <w:pPr>
        <w:spacing w:line="360" w:lineRule="auto"/>
        <w:rPr>
          <w:rFonts w:ascii="宋体" w:hAnsi="宋体"/>
          <w:color w:val="000000" w:themeColor="text1"/>
          <w:szCs w:val="21"/>
          <w14:textFill>
            <w14:solidFill>
              <w14:schemeClr w14:val="tx1"/>
            </w14:solidFill>
          </w14:textFill>
        </w:rPr>
      </w:pP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供应商名称（盖章）：</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签字人姓名和职务：</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签字人签字：</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签字日期：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传真：</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p>
      <w:pPr>
        <w:spacing w:line="360" w:lineRule="auto"/>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电子函件：</w:t>
      </w: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right="210" w:rightChars="100"/>
        <w:rPr>
          <w:rFonts w:ascii="宋体" w:hAnsi="宋体"/>
          <w:color w:val="000000" w:themeColor="text1"/>
          <w:szCs w:val="21"/>
          <w:u w:val="single"/>
          <w14:textFill>
            <w14:solidFill>
              <w14:schemeClr w14:val="tx1"/>
            </w14:solidFill>
          </w14:textFill>
        </w:rPr>
      </w:pPr>
    </w:p>
    <w:p>
      <w:pPr>
        <w:snapToGrid w:val="0"/>
        <w:spacing w:before="312" w:beforeLines="100" w:after="312" w:afterLines="100"/>
        <w:ind w:left="0" w:leftChars="0" w:right="210" w:rightChars="100" w:firstLine="0" w:firstLineChars="0"/>
        <w:rPr>
          <w:rFonts w:hint="eastAsia" w:ascii="宋体" w:hAnsi="宋体"/>
          <w:color w:val="000000" w:themeColor="text1"/>
          <w:szCs w:val="21"/>
          <w:u w:val="single"/>
          <w14:textFill>
            <w14:solidFill>
              <w14:schemeClr w14:val="tx1"/>
            </w14:solidFill>
          </w14:textFill>
        </w:rPr>
      </w:pPr>
    </w:p>
    <w:p>
      <w:pPr>
        <w:snapToGrid w:val="0"/>
        <w:spacing w:before="312" w:beforeLines="100" w:after="312" w:afterLines="100"/>
        <w:ind w:left="210" w:leftChars="100" w:right="210" w:rightChars="100" w:firstLine="422" w:firstLineChars="200"/>
        <w:rPr>
          <w:rFonts w:ascii="黑体" w:eastAsia="黑体"/>
          <w:b/>
          <w:color w:val="000000" w:themeColor="text1"/>
          <w14:textFill>
            <w14:solidFill>
              <w14:schemeClr w14:val="tx1"/>
            </w14:solidFill>
          </w14:textFill>
        </w:rPr>
      </w:pPr>
      <w:r>
        <w:rPr>
          <w:rFonts w:ascii="黑体" w:eastAsia="黑体"/>
          <w:b/>
          <w:color w:val="000000" w:themeColor="text1"/>
          <w14:textFill>
            <w14:solidFill>
              <w14:schemeClr w14:val="tx1"/>
            </w14:solidFill>
          </w14:textFill>
        </w:rPr>
        <w:t xml:space="preserve">7-3  </w:t>
      </w:r>
      <w:r>
        <w:rPr>
          <w:rFonts w:hint="eastAsia" w:ascii="黑体" w:eastAsia="黑体"/>
          <w:b/>
          <w:color w:val="000000" w:themeColor="text1"/>
          <w14:textFill>
            <w14:solidFill>
              <w14:schemeClr w14:val="tx1"/>
            </w14:solidFill>
          </w14:textFill>
        </w:rPr>
        <w:t>其它资格证明文件要求</w:t>
      </w:r>
    </w:p>
    <w:p>
      <w:pPr>
        <w:snapToGrid w:val="0"/>
        <w:spacing w:before="312" w:beforeLines="100" w:after="312" w:afterLines="100"/>
        <w:ind w:right="210" w:rightChars="10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满足竞争性</w:t>
      </w:r>
      <w:r>
        <w:rPr>
          <w:rFonts w:hint="eastAsia"/>
          <w:color w:val="000000" w:themeColor="text1"/>
          <w:lang w:eastAsia="zh-CN"/>
          <w14:textFill>
            <w14:solidFill>
              <w14:schemeClr w14:val="tx1"/>
            </w14:solidFill>
          </w14:textFill>
        </w:rPr>
        <w:t>谈判</w:t>
      </w:r>
      <w:r>
        <w:rPr>
          <w:rFonts w:hint="eastAsia"/>
          <w:color w:val="000000" w:themeColor="text1"/>
          <w14:textFill>
            <w14:solidFill>
              <w14:schemeClr w14:val="tx1"/>
            </w14:solidFill>
          </w14:textFill>
        </w:rPr>
        <w:t>文件要求的其他证明文件。</w:t>
      </w:r>
    </w:p>
    <w:p>
      <w:pPr>
        <w:snapToGrid w:val="0"/>
        <w:spacing w:before="312" w:beforeLines="100" w:after="312" w:afterLines="100"/>
        <w:ind w:right="210" w:rightChars="100"/>
        <w:rPr>
          <w:rFonts w:hint="eastAsia"/>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供应商认为需要提供的其他文件。</w:t>
      </w: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snapToGrid w:val="0"/>
        <w:spacing w:before="312" w:beforeLines="100" w:after="312" w:afterLines="100"/>
        <w:ind w:right="210" w:rightChars="100"/>
        <w:rPr>
          <w:color w:val="000000" w:themeColor="text1"/>
          <w14:textFill>
            <w14:solidFill>
              <w14:schemeClr w14:val="tx1"/>
            </w14:solidFill>
          </w14:textFill>
        </w:rPr>
      </w:pPr>
    </w:p>
    <w:p>
      <w:pPr>
        <w:pStyle w:val="4"/>
        <w:numPr>
          <w:ilvl w:val="0"/>
          <w:numId w:val="0"/>
        </w:numPr>
        <w:snapToGrid w:val="0"/>
        <w:spacing w:before="312" w:beforeLines="100" w:after="312" w:afterLines="100"/>
        <w:ind w:right="210" w:rightChars="100"/>
        <w:rPr>
          <w:rStyle w:val="106"/>
          <w:rFonts w:hAnsi="宋体"/>
          <w:b w:val="0"/>
          <w:bCs/>
          <w:color w:val="000000" w:themeColor="text1"/>
          <w:szCs w:val="24"/>
          <w14:textFill>
            <w14:solidFill>
              <w14:schemeClr w14:val="tx1"/>
            </w14:solidFill>
          </w14:textFill>
        </w:rPr>
      </w:pPr>
      <w:r>
        <w:rPr>
          <w:color w:val="000000" w:themeColor="text1"/>
          <w14:textFill>
            <w14:solidFill>
              <w14:schemeClr w14:val="tx1"/>
            </w14:solidFill>
          </w14:textFill>
        </w:rPr>
        <w:br w:type="page"/>
      </w:r>
      <w:bookmarkStart w:id="90" w:name="_Toc6652"/>
      <w:r>
        <w:rPr>
          <w:rStyle w:val="106"/>
          <w:rFonts w:hint="eastAsia" w:hAnsi="宋体"/>
          <w:b w:val="0"/>
          <w:bCs w:val="0"/>
          <w:color w:val="000000" w:themeColor="text1"/>
          <w:sz w:val="24"/>
          <w:szCs w:val="24"/>
          <w14:textFill>
            <w14:solidFill>
              <w14:schemeClr w14:val="tx1"/>
            </w14:solidFill>
          </w14:textFill>
        </w:rPr>
        <w:t>附件</w:t>
      </w:r>
      <w:r>
        <w:rPr>
          <w:rStyle w:val="106"/>
          <w:rFonts w:hAnsi="宋体"/>
          <w:b w:val="0"/>
          <w:bCs w:val="0"/>
          <w:color w:val="000000" w:themeColor="text1"/>
          <w:sz w:val="24"/>
          <w:szCs w:val="24"/>
          <w14:textFill>
            <w14:solidFill>
              <w14:schemeClr w14:val="tx1"/>
            </w14:solidFill>
          </w14:textFill>
        </w:rPr>
        <w:t>8</w:t>
      </w:r>
      <w:r>
        <w:rPr>
          <w:rStyle w:val="106"/>
          <w:rFonts w:hint="eastAsia" w:hAnsi="宋体"/>
          <w:b w:val="0"/>
          <w:bCs w:val="0"/>
          <w:color w:val="000000" w:themeColor="text1"/>
          <w:sz w:val="24"/>
          <w:szCs w:val="24"/>
          <w14:textFill>
            <w14:solidFill>
              <w14:schemeClr w14:val="tx1"/>
            </w14:solidFill>
          </w14:textFill>
        </w:rPr>
        <w:t>：项目业绩及证明文件</w:t>
      </w:r>
      <w:bookmarkEnd w:id="90"/>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项目规模</w:t>
            </w:r>
          </w:p>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themeColor="text1"/>
                <w:szCs w:val="21"/>
                <w14:textFill>
                  <w14:solidFill>
                    <w14:schemeClr w14:val="tx1"/>
                  </w14:solidFill>
                </w14:textFill>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themeColor="text1"/>
                <w:szCs w:val="21"/>
                <w14:textFill>
                  <w14:solidFill>
                    <w14:schemeClr w14:val="tx1"/>
                  </w14:solidFill>
                </w14:textFill>
              </w:rPr>
            </w:pPr>
          </w:p>
        </w:tc>
      </w:tr>
    </w:tbl>
    <w:p>
      <w:pPr>
        <w:spacing w:line="480" w:lineRule="auto"/>
        <w:rPr>
          <w:color w:val="000000" w:themeColor="text1"/>
          <w14:textFill>
            <w14:solidFill>
              <w14:schemeClr w14:val="tx1"/>
            </w14:solidFill>
          </w14:textFill>
        </w:rPr>
      </w:pPr>
    </w:p>
    <w:p>
      <w:pPr>
        <w:spacing w:line="480" w:lineRule="auto"/>
        <w:rPr>
          <w:i/>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名称（公章）：</w:t>
      </w:r>
      <w:r>
        <w:rPr>
          <w:rFonts w:hint="eastAsia"/>
          <w:color w:val="000000" w:themeColor="text1"/>
          <w14:textFill>
            <w14:solidFill>
              <w14:schemeClr w14:val="tx1"/>
            </w14:solidFill>
          </w14:textFill>
        </w:rPr>
        <w:t>供应商</w:t>
      </w:r>
      <w:r>
        <w:rPr>
          <w:color w:val="000000" w:themeColor="text1"/>
          <w14:textFill>
            <w14:solidFill>
              <w14:schemeClr w14:val="tx1"/>
            </w14:solidFill>
          </w14:textFill>
        </w:rPr>
        <w:t>代表签字</w:t>
      </w:r>
      <w:r>
        <w:rPr>
          <w:color w:val="000000" w:themeColor="text1"/>
          <w:u w:val="single"/>
          <w14:textFill>
            <w14:solidFill>
              <w14:schemeClr w14:val="tx1"/>
            </w14:solidFill>
          </w14:textFill>
        </w:rPr>
        <w:t>：</w:t>
      </w:r>
    </w:p>
    <w:p>
      <w:pPr>
        <w:spacing w:line="480" w:lineRule="auto"/>
        <w:rPr>
          <w:color w:val="000000" w:themeColor="text1"/>
          <w14:textFill>
            <w14:solidFill>
              <w14:schemeClr w14:val="tx1"/>
            </w14:solidFill>
          </w14:textFill>
        </w:rPr>
      </w:pPr>
      <w:r>
        <w:rPr>
          <w:color w:val="000000" w:themeColor="text1"/>
          <w14:textFill>
            <w14:solidFill>
              <w14:schemeClr w14:val="tx1"/>
            </w14:solidFill>
          </w14:textFill>
        </w:rPr>
        <w:t>填表说明：1</w:t>
      </w:r>
      <w:r>
        <w:rPr>
          <w:rFonts w:hint="eastAsia"/>
          <w:color w:val="000000" w:themeColor="text1"/>
          <w14:textFill>
            <w14:solidFill>
              <w14:schemeClr w14:val="tx1"/>
            </w14:solidFill>
          </w14:textFill>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color w:val="000000" w:themeColor="text1"/>
          <w:sz w:val="21"/>
          <w:szCs w:val="24"/>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．供应商需按照表格的顺序装订合同复印件，合同装订顺序须与表中所列项目顺序一致。</w:t>
      </w:r>
    </w:p>
    <w:p>
      <w:pPr>
        <w:widowControl/>
        <w:jc w:val="left"/>
        <w:rPr>
          <w:color w:val="000000" w:themeColor="text1"/>
          <w14:textFill>
            <w14:solidFill>
              <w14:schemeClr w14:val="tx1"/>
            </w14:solidFill>
          </w14:textFill>
        </w:rPr>
      </w:pPr>
    </w:p>
    <w:p>
      <w:pPr>
        <w:numPr>
          <w:ins w:id="1" w:author="包yeemin" w:date="2023-12-27T11:26:55Z"/>
        </w:numPr>
      </w:pPr>
    </w:p>
    <w:p>
      <w:pPr>
        <w:numPr>
          <w:ilvl w:val="0"/>
          <w:numId w:val="0"/>
        </w:numPr>
        <w:spacing w:line="360" w:lineRule="auto"/>
        <w:rPr>
          <w:rFonts w:hint="eastAsia"/>
        </w:rPr>
      </w:pPr>
    </w:p>
    <w:p>
      <w:pPr>
        <w:numPr>
          <w:ilvl w:val="0"/>
          <w:numId w:val="0"/>
        </w:numPr>
        <w:spacing w:line="480" w:lineRule="auto"/>
        <w:rPr>
          <w:rFonts w:hint="eastAsia"/>
        </w:rPr>
      </w:pPr>
    </w:p>
    <w:p>
      <w:pPr>
        <w:pStyle w:val="3"/>
        <w:numPr>
          <w:ilvl w:val="0"/>
          <w:numId w:val="0"/>
        </w:numPr>
        <w:spacing w:line="360" w:lineRule="auto"/>
        <w:rPr>
          <w:color w:val="000000" w:themeColor="text1"/>
          <w:sz w:val="52"/>
          <w:szCs w:val="52"/>
          <w14:textFill>
            <w14:solidFill>
              <w14:schemeClr w14:val="tx1"/>
            </w14:solidFill>
          </w14:textFill>
        </w:rPr>
      </w:pPr>
      <w:bookmarkStart w:id="91" w:name="_Toc24121"/>
      <w:r>
        <w:rPr>
          <w:rFonts w:hint="eastAsia"/>
          <w:b/>
          <w:color w:val="000000" w:themeColor="text1"/>
          <w:sz w:val="36"/>
          <w:szCs w:val="36"/>
          <w14:textFill>
            <w14:solidFill>
              <w14:schemeClr w14:val="tx1"/>
            </w14:solidFill>
          </w14:textFill>
        </w:rPr>
        <w:t>第七章  其他</w:t>
      </w:r>
      <w:bookmarkEnd w:id="91"/>
    </w:p>
    <w:p>
      <w:pPr>
        <w:widowControl/>
        <w:jc w:val="left"/>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响应</w:t>
      </w:r>
      <w:r>
        <w:rPr>
          <w:b/>
          <w:color w:val="000000" w:themeColor="text1"/>
          <w:sz w:val="24"/>
          <w14:textFill>
            <w14:solidFill>
              <w14:schemeClr w14:val="tx1"/>
            </w14:solidFill>
          </w14:textFill>
        </w:rPr>
        <w:t>文件</w:t>
      </w:r>
      <w:r>
        <w:rPr>
          <w:b/>
          <w:color w:val="000000" w:themeColor="text1"/>
          <w:kern w:val="11"/>
          <w:sz w:val="24"/>
          <w14:textFill>
            <w14:solidFill>
              <w14:schemeClr w14:val="tx1"/>
            </w14:solidFill>
          </w14:textFill>
        </w:rPr>
        <w:t>封套格式</w:t>
      </w:r>
      <w:r>
        <w:rPr>
          <w:b/>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5G边缘云系统</w:t>
            </w:r>
          </w:p>
          <w:p>
            <w:pPr>
              <w:spacing w:before="312" w:beforeLines="100" w:after="312" w:afterLines="100"/>
              <w:jc w:val="center"/>
              <w:rPr>
                <w:rFonts w:eastAsia="黑体"/>
                <w:color w:val="000000" w:themeColor="text1"/>
                <w:sz w:val="28"/>
                <w:szCs w:val="28"/>
                <w14:textFill>
                  <w14:solidFill>
                    <w14:schemeClr w14:val="tx1"/>
                  </w14:solidFill>
                </w14:textFill>
              </w:rPr>
            </w:pPr>
          </w:p>
          <w:p>
            <w:pPr>
              <w:pStyle w:val="2"/>
              <w:spacing w:before="312" w:beforeLines="100" w:after="312" w:afterLines="100"/>
              <w:jc w:val="center"/>
              <w:rPr>
                <w:rFonts w:eastAsia="黑体"/>
                <w:color w:val="000000" w:themeColor="text1"/>
                <w:szCs w:val="28"/>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spacing w:before="312" w:beforeLines="100" w:after="312" w:afterLines="100"/>
              <w:jc w:val="center"/>
              <w:rPr>
                <w:rFonts w:eastAsia="黑体"/>
                <w:color w:val="000000" w:themeColor="text1"/>
                <w:sz w:val="52"/>
                <w:szCs w:val="36"/>
                <w14:textFill>
                  <w14:solidFill>
                    <w14:schemeClr w14:val="tx1"/>
                  </w14:solidFill>
                </w14:textFill>
              </w:rPr>
            </w:pPr>
          </w:p>
          <w:p>
            <w:pPr>
              <w:pStyle w:val="2"/>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14:textFill>
            <w14:solidFill>
              <w14:schemeClr w14:val="tx1"/>
            </w14:solidFill>
          </w14:textFill>
        </w:rPr>
      </w:pPr>
    </w:p>
    <w:p>
      <w:pPr>
        <w:widowControl/>
        <w:spacing w:line="360" w:lineRule="auto"/>
        <w:jc w:val="left"/>
        <w:rPr>
          <w:color w:val="000000" w:themeColor="text1"/>
          <w:kern w:val="11"/>
          <w:sz w:val="24"/>
          <w14:textFill>
            <w14:solidFill>
              <w14:schemeClr w14:val="tx1"/>
            </w14:solidFill>
          </w14:textFill>
        </w:rPr>
      </w:pPr>
    </w:p>
    <w:p>
      <w:pPr>
        <w:widowControl/>
        <w:spacing w:line="360" w:lineRule="auto"/>
        <w:jc w:val="left"/>
        <w:rPr>
          <w:color w:val="000000" w:themeColor="text1"/>
          <w:sz w:val="24"/>
          <w14:textFill>
            <w14:solidFill>
              <w14:schemeClr w14:val="tx1"/>
            </w14:solidFill>
          </w14:textFill>
        </w:rPr>
      </w:pPr>
      <w:r>
        <w:rPr>
          <w:rFonts w:hint="eastAsia"/>
          <w:color w:val="000000" w:themeColor="text1"/>
          <w:kern w:val="11"/>
          <w:sz w:val="24"/>
          <w14:textFill>
            <w14:solidFill>
              <w14:schemeClr w14:val="tx1"/>
            </w14:solidFill>
          </w14:textFill>
        </w:rPr>
        <w:t>响应文件电子版</w:t>
      </w:r>
      <w:r>
        <w:rPr>
          <w:color w:val="000000" w:themeColor="text1"/>
          <w:kern w:val="11"/>
          <w:sz w:val="24"/>
          <w14:textFill>
            <w14:solidFill>
              <w14:schemeClr w14:val="tx1"/>
            </w14:solidFill>
          </w14:textFill>
        </w:rPr>
        <w:t>封套格式</w:t>
      </w:r>
      <w:r>
        <w:rPr>
          <w:color w:val="000000" w:themeColor="text1"/>
          <w:sz w:val="24"/>
          <w14:textFill>
            <w14:solidFill>
              <w14:schemeClr w14:val="tx1"/>
            </w14:solidFill>
          </w14:textFill>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themeColor="text1"/>
                <w:sz w:val="32"/>
                <w:szCs w:val="32"/>
                <w:u w:val="single"/>
                <w14:textFill>
                  <w14:solidFill>
                    <w14:schemeClr w14:val="tx1"/>
                  </w14:solidFill>
                </w14:textFill>
              </w:rPr>
            </w:pP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江苏省广电有线信息网络股份有限公司</w:t>
            </w:r>
          </w:p>
          <w:p>
            <w:pPr>
              <w:jc w:val="center"/>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5G边缘云系统项目</w:t>
            </w:r>
          </w:p>
          <w:p>
            <w:pPr>
              <w:jc w:val="center"/>
              <w:rPr>
                <w:rFonts w:eastAsia="黑体"/>
                <w:color w:val="000000" w:themeColor="text1"/>
                <w:sz w:val="28"/>
                <w:szCs w:val="28"/>
                <w14:textFill>
                  <w14:solidFill>
                    <w14:schemeClr w14:val="tx1"/>
                  </w14:solidFill>
                </w14:textFill>
              </w:rPr>
            </w:pPr>
          </w:p>
          <w:p>
            <w:pPr>
              <w:pStyle w:val="2"/>
              <w:jc w:val="center"/>
              <w:rPr>
                <w:rFonts w:eastAsia="黑体"/>
                <w:color w:val="000000" w:themeColor="text1"/>
                <w:szCs w:val="28"/>
                <w:u w:val="single"/>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jc w:val="center"/>
              <w:rPr>
                <w:rFonts w:eastAsia="黑体"/>
                <w:color w:val="000000" w:themeColor="text1"/>
                <w:sz w:val="52"/>
                <w:szCs w:val="36"/>
                <w14:textFill>
                  <w14:solidFill>
                    <w14:schemeClr w14:val="tx1"/>
                  </w14:solidFill>
                </w14:textFill>
              </w:rPr>
            </w:pPr>
            <w:r>
              <w:rPr>
                <w:rFonts w:hint="eastAsia" w:eastAsia="黑体"/>
                <w:color w:val="000000" w:themeColor="text1"/>
                <w:sz w:val="52"/>
                <w:szCs w:val="36"/>
                <w14:textFill>
                  <w14:solidFill>
                    <w14:schemeClr w14:val="tx1"/>
                  </w14:solidFill>
                </w14:textFill>
              </w:rPr>
              <w:t>响应文件电子版</w:t>
            </w:r>
          </w:p>
          <w:p>
            <w:pPr>
              <w:spacing w:after="120"/>
              <w:jc w:val="center"/>
              <w:rPr>
                <w:rFonts w:eastAsia="PMingLiU"/>
                <w:color w:val="000000" w:themeColor="text1"/>
                <w:sz w:val="36"/>
                <w:szCs w:val="36"/>
                <w:lang w:val="zh-TW" w:eastAsia="zh-TW"/>
                <w14:textFill>
                  <w14:solidFill>
                    <w14:schemeClr w14:val="tx1"/>
                  </w14:solidFill>
                </w14:textFill>
              </w:rPr>
            </w:pPr>
            <w:r>
              <w:rPr>
                <w:rFonts w:hint="eastAsia" w:eastAsia="黑体"/>
                <w:color w:val="000000" w:themeColor="text1"/>
                <w:sz w:val="28"/>
                <w:szCs w:val="28"/>
                <w14:textFill>
                  <w14:solidFill>
                    <w14:schemeClr w14:val="tx1"/>
                  </w14:solidFill>
                </w14:textFill>
              </w:rPr>
              <w:t>（开标时间以前不得开封）</w:t>
            </w:r>
          </w:p>
          <w:p>
            <w:pPr>
              <w:jc w:val="center"/>
              <w:rPr>
                <w:rFonts w:eastAsia="黑体"/>
                <w:b/>
                <w:bCs/>
                <w:color w:val="000000" w:themeColor="text1"/>
                <w:sz w:val="44"/>
                <w:szCs w:val="44"/>
                <w:lang w:eastAsia="zh-TW"/>
                <w14:textFill>
                  <w14:solidFill>
                    <w14:schemeClr w14:val="tx1"/>
                  </w14:solidFill>
                </w14:textFill>
              </w:rPr>
            </w:pPr>
          </w:p>
          <w:p>
            <w:pPr>
              <w:spacing w:before="312" w:beforeLines="100" w:after="312" w:afterLines="100"/>
              <w:jc w:val="center"/>
              <w:rPr>
                <w:rFonts w:eastAsia="黑体"/>
                <w:color w:val="000000" w:themeColor="text1"/>
                <w:sz w:val="52"/>
                <w:szCs w:val="36"/>
                <w14:textFill>
                  <w14:solidFill>
                    <w14:schemeClr w14:val="tx1"/>
                  </w14:solidFill>
                </w14:textFill>
              </w:rPr>
            </w:pPr>
          </w:p>
          <w:p>
            <w:pPr>
              <w:spacing w:line="360" w:lineRule="auto"/>
              <w:jc w:val="center"/>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（盖单位章）</w:t>
            </w:r>
          </w:p>
          <w:p>
            <w:pPr>
              <w:spacing w:line="360" w:lineRule="auto"/>
              <w:jc w:val="cente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法定代表人或其委托的代理人：</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（签字）</w:t>
            </w:r>
          </w:p>
          <w:p>
            <w:pPr>
              <w:spacing w:line="360" w:lineRule="auto"/>
              <w:ind w:firstLine="1440" w:firstLineChars="600"/>
              <w:rPr>
                <w:rFonts w:eastAsia="黑体"/>
                <w:color w:val="000000" w:themeColor="text1"/>
                <w:sz w:val="24"/>
                <w:u w:val="single"/>
                <w14:textFill>
                  <w14:solidFill>
                    <w14:schemeClr w14:val="tx1"/>
                  </w14:solidFill>
                </w14:textFill>
              </w:rPr>
            </w:pPr>
            <w:r>
              <w:rPr>
                <w:rFonts w:hint="eastAsia" w:eastAsia="黑体"/>
                <w:color w:val="000000" w:themeColor="text1"/>
                <w:sz w:val="24"/>
                <w14:textFill>
                  <w14:solidFill>
                    <w14:schemeClr w14:val="tx1"/>
                  </w14:solidFill>
                </w14:textFill>
              </w:rPr>
              <w:t>供应商</w:t>
            </w:r>
            <w:r>
              <w:rPr>
                <w:rFonts w:eastAsia="黑体"/>
                <w:color w:val="000000" w:themeColor="text1"/>
                <w:sz w:val="24"/>
                <w14:textFill>
                  <w14:solidFill>
                    <w14:schemeClr w14:val="tx1"/>
                  </w14:solidFill>
                </w14:textFill>
              </w:rPr>
              <w:t>地址：</w:t>
            </w:r>
            <w:r>
              <w:rPr>
                <w:rFonts w:eastAsia="黑体"/>
                <w:color w:val="000000" w:themeColor="text1"/>
                <w:sz w:val="24"/>
                <w:u w:val="single"/>
                <w14:textFill>
                  <w14:solidFill>
                    <w14:schemeClr w14:val="tx1"/>
                  </w14:solidFill>
                </w14:textFill>
              </w:rPr>
              <w:t xml:space="preserve">                            </w:t>
            </w:r>
          </w:p>
          <w:p>
            <w:pPr>
              <w:spacing w:after="624" w:afterLines="200"/>
              <w:ind w:firstLine="3000" w:firstLineChars="1250"/>
              <w:rPr>
                <w:color w:val="000000" w:themeColor="text1"/>
                <w:kern w:val="11"/>
                <w14:textFill>
                  <w14:solidFill>
                    <w14:schemeClr w14:val="tx1"/>
                  </w14:solidFill>
                </w14:textFill>
              </w:rPr>
            </w:pPr>
            <w:r>
              <w:rPr>
                <w:rFonts w:hint="eastAsia" w:eastAsia="黑体"/>
                <w:color w:val="000000" w:themeColor="text1"/>
                <w:sz w:val="24"/>
                <w14:textFill>
                  <w14:solidFill>
                    <w14:schemeClr w14:val="tx1"/>
                  </w14:solidFill>
                </w14:textFill>
              </w:rPr>
              <w:t xml:space="preserve"> </w:t>
            </w:r>
            <w:r>
              <w:rPr>
                <w:rFonts w:hint="eastAsia"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年</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月</w:t>
            </w:r>
            <w:r>
              <w:rPr>
                <w:rFonts w:eastAsia="黑体"/>
                <w:color w:val="000000" w:themeColor="text1"/>
                <w:sz w:val="24"/>
                <w:u w:val="single"/>
                <w14:textFill>
                  <w14:solidFill>
                    <w14:schemeClr w14:val="tx1"/>
                  </w14:solidFill>
                </w14:textFill>
              </w:rPr>
              <w:t xml:space="preserve">    </w:t>
            </w:r>
            <w:r>
              <w:rPr>
                <w:rFonts w:eastAsia="黑体"/>
                <w:color w:val="000000" w:themeColor="text1"/>
                <w:sz w:val="24"/>
                <w14:textFill>
                  <w14:solidFill>
                    <w14:schemeClr w14:val="tx1"/>
                  </w14:solidFill>
                </w14:textFill>
              </w:rPr>
              <w:t>日</w:t>
            </w:r>
          </w:p>
        </w:tc>
      </w:tr>
    </w:tbl>
    <w:p>
      <w:pPr>
        <w:rPr>
          <w:color w:val="000000" w:themeColor="text1"/>
          <w:kern w:val="11"/>
          <w:sz w:val="24"/>
          <w14:textFill>
            <w14:solidFill>
              <w14:schemeClr w14:val="tx1"/>
            </w14:solidFill>
          </w14:textFill>
        </w:rPr>
      </w:pPr>
    </w:p>
    <w:p>
      <w:pPr>
        <w:widowControl/>
        <w:jc w:val="left"/>
        <w:rPr>
          <w:color w:val="000000" w:themeColor="text1"/>
          <w:kern w:val="11"/>
          <w:sz w:val="24"/>
          <w14:textFill>
            <w14:solidFill>
              <w14:schemeClr w14:val="tx1"/>
            </w14:solidFill>
          </w14:textFill>
        </w:rPr>
      </w:pPr>
      <w:r>
        <w:rPr>
          <w:color w:val="000000" w:themeColor="text1"/>
          <w:kern w:val="11"/>
          <w:sz w:val="24"/>
          <w14:textFill>
            <w14:solidFill>
              <w14:schemeClr w14:val="tx1"/>
            </w14:solidFill>
          </w14:textFill>
        </w:rPr>
        <w:br w:type="page"/>
      </w:r>
    </w:p>
    <w:p>
      <w:pPr>
        <w:widowControl/>
        <w:jc w:val="left"/>
        <w:rPr>
          <w:rFonts w:eastAsia="黑体"/>
          <w:bCs/>
          <w:color w:val="000000" w:themeColor="text1"/>
          <w:kern w:val="44"/>
          <w:sz w:val="30"/>
          <w:szCs w:val="44"/>
          <w14:textFill>
            <w14:solidFill>
              <w14:schemeClr w14:val="tx1"/>
            </w14:solidFill>
          </w14:textFill>
        </w:rPr>
      </w:pPr>
      <w:r>
        <w:rPr>
          <w:rFonts w:hint="eastAsia"/>
          <w:color w:val="000000" w:themeColor="text1"/>
          <w:kern w:val="11"/>
          <w:sz w:val="24"/>
          <w14:textFill>
            <w14:solidFill>
              <w14:schemeClr w14:val="tx1"/>
            </w14:solidFill>
          </w14:textFill>
        </w:rPr>
        <w:t>响应</w:t>
      </w:r>
      <w:r>
        <w:rPr>
          <w:color w:val="000000" w:themeColor="text1"/>
          <w:kern w:val="11"/>
          <w:sz w:val="24"/>
          <w14:textFill>
            <w14:solidFill>
              <w14:schemeClr w14:val="tx1"/>
            </w14:solidFill>
          </w14:textFill>
        </w:rPr>
        <w:t>文件</w:t>
      </w:r>
      <w:r>
        <w:rPr>
          <w:rFonts w:hint="eastAsia"/>
          <w:color w:val="000000" w:themeColor="text1"/>
          <w:kern w:val="11"/>
          <w:sz w:val="24"/>
          <w14:textFill>
            <w14:solidFill>
              <w14:schemeClr w14:val="tx1"/>
            </w14:solidFill>
          </w14:textFill>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rPr>
                <w:color w:val="000000" w:themeColor="text1"/>
                <w14:textFill>
                  <w14:solidFill>
                    <w14:schemeClr w14:val="tx1"/>
                  </w14:solidFill>
                </w14:textFill>
              </w:rPr>
            </w:pPr>
            <w:r>
              <w:rPr>
                <w:b/>
                <w:bCs/>
                <w:color w:val="000000" w:themeColor="text1"/>
                <w:kern w:val="11"/>
                <w:sz w:val="24"/>
                <w14:textFill>
                  <w14:solidFill>
                    <w14:schemeClr w14:val="tx1"/>
                  </w14:solidFill>
                </w14:textFill>
              </w:rPr>
              <w:t>--------------</w:t>
            </w:r>
            <w:r>
              <w:rPr>
                <w:rFonts w:ascii="黑体" w:hAnsi="黑体" w:eastAsia="黑体"/>
                <w:bCs/>
                <w:color w:val="000000" w:themeColor="text1"/>
                <w:kern w:val="11"/>
                <w:sz w:val="24"/>
                <w14:textFill>
                  <w14:solidFill>
                    <w14:schemeClr w14:val="tx1"/>
                  </w14:solidFill>
                </w14:textFill>
              </w:rPr>
              <w:t xml:space="preserve">于    年  月  日  </w:t>
            </w:r>
            <w:r>
              <w:rPr>
                <w:rFonts w:hint="eastAsia" w:ascii="黑体" w:hAnsi="黑体" w:eastAsia="黑体"/>
                <w:bCs/>
                <w:color w:val="000000" w:themeColor="text1"/>
                <w:kern w:val="11"/>
                <w:sz w:val="24"/>
                <w14:textFill>
                  <w14:solidFill>
                    <w14:schemeClr w14:val="tx1"/>
                  </w14:solidFill>
                </w14:textFill>
              </w:rPr>
              <w:t>时  分</w:t>
            </w:r>
            <w:r>
              <w:rPr>
                <w:rFonts w:ascii="黑体" w:hAnsi="黑体" w:eastAsia="黑体"/>
                <w:bCs/>
                <w:color w:val="000000" w:themeColor="text1"/>
                <w:kern w:val="11"/>
                <w:sz w:val="24"/>
                <w14:textFill>
                  <w14:solidFill>
                    <w14:schemeClr w14:val="tx1"/>
                  </w14:solidFill>
                </w14:textFill>
              </w:rPr>
              <w:t>之前不准启封（公章）</w:t>
            </w:r>
            <w:r>
              <w:rPr>
                <w:b/>
                <w:bCs/>
                <w:color w:val="000000" w:themeColor="text1"/>
                <w:kern w:val="11"/>
                <w:sz w:val="24"/>
                <w14:textFill>
                  <w14:solidFill>
                    <w14:schemeClr w14:val="tx1"/>
                  </w14:solidFill>
                </w14:textFill>
              </w:rPr>
              <w:t>----------------</w:t>
            </w:r>
          </w:p>
        </w:tc>
      </w:tr>
    </w:tbl>
    <w:p>
      <w:pPr>
        <w:rPr>
          <w:color w:val="000000" w:themeColor="text1"/>
          <w14:textFill>
            <w14:solidFill>
              <w14:schemeClr w14:val="tx1"/>
            </w14:solidFill>
          </w14:textFill>
        </w:rPr>
      </w:pPr>
    </w:p>
    <w:p>
      <w:pPr>
        <w:pStyle w:val="2"/>
        <w:jc w:val="center"/>
        <w:rPr>
          <w:b/>
          <w:color w:val="000000" w:themeColor="text1"/>
          <w:sz w:val="44"/>
          <w:szCs w:val="44"/>
          <w14:textFill>
            <w14:solidFill>
              <w14:schemeClr w14:val="tx1"/>
            </w14:solidFill>
          </w14:textFill>
        </w:rPr>
      </w:pPr>
      <w:r>
        <w:rPr>
          <w:color w:val="000000" w:themeColor="text1"/>
          <w14:textFill>
            <w14:solidFill>
              <w14:schemeClr w14:val="tx1"/>
            </w14:solidFill>
          </w14:textFill>
        </w:rPr>
        <w:br w:type="page"/>
      </w:r>
      <w:r>
        <w:rPr>
          <w:rFonts w:hint="eastAsia"/>
          <w:b/>
          <w:color w:val="000000" w:themeColor="text1"/>
          <w:sz w:val="44"/>
          <w:szCs w:val="44"/>
          <w14:textFill>
            <w14:solidFill>
              <w14:schemeClr w14:val="tx1"/>
            </w14:solidFill>
          </w14:textFill>
        </w:rPr>
        <w:t>响应确认信息表</w:t>
      </w:r>
    </w:p>
    <w:p>
      <w:pPr>
        <w:widowControl/>
        <w:jc w:val="left"/>
        <w:rPr>
          <w:rFonts w:ascii="Arial" w:hAnsi="Arial" w:eastAsia="黑体"/>
          <w:bCs/>
          <w:color w:val="000000" w:themeColor="text1"/>
          <w:sz w:val="28"/>
          <w:szCs w:val="32"/>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江苏省广电有线信息网络股份有限公司：</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我单位申请参与贵单位              项目。</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现委派我单位      (姓名)负责本项目报名和正式采购前的联系工作，详细信息如下（以下信息均为必填项）：</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1.姓名：</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2.身份证号：</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3.职位：</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4.联系电话（手机）：</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5.联系电子邮箱：</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6.微信号:</w:t>
      </w:r>
    </w:p>
    <w:p>
      <w:pPr>
        <w:spacing w:line="360" w:lineRule="auto"/>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7.响应文件递送方式：</w:t>
      </w:r>
    </w:p>
    <w:p>
      <w:pPr>
        <w:spacing w:line="360" w:lineRule="auto"/>
        <w:ind w:firstLine="200"/>
        <w:rPr>
          <w:color w:val="000000" w:themeColor="text1"/>
          <w14:textFill>
            <w14:solidFill>
              <w14:schemeClr w14:val="tx1"/>
            </w14:solidFill>
          </w14:textFill>
        </w:rPr>
      </w:pPr>
    </w:p>
    <w:p>
      <w:pPr>
        <w:spacing w:line="360" w:lineRule="auto"/>
        <w:ind w:firstLine="200"/>
        <w:rPr>
          <w:color w:val="000000" w:themeColor="text1"/>
          <w14:textFill>
            <w14:solidFill>
              <w14:schemeClr w14:val="tx1"/>
            </w14:solidFill>
          </w14:textFill>
        </w:rPr>
      </w:pPr>
    </w:p>
    <w:p>
      <w:pPr>
        <w:spacing w:line="360" w:lineRule="auto"/>
        <w:ind w:firstLine="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                     （盖章）</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p>
      <w:pPr>
        <w:pStyle w:val="26"/>
        <w:ind w:firstLine="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adjustRightInd w:val="0"/>
        <w:snapToGrid w:val="0"/>
        <w:spacing w:line="440" w:lineRule="exact"/>
        <w:jc w:val="both"/>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宋体 + FPEF">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47</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36</w:t>
    </w:r>
    <w:r>
      <w:fldChar w:fldCharType="end"/>
    </w:r>
  </w:p>
  <w:p>
    <w:pPr>
      <w:pStyle w:val="3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56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A12889"/>
    <w:multiLevelType w:val="singleLevel"/>
    <w:tmpl w:val="EAA12889"/>
    <w:lvl w:ilvl="0" w:tentative="0">
      <w:start w:val="1"/>
      <w:numFmt w:val="decimal"/>
      <w:lvlText w:val="%1."/>
      <w:lvlJc w:val="left"/>
      <w:pPr>
        <w:tabs>
          <w:tab w:val="left" w:pos="312"/>
        </w:tabs>
      </w:pPr>
    </w:lvl>
  </w:abstractNum>
  <w:abstractNum w:abstractNumId="1">
    <w:nsid w:val="F0380590"/>
    <w:multiLevelType w:val="singleLevel"/>
    <w:tmpl w:val="F0380590"/>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japaneseCounting"/>
      <w:lvlText w:val="第%1条"/>
      <w:lvlJc w:val="left"/>
      <w:pPr>
        <w:tabs>
          <w:tab w:val="left" w:pos="855"/>
        </w:tabs>
        <w:ind w:left="855" w:hanging="855"/>
      </w:pPr>
      <w:rPr>
        <w:rFonts w:hint="eastAsia" w:ascii="黑体" w:eastAsia="黑体"/>
        <w:b/>
      </w:rPr>
    </w:lvl>
    <w:lvl w:ilvl="1" w:tentative="0">
      <w:start w:val="1"/>
      <w:numFmt w:val="chineseCountingThousand"/>
      <w:lvlText w:val="（%2）"/>
      <w:lvlJc w:val="left"/>
      <w:pPr>
        <w:tabs>
          <w:tab w:val="left" w:pos="1140"/>
        </w:tabs>
        <w:ind w:left="1140" w:hanging="7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7">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8">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1">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8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12">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0"/>
  </w:num>
  <w:num w:numId="2">
    <w:abstractNumId w:val="9"/>
  </w:num>
  <w:num w:numId="3">
    <w:abstractNumId w:val="4"/>
  </w:num>
  <w:num w:numId="4">
    <w:abstractNumId w:val="3"/>
  </w:num>
  <w:num w:numId="5">
    <w:abstractNumId w:val="11"/>
  </w:num>
  <w:num w:numId="6">
    <w:abstractNumId w:val="8"/>
  </w:num>
  <w:num w:numId="7">
    <w:abstractNumId w:val="2"/>
  </w:num>
  <w:num w:numId="8">
    <w:abstractNumId w:val="5"/>
  </w:num>
  <w:num w:numId="9">
    <w:abstractNumId w:val="1"/>
  </w:num>
  <w:num w:numId="10">
    <w:abstractNumId w:val="0"/>
  </w:num>
  <w:num w:numId="11">
    <w:abstractNumId w:val="6"/>
  </w:num>
  <w:num w:numId="12">
    <w:abstractNumId w:val="7"/>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包yeemin">
    <w15:presenceInfo w15:providerId="WPS Office" w15:userId="3627502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iZjQ5ZTU3YzNmNTVlM2M5N2YwMDRlMDhhOGM0MzQ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5647"/>
    <w:rsid w:val="000164B0"/>
    <w:rsid w:val="00016CEA"/>
    <w:rsid w:val="00017171"/>
    <w:rsid w:val="0001725C"/>
    <w:rsid w:val="00017A4D"/>
    <w:rsid w:val="00020A4E"/>
    <w:rsid w:val="00020E6D"/>
    <w:rsid w:val="00021773"/>
    <w:rsid w:val="000224F7"/>
    <w:rsid w:val="000227C5"/>
    <w:rsid w:val="00022A8A"/>
    <w:rsid w:val="00023E93"/>
    <w:rsid w:val="00023EF5"/>
    <w:rsid w:val="00024C77"/>
    <w:rsid w:val="00030A9D"/>
    <w:rsid w:val="00031650"/>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12"/>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6B29"/>
    <w:rsid w:val="00066E39"/>
    <w:rsid w:val="00067FDF"/>
    <w:rsid w:val="00070964"/>
    <w:rsid w:val="00071DBA"/>
    <w:rsid w:val="00072029"/>
    <w:rsid w:val="000728EA"/>
    <w:rsid w:val="0007445B"/>
    <w:rsid w:val="00074C46"/>
    <w:rsid w:val="000760C6"/>
    <w:rsid w:val="0007666E"/>
    <w:rsid w:val="00076700"/>
    <w:rsid w:val="00076D4E"/>
    <w:rsid w:val="00077A76"/>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002F"/>
    <w:rsid w:val="000A28DA"/>
    <w:rsid w:val="000A3669"/>
    <w:rsid w:val="000A5155"/>
    <w:rsid w:val="000A688C"/>
    <w:rsid w:val="000A7250"/>
    <w:rsid w:val="000A7D58"/>
    <w:rsid w:val="000B02BC"/>
    <w:rsid w:val="000B11A0"/>
    <w:rsid w:val="000B4FAD"/>
    <w:rsid w:val="000B55EC"/>
    <w:rsid w:val="000B5724"/>
    <w:rsid w:val="000B6108"/>
    <w:rsid w:val="000B6D7B"/>
    <w:rsid w:val="000C17AA"/>
    <w:rsid w:val="000C2025"/>
    <w:rsid w:val="000C22C4"/>
    <w:rsid w:val="000C29FA"/>
    <w:rsid w:val="000C3B31"/>
    <w:rsid w:val="000C3D44"/>
    <w:rsid w:val="000C489F"/>
    <w:rsid w:val="000C5934"/>
    <w:rsid w:val="000C6EF4"/>
    <w:rsid w:val="000C70D2"/>
    <w:rsid w:val="000D02BB"/>
    <w:rsid w:val="000D17D8"/>
    <w:rsid w:val="000D3662"/>
    <w:rsid w:val="000D54F8"/>
    <w:rsid w:val="000D66A3"/>
    <w:rsid w:val="000D6E29"/>
    <w:rsid w:val="000D6FBE"/>
    <w:rsid w:val="000E41E7"/>
    <w:rsid w:val="000E4FDD"/>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563"/>
    <w:rsid w:val="00112D23"/>
    <w:rsid w:val="00113255"/>
    <w:rsid w:val="00113435"/>
    <w:rsid w:val="001135CE"/>
    <w:rsid w:val="0011471E"/>
    <w:rsid w:val="00117CA9"/>
    <w:rsid w:val="00123B7D"/>
    <w:rsid w:val="00124678"/>
    <w:rsid w:val="001246EC"/>
    <w:rsid w:val="0012786A"/>
    <w:rsid w:val="0013034C"/>
    <w:rsid w:val="0013062F"/>
    <w:rsid w:val="00130F8C"/>
    <w:rsid w:val="00131658"/>
    <w:rsid w:val="00133D00"/>
    <w:rsid w:val="00133D94"/>
    <w:rsid w:val="0013411C"/>
    <w:rsid w:val="001345BD"/>
    <w:rsid w:val="00136B87"/>
    <w:rsid w:val="00136FBD"/>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100"/>
    <w:rsid w:val="001659CD"/>
    <w:rsid w:val="0016657E"/>
    <w:rsid w:val="00167A90"/>
    <w:rsid w:val="001701B9"/>
    <w:rsid w:val="001708C4"/>
    <w:rsid w:val="00171FDA"/>
    <w:rsid w:val="00172446"/>
    <w:rsid w:val="001730DF"/>
    <w:rsid w:val="001738F1"/>
    <w:rsid w:val="001759B2"/>
    <w:rsid w:val="00175A52"/>
    <w:rsid w:val="00176D2C"/>
    <w:rsid w:val="00177676"/>
    <w:rsid w:val="00177C99"/>
    <w:rsid w:val="00177E3C"/>
    <w:rsid w:val="00180AA0"/>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4DA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1355"/>
    <w:rsid w:val="001C32A3"/>
    <w:rsid w:val="001C3919"/>
    <w:rsid w:val="001C3A20"/>
    <w:rsid w:val="001C5180"/>
    <w:rsid w:val="001C6E87"/>
    <w:rsid w:val="001C71DD"/>
    <w:rsid w:val="001C7286"/>
    <w:rsid w:val="001D1377"/>
    <w:rsid w:val="001D23D9"/>
    <w:rsid w:val="001D2705"/>
    <w:rsid w:val="001D34DC"/>
    <w:rsid w:val="001D375F"/>
    <w:rsid w:val="001D384F"/>
    <w:rsid w:val="001D5555"/>
    <w:rsid w:val="001D6C53"/>
    <w:rsid w:val="001D73F4"/>
    <w:rsid w:val="001E16C1"/>
    <w:rsid w:val="001E2CEF"/>
    <w:rsid w:val="001E371B"/>
    <w:rsid w:val="001E56B6"/>
    <w:rsid w:val="001E5F24"/>
    <w:rsid w:val="001E653F"/>
    <w:rsid w:val="001F19AA"/>
    <w:rsid w:val="001F1C2F"/>
    <w:rsid w:val="001F2993"/>
    <w:rsid w:val="001F36D2"/>
    <w:rsid w:val="001F3B74"/>
    <w:rsid w:val="001F3D3C"/>
    <w:rsid w:val="001F48E2"/>
    <w:rsid w:val="001F4E78"/>
    <w:rsid w:val="001F504F"/>
    <w:rsid w:val="001F6F09"/>
    <w:rsid w:val="001F7409"/>
    <w:rsid w:val="001F7C0B"/>
    <w:rsid w:val="00200232"/>
    <w:rsid w:val="00200BEA"/>
    <w:rsid w:val="00200E77"/>
    <w:rsid w:val="00204763"/>
    <w:rsid w:val="00206250"/>
    <w:rsid w:val="002065EB"/>
    <w:rsid w:val="00207266"/>
    <w:rsid w:val="00207358"/>
    <w:rsid w:val="00210532"/>
    <w:rsid w:val="002109F6"/>
    <w:rsid w:val="00211523"/>
    <w:rsid w:val="00212106"/>
    <w:rsid w:val="00212F30"/>
    <w:rsid w:val="002133FD"/>
    <w:rsid w:val="00213B1C"/>
    <w:rsid w:val="0021459D"/>
    <w:rsid w:val="00214AD6"/>
    <w:rsid w:val="0021541F"/>
    <w:rsid w:val="00215E61"/>
    <w:rsid w:val="002166B5"/>
    <w:rsid w:val="00217FE0"/>
    <w:rsid w:val="00220C69"/>
    <w:rsid w:val="0022136D"/>
    <w:rsid w:val="002225AD"/>
    <w:rsid w:val="00223BB5"/>
    <w:rsid w:val="00223CB1"/>
    <w:rsid w:val="00224456"/>
    <w:rsid w:val="0022501D"/>
    <w:rsid w:val="00226F02"/>
    <w:rsid w:val="00227DB7"/>
    <w:rsid w:val="0023020F"/>
    <w:rsid w:val="002322AB"/>
    <w:rsid w:val="002338C7"/>
    <w:rsid w:val="00233F18"/>
    <w:rsid w:val="0023456B"/>
    <w:rsid w:val="002347CA"/>
    <w:rsid w:val="00235732"/>
    <w:rsid w:val="00235961"/>
    <w:rsid w:val="00236180"/>
    <w:rsid w:val="00236488"/>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41E5"/>
    <w:rsid w:val="002556C1"/>
    <w:rsid w:val="00255DC9"/>
    <w:rsid w:val="00256494"/>
    <w:rsid w:val="002611F5"/>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2DBD"/>
    <w:rsid w:val="002848E8"/>
    <w:rsid w:val="00285002"/>
    <w:rsid w:val="0028791B"/>
    <w:rsid w:val="002912E5"/>
    <w:rsid w:val="00293EF5"/>
    <w:rsid w:val="00296281"/>
    <w:rsid w:val="00296FB0"/>
    <w:rsid w:val="002977C3"/>
    <w:rsid w:val="002A09B2"/>
    <w:rsid w:val="002A18B6"/>
    <w:rsid w:val="002A20BE"/>
    <w:rsid w:val="002A26F3"/>
    <w:rsid w:val="002A31A6"/>
    <w:rsid w:val="002A398F"/>
    <w:rsid w:val="002A57B4"/>
    <w:rsid w:val="002A63D6"/>
    <w:rsid w:val="002A77CF"/>
    <w:rsid w:val="002B07CB"/>
    <w:rsid w:val="002B271D"/>
    <w:rsid w:val="002B274E"/>
    <w:rsid w:val="002B33CC"/>
    <w:rsid w:val="002B3C2F"/>
    <w:rsid w:val="002C0317"/>
    <w:rsid w:val="002C17BF"/>
    <w:rsid w:val="002C1A9F"/>
    <w:rsid w:val="002C1F7C"/>
    <w:rsid w:val="002C2505"/>
    <w:rsid w:val="002C320D"/>
    <w:rsid w:val="002C4837"/>
    <w:rsid w:val="002C4DE8"/>
    <w:rsid w:val="002C58BC"/>
    <w:rsid w:val="002C607F"/>
    <w:rsid w:val="002C6F2C"/>
    <w:rsid w:val="002C7F8D"/>
    <w:rsid w:val="002D0673"/>
    <w:rsid w:val="002D0A8D"/>
    <w:rsid w:val="002D24AE"/>
    <w:rsid w:val="002D3C6B"/>
    <w:rsid w:val="002D3F7C"/>
    <w:rsid w:val="002D5AC3"/>
    <w:rsid w:val="002D706B"/>
    <w:rsid w:val="002E0999"/>
    <w:rsid w:val="002E175D"/>
    <w:rsid w:val="002E4828"/>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462D"/>
    <w:rsid w:val="003179F8"/>
    <w:rsid w:val="00317C08"/>
    <w:rsid w:val="0032052D"/>
    <w:rsid w:val="00321AB3"/>
    <w:rsid w:val="003225E3"/>
    <w:rsid w:val="00323914"/>
    <w:rsid w:val="00324A2F"/>
    <w:rsid w:val="00325CE2"/>
    <w:rsid w:val="003305F0"/>
    <w:rsid w:val="00330F34"/>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2234"/>
    <w:rsid w:val="00363BAE"/>
    <w:rsid w:val="0036480C"/>
    <w:rsid w:val="003653EE"/>
    <w:rsid w:val="0036572F"/>
    <w:rsid w:val="00366EF8"/>
    <w:rsid w:val="00367C42"/>
    <w:rsid w:val="00370088"/>
    <w:rsid w:val="00372E2F"/>
    <w:rsid w:val="0037324D"/>
    <w:rsid w:val="00373525"/>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04DC"/>
    <w:rsid w:val="00391739"/>
    <w:rsid w:val="00391DEF"/>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62D0"/>
    <w:rsid w:val="003D6D5C"/>
    <w:rsid w:val="003D7647"/>
    <w:rsid w:val="003E10C1"/>
    <w:rsid w:val="003E183C"/>
    <w:rsid w:val="003E3225"/>
    <w:rsid w:val="003E5F22"/>
    <w:rsid w:val="003E7528"/>
    <w:rsid w:val="003E794B"/>
    <w:rsid w:val="003E7A69"/>
    <w:rsid w:val="003F0D93"/>
    <w:rsid w:val="003F216D"/>
    <w:rsid w:val="003F360C"/>
    <w:rsid w:val="003F60F1"/>
    <w:rsid w:val="00400138"/>
    <w:rsid w:val="00400873"/>
    <w:rsid w:val="004011D2"/>
    <w:rsid w:val="00401420"/>
    <w:rsid w:val="004055F1"/>
    <w:rsid w:val="00405B38"/>
    <w:rsid w:val="00407BD1"/>
    <w:rsid w:val="00407EEE"/>
    <w:rsid w:val="0041267C"/>
    <w:rsid w:val="00412855"/>
    <w:rsid w:val="0041299D"/>
    <w:rsid w:val="00414098"/>
    <w:rsid w:val="00414C51"/>
    <w:rsid w:val="004151B4"/>
    <w:rsid w:val="004159F0"/>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7C4"/>
    <w:rsid w:val="00441BA6"/>
    <w:rsid w:val="004447F8"/>
    <w:rsid w:val="004454EF"/>
    <w:rsid w:val="00445BE7"/>
    <w:rsid w:val="004463F2"/>
    <w:rsid w:val="00446B22"/>
    <w:rsid w:val="004472C3"/>
    <w:rsid w:val="00453075"/>
    <w:rsid w:val="00457347"/>
    <w:rsid w:val="00457459"/>
    <w:rsid w:val="00460414"/>
    <w:rsid w:val="00460838"/>
    <w:rsid w:val="004611AD"/>
    <w:rsid w:val="00461651"/>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290"/>
    <w:rsid w:val="00494435"/>
    <w:rsid w:val="00494AEA"/>
    <w:rsid w:val="00495459"/>
    <w:rsid w:val="0049606A"/>
    <w:rsid w:val="0049659C"/>
    <w:rsid w:val="004A0AAD"/>
    <w:rsid w:val="004A2717"/>
    <w:rsid w:val="004A2DF6"/>
    <w:rsid w:val="004A4E12"/>
    <w:rsid w:val="004A51B2"/>
    <w:rsid w:val="004A5E4E"/>
    <w:rsid w:val="004A6A4D"/>
    <w:rsid w:val="004B00FD"/>
    <w:rsid w:val="004B074F"/>
    <w:rsid w:val="004B19C9"/>
    <w:rsid w:val="004B1AF0"/>
    <w:rsid w:val="004B3224"/>
    <w:rsid w:val="004B3E69"/>
    <w:rsid w:val="004B4B2C"/>
    <w:rsid w:val="004B598A"/>
    <w:rsid w:val="004B5BF2"/>
    <w:rsid w:val="004B7757"/>
    <w:rsid w:val="004C04FC"/>
    <w:rsid w:val="004C0A14"/>
    <w:rsid w:val="004C180A"/>
    <w:rsid w:val="004C3098"/>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589C"/>
    <w:rsid w:val="004D7389"/>
    <w:rsid w:val="004D7421"/>
    <w:rsid w:val="004E486F"/>
    <w:rsid w:val="004E645E"/>
    <w:rsid w:val="004E6C63"/>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5A74"/>
    <w:rsid w:val="00516300"/>
    <w:rsid w:val="00516A5B"/>
    <w:rsid w:val="00516F8D"/>
    <w:rsid w:val="00517D26"/>
    <w:rsid w:val="00520B2D"/>
    <w:rsid w:val="00521ED4"/>
    <w:rsid w:val="00522632"/>
    <w:rsid w:val="00523030"/>
    <w:rsid w:val="00524463"/>
    <w:rsid w:val="005253A2"/>
    <w:rsid w:val="00525620"/>
    <w:rsid w:val="00525AB8"/>
    <w:rsid w:val="005311D5"/>
    <w:rsid w:val="005317A0"/>
    <w:rsid w:val="00531FB3"/>
    <w:rsid w:val="00532A82"/>
    <w:rsid w:val="00532CA9"/>
    <w:rsid w:val="00532F29"/>
    <w:rsid w:val="00533254"/>
    <w:rsid w:val="0053395D"/>
    <w:rsid w:val="0053413A"/>
    <w:rsid w:val="0053541D"/>
    <w:rsid w:val="00535BF7"/>
    <w:rsid w:val="005374CA"/>
    <w:rsid w:val="00537CC4"/>
    <w:rsid w:val="005407CB"/>
    <w:rsid w:val="005410CB"/>
    <w:rsid w:val="00541901"/>
    <w:rsid w:val="00541945"/>
    <w:rsid w:val="00544133"/>
    <w:rsid w:val="005444AC"/>
    <w:rsid w:val="0054467D"/>
    <w:rsid w:val="00546886"/>
    <w:rsid w:val="00550136"/>
    <w:rsid w:val="005505A9"/>
    <w:rsid w:val="00550949"/>
    <w:rsid w:val="00553F1D"/>
    <w:rsid w:val="0055501B"/>
    <w:rsid w:val="00555A6F"/>
    <w:rsid w:val="00555AB6"/>
    <w:rsid w:val="005569C2"/>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20EA"/>
    <w:rsid w:val="00585F0B"/>
    <w:rsid w:val="00586787"/>
    <w:rsid w:val="00587416"/>
    <w:rsid w:val="00587B7E"/>
    <w:rsid w:val="005903D7"/>
    <w:rsid w:val="00590759"/>
    <w:rsid w:val="00591493"/>
    <w:rsid w:val="00592A04"/>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83A"/>
    <w:rsid w:val="005E1FD8"/>
    <w:rsid w:val="005E2CBA"/>
    <w:rsid w:val="005E30A9"/>
    <w:rsid w:val="005E42DC"/>
    <w:rsid w:val="005E447F"/>
    <w:rsid w:val="005E4B3B"/>
    <w:rsid w:val="005E6176"/>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5A89"/>
    <w:rsid w:val="0062665F"/>
    <w:rsid w:val="00627087"/>
    <w:rsid w:val="006272D3"/>
    <w:rsid w:val="006277CE"/>
    <w:rsid w:val="00627A32"/>
    <w:rsid w:val="00627C51"/>
    <w:rsid w:val="00630099"/>
    <w:rsid w:val="00630BBC"/>
    <w:rsid w:val="00631D27"/>
    <w:rsid w:val="00632E9C"/>
    <w:rsid w:val="006334C8"/>
    <w:rsid w:val="006336BB"/>
    <w:rsid w:val="00633F49"/>
    <w:rsid w:val="00634607"/>
    <w:rsid w:val="00634CE0"/>
    <w:rsid w:val="00635711"/>
    <w:rsid w:val="00635FEF"/>
    <w:rsid w:val="00636808"/>
    <w:rsid w:val="00636CFC"/>
    <w:rsid w:val="006416E7"/>
    <w:rsid w:val="006432A5"/>
    <w:rsid w:val="00644070"/>
    <w:rsid w:val="00646026"/>
    <w:rsid w:val="00646477"/>
    <w:rsid w:val="006469B1"/>
    <w:rsid w:val="00650384"/>
    <w:rsid w:val="0065064D"/>
    <w:rsid w:val="0065202A"/>
    <w:rsid w:val="00652DE7"/>
    <w:rsid w:val="0065606C"/>
    <w:rsid w:val="00656628"/>
    <w:rsid w:val="006603BE"/>
    <w:rsid w:val="006609AE"/>
    <w:rsid w:val="006617C2"/>
    <w:rsid w:val="006620D5"/>
    <w:rsid w:val="00662A9F"/>
    <w:rsid w:val="00663485"/>
    <w:rsid w:val="00664E16"/>
    <w:rsid w:val="00665858"/>
    <w:rsid w:val="00665C66"/>
    <w:rsid w:val="006663B5"/>
    <w:rsid w:val="0067054A"/>
    <w:rsid w:val="00671145"/>
    <w:rsid w:val="00671D6F"/>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951"/>
    <w:rsid w:val="00685F82"/>
    <w:rsid w:val="00686307"/>
    <w:rsid w:val="00687D68"/>
    <w:rsid w:val="006906EF"/>
    <w:rsid w:val="00690B82"/>
    <w:rsid w:val="00693A4D"/>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B78AE"/>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3978"/>
    <w:rsid w:val="006E43A2"/>
    <w:rsid w:val="006E7D5D"/>
    <w:rsid w:val="006F0B9C"/>
    <w:rsid w:val="006F0D0A"/>
    <w:rsid w:val="006F3272"/>
    <w:rsid w:val="006F34DE"/>
    <w:rsid w:val="006F7226"/>
    <w:rsid w:val="006F7A6A"/>
    <w:rsid w:val="006F7AB0"/>
    <w:rsid w:val="00700BFB"/>
    <w:rsid w:val="00701C14"/>
    <w:rsid w:val="007021A9"/>
    <w:rsid w:val="00703448"/>
    <w:rsid w:val="00703FB4"/>
    <w:rsid w:val="00703FD6"/>
    <w:rsid w:val="0070439D"/>
    <w:rsid w:val="00704623"/>
    <w:rsid w:val="007051C7"/>
    <w:rsid w:val="00705C44"/>
    <w:rsid w:val="00705C8E"/>
    <w:rsid w:val="00706B3A"/>
    <w:rsid w:val="00707598"/>
    <w:rsid w:val="007100DB"/>
    <w:rsid w:val="00710285"/>
    <w:rsid w:val="007107C6"/>
    <w:rsid w:val="007116E6"/>
    <w:rsid w:val="00711CFB"/>
    <w:rsid w:val="00712EF0"/>
    <w:rsid w:val="007132E7"/>
    <w:rsid w:val="00714276"/>
    <w:rsid w:val="007150CD"/>
    <w:rsid w:val="0071650C"/>
    <w:rsid w:val="00716D73"/>
    <w:rsid w:val="0072002F"/>
    <w:rsid w:val="00721317"/>
    <w:rsid w:val="00721AFA"/>
    <w:rsid w:val="007229FD"/>
    <w:rsid w:val="007238D5"/>
    <w:rsid w:val="0072594A"/>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0EAC"/>
    <w:rsid w:val="0074209F"/>
    <w:rsid w:val="0074255B"/>
    <w:rsid w:val="007431B7"/>
    <w:rsid w:val="00747804"/>
    <w:rsid w:val="007506F2"/>
    <w:rsid w:val="007522AE"/>
    <w:rsid w:val="00753121"/>
    <w:rsid w:val="007537A3"/>
    <w:rsid w:val="00753B98"/>
    <w:rsid w:val="007554FA"/>
    <w:rsid w:val="00755A5D"/>
    <w:rsid w:val="007571D2"/>
    <w:rsid w:val="007610DC"/>
    <w:rsid w:val="00762DA6"/>
    <w:rsid w:val="007632BA"/>
    <w:rsid w:val="00763FE4"/>
    <w:rsid w:val="00764923"/>
    <w:rsid w:val="00765DD7"/>
    <w:rsid w:val="0077014F"/>
    <w:rsid w:val="00770312"/>
    <w:rsid w:val="007707C0"/>
    <w:rsid w:val="00770E3A"/>
    <w:rsid w:val="00774A4B"/>
    <w:rsid w:val="00775F83"/>
    <w:rsid w:val="007766B9"/>
    <w:rsid w:val="007801B9"/>
    <w:rsid w:val="0078061D"/>
    <w:rsid w:val="007819BB"/>
    <w:rsid w:val="00782301"/>
    <w:rsid w:val="00783925"/>
    <w:rsid w:val="007842B2"/>
    <w:rsid w:val="007853CA"/>
    <w:rsid w:val="00786CF4"/>
    <w:rsid w:val="00786E0B"/>
    <w:rsid w:val="00787069"/>
    <w:rsid w:val="00787E47"/>
    <w:rsid w:val="00787F31"/>
    <w:rsid w:val="00790301"/>
    <w:rsid w:val="0079066D"/>
    <w:rsid w:val="00791C53"/>
    <w:rsid w:val="007924EF"/>
    <w:rsid w:val="00793ADF"/>
    <w:rsid w:val="00793EA0"/>
    <w:rsid w:val="00793ECA"/>
    <w:rsid w:val="00794E01"/>
    <w:rsid w:val="00796145"/>
    <w:rsid w:val="007977A5"/>
    <w:rsid w:val="00797849"/>
    <w:rsid w:val="007A0015"/>
    <w:rsid w:val="007A0B2F"/>
    <w:rsid w:val="007A1055"/>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D7558"/>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617"/>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2EE"/>
    <w:rsid w:val="00821445"/>
    <w:rsid w:val="00821D94"/>
    <w:rsid w:val="008225D0"/>
    <w:rsid w:val="00826F7D"/>
    <w:rsid w:val="0083009A"/>
    <w:rsid w:val="00830949"/>
    <w:rsid w:val="00831D23"/>
    <w:rsid w:val="008324F1"/>
    <w:rsid w:val="00832831"/>
    <w:rsid w:val="008333E3"/>
    <w:rsid w:val="00833841"/>
    <w:rsid w:val="00834E70"/>
    <w:rsid w:val="00835214"/>
    <w:rsid w:val="0083532E"/>
    <w:rsid w:val="00836263"/>
    <w:rsid w:val="008366A6"/>
    <w:rsid w:val="0083689C"/>
    <w:rsid w:val="008403F7"/>
    <w:rsid w:val="0084364C"/>
    <w:rsid w:val="008436EC"/>
    <w:rsid w:val="00843D33"/>
    <w:rsid w:val="00845EAA"/>
    <w:rsid w:val="008465FE"/>
    <w:rsid w:val="00846CEF"/>
    <w:rsid w:val="00850E67"/>
    <w:rsid w:val="008512C3"/>
    <w:rsid w:val="008526B3"/>
    <w:rsid w:val="00852D1F"/>
    <w:rsid w:val="00855112"/>
    <w:rsid w:val="00860306"/>
    <w:rsid w:val="00860871"/>
    <w:rsid w:val="008612F0"/>
    <w:rsid w:val="00862F88"/>
    <w:rsid w:val="00863251"/>
    <w:rsid w:val="008638A2"/>
    <w:rsid w:val="008649FB"/>
    <w:rsid w:val="008652CB"/>
    <w:rsid w:val="00866B6D"/>
    <w:rsid w:val="00866D18"/>
    <w:rsid w:val="00870253"/>
    <w:rsid w:val="008703F6"/>
    <w:rsid w:val="00871AB9"/>
    <w:rsid w:val="008724D5"/>
    <w:rsid w:val="00874CD3"/>
    <w:rsid w:val="008759DE"/>
    <w:rsid w:val="00877089"/>
    <w:rsid w:val="00877838"/>
    <w:rsid w:val="008845F6"/>
    <w:rsid w:val="0088504D"/>
    <w:rsid w:val="0088577C"/>
    <w:rsid w:val="008862AB"/>
    <w:rsid w:val="00892B6D"/>
    <w:rsid w:val="0089322E"/>
    <w:rsid w:val="00893D17"/>
    <w:rsid w:val="00893DF8"/>
    <w:rsid w:val="008947A2"/>
    <w:rsid w:val="00894AC6"/>
    <w:rsid w:val="008968CC"/>
    <w:rsid w:val="00896CDF"/>
    <w:rsid w:val="008974DB"/>
    <w:rsid w:val="008A3020"/>
    <w:rsid w:val="008A315D"/>
    <w:rsid w:val="008A4346"/>
    <w:rsid w:val="008A4A45"/>
    <w:rsid w:val="008A5CCB"/>
    <w:rsid w:val="008A63DF"/>
    <w:rsid w:val="008A64FB"/>
    <w:rsid w:val="008A6678"/>
    <w:rsid w:val="008A687B"/>
    <w:rsid w:val="008A6A18"/>
    <w:rsid w:val="008A78FF"/>
    <w:rsid w:val="008B016E"/>
    <w:rsid w:val="008B081C"/>
    <w:rsid w:val="008B08A9"/>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4579"/>
    <w:rsid w:val="008D5892"/>
    <w:rsid w:val="008D68B3"/>
    <w:rsid w:val="008D6BF3"/>
    <w:rsid w:val="008D7264"/>
    <w:rsid w:val="008E0285"/>
    <w:rsid w:val="008E08D2"/>
    <w:rsid w:val="008E0C60"/>
    <w:rsid w:val="008E18CA"/>
    <w:rsid w:val="008E22E5"/>
    <w:rsid w:val="008E27AA"/>
    <w:rsid w:val="008E40DA"/>
    <w:rsid w:val="008E4215"/>
    <w:rsid w:val="008E5067"/>
    <w:rsid w:val="008E5F54"/>
    <w:rsid w:val="008E65A4"/>
    <w:rsid w:val="008F177B"/>
    <w:rsid w:val="008F1C28"/>
    <w:rsid w:val="008F3D88"/>
    <w:rsid w:val="008F49E2"/>
    <w:rsid w:val="008F6F63"/>
    <w:rsid w:val="0090066A"/>
    <w:rsid w:val="00900FD8"/>
    <w:rsid w:val="0090118F"/>
    <w:rsid w:val="00901489"/>
    <w:rsid w:val="00903353"/>
    <w:rsid w:val="00903A91"/>
    <w:rsid w:val="009046D8"/>
    <w:rsid w:val="00904E8A"/>
    <w:rsid w:val="0090784E"/>
    <w:rsid w:val="00907876"/>
    <w:rsid w:val="00910E5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2A8B"/>
    <w:rsid w:val="00933946"/>
    <w:rsid w:val="00934F53"/>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261D"/>
    <w:rsid w:val="00963201"/>
    <w:rsid w:val="00963DEF"/>
    <w:rsid w:val="00964591"/>
    <w:rsid w:val="0096591F"/>
    <w:rsid w:val="0096693D"/>
    <w:rsid w:val="00970F8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1DEB"/>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91C"/>
    <w:rsid w:val="009B0BC3"/>
    <w:rsid w:val="009B1AA2"/>
    <w:rsid w:val="009B2E27"/>
    <w:rsid w:val="009C01D5"/>
    <w:rsid w:val="009C02FA"/>
    <w:rsid w:val="009C0F6A"/>
    <w:rsid w:val="009C1119"/>
    <w:rsid w:val="009C1A8B"/>
    <w:rsid w:val="009C1EAD"/>
    <w:rsid w:val="009C3607"/>
    <w:rsid w:val="009C3D7A"/>
    <w:rsid w:val="009C4F5A"/>
    <w:rsid w:val="009C60B7"/>
    <w:rsid w:val="009C61D6"/>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25858"/>
    <w:rsid w:val="00A305E5"/>
    <w:rsid w:val="00A320B6"/>
    <w:rsid w:val="00A32ABB"/>
    <w:rsid w:val="00A33D1D"/>
    <w:rsid w:val="00A345BF"/>
    <w:rsid w:val="00A358C0"/>
    <w:rsid w:val="00A379FF"/>
    <w:rsid w:val="00A40251"/>
    <w:rsid w:val="00A40A0B"/>
    <w:rsid w:val="00A4235A"/>
    <w:rsid w:val="00A42EC4"/>
    <w:rsid w:val="00A43A60"/>
    <w:rsid w:val="00A448CA"/>
    <w:rsid w:val="00A44DA7"/>
    <w:rsid w:val="00A465A0"/>
    <w:rsid w:val="00A50397"/>
    <w:rsid w:val="00A503F2"/>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2B3C"/>
    <w:rsid w:val="00A8333D"/>
    <w:rsid w:val="00A8386D"/>
    <w:rsid w:val="00A84AAE"/>
    <w:rsid w:val="00A8537F"/>
    <w:rsid w:val="00A8696E"/>
    <w:rsid w:val="00A90116"/>
    <w:rsid w:val="00A91266"/>
    <w:rsid w:val="00A9230E"/>
    <w:rsid w:val="00A93DD0"/>
    <w:rsid w:val="00A95655"/>
    <w:rsid w:val="00A95D80"/>
    <w:rsid w:val="00A96736"/>
    <w:rsid w:val="00A96C60"/>
    <w:rsid w:val="00A97216"/>
    <w:rsid w:val="00AA01A2"/>
    <w:rsid w:val="00AA2E42"/>
    <w:rsid w:val="00AA4DD6"/>
    <w:rsid w:val="00AA5311"/>
    <w:rsid w:val="00AA64DA"/>
    <w:rsid w:val="00AA7BA6"/>
    <w:rsid w:val="00AA7FF7"/>
    <w:rsid w:val="00AB3874"/>
    <w:rsid w:val="00AB3E9A"/>
    <w:rsid w:val="00AB4640"/>
    <w:rsid w:val="00AB4EBB"/>
    <w:rsid w:val="00AB6417"/>
    <w:rsid w:val="00AB7849"/>
    <w:rsid w:val="00AB7B1E"/>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DA7"/>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09F7"/>
    <w:rsid w:val="00B11143"/>
    <w:rsid w:val="00B11D22"/>
    <w:rsid w:val="00B11EDD"/>
    <w:rsid w:val="00B11EF8"/>
    <w:rsid w:val="00B1205C"/>
    <w:rsid w:val="00B17968"/>
    <w:rsid w:val="00B203C6"/>
    <w:rsid w:val="00B20AFF"/>
    <w:rsid w:val="00B232C2"/>
    <w:rsid w:val="00B2443F"/>
    <w:rsid w:val="00B3059B"/>
    <w:rsid w:val="00B32C50"/>
    <w:rsid w:val="00B3314B"/>
    <w:rsid w:val="00B36610"/>
    <w:rsid w:val="00B36A21"/>
    <w:rsid w:val="00B37CD6"/>
    <w:rsid w:val="00B37CF6"/>
    <w:rsid w:val="00B412A6"/>
    <w:rsid w:val="00B4510D"/>
    <w:rsid w:val="00B47E12"/>
    <w:rsid w:val="00B51D10"/>
    <w:rsid w:val="00B51D89"/>
    <w:rsid w:val="00B51F3B"/>
    <w:rsid w:val="00B52EB5"/>
    <w:rsid w:val="00B53E0C"/>
    <w:rsid w:val="00B540D6"/>
    <w:rsid w:val="00B54457"/>
    <w:rsid w:val="00B54B12"/>
    <w:rsid w:val="00B55B59"/>
    <w:rsid w:val="00B55D5C"/>
    <w:rsid w:val="00B55DFC"/>
    <w:rsid w:val="00B63AC7"/>
    <w:rsid w:val="00B6456C"/>
    <w:rsid w:val="00B6699F"/>
    <w:rsid w:val="00B6701C"/>
    <w:rsid w:val="00B6744E"/>
    <w:rsid w:val="00B67BC4"/>
    <w:rsid w:val="00B71668"/>
    <w:rsid w:val="00B71A2D"/>
    <w:rsid w:val="00B73931"/>
    <w:rsid w:val="00B764D5"/>
    <w:rsid w:val="00B76C86"/>
    <w:rsid w:val="00B77704"/>
    <w:rsid w:val="00B80ED8"/>
    <w:rsid w:val="00B82CCF"/>
    <w:rsid w:val="00B830A7"/>
    <w:rsid w:val="00B836A4"/>
    <w:rsid w:val="00B8428C"/>
    <w:rsid w:val="00B85EB6"/>
    <w:rsid w:val="00B863BC"/>
    <w:rsid w:val="00B8656B"/>
    <w:rsid w:val="00B879F1"/>
    <w:rsid w:val="00B900BE"/>
    <w:rsid w:val="00B916A6"/>
    <w:rsid w:val="00B91B0D"/>
    <w:rsid w:val="00B9281A"/>
    <w:rsid w:val="00B9283A"/>
    <w:rsid w:val="00B92C50"/>
    <w:rsid w:val="00B94251"/>
    <w:rsid w:val="00B942FF"/>
    <w:rsid w:val="00B9479E"/>
    <w:rsid w:val="00B956F6"/>
    <w:rsid w:val="00B95DA9"/>
    <w:rsid w:val="00B972CC"/>
    <w:rsid w:val="00BA054D"/>
    <w:rsid w:val="00BA0911"/>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4D9B"/>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1924"/>
    <w:rsid w:val="00BF2823"/>
    <w:rsid w:val="00BF2ABC"/>
    <w:rsid w:val="00BF55D9"/>
    <w:rsid w:val="00BF6253"/>
    <w:rsid w:val="00BF6277"/>
    <w:rsid w:val="00BF72E6"/>
    <w:rsid w:val="00BF77DD"/>
    <w:rsid w:val="00C022FB"/>
    <w:rsid w:val="00C02363"/>
    <w:rsid w:val="00C04EE3"/>
    <w:rsid w:val="00C05160"/>
    <w:rsid w:val="00C06549"/>
    <w:rsid w:val="00C06CB7"/>
    <w:rsid w:val="00C07D5C"/>
    <w:rsid w:val="00C10314"/>
    <w:rsid w:val="00C1241A"/>
    <w:rsid w:val="00C12D5A"/>
    <w:rsid w:val="00C138E9"/>
    <w:rsid w:val="00C14BF7"/>
    <w:rsid w:val="00C15465"/>
    <w:rsid w:val="00C16A75"/>
    <w:rsid w:val="00C17333"/>
    <w:rsid w:val="00C175DA"/>
    <w:rsid w:val="00C17624"/>
    <w:rsid w:val="00C17849"/>
    <w:rsid w:val="00C22026"/>
    <w:rsid w:val="00C24064"/>
    <w:rsid w:val="00C24A21"/>
    <w:rsid w:val="00C24D92"/>
    <w:rsid w:val="00C24E3C"/>
    <w:rsid w:val="00C2521A"/>
    <w:rsid w:val="00C27C5E"/>
    <w:rsid w:val="00C27EE7"/>
    <w:rsid w:val="00C30495"/>
    <w:rsid w:val="00C312EE"/>
    <w:rsid w:val="00C31D55"/>
    <w:rsid w:val="00C31FBD"/>
    <w:rsid w:val="00C32040"/>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1DE"/>
    <w:rsid w:val="00C625CB"/>
    <w:rsid w:val="00C654BF"/>
    <w:rsid w:val="00C66332"/>
    <w:rsid w:val="00C67FD0"/>
    <w:rsid w:val="00C703FE"/>
    <w:rsid w:val="00C70483"/>
    <w:rsid w:val="00C7065B"/>
    <w:rsid w:val="00C70DBB"/>
    <w:rsid w:val="00C745A7"/>
    <w:rsid w:val="00C74BF9"/>
    <w:rsid w:val="00C77881"/>
    <w:rsid w:val="00C77E1E"/>
    <w:rsid w:val="00C80BD4"/>
    <w:rsid w:val="00C833BA"/>
    <w:rsid w:val="00C83A12"/>
    <w:rsid w:val="00C84C1D"/>
    <w:rsid w:val="00C84DE1"/>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FDD"/>
    <w:rsid w:val="00CA1125"/>
    <w:rsid w:val="00CA12EE"/>
    <w:rsid w:val="00CA1727"/>
    <w:rsid w:val="00CA18CC"/>
    <w:rsid w:val="00CA1F2E"/>
    <w:rsid w:val="00CA2A0E"/>
    <w:rsid w:val="00CA2F3E"/>
    <w:rsid w:val="00CA3199"/>
    <w:rsid w:val="00CA38E6"/>
    <w:rsid w:val="00CA4A09"/>
    <w:rsid w:val="00CA5910"/>
    <w:rsid w:val="00CA5EAD"/>
    <w:rsid w:val="00CA6026"/>
    <w:rsid w:val="00CA63EE"/>
    <w:rsid w:val="00CB1BA9"/>
    <w:rsid w:val="00CB286E"/>
    <w:rsid w:val="00CB4F3D"/>
    <w:rsid w:val="00CB5A1D"/>
    <w:rsid w:val="00CB6718"/>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6F74"/>
    <w:rsid w:val="00CE1DC1"/>
    <w:rsid w:val="00CE2706"/>
    <w:rsid w:val="00CE4BF6"/>
    <w:rsid w:val="00CE6037"/>
    <w:rsid w:val="00CE7AFD"/>
    <w:rsid w:val="00CE7CF5"/>
    <w:rsid w:val="00CF0C6F"/>
    <w:rsid w:val="00CF1EC5"/>
    <w:rsid w:val="00CF20CE"/>
    <w:rsid w:val="00CF3811"/>
    <w:rsid w:val="00CF4298"/>
    <w:rsid w:val="00CF6BB7"/>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A41"/>
    <w:rsid w:val="00D16CE6"/>
    <w:rsid w:val="00D173B5"/>
    <w:rsid w:val="00D17DDB"/>
    <w:rsid w:val="00D21C45"/>
    <w:rsid w:val="00D222D5"/>
    <w:rsid w:val="00D22460"/>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3EC5"/>
    <w:rsid w:val="00D44113"/>
    <w:rsid w:val="00D44E72"/>
    <w:rsid w:val="00D45456"/>
    <w:rsid w:val="00D45677"/>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055"/>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933"/>
    <w:rsid w:val="00D87A3B"/>
    <w:rsid w:val="00D91AD5"/>
    <w:rsid w:val="00D92BB1"/>
    <w:rsid w:val="00D92C05"/>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4CB"/>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1744"/>
    <w:rsid w:val="00DD245F"/>
    <w:rsid w:val="00DD2CAA"/>
    <w:rsid w:val="00DD46B7"/>
    <w:rsid w:val="00DD4C53"/>
    <w:rsid w:val="00DD6D50"/>
    <w:rsid w:val="00DE031C"/>
    <w:rsid w:val="00DE089E"/>
    <w:rsid w:val="00DE29DE"/>
    <w:rsid w:val="00DE33CC"/>
    <w:rsid w:val="00DE362D"/>
    <w:rsid w:val="00DE48E7"/>
    <w:rsid w:val="00DE5CDF"/>
    <w:rsid w:val="00DE7E55"/>
    <w:rsid w:val="00DE7F0E"/>
    <w:rsid w:val="00DF0382"/>
    <w:rsid w:val="00DF058D"/>
    <w:rsid w:val="00DF1E16"/>
    <w:rsid w:val="00DF225D"/>
    <w:rsid w:val="00DF2D6F"/>
    <w:rsid w:val="00DF3BA6"/>
    <w:rsid w:val="00DF44A0"/>
    <w:rsid w:val="00DF4831"/>
    <w:rsid w:val="00DF492D"/>
    <w:rsid w:val="00DF5778"/>
    <w:rsid w:val="00DF641A"/>
    <w:rsid w:val="00E0027D"/>
    <w:rsid w:val="00E00DC3"/>
    <w:rsid w:val="00E01973"/>
    <w:rsid w:val="00E02EC5"/>
    <w:rsid w:val="00E03B30"/>
    <w:rsid w:val="00E04413"/>
    <w:rsid w:val="00E05BD4"/>
    <w:rsid w:val="00E067E5"/>
    <w:rsid w:val="00E0771B"/>
    <w:rsid w:val="00E07C23"/>
    <w:rsid w:val="00E07D76"/>
    <w:rsid w:val="00E10D0A"/>
    <w:rsid w:val="00E1125B"/>
    <w:rsid w:val="00E1166D"/>
    <w:rsid w:val="00E12F85"/>
    <w:rsid w:val="00E13E29"/>
    <w:rsid w:val="00E14AD1"/>
    <w:rsid w:val="00E14C5E"/>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163"/>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16D"/>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3CB"/>
    <w:rsid w:val="00EE6E7D"/>
    <w:rsid w:val="00EE7A62"/>
    <w:rsid w:val="00EF0556"/>
    <w:rsid w:val="00EF05CD"/>
    <w:rsid w:val="00EF1DBC"/>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9AF"/>
    <w:rsid w:val="00F22E26"/>
    <w:rsid w:val="00F232B9"/>
    <w:rsid w:val="00F240C7"/>
    <w:rsid w:val="00F249BF"/>
    <w:rsid w:val="00F25613"/>
    <w:rsid w:val="00F25AE6"/>
    <w:rsid w:val="00F26E19"/>
    <w:rsid w:val="00F30966"/>
    <w:rsid w:val="00F30BAE"/>
    <w:rsid w:val="00F31777"/>
    <w:rsid w:val="00F31C86"/>
    <w:rsid w:val="00F3224A"/>
    <w:rsid w:val="00F3377A"/>
    <w:rsid w:val="00F348CA"/>
    <w:rsid w:val="00F3567F"/>
    <w:rsid w:val="00F3594E"/>
    <w:rsid w:val="00F36602"/>
    <w:rsid w:val="00F36E7F"/>
    <w:rsid w:val="00F403BA"/>
    <w:rsid w:val="00F410A7"/>
    <w:rsid w:val="00F4185A"/>
    <w:rsid w:val="00F42AE8"/>
    <w:rsid w:val="00F42E25"/>
    <w:rsid w:val="00F45016"/>
    <w:rsid w:val="00F46DA8"/>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609"/>
    <w:rsid w:val="00F82E42"/>
    <w:rsid w:val="00F84B59"/>
    <w:rsid w:val="00F84F8C"/>
    <w:rsid w:val="00F85DBB"/>
    <w:rsid w:val="00F909A0"/>
    <w:rsid w:val="00F90D01"/>
    <w:rsid w:val="00F90DAF"/>
    <w:rsid w:val="00F91A09"/>
    <w:rsid w:val="00F932D5"/>
    <w:rsid w:val="00F94372"/>
    <w:rsid w:val="00F9473C"/>
    <w:rsid w:val="00F9509E"/>
    <w:rsid w:val="00F972C1"/>
    <w:rsid w:val="00FA0074"/>
    <w:rsid w:val="00FA1553"/>
    <w:rsid w:val="00FA54BE"/>
    <w:rsid w:val="00FA55E5"/>
    <w:rsid w:val="00FA6389"/>
    <w:rsid w:val="00FA7232"/>
    <w:rsid w:val="00FB0122"/>
    <w:rsid w:val="00FB29A7"/>
    <w:rsid w:val="00FB2E48"/>
    <w:rsid w:val="00FB48DC"/>
    <w:rsid w:val="00FB61C8"/>
    <w:rsid w:val="00FB635A"/>
    <w:rsid w:val="00FB64F3"/>
    <w:rsid w:val="00FB7CF8"/>
    <w:rsid w:val="00FC0286"/>
    <w:rsid w:val="00FC08EC"/>
    <w:rsid w:val="00FC0E93"/>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136E"/>
    <w:rsid w:val="00FF18B9"/>
    <w:rsid w:val="00FF6C26"/>
    <w:rsid w:val="00FF6E9B"/>
    <w:rsid w:val="00FF7AC6"/>
    <w:rsid w:val="01081817"/>
    <w:rsid w:val="010A29DC"/>
    <w:rsid w:val="01541EA9"/>
    <w:rsid w:val="0159126E"/>
    <w:rsid w:val="01695955"/>
    <w:rsid w:val="01CF0608"/>
    <w:rsid w:val="02256F45"/>
    <w:rsid w:val="025F28B4"/>
    <w:rsid w:val="026511EF"/>
    <w:rsid w:val="02661E94"/>
    <w:rsid w:val="02B250DA"/>
    <w:rsid w:val="02BB57FD"/>
    <w:rsid w:val="02CB3D86"/>
    <w:rsid w:val="02DB6913"/>
    <w:rsid w:val="02E621E4"/>
    <w:rsid w:val="02F254D6"/>
    <w:rsid w:val="031F3AB5"/>
    <w:rsid w:val="0321022C"/>
    <w:rsid w:val="033E54EC"/>
    <w:rsid w:val="033F683B"/>
    <w:rsid w:val="03451D57"/>
    <w:rsid w:val="03533DF4"/>
    <w:rsid w:val="03887BE8"/>
    <w:rsid w:val="03C06C75"/>
    <w:rsid w:val="03D07135"/>
    <w:rsid w:val="041730A6"/>
    <w:rsid w:val="043013E0"/>
    <w:rsid w:val="04301793"/>
    <w:rsid w:val="043549B3"/>
    <w:rsid w:val="044E498E"/>
    <w:rsid w:val="049F5126"/>
    <w:rsid w:val="04BA415C"/>
    <w:rsid w:val="04DF7CDC"/>
    <w:rsid w:val="04E1636C"/>
    <w:rsid w:val="05627D1F"/>
    <w:rsid w:val="05765502"/>
    <w:rsid w:val="05FD2B10"/>
    <w:rsid w:val="061C0CA8"/>
    <w:rsid w:val="061C15D5"/>
    <w:rsid w:val="061C2065"/>
    <w:rsid w:val="062C280A"/>
    <w:rsid w:val="066761DB"/>
    <w:rsid w:val="06E67100"/>
    <w:rsid w:val="070150DA"/>
    <w:rsid w:val="07245F14"/>
    <w:rsid w:val="07285B25"/>
    <w:rsid w:val="07C0798B"/>
    <w:rsid w:val="07D255C5"/>
    <w:rsid w:val="08144D37"/>
    <w:rsid w:val="082740D4"/>
    <w:rsid w:val="08417FA7"/>
    <w:rsid w:val="0942292F"/>
    <w:rsid w:val="09597730"/>
    <w:rsid w:val="09C60E60"/>
    <w:rsid w:val="09E85885"/>
    <w:rsid w:val="0A062D22"/>
    <w:rsid w:val="0A540824"/>
    <w:rsid w:val="0AAE62EE"/>
    <w:rsid w:val="0AE147AE"/>
    <w:rsid w:val="0AFD2C6A"/>
    <w:rsid w:val="0B306A87"/>
    <w:rsid w:val="0B835373"/>
    <w:rsid w:val="0BA911A5"/>
    <w:rsid w:val="0BB43DF2"/>
    <w:rsid w:val="0C1E4F12"/>
    <w:rsid w:val="0C2627C8"/>
    <w:rsid w:val="0C2E7165"/>
    <w:rsid w:val="0C645F7D"/>
    <w:rsid w:val="0C7703C6"/>
    <w:rsid w:val="0C9D4A04"/>
    <w:rsid w:val="0CD47D6E"/>
    <w:rsid w:val="0D2701B4"/>
    <w:rsid w:val="0D483500"/>
    <w:rsid w:val="0D611BD6"/>
    <w:rsid w:val="0DC1590E"/>
    <w:rsid w:val="0DDC3A66"/>
    <w:rsid w:val="0DE84DA5"/>
    <w:rsid w:val="0DF542B2"/>
    <w:rsid w:val="0DFE385A"/>
    <w:rsid w:val="0E67321C"/>
    <w:rsid w:val="0ECF0DC1"/>
    <w:rsid w:val="0ECF491D"/>
    <w:rsid w:val="0EEC680B"/>
    <w:rsid w:val="0F1004E3"/>
    <w:rsid w:val="0F202505"/>
    <w:rsid w:val="0F4933A8"/>
    <w:rsid w:val="0F6E05DA"/>
    <w:rsid w:val="101F3294"/>
    <w:rsid w:val="104D0505"/>
    <w:rsid w:val="10554E67"/>
    <w:rsid w:val="10756CB1"/>
    <w:rsid w:val="10D12322"/>
    <w:rsid w:val="10F47D90"/>
    <w:rsid w:val="113A1B09"/>
    <w:rsid w:val="1165325A"/>
    <w:rsid w:val="118D2B17"/>
    <w:rsid w:val="11F36B75"/>
    <w:rsid w:val="11F62ADD"/>
    <w:rsid w:val="11FC011F"/>
    <w:rsid w:val="120D780E"/>
    <w:rsid w:val="121438CE"/>
    <w:rsid w:val="12B72298"/>
    <w:rsid w:val="12F307DF"/>
    <w:rsid w:val="130C5129"/>
    <w:rsid w:val="130E284E"/>
    <w:rsid w:val="13655850"/>
    <w:rsid w:val="136F5E09"/>
    <w:rsid w:val="14135CE9"/>
    <w:rsid w:val="14214649"/>
    <w:rsid w:val="143F7994"/>
    <w:rsid w:val="14556E24"/>
    <w:rsid w:val="145C09B6"/>
    <w:rsid w:val="146B6E96"/>
    <w:rsid w:val="14F44F8D"/>
    <w:rsid w:val="151B2760"/>
    <w:rsid w:val="15316332"/>
    <w:rsid w:val="15445FB3"/>
    <w:rsid w:val="15490736"/>
    <w:rsid w:val="155344FA"/>
    <w:rsid w:val="15676A5E"/>
    <w:rsid w:val="15AC68D1"/>
    <w:rsid w:val="15E564DA"/>
    <w:rsid w:val="15E56DBB"/>
    <w:rsid w:val="160D2BC9"/>
    <w:rsid w:val="16117F11"/>
    <w:rsid w:val="16897439"/>
    <w:rsid w:val="16D451C7"/>
    <w:rsid w:val="170C490F"/>
    <w:rsid w:val="17597A02"/>
    <w:rsid w:val="176D1177"/>
    <w:rsid w:val="178315D6"/>
    <w:rsid w:val="17887D5F"/>
    <w:rsid w:val="17C36FAC"/>
    <w:rsid w:val="17E71FEE"/>
    <w:rsid w:val="180513B0"/>
    <w:rsid w:val="180A25DD"/>
    <w:rsid w:val="18210122"/>
    <w:rsid w:val="186E5255"/>
    <w:rsid w:val="18B7465F"/>
    <w:rsid w:val="18DE4B9C"/>
    <w:rsid w:val="19107E5B"/>
    <w:rsid w:val="192B1EE4"/>
    <w:rsid w:val="19D35C0A"/>
    <w:rsid w:val="19FB335D"/>
    <w:rsid w:val="1A0738A2"/>
    <w:rsid w:val="1A09059C"/>
    <w:rsid w:val="1A595A62"/>
    <w:rsid w:val="1A725422"/>
    <w:rsid w:val="1A7E52E6"/>
    <w:rsid w:val="1AD734D7"/>
    <w:rsid w:val="1AFE1D64"/>
    <w:rsid w:val="1B574A59"/>
    <w:rsid w:val="1B684130"/>
    <w:rsid w:val="1BBD533A"/>
    <w:rsid w:val="1BC0154B"/>
    <w:rsid w:val="1BD619E1"/>
    <w:rsid w:val="1BE55780"/>
    <w:rsid w:val="1C8C3FCD"/>
    <w:rsid w:val="1C9D24FF"/>
    <w:rsid w:val="1CCC4EEE"/>
    <w:rsid w:val="1CE43A5B"/>
    <w:rsid w:val="1CFA16FF"/>
    <w:rsid w:val="1D970CFC"/>
    <w:rsid w:val="1DBC69B5"/>
    <w:rsid w:val="1DE934AB"/>
    <w:rsid w:val="1E21792E"/>
    <w:rsid w:val="1E2C7696"/>
    <w:rsid w:val="1E34479D"/>
    <w:rsid w:val="1E4578B6"/>
    <w:rsid w:val="1E8E65A3"/>
    <w:rsid w:val="1EB51D82"/>
    <w:rsid w:val="1ECA3B55"/>
    <w:rsid w:val="1ECF44C6"/>
    <w:rsid w:val="1EE066D3"/>
    <w:rsid w:val="1F046865"/>
    <w:rsid w:val="1F120F82"/>
    <w:rsid w:val="1F4B7457"/>
    <w:rsid w:val="1F6966C8"/>
    <w:rsid w:val="1FB04131"/>
    <w:rsid w:val="1FF97A4C"/>
    <w:rsid w:val="20017202"/>
    <w:rsid w:val="200D34F7"/>
    <w:rsid w:val="20AE7A9D"/>
    <w:rsid w:val="20D06CB8"/>
    <w:rsid w:val="20EC3F94"/>
    <w:rsid w:val="20F052F3"/>
    <w:rsid w:val="21244F9D"/>
    <w:rsid w:val="21933ED0"/>
    <w:rsid w:val="219A525F"/>
    <w:rsid w:val="21E379A7"/>
    <w:rsid w:val="220426D8"/>
    <w:rsid w:val="22394A78"/>
    <w:rsid w:val="22603DB2"/>
    <w:rsid w:val="22813D29"/>
    <w:rsid w:val="22BD3DDC"/>
    <w:rsid w:val="22F56BF1"/>
    <w:rsid w:val="234440A8"/>
    <w:rsid w:val="234A05BF"/>
    <w:rsid w:val="23666341"/>
    <w:rsid w:val="2368442E"/>
    <w:rsid w:val="237A6685"/>
    <w:rsid w:val="237C2E6E"/>
    <w:rsid w:val="2399664A"/>
    <w:rsid w:val="23E32EED"/>
    <w:rsid w:val="24180599"/>
    <w:rsid w:val="2455087A"/>
    <w:rsid w:val="246A0F18"/>
    <w:rsid w:val="24727DCD"/>
    <w:rsid w:val="24D22CDC"/>
    <w:rsid w:val="24DB3BC4"/>
    <w:rsid w:val="255A1617"/>
    <w:rsid w:val="25CA3F4A"/>
    <w:rsid w:val="25F25922"/>
    <w:rsid w:val="262E37CA"/>
    <w:rsid w:val="26D311FC"/>
    <w:rsid w:val="26D959CA"/>
    <w:rsid w:val="277245D4"/>
    <w:rsid w:val="27E17C03"/>
    <w:rsid w:val="27E45486"/>
    <w:rsid w:val="28114720"/>
    <w:rsid w:val="284657F9"/>
    <w:rsid w:val="28A40771"/>
    <w:rsid w:val="28B27332"/>
    <w:rsid w:val="28CF63F4"/>
    <w:rsid w:val="28E111E9"/>
    <w:rsid w:val="28EA087A"/>
    <w:rsid w:val="29326DC7"/>
    <w:rsid w:val="296A57B2"/>
    <w:rsid w:val="29F26F2A"/>
    <w:rsid w:val="2A790107"/>
    <w:rsid w:val="2B045F9B"/>
    <w:rsid w:val="2B4179B6"/>
    <w:rsid w:val="2B465B0F"/>
    <w:rsid w:val="2BC16C32"/>
    <w:rsid w:val="2BEC66B7"/>
    <w:rsid w:val="2BFA5278"/>
    <w:rsid w:val="2C0E4DAB"/>
    <w:rsid w:val="2C4479C9"/>
    <w:rsid w:val="2C85746B"/>
    <w:rsid w:val="2CC855D1"/>
    <w:rsid w:val="2D4B16A7"/>
    <w:rsid w:val="2D5C161A"/>
    <w:rsid w:val="2D9D235F"/>
    <w:rsid w:val="2DDD422B"/>
    <w:rsid w:val="2DF23C4D"/>
    <w:rsid w:val="2E0F48DF"/>
    <w:rsid w:val="2E112405"/>
    <w:rsid w:val="2E513149"/>
    <w:rsid w:val="2E657594"/>
    <w:rsid w:val="2E666BF4"/>
    <w:rsid w:val="2E84548B"/>
    <w:rsid w:val="2EB42CED"/>
    <w:rsid w:val="2EBA5CE3"/>
    <w:rsid w:val="2EDC6EB7"/>
    <w:rsid w:val="2F210D6D"/>
    <w:rsid w:val="2F2B1A5B"/>
    <w:rsid w:val="2F7A543F"/>
    <w:rsid w:val="2FC9681B"/>
    <w:rsid w:val="2FCE0505"/>
    <w:rsid w:val="3049057C"/>
    <w:rsid w:val="305E12B6"/>
    <w:rsid w:val="30A6152A"/>
    <w:rsid w:val="30F93D50"/>
    <w:rsid w:val="31014D28"/>
    <w:rsid w:val="316264A6"/>
    <w:rsid w:val="31D077C5"/>
    <w:rsid w:val="32550A9F"/>
    <w:rsid w:val="327318E0"/>
    <w:rsid w:val="32843AB5"/>
    <w:rsid w:val="32C32B73"/>
    <w:rsid w:val="32D44110"/>
    <w:rsid w:val="32E12CEE"/>
    <w:rsid w:val="33606A6A"/>
    <w:rsid w:val="336520BB"/>
    <w:rsid w:val="336573C4"/>
    <w:rsid w:val="34214D6A"/>
    <w:rsid w:val="34A641C5"/>
    <w:rsid w:val="34BE3DF6"/>
    <w:rsid w:val="34E62D8C"/>
    <w:rsid w:val="35775C4B"/>
    <w:rsid w:val="359978AF"/>
    <w:rsid w:val="35AB6BAB"/>
    <w:rsid w:val="35B15361"/>
    <w:rsid w:val="35C9037B"/>
    <w:rsid w:val="35D02BA5"/>
    <w:rsid w:val="35E825E5"/>
    <w:rsid w:val="35FB623F"/>
    <w:rsid w:val="3607049D"/>
    <w:rsid w:val="366C6D72"/>
    <w:rsid w:val="366E3B3C"/>
    <w:rsid w:val="36C97CBE"/>
    <w:rsid w:val="370F0BCD"/>
    <w:rsid w:val="3715098A"/>
    <w:rsid w:val="377C6EFA"/>
    <w:rsid w:val="378740AB"/>
    <w:rsid w:val="379A0169"/>
    <w:rsid w:val="37B95FE7"/>
    <w:rsid w:val="37D7633B"/>
    <w:rsid w:val="38521F98"/>
    <w:rsid w:val="385555E4"/>
    <w:rsid w:val="38826F2F"/>
    <w:rsid w:val="38B1239E"/>
    <w:rsid w:val="39157688"/>
    <w:rsid w:val="391F631E"/>
    <w:rsid w:val="39620D8A"/>
    <w:rsid w:val="39A229E2"/>
    <w:rsid w:val="3A1844F4"/>
    <w:rsid w:val="3A315C33"/>
    <w:rsid w:val="3A347BA7"/>
    <w:rsid w:val="3A614C3A"/>
    <w:rsid w:val="3A696894"/>
    <w:rsid w:val="3A921CEB"/>
    <w:rsid w:val="3AC3717D"/>
    <w:rsid w:val="3B1209F3"/>
    <w:rsid w:val="3B5878C5"/>
    <w:rsid w:val="3B8406BA"/>
    <w:rsid w:val="3BA011E5"/>
    <w:rsid w:val="3BC1546A"/>
    <w:rsid w:val="3BD66DC9"/>
    <w:rsid w:val="3BE22C01"/>
    <w:rsid w:val="3C487939"/>
    <w:rsid w:val="3C5C5F5C"/>
    <w:rsid w:val="3C687FDC"/>
    <w:rsid w:val="3C743BA4"/>
    <w:rsid w:val="3CF758EE"/>
    <w:rsid w:val="3D404543"/>
    <w:rsid w:val="3D42082D"/>
    <w:rsid w:val="3DFF3A68"/>
    <w:rsid w:val="3E596370"/>
    <w:rsid w:val="3EE55913"/>
    <w:rsid w:val="3EE64DC2"/>
    <w:rsid w:val="3EF06066"/>
    <w:rsid w:val="3F081602"/>
    <w:rsid w:val="3F583B53"/>
    <w:rsid w:val="3FBC6BAA"/>
    <w:rsid w:val="40313E5F"/>
    <w:rsid w:val="40520D87"/>
    <w:rsid w:val="40864ED4"/>
    <w:rsid w:val="40865941"/>
    <w:rsid w:val="40AB493B"/>
    <w:rsid w:val="40F707B5"/>
    <w:rsid w:val="41073C39"/>
    <w:rsid w:val="4113228A"/>
    <w:rsid w:val="41164F9A"/>
    <w:rsid w:val="413476A7"/>
    <w:rsid w:val="416318D4"/>
    <w:rsid w:val="416E4DDB"/>
    <w:rsid w:val="417F239B"/>
    <w:rsid w:val="41F25792"/>
    <w:rsid w:val="423544BC"/>
    <w:rsid w:val="428B39C2"/>
    <w:rsid w:val="42974085"/>
    <w:rsid w:val="42D9578F"/>
    <w:rsid w:val="434150E2"/>
    <w:rsid w:val="43572C1C"/>
    <w:rsid w:val="437254DC"/>
    <w:rsid w:val="439671DC"/>
    <w:rsid w:val="439D1F24"/>
    <w:rsid w:val="43A31319"/>
    <w:rsid w:val="43B01A63"/>
    <w:rsid w:val="43D62ED0"/>
    <w:rsid w:val="43FC1130"/>
    <w:rsid w:val="447251FF"/>
    <w:rsid w:val="4484797D"/>
    <w:rsid w:val="44CB1108"/>
    <w:rsid w:val="452B5932"/>
    <w:rsid w:val="45497D2B"/>
    <w:rsid w:val="455367AD"/>
    <w:rsid w:val="4577303D"/>
    <w:rsid w:val="45820476"/>
    <w:rsid w:val="45B607CE"/>
    <w:rsid w:val="45C11FF3"/>
    <w:rsid w:val="45DA7FD5"/>
    <w:rsid w:val="45E16709"/>
    <w:rsid w:val="461B1C1B"/>
    <w:rsid w:val="462C02CC"/>
    <w:rsid w:val="47370CD6"/>
    <w:rsid w:val="47541888"/>
    <w:rsid w:val="47562682"/>
    <w:rsid w:val="476B4E24"/>
    <w:rsid w:val="47775AD7"/>
    <w:rsid w:val="47CD5197"/>
    <w:rsid w:val="48B3469F"/>
    <w:rsid w:val="48E721AE"/>
    <w:rsid w:val="49471BF2"/>
    <w:rsid w:val="499611A0"/>
    <w:rsid w:val="49D30BCF"/>
    <w:rsid w:val="49EF0AE7"/>
    <w:rsid w:val="4A0E1458"/>
    <w:rsid w:val="4A1F4764"/>
    <w:rsid w:val="4A203CA4"/>
    <w:rsid w:val="4A256B83"/>
    <w:rsid w:val="4A702E54"/>
    <w:rsid w:val="4AC467F9"/>
    <w:rsid w:val="4B0D67DA"/>
    <w:rsid w:val="4B104729"/>
    <w:rsid w:val="4B313C8F"/>
    <w:rsid w:val="4B337A07"/>
    <w:rsid w:val="4B427C4A"/>
    <w:rsid w:val="4B561588"/>
    <w:rsid w:val="4B814C16"/>
    <w:rsid w:val="4BE34F89"/>
    <w:rsid w:val="4C0D74E8"/>
    <w:rsid w:val="4C383C4E"/>
    <w:rsid w:val="4C556343"/>
    <w:rsid w:val="4C9444D5"/>
    <w:rsid w:val="4C96132F"/>
    <w:rsid w:val="4CBA6D83"/>
    <w:rsid w:val="4D5123C6"/>
    <w:rsid w:val="4D890C1C"/>
    <w:rsid w:val="4DA50490"/>
    <w:rsid w:val="4E067654"/>
    <w:rsid w:val="4E195910"/>
    <w:rsid w:val="4E720846"/>
    <w:rsid w:val="4EBF1908"/>
    <w:rsid w:val="4ED17C62"/>
    <w:rsid w:val="50127C70"/>
    <w:rsid w:val="50456880"/>
    <w:rsid w:val="507E34D2"/>
    <w:rsid w:val="50B03B37"/>
    <w:rsid w:val="50BE485B"/>
    <w:rsid w:val="50E67919"/>
    <w:rsid w:val="50EF21DE"/>
    <w:rsid w:val="510B2768"/>
    <w:rsid w:val="514C35D0"/>
    <w:rsid w:val="51B318A1"/>
    <w:rsid w:val="51CE7479"/>
    <w:rsid w:val="51D1747B"/>
    <w:rsid w:val="521560B8"/>
    <w:rsid w:val="521B4F95"/>
    <w:rsid w:val="527E36A9"/>
    <w:rsid w:val="52FE5AB1"/>
    <w:rsid w:val="5358159F"/>
    <w:rsid w:val="53B42527"/>
    <w:rsid w:val="53DA317B"/>
    <w:rsid w:val="53E43F94"/>
    <w:rsid w:val="53FB308C"/>
    <w:rsid w:val="54103AAC"/>
    <w:rsid w:val="54455AEF"/>
    <w:rsid w:val="5482205B"/>
    <w:rsid w:val="548E5CAE"/>
    <w:rsid w:val="549459BA"/>
    <w:rsid w:val="549A5B63"/>
    <w:rsid w:val="54C3004D"/>
    <w:rsid w:val="54D16E78"/>
    <w:rsid w:val="55190490"/>
    <w:rsid w:val="55392DF7"/>
    <w:rsid w:val="55416FB7"/>
    <w:rsid w:val="554B0B92"/>
    <w:rsid w:val="554C03ED"/>
    <w:rsid w:val="55944522"/>
    <w:rsid w:val="559B2D78"/>
    <w:rsid w:val="559F6E9C"/>
    <w:rsid w:val="55D562C5"/>
    <w:rsid w:val="562E599A"/>
    <w:rsid w:val="56A01764"/>
    <w:rsid w:val="56FC6617"/>
    <w:rsid w:val="57096E9F"/>
    <w:rsid w:val="57674562"/>
    <w:rsid w:val="57AC367D"/>
    <w:rsid w:val="57CD7FAB"/>
    <w:rsid w:val="57D5394B"/>
    <w:rsid w:val="57F177CD"/>
    <w:rsid w:val="58251D8C"/>
    <w:rsid w:val="585A65D3"/>
    <w:rsid w:val="58B65FBF"/>
    <w:rsid w:val="58D275A8"/>
    <w:rsid w:val="58D8399B"/>
    <w:rsid w:val="58DC32A0"/>
    <w:rsid w:val="590474C6"/>
    <w:rsid w:val="590B6247"/>
    <w:rsid w:val="59125B5B"/>
    <w:rsid w:val="594B64E1"/>
    <w:rsid w:val="5960230F"/>
    <w:rsid w:val="59E92658"/>
    <w:rsid w:val="5A0E3B19"/>
    <w:rsid w:val="5A5B099B"/>
    <w:rsid w:val="5A7D2A4C"/>
    <w:rsid w:val="5AE40D1D"/>
    <w:rsid w:val="5AE76118"/>
    <w:rsid w:val="5AFB7BA3"/>
    <w:rsid w:val="5B13448A"/>
    <w:rsid w:val="5B213F0F"/>
    <w:rsid w:val="5B2C29F4"/>
    <w:rsid w:val="5B2F060B"/>
    <w:rsid w:val="5B48324F"/>
    <w:rsid w:val="5B527A35"/>
    <w:rsid w:val="5B595267"/>
    <w:rsid w:val="5B5D3146"/>
    <w:rsid w:val="5BCA5D06"/>
    <w:rsid w:val="5C133668"/>
    <w:rsid w:val="5C7F2AAC"/>
    <w:rsid w:val="5CB86F98"/>
    <w:rsid w:val="5CBA2CF4"/>
    <w:rsid w:val="5D1E69A2"/>
    <w:rsid w:val="5D720862"/>
    <w:rsid w:val="5DC31C15"/>
    <w:rsid w:val="5DF72B16"/>
    <w:rsid w:val="5E2558D5"/>
    <w:rsid w:val="5E2C5B02"/>
    <w:rsid w:val="5E653E57"/>
    <w:rsid w:val="5ED510A9"/>
    <w:rsid w:val="5EDC31F2"/>
    <w:rsid w:val="5EF77B5D"/>
    <w:rsid w:val="5EF91224"/>
    <w:rsid w:val="5F156300"/>
    <w:rsid w:val="5F6D3BC5"/>
    <w:rsid w:val="5FD6799D"/>
    <w:rsid w:val="602D4AB1"/>
    <w:rsid w:val="60915A2A"/>
    <w:rsid w:val="60927600"/>
    <w:rsid w:val="60F8252D"/>
    <w:rsid w:val="615700A3"/>
    <w:rsid w:val="615C785F"/>
    <w:rsid w:val="6166423A"/>
    <w:rsid w:val="617D1584"/>
    <w:rsid w:val="618261C2"/>
    <w:rsid w:val="61A44D62"/>
    <w:rsid w:val="61BC3E5A"/>
    <w:rsid w:val="61D03DA9"/>
    <w:rsid w:val="61D218D0"/>
    <w:rsid w:val="61E37639"/>
    <w:rsid w:val="621E6BB3"/>
    <w:rsid w:val="629D31CA"/>
    <w:rsid w:val="629F59D2"/>
    <w:rsid w:val="630114AF"/>
    <w:rsid w:val="63732C3E"/>
    <w:rsid w:val="637846F9"/>
    <w:rsid w:val="63C64EB3"/>
    <w:rsid w:val="63D538F9"/>
    <w:rsid w:val="63EE0517"/>
    <w:rsid w:val="640B266D"/>
    <w:rsid w:val="64172D1B"/>
    <w:rsid w:val="644F48B8"/>
    <w:rsid w:val="647C7310"/>
    <w:rsid w:val="648D0D03"/>
    <w:rsid w:val="64A745A0"/>
    <w:rsid w:val="64AC453B"/>
    <w:rsid w:val="64CD45D0"/>
    <w:rsid w:val="64E2007C"/>
    <w:rsid w:val="64E81C7D"/>
    <w:rsid w:val="65051FBC"/>
    <w:rsid w:val="65295D18"/>
    <w:rsid w:val="65864506"/>
    <w:rsid w:val="65950CDA"/>
    <w:rsid w:val="65C23A09"/>
    <w:rsid w:val="65D511E1"/>
    <w:rsid w:val="66055427"/>
    <w:rsid w:val="661A1A97"/>
    <w:rsid w:val="662F5543"/>
    <w:rsid w:val="66811B16"/>
    <w:rsid w:val="66C24EF1"/>
    <w:rsid w:val="66CC0AAD"/>
    <w:rsid w:val="66F347C2"/>
    <w:rsid w:val="670C6668"/>
    <w:rsid w:val="6712451C"/>
    <w:rsid w:val="6747066A"/>
    <w:rsid w:val="67611FB8"/>
    <w:rsid w:val="6796298E"/>
    <w:rsid w:val="67A551C7"/>
    <w:rsid w:val="68352BB8"/>
    <w:rsid w:val="687E455F"/>
    <w:rsid w:val="689A3E47"/>
    <w:rsid w:val="68AE5B14"/>
    <w:rsid w:val="691254CB"/>
    <w:rsid w:val="696F20FA"/>
    <w:rsid w:val="697A70E8"/>
    <w:rsid w:val="69CA7330"/>
    <w:rsid w:val="6A061DE4"/>
    <w:rsid w:val="6A235E05"/>
    <w:rsid w:val="6A2812AA"/>
    <w:rsid w:val="6A3D1E30"/>
    <w:rsid w:val="6A412203"/>
    <w:rsid w:val="6A4B47BB"/>
    <w:rsid w:val="6A7C0B11"/>
    <w:rsid w:val="6AB713AA"/>
    <w:rsid w:val="6AB96073"/>
    <w:rsid w:val="6AF26B3F"/>
    <w:rsid w:val="6B105217"/>
    <w:rsid w:val="6B3E5417"/>
    <w:rsid w:val="6B6537B4"/>
    <w:rsid w:val="6B912F3A"/>
    <w:rsid w:val="6BC7683F"/>
    <w:rsid w:val="6BCC359A"/>
    <w:rsid w:val="6C123D41"/>
    <w:rsid w:val="6C384599"/>
    <w:rsid w:val="6C3F19FF"/>
    <w:rsid w:val="6D064B23"/>
    <w:rsid w:val="6D602485"/>
    <w:rsid w:val="6D6A7780"/>
    <w:rsid w:val="6D870C0C"/>
    <w:rsid w:val="6D920165"/>
    <w:rsid w:val="6E1772FF"/>
    <w:rsid w:val="6EA339BF"/>
    <w:rsid w:val="6F207AEE"/>
    <w:rsid w:val="6F305E87"/>
    <w:rsid w:val="6F5F69C4"/>
    <w:rsid w:val="70161521"/>
    <w:rsid w:val="702360BE"/>
    <w:rsid w:val="70550787"/>
    <w:rsid w:val="706F6C78"/>
    <w:rsid w:val="7073427E"/>
    <w:rsid w:val="7086429A"/>
    <w:rsid w:val="70C03EA1"/>
    <w:rsid w:val="70D527F6"/>
    <w:rsid w:val="7104137A"/>
    <w:rsid w:val="710A6D7C"/>
    <w:rsid w:val="71242FE5"/>
    <w:rsid w:val="713954C7"/>
    <w:rsid w:val="716562BC"/>
    <w:rsid w:val="71A77D39"/>
    <w:rsid w:val="72147D8C"/>
    <w:rsid w:val="72684F31"/>
    <w:rsid w:val="72C735DA"/>
    <w:rsid w:val="72CC5EC7"/>
    <w:rsid w:val="73310977"/>
    <w:rsid w:val="733773A0"/>
    <w:rsid w:val="7383134B"/>
    <w:rsid w:val="74171020"/>
    <w:rsid w:val="7461635C"/>
    <w:rsid w:val="746C5BB4"/>
    <w:rsid w:val="74D064E8"/>
    <w:rsid w:val="74FF083E"/>
    <w:rsid w:val="75033A86"/>
    <w:rsid w:val="75075FC5"/>
    <w:rsid w:val="751D2A0A"/>
    <w:rsid w:val="753164B5"/>
    <w:rsid w:val="758147E1"/>
    <w:rsid w:val="75853B8B"/>
    <w:rsid w:val="75874327"/>
    <w:rsid w:val="75994786"/>
    <w:rsid w:val="75AD133B"/>
    <w:rsid w:val="760333B2"/>
    <w:rsid w:val="76612DCA"/>
    <w:rsid w:val="76B4114C"/>
    <w:rsid w:val="76CB0DA5"/>
    <w:rsid w:val="76CD220E"/>
    <w:rsid w:val="77106AAF"/>
    <w:rsid w:val="7722680D"/>
    <w:rsid w:val="775F730A"/>
    <w:rsid w:val="777D0D1B"/>
    <w:rsid w:val="77976AA4"/>
    <w:rsid w:val="77BF3D4E"/>
    <w:rsid w:val="77D870BC"/>
    <w:rsid w:val="77FA5285"/>
    <w:rsid w:val="78006D3F"/>
    <w:rsid w:val="78185140"/>
    <w:rsid w:val="78204054"/>
    <w:rsid w:val="78254F2C"/>
    <w:rsid w:val="789E1E5D"/>
    <w:rsid w:val="78D43FCD"/>
    <w:rsid w:val="78DB6D78"/>
    <w:rsid w:val="79262D9B"/>
    <w:rsid w:val="792E51E6"/>
    <w:rsid w:val="79915775"/>
    <w:rsid w:val="799639DC"/>
    <w:rsid w:val="79F20909"/>
    <w:rsid w:val="7A9A1B54"/>
    <w:rsid w:val="7A9F1FBA"/>
    <w:rsid w:val="7AE24C58"/>
    <w:rsid w:val="7AE64F7C"/>
    <w:rsid w:val="7B194124"/>
    <w:rsid w:val="7B971768"/>
    <w:rsid w:val="7BA7127F"/>
    <w:rsid w:val="7BC62B6D"/>
    <w:rsid w:val="7C2803C6"/>
    <w:rsid w:val="7C3A679A"/>
    <w:rsid w:val="7C6C21B2"/>
    <w:rsid w:val="7C7E2C8F"/>
    <w:rsid w:val="7C984BE5"/>
    <w:rsid w:val="7CF56221"/>
    <w:rsid w:val="7D076642"/>
    <w:rsid w:val="7D353CCF"/>
    <w:rsid w:val="7D430D35"/>
    <w:rsid w:val="7D711B45"/>
    <w:rsid w:val="7D862189"/>
    <w:rsid w:val="7D891584"/>
    <w:rsid w:val="7E3314F0"/>
    <w:rsid w:val="7EB65FCC"/>
    <w:rsid w:val="7EC33B74"/>
    <w:rsid w:val="7F0A5A4B"/>
    <w:rsid w:val="7F1B1AB7"/>
    <w:rsid w:val="7F29426F"/>
    <w:rsid w:val="7F755E39"/>
    <w:rsid w:val="7F8A15E4"/>
    <w:rsid w:val="7F9E5425"/>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autoRedefine/>
    <w:qFormat/>
    <w:uiPriority w:val="0"/>
    <w:pPr>
      <w:keepNext/>
      <w:outlineLvl w:val="3"/>
    </w:pPr>
    <w:rPr>
      <w:sz w:val="28"/>
      <w:szCs w:val="20"/>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autoRedefine/>
    <w:qFormat/>
    <w:uiPriority w:val="99"/>
    <w:pPr>
      <w:keepNext/>
      <w:keepLines/>
      <w:spacing w:before="240" w:after="64" w:line="320" w:lineRule="auto"/>
      <w:outlineLvl w:val="6"/>
    </w:pPr>
    <w:rPr>
      <w:b/>
      <w:bCs/>
      <w:sz w:val="24"/>
    </w:rPr>
  </w:style>
  <w:style w:type="paragraph" w:styleId="9">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autoRedefine/>
    <w:semiHidden/>
    <w:unhideWhenUsed/>
    <w:qFormat/>
    <w:uiPriority w:val="1"/>
  </w:style>
  <w:style w:type="table" w:default="1" w:styleId="5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2520" w:leftChars="1200"/>
    </w:pPr>
    <w:rPr>
      <w:rFonts w:ascii="Calibri" w:hAnsi="Calibri"/>
      <w:szCs w:val="22"/>
    </w:rPr>
  </w:style>
  <w:style w:type="paragraph" w:styleId="12">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autoRedefine/>
    <w:qFormat/>
    <w:uiPriority w:val="99"/>
    <w:pPr>
      <w:tabs>
        <w:tab w:val="left" w:pos="360"/>
      </w:tabs>
      <w:ind w:left="360" w:hanging="200" w:hangingChars="200"/>
    </w:pPr>
  </w:style>
  <w:style w:type="paragraph" w:styleId="15">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68"/>
    <w:autoRedefine/>
    <w:semiHidden/>
    <w:qFormat/>
    <w:uiPriority w:val="99"/>
    <w:rPr>
      <w:rFonts w:ascii="宋体"/>
      <w:sz w:val="18"/>
      <w:szCs w:val="18"/>
    </w:rPr>
  </w:style>
  <w:style w:type="paragraph" w:styleId="18">
    <w:name w:val="annotation text"/>
    <w:basedOn w:val="1"/>
    <w:link w:val="69"/>
    <w:autoRedefine/>
    <w:qFormat/>
    <w:uiPriority w:val="0"/>
    <w:pPr>
      <w:jc w:val="left"/>
    </w:pPr>
    <w:rPr>
      <w:szCs w:val="20"/>
    </w:rPr>
  </w:style>
  <w:style w:type="paragraph" w:styleId="19">
    <w:name w:val="Body Text 3"/>
    <w:basedOn w:val="1"/>
    <w:link w:val="70"/>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autoRedefine/>
    <w:qFormat/>
    <w:uiPriority w:val="99"/>
    <w:rPr>
      <w:sz w:val="28"/>
      <w:szCs w:val="20"/>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autoRedefine/>
    <w:qFormat/>
    <w:uiPriority w:val="0"/>
    <w:rPr>
      <w:rFonts w:ascii="宋体" w:hAnsi="Courier New"/>
      <w:szCs w:val="20"/>
    </w:rPr>
  </w:style>
  <w:style w:type="paragraph" w:styleId="30">
    <w:name w:val="toc 4"/>
    <w:basedOn w:val="1"/>
    <w:next w:val="1"/>
    <w:autoRedefine/>
    <w:unhideWhenUsed/>
    <w:qFormat/>
    <w:uiPriority w:val="99"/>
    <w:pPr>
      <w:ind w:left="1260" w:leftChars="600"/>
    </w:pPr>
    <w:rPr>
      <w:rFonts w:ascii="Calibri" w:hAnsi="Calibri"/>
      <w:szCs w:val="22"/>
    </w:rPr>
  </w:style>
  <w:style w:type="paragraph" w:styleId="31">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autoRedefine/>
    <w:unhideWhenUsed/>
    <w:qFormat/>
    <w:uiPriority w:val="99"/>
    <w:pPr>
      <w:ind w:left="2940" w:leftChars="1400"/>
    </w:pPr>
    <w:rPr>
      <w:rFonts w:ascii="Calibri" w:hAnsi="Calibri"/>
      <w:szCs w:val="22"/>
    </w:rPr>
  </w:style>
  <w:style w:type="paragraph" w:styleId="34">
    <w:name w:val="Date"/>
    <w:basedOn w:val="1"/>
    <w:next w:val="1"/>
    <w:link w:val="73"/>
    <w:autoRedefine/>
    <w:qFormat/>
    <w:uiPriority w:val="99"/>
    <w:pPr>
      <w:ind w:left="100" w:leftChars="2500"/>
    </w:pPr>
    <w:rPr>
      <w:szCs w:val="20"/>
    </w:rPr>
  </w:style>
  <w:style w:type="paragraph" w:styleId="35">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74"/>
    <w:autoRedefine/>
    <w:qFormat/>
    <w:uiPriority w:val="99"/>
    <w:rPr>
      <w:sz w:val="18"/>
      <w:szCs w:val="18"/>
    </w:rPr>
  </w:style>
  <w:style w:type="paragraph" w:styleId="37">
    <w:name w:val="footer"/>
    <w:basedOn w:val="1"/>
    <w:link w:val="75"/>
    <w:autoRedefine/>
    <w:qFormat/>
    <w:uiPriority w:val="99"/>
    <w:pPr>
      <w:tabs>
        <w:tab w:val="center" w:pos="4153"/>
        <w:tab w:val="right" w:pos="8306"/>
      </w:tabs>
      <w:snapToGrid w:val="0"/>
      <w:jc w:val="left"/>
    </w:pPr>
    <w:rPr>
      <w:sz w:val="18"/>
      <w:szCs w:val="18"/>
    </w:rPr>
  </w:style>
  <w:style w:type="paragraph" w:styleId="38">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0"/>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字符"/>
    <w:link w:val="22"/>
    <w:autoRedefine/>
    <w:qFormat/>
    <w:uiPriority w:val="0"/>
    <w:rPr>
      <w:rFonts w:ascii="楷体_GB2312" w:eastAsia="楷体_GB2312"/>
      <w:sz w:val="28"/>
    </w:rPr>
  </w:style>
  <w:style w:type="character" w:customStyle="1" w:styleId="63">
    <w:name w:val="正文文本首行缩进 2 字符"/>
    <w:link w:val="52"/>
    <w:autoRedefine/>
    <w:qFormat/>
    <w:uiPriority w:val="99"/>
    <w:rPr>
      <w:rFonts w:ascii="楷体_GB2312" w:eastAsia="楷体_GB2312"/>
      <w:sz w:val="28"/>
    </w:rPr>
  </w:style>
  <w:style w:type="character" w:customStyle="1" w:styleId="64">
    <w:name w:val="标题 1 字符"/>
    <w:link w:val="3"/>
    <w:autoRedefine/>
    <w:qFormat/>
    <w:uiPriority w:val="0"/>
    <w:rPr>
      <w:rFonts w:eastAsia="黑体"/>
      <w:bCs/>
      <w:kern w:val="44"/>
      <w:sz w:val="30"/>
      <w:szCs w:val="44"/>
    </w:rPr>
  </w:style>
  <w:style w:type="character" w:customStyle="1" w:styleId="65">
    <w:name w:val="标题 2 字符"/>
    <w:link w:val="4"/>
    <w:autoRedefine/>
    <w:qFormat/>
    <w:uiPriority w:val="99"/>
    <w:rPr>
      <w:rFonts w:ascii="Arial" w:hAnsi="Arial" w:eastAsia="黑体"/>
      <w:bCs/>
      <w:kern w:val="2"/>
      <w:sz w:val="28"/>
      <w:szCs w:val="32"/>
    </w:rPr>
  </w:style>
  <w:style w:type="character" w:customStyle="1" w:styleId="66">
    <w:name w:val="标题 3 字符"/>
    <w:link w:val="5"/>
    <w:autoRedefine/>
    <w:qFormat/>
    <w:uiPriority w:val="99"/>
    <w:rPr>
      <w:rFonts w:ascii="黑体" w:eastAsia="黑体"/>
      <w:sz w:val="28"/>
    </w:rPr>
  </w:style>
  <w:style w:type="character" w:customStyle="1" w:styleId="67">
    <w:name w:val="正文缩进 字符"/>
    <w:link w:val="15"/>
    <w:autoRedefine/>
    <w:qFormat/>
    <w:uiPriority w:val="0"/>
    <w:rPr>
      <w:rFonts w:ascii="楷体_GB2312" w:eastAsia="楷体_GB2312"/>
      <w:sz w:val="28"/>
    </w:rPr>
  </w:style>
  <w:style w:type="character" w:customStyle="1" w:styleId="68">
    <w:name w:val="文档结构图 字符"/>
    <w:link w:val="17"/>
    <w:autoRedefine/>
    <w:semiHidden/>
    <w:qFormat/>
    <w:uiPriority w:val="99"/>
    <w:rPr>
      <w:rFonts w:ascii="宋体"/>
      <w:kern w:val="2"/>
      <w:sz w:val="18"/>
      <w:szCs w:val="18"/>
    </w:rPr>
  </w:style>
  <w:style w:type="character" w:customStyle="1" w:styleId="69">
    <w:name w:val="批注文字 字符"/>
    <w:link w:val="18"/>
    <w:autoRedefine/>
    <w:qFormat/>
    <w:uiPriority w:val="99"/>
    <w:rPr>
      <w:rFonts w:eastAsia="宋体"/>
      <w:kern w:val="2"/>
      <w:sz w:val="21"/>
      <w:lang w:val="en-US" w:eastAsia="zh-CN" w:bidi="ar-SA"/>
    </w:rPr>
  </w:style>
  <w:style w:type="character" w:customStyle="1" w:styleId="70">
    <w:name w:val="正文文本 3 字符"/>
    <w:link w:val="19"/>
    <w:autoRedefine/>
    <w:qFormat/>
    <w:uiPriority w:val="99"/>
    <w:rPr>
      <w:kern w:val="2"/>
      <w:sz w:val="16"/>
      <w:szCs w:val="16"/>
    </w:rPr>
  </w:style>
  <w:style w:type="character" w:customStyle="1" w:styleId="71">
    <w:name w:val="正文文本 字符"/>
    <w:link w:val="21"/>
    <w:autoRedefine/>
    <w:qFormat/>
    <w:uiPriority w:val="0"/>
    <w:rPr>
      <w:kern w:val="2"/>
      <w:sz w:val="28"/>
    </w:rPr>
  </w:style>
  <w:style w:type="character" w:customStyle="1" w:styleId="72">
    <w:name w:val="正文文本首行缩进 字符"/>
    <w:link w:val="26"/>
    <w:autoRedefine/>
    <w:qFormat/>
    <w:locked/>
    <w:uiPriority w:val="99"/>
  </w:style>
  <w:style w:type="character" w:customStyle="1" w:styleId="73">
    <w:name w:val="日期 字符"/>
    <w:link w:val="34"/>
    <w:autoRedefine/>
    <w:qFormat/>
    <w:uiPriority w:val="99"/>
    <w:rPr>
      <w:kern w:val="2"/>
      <w:sz w:val="21"/>
    </w:rPr>
  </w:style>
  <w:style w:type="character" w:customStyle="1" w:styleId="74">
    <w:name w:val="批注框文本 字符"/>
    <w:link w:val="36"/>
    <w:autoRedefine/>
    <w:semiHidden/>
    <w:qFormat/>
    <w:uiPriority w:val="99"/>
    <w:rPr>
      <w:kern w:val="2"/>
      <w:sz w:val="18"/>
      <w:szCs w:val="18"/>
    </w:rPr>
  </w:style>
  <w:style w:type="character" w:customStyle="1" w:styleId="75">
    <w:name w:val="页脚 字符"/>
    <w:link w:val="37"/>
    <w:autoRedefine/>
    <w:qFormat/>
    <w:uiPriority w:val="99"/>
    <w:rPr>
      <w:kern w:val="2"/>
      <w:sz w:val="18"/>
      <w:szCs w:val="18"/>
    </w:rPr>
  </w:style>
  <w:style w:type="character" w:customStyle="1" w:styleId="76">
    <w:name w:val="页眉 字符"/>
    <w:link w:val="38"/>
    <w:autoRedefine/>
    <w:qFormat/>
    <w:uiPriority w:val="99"/>
    <w:rPr>
      <w:kern w:val="2"/>
      <w:sz w:val="18"/>
      <w:szCs w:val="18"/>
    </w:rPr>
  </w:style>
  <w:style w:type="character" w:customStyle="1" w:styleId="77">
    <w:name w:val="副标题 字符"/>
    <w:link w:val="42"/>
    <w:autoRedefine/>
    <w:qFormat/>
    <w:uiPriority w:val="0"/>
    <w:rPr>
      <w:rFonts w:ascii="Cambria" w:hAnsi="Cambria" w:cs="黑体"/>
      <w:b/>
      <w:bCs/>
      <w:kern w:val="28"/>
      <w:sz w:val="32"/>
      <w:szCs w:val="32"/>
    </w:rPr>
  </w:style>
  <w:style w:type="character" w:customStyle="1" w:styleId="78">
    <w:name w:val="正文文本 2 字符"/>
    <w:link w:val="48"/>
    <w:autoRedefine/>
    <w:qFormat/>
    <w:locked/>
    <w:uiPriority w:val="0"/>
    <w:rPr>
      <w:color w:val="FF0000"/>
    </w:rPr>
  </w:style>
  <w:style w:type="character" w:customStyle="1" w:styleId="79">
    <w:name w:val="批注主题 字符"/>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表段落 字符"/>
    <w:link w:val="89"/>
    <w:autoRedefine/>
    <w:qFormat/>
    <w:uiPriority w:val="34"/>
    <w:rPr>
      <w:kern w:val="2"/>
      <w:sz w:val="21"/>
    </w:rPr>
  </w:style>
  <w:style w:type="paragraph" w:styleId="89">
    <w:name w:val="List Paragraph"/>
    <w:basedOn w:val="1"/>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15"/>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6"/>
    <w:autoRedefine/>
    <w:qFormat/>
    <w:uiPriority w:val="0"/>
    <w:rPr>
      <w:rFonts w:ascii="方正黑体简体" w:eastAsia="方正黑体简体"/>
      <w:b w:val="0"/>
      <w:bCs w:val="0"/>
    </w:rPr>
  </w:style>
  <w:style w:type="paragraph" w:customStyle="1" w:styleId="120">
    <w:name w:val="ml2"/>
    <w:basedOn w:val="39"/>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autoRedefine/>
    <w:qFormat/>
    <w:uiPriority w:val="0"/>
    <w:pPr>
      <w:spacing w:line="240" w:lineRule="auto"/>
    </w:pPr>
    <w:rPr>
      <w:rFonts w:ascii="黑体"/>
      <w:sz w:val="36"/>
      <w:szCs w:val="36"/>
    </w:rPr>
  </w:style>
  <w:style w:type="paragraph" w:customStyle="1" w:styleId="130">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7"/>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9"/>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0"/>
    <w:pPr>
      <w:ind w:firstLine="420" w:firstLineChars="200"/>
    </w:pPr>
  </w:style>
  <w:style w:type="paragraph" w:customStyle="1" w:styleId="140">
    <w:name w:val="ml3"/>
    <w:basedOn w:val="39"/>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4"/>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46">
    <w:name w:val="标题 10"/>
    <w:basedOn w:val="4"/>
    <w:autoRedefine/>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4"/>
    <w:link w:val="156"/>
    <w:autoRedefine/>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4"/>
    <w:link w:val="160"/>
    <w:autoRedefine/>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4"/>
    <w:link w:val="169"/>
    <w:autoRedefine/>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1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autoRedefine/>
    <w:qFormat/>
    <w:uiPriority w:val="99"/>
    <w:pPr>
      <w:widowControl/>
      <w:spacing w:after="240" w:line="240" w:lineRule="exact"/>
      <w:jc w:val="center"/>
    </w:pPr>
    <w:rPr>
      <w:kern w:val="0"/>
      <w:sz w:val="24"/>
      <w:lang w:val="en-GB"/>
    </w:rPr>
  </w:style>
  <w:style w:type="paragraph" w:customStyle="1" w:styleId="201">
    <w:name w:val="样式3"/>
    <w:basedOn w:val="4"/>
    <w:autoRedefine/>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autoRedefine/>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3"/>
    <w:next w:val="21"/>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15"/>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15"/>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autoRedefine/>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autoRedefine/>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318"/>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72">
    <w:name w:val="批注文字 字符1"/>
    <w:autoRedefine/>
    <w:qFormat/>
    <w:uiPriority w:val="0"/>
    <w:rPr>
      <w:rFonts w:eastAsia="宋体"/>
      <w:kern w:val="2"/>
      <w:sz w:val="21"/>
      <w:lang w:val="en-US" w:eastAsia="zh-CN" w:bidi="ar-SA"/>
    </w:rPr>
  </w:style>
  <w:style w:type="paragraph" w:customStyle="1" w:styleId="373">
    <w:name w:val="无格式正文"/>
    <w:basedOn w:val="1"/>
    <w:autoRedefine/>
    <w:qFormat/>
    <w:uiPriority w:val="0"/>
    <w:rPr>
      <w:szCs w:val="20"/>
    </w:rPr>
  </w:style>
  <w:style w:type="character" w:customStyle="1" w:styleId="374">
    <w:name w:val="fontstyle01"/>
    <w:autoRedefine/>
    <w:qFormat/>
    <w:uiPriority w:val="0"/>
    <w:rPr>
      <w:rFonts w:ascii="宋体 + FPEF" w:hAnsi="宋体 + FPEF" w:eastAsia="宋体 + FPEF" w:cs="宋体 + FPEF"/>
      <w:color w:val="000000"/>
      <w:sz w:val="22"/>
      <w:szCs w:val="22"/>
    </w:rPr>
  </w:style>
  <w:style w:type="paragraph" w:customStyle="1" w:styleId="375">
    <w:name w:val="QB标题3"/>
    <w:basedOn w:val="376"/>
    <w:autoRedefine/>
    <w:qFormat/>
    <w:uiPriority w:val="0"/>
    <w:pPr>
      <w:tabs>
        <w:tab w:val="left" w:pos="567"/>
        <w:tab w:val="left" w:pos="709"/>
      </w:tabs>
      <w:spacing w:line="415" w:lineRule="auto"/>
      <w:ind w:left="709" w:hanging="709"/>
      <w:outlineLvl w:val="2"/>
    </w:pPr>
  </w:style>
  <w:style w:type="paragraph" w:customStyle="1" w:styleId="376">
    <w:name w:val="QB标题2"/>
    <w:basedOn w:val="4"/>
    <w:autoRedefine/>
    <w:qFormat/>
    <w:uiPriority w:val="0"/>
    <w:pPr>
      <w:tabs>
        <w:tab w:val="left" w:pos="567"/>
      </w:tabs>
      <w:ind w:left="567" w:hanging="567"/>
    </w:pPr>
    <w:rPr>
      <w:rFonts w:ascii="黑体" w:hAnsi="黑体"/>
      <w:sz w:val="21"/>
      <w:szCs w:val="21"/>
    </w:rPr>
  </w:style>
  <w:style w:type="paragraph" w:customStyle="1" w:styleId="377">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78">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79">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0">
    <w:name w:val="QB图标题"/>
    <w:basedOn w:val="1"/>
    <w:autoRedefine/>
    <w:qFormat/>
    <w:uiPriority w:val="0"/>
    <w:pPr>
      <w:numPr>
        <w:ilvl w:val="6"/>
        <w:numId w:val="5"/>
      </w:numPr>
      <w:spacing w:after="120" w:line="240" w:lineRule="auto"/>
      <w:ind w:firstLine="0" w:firstLineChars="0"/>
      <w:jc w:val="center"/>
    </w:pPr>
    <w:rPr>
      <w:rFonts w:hAnsi="宋体"/>
      <w:bCs/>
      <w:spacing w:val="0"/>
      <w:szCs w:val="24"/>
    </w:rPr>
  </w:style>
  <w:style w:type="paragraph" w:customStyle="1" w:styleId="381">
    <w:name w:val="p0"/>
    <w:basedOn w:val="1"/>
    <w:autoRedefine/>
    <w:qFormat/>
    <w:uiPriority w:val="0"/>
    <w:pPr>
      <w:widowControl/>
      <w:adjustRightInd w:val="0"/>
      <w:spacing w:line="360" w:lineRule="atLeast"/>
      <w:textAlignment w:val="baseline"/>
    </w:pPr>
    <w:rPr>
      <w:rFonts w:eastAsia="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62</Pages>
  <Words>4812</Words>
  <Characters>27432</Characters>
  <Lines>228</Lines>
  <Paragraphs>64</Paragraphs>
  <TotalTime>4</TotalTime>
  <ScaleCrop>false</ScaleCrop>
  <LinksUpToDate>false</LinksUpToDate>
  <CharactersWithSpaces>32180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2022-06-08T01:27:00Z</dcterms:created>
  <dc:creator>Administrator</dc:creator>
  <cp:lastModifiedBy>切面</cp:lastModifiedBy>
  <cp:lastPrinted>2024-01-05T07:44:00Z</cp:lastPrinted>
  <dcterms:modified xsi:type="dcterms:W3CDTF">2024-01-29T08:36:23Z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516AA55831FC46D1A0772A63F9EA535B_13</vt:lpwstr>
  </property>
</Properties>
</file>