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188D6F">
      <w:pPr>
        <w:autoSpaceDE w:val="0"/>
        <w:autoSpaceDN w:val="0"/>
        <w:adjustRightInd w:val="0"/>
        <w:spacing w:before="100" w:beforeAutospacing="1" w:after="100" w:afterAutospacing="1"/>
        <w:rPr>
          <w:rFonts w:eastAsia="黑体"/>
          <w:b/>
          <w:sz w:val="52"/>
          <w:szCs w:val="52"/>
        </w:rPr>
      </w:pPr>
    </w:p>
    <w:p w14:paraId="1A536474">
      <w:pPr>
        <w:autoSpaceDE w:val="0"/>
        <w:autoSpaceDN w:val="0"/>
        <w:adjustRightInd w:val="0"/>
        <w:spacing w:before="100" w:beforeAutospacing="1" w:after="100" w:afterAutospacing="1"/>
        <w:rPr>
          <w:rFonts w:eastAsia="黑体"/>
          <w:b/>
          <w:sz w:val="52"/>
          <w:szCs w:val="52"/>
        </w:rPr>
      </w:pPr>
    </w:p>
    <w:p w14:paraId="7EF5B07D">
      <w:pPr>
        <w:spacing w:line="560" w:lineRule="exact"/>
        <w:jc w:val="center"/>
        <w:rPr>
          <w:rFonts w:ascii="黑体" w:hAnsi="黑体" w:eastAsia="黑体" w:cs="黑体"/>
          <w:b/>
          <w:bCs/>
          <w:sz w:val="48"/>
          <w:szCs w:val="48"/>
        </w:rPr>
      </w:pPr>
      <w:r>
        <w:rPr>
          <w:rFonts w:hint="eastAsia" w:ascii="黑体" w:hAnsi="黑体" w:eastAsia="黑体" w:cs="黑体"/>
          <w:b/>
          <w:bCs/>
          <w:sz w:val="48"/>
          <w:szCs w:val="48"/>
        </w:rPr>
        <w:t>江苏省广电有线信息网络股份有限公司</w:t>
      </w:r>
    </w:p>
    <w:p w14:paraId="2EA994DB">
      <w:pPr>
        <w:pStyle w:val="6"/>
      </w:pPr>
    </w:p>
    <w:p w14:paraId="53FF6954">
      <w:pPr>
        <w:spacing w:line="560" w:lineRule="exact"/>
        <w:jc w:val="center"/>
        <w:rPr>
          <w:rFonts w:ascii="黑体" w:hAnsi="黑体" w:eastAsia="黑体" w:cs="黑体"/>
          <w:b/>
          <w:bCs/>
          <w:sz w:val="48"/>
          <w:szCs w:val="48"/>
        </w:rPr>
      </w:pPr>
      <w:r>
        <w:rPr>
          <w:rFonts w:hint="eastAsia" w:ascii="黑体" w:hAnsi="黑体" w:eastAsia="黑体" w:cs="黑体"/>
          <w:b/>
          <w:bCs/>
          <w:sz w:val="48"/>
          <w:szCs w:val="48"/>
        </w:rPr>
        <w:t>云态势感知探针扩容采购项目</w:t>
      </w:r>
    </w:p>
    <w:p w14:paraId="37145EFA">
      <w:pPr>
        <w:autoSpaceDE w:val="0"/>
        <w:autoSpaceDN w:val="0"/>
        <w:adjustRightInd w:val="0"/>
        <w:spacing w:before="100" w:beforeAutospacing="1" w:after="100" w:afterAutospacing="1"/>
        <w:rPr>
          <w:rFonts w:eastAsia="黑体"/>
          <w:b/>
          <w:sz w:val="52"/>
          <w:szCs w:val="52"/>
          <w:lang w:val="zh-CN"/>
        </w:rPr>
      </w:pPr>
    </w:p>
    <w:p w14:paraId="352C2865">
      <w:pPr>
        <w:autoSpaceDE w:val="0"/>
        <w:autoSpaceDN w:val="0"/>
        <w:adjustRightInd w:val="0"/>
        <w:spacing w:before="100" w:beforeAutospacing="1" w:after="100" w:afterAutospacing="1"/>
        <w:rPr>
          <w:rFonts w:eastAsia="黑体"/>
          <w:b/>
          <w:sz w:val="52"/>
          <w:szCs w:val="52"/>
          <w:lang w:val="zh-CN"/>
        </w:rPr>
      </w:pPr>
    </w:p>
    <w:p w14:paraId="3284D651">
      <w:pPr>
        <w:autoSpaceDE w:val="0"/>
        <w:autoSpaceDN w:val="0"/>
        <w:adjustRightInd w:val="0"/>
        <w:jc w:val="center"/>
        <w:outlineLvl w:val="0"/>
        <w:rPr>
          <w:rFonts w:eastAsia="黑体"/>
          <w:b/>
          <w:sz w:val="52"/>
          <w:szCs w:val="52"/>
        </w:rPr>
      </w:pPr>
      <w:r>
        <w:rPr>
          <w:rFonts w:hint="eastAsia" w:eastAsia="黑体"/>
          <w:b/>
          <w:sz w:val="80"/>
          <w:szCs w:val="80"/>
          <w:lang w:val="zh-CN"/>
        </w:rPr>
        <w:t>询价</w:t>
      </w:r>
      <w:r>
        <w:rPr>
          <w:rFonts w:hint="eastAsia" w:eastAsia="黑体"/>
          <w:b/>
          <w:sz w:val="80"/>
          <w:szCs w:val="80"/>
        </w:rPr>
        <w:t>文件</w:t>
      </w:r>
    </w:p>
    <w:p w14:paraId="0780D708">
      <w:pPr>
        <w:spacing w:line="360" w:lineRule="auto"/>
        <w:jc w:val="center"/>
        <w:rPr>
          <w:rFonts w:ascii="宋体" w:hAnsi="宋体"/>
          <w:sz w:val="30"/>
          <w:szCs w:val="30"/>
          <w:lang w:val="zh-CN"/>
        </w:rPr>
      </w:pPr>
      <w:r>
        <w:rPr>
          <w:rFonts w:hint="eastAsia" w:ascii="宋体" w:hAnsi="宋体"/>
          <w:sz w:val="30"/>
          <w:szCs w:val="30"/>
          <w:lang w:val="zh-CN"/>
        </w:rPr>
        <w:t>编号：JSCN2024[057]</w:t>
      </w:r>
    </w:p>
    <w:p w14:paraId="4D5ECB33">
      <w:pPr>
        <w:autoSpaceDE w:val="0"/>
        <w:autoSpaceDN w:val="0"/>
        <w:adjustRightInd w:val="0"/>
        <w:spacing w:before="100" w:beforeAutospacing="1" w:after="100" w:afterAutospacing="1"/>
        <w:rPr>
          <w:rFonts w:ascii="黑体" w:eastAsia="黑体"/>
          <w:sz w:val="32"/>
          <w:szCs w:val="32"/>
          <w:lang w:val="zh-CN"/>
        </w:rPr>
      </w:pPr>
    </w:p>
    <w:p w14:paraId="72C89FE1">
      <w:pPr>
        <w:autoSpaceDE w:val="0"/>
        <w:autoSpaceDN w:val="0"/>
        <w:adjustRightInd w:val="0"/>
        <w:spacing w:before="100" w:beforeAutospacing="1" w:after="100" w:afterAutospacing="1"/>
        <w:rPr>
          <w:rFonts w:ascii="黑体" w:eastAsia="黑体"/>
          <w:sz w:val="44"/>
          <w:szCs w:val="44"/>
          <w:lang w:val="zh-CN"/>
        </w:rPr>
      </w:pPr>
    </w:p>
    <w:p w14:paraId="6AFF92A6">
      <w:pPr>
        <w:autoSpaceDE w:val="0"/>
        <w:autoSpaceDN w:val="0"/>
        <w:adjustRightInd w:val="0"/>
        <w:spacing w:before="100" w:beforeAutospacing="1" w:after="100" w:afterAutospacing="1"/>
        <w:rPr>
          <w:rFonts w:ascii="黑体" w:eastAsia="黑体"/>
          <w:sz w:val="32"/>
          <w:szCs w:val="32"/>
          <w:lang w:val="zh-CN"/>
        </w:rPr>
      </w:pPr>
    </w:p>
    <w:p w14:paraId="534AA4CD">
      <w:pPr>
        <w:autoSpaceDE w:val="0"/>
        <w:autoSpaceDN w:val="0"/>
        <w:adjustRightInd w:val="0"/>
        <w:spacing w:before="100" w:beforeAutospacing="1" w:after="100" w:afterAutospacing="1"/>
        <w:rPr>
          <w:rFonts w:ascii="黑体" w:eastAsia="黑体"/>
          <w:sz w:val="32"/>
          <w:szCs w:val="32"/>
          <w:lang w:val="zh-CN"/>
        </w:rPr>
      </w:pPr>
    </w:p>
    <w:p w14:paraId="2635B687">
      <w:pPr>
        <w:spacing w:line="560" w:lineRule="exact"/>
        <w:jc w:val="center"/>
        <w:rPr>
          <w:rFonts w:ascii="宋体" w:hAnsi="宋体"/>
          <w:b/>
          <w:bCs/>
          <w:sz w:val="30"/>
          <w:szCs w:val="30"/>
          <w:lang w:val="zh-CN"/>
        </w:rPr>
      </w:pPr>
      <w:r>
        <w:rPr>
          <w:rFonts w:hint="eastAsia" w:ascii="宋体" w:hAnsi="宋体"/>
          <w:b/>
          <w:bCs/>
          <w:sz w:val="30"/>
          <w:szCs w:val="30"/>
        </w:rPr>
        <w:t>采购</w:t>
      </w:r>
      <w:r>
        <w:rPr>
          <w:rFonts w:hint="eastAsia" w:ascii="宋体" w:hAnsi="宋体"/>
          <w:b/>
          <w:bCs/>
          <w:sz w:val="30"/>
          <w:szCs w:val="30"/>
          <w:lang w:val="zh-CN"/>
        </w:rPr>
        <w:t>人：江苏省广电有线信息网络股份有限公司</w:t>
      </w:r>
    </w:p>
    <w:p w14:paraId="3D871FAC">
      <w:pPr>
        <w:spacing w:line="560" w:lineRule="exact"/>
        <w:jc w:val="center"/>
        <w:rPr>
          <w:rFonts w:eastAsia="黑体"/>
          <w:b/>
          <w:bCs/>
          <w:sz w:val="52"/>
          <w:szCs w:val="52"/>
          <w:lang w:val="zh-CN"/>
        </w:rPr>
      </w:pPr>
      <w:r>
        <w:rPr>
          <w:rFonts w:hint="eastAsia" w:ascii="宋体" w:hAnsi="宋体"/>
          <w:b/>
          <w:bCs/>
          <w:sz w:val="30"/>
          <w:szCs w:val="30"/>
          <w:lang w:val="zh-CN"/>
        </w:rPr>
        <w:t>二〇二</w:t>
      </w:r>
      <w:r>
        <w:rPr>
          <w:rFonts w:hint="eastAsia" w:ascii="宋体" w:hAnsi="宋体"/>
          <w:b/>
          <w:bCs/>
          <w:sz w:val="30"/>
          <w:szCs w:val="30"/>
        </w:rPr>
        <w:t>四</w:t>
      </w:r>
      <w:r>
        <w:rPr>
          <w:rFonts w:hint="eastAsia" w:ascii="宋体" w:hAnsi="宋体"/>
          <w:b/>
          <w:bCs/>
          <w:sz w:val="30"/>
          <w:szCs w:val="30"/>
          <w:lang w:val="zh-CN"/>
        </w:rPr>
        <w:t>年</w:t>
      </w:r>
      <w:r>
        <w:rPr>
          <w:rFonts w:hint="eastAsia" w:ascii="宋体" w:hAnsi="宋体"/>
          <w:b/>
          <w:bCs/>
          <w:sz w:val="30"/>
          <w:szCs w:val="30"/>
        </w:rPr>
        <w:t>九</w:t>
      </w:r>
      <w:r>
        <w:rPr>
          <w:rFonts w:hint="eastAsia" w:ascii="宋体" w:hAnsi="宋体"/>
          <w:b/>
          <w:bCs/>
          <w:sz w:val="30"/>
          <w:szCs w:val="30"/>
          <w:lang w:val="zh-CN"/>
        </w:rPr>
        <w:t>月</w:t>
      </w:r>
    </w:p>
    <w:p w14:paraId="6472131B">
      <w:pPr>
        <w:pStyle w:val="3"/>
        <w:spacing w:line="360" w:lineRule="auto"/>
        <w:jc w:val="center"/>
        <w:rPr>
          <w:rFonts w:ascii="黑体" w:hAnsi="宋体" w:eastAsia="黑体"/>
          <w:b w:val="0"/>
          <w:sz w:val="36"/>
          <w:szCs w:val="36"/>
        </w:rPr>
      </w:pPr>
      <w:r>
        <w:rPr>
          <w:rFonts w:ascii="黑体" w:eastAsia="黑体"/>
          <w:lang w:val="zh-CN"/>
        </w:rPr>
        <w:br w:type="page"/>
      </w:r>
      <w:r>
        <w:rPr>
          <w:rFonts w:hint="eastAsia" w:eastAsia="黑体"/>
          <w:sz w:val="52"/>
          <w:szCs w:val="52"/>
        </w:rPr>
        <w:t>第一章 询价公告</w:t>
      </w:r>
    </w:p>
    <w:p w14:paraId="2622AF38">
      <w:pPr>
        <w:spacing w:line="360" w:lineRule="auto"/>
        <w:ind w:firstLine="480" w:firstLineChars="200"/>
        <w:rPr>
          <w:rFonts w:ascii="宋体" w:hAnsi="宋体" w:cs="宋体"/>
          <w:bCs/>
          <w:kern w:val="0"/>
          <w:sz w:val="24"/>
        </w:rPr>
      </w:pPr>
      <w:r>
        <w:rPr>
          <w:rFonts w:hint="eastAsia" w:ascii="宋体" w:hAnsi="宋体" w:cs="宋体"/>
          <w:bCs/>
          <w:kern w:val="0"/>
          <w:sz w:val="24"/>
        </w:rPr>
        <w:t>江苏省广电有线信息网络股份有限公司就</w:t>
      </w:r>
      <w:r>
        <w:rPr>
          <w:rFonts w:hint="eastAsia" w:ascii="宋体" w:hAnsi="宋体" w:cs="宋体"/>
          <w:kern w:val="0"/>
          <w:sz w:val="24"/>
        </w:rPr>
        <w:t>“</w:t>
      </w:r>
      <w:r>
        <w:rPr>
          <w:rFonts w:hint="eastAsia" w:ascii="宋体" w:hAnsi="宋体" w:cs="宋体"/>
          <w:bCs/>
          <w:kern w:val="0"/>
          <w:sz w:val="24"/>
        </w:rPr>
        <w:t>云态势感知探针扩容</w:t>
      </w:r>
      <w:r>
        <w:rPr>
          <w:rFonts w:hint="eastAsia" w:ascii="宋体" w:hAnsi="宋体" w:cs="宋体"/>
          <w:kern w:val="0"/>
          <w:sz w:val="24"/>
        </w:rPr>
        <w:t>采购项目”</w:t>
      </w:r>
      <w:r>
        <w:rPr>
          <w:rFonts w:hint="eastAsia" w:ascii="宋体" w:hAnsi="宋体" w:cs="宋体"/>
          <w:bCs/>
          <w:kern w:val="0"/>
          <w:sz w:val="24"/>
        </w:rPr>
        <w:t>组织公开询价，现欢迎符合资格条件的供应商参加。</w:t>
      </w:r>
    </w:p>
    <w:p w14:paraId="39390BD3">
      <w:pPr>
        <w:widowControl/>
        <w:spacing w:line="360" w:lineRule="auto"/>
        <w:ind w:firstLine="475"/>
        <w:textAlignment w:val="bottom"/>
        <w:rPr>
          <w:rFonts w:ascii="宋体" w:hAnsi="宋体" w:cs="宋体"/>
          <w:b/>
          <w:sz w:val="24"/>
        </w:rPr>
      </w:pPr>
      <w:r>
        <w:rPr>
          <w:rFonts w:hint="eastAsia" w:ascii="宋体" w:hAnsi="宋体" w:cs="宋体"/>
          <w:b/>
          <w:sz w:val="24"/>
        </w:rPr>
        <w:t>一、项目概况</w:t>
      </w:r>
    </w:p>
    <w:p w14:paraId="36088CCF">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ascii="宋体" w:hAnsi="宋体" w:cs="宋体"/>
          <w:bCs/>
          <w:kern w:val="0"/>
          <w:sz w:val="24"/>
        </w:rPr>
        <w:t>江苏省广电有线信息网络股份有限公司云态势感知探针扩容</w:t>
      </w:r>
      <w:r>
        <w:rPr>
          <w:rFonts w:hint="eastAsia" w:ascii="宋体" w:hAnsi="宋体" w:cs="宋体"/>
          <w:kern w:val="0"/>
          <w:sz w:val="24"/>
        </w:rPr>
        <w:t>采购项目</w:t>
      </w:r>
    </w:p>
    <w:p w14:paraId="53D7C1EB">
      <w:pPr>
        <w:spacing w:line="360" w:lineRule="auto"/>
        <w:ind w:firstLine="480" w:firstLineChars="200"/>
        <w:rPr>
          <w:rFonts w:ascii="宋体" w:hAnsi="宋体" w:cs="宋体"/>
          <w:sz w:val="24"/>
        </w:rPr>
      </w:pPr>
      <w:r>
        <w:rPr>
          <w:rFonts w:hint="eastAsia" w:ascii="宋体" w:hAnsi="宋体" w:cs="宋体"/>
          <w:sz w:val="24"/>
        </w:rPr>
        <w:t>2、项目内容</w:t>
      </w:r>
    </w:p>
    <w:p w14:paraId="297F383A">
      <w:pPr>
        <w:spacing w:line="360" w:lineRule="auto"/>
        <w:ind w:firstLine="480" w:firstLineChars="200"/>
        <w:rPr>
          <w:rFonts w:ascii="宋体" w:hAnsi="宋体" w:cs="宋体"/>
          <w:bCs/>
          <w:kern w:val="0"/>
          <w:sz w:val="24"/>
        </w:rPr>
      </w:pPr>
      <w:r>
        <w:rPr>
          <w:rFonts w:hint="eastAsia" w:ascii="宋体" w:hAnsi="宋体" w:cs="宋体"/>
          <w:bCs/>
          <w:kern w:val="0"/>
          <w:sz w:val="24"/>
        </w:rPr>
        <w:t>云态势感知探针扩容</w:t>
      </w:r>
    </w:p>
    <w:tbl>
      <w:tblPr>
        <w:tblStyle w:val="5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106"/>
        <w:gridCol w:w="2268"/>
      </w:tblGrid>
      <w:tr w14:paraId="19ED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1" w:type="dxa"/>
            <w:vAlign w:val="center"/>
          </w:tcPr>
          <w:p w14:paraId="2562F3FF">
            <w:pPr>
              <w:jc w:val="center"/>
              <w:rPr>
                <w:rFonts w:ascii="宋体" w:hAnsi="宋体" w:cs="宋体"/>
                <w:b/>
                <w:bCs/>
                <w:sz w:val="24"/>
              </w:rPr>
            </w:pPr>
            <w:r>
              <w:rPr>
                <w:rFonts w:hint="eastAsia" w:ascii="宋体" w:hAnsi="宋体" w:cs="宋体"/>
                <w:b/>
                <w:bCs/>
                <w:sz w:val="24"/>
              </w:rPr>
              <w:t>序号</w:t>
            </w:r>
          </w:p>
        </w:tc>
        <w:tc>
          <w:tcPr>
            <w:tcW w:w="4106" w:type="dxa"/>
            <w:vAlign w:val="center"/>
          </w:tcPr>
          <w:p w14:paraId="52ED48E9">
            <w:pPr>
              <w:jc w:val="center"/>
              <w:rPr>
                <w:rFonts w:ascii="宋体" w:hAnsi="宋体" w:cs="宋体"/>
                <w:b/>
                <w:bCs/>
                <w:sz w:val="24"/>
              </w:rPr>
            </w:pPr>
            <w:r>
              <w:rPr>
                <w:rFonts w:hint="eastAsia" w:ascii="宋体" w:hAnsi="宋体" w:cs="宋体"/>
                <w:b/>
                <w:bCs/>
                <w:sz w:val="24"/>
              </w:rPr>
              <w:t>采购设备名称</w:t>
            </w:r>
          </w:p>
        </w:tc>
        <w:tc>
          <w:tcPr>
            <w:tcW w:w="2268" w:type="dxa"/>
            <w:vAlign w:val="center"/>
          </w:tcPr>
          <w:p w14:paraId="08F1C2AA">
            <w:pPr>
              <w:jc w:val="center"/>
              <w:rPr>
                <w:rFonts w:ascii="宋体" w:hAnsi="宋体" w:cs="宋体"/>
                <w:b/>
                <w:bCs/>
                <w:sz w:val="24"/>
              </w:rPr>
            </w:pPr>
            <w:r>
              <w:rPr>
                <w:rFonts w:hint="eastAsia" w:ascii="宋体" w:hAnsi="宋体" w:cs="宋体"/>
                <w:b/>
                <w:bCs/>
                <w:sz w:val="24"/>
              </w:rPr>
              <w:t>数量</w:t>
            </w:r>
          </w:p>
        </w:tc>
      </w:tr>
      <w:tr w14:paraId="5AF8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1" w:type="dxa"/>
            <w:vAlign w:val="center"/>
          </w:tcPr>
          <w:p w14:paraId="02DE72F9">
            <w:pPr>
              <w:jc w:val="center"/>
              <w:rPr>
                <w:rFonts w:ascii="宋体" w:hAnsi="宋体" w:cs="宋体"/>
                <w:bCs/>
                <w:sz w:val="24"/>
              </w:rPr>
            </w:pPr>
            <w:r>
              <w:rPr>
                <w:rFonts w:hint="eastAsia" w:ascii="宋体" w:hAnsi="宋体" w:cs="宋体"/>
                <w:bCs/>
                <w:sz w:val="24"/>
              </w:rPr>
              <w:t>1</w:t>
            </w:r>
          </w:p>
        </w:tc>
        <w:tc>
          <w:tcPr>
            <w:tcW w:w="4106" w:type="dxa"/>
            <w:vAlign w:val="center"/>
          </w:tcPr>
          <w:p w14:paraId="234AB058">
            <w:pPr>
              <w:jc w:val="center"/>
              <w:rPr>
                <w:rFonts w:ascii="宋体" w:hAnsi="宋体" w:cs="宋体"/>
                <w:bCs/>
                <w:sz w:val="24"/>
              </w:rPr>
            </w:pPr>
            <w:r>
              <w:rPr>
                <w:rFonts w:hint="eastAsia" w:ascii="宋体" w:hAnsi="宋体" w:cs="宋体"/>
                <w:bCs/>
                <w:sz w:val="24"/>
              </w:rPr>
              <w:t>云态势感知国产化探针</w:t>
            </w:r>
          </w:p>
        </w:tc>
        <w:tc>
          <w:tcPr>
            <w:tcW w:w="2268" w:type="dxa"/>
            <w:vAlign w:val="center"/>
          </w:tcPr>
          <w:p w14:paraId="78FA7CA4">
            <w:pPr>
              <w:jc w:val="center"/>
              <w:rPr>
                <w:rFonts w:ascii="宋体" w:hAnsi="宋体" w:cs="宋体"/>
                <w:bCs/>
                <w:sz w:val="24"/>
              </w:rPr>
            </w:pPr>
            <w:r>
              <w:rPr>
                <w:rFonts w:hint="eastAsia" w:ascii="宋体" w:hAnsi="宋体" w:cs="宋体"/>
                <w:bCs/>
                <w:sz w:val="24"/>
              </w:rPr>
              <w:t>1台</w:t>
            </w:r>
          </w:p>
        </w:tc>
      </w:tr>
      <w:tr w14:paraId="1023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51" w:type="dxa"/>
            <w:vAlign w:val="center"/>
          </w:tcPr>
          <w:p w14:paraId="717B6E78">
            <w:pPr>
              <w:jc w:val="center"/>
              <w:rPr>
                <w:rFonts w:ascii="宋体" w:hAnsi="宋体" w:cs="宋体"/>
                <w:bCs/>
                <w:sz w:val="24"/>
              </w:rPr>
            </w:pPr>
            <w:r>
              <w:rPr>
                <w:rFonts w:hint="eastAsia" w:ascii="宋体" w:hAnsi="宋体" w:cs="宋体"/>
                <w:bCs/>
                <w:sz w:val="24"/>
              </w:rPr>
              <w:t>2</w:t>
            </w:r>
          </w:p>
        </w:tc>
        <w:tc>
          <w:tcPr>
            <w:tcW w:w="4106" w:type="dxa"/>
            <w:vAlign w:val="center"/>
          </w:tcPr>
          <w:p w14:paraId="33F43DF2">
            <w:pPr>
              <w:jc w:val="center"/>
              <w:rPr>
                <w:rFonts w:ascii="宋体" w:hAnsi="宋体" w:cs="宋体"/>
                <w:bCs/>
                <w:sz w:val="24"/>
              </w:rPr>
            </w:pPr>
            <w:r>
              <w:rPr>
                <w:rFonts w:hint="eastAsia" w:ascii="宋体" w:hAnsi="宋体" w:cs="宋体"/>
                <w:bCs/>
                <w:sz w:val="24"/>
              </w:rPr>
              <w:t>辅材</w:t>
            </w:r>
          </w:p>
        </w:tc>
        <w:tc>
          <w:tcPr>
            <w:tcW w:w="2268" w:type="dxa"/>
            <w:vAlign w:val="center"/>
          </w:tcPr>
          <w:p w14:paraId="741C4DC5">
            <w:pPr>
              <w:jc w:val="center"/>
              <w:rPr>
                <w:rFonts w:ascii="宋体" w:hAnsi="宋体" w:cs="宋体"/>
                <w:bCs/>
                <w:sz w:val="24"/>
              </w:rPr>
            </w:pPr>
            <w:r>
              <w:rPr>
                <w:rFonts w:hint="eastAsia" w:ascii="宋体" w:hAnsi="宋体" w:cs="宋体"/>
                <w:bCs/>
                <w:sz w:val="24"/>
              </w:rPr>
              <w:t>1套</w:t>
            </w:r>
          </w:p>
        </w:tc>
      </w:tr>
    </w:tbl>
    <w:p w14:paraId="2B029CEF">
      <w:pPr>
        <w:spacing w:line="360" w:lineRule="auto"/>
        <w:ind w:firstLine="482" w:firstLineChars="200"/>
        <w:rPr>
          <w:rFonts w:ascii="宋体" w:hAnsi="宋体" w:cs="宋体"/>
          <w:b/>
          <w:kern w:val="0"/>
          <w:sz w:val="24"/>
        </w:rPr>
      </w:pPr>
    </w:p>
    <w:p w14:paraId="586657B5">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14:paraId="54764613">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41E61CBE">
      <w:pPr>
        <w:widowControl/>
        <w:spacing w:line="360" w:lineRule="auto"/>
        <w:ind w:firstLine="475"/>
        <w:textAlignment w:val="bottom"/>
        <w:rPr>
          <w:rFonts w:ascii="宋体" w:hAnsi="宋体" w:cs="宋体"/>
          <w:sz w:val="24"/>
        </w:rPr>
      </w:pPr>
      <w:r>
        <w:rPr>
          <w:rFonts w:hint="eastAsia" w:ascii="宋体" w:hAnsi="宋体" w:cs="宋体"/>
          <w:b/>
          <w:sz w:val="24"/>
        </w:rPr>
        <w:t>三、</w:t>
      </w:r>
      <w:r>
        <w:rPr>
          <w:rFonts w:hint="eastAsia" w:ascii="宋体" w:hAnsi="宋体" w:cs="宋体"/>
          <w:b/>
          <w:bCs/>
          <w:sz w:val="24"/>
        </w:rPr>
        <w:t>合格供应商的基本资格要求</w:t>
      </w:r>
    </w:p>
    <w:p w14:paraId="0D6CBFD6">
      <w:pPr>
        <w:spacing w:line="360" w:lineRule="auto"/>
        <w:ind w:firstLine="420"/>
        <w:rPr>
          <w:bCs/>
          <w:sz w:val="24"/>
          <w:szCs w:val="21"/>
        </w:rPr>
      </w:pPr>
      <w:r>
        <w:rPr>
          <w:rFonts w:hint="eastAsia" w:ascii="宋体" w:hAnsi="宋体"/>
          <w:bCs/>
          <w:sz w:val="24"/>
        </w:rPr>
        <w:t>（一）供应商</w:t>
      </w:r>
      <w:r>
        <w:rPr>
          <w:rFonts w:ascii="宋体" w:hAnsi="宋体"/>
          <w:bCs/>
          <w:sz w:val="24"/>
        </w:rPr>
        <w:t>的资质要求：</w:t>
      </w:r>
    </w:p>
    <w:p w14:paraId="6454B227">
      <w:pPr>
        <w:spacing w:line="360" w:lineRule="auto"/>
        <w:ind w:firstLine="480" w:firstLineChars="200"/>
        <w:rPr>
          <w:rFonts w:ascii="宋体" w:hAnsi="宋体" w:cs="宋体"/>
          <w:sz w:val="24"/>
        </w:rPr>
      </w:pPr>
      <w:r>
        <w:rPr>
          <w:rFonts w:hint="eastAsia" w:ascii="宋体" w:hAnsi="宋体" w:cs="宋体"/>
          <w:sz w:val="24"/>
        </w:rPr>
        <w:t>1、供应商须为在中华人民共和国境内依法注册的独立法人或其它组织（提供法人或者其他组织的营业执照复印件）。</w:t>
      </w:r>
    </w:p>
    <w:p w14:paraId="38B1507C">
      <w:pPr>
        <w:spacing w:line="360" w:lineRule="auto"/>
        <w:ind w:firstLine="480" w:firstLineChars="200"/>
        <w:rPr>
          <w:rFonts w:ascii="宋体" w:hAnsi="宋体" w:cs="宋体"/>
          <w:sz w:val="24"/>
        </w:rPr>
      </w:pPr>
      <w:r>
        <w:rPr>
          <w:rFonts w:hint="eastAsia" w:ascii="宋体" w:hAnsi="宋体" w:cs="宋体"/>
          <w:sz w:val="24"/>
        </w:rPr>
        <w:t>2、供应商须承诺，采购人在其本国使用供应商提供的采购产品时，不存在任何已知的不合法的情形，也不存在任何已知的与第三方专利权、著作权、商标权或工业设计权相关的任何争议；如果有任何因采购人使用供应商提供的产品而提起的侵权指控，供应商须依法承担全部责任（格式见响应函）。</w:t>
      </w:r>
    </w:p>
    <w:p w14:paraId="5B505240">
      <w:pPr>
        <w:spacing w:line="360" w:lineRule="auto"/>
        <w:ind w:firstLine="480" w:firstLineChars="200"/>
        <w:rPr>
          <w:rFonts w:ascii="宋体" w:hAnsi="宋体" w:cs="宋体"/>
          <w:sz w:val="24"/>
        </w:rPr>
      </w:pPr>
      <w:r>
        <w:rPr>
          <w:rFonts w:hint="eastAsia" w:ascii="宋体" w:hAnsi="宋体" w:cs="宋体"/>
          <w:sz w:val="24"/>
        </w:rPr>
        <w:t>3、供应商须提供询价产品制造商针对本项目的授权书和服务承诺函。供应商</w:t>
      </w:r>
      <w:r>
        <w:rPr>
          <w:rFonts w:ascii="宋体" w:hAnsi="宋体" w:cs="宋体"/>
          <w:color w:val="000000" w:themeColor="text1"/>
          <w:kern w:val="0"/>
          <w:sz w:val="24"/>
          <w:szCs w:val="22"/>
        </w:rPr>
        <w:t>和</w:t>
      </w:r>
      <w:r>
        <w:rPr>
          <w:rFonts w:hint="eastAsia" w:ascii="宋体" w:hAnsi="宋体" w:cs="宋体"/>
          <w:sz w:val="24"/>
        </w:rPr>
        <w:t>询价产品制造商</w:t>
      </w:r>
      <w:r>
        <w:rPr>
          <w:rFonts w:ascii="宋体" w:hAnsi="宋体" w:cs="宋体"/>
          <w:color w:val="000000" w:themeColor="text1"/>
          <w:kern w:val="0"/>
          <w:sz w:val="24"/>
          <w:szCs w:val="22"/>
        </w:rPr>
        <w:t>不可同时参与本项目。</w:t>
      </w:r>
    </w:p>
    <w:p w14:paraId="1EEBDDF0">
      <w:pPr>
        <w:spacing w:line="360" w:lineRule="auto"/>
        <w:ind w:firstLine="480" w:firstLineChars="200"/>
        <w:rPr>
          <w:rFonts w:ascii="宋体" w:hAnsi="宋体" w:cs="宋体"/>
          <w:sz w:val="24"/>
        </w:rPr>
      </w:pPr>
      <w:r>
        <w:rPr>
          <w:rFonts w:hint="eastAsia" w:ascii="宋体" w:hAnsi="宋体" w:cs="宋体"/>
          <w:sz w:val="24"/>
        </w:rPr>
        <w:t>4、本项目不接受联合体响应。</w:t>
      </w:r>
    </w:p>
    <w:p w14:paraId="452E13D8">
      <w:pPr>
        <w:spacing w:line="360" w:lineRule="auto"/>
        <w:ind w:firstLine="420"/>
        <w:rPr>
          <w:rFonts w:ascii="宋体" w:hAnsi="宋体"/>
          <w:bCs/>
          <w:sz w:val="24"/>
        </w:rPr>
      </w:pPr>
      <w:r>
        <w:rPr>
          <w:rFonts w:hint="eastAsia" w:ascii="宋体" w:hAnsi="宋体"/>
          <w:bCs/>
          <w:sz w:val="24"/>
        </w:rPr>
        <w:t>（二）产品</w:t>
      </w:r>
      <w:r>
        <w:rPr>
          <w:rFonts w:ascii="宋体" w:hAnsi="宋体"/>
          <w:bCs/>
          <w:sz w:val="24"/>
        </w:rPr>
        <w:t>的资质要求：</w:t>
      </w:r>
    </w:p>
    <w:p w14:paraId="742619A1">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、本次询价产品须具备公安部颁发</w:t>
      </w:r>
      <w:r>
        <w:rPr>
          <w:rFonts w:ascii="宋体" w:hAnsi="宋体" w:cs="宋体"/>
          <w:sz w:val="24"/>
        </w:rPr>
        <w:t>的</w:t>
      </w:r>
      <w:r>
        <w:rPr>
          <w:rFonts w:hint="eastAsia" w:ascii="宋体" w:hAnsi="宋体" w:cs="宋体"/>
          <w:sz w:val="24"/>
        </w:rPr>
        <w:t>《网络安全专用产品安全检测证书》。</w:t>
      </w:r>
    </w:p>
    <w:p w14:paraId="2A5FF0FF">
      <w:pPr>
        <w:pStyle w:val="2"/>
      </w:pPr>
    </w:p>
    <w:p w14:paraId="3B5CF424">
      <w:pPr>
        <w:widowControl/>
        <w:spacing w:line="360" w:lineRule="auto"/>
        <w:ind w:firstLine="482" w:firstLineChars="200"/>
        <w:jc w:val="left"/>
      </w:pPr>
      <w:r>
        <w:rPr>
          <w:rFonts w:hint="eastAsia" w:ascii="宋体" w:hAnsi="宋体" w:cs="宋体"/>
          <w:b/>
          <w:bCs/>
          <w:color w:val="191919"/>
          <w:kern w:val="0"/>
          <w:sz w:val="24"/>
          <w:shd w:val="clear" w:color="auto" w:fill="FFFFFF"/>
        </w:rPr>
        <w:t>四、询价文件的获取</w:t>
      </w:r>
    </w:p>
    <w:p w14:paraId="5B37BB2E">
      <w:pPr>
        <w:widowControl/>
        <w:spacing w:line="360" w:lineRule="auto"/>
        <w:ind w:firstLine="420"/>
        <w:jc w:val="left"/>
        <w:rPr>
          <w:rFonts w:ascii="宋体" w:hAnsi="宋体" w:cs="宋体"/>
          <w:color w:val="191919"/>
          <w:kern w:val="0"/>
          <w:sz w:val="24"/>
          <w:shd w:val="clear" w:color="auto" w:fill="FFFFFF"/>
        </w:rPr>
      </w:pPr>
      <w:r>
        <w:rPr>
          <w:rFonts w:hint="eastAsia" w:ascii="宋体" w:hAnsi="宋体" w:eastAsia="宋体" w:cs="Arial"/>
          <w:color w:val="191919"/>
          <w:kern w:val="0"/>
          <w:sz w:val="24"/>
          <w:szCs w:val="24"/>
          <w:shd w:val="clear" w:color="auto" w:fill="FFFFFF"/>
        </w:rPr>
        <w:t>发布及登记时间：2024年9月18日至2024年9月25日止，每日上午9：00-12：00，下午14：00-17：00（北京时间）</w:t>
      </w:r>
      <w:r>
        <w:rPr>
          <w:rFonts w:ascii="宋体" w:hAnsi="宋体" w:cs="宋体"/>
          <w:color w:val="191919"/>
          <w:kern w:val="0"/>
          <w:sz w:val="24"/>
          <w:shd w:val="clear" w:color="auto" w:fill="FFFFFF"/>
        </w:rPr>
        <w:t>。</w:t>
      </w:r>
    </w:p>
    <w:p w14:paraId="74191204">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发放方式：询价文件在报名后自行下载，请响应供应商联系采购人进行报名登记，具体报名方式为将响应函（详见第六章 询价响应文件格式附件1：响应函）加盖公司公章同时发至邮箱caoting</w:t>
      </w:r>
      <w:r>
        <w:rPr>
          <w:rFonts w:ascii="宋体" w:hAnsi="宋体" w:cs="宋体"/>
          <w:color w:val="191919"/>
          <w:kern w:val="0"/>
          <w:sz w:val="24"/>
          <w:shd w:val="clear" w:color="auto" w:fill="FFFFFF"/>
        </w:rPr>
        <w:t>@jscnnet.com</w:t>
      </w:r>
      <w:r>
        <w:rPr>
          <w:rFonts w:hint="eastAsia" w:ascii="宋体" w:hAnsi="宋体" w:cs="宋体"/>
          <w:color w:val="191919"/>
          <w:kern w:val="0"/>
          <w:sz w:val="24"/>
          <w:shd w:val="clear" w:color="auto" w:fill="FFFFFF"/>
        </w:rPr>
        <w:t>，未在文件发放日内完成登记的不得参与本项目。</w:t>
      </w:r>
    </w:p>
    <w:p w14:paraId="55E48B6F">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登记方式：请响应人将该项目负责人姓名、联系电话（手机）、联系信箱发至采购人，超过</w:t>
      </w:r>
      <w:r>
        <w:rPr>
          <w:rFonts w:hint="eastAsia" w:ascii="宋体" w:hAnsi="宋体" w:eastAsia="宋体" w:cs="Arial"/>
          <w:color w:val="191919"/>
          <w:kern w:val="0"/>
          <w:sz w:val="24"/>
          <w:szCs w:val="24"/>
          <w:shd w:val="clear" w:color="auto" w:fill="FFFFFF"/>
        </w:rPr>
        <w:t>2024年9月25日</w:t>
      </w:r>
      <w:r>
        <w:rPr>
          <w:rFonts w:ascii="宋体" w:hAnsi="宋体" w:cs="宋体"/>
          <w:color w:val="191919"/>
          <w:kern w:val="0"/>
          <w:sz w:val="24"/>
          <w:shd w:val="clear" w:color="auto" w:fill="FFFFFF"/>
        </w:rPr>
        <w:t>下午17:00再登记的视为无效。</w:t>
      </w:r>
    </w:p>
    <w:p w14:paraId="4A2E45B4">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项目联系人：吴非 025-8</w:t>
      </w:r>
      <w:r>
        <w:rPr>
          <w:rFonts w:ascii="宋体" w:hAnsi="宋体" w:cs="宋体"/>
          <w:color w:val="191919"/>
          <w:kern w:val="0"/>
          <w:sz w:val="24"/>
          <w:shd w:val="clear" w:color="auto" w:fill="FFFFFF"/>
        </w:rPr>
        <w:t>72</w:t>
      </w:r>
      <w:r>
        <w:rPr>
          <w:rFonts w:hint="eastAsia" w:ascii="宋体" w:hAnsi="宋体" w:cs="宋体"/>
          <w:color w:val="191919"/>
          <w:kern w:val="0"/>
          <w:sz w:val="24"/>
          <w:shd w:val="clear" w:color="auto" w:fill="FFFFFF"/>
        </w:rPr>
        <w:t>3160</w:t>
      </w:r>
      <w:r>
        <w:rPr>
          <w:rFonts w:ascii="宋体" w:hAnsi="宋体" w:cs="宋体"/>
          <w:color w:val="191919"/>
          <w:kern w:val="0"/>
          <w:sz w:val="24"/>
          <w:shd w:val="clear" w:color="auto" w:fill="FFFFFF"/>
        </w:rPr>
        <w:t>4</w:t>
      </w:r>
    </w:p>
    <w:p w14:paraId="35F04D0B">
      <w:pPr>
        <w:widowControl/>
        <w:spacing w:line="360" w:lineRule="auto"/>
        <w:ind w:firstLine="482" w:firstLineChars="200"/>
        <w:jc w:val="left"/>
      </w:pPr>
      <w:r>
        <w:rPr>
          <w:rFonts w:hint="eastAsia" w:ascii="宋体" w:hAnsi="宋体" w:cs="宋体"/>
          <w:b/>
          <w:bCs/>
          <w:color w:val="191919"/>
          <w:kern w:val="0"/>
          <w:sz w:val="24"/>
          <w:shd w:val="clear" w:color="auto" w:fill="FFFFFF"/>
        </w:rPr>
        <w:t>五、响应文件的递交和谈判</w:t>
      </w:r>
    </w:p>
    <w:p w14:paraId="562DBC68">
      <w:pPr>
        <w:widowControl/>
        <w:spacing w:line="360" w:lineRule="auto"/>
        <w:ind w:firstLine="420"/>
        <w:jc w:val="left"/>
      </w:pPr>
      <w:r>
        <w:rPr>
          <w:rFonts w:hint="eastAsia" w:ascii="宋体" w:hAnsi="宋体" w:cs="宋体"/>
          <w:color w:val="191919"/>
          <w:kern w:val="0"/>
          <w:sz w:val="24"/>
          <w:shd w:val="clear" w:color="auto" w:fill="FFFFFF"/>
        </w:rPr>
        <w:t>递交响应文件截止</w:t>
      </w:r>
      <w:bookmarkStart w:id="80" w:name="_GoBack"/>
      <w:bookmarkEnd w:id="80"/>
      <w:r>
        <w:rPr>
          <w:rFonts w:hint="eastAsia" w:ascii="宋体" w:hAnsi="宋体" w:cs="宋体"/>
          <w:color w:val="191919"/>
          <w:kern w:val="0"/>
          <w:sz w:val="24"/>
          <w:shd w:val="clear" w:color="auto" w:fill="FFFFFF"/>
        </w:rPr>
        <w:t>时间：</w:t>
      </w:r>
      <w:r>
        <w:rPr>
          <w:rFonts w:hint="eastAsia" w:ascii="宋体" w:hAnsi="宋体" w:eastAsia="宋体" w:cs="Arial"/>
          <w:color w:val="191919"/>
          <w:kern w:val="0"/>
          <w:sz w:val="24"/>
          <w:szCs w:val="24"/>
          <w:shd w:val="clear" w:color="auto" w:fill="FFFFFF"/>
        </w:rPr>
        <w:t>2024年9月27日上午9:30</w:t>
      </w:r>
      <w:r>
        <w:rPr>
          <w:rFonts w:hint="eastAsia" w:ascii="宋体" w:hAnsi="宋体" w:cs="宋体"/>
          <w:color w:val="191919"/>
          <w:kern w:val="0"/>
          <w:sz w:val="24"/>
          <w:shd w:val="clear" w:color="auto" w:fill="FFFFFF"/>
        </w:rPr>
        <w:t>，随后组织询价。逾期收到或不按照询价文件要求密封的响应文件恕不接受。</w:t>
      </w:r>
    </w:p>
    <w:p w14:paraId="3E448CA5">
      <w:pPr>
        <w:widowControl/>
        <w:spacing w:line="360" w:lineRule="auto"/>
        <w:ind w:firstLine="420"/>
        <w:jc w:val="left"/>
      </w:pPr>
      <w:r>
        <w:rPr>
          <w:rFonts w:hint="eastAsia" w:ascii="宋体" w:hAnsi="宋体" w:cs="宋体"/>
          <w:color w:val="191919"/>
          <w:kern w:val="0"/>
          <w:sz w:val="24"/>
          <w:shd w:val="clear" w:color="auto" w:fill="FFFFFF"/>
        </w:rPr>
        <w:t>递交响应文件地点：南京市玄武区运粮河西路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4</w:t>
      </w:r>
      <w:r>
        <w:rPr>
          <w:rFonts w:hint="eastAsia" w:ascii="宋体" w:hAnsi="宋体" w:cs="宋体"/>
          <w:color w:val="191919"/>
          <w:kern w:val="0"/>
          <w:sz w:val="24"/>
          <w:shd w:val="clear" w:color="auto" w:fill="FFFFFF"/>
        </w:rPr>
        <w:t>楼技术中心。</w:t>
      </w:r>
    </w:p>
    <w:p w14:paraId="23CD0E4A">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曹婷，电话：</w:t>
      </w:r>
      <w:r>
        <w:rPr>
          <w:rFonts w:ascii="宋体" w:hAnsi="宋体" w:cs="宋体"/>
          <w:color w:val="191919"/>
          <w:kern w:val="0"/>
          <w:sz w:val="24"/>
        </w:rPr>
        <w:t>025-</w:t>
      </w:r>
      <w:r>
        <w:rPr>
          <w:rFonts w:ascii="宋体" w:hAnsi="宋体" w:cs="宋体"/>
          <w:color w:val="191919"/>
          <w:kern w:val="0"/>
          <w:sz w:val="24"/>
          <w:shd w:val="clear" w:color="auto" w:fill="FFFFFF"/>
        </w:rPr>
        <w:t>8</w:t>
      </w:r>
      <w:r>
        <w:rPr>
          <w:rFonts w:hint="eastAsia" w:ascii="宋体" w:hAnsi="宋体" w:cs="宋体"/>
          <w:color w:val="191919"/>
          <w:kern w:val="0"/>
          <w:sz w:val="24"/>
          <w:shd w:val="clear" w:color="auto" w:fill="FFFFFF"/>
        </w:rPr>
        <w:t>7231519</w:t>
      </w:r>
      <w:r>
        <w:rPr>
          <w:rFonts w:ascii="宋体" w:hAnsi="宋体" w:cs="宋体"/>
          <w:color w:val="191919"/>
          <w:kern w:val="0"/>
          <w:sz w:val="24"/>
        </w:rPr>
        <w:t>。</w:t>
      </w:r>
    </w:p>
    <w:p w14:paraId="7C5711A6">
      <w:pPr>
        <w:widowControl/>
        <w:spacing w:line="360" w:lineRule="auto"/>
        <w:ind w:firstLine="420"/>
        <w:jc w:val="left"/>
      </w:pPr>
      <w:r>
        <w:rPr>
          <w:rFonts w:hint="eastAsia" w:ascii="宋体" w:hAnsi="宋体" w:cs="宋体"/>
          <w:color w:val="191919"/>
          <w:kern w:val="0"/>
          <w:sz w:val="24"/>
          <w:shd w:val="clear" w:color="auto" w:fill="FFFFFF"/>
        </w:rPr>
        <w:t>询价时间：</w:t>
      </w:r>
      <w:r>
        <w:rPr>
          <w:rFonts w:hint="eastAsia" w:ascii="宋体" w:hAnsi="宋体" w:eastAsia="宋体" w:cs="Arial"/>
          <w:color w:val="191919"/>
          <w:kern w:val="0"/>
          <w:sz w:val="24"/>
          <w:szCs w:val="24"/>
          <w:shd w:val="clear" w:color="auto" w:fill="FFFFFF"/>
        </w:rPr>
        <w:t>2024年9月27日14:00</w:t>
      </w:r>
      <w:r>
        <w:rPr>
          <w:rFonts w:hint="eastAsia" w:ascii="宋体" w:hAnsi="宋体" w:cs="宋体"/>
          <w:color w:val="191919"/>
          <w:kern w:val="0"/>
          <w:sz w:val="24"/>
          <w:shd w:val="clear" w:color="auto" w:fill="FFFFFF"/>
        </w:rPr>
        <w:t>。</w:t>
      </w:r>
    </w:p>
    <w:p w14:paraId="3A3F93E8">
      <w:pPr>
        <w:widowControl/>
        <w:spacing w:line="360" w:lineRule="auto"/>
        <w:ind w:firstLine="420"/>
        <w:jc w:val="left"/>
      </w:pPr>
      <w:r>
        <w:rPr>
          <w:rFonts w:hint="eastAsia" w:ascii="宋体" w:hAnsi="宋体" w:cs="宋体"/>
          <w:color w:val="191919"/>
          <w:kern w:val="0"/>
          <w:sz w:val="24"/>
          <w:shd w:val="clear" w:color="auto" w:fill="FFFFFF"/>
        </w:rPr>
        <w:t>询价地点：南京市玄武区运粮河西路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号楼4楼会议室。</w:t>
      </w:r>
    </w:p>
    <w:p w14:paraId="5DA6A380">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p w14:paraId="74DF0001">
      <w:pPr>
        <w:widowControl/>
        <w:spacing w:line="360" w:lineRule="auto"/>
        <w:ind w:firstLine="420"/>
        <w:jc w:val="left"/>
      </w:pPr>
      <w:r>
        <w:rPr>
          <w:rFonts w:hint="eastAsia" w:ascii="宋体" w:hAnsi="宋体" w:cs="宋体"/>
          <w:color w:val="191919"/>
          <w:kern w:val="0"/>
          <w:sz w:val="24"/>
          <w:shd w:val="clear" w:color="auto" w:fill="FFFFFF"/>
        </w:rPr>
        <w:t>本次采购事宜相关公告同时在江苏省广电有线信息网络股份有限公司官网（www.jscnnet.com）“招标采购”栏目、中国招标投标公共服务平台（http://www.cebpubservice.com/）及中国采购与招标网（https://www.chinabidding.com.cn/）上发布，其他媒介转载无效。。</w:t>
      </w:r>
    </w:p>
    <w:p w14:paraId="3983FB7F">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14:paraId="3A43FB46">
      <w:pPr>
        <w:spacing w:line="360" w:lineRule="auto"/>
        <w:ind w:firstLine="600" w:firstLineChars="250"/>
        <w:rPr>
          <w:rFonts w:ascii="宋体" w:hAnsi="宋体"/>
          <w:sz w:val="24"/>
        </w:rPr>
      </w:pPr>
      <w:r>
        <w:rPr>
          <w:rFonts w:hint="eastAsia" w:ascii="宋体" w:cs="宋体"/>
          <w:bCs/>
          <w:sz w:val="24"/>
        </w:rPr>
        <w:t>有关本次询价的事项若存在变动或修改，敬请及时关注网上发布的信息更正公告。</w:t>
      </w:r>
    </w:p>
    <w:p w14:paraId="1A58BA8B">
      <w:pPr>
        <w:autoSpaceDE w:val="0"/>
        <w:autoSpaceDN w:val="0"/>
        <w:spacing w:line="360" w:lineRule="auto"/>
        <w:ind w:firstLine="420" w:firstLineChars="200"/>
        <w:jc w:val="right"/>
        <w:rPr>
          <w:rFonts w:ascii="宋体" w:hAnsi="宋体"/>
          <w:szCs w:val="21"/>
        </w:rPr>
      </w:pPr>
    </w:p>
    <w:p w14:paraId="0315DE19"/>
    <w:p w14:paraId="71033C6C">
      <w:pPr>
        <w:widowControl/>
        <w:autoSpaceDE w:val="0"/>
        <w:autoSpaceDN w:val="0"/>
        <w:adjustRightInd w:val="0"/>
        <w:snapToGrid w:val="0"/>
        <w:spacing w:line="360" w:lineRule="auto"/>
        <w:ind w:firstLine="402" w:firstLineChars="200"/>
        <w:jc w:val="center"/>
        <w:textAlignment w:val="bottom"/>
        <w:rPr>
          <w:b/>
          <w:sz w:val="32"/>
        </w:rPr>
      </w:pPr>
      <w:r>
        <w:rPr>
          <w:rFonts w:hint="eastAsia" w:ascii="宋体" w:hAnsi="宋体" w:cs="宋体"/>
          <w:b/>
          <w:sz w:val="20"/>
          <w:szCs w:val="20"/>
        </w:rPr>
        <w:br w:type="page"/>
      </w:r>
    </w:p>
    <w:p w14:paraId="1FF32946">
      <w:pPr>
        <w:pStyle w:val="3"/>
        <w:spacing w:line="360" w:lineRule="auto"/>
        <w:jc w:val="center"/>
        <w:rPr>
          <w:rFonts w:eastAsia="黑体"/>
          <w:sz w:val="52"/>
          <w:szCs w:val="52"/>
        </w:rPr>
      </w:pPr>
      <w:r>
        <w:rPr>
          <w:rFonts w:hint="eastAsia" w:eastAsia="黑体"/>
          <w:sz w:val="52"/>
          <w:szCs w:val="52"/>
        </w:rPr>
        <w:t>第二章 供应商须知</w:t>
      </w:r>
    </w:p>
    <w:p w14:paraId="25D85947">
      <w:pPr>
        <w:keepNext/>
        <w:keepLines/>
        <w:spacing w:line="360" w:lineRule="auto"/>
        <w:jc w:val="center"/>
        <w:outlineLvl w:val="0"/>
        <w:rPr>
          <w:rFonts w:eastAsia="黑体"/>
          <w:b/>
          <w:bCs/>
          <w:kern w:val="44"/>
          <w:sz w:val="36"/>
          <w:szCs w:val="36"/>
        </w:rPr>
      </w:pPr>
      <w:bookmarkStart w:id="0" w:name="_Toc226969276"/>
      <w:bookmarkStart w:id="1" w:name="_Toc107822483"/>
      <w:bookmarkStart w:id="2" w:name="_Toc69378616"/>
      <w:bookmarkStart w:id="3" w:name="_Toc227057883"/>
      <w:r>
        <w:rPr>
          <w:rFonts w:hint="eastAsia" w:eastAsia="黑体"/>
          <w:b/>
          <w:bCs/>
          <w:kern w:val="44"/>
          <w:sz w:val="36"/>
          <w:szCs w:val="36"/>
        </w:rPr>
        <w:t>第二章 询价</w:t>
      </w:r>
      <w:r>
        <w:rPr>
          <w:rFonts w:eastAsia="黑体"/>
          <w:b/>
          <w:bCs/>
          <w:kern w:val="44"/>
          <w:sz w:val="36"/>
          <w:szCs w:val="36"/>
        </w:rPr>
        <w:t>须知</w:t>
      </w:r>
    </w:p>
    <w:p w14:paraId="39C1838E">
      <w:pPr>
        <w:jc w:val="center"/>
        <w:rPr>
          <w:sz w:val="28"/>
          <w:szCs w:val="28"/>
        </w:rPr>
      </w:pPr>
      <w:r>
        <w:rPr>
          <w:rFonts w:hint="eastAsia"/>
          <w:sz w:val="28"/>
          <w:szCs w:val="28"/>
        </w:rPr>
        <w:t>供应商须知前附表</w:t>
      </w:r>
    </w:p>
    <w:p w14:paraId="7D444625">
      <w:pPr>
        <w:spacing w:line="360" w:lineRule="auto"/>
        <w:ind w:firstLine="480" w:firstLineChars="200"/>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9"/>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41"/>
        <w:gridCol w:w="1036"/>
        <w:gridCol w:w="1526"/>
        <w:gridCol w:w="7137"/>
      </w:tblGrid>
      <w:tr w14:paraId="4F9DCE9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14:paraId="69B68BDA">
            <w:pPr>
              <w:spacing w:line="320" w:lineRule="exact"/>
              <w:jc w:val="center"/>
              <w:rPr>
                <w:b/>
                <w:sz w:val="24"/>
              </w:rPr>
            </w:pPr>
            <w:r>
              <w:rPr>
                <w:rFonts w:hint="eastAsia"/>
                <w:b/>
                <w:sz w:val="24"/>
              </w:rPr>
              <w:t>序号</w:t>
            </w:r>
          </w:p>
        </w:tc>
        <w:tc>
          <w:tcPr>
            <w:tcW w:w="501" w:type="pct"/>
            <w:tcBorders>
              <w:top w:val="single" w:color="auto" w:sz="6" w:space="0"/>
            </w:tcBorders>
            <w:vAlign w:val="center"/>
          </w:tcPr>
          <w:p w14:paraId="491D8BB4">
            <w:pPr>
              <w:spacing w:line="320" w:lineRule="exact"/>
              <w:jc w:val="center"/>
              <w:rPr>
                <w:b/>
                <w:sz w:val="24"/>
              </w:rPr>
            </w:pPr>
            <w:r>
              <w:rPr>
                <w:rFonts w:hint="eastAsia"/>
                <w:b/>
                <w:sz w:val="24"/>
              </w:rPr>
              <w:t>条款号</w:t>
            </w:r>
          </w:p>
        </w:tc>
        <w:tc>
          <w:tcPr>
            <w:tcW w:w="738" w:type="pct"/>
            <w:tcBorders>
              <w:top w:val="single" w:color="auto" w:sz="6" w:space="0"/>
            </w:tcBorders>
            <w:vAlign w:val="center"/>
          </w:tcPr>
          <w:p w14:paraId="053A0B05">
            <w:pPr>
              <w:spacing w:line="320" w:lineRule="exact"/>
              <w:jc w:val="center"/>
              <w:rPr>
                <w:b/>
                <w:sz w:val="24"/>
              </w:rPr>
            </w:pPr>
            <w:r>
              <w:rPr>
                <w:rFonts w:hint="eastAsia"/>
                <w:b/>
                <w:sz w:val="24"/>
              </w:rPr>
              <w:t>内容</w:t>
            </w:r>
          </w:p>
        </w:tc>
        <w:tc>
          <w:tcPr>
            <w:tcW w:w="3451" w:type="pct"/>
            <w:tcBorders>
              <w:top w:val="single" w:color="auto" w:sz="6" w:space="0"/>
            </w:tcBorders>
            <w:vAlign w:val="center"/>
          </w:tcPr>
          <w:p w14:paraId="409F16D6">
            <w:pPr>
              <w:spacing w:line="320" w:lineRule="exact"/>
              <w:jc w:val="center"/>
              <w:rPr>
                <w:b/>
                <w:sz w:val="24"/>
              </w:rPr>
            </w:pPr>
            <w:r>
              <w:rPr>
                <w:rFonts w:hint="eastAsia"/>
                <w:b/>
                <w:sz w:val="24"/>
              </w:rPr>
              <w:t>说明与要求</w:t>
            </w:r>
          </w:p>
        </w:tc>
      </w:tr>
      <w:tr w14:paraId="6A193FE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10B68EE">
            <w:pPr>
              <w:spacing w:line="320" w:lineRule="exact"/>
              <w:jc w:val="center"/>
              <w:rPr>
                <w:sz w:val="24"/>
              </w:rPr>
            </w:pPr>
            <w:r>
              <w:rPr>
                <w:sz w:val="24"/>
              </w:rPr>
              <w:t>1</w:t>
            </w:r>
          </w:p>
        </w:tc>
        <w:tc>
          <w:tcPr>
            <w:tcW w:w="501" w:type="pct"/>
            <w:vAlign w:val="center"/>
          </w:tcPr>
          <w:p w14:paraId="73C0F07F">
            <w:pPr>
              <w:spacing w:line="320" w:lineRule="exact"/>
              <w:jc w:val="center"/>
              <w:rPr>
                <w:sz w:val="24"/>
              </w:rPr>
            </w:pPr>
            <w:r>
              <w:rPr>
                <w:sz w:val="24"/>
              </w:rPr>
              <w:t>1.1</w:t>
            </w:r>
          </w:p>
        </w:tc>
        <w:tc>
          <w:tcPr>
            <w:tcW w:w="738" w:type="pct"/>
            <w:vAlign w:val="center"/>
          </w:tcPr>
          <w:p w14:paraId="15730F6E">
            <w:pPr>
              <w:spacing w:line="320" w:lineRule="exact"/>
              <w:jc w:val="center"/>
              <w:rPr>
                <w:sz w:val="24"/>
              </w:rPr>
            </w:pPr>
            <w:r>
              <w:rPr>
                <w:rFonts w:hint="eastAsia"/>
                <w:sz w:val="24"/>
              </w:rPr>
              <w:t>采购人</w:t>
            </w:r>
          </w:p>
        </w:tc>
        <w:tc>
          <w:tcPr>
            <w:tcW w:w="3451" w:type="pct"/>
            <w:vAlign w:val="center"/>
          </w:tcPr>
          <w:p w14:paraId="5DBA2218">
            <w:pPr>
              <w:spacing w:line="320" w:lineRule="exact"/>
              <w:rPr>
                <w:sz w:val="24"/>
              </w:rPr>
            </w:pPr>
            <w:r>
              <w:rPr>
                <w:rFonts w:hint="eastAsia"/>
                <w:sz w:val="24"/>
              </w:rPr>
              <w:t>江苏省广电有线信息网络股份有限公司，以下简称“采购人”</w:t>
            </w:r>
          </w:p>
        </w:tc>
      </w:tr>
      <w:tr w14:paraId="570B87A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D77B9A7">
            <w:pPr>
              <w:spacing w:line="320" w:lineRule="exact"/>
              <w:jc w:val="center"/>
              <w:rPr>
                <w:sz w:val="24"/>
              </w:rPr>
            </w:pPr>
            <w:r>
              <w:rPr>
                <w:sz w:val="24"/>
              </w:rPr>
              <w:t>2</w:t>
            </w:r>
          </w:p>
        </w:tc>
        <w:tc>
          <w:tcPr>
            <w:tcW w:w="501" w:type="pct"/>
            <w:vAlign w:val="center"/>
          </w:tcPr>
          <w:p w14:paraId="595A0E6B">
            <w:pPr>
              <w:spacing w:line="320" w:lineRule="exact"/>
              <w:jc w:val="center"/>
              <w:rPr>
                <w:sz w:val="24"/>
              </w:rPr>
            </w:pPr>
          </w:p>
        </w:tc>
        <w:tc>
          <w:tcPr>
            <w:tcW w:w="738" w:type="pct"/>
            <w:vAlign w:val="center"/>
          </w:tcPr>
          <w:p w14:paraId="1177E521">
            <w:pPr>
              <w:spacing w:line="320" w:lineRule="exact"/>
              <w:jc w:val="center"/>
              <w:rPr>
                <w:sz w:val="24"/>
              </w:rPr>
            </w:pPr>
            <w:r>
              <w:rPr>
                <w:rFonts w:hint="eastAsia"/>
                <w:sz w:val="24"/>
              </w:rPr>
              <w:t>代理机构</w:t>
            </w:r>
          </w:p>
        </w:tc>
        <w:tc>
          <w:tcPr>
            <w:tcW w:w="3451" w:type="pct"/>
            <w:vAlign w:val="center"/>
          </w:tcPr>
          <w:p w14:paraId="21183895">
            <w:pPr>
              <w:spacing w:line="320" w:lineRule="exact"/>
              <w:rPr>
                <w:sz w:val="24"/>
              </w:rPr>
            </w:pPr>
            <w:r>
              <w:rPr>
                <w:rFonts w:hint="eastAsia"/>
                <w:sz w:val="24"/>
              </w:rPr>
              <w:t>本项目无代理机构</w:t>
            </w:r>
          </w:p>
        </w:tc>
      </w:tr>
      <w:tr w14:paraId="28DB369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14:paraId="5930DFD4">
            <w:pPr>
              <w:spacing w:line="320" w:lineRule="exact"/>
              <w:jc w:val="center"/>
              <w:rPr>
                <w:sz w:val="24"/>
              </w:rPr>
            </w:pPr>
            <w:r>
              <w:rPr>
                <w:sz w:val="24"/>
              </w:rPr>
              <w:t>3</w:t>
            </w:r>
          </w:p>
        </w:tc>
        <w:tc>
          <w:tcPr>
            <w:tcW w:w="501" w:type="pct"/>
            <w:vAlign w:val="center"/>
          </w:tcPr>
          <w:p w14:paraId="7CDE5018">
            <w:pPr>
              <w:spacing w:line="320" w:lineRule="exact"/>
              <w:jc w:val="center"/>
              <w:rPr>
                <w:sz w:val="24"/>
              </w:rPr>
            </w:pPr>
            <w:r>
              <w:rPr>
                <w:sz w:val="24"/>
              </w:rPr>
              <w:t>1.2</w:t>
            </w:r>
          </w:p>
        </w:tc>
        <w:tc>
          <w:tcPr>
            <w:tcW w:w="738" w:type="pct"/>
            <w:vAlign w:val="center"/>
          </w:tcPr>
          <w:p w14:paraId="68FF87CB">
            <w:pPr>
              <w:spacing w:line="320" w:lineRule="exact"/>
              <w:jc w:val="center"/>
              <w:rPr>
                <w:sz w:val="24"/>
              </w:rPr>
            </w:pPr>
            <w:r>
              <w:rPr>
                <w:rFonts w:hint="eastAsia"/>
                <w:sz w:val="24"/>
              </w:rPr>
              <w:t>合格的供应商</w:t>
            </w:r>
          </w:p>
        </w:tc>
        <w:tc>
          <w:tcPr>
            <w:tcW w:w="3451" w:type="pct"/>
            <w:vAlign w:val="center"/>
          </w:tcPr>
          <w:p w14:paraId="48678FF2">
            <w:pPr>
              <w:spacing w:line="320" w:lineRule="exact"/>
              <w:rPr>
                <w:sz w:val="24"/>
              </w:rPr>
            </w:pPr>
            <w:r>
              <w:rPr>
                <w:rFonts w:hint="eastAsia"/>
                <w:sz w:val="24"/>
              </w:rPr>
              <w:t>见询价文件第一章《询价公告》</w:t>
            </w:r>
          </w:p>
        </w:tc>
      </w:tr>
      <w:tr w14:paraId="74DEB58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224D791">
            <w:pPr>
              <w:spacing w:line="320" w:lineRule="exact"/>
              <w:jc w:val="center"/>
              <w:rPr>
                <w:sz w:val="24"/>
              </w:rPr>
            </w:pPr>
            <w:r>
              <w:rPr>
                <w:sz w:val="24"/>
              </w:rPr>
              <w:t>4</w:t>
            </w:r>
          </w:p>
        </w:tc>
        <w:tc>
          <w:tcPr>
            <w:tcW w:w="501" w:type="pct"/>
            <w:vAlign w:val="center"/>
          </w:tcPr>
          <w:p w14:paraId="253ECFCB">
            <w:pPr>
              <w:spacing w:line="320" w:lineRule="exact"/>
              <w:jc w:val="center"/>
              <w:rPr>
                <w:sz w:val="24"/>
              </w:rPr>
            </w:pPr>
            <w:r>
              <w:rPr>
                <w:sz w:val="24"/>
              </w:rPr>
              <w:t>20.1</w:t>
            </w:r>
          </w:p>
        </w:tc>
        <w:tc>
          <w:tcPr>
            <w:tcW w:w="738" w:type="pct"/>
            <w:vAlign w:val="center"/>
          </w:tcPr>
          <w:p w14:paraId="77AAB579">
            <w:pPr>
              <w:spacing w:line="320" w:lineRule="exact"/>
              <w:jc w:val="center"/>
              <w:rPr>
                <w:sz w:val="24"/>
              </w:rPr>
            </w:pPr>
            <w:r>
              <w:rPr>
                <w:rFonts w:hint="eastAsia"/>
                <w:sz w:val="24"/>
              </w:rPr>
              <w:t>保密</w:t>
            </w:r>
          </w:p>
        </w:tc>
        <w:tc>
          <w:tcPr>
            <w:tcW w:w="3451" w:type="pct"/>
            <w:vAlign w:val="center"/>
          </w:tcPr>
          <w:p w14:paraId="6182E768">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14:paraId="1AF6125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500FD61F">
            <w:pPr>
              <w:spacing w:line="320" w:lineRule="exact"/>
              <w:jc w:val="center"/>
              <w:rPr>
                <w:sz w:val="24"/>
              </w:rPr>
            </w:pPr>
            <w:r>
              <w:rPr>
                <w:sz w:val="24"/>
              </w:rPr>
              <w:t>5</w:t>
            </w:r>
          </w:p>
        </w:tc>
        <w:tc>
          <w:tcPr>
            <w:tcW w:w="501" w:type="pct"/>
            <w:vAlign w:val="center"/>
          </w:tcPr>
          <w:p w14:paraId="0AAA42FB">
            <w:pPr>
              <w:spacing w:line="320" w:lineRule="exact"/>
              <w:jc w:val="center"/>
              <w:rPr>
                <w:sz w:val="24"/>
              </w:rPr>
            </w:pPr>
            <w:r>
              <w:rPr>
                <w:sz w:val="24"/>
              </w:rPr>
              <w:t>7.1</w:t>
            </w:r>
          </w:p>
          <w:p w14:paraId="4E759437">
            <w:pPr>
              <w:spacing w:line="320" w:lineRule="exact"/>
              <w:jc w:val="center"/>
              <w:rPr>
                <w:sz w:val="24"/>
              </w:rPr>
            </w:pPr>
            <w:r>
              <w:rPr>
                <w:rFonts w:hint="eastAsia"/>
                <w:sz w:val="24"/>
              </w:rPr>
              <w:t>2）</w:t>
            </w:r>
          </w:p>
        </w:tc>
        <w:tc>
          <w:tcPr>
            <w:tcW w:w="738" w:type="pct"/>
            <w:vAlign w:val="center"/>
          </w:tcPr>
          <w:p w14:paraId="4D5C598C">
            <w:pPr>
              <w:spacing w:line="320" w:lineRule="exact"/>
              <w:jc w:val="center"/>
              <w:rPr>
                <w:sz w:val="24"/>
              </w:rPr>
            </w:pPr>
            <w:r>
              <w:rPr>
                <w:rFonts w:hint="eastAsia" w:ascii="宋体" w:hAnsi="宋体"/>
                <w:sz w:val="24"/>
              </w:rPr>
              <w:t>资格证明文件</w:t>
            </w:r>
          </w:p>
        </w:tc>
        <w:tc>
          <w:tcPr>
            <w:tcW w:w="3451" w:type="pct"/>
            <w:vAlign w:val="center"/>
          </w:tcPr>
          <w:p w14:paraId="2C3FFB66">
            <w:pPr>
              <w:spacing w:line="320" w:lineRule="exact"/>
              <w:rPr>
                <w:sz w:val="24"/>
              </w:rPr>
            </w:pPr>
            <w:r>
              <w:rPr>
                <w:rFonts w:hint="eastAsia"/>
                <w:sz w:val="24"/>
              </w:rPr>
              <w:t>见询价文件第一章《询价公告》</w:t>
            </w:r>
          </w:p>
        </w:tc>
      </w:tr>
      <w:tr w14:paraId="2311364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99769F0">
            <w:pPr>
              <w:spacing w:line="320" w:lineRule="exact"/>
              <w:jc w:val="center"/>
              <w:rPr>
                <w:sz w:val="24"/>
              </w:rPr>
            </w:pPr>
            <w:r>
              <w:rPr>
                <w:sz w:val="24"/>
              </w:rPr>
              <w:t>6</w:t>
            </w:r>
          </w:p>
        </w:tc>
        <w:tc>
          <w:tcPr>
            <w:tcW w:w="501" w:type="pct"/>
            <w:vAlign w:val="center"/>
          </w:tcPr>
          <w:p w14:paraId="65746B75">
            <w:pPr>
              <w:spacing w:line="320" w:lineRule="exact"/>
              <w:jc w:val="center"/>
              <w:rPr>
                <w:sz w:val="24"/>
              </w:rPr>
            </w:pPr>
            <w:r>
              <w:rPr>
                <w:sz w:val="24"/>
              </w:rPr>
              <w:t>7.1</w:t>
            </w:r>
          </w:p>
          <w:p w14:paraId="2F3A159E">
            <w:pPr>
              <w:spacing w:line="320" w:lineRule="exact"/>
              <w:jc w:val="center"/>
              <w:rPr>
                <w:sz w:val="24"/>
              </w:rPr>
            </w:pPr>
            <w:r>
              <w:rPr>
                <w:rFonts w:hint="eastAsia"/>
                <w:sz w:val="24"/>
              </w:rPr>
              <w:t>3）</w:t>
            </w:r>
          </w:p>
        </w:tc>
        <w:tc>
          <w:tcPr>
            <w:tcW w:w="738" w:type="pct"/>
            <w:vAlign w:val="center"/>
          </w:tcPr>
          <w:p w14:paraId="28AC1448">
            <w:pPr>
              <w:spacing w:line="320" w:lineRule="exact"/>
              <w:jc w:val="center"/>
              <w:rPr>
                <w:sz w:val="24"/>
              </w:rPr>
            </w:pPr>
            <w:r>
              <w:rPr>
                <w:rFonts w:hint="eastAsia"/>
                <w:sz w:val="24"/>
              </w:rPr>
              <w:t>响应文件的技术部分中必须包括的内容</w:t>
            </w:r>
          </w:p>
        </w:tc>
        <w:tc>
          <w:tcPr>
            <w:tcW w:w="3451" w:type="pct"/>
          </w:tcPr>
          <w:p w14:paraId="4BB43622">
            <w:pPr>
              <w:spacing w:line="320" w:lineRule="exact"/>
              <w:rPr>
                <w:sz w:val="24"/>
              </w:rPr>
            </w:pPr>
            <w:r>
              <w:rPr>
                <w:rFonts w:hint="eastAsia"/>
                <w:sz w:val="24"/>
              </w:rPr>
              <w:t>对第五章《技术需求书》的逐项应答，逐项应答必须按照服务偏离表格式，对照询价文件需求，依据供应商本身服务，如实逐条说明所提供产品及</w:t>
            </w:r>
            <w:r>
              <w:rPr>
                <w:sz w:val="24"/>
              </w:rPr>
              <w:t>/</w:t>
            </w:r>
            <w:r>
              <w:rPr>
                <w:rFonts w:hint="eastAsia"/>
                <w:sz w:val="24"/>
              </w:rPr>
              <w:t>或服务已对询价文件的需求做出了实质性的响应，或申明与需求的偏差和例外。技术偏离表填报的内容必须对照报价一览表，对于可以用量化形式表示的条款，供应商必须明确回答，或以功能描述回答。</w:t>
            </w:r>
          </w:p>
        </w:tc>
      </w:tr>
      <w:tr w14:paraId="57B25CE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6B59AB5">
            <w:pPr>
              <w:spacing w:line="320" w:lineRule="exact"/>
              <w:jc w:val="center"/>
              <w:rPr>
                <w:sz w:val="24"/>
              </w:rPr>
            </w:pPr>
            <w:r>
              <w:rPr>
                <w:sz w:val="24"/>
              </w:rPr>
              <w:t>7</w:t>
            </w:r>
          </w:p>
        </w:tc>
        <w:tc>
          <w:tcPr>
            <w:tcW w:w="501" w:type="pct"/>
            <w:vAlign w:val="center"/>
          </w:tcPr>
          <w:p w14:paraId="5DA7AA7A">
            <w:pPr>
              <w:spacing w:line="320" w:lineRule="exact"/>
              <w:jc w:val="center"/>
              <w:rPr>
                <w:sz w:val="24"/>
              </w:rPr>
            </w:pPr>
            <w:r>
              <w:rPr>
                <w:sz w:val="24"/>
              </w:rPr>
              <w:t>7.1</w:t>
            </w:r>
          </w:p>
          <w:p w14:paraId="1AA09741">
            <w:pPr>
              <w:spacing w:line="320" w:lineRule="exact"/>
              <w:jc w:val="center"/>
              <w:rPr>
                <w:sz w:val="24"/>
              </w:rPr>
            </w:pPr>
            <w:r>
              <w:rPr>
                <w:rFonts w:hint="eastAsia"/>
                <w:sz w:val="24"/>
              </w:rPr>
              <w:t>6）</w:t>
            </w:r>
          </w:p>
        </w:tc>
        <w:tc>
          <w:tcPr>
            <w:tcW w:w="738" w:type="pct"/>
            <w:vAlign w:val="center"/>
          </w:tcPr>
          <w:p w14:paraId="3B5C362A">
            <w:pPr>
              <w:spacing w:line="320" w:lineRule="exact"/>
              <w:jc w:val="center"/>
              <w:rPr>
                <w:sz w:val="24"/>
              </w:rPr>
            </w:pPr>
            <w:r>
              <w:rPr>
                <w:rFonts w:hint="eastAsia"/>
                <w:sz w:val="24"/>
              </w:rPr>
              <w:t>合同文本的提供</w:t>
            </w:r>
          </w:p>
        </w:tc>
        <w:tc>
          <w:tcPr>
            <w:tcW w:w="3451" w:type="pct"/>
            <w:vAlign w:val="center"/>
          </w:tcPr>
          <w:p w14:paraId="6C0E7C7D">
            <w:pPr>
              <w:spacing w:line="320" w:lineRule="exact"/>
              <w:rPr>
                <w:sz w:val="24"/>
              </w:rPr>
            </w:pPr>
            <w:r>
              <w:rPr>
                <w:rFonts w:hint="eastAsia"/>
                <w:sz w:val="24"/>
              </w:rPr>
              <w:t>除了对询价文件的逐项应答（包括第四章《合同格式》）外，供应商还应提供一份完整的合同文本，作为响应文件的一部分，该合同文本对于询价文件第四章《合同格式》的任何负偏离均将导致响应文件被拒绝。</w:t>
            </w:r>
          </w:p>
        </w:tc>
      </w:tr>
      <w:tr w14:paraId="773285F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blHeader/>
          <w:jc w:val="center"/>
        </w:trPr>
        <w:tc>
          <w:tcPr>
            <w:tcW w:w="310" w:type="pct"/>
            <w:vAlign w:val="center"/>
          </w:tcPr>
          <w:p w14:paraId="517D4A36">
            <w:pPr>
              <w:spacing w:line="320" w:lineRule="exact"/>
              <w:jc w:val="center"/>
              <w:rPr>
                <w:sz w:val="24"/>
              </w:rPr>
            </w:pPr>
            <w:r>
              <w:rPr>
                <w:sz w:val="24"/>
              </w:rPr>
              <w:t>8</w:t>
            </w:r>
          </w:p>
        </w:tc>
        <w:tc>
          <w:tcPr>
            <w:tcW w:w="501" w:type="pct"/>
            <w:vAlign w:val="center"/>
          </w:tcPr>
          <w:p w14:paraId="3C12FE51">
            <w:pPr>
              <w:spacing w:line="320" w:lineRule="exact"/>
              <w:jc w:val="center"/>
              <w:rPr>
                <w:sz w:val="24"/>
              </w:rPr>
            </w:pPr>
            <w:r>
              <w:rPr>
                <w:sz w:val="24"/>
              </w:rPr>
              <w:t>8.1</w:t>
            </w:r>
          </w:p>
        </w:tc>
        <w:tc>
          <w:tcPr>
            <w:tcW w:w="738" w:type="pct"/>
            <w:vAlign w:val="center"/>
          </w:tcPr>
          <w:p w14:paraId="5BE851CD">
            <w:pPr>
              <w:spacing w:line="320" w:lineRule="exact"/>
              <w:jc w:val="center"/>
              <w:rPr>
                <w:sz w:val="24"/>
              </w:rPr>
            </w:pPr>
            <w:r>
              <w:rPr>
                <w:rFonts w:hint="eastAsia"/>
                <w:sz w:val="24"/>
              </w:rPr>
              <w:t>响应文件的式样和签署</w:t>
            </w:r>
          </w:p>
        </w:tc>
        <w:tc>
          <w:tcPr>
            <w:tcW w:w="3451" w:type="pct"/>
            <w:vAlign w:val="center"/>
          </w:tcPr>
          <w:p w14:paraId="00B1FABC">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14:paraId="24E327ED">
            <w:pPr>
              <w:keepNext/>
              <w:spacing w:line="320" w:lineRule="exact"/>
              <w:outlineLvl w:val="3"/>
              <w:rPr>
                <w:sz w:val="24"/>
              </w:rPr>
            </w:pPr>
            <w:r>
              <w:rPr>
                <w:rFonts w:hint="eastAsia"/>
                <w:sz w:val="24"/>
              </w:rPr>
              <w:t>响应文件采用软面胶装，并编制目录及逐页编码。特别地，供应商须对第三章《评审办法》中的评分要求逐项说明在响应文件中装订页码，并将该页装订在响应文件的首页。</w:t>
            </w:r>
          </w:p>
        </w:tc>
      </w:tr>
      <w:tr w14:paraId="4B7EE5D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37A2C83">
            <w:pPr>
              <w:spacing w:line="320" w:lineRule="exact"/>
              <w:jc w:val="center"/>
              <w:rPr>
                <w:sz w:val="24"/>
              </w:rPr>
            </w:pPr>
            <w:r>
              <w:rPr>
                <w:sz w:val="24"/>
              </w:rPr>
              <w:t>9</w:t>
            </w:r>
          </w:p>
        </w:tc>
        <w:tc>
          <w:tcPr>
            <w:tcW w:w="501" w:type="pct"/>
            <w:vAlign w:val="center"/>
          </w:tcPr>
          <w:p w14:paraId="3DE9957D">
            <w:pPr>
              <w:spacing w:line="320" w:lineRule="exact"/>
              <w:jc w:val="center"/>
              <w:rPr>
                <w:sz w:val="24"/>
              </w:rPr>
            </w:pPr>
            <w:r>
              <w:rPr>
                <w:sz w:val="24"/>
              </w:rPr>
              <w:t>9.1</w:t>
            </w:r>
          </w:p>
        </w:tc>
        <w:tc>
          <w:tcPr>
            <w:tcW w:w="738" w:type="pct"/>
            <w:vAlign w:val="center"/>
          </w:tcPr>
          <w:p w14:paraId="7FAB6CE6">
            <w:pPr>
              <w:spacing w:line="320" w:lineRule="exact"/>
              <w:jc w:val="center"/>
              <w:rPr>
                <w:sz w:val="24"/>
              </w:rPr>
            </w:pPr>
            <w:r>
              <w:rPr>
                <w:rFonts w:hint="eastAsia"/>
                <w:sz w:val="24"/>
              </w:rPr>
              <w:t>报价</w:t>
            </w:r>
          </w:p>
        </w:tc>
        <w:tc>
          <w:tcPr>
            <w:tcW w:w="3451" w:type="pct"/>
            <w:vAlign w:val="center"/>
          </w:tcPr>
          <w:p w14:paraId="2B3F73B1">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24886758">
            <w:pPr>
              <w:spacing w:line="320" w:lineRule="exact"/>
              <w:rPr>
                <w:sz w:val="24"/>
              </w:rPr>
            </w:pPr>
            <w:r>
              <w:rPr>
                <w:rFonts w:hint="eastAsia"/>
                <w:sz w:val="24"/>
              </w:rPr>
              <w:t>供应商必须保证所提供的服务能够完全满足采购人的项目建设需求，并充分考虑到采购人的售后服务需求。</w:t>
            </w:r>
          </w:p>
        </w:tc>
      </w:tr>
      <w:tr w14:paraId="25764CB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81E470C">
            <w:pPr>
              <w:spacing w:line="320" w:lineRule="exact"/>
              <w:jc w:val="center"/>
              <w:rPr>
                <w:sz w:val="24"/>
              </w:rPr>
            </w:pPr>
            <w:r>
              <w:rPr>
                <w:sz w:val="24"/>
              </w:rPr>
              <w:t>10</w:t>
            </w:r>
          </w:p>
        </w:tc>
        <w:tc>
          <w:tcPr>
            <w:tcW w:w="501" w:type="pct"/>
            <w:vAlign w:val="center"/>
          </w:tcPr>
          <w:p w14:paraId="35C3D94E">
            <w:pPr>
              <w:spacing w:line="320" w:lineRule="exact"/>
              <w:jc w:val="center"/>
              <w:rPr>
                <w:sz w:val="24"/>
              </w:rPr>
            </w:pPr>
          </w:p>
        </w:tc>
        <w:tc>
          <w:tcPr>
            <w:tcW w:w="738" w:type="pct"/>
            <w:vAlign w:val="center"/>
          </w:tcPr>
          <w:p w14:paraId="464A2885">
            <w:pPr>
              <w:spacing w:line="320" w:lineRule="exact"/>
              <w:jc w:val="center"/>
              <w:rPr>
                <w:sz w:val="24"/>
              </w:rPr>
            </w:pPr>
            <w:r>
              <w:rPr>
                <w:rFonts w:hint="eastAsia"/>
                <w:sz w:val="24"/>
              </w:rPr>
              <w:t>响应文件的盖章或签字</w:t>
            </w:r>
          </w:p>
        </w:tc>
        <w:tc>
          <w:tcPr>
            <w:tcW w:w="3451" w:type="pct"/>
            <w:vAlign w:val="center"/>
          </w:tcPr>
          <w:p w14:paraId="03BB6DB0">
            <w:pPr>
              <w:spacing w:line="320" w:lineRule="exact"/>
              <w:rPr>
                <w:sz w:val="24"/>
              </w:rPr>
            </w:pPr>
            <w:r>
              <w:rPr>
                <w:rFonts w:hint="eastAsia"/>
                <w:sz w:val="24"/>
              </w:rPr>
              <w:t>本条款增加规定：</w:t>
            </w:r>
          </w:p>
          <w:p w14:paraId="4EE0E025">
            <w:pPr>
              <w:spacing w:line="320" w:lineRule="exact"/>
              <w:rPr>
                <w:sz w:val="24"/>
              </w:rPr>
            </w:pPr>
            <w:r>
              <w:rPr>
                <w:rFonts w:hint="eastAsia"/>
                <w:sz w:val="24"/>
              </w:rPr>
              <w:t>1、询价文件第六章“响应文件格式”中有单位名称和法定代表人或其委托代理人签字落款的响应文件必须加盖单位公章。</w:t>
            </w:r>
          </w:p>
          <w:p w14:paraId="4CD639F3">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14:paraId="4786BB27">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14:paraId="6B5D626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7D98A9D">
            <w:pPr>
              <w:spacing w:line="320" w:lineRule="exact"/>
              <w:jc w:val="center"/>
              <w:rPr>
                <w:sz w:val="24"/>
              </w:rPr>
            </w:pPr>
            <w:r>
              <w:rPr>
                <w:sz w:val="24"/>
              </w:rPr>
              <w:t>11</w:t>
            </w:r>
          </w:p>
        </w:tc>
        <w:tc>
          <w:tcPr>
            <w:tcW w:w="501" w:type="pct"/>
            <w:vAlign w:val="center"/>
          </w:tcPr>
          <w:p w14:paraId="7AED7EC0">
            <w:pPr>
              <w:spacing w:line="320" w:lineRule="exact"/>
              <w:jc w:val="center"/>
              <w:rPr>
                <w:sz w:val="24"/>
                <w:szCs w:val="32"/>
              </w:rPr>
            </w:pPr>
            <w:r>
              <w:rPr>
                <w:sz w:val="24"/>
                <w:szCs w:val="32"/>
              </w:rPr>
              <w:t>11.1</w:t>
            </w:r>
          </w:p>
        </w:tc>
        <w:tc>
          <w:tcPr>
            <w:tcW w:w="738" w:type="pct"/>
            <w:vAlign w:val="center"/>
          </w:tcPr>
          <w:p w14:paraId="6F5EF398">
            <w:pPr>
              <w:spacing w:line="320" w:lineRule="exact"/>
              <w:jc w:val="center"/>
              <w:rPr>
                <w:sz w:val="24"/>
              </w:rPr>
            </w:pPr>
            <w:r>
              <w:rPr>
                <w:rFonts w:hint="eastAsia"/>
                <w:sz w:val="24"/>
              </w:rPr>
              <w:t>响应有效期</w:t>
            </w:r>
          </w:p>
        </w:tc>
        <w:tc>
          <w:tcPr>
            <w:tcW w:w="3451" w:type="pct"/>
            <w:vAlign w:val="center"/>
          </w:tcPr>
          <w:p w14:paraId="3130EC2E">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14:paraId="45267A7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6058C7E">
            <w:pPr>
              <w:spacing w:line="320" w:lineRule="exact"/>
              <w:jc w:val="center"/>
              <w:rPr>
                <w:sz w:val="24"/>
              </w:rPr>
            </w:pPr>
            <w:r>
              <w:rPr>
                <w:sz w:val="24"/>
              </w:rPr>
              <w:t>12</w:t>
            </w:r>
          </w:p>
        </w:tc>
        <w:tc>
          <w:tcPr>
            <w:tcW w:w="501" w:type="pct"/>
            <w:vAlign w:val="center"/>
          </w:tcPr>
          <w:p w14:paraId="3CD04E39">
            <w:pPr>
              <w:spacing w:line="320" w:lineRule="exact"/>
              <w:jc w:val="center"/>
              <w:rPr>
                <w:sz w:val="24"/>
                <w:szCs w:val="32"/>
              </w:rPr>
            </w:pPr>
            <w:r>
              <w:rPr>
                <w:sz w:val="24"/>
                <w:szCs w:val="32"/>
              </w:rPr>
              <w:t>13.1</w:t>
            </w:r>
          </w:p>
        </w:tc>
        <w:tc>
          <w:tcPr>
            <w:tcW w:w="738" w:type="pct"/>
            <w:vAlign w:val="center"/>
          </w:tcPr>
          <w:p w14:paraId="26D550D4">
            <w:pPr>
              <w:spacing w:line="320" w:lineRule="exact"/>
              <w:jc w:val="center"/>
              <w:rPr>
                <w:sz w:val="24"/>
              </w:rPr>
            </w:pPr>
            <w:r>
              <w:rPr>
                <w:rFonts w:hint="eastAsia"/>
                <w:sz w:val="24"/>
              </w:rPr>
              <w:t>递交响应文件截止时间</w:t>
            </w:r>
          </w:p>
        </w:tc>
        <w:tc>
          <w:tcPr>
            <w:tcW w:w="3451" w:type="pct"/>
            <w:vAlign w:val="center"/>
          </w:tcPr>
          <w:p w14:paraId="1000249E">
            <w:pPr>
              <w:spacing w:line="320" w:lineRule="exact"/>
              <w:rPr>
                <w:sz w:val="24"/>
              </w:rPr>
            </w:pPr>
            <w:r>
              <w:rPr>
                <w:rFonts w:hint="eastAsia"/>
                <w:sz w:val="24"/>
              </w:rPr>
              <w:t>见询价文件第一章《询价公告》</w:t>
            </w:r>
          </w:p>
        </w:tc>
      </w:tr>
      <w:tr w14:paraId="28EF6EF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14:paraId="7CBEBD0B">
            <w:pPr>
              <w:spacing w:line="320" w:lineRule="exact"/>
              <w:jc w:val="center"/>
              <w:rPr>
                <w:sz w:val="24"/>
              </w:rPr>
            </w:pPr>
            <w:r>
              <w:rPr>
                <w:sz w:val="24"/>
              </w:rPr>
              <w:t>13</w:t>
            </w:r>
          </w:p>
        </w:tc>
        <w:tc>
          <w:tcPr>
            <w:tcW w:w="501" w:type="pct"/>
            <w:vAlign w:val="center"/>
          </w:tcPr>
          <w:p w14:paraId="440A0F99">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14:paraId="0B74DAEF">
            <w:pPr>
              <w:spacing w:line="320" w:lineRule="exact"/>
              <w:jc w:val="center"/>
              <w:rPr>
                <w:sz w:val="24"/>
              </w:rPr>
            </w:pPr>
            <w:r>
              <w:rPr>
                <w:rFonts w:hint="eastAsia"/>
                <w:sz w:val="24"/>
              </w:rPr>
              <w:t>递交响应文件地点</w:t>
            </w:r>
          </w:p>
        </w:tc>
        <w:tc>
          <w:tcPr>
            <w:tcW w:w="3451" w:type="pct"/>
            <w:vAlign w:val="center"/>
          </w:tcPr>
          <w:p w14:paraId="51492FD9">
            <w:pPr>
              <w:spacing w:line="320" w:lineRule="exact"/>
              <w:rPr>
                <w:sz w:val="24"/>
              </w:rPr>
            </w:pPr>
            <w:r>
              <w:rPr>
                <w:rFonts w:hint="eastAsia"/>
                <w:sz w:val="24"/>
              </w:rPr>
              <w:t>见询价文件第一章《询价公告》</w:t>
            </w:r>
          </w:p>
        </w:tc>
      </w:tr>
      <w:tr w14:paraId="11FC475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35499793">
            <w:pPr>
              <w:spacing w:line="320" w:lineRule="exact"/>
              <w:jc w:val="center"/>
              <w:rPr>
                <w:sz w:val="24"/>
              </w:rPr>
            </w:pPr>
            <w:r>
              <w:rPr>
                <w:sz w:val="24"/>
              </w:rPr>
              <w:t>14</w:t>
            </w:r>
          </w:p>
        </w:tc>
        <w:tc>
          <w:tcPr>
            <w:tcW w:w="501" w:type="pct"/>
            <w:vAlign w:val="center"/>
          </w:tcPr>
          <w:p w14:paraId="736956FC">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14:paraId="2357B1A2">
            <w:pPr>
              <w:spacing w:line="320" w:lineRule="exact"/>
              <w:jc w:val="center"/>
              <w:rPr>
                <w:sz w:val="24"/>
              </w:rPr>
            </w:pPr>
            <w:r>
              <w:rPr>
                <w:rFonts w:hint="eastAsia"/>
                <w:sz w:val="24"/>
              </w:rPr>
              <w:t>如发现下列情况之一的，其响应文件将可能被拒绝</w:t>
            </w:r>
          </w:p>
        </w:tc>
        <w:tc>
          <w:tcPr>
            <w:tcW w:w="3451" w:type="pct"/>
            <w:vAlign w:val="center"/>
          </w:tcPr>
          <w:p w14:paraId="1BDCF4E2">
            <w:pPr>
              <w:spacing w:line="320" w:lineRule="exact"/>
              <w:rPr>
                <w:sz w:val="24"/>
              </w:rPr>
            </w:pPr>
            <w:r>
              <w:rPr>
                <w:sz w:val="24"/>
              </w:rPr>
              <w:t>1</w:t>
            </w:r>
            <w:r>
              <w:rPr>
                <w:rFonts w:hint="eastAsia"/>
                <w:sz w:val="24"/>
              </w:rPr>
              <w:t>、不满足询价文件对合格供应商的基本资质要求的；</w:t>
            </w:r>
          </w:p>
          <w:p w14:paraId="43CAE96B">
            <w:pPr>
              <w:spacing w:line="320" w:lineRule="exact"/>
              <w:rPr>
                <w:sz w:val="24"/>
              </w:rPr>
            </w:pPr>
            <w:r>
              <w:rPr>
                <w:rFonts w:hint="eastAsia"/>
                <w:sz w:val="24"/>
              </w:rPr>
              <w:t>2、供应商在响应文件中提供的服务内容及质量不能实质性满足询价文件要求或不能提供实质性满足证明的；</w:t>
            </w:r>
          </w:p>
          <w:p w14:paraId="319CE48C">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w:t>
            </w:r>
            <w:r>
              <w:rPr>
                <w:rFonts w:hint="eastAsia"/>
                <w:sz w:val="24"/>
              </w:rPr>
              <w:t>对第五章《技术需求书》</w:t>
            </w:r>
            <w:r>
              <w:rPr>
                <w:sz w:val="24"/>
              </w:rPr>
              <w:t>条款不能实质性满足</w:t>
            </w:r>
            <w:r>
              <w:rPr>
                <w:rFonts w:hint="eastAsia"/>
                <w:sz w:val="24"/>
              </w:rPr>
              <w:t>采购</w:t>
            </w:r>
            <w:r>
              <w:rPr>
                <w:sz w:val="24"/>
              </w:rPr>
              <w:t>文件要求或不能提供实质性满足证明的</w:t>
            </w:r>
            <w:r>
              <w:rPr>
                <w:rFonts w:hint="eastAsia"/>
                <w:sz w:val="24"/>
              </w:rPr>
              <w:t>；</w:t>
            </w:r>
          </w:p>
          <w:p w14:paraId="04B644BF">
            <w:pPr>
              <w:spacing w:line="320" w:lineRule="exact"/>
              <w:rPr>
                <w:sz w:val="24"/>
              </w:rPr>
            </w:pPr>
            <w:r>
              <w:rPr>
                <w:sz w:val="24"/>
              </w:rPr>
              <w:t>4</w:t>
            </w:r>
            <w:r>
              <w:rPr>
                <w:rFonts w:hint="eastAsia"/>
                <w:sz w:val="24"/>
              </w:rPr>
              <w:t>、供应商在响应文件中对于第四章《合同格式》有任何负偏离的；</w:t>
            </w:r>
          </w:p>
          <w:p w14:paraId="41B6FF19">
            <w:pPr>
              <w:spacing w:line="320" w:lineRule="exact"/>
              <w:rPr>
                <w:sz w:val="24"/>
              </w:rPr>
            </w:pPr>
            <w:r>
              <w:rPr>
                <w:sz w:val="24"/>
              </w:rPr>
              <w:t>5</w:t>
            </w:r>
            <w:r>
              <w:rPr>
                <w:rFonts w:hint="eastAsia"/>
                <w:sz w:val="24"/>
              </w:rPr>
              <w:t>、响应函、法人代表授权书不按照第六章《附件》的格式提供的；</w:t>
            </w:r>
          </w:p>
          <w:p w14:paraId="1C57FDCE">
            <w:pPr>
              <w:spacing w:line="320" w:lineRule="exact"/>
              <w:rPr>
                <w:sz w:val="24"/>
              </w:rPr>
            </w:pPr>
            <w:r>
              <w:rPr>
                <w:sz w:val="24"/>
              </w:rPr>
              <w:t>6</w:t>
            </w:r>
            <w:r>
              <w:rPr>
                <w:rFonts w:hint="eastAsia"/>
                <w:sz w:val="24"/>
              </w:rPr>
              <w:t>、资格证明文件不全、失效或不符合询价文件要求的；</w:t>
            </w:r>
          </w:p>
          <w:p w14:paraId="4EBE4EA7">
            <w:pPr>
              <w:spacing w:line="320" w:lineRule="exact"/>
              <w:rPr>
                <w:sz w:val="24"/>
              </w:rPr>
            </w:pPr>
            <w:r>
              <w:rPr>
                <w:sz w:val="24"/>
              </w:rPr>
              <w:t>7</w:t>
            </w:r>
            <w:r>
              <w:rPr>
                <w:rFonts w:hint="eastAsia"/>
                <w:sz w:val="24"/>
              </w:rPr>
              <w:t>、响应文件无法定代表人签字，或签字人无法定代表人有效授权的；</w:t>
            </w:r>
          </w:p>
          <w:p w14:paraId="78FB1CC7">
            <w:pPr>
              <w:spacing w:line="320" w:lineRule="exact"/>
              <w:rPr>
                <w:sz w:val="24"/>
              </w:rPr>
            </w:pPr>
            <w:r>
              <w:rPr>
                <w:sz w:val="24"/>
              </w:rPr>
              <w:t>8</w:t>
            </w:r>
            <w:r>
              <w:rPr>
                <w:rFonts w:hint="eastAsia"/>
                <w:sz w:val="24"/>
              </w:rPr>
              <w:t>、响应文件或响应有效期不足的；</w:t>
            </w:r>
          </w:p>
          <w:p w14:paraId="57485FD9">
            <w:pPr>
              <w:spacing w:line="320" w:lineRule="exact"/>
              <w:rPr>
                <w:sz w:val="24"/>
              </w:rPr>
            </w:pPr>
            <w:r>
              <w:rPr>
                <w:sz w:val="24"/>
              </w:rPr>
              <w:t>9</w:t>
            </w:r>
            <w:r>
              <w:rPr>
                <w:rFonts w:hint="eastAsia"/>
                <w:sz w:val="24"/>
              </w:rPr>
              <w:t>、响应文件中提供虚假或失实资料的；</w:t>
            </w:r>
          </w:p>
          <w:p w14:paraId="74E17088">
            <w:pPr>
              <w:spacing w:line="320" w:lineRule="exact"/>
              <w:rPr>
                <w:sz w:val="24"/>
              </w:rPr>
            </w:pPr>
            <w:r>
              <w:rPr>
                <w:sz w:val="24"/>
              </w:rPr>
              <w:t>10</w:t>
            </w:r>
            <w:r>
              <w:rPr>
                <w:rFonts w:hint="eastAsia"/>
                <w:sz w:val="24"/>
              </w:rPr>
              <w:t>、未按照询价文件规定的方式领取询价文件并按要求递交响应文件的；</w:t>
            </w:r>
          </w:p>
          <w:p w14:paraId="46A2DF49">
            <w:pPr>
              <w:spacing w:line="320" w:lineRule="exact"/>
              <w:rPr>
                <w:sz w:val="24"/>
              </w:rPr>
            </w:pPr>
            <w:r>
              <w:rPr>
                <w:sz w:val="24"/>
              </w:rPr>
              <w:t>11</w:t>
            </w:r>
            <w:r>
              <w:rPr>
                <w:rFonts w:hint="eastAsia"/>
                <w:sz w:val="24"/>
              </w:rPr>
              <w:t>、评审委员会认为不能实质上满足询价文件其它要求的。</w:t>
            </w:r>
          </w:p>
        </w:tc>
      </w:tr>
      <w:tr w14:paraId="34DF602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705B6AD1">
            <w:pPr>
              <w:spacing w:line="320" w:lineRule="exact"/>
              <w:jc w:val="center"/>
              <w:rPr>
                <w:sz w:val="24"/>
              </w:rPr>
            </w:pPr>
            <w:r>
              <w:rPr>
                <w:sz w:val="24"/>
              </w:rPr>
              <w:t>15</w:t>
            </w:r>
          </w:p>
        </w:tc>
        <w:tc>
          <w:tcPr>
            <w:tcW w:w="501" w:type="pct"/>
            <w:vAlign w:val="center"/>
          </w:tcPr>
          <w:p w14:paraId="3C4DC100">
            <w:pPr>
              <w:spacing w:line="320" w:lineRule="exact"/>
              <w:jc w:val="center"/>
              <w:rPr>
                <w:sz w:val="24"/>
                <w:szCs w:val="32"/>
              </w:rPr>
            </w:pPr>
            <w:r>
              <w:rPr>
                <w:rFonts w:hint="eastAsia"/>
                <w:sz w:val="24"/>
                <w:szCs w:val="32"/>
              </w:rPr>
              <w:t>20</w:t>
            </w:r>
          </w:p>
        </w:tc>
        <w:tc>
          <w:tcPr>
            <w:tcW w:w="738" w:type="pct"/>
            <w:vAlign w:val="center"/>
          </w:tcPr>
          <w:p w14:paraId="4705BBEE">
            <w:pPr>
              <w:spacing w:line="320" w:lineRule="exact"/>
              <w:jc w:val="center"/>
              <w:rPr>
                <w:sz w:val="24"/>
              </w:rPr>
            </w:pPr>
            <w:r>
              <w:rPr>
                <w:rFonts w:hint="eastAsia"/>
                <w:sz w:val="24"/>
              </w:rPr>
              <w:t>评审</w:t>
            </w:r>
          </w:p>
        </w:tc>
        <w:tc>
          <w:tcPr>
            <w:tcW w:w="3451" w:type="pct"/>
            <w:vAlign w:val="center"/>
          </w:tcPr>
          <w:p w14:paraId="481508C9">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14:paraId="1EE3EF80">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7E9FBFDE">
            <w:pPr>
              <w:spacing w:line="320" w:lineRule="exact"/>
              <w:rPr>
                <w:sz w:val="24"/>
              </w:rPr>
            </w:pPr>
            <w:r>
              <w:rPr>
                <w:rFonts w:hint="eastAsia"/>
                <w:sz w:val="24"/>
              </w:rPr>
              <w:t>3、供应商逾期递交的或不满足要求的最终报价和相关承诺将被拒绝，并将导致其询价响应文件实质上没有响应询价文件的要求。最终报价和相关承诺在递交后将不得更改，并将作为成交商的评审依据。</w:t>
            </w:r>
          </w:p>
          <w:p w14:paraId="7E76B5F6">
            <w:pPr>
              <w:spacing w:line="320" w:lineRule="exact"/>
              <w:rPr>
                <w:sz w:val="24"/>
              </w:rPr>
            </w:pPr>
            <w:r>
              <w:rPr>
                <w:rFonts w:hint="eastAsia"/>
                <w:sz w:val="24"/>
              </w:rPr>
              <w:t>4、评审委员会将对参加询价且实质上响应询价文件要求的各供应商进行评价和比较。评审的依据为谈判供应商递交的询价响应文件和谈判后递交的最终报价及承诺。详见第三章《成交办法》。</w:t>
            </w:r>
          </w:p>
          <w:p w14:paraId="018BE94F">
            <w:pPr>
              <w:spacing w:line="320" w:lineRule="exact"/>
              <w:rPr>
                <w:sz w:val="24"/>
              </w:rPr>
            </w:pPr>
            <w:r>
              <w:rPr>
                <w:sz w:val="24"/>
              </w:rPr>
              <w:t>5</w:t>
            </w:r>
            <w:r>
              <w:rPr>
                <w:rFonts w:hint="eastAsia"/>
                <w:sz w:val="24"/>
              </w:rPr>
              <w:t>、</w:t>
            </w:r>
            <w:r>
              <w:rPr>
                <w:rFonts w:hint="eastAsia" w:ascii="宋体" w:hAnsi="宋体" w:cs="宋体"/>
                <w:sz w:val="24"/>
              </w:rPr>
              <w:t>根据满足询价文件的全部技术和商务要求且</w:t>
            </w:r>
            <w:r>
              <w:rPr>
                <w:rFonts w:hint="eastAsia" w:ascii="宋体" w:hAnsi="宋体" w:cs="宋体"/>
                <w:b/>
                <w:sz w:val="24"/>
              </w:rPr>
              <w:t>报价由低到高的顺序</w:t>
            </w:r>
            <w:r>
              <w:rPr>
                <w:rFonts w:hint="eastAsia" w:ascii="宋体" w:hAnsi="宋体" w:cs="宋体"/>
                <w:sz w:val="24"/>
              </w:rPr>
              <w:t>确定成交候选人名单</w:t>
            </w:r>
            <w:r>
              <w:rPr>
                <w:rFonts w:hint="eastAsia"/>
                <w:sz w:val="24"/>
              </w:rPr>
              <w:t>。</w:t>
            </w:r>
          </w:p>
        </w:tc>
      </w:tr>
      <w:tr w14:paraId="3C3D81A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14:paraId="28D65A01">
            <w:pPr>
              <w:spacing w:line="320" w:lineRule="exact"/>
              <w:jc w:val="center"/>
              <w:rPr>
                <w:sz w:val="24"/>
              </w:rPr>
            </w:pPr>
            <w:r>
              <w:rPr>
                <w:sz w:val="24"/>
              </w:rPr>
              <w:t>16</w:t>
            </w:r>
          </w:p>
        </w:tc>
        <w:tc>
          <w:tcPr>
            <w:tcW w:w="501" w:type="pct"/>
            <w:vAlign w:val="center"/>
          </w:tcPr>
          <w:p w14:paraId="7E680C58">
            <w:pPr>
              <w:spacing w:line="320" w:lineRule="exact"/>
              <w:jc w:val="center"/>
              <w:rPr>
                <w:sz w:val="24"/>
                <w:szCs w:val="32"/>
              </w:rPr>
            </w:pPr>
            <w:r>
              <w:rPr>
                <w:rFonts w:hint="eastAsia"/>
                <w:sz w:val="24"/>
                <w:szCs w:val="32"/>
              </w:rPr>
              <w:t>22.1</w:t>
            </w:r>
          </w:p>
        </w:tc>
        <w:tc>
          <w:tcPr>
            <w:tcW w:w="738" w:type="pct"/>
            <w:vAlign w:val="center"/>
          </w:tcPr>
          <w:p w14:paraId="5C4271DF">
            <w:pPr>
              <w:spacing w:line="320" w:lineRule="exact"/>
              <w:jc w:val="center"/>
              <w:rPr>
                <w:sz w:val="24"/>
              </w:rPr>
            </w:pPr>
            <w:r>
              <w:rPr>
                <w:rFonts w:hint="eastAsia"/>
                <w:sz w:val="24"/>
              </w:rPr>
              <w:t>成交</w:t>
            </w:r>
          </w:p>
          <w:p w14:paraId="7A7FABC1">
            <w:pPr>
              <w:spacing w:line="320" w:lineRule="exact"/>
              <w:jc w:val="center"/>
              <w:rPr>
                <w:sz w:val="24"/>
              </w:rPr>
            </w:pPr>
            <w:r>
              <w:rPr>
                <w:rFonts w:hint="eastAsia"/>
                <w:sz w:val="24"/>
              </w:rPr>
              <w:t>供应商数量</w:t>
            </w:r>
          </w:p>
        </w:tc>
        <w:tc>
          <w:tcPr>
            <w:tcW w:w="3451" w:type="pct"/>
            <w:vAlign w:val="center"/>
          </w:tcPr>
          <w:p w14:paraId="0161176A">
            <w:pPr>
              <w:spacing w:line="320" w:lineRule="exact"/>
              <w:rPr>
                <w:sz w:val="24"/>
              </w:rPr>
            </w:pPr>
            <w:r>
              <w:rPr>
                <w:rFonts w:hint="eastAsia"/>
                <w:sz w:val="24"/>
              </w:rPr>
              <w:t>1名成交供应商。</w:t>
            </w:r>
          </w:p>
        </w:tc>
      </w:tr>
      <w:tr w14:paraId="09FF690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14:paraId="62E2A15A">
            <w:pPr>
              <w:spacing w:line="320" w:lineRule="exact"/>
              <w:jc w:val="center"/>
              <w:rPr>
                <w:sz w:val="24"/>
              </w:rPr>
            </w:pPr>
            <w:r>
              <w:rPr>
                <w:sz w:val="24"/>
              </w:rPr>
              <w:t>17</w:t>
            </w:r>
          </w:p>
        </w:tc>
        <w:tc>
          <w:tcPr>
            <w:tcW w:w="501" w:type="pct"/>
            <w:vAlign w:val="center"/>
          </w:tcPr>
          <w:p w14:paraId="5B2B8081">
            <w:pPr>
              <w:spacing w:line="320" w:lineRule="exact"/>
              <w:jc w:val="center"/>
              <w:rPr>
                <w:sz w:val="24"/>
                <w:szCs w:val="32"/>
              </w:rPr>
            </w:pPr>
            <w:r>
              <w:rPr>
                <w:rFonts w:hint="eastAsia"/>
                <w:sz w:val="24"/>
                <w:szCs w:val="32"/>
              </w:rPr>
              <w:t>24</w:t>
            </w:r>
          </w:p>
        </w:tc>
        <w:tc>
          <w:tcPr>
            <w:tcW w:w="738" w:type="pct"/>
            <w:vAlign w:val="center"/>
          </w:tcPr>
          <w:p w14:paraId="301FD91F">
            <w:pPr>
              <w:spacing w:line="320" w:lineRule="exact"/>
              <w:jc w:val="center"/>
              <w:rPr>
                <w:sz w:val="24"/>
              </w:rPr>
            </w:pPr>
            <w:r>
              <w:rPr>
                <w:rFonts w:hint="eastAsia"/>
                <w:sz w:val="24"/>
              </w:rPr>
              <w:t>签约</w:t>
            </w:r>
          </w:p>
        </w:tc>
        <w:tc>
          <w:tcPr>
            <w:tcW w:w="3451" w:type="pct"/>
            <w:vAlign w:val="center"/>
          </w:tcPr>
          <w:p w14:paraId="677D4017">
            <w:pPr>
              <w:spacing w:line="320" w:lineRule="exact"/>
              <w:rPr>
                <w:sz w:val="24"/>
              </w:rPr>
            </w:pPr>
            <w:r>
              <w:rPr>
                <w:rFonts w:hint="eastAsia"/>
                <w:sz w:val="24"/>
              </w:rPr>
              <w:t>采购人与本次成交供应商按本询价文件第四章合同格式签订合同。</w:t>
            </w:r>
          </w:p>
        </w:tc>
      </w:tr>
    </w:tbl>
    <w:p w14:paraId="22DBD8A4">
      <w:pPr>
        <w:ind w:firstLine="484" w:firstLineChars="202"/>
        <w:rPr>
          <w:sz w:val="24"/>
        </w:rPr>
      </w:pPr>
    </w:p>
    <w:p w14:paraId="2C3B5F02">
      <w:pPr>
        <w:widowControl/>
        <w:jc w:val="left"/>
        <w:rPr>
          <w:sz w:val="24"/>
        </w:rPr>
      </w:pPr>
      <w:r>
        <w:rPr>
          <w:sz w:val="24"/>
        </w:rPr>
        <w:br w:type="page"/>
      </w:r>
    </w:p>
    <w:p w14:paraId="48C97A5C">
      <w:pPr>
        <w:jc w:val="center"/>
        <w:rPr>
          <w:rFonts w:ascii="宋体" w:hAnsi="宋体"/>
          <w:b/>
          <w:sz w:val="32"/>
          <w:szCs w:val="32"/>
        </w:rPr>
      </w:pPr>
      <w:r>
        <w:rPr>
          <w:rFonts w:hint="eastAsia" w:ascii="宋体" w:hAnsi="宋体"/>
          <w:b/>
          <w:sz w:val="32"/>
          <w:szCs w:val="32"/>
        </w:rPr>
        <w:t>供应商须知</w:t>
      </w:r>
    </w:p>
    <w:p w14:paraId="216EE4F4">
      <w:pPr>
        <w:spacing w:line="360" w:lineRule="auto"/>
        <w:rPr>
          <w:rFonts w:ascii="宋体" w:hAnsi="宋体" w:cs="宋体"/>
          <w:b/>
          <w:sz w:val="24"/>
        </w:rPr>
      </w:pPr>
      <w:r>
        <w:rPr>
          <w:rFonts w:hint="eastAsia" w:ascii="宋体" w:hAnsi="宋体" w:cs="宋体"/>
          <w:b/>
          <w:sz w:val="24"/>
        </w:rPr>
        <w:t>一、说明</w:t>
      </w:r>
    </w:p>
    <w:p w14:paraId="2242EB7D">
      <w:pPr>
        <w:spacing w:line="360" w:lineRule="auto"/>
        <w:rPr>
          <w:rFonts w:ascii="宋体" w:hAnsi="宋体" w:cs="宋体"/>
          <w:sz w:val="24"/>
        </w:rPr>
      </w:pPr>
      <w:r>
        <w:rPr>
          <w:rFonts w:hint="eastAsia" w:ascii="宋体" w:hAnsi="宋体" w:cs="宋体"/>
          <w:sz w:val="24"/>
        </w:rPr>
        <w:t>1.采购人及合格的供应商</w:t>
      </w:r>
    </w:p>
    <w:p w14:paraId="5B67046E">
      <w:pPr>
        <w:spacing w:line="360" w:lineRule="auto"/>
        <w:rPr>
          <w:rFonts w:ascii="宋体" w:hAnsi="宋体" w:cs="宋体"/>
          <w:sz w:val="24"/>
        </w:rPr>
      </w:pPr>
      <w:r>
        <w:rPr>
          <w:rFonts w:hint="eastAsia" w:ascii="宋体" w:hAnsi="宋体" w:cs="宋体"/>
          <w:sz w:val="24"/>
        </w:rPr>
        <w:t>1.1 采购人是指国内采购产品的国家机关、企业、事业单位或其它组织。本项目采购人（详见《供应商须知前附表》）。</w:t>
      </w:r>
    </w:p>
    <w:p w14:paraId="1A7BC30B">
      <w:pPr>
        <w:spacing w:line="360" w:lineRule="auto"/>
        <w:rPr>
          <w:rFonts w:ascii="宋体" w:hAnsi="宋体" w:cs="宋体"/>
          <w:sz w:val="24"/>
        </w:rPr>
      </w:pPr>
      <w:r>
        <w:rPr>
          <w:rFonts w:hint="eastAsia" w:ascii="宋体" w:hAnsi="宋体" w:cs="宋体"/>
          <w:sz w:val="24"/>
        </w:rPr>
        <w:t>1.2合格的供应商（详见《供应商须知前附表》）。</w:t>
      </w:r>
    </w:p>
    <w:p w14:paraId="7308CEC3">
      <w:pPr>
        <w:spacing w:line="360" w:lineRule="auto"/>
        <w:rPr>
          <w:rFonts w:ascii="宋体" w:hAnsi="宋体" w:cs="宋体"/>
          <w:sz w:val="24"/>
        </w:rPr>
      </w:pPr>
      <w:r>
        <w:rPr>
          <w:rFonts w:hint="eastAsia" w:ascii="宋体" w:hAnsi="宋体" w:cs="宋体"/>
          <w:sz w:val="24"/>
        </w:rPr>
        <w:t>2.费用</w:t>
      </w:r>
    </w:p>
    <w:p w14:paraId="5CD7A89F">
      <w:pPr>
        <w:spacing w:line="360" w:lineRule="auto"/>
        <w:rPr>
          <w:rFonts w:ascii="宋体" w:hAnsi="宋体" w:cs="宋体"/>
          <w:sz w:val="24"/>
        </w:rPr>
      </w:pPr>
      <w:r>
        <w:rPr>
          <w:rFonts w:hint="eastAsia" w:ascii="宋体" w:hAnsi="宋体" w:cs="宋体"/>
          <w:sz w:val="24"/>
        </w:rPr>
        <w:t>2.1  供应商应承担所有与准备和参加竞争有关的费用。不论结果如何，采购人均无义务和责任承担这些费用。</w:t>
      </w:r>
    </w:p>
    <w:p w14:paraId="2B71DC4C">
      <w:pPr>
        <w:spacing w:line="360" w:lineRule="auto"/>
        <w:rPr>
          <w:rFonts w:ascii="宋体" w:hAnsi="宋体" w:cs="宋体"/>
          <w:sz w:val="24"/>
        </w:rPr>
      </w:pPr>
      <w:r>
        <w:rPr>
          <w:rFonts w:hint="eastAsia" w:ascii="宋体" w:hAnsi="宋体" w:cs="宋体"/>
          <w:b/>
          <w:sz w:val="24"/>
        </w:rPr>
        <w:t>二、询价文件</w:t>
      </w:r>
    </w:p>
    <w:p w14:paraId="78ED694F">
      <w:pPr>
        <w:spacing w:line="360" w:lineRule="auto"/>
        <w:rPr>
          <w:rFonts w:ascii="宋体" w:hAnsi="宋体" w:cs="宋体"/>
          <w:sz w:val="24"/>
        </w:rPr>
      </w:pPr>
      <w:r>
        <w:rPr>
          <w:rFonts w:hint="eastAsia" w:ascii="宋体" w:hAnsi="宋体" w:cs="宋体"/>
          <w:sz w:val="24"/>
        </w:rPr>
        <w:t>3.询价文件构成</w:t>
      </w:r>
    </w:p>
    <w:p w14:paraId="6E3DF20A">
      <w:pPr>
        <w:spacing w:line="360" w:lineRule="auto"/>
        <w:rPr>
          <w:rFonts w:ascii="宋体" w:hAnsi="宋体" w:cs="宋体"/>
          <w:sz w:val="24"/>
        </w:rPr>
      </w:pPr>
      <w:r>
        <w:rPr>
          <w:rFonts w:hint="eastAsia" w:ascii="宋体" w:hAnsi="宋体" w:cs="宋体"/>
          <w:sz w:val="24"/>
        </w:rPr>
        <w:t>3.1 询价文件共七章，内容如下：</w:t>
      </w:r>
    </w:p>
    <w:p w14:paraId="0385C9AF">
      <w:pPr>
        <w:spacing w:line="360" w:lineRule="auto"/>
        <w:rPr>
          <w:rFonts w:ascii="宋体" w:hAnsi="宋体" w:cs="宋体"/>
          <w:sz w:val="24"/>
        </w:rPr>
      </w:pPr>
      <w:r>
        <w:rPr>
          <w:rFonts w:hint="eastAsia" w:ascii="宋体" w:hAnsi="宋体" w:cs="宋体"/>
          <w:sz w:val="24"/>
        </w:rPr>
        <w:t>第一章询价公告</w:t>
      </w:r>
    </w:p>
    <w:p w14:paraId="236F6572">
      <w:pPr>
        <w:spacing w:line="360" w:lineRule="auto"/>
        <w:rPr>
          <w:rFonts w:ascii="宋体" w:hAnsi="宋体" w:cs="宋体"/>
          <w:sz w:val="24"/>
        </w:rPr>
      </w:pPr>
      <w:r>
        <w:rPr>
          <w:rFonts w:hint="eastAsia" w:ascii="宋体" w:hAnsi="宋体" w:cs="宋体"/>
          <w:sz w:val="24"/>
        </w:rPr>
        <w:t>第二章 供应商须知</w:t>
      </w:r>
    </w:p>
    <w:p w14:paraId="6D0C90DE">
      <w:pPr>
        <w:spacing w:line="360" w:lineRule="auto"/>
        <w:rPr>
          <w:rFonts w:ascii="宋体" w:hAnsi="宋体" w:cs="宋体"/>
          <w:sz w:val="24"/>
        </w:rPr>
      </w:pPr>
      <w:r>
        <w:rPr>
          <w:rFonts w:hint="eastAsia" w:ascii="宋体" w:hAnsi="宋体" w:cs="宋体"/>
          <w:sz w:val="24"/>
        </w:rPr>
        <w:t>第三章 成交办法</w:t>
      </w:r>
    </w:p>
    <w:p w14:paraId="4FC50752">
      <w:pPr>
        <w:spacing w:line="360" w:lineRule="auto"/>
        <w:rPr>
          <w:rFonts w:ascii="宋体" w:hAnsi="宋体" w:cs="宋体"/>
          <w:sz w:val="24"/>
        </w:rPr>
      </w:pPr>
      <w:r>
        <w:rPr>
          <w:rFonts w:hint="eastAsia" w:ascii="宋体" w:hAnsi="宋体" w:cs="宋体"/>
          <w:sz w:val="24"/>
        </w:rPr>
        <w:t>第四章合同格式</w:t>
      </w:r>
    </w:p>
    <w:p w14:paraId="06D4FADC">
      <w:pPr>
        <w:spacing w:line="360" w:lineRule="auto"/>
        <w:rPr>
          <w:rFonts w:ascii="宋体" w:hAnsi="宋体" w:cs="宋体"/>
          <w:sz w:val="24"/>
        </w:rPr>
      </w:pPr>
      <w:r>
        <w:rPr>
          <w:rFonts w:hint="eastAsia" w:ascii="宋体" w:hAnsi="宋体" w:cs="宋体"/>
          <w:sz w:val="24"/>
        </w:rPr>
        <w:t>第五章技术需求书</w:t>
      </w:r>
    </w:p>
    <w:p w14:paraId="5C462A6C">
      <w:pPr>
        <w:spacing w:line="360" w:lineRule="auto"/>
        <w:rPr>
          <w:rFonts w:ascii="宋体" w:hAnsi="宋体" w:cs="宋体"/>
          <w:sz w:val="24"/>
        </w:rPr>
      </w:pPr>
      <w:r>
        <w:rPr>
          <w:rFonts w:hint="eastAsia" w:ascii="宋体" w:hAnsi="宋体" w:cs="宋体"/>
          <w:sz w:val="24"/>
        </w:rPr>
        <w:t>第六章询价响应文件格式</w:t>
      </w:r>
    </w:p>
    <w:p w14:paraId="2CE43A4D">
      <w:pPr>
        <w:spacing w:line="360" w:lineRule="auto"/>
        <w:rPr>
          <w:rFonts w:ascii="宋体" w:hAnsi="宋体" w:cs="宋体"/>
          <w:sz w:val="24"/>
        </w:rPr>
      </w:pPr>
      <w:r>
        <w:rPr>
          <w:rFonts w:hint="eastAsia" w:ascii="宋体" w:hAnsi="宋体" w:cs="宋体"/>
          <w:sz w:val="24"/>
        </w:rPr>
        <w:t>第七章 其他</w:t>
      </w:r>
    </w:p>
    <w:p w14:paraId="2CAA7222">
      <w:pPr>
        <w:spacing w:line="360" w:lineRule="auto"/>
        <w:rPr>
          <w:rFonts w:ascii="宋体" w:hAnsi="宋体" w:cs="宋体"/>
          <w:sz w:val="24"/>
        </w:rPr>
      </w:pPr>
      <w:r>
        <w:rPr>
          <w:rFonts w:hint="eastAsia" w:ascii="宋体" w:hAnsi="宋体" w:cs="宋体"/>
          <w:sz w:val="24"/>
        </w:rPr>
        <w:t>3.2 供应商应认真阅读询价文件中所有的事项、格式、条款和技术规范等。供应商没有按照询价文件要求提交全部资料，或者响应文件没有对询价文件在各方面都作出实质性响应是供应商的风险，并可能导致其响应文件被拒绝。</w:t>
      </w:r>
    </w:p>
    <w:p w14:paraId="66BC5A00">
      <w:pPr>
        <w:spacing w:line="360" w:lineRule="auto"/>
        <w:rPr>
          <w:rFonts w:ascii="宋体" w:hAnsi="宋体" w:cs="宋体"/>
          <w:sz w:val="24"/>
        </w:rPr>
      </w:pPr>
      <w:r>
        <w:rPr>
          <w:rFonts w:hint="eastAsia" w:ascii="宋体" w:hAnsi="宋体" w:cs="宋体"/>
          <w:sz w:val="24"/>
        </w:rPr>
        <w:t>4.询价文件的澄清</w:t>
      </w:r>
    </w:p>
    <w:p w14:paraId="30AB94A9">
      <w:pPr>
        <w:spacing w:line="360" w:lineRule="auto"/>
        <w:rPr>
          <w:rFonts w:ascii="宋体" w:hAnsi="宋体" w:cs="宋体"/>
          <w:sz w:val="24"/>
        </w:rPr>
      </w:pPr>
      <w:r>
        <w:rPr>
          <w:rFonts w:hint="eastAsia" w:ascii="宋体" w:hAnsi="宋体" w:cs="宋体"/>
          <w:sz w:val="24"/>
        </w:rPr>
        <w:t>4.1 任何要求对询价文件进行澄清的供应商，均应按规定的递交响应文件截止期五（5）天前以书面形式通知采购人。逾期的澄清要求将不被接受。</w:t>
      </w:r>
    </w:p>
    <w:p w14:paraId="1EA33097">
      <w:pPr>
        <w:spacing w:line="360" w:lineRule="auto"/>
        <w:rPr>
          <w:rFonts w:ascii="宋体" w:hAnsi="宋体" w:cs="宋体"/>
          <w:sz w:val="24"/>
        </w:rPr>
      </w:pPr>
      <w:r>
        <w:rPr>
          <w:rFonts w:hint="eastAsia" w:ascii="宋体" w:hAnsi="宋体" w:cs="宋体"/>
          <w:sz w:val="24"/>
        </w:rPr>
        <w:t>5.询价文件的修改</w:t>
      </w:r>
    </w:p>
    <w:p w14:paraId="3B4EE0E5">
      <w:pPr>
        <w:spacing w:line="360" w:lineRule="auto"/>
        <w:rPr>
          <w:rFonts w:ascii="宋体" w:hAnsi="宋体" w:cs="宋体"/>
          <w:sz w:val="24"/>
        </w:rPr>
      </w:pPr>
      <w:r>
        <w:rPr>
          <w:rFonts w:hint="eastAsia" w:ascii="宋体" w:hAnsi="宋体" w:cs="宋体"/>
          <w:sz w:val="24"/>
        </w:rPr>
        <w:t>5.1为使供应商准备响应文件时有充分时间对询价文件的修改部分进行研究，采购人可自行决定是否延长递交响应文件截止时间。</w:t>
      </w:r>
    </w:p>
    <w:p w14:paraId="362D7E97">
      <w:pPr>
        <w:spacing w:line="360" w:lineRule="auto"/>
        <w:rPr>
          <w:rFonts w:ascii="宋体" w:hAnsi="宋体" w:cs="宋体"/>
          <w:sz w:val="24"/>
        </w:rPr>
      </w:pPr>
      <w:r>
        <w:rPr>
          <w:rFonts w:hint="eastAsia" w:ascii="宋体" w:hAnsi="宋体" w:cs="宋体"/>
          <w:sz w:val="24"/>
        </w:rPr>
        <w:t>5.2 在递交响应文件截止时间（包含延长了的递交响应文件截止时间）五（5）天以前的任何时候，无论出于何种原因，采购人可主动地或在解答供应商提出的澄清问题时对询价文件进行修改。</w:t>
      </w:r>
    </w:p>
    <w:p w14:paraId="02D00C5E">
      <w:pPr>
        <w:spacing w:line="360" w:lineRule="auto"/>
        <w:rPr>
          <w:rFonts w:ascii="宋体" w:hAnsi="宋体" w:cs="宋体"/>
          <w:sz w:val="24"/>
        </w:rPr>
      </w:pPr>
      <w:r>
        <w:rPr>
          <w:rFonts w:hint="eastAsia" w:ascii="宋体" w:hAnsi="宋体" w:cs="宋体"/>
          <w:sz w:val="24"/>
        </w:rPr>
        <w:t>5.3 询价文件的修改将以书面形式在递交响应文件截止时间（包含延长了的递交响应文件截止时间）五（5）天前通知参与询价的供应商，并对其具有约束力。供应商在收到上述通知后，应立即向采购人回函确认已收到上述通知，但是供应商的回函不作为其收到上述通知的唯一证据。</w:t>
      </w:r>
    </w:p>
    <w:p w14:paraId="31B900F4">
      <w:pPr>
        <w:spacing w:line="360" w:lineRule="auto"/>
        <w:rPr>
          <w:rFonts w:ascii="宋体" w:hAnsi="宋体" w:cs="宋体"/>
          <w:b/>
          <w:sz w:val="24"/>
        </w:rPr>
      </w:pPr>
      <w:r>
        <w:rPr>
          <w:rFonts w:hint="eastAsia" w:ascii="宋体" w:hAnsi="宋体" w:cs="宋体"/>
          <w:b/>
          <w:sz w:val="24"/>
        </w:rPr>
        <w:t>三、响应文件的编制</w:t>
      </w:r>
    </w:p>
    <w:p w14:paraId="68136273">
      <w:pPr>
        <w:spacing w:line="360" w:lineRule="auto"/>
        <w:rPr>
          <w:rFonts w:ascii="宋体" w:hAnsi="宋体" w:cs="宋体"/>
          <w:sz w:val="24"/>
        </w:rPr>
      </w:pPr>
      <w:r>
        <w:rPr>
          <w:rFonts w:hint="eastAsia" w:ascii="宋体" w:hAnsi="宋体" w:cs="宋体"/>
          <w:sz w:val="24"/>
        </w:rPr>
        <w:t>6.响应文件的语言</w:t>
      </w:r>
    </w:p>
    <w:p w14:paraId="3C7E6FFA">
      <w:pPr>
        <w:spacing w:line="360" w:lineRule="auto"/>
        <w:rPr>
          <w:rFonts w:ascii="宋体" w:hAnsi="宋体" w:cs="宋体"/>
          <w:sz w:val="24"/>
        </w:rPr>
      </w:pPr>
      <w:r>
        <w:rPr>
          <w:rFonts w:hint="eastAsia" w:ascii="宋体" w:hAnsi="宋体" w:cs="宋体"/>
          <w:sz w:val="24"/>
        </w:rPr>
        <w:t>6.1 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331D7BD9">
      <w:pPr>
        <w:spacing w:line="360" w:lineRule="auto"/>
        <w:rPr>
          <w:rFonts w:ascii="宋体" w:hAnsi="宋体" w:cs="宋体"/>
          <w:sz w:val="24"/>
        </w:rPr>
      </w:pPr>
      <w:r>
        <w:rPr>
          <w:rFonts w:hint="eastAsia" w:ascii="宋体" w:hAnsi="宋体" w:cs="宋体"/>
          <w:sz w:val="24"/>
        </w:rPr>
        <w:t>7.响应文件构成</w:t>
      </w:r>
    </w:p>
    <w:p w14:paraId="7E11D489">
      <w:pPr>
        <w:spacing w:line="360" w:lineRule="auto"/>
        <w:rPr>
          <w:rFonts w:ascii="宋体" w:hAnsi="宋体" w:cs="宋体"/>
          <w:sz w:val="24"/>
        </w:rPr>
      </w:pPr>
      <w:r>
        <w:rPr>
          <w:rFonts w:hint="eastAsia" w:ascii="宋体" w:hAnsi="宋体" w:cs="宋体"/>
          <w:sz w:val="24"/>
        </w:rPr>
        <w:t>7.1 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或服务的合格性和符合询价文件规定的文件；询价文件要求的其它文件；供应商认为其它需提供的文件。</w:t>
      </w:r>
    </w:p>
    <w:p w14:paraId="391229D6">
      <w:pPr>
        <w:spacing w:line="360" w:lineRule="auto"/>
        <w:rPr>
          <w:rFonts w:ascii="宋体" w:hAnsi="宋体" w:cs="宋体"/>
          <w:sz w:val="24"/>
        </w:rPr>
      </w:pPr>
      <w:r>
        <w:rPr>
          <w:rFonts w:hint="eastAsia" w:ascii="宋体" w:hAnsi="宋体" w:cs="宋体"/>
          <w:sz w:val="24"/>
        </w:rPr>
        <w:t>1）响应文件基本文件</w:t>
      </w:r>
    </w:p>
    <w:p w14:paraId="63B6231A">
      <w:pPr>
        <w:spacing w:line="360" w:lineRule="auto"/>
        <w:rPr>
          <w:rFonts w:ascii="宋体" w:hAnsi="宋体" w:cs="宋体"/>
          <w:sz w:val="24"/>
        </w:rPr>
      </w:pPr>
      <w:r>
        <w:rPr>
          <w:rFonts w:hint="eastAsia" w:ascii="宋体" w:hAnsi="宋体" w:cs="宋体"/>
          <w:sz w:val="24"/>
        </w:rPr>
        <w:t>项目方案</w:t>
      </w:r>
    </w:p>
    <w:p w14:paraId="56E79FA3">
      <w:pPr>
        <w:spacing w:line="360" w:lineRule="auto"/>
        <w:rPr>
          <w:rFonts w:ascii="宋体" w:hAnsi="宋体" w:cs="宋体"/>
          <w:sz w:val="24"/>
        </w:rPr>
      </w:pPr>
      <w:r>
        <w:rPr>
          <w:rFonts w:hint="eastAsia" w:ascii="宋体" w:hAnsi="宋体" w:cs="宋体"/>
          <w:sz w:val="24"/>
        </w:rPr>
        <w:t>响应函（格式见附件）</w:t>
      </w:r>
    </w:p>
    <w:p w14:paraId="2AC7F1D8">
      <w:pPr>
        <w:spacing w:line="360" w:lineRule="auto"/>
        <w:rPr>
          <w:rFonts w:ascii="宋体" w:hAnsi="宋体" w:cs="宋体"/>
          <w:sz w:val="24"/>
        </w:rPr>
      </w:pPr>
      <w:r>
        <w:rPr>
          <w:rFonts w:hint="eastAsia" w:ascii="宋体" w:hAnsi="宋体" w:cs="宋体"/>
          <w:sz w:val="24"/>
        </w:rPr>
        <w:t>报价表（格式见附件）</w:t>
      </w:r>
    </w:p>
    <w:p w14:paraId="4A87B7A2">
      <w:pPr>
        <w:spacing w:line="360" w:lineRule="auto"/>
        <w:rPr>
          <w:rFonts w:ascii="宋体" w:hAnsi="宋体" w:cs="宋体"/>
          <w:sz w:val="24"/>
        </w:rPr>
      </w:pPr>
      <w:r>
        <w:rPr>
          <w:rFonts w:hint="eastAsia" w:ascii="宋体" w:hAnsi="宋体" w:cs="宋体"/>
          <w:sz w:val="24"/>
        </w:rPr>
        <w:t>2）供应商提交的证明其合格且中选后有能力履行合同的资格证明文件（详见《询价公告》）以及供应商认为需提供的其它文件和证书。</w:t>
      </w:r>
    </w:p>
    <w:p w14:paraId="47C42542">
      <w:pPr>
        <w:spacing w:line="360" w:lineRule="auto"/>
        <w:rPr>
          <w:rFonts w:ascii="宋体" w:hAnsi="宋体" w:cs="宋体"/>
          <w:sz w:val="24"/>
        </w:rPr>
      </w:pPr>
      <w:r>
        <w:rPr>
          <w:rFonts w:hint="eastAsia" w:ascii="宋体" w:hAnsi="宋体" w:cs="宋体"/>
          <w:sz w:val="24"/>
        </w:rPr>
        <w:t>3）证明供应商所提供的产品及/或服务的合格性和符合询价文件规定的文件，包括但不限于：对询价文件第五章《技术需求书》的逐项应答，对于某项指标的数据存在证明文件内容不一致的情况，取指标较低的为准。（详见第五章《技术需求书》）</w:t>
      </w:r>
    </w:p>
    <w:p w14:paraId="1130F11B">
      <w:pPr>
        <w:spacing w:line="360" w:lineRule="auto"/>
        <w:rPr>
          <w:rFonts w:ascii="宋体" w:hAnsi="宋体" w:cs="宋体"/>
          <w:sz w:val="24"/>
        </w:rPr>
      </w:pPr>
      <w:r>
        <w:rPr>
          <w:rFonts w:hint="eastAsia" w:ascii="宋体" w:hAnsi="宋体" w:cs="宋体"/>
          <w:sz w:val="24"/>
        </w:rPr>
        <w:t>4）询价文件要求的其它内容和文件</w:t>
      </w:r>
    </w:p>
    <w:p w14:paraId="10EE60DA">
      <w:pPr>
        <w:spacing w:line="360" w:lineRule="auto"/>
        <w:rPr>
          <w:rFonts w:ascii="宋体" w:hAnsi="宋体" w:cs="宋体"/>
          <w:sz w:val="24"/>
        </w:rPr>
      </w:pPr>
      <w:r>
        <w:rPr>
          <w:rFonts w:hint="eastAsia" w:ascii="宋体" w:hAnsi="宋体" w:cs="宋体"/>
          <w:sz w:val="24"/>
        </w:rPr>
        <w:t>5）供应商认为其它需提供的文件或证书</w:t>
      </w:r>
    </w:p>
    <w:p w14:paraId="35DC6845">
      <w:pPr>
        <w:spacing w:line="360" w:lineRule="auto"/>
        <w:rPr>
          <w:rFonts w:ascii="宋体" w:hAnsi="宋体" w:cs="宋体"/>
          <w:sz w:val="24"/>
        </w:rPr>
      </w:pPr>
      <w:r>
        <w:rPr>
          <w:rFonts w:hint="eastAsia" w:ascii="宋体" w:hAnsi="宋体" w:cs="宋体"/>
          <w:sz w:val="24"/>
        </w:rPr>
        <w:t>6）合同文本的提供（详见《供应商须知前附表》）</w:t>
      </w:r>
    </w:p>
    <w:p w14:paraId="341FBB0B">
      <w:pPr>
        <w:spacing w:line="360" w:lineRule="auto"/>
        <w:rPr>
          <w:rFonts w:ascii="宋体" w:hAnsi="宋体" w:cs="宋体"/>
          <w:sz w:val="24"/>
        </w:rPr>
      </w:pPr>
      <w:r>
        <w:rPr>
          <w:rFonts w:hint="eastAsia" w:ascii="宋体" w:hAnsi="宋体" w:cs="宋体"/>
          <w:sz w:val="24"/>
        </w:rPr>
        <w:t>7.2 供应商提供的以上材料必须真实有效，任何一项的虚假将导致其响应文件被拒绝。</w:t>
      </w:r>
    </w:p>
    <w:p w14:paraId="67EB2506">
      <w:pPr>
        <w:spacing w:line="360" w:lineRule="auto"/>
        <w:rPr>
          <w:rFonts w:ascii="宋体" w:hAnsi="宋体" w:cs="宋体"/>
          <w:sz w:val="24"/>
        </w:rPr>
      </w:pPr>
      <w:r>
        <w:rPr>
          <w:rFonts w:hint="eastAsia" w:ascii="宋体" w:hAnsi="宋体" w:cs="宋体"/>
          <w:sz w:val="24"/>
        </w:rPr>
        <w:t>8.响应文件的式样和签署（详见《供应商须知前附表》）</w:t>
      </w:r>
    </w:p>
    <w:p w14:paraId="3AABE9A9">
      <w:pPr>
        <w:spacing w:line="360" w:lineRule="auto"/>
        <w:rPr>
          <w:rFonts w:ascii="宋体" w:hAnsi="宋体" w:cs="宋体"/>
          <w:sz w:val="24"/>
        </w:rPr>
      </w:pPr>
      <w:r>
        <w:rPr>
          <w:rFonts w:hint="eastAsia" w:ascii="宋体" w:hAnsi="宋体" w:cs="宋体"/>
          <w:sz w:val="24"/>
        </w:rPr>
        <w:t>8.1 响应文件一式3份（1 份正本、2份副本），电子版本一份。响应文件用中文编写，A4纸胶装。其中正本必须注明“正本”字样，正、副本及电子版本内容必须保持一致，副本可以用复印件。若正本和副本或电子版本不符，以正本为准。</w:t>
      </w:r>
    </w:p>
    <w:p w14:paraId="762A4C4E">
      <w:pPr>
        <w:spacing w:line="360" w:lineRule="auto"/>
        <w:rPr>
          <w:rFonts w:ascii="宋体" w:hAnsi="宋体" w:cs="宋体"/>
          <w:sz w:val="24"/>
        </w:rPr>
      </w:pPr>
      <w:r>
        <w:rPr>
          <w:rFonts w:hint="eastAsia" w:ascii="宋体" w:hAnsi="宋体" w:cs="宋体"/>
          <w:sz w:val="24"/>
        </w:rPr>
        <w:t>8.2 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4C896FAD">
      <w:pPr>
        <w:spacing w:line="360" w:lineRule="auto"/>
        <w:rPr>
          <w:rFonts w:ascii="宋体" w:hAnsi="宋体" w:cs="宋体"/>
          <w:sz w:val="24"/>
        </w:rPr>
      </w:pPr>
      <w:r>
        <w:rPr>
          <w:rFonts w:hint="eastAsia" w:ascii="宋体" w:hAnsi="宋体" w:cs="宋体"/>
          <w:sz w:val="24"/>
        </w:rPr>
        <w:t>8.3 如供应商对询价文件个别内容不能接受，应在响应文件中另做声明，否则将视为供应商接受询价文件全部内容。</w:t>
      </w:r>
    </w:p>
    <w:p w14:paraId="42755171">
      <w:pPr>
        <w:spacing w:line="360" w:lineRule="auto"/>
        <w:rPr>
          <w:rFonts w:ascii="宋体" w:hAnsi="宋体" w:cs="宋体"/>
          <w:sz w:val="24"/>
        </w:rPr>
      </w:pPr>
      <w:r>
        <w:rPr>
          <w:rFonts w:hint="eastAsia" w:ascii="宋体" w:hAnsi="宋体" w:cs="宋体"/>
          <w:sz w:val="24"/>
        </w:rPr>
        <w:t>8.4 任何对响应文件行间插字、涂改和增删，必须由响应文件签字人签字或盖章后才有效。</w:t>
      </w:r>
    </w:p>
    <w:p w14:paraId="27D8F42A">
      <w:pPr>
        <w:spacing w:line="360" w:lineRule="auto"/>
        <w:rPr>
          <w:rFonts w:ascii="宋体" w:hAnsi="宋体" w:cs="宋体"/>
          <w:sz w:val="24"/>
        </w:rPr>
      </w:pPr>
      <w:r>
        <w:rPr>
          <w:rFonts w:hint="eastAsia" w:ascii="宋体" w:hAnsi="宋体" w:cs="宋体"/>
          <w:sz w:val="24"/>
        </w:rPr>
        <w:t>8.5 响应文件因字迹潦草或表达不清所引起的后果由供应商负责。</w:t>
      </w:r>
    </w:p>
    <w:p w14:paraId="19AA4EDA">
      <w:pPr>
        <w:spacing w:line="360" w:lineRule="auto"/>
        <w:rPr>
          <w:rFonts w:ascii="宋体" w:hAnsi="宋体" w:cs="宋体"/>
          <w:sz w:val="24"/>
        </w:rPr>
      </w:pPr>
      <w:r>
        <w:rPr>
          <w:rFonts w:hint="eastAsia" w:ascii="宋体" w:hAnsi="宋体" w:cs="宋体"/>
          <w:sz w:val="24"/>
        </w:rPr>
        <w:t>9.报价</w:t>
      </w:r>
    </w:p>
    <w:p w14:paraId="3B0F73C9">
      <w:pPr>
        <w:spacing w:line="360" w:lineRule="auto"/>
        <w:rPr>
          <w:rFonts w:ascii="宋体" w:hAnsi="宋体" w:cs="宋体"/>
          <w:sz w:val="24"/>
        </w:rPr>
      </w:pPr>
      <w:r>
        <w:rPr>
          <w:rFonts w:hint="eastAsia" w:ascii="宋体" w:hAnsi="宋体" w:cs="宋体"/>
          <w:sz w:val="24"/>
        </w:rPr>
        <w:t>9.1 报价：人民币报价。供应商应按照询价文件要求，在响应文件中报出本项目包含的所有产品和服务的报价（格式见附件）。</w:t>
      </w:r>
    </w:p>
    <w:p w14:paraId="2BB46BC1">
      <w:pPr>
        <w:spacing w:line="360" w:lineRule="auto"/>
        <w:rPr>
          <w:rFonts w:ascii="宋体" w:hAnsi="宋体" w:cs="宋体"/>
          <w:sz w:val="24"/>
        </w:rPr>
      </w:pPr>
      <w:r>
        <w:rPr>
          <w:rFonts w:hint="eastAsia" w:ascii="宋体" w:hAnsi="宋体" w:cs="宋体"/>
          <w:sz w:val="24"/>
        </w:rPr>
        <w:t>9.2 供应商的报价包括供应商为完成采购人的项目建设所发生的一切费用（包括全部产品及相关服务）且已包括与所报产品/服务相关的所有税费。供应商估算错误或漏项的风险一律由供应商承担。</w:t>
      </w:r>
    </w:p>
    <w:p w14:paraId="3A495513">
      <w:pPr>
        <w:spacing w:line="360" w:lineRule="auto"/>
        <w:rPr>
          <w:rFonts w:ascii="宋体" w:hAnsi="宋体" w:cs="宋体"/>
          <w:sz w:val="24"/>
        </w:rPr>
      </w:pPr>
      <w:r>
        <w:rPr>
          <w:rFonts w:hint="eastAsia" w:ascii="宋体" w:hAnsi="宋体" w:cs="宋体"/>
          <w:sz w:val="24"/>
        </w:rPr>
        <w:t>9.3 中选的价格在合同执行过程中是固定不变的，未经采购人许可不得以任何理由予以变更。以可调整或可选择的价格提交的响应文件将作为非响应性文件而予以拒绝。</w:t>
      </w:r>
    </w:p>
    <w:p w14:paraId="539784A4">
      <w:pPr>
        <w:spacing w:line="360" w:lineRule="auto"/>
        <w:rPr>
          <w:rFonts w:ascii="宋体" w:hAnsi="宋体" w:cs="宋体"/>
          <w:sz w:val="24"/>
        </w:rPr>
      </w:pPr>
      <w:r>
        <w:rPr>
          <w:rFonts w:hint="eastAsia" w:ascii="宋体" w:hAnsi="宋体" w:cs="宋体"/>
          <w:sz w:val="24"/>
        </w:rPr>
        <w:t>9.4 供应商根据本须知规定将报价分成几部分并按附件格式填写分项报价表，是为了方便采购人对响应文件进行比较，并不限制采购人以上述任何条件订立合同的权利。</w:t>
      </w:r>
    </w:p>
    <w:p w14:paraId="5745248C">
      <w:pPr>
        <w:spacing w:line="360" w:lineRule="auto"/>
        <w:rPr>
          <w:rFonts w:ascii="宋体" w:hAnsi="宋体" w:cs="宋体"/>
          <w:sz w:val="24"/>
        </w:rPr>
      </w:pPr>
      <w:r>
        <w:rPr>
          <w:rFonts w:hint="eastAsia" w:ascii="宋体" w:hAnsi="宋体" w:cs="宋体"/>
          <w:sz w:val="24"/>
        </w:rPr>
        <w:t>10. 响应有效期（详见《供应商须知前附表》）</w:t>
      </w:r>
    </w:p>
    <w:p w14:paraId="325BF2D3">
      <w:pPr>
        <w:spacing w:line="360" w:lineRule="auto"/>
        <w:rPr>
          <w:rFonts w:ascii="宋体" w:hAnsi="宋体" w:cs="宋体"/>
          <w:sz w:val="24"/>
        </w:rPr>
      </w:pPr>
      <w:r>
        <w:rPr>
          <w:rFonts w:hint="eastAsia" w:ascii="宋体" w:hAnsi="宋体" w:cs="宋体"/>
          <w:sz w:val="24"/>
        </w:rPr>
        <w:t>10.1供应商递交的响应文件应在规定的递交响应文件截止日后的90天内保持有效。有效期不满足要求的响应文件将被视为非响应性文件而予以拒绝。</w:t>
      </w:r>
    </w:p>
    <w:p w14:paraId="4D601BD5">
      <w:pPr>
        <w:spacing w:line="360" w:lineRule="auto"/>
        <w:rPr>
          <w:rFonts w:ascii="宋体" w:hAnsi="宋体" w:cs="宋体"/>
          <w:sz w:val="24"/>
        </w:rPr>
      </w:pPr>
      <w:r>
        <w:rPr>
          <w:rFonts w:hint="eastAsia" w:ascii="宋体" w:hAnsi="宋体" w:cs="宋体"/>
          <w:sz w:val="24"/>
        </w:rPr>
        <w:t>10.2 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2D6D310A">
      <w:pPr>
        <w:spacing w:line="360" w:lineRule="auto"/>
        <w:rPr>
          <w:rFonts w:ascii="宋体" w:hAnsi="宋体" w:cs="宋体"/>
          <w:b/>
          <w:sz w:val="24"/>
        </w:rPr>
      </w:pPr>
      <w:r>
        <w:rPr>
          <w:rFonts w:hint="eastAsia" w:ascii="宋体" w:hAnsi="宋体" w:cs="宋体"/>
          <w:b/>
          <w:sz w:val="24"/>
        </w:rPr>
        <w:t>四、响应文件的递交</w:t>
      </w:r>
    </w:p>
    <w:p w14:paraId="02026D89">
      <w:pPr>
        <w:spacing w:line="360" w:lineRule="auto"/>
        <w:rPr>
          <w:rFonts w:ascii="宋体" w:hAnsi="宋体" w:cs="宋体"/>
          <w:sz w:val="24"/>
        </w:rPr>
      </w:pPr>
      <w:r>
        <w:rPr>
          <w:rFonts w:hint="eastAsia" w:ascii="宋体" w:hAnsi="宋体" w:cs="宋体"/>
          <w:sz w:val="24"/>
        </w:rPr>
        <w:t>11.响应文件的密封和标记</w:t>
      </w:r>
    </w:p>
    <w:p w14:paraId="3F108CC0">
      <w:pPr>
        <w:spacing w:line="360" w:lineRule="auto"/>
        <w:rPr>
          <w:rFonts w:ascii="宋体" w:hAnsi="宋体" w:cs="宋体"/>
          <w:sz w:val="24"/>
        </w:rPr>
      </w:pPr>
      <w:r>
        <w:rPr>
          <w:rFonts w:hint="eastAsia" w:ascii="宋体" w:hAnsi="宋体" w:cs="宋体"/>
          <w:sz w:val="24"/>
        </w:rPr>
        <w:t>11.1 供应商应将响应文件正本和所有的副本、电子文档分开密封装在单独的信封中，且在信封上标明“正本”、“副本”、“电子文档”字样。</w:t>
      </w:r>
    </w:p>
    <w:p w14:paraId="49033A3D">
      <w:pPr>
        <w:spacing w:line="360" w:lineRule="auto"/>
        <w:rPr>
          <w:rFonts w:ascii="宋体" w:hAnsi="宋体" w:cs="宋体"/>
          <w:sz w:val="24"/>
        </w:rPr>
      </w:pPr>
      <w:r>
        <w:rPr>
          <w:rFonts w:hint="eastAsia" w:ascii="宋体" w:hAnsi="宋体" w:cs="宋体"/>
          <w:sz w:val="24"/>
        </w:rPr>
        <w:t>11.2内外层信封均应：</w:t>
      </w:r>
    </w:p>
    <w:p w14:paraId="206B9D9E">
      <w:pPr>
        <w:spacing w:line="360" w:lineRule="auto"/>
        <w:rPr>
          <w:rFonts w:ascii="宋体" w:hAnsi="宋体" w:cs="宋体"/>
          <w:sz w:val="24"/>
        </w:rPr>
      </w:pPr>
      <w:r>
        <w:rPr>
          <w:rFonts w:hint="eastAsia" w:ascii="宋体" w:hAnsi="宋体" w:cs="宋体"/>
          <w:sz w:val="24"/>
        </w:rPr>
        <w:t>1）标明递交至“采购公告”中指明的地点。</w:t>
      </w:r>
    </w:p>
    <w:p w14:paraId="32235BBE">
      <w:pPr>
        <w:spacing w:line="360" w:lineRule="auto"/>
        <w:rPr>
          <w:rFonts w:ascii="宋体" w:hAnsi="宋体" w:cs="宋体"/>
          <w:sz w:val="24"/>
        </w:rPr>
      </w:pPr>
      <w:r>
        <w:rPr>
          <w:rFonts w:hint="eastAsia" w:ascii="宋体" w:hAnsi="宋体" w:cs="宋体"/>
          <w:sz w:val="24"/>
        </w:rPr>
        <w:t>2）注明“采购公告”中指明的项目名称、编号和“在”之前不得启封的字样，并填入“采购公告”中规定的日期和时间。</w:t>
      </w:r>
    </w:p>
    <w:p w14:paraId="53B86EF2">
      <w:pPr>
        <w:spacing w:line="360" w:lineRule="auto"/>
        <w:rPr>
          <w:rFonts w:ascii="宋体" w:hAnsi="宋体" w:cs="宋体"/>
          <w:sz w:val="24"/>
        </w:rPr>
      </w:pPr>
      <w:r>
        <w:rPr>
          <w:rFonts w:hint="eastAsia" w:ascii="宋体" w:hAnsi="宋体" w:cs="宋体"/>
          <w:sz w:val="24"/>
        </w:rPr>
        <w:t>11.3 内层信封应写明供应商名称和地址，以便若其响应文件被宣布为“迟到”响应文件时，能原封退回。</w:t>
      </w:r>
    </w:p>
    <w:p w14:paraId="307C2D3A">
      <w:pPr>
        <w:spacing w:line="360" w:lineRule="auto"/>
        <w:rPr>
          <w:rFonts w:ascii="宋体" w:hAnsi="宋体" w:cs="宋体"/>
          <w:sz w:val="24"/>
        </w:rPr>
      </w:pPr>
      <w:r>
        <w:rPr>
          <w:rFonts w:hint="eastAsia" w:ascii="宋体" w:hAnsi="宋体" w:cs="宋体"/>
          <w:sz w:val="24"/>
        </w:rPr>
        <w:t>11.4 如果外层信封未按本须知第12.2条要求加写标记和密封，采购人对误投或过早启封概不负责。</w:t>
      </w:r>
    </w:p>
    <w:p w14:paraId="0D864F54">
      <w:pPr>
        <w:spacing w:line="360" w:lineRule="auto"/>
        <w:rPr>
          <w:rFonts w:ascii="宋体" w:hAnsi="宋体" w:cs="宋体"/>
          <w:sz w:val="24"/>
        </w:rPr>
      </w:pPr>
      <w:r>
        <w:rPr>
          <w:rFonts w:hint="eastAsia" w:ascii="宋体" w:hAnsi="宋体" w:cs="宋体"/>
          <w:sz w:val="24"/>
        </w:rPr>
        <w:t>11.5 供应商须由其合法的授权人在递交响应文件截止时间之前将响应文件送达采购人并签字确认。供应商须承担因未送达并签字所造成的一切责任。</w:t>
      </w:r>
    </w:p>
    <w:p w14:paraId="46946B1F">
      <w:pPr>
        <w:spacing w:line="360" w:lineRule="auto"/>
        <w:rPr>
          <w:rFonts w:ascii="宋体" w:hAnsi="宋体" w:cs="宋体"/>
          <w:sz w:val="24"/>
        </w:rPr>
      </w:pPr>
      <w:r>
        <w:rPr>
          <w:rFonts w:hint="eastAsia" w:ascii="宋体" w:hAnsi="宋体" w:cs="宋体"/>
          <w:sz w:val="24"/>
        </w:rPr>
        <w:t>12.递交响应文件截止时间</w:t>
      </w:r>
    </w:p>
    <w:p w14:paraId="74ED8118">
      <w:pPr>
        <w:spacing w:line="360" w:lineRule="auto"/>
        <w:rPr>
          <w:rFonts w:ascii="宋体" w:hAnsi="宋体" w:cs="宋体"/>
          <w:sz w:val="24"/>
        </w:rPr>
      </w:pPr>
      <w:r>
        <w:rPr>
          <w:rFonts w:hint="eastAsia" w:ascii="宋体" w:hAnsi="宋体" w:cs="宋体"/>
          <w:sz w:val="24"/>
        </w:rPr>
        <w:t>12.1 采购人收到响应文件的时间不迟于（详见《询价公告》）</w:t>
      </w:r>
    </w:p>
    <w:p w14:paraId="4222F361">
      <w:pPr>
        <w:spacing w:line="360" w:lineRule="auto"/>
        <w:rPr>
          <w:rFonts w:ascii="宋体" w:hAnsi="宋体" w:cs="宋体"/>
          <w:sz w:val="24"/>
        </w:rPr>
      </w:pPr>
      <w:r>
        <w:rPr>
          <w:rFonts w:hint="eastAsia" w:ascii="宋体" w:hAnsi="宋体" w:cs="宋体"/>
          <w:sz w:val="24"/>
        </w:rPr>
        <w:t>12.2 采购人可以按本须知第5条规定，通过修改询价文件自行决定酌情延长递交响应文件截止时间。在此情况下，采购人和供应商受递交响应文件截止时间制约的所有权利和义务均应延长至新的截止期。</w:t>
      </w:r>
    </w:p>
    <w:p w14:paraId="2AA72649">
      <w:pPr>
        <w:spacing w:line="360" w:lineRule="auto"/>
        <w:rPr>
          <w:rFonts w:ascii="宋体" w:hAnsi="宋体" w:cs="宋体"/>
          <w:sz w:val="24"/>
        </w:rPr>
      </w:pPr>
      <w:r>
        <w:rPr>
          <w:rFonts w:hint="eastAsia" w:ascii="宋体" w:hAnsi="宋体" w:cs="宋体"/>
          <w:sz w:val="24"/>
        </w:rPr>
        <w:t>13.迟交的响应文件</w:t>
      </w:r>
    </w:p>
    <w:p w14:paraId="10080383">
      <w:pPr>
        <w:spacing w:line="360" w:lineRule="auto"/>
        <w:rPr>
          <w:rFonts w:ascii="宋体" w:hAnsi="宋体" w:cs="宋体"/>
          <w:sz w:val="24"/>
        </w:rPr>
      </w:pPr>
      <w:r>
        <w:rPr>
          <w:rFonts w:hint="eastAsia" w:ascii="宋体" w:hAnsi="宋体" w:cs="宋体"/>
          <w:sz w:val="24"/>
        </w:rPr>
        <w:t>13.1 采购人将拒绝并原封退回在规定的递交响应文件截止时间后收到的任何响应文件。</w:t>
      </w:r>
    </w:p>
    <w:p w14:paraId="242B07E6">
      <w:pPr>
        <w:spacing w:line="360" w:lineRule="auto"/>
        <w:rPr>
          <w:rFonts w:ascii="宋体" w:hAnsi="宋体" w:cs="宋体"/>
          <w:sz w:val="24"/>
        </w:rPr>
      </w:pPr>
      <w:r>
        <w:rPr>
          <w:rFonts w:hint="eastAsia" w:ascii="宋体" w:hAnsi="宋体" w:cs="宋体"/>
          <w:sz w:val="24"/>
        </w:rPr>
        <w:t>14.响应文件的修改与撤回</w:t>
      </w:r>
    </w:p>
    <w:p w14:paraId="4B245B83">
      <w:pPr>
        <w:spacing w:line="360" w:lineRule="auto"/>
        <w:rPr>
          <w:rFonts w:ascii="宋体" w:hAnsi="宋体" w:cs="宋体"/>
          <w:sz w:val="24"/>
        </w:rPr>
      </w:pPr>
      <w:r>
        <w:rPr>
          <w:rFonts w:hint="eastAsia" w:ascii="宋体" w:hAnsi="宋体" w:cs="宋体"/>
          <w:sz w:val="24"/>
        </w:rPr>
        <w:t>14.1 供应商在递交响应文件后，可以修改或撤回其响应文件，但采购人必须在规定的递交响应文件截止时间之前，收到供应商发出的修改或撤回的书面通知。</w:t>
      </w:r>
    </w:p>
    <w:p w14:paraId="7630E3AB">
      <w:pPr>
        <w:spacing w:line="360" w:lineRule="auto"/>
        <w:rPr>
          <w:rFonts w:ascii="宋体" w:hAnsi="宋体" w:cs="宋体"/>
          <w:sz w:val="24"/>
        </w:rPr>
      </w:pPr>
      <w:r>
        <w:rPr>
          <w:rFonts w:hint="eastAsia" w:ascii="宋体" w:hAnsi="宋体" w:cs="宋体"/>
          <w:sz w:val="24"/>
        </w:rPr>
        <w:t>14.2 供应商的修改或撤回通知应按本须知第12条规定编制、密封、标记和发送。</w:t>
      </w:r>
    </w:p>
    <w:p w14:paraId="6E0ABF23">
      <w:pPr>
        <w:spacing w:line="360" w:lineRule="auto"/>
        <w:rPr>
          <w:rFonts w:ascii="宋体" w:hAnsi="宋体" w:cs="宋体"/>
          <w:sz w:val="24"/>
        </w:rPr>
      </w:pPr>
      <w:r>
        <w:rPr>
          <w:rFonts w:hint="eastAsia" w:ascii="宋体" w:hAnsi="宋体" w:cs="宋体"/>
          <w:sz w:val="24"/>
        </w:rPr>
        <w:t>14.3 在递交响应文件截止时间之后，供应商不得对其响应文件做任何修改。</w:t>
      </w:r>
    </w:p>
    <w:p w14:paraId="60BA96EB">
      <w:pPr>
        <w:spacing w:line="360" w:lineRule="auto"/>
        <w:rPr>
          <w:rFonts w:ascii="宋体" w:hAnsi="宋体" w:cs="宋体"/>
          <w:sz w:val="24"/>
        </w:rPr>
      </w:pPr>
      <w:r>
        <w:rPr>
          <w:rFonts w:hint="eastAsia" w:ascii="宋体" w:hAnsi="宋体" w:cs="宋体"/>
          <w:sz w:val="24"/>
        </w:rPr>
        <w:t>14.4 从递交响应文件截止时间至供应商在响应函格式中确定的响应有效期之间的这段时间内，供应商不得撤回其响应文件，否则将取消供应商参与本项目资格。</w:t>
      </w:r>
    </w:p>
    <w:p w14:paraId="5AC0D5BB">
      <w:pPr>
        <w:spacing w:line="360" w:lineRule="auto"/>
        <w:rPr>
          <w:rFonts w:ascii="宋体" w:hAnsi="宋体" w:cs="宋体"/>
          <w:b/>
          <w:sz w:val="24"/>
        </w:rPr>
      </w:pPr>
      <w:r>
        <w:rPr>
          <w:rFonts w:hint="eastAsia" w:ascii="宋体" w:hAnsi="宋体" w:cs="宋体"/>
          <w:b/>
          <w:sz w:val="24"/>
        </w:rPr>
        <w:t>五、评审</w:t>
      </w:r>
    </w:p>
    <w:p w14:paraId="25DCC281">
      <w:pPr>
        <w:spacing w:line="360" w:lineRule="auto"/>
        <w:rPr>
          <w:rFonts w:ascii="宋体" w:hAnsi="宋体" w:cs="宋体"/>
          <w:sz w:val="24"/>
        </w:rPr>
      </w:pPr>
      <w:r>
        <w:rPr>
          <w:rFonts w:hint="eastAsia" w:ascii="宋体" w:hAnsi="宋体" w:cs="宋体"/>
          <w:sz w:val="24"/>
        </w:rPr>
        <w:t>15.评审委员会</w:t>
      </w:r>
    </w:p>
    <w:p w14:paraId="1E4B3CF1">
      <w:pPr>
        <w:spacing w:line="360" w:lineRule="auto"/>
        <w:rPr>
          <w:rFonts w:ascii="宋体" w:hAnsi="宋体" w:cs="宋体"/>
          <w:sz w:val="24"/>
        </w:rPr>
      </w:pPr>
      <w:r>
        <w:rPr>
          <w:rFonts w:hint="eastAsia" w:ascii="宋体" w:hAnsi="宋体" w:cs="宋体"/>
          <w:sz w:val="24"/>
        </w:rPr>
        <w:t>15.1采购人根据要求组建评审委员会。评审委员会负责整个项目的评审工作。</w:t>
      </w:r>
    </w:p>
    <w:p w14:paraId="1164B8C6">
      <w:pPr>
        <w:spacing w:line="360" w:lineRule="auto"/>
        <w:rPr>
          <w:rFonts w:ascii="宋体" w:hAnsi="宋体" w:cs="宋体"/>
          <w:sz w:val="24"/>
        </w:rPr>
      </w:pPr>
      <w:r>
        <w:rPr>
          <w:rFonts w:hint="eastAsia" w:ascii="宋体" w:hAnsi="宋体" w:cs="宋体"/>
          <w:sz w:val="24"/>
        </w:rPr>
        <w:t>16.响应文件的澄清</w:t>
      </w:r>
    </w:p>
    <w:p w14:paraId="0A016AB1">
      <w:pPr>
        <w:spacing w:line="360" w:lineRule="auto"/>
        <w:rPr>
          <w:rFonts w:ascii="宋体" w:hAnsi="宋体" w:cs="宋体"/>
          <w:sz w:val="24"/>
        </w:rPr>
      </w:pPr>
      <w:r>
        <w:rPr>
          <w:rFonts w:hint="eastAsia" w:ascii="宋体" w:hAnsi="宋体" w:cs="宋体"/>
          <w:sz w:val="24"/>
        </w:rPr>
        <w:t>16.1 在评审期间，评审委员会可要求供应商对其响应文件的任何内容进行澄清或者说明，但是澄清或者说明不得超出响应文件的范围或者改变询价文件的实质性内容。有关澄清的要求和答复均应以书面形式提交。</w:t>
      </w:r>
    </w:p>
    <w:p w14:paraId="6DE86D56">
      <w:pPr>
        <w:spacing w:line="360" w:lineRule="auto"/>
        <w:rPr>
          <w:rFonts w:ascii="宋体" w:hAnsi="宋体" w:cs="宋体"/>
          <w:sz w:val="24"/>
        </w:rPr>
      </w:pPr>
      <w:r>
        <w:rPr>
          <w:rFonts w:hint="eastAsia" w:ascii="宋体" w:hAnsi="宋体" w:cs="宋体"/>
          <w:sz w:val="24"/>
        </w:rPr>
        <w:t>16.2接到评审委员会澄清要求的供应商应派人按评审委员会通知的时间和地点做出书面澄清，书面澄清的内容须由供应商法定代表人或授权代表签署，并作为响应文件的补充部分。</w:t>
      </w:r>
    </w:p>
    <w:p w14:paraId="288A336E">
      <w:pPr>
        <w:spacing w:line="360" w:lineRule="auto"/>
        <w:rPr>
          <w:rFonts w:ascii="宋体" w:hAnsi="宋体" w:cs="宋体"/>
          <w:sz w:val="24"/>
        </w:rPr>
      </w:pPr>
      <w:r>
        <w:rPr>
          <w:rFonts w:hint="eastAsia" w:ascii="宋体" w:hAnsi="宋体" w:cs="宋体"/>
          <w:sz w:val="24"/>
        </w:rPr>
        <w:t>16.4 接到评审委员会澄清要求的供应商如未按规定做出澄清，其风险由供应商自行承担。</w:t>
      </w:r>
    </w:p>
    <w:p w14:paraId="7E95D860">
      <w:pPr>
        <w:spacing w:line="360" w:lineRule="auto"/>
        <w:rPr>
          <w:rFonts w:ascii="宋体" w:hAnsi="宋体" w:cs="宋体"/>
          <w:sz w:val="24"/>
        </w:rPr>
      </w:pPr>
      <w:r>
        <w:rPr>
          <w:rFonts w:hint="eastAsia" w:ascii="宋体" w:hAnsi="宋体" w:cs="宋体"/>
          <w:sz w:val="24"/>
        </w:rPr>
        <w:t>17.响应文件的初审</w:t>
      </w:r>
    </w:p>
    <w:p w14:paraId="433C2928">
      <w:pPr>
        <w:spacing w:line="360" w:lineRule="auto"/>
        <w:rPr>
          <w:rFonts w:ascii="宋体" w:hAnsi="宋体" w:cs="宋体"/>
          <w:sz w:val="24"/>
        </w:rPr>
      </w:pPr>
      <w:r>
        <w:rPr>
          <w:rFonts w:hint="eastAsia" w:ascii="宋体" w:hAnsi="宋体" w:cs="宋体"/>
          <w:sz w:val="24"/>
        </w:rPr>
        <w:t>17.1 评审委员会将初步审查响应文件是否完整、总体编排是否有序、文件签署是否合格、有无计算上的错误等。只有通过初步评审的供应商才能进入资格预审的详细评审。</w:t>
      </w:r>
    </w:p>
    <w:p w14:paraId="042A913F">
      <w:pPr>
        <w:spacing w:line="360" w:lineRule="auto"/>
        <w:rPr>
          <w:rFonts w:ascii="宋体" w:hAnsi="宋体" w:cs="宋体"/>
          <w:sz w:val="24"/>
        </w:rPr>
      </w:pPr>
      <w:r>
        <w:rPr>
          <w:rFonts w:hint="eastAsia" w:ascii="宋体" w:hAnsi="宋体" w:cs="宋体"/>
          <w:sz w:val="24"/>
        </w:rPr>
        <w:t>17.2 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0F002338">
      <w:pPr>
        <w:spacing w:line="360" w:lineRule="auto"/>
        <w:rPr>
          <w:rFonts w:ascii="宋体" w:hAnsi="宋体" w:cs="宋体"/>
          <w:sz w:val="24"/>
        </w:rPr>
      </w:pPr>
      <w:r>
        <w:rPr>
          <w:rFonts w:hint="eastAsia" w:ascii="宋体" w:hAnsi="宋体" w:cs="宋体"/>
          <w:sz w:val="24"/>
        </w:rPr>
        <w:t>17.3 对于响应文件中不构成实质性偏差的不正规、不一致或不规则，评审委员会可以接受，但这种接受不能损害或影响任何供应商的相对排序。</w:t>
      </w:r>
    </w:p>
    <w:p w14:paraId="16AAB6D5">
      <w:pPr>
        <w:spacing w:line="360" w:lineRule="auto"/>
        <w:rPr>
          <w:rFonts w:ascii="宋体" w:hAnsi="宋体" w:cs="宋体"/>
          <w:sz w:val="24"/>
        </w:rPr>
      </w:pPr>
      <w:r>
        <w:rPr>
          <w:rFonts w:hint="eastAsia" w:ascii="宋体" w:hAnsi="宋体" w:cs="宋体"/>
          <w:sz w:val="24"/>
        </w:rPr>
        <w:t>17.4 在详细评审之前，评审委员会要审查每份响应文件是否实质上响应了询价文件的要求。实质上响应的响应文件应该是与询价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42CDDE00">
      <w:pPr>
        <w:spacing w:line="360" w:lineRule="auto"/>
        <w:rPr>
          <w:rFonts w:ascii="宋体" w:hAnsi="宋体" w:cs="宋体"/>
          <w:sz w:val="24"/>
        </w:rPr>
      </w:pPr>
      <w:r>
        <w:rPr>
          <w:rFonts w:hint="eastAsia" w:ascii="宋体" w:hAnsi="宋体" w:cs="宋体"/>
          <w:sz w:val="24"/>
        </w:rPr>
        <w:t>17.5 实质上没有响应询价文件要求的响应文件将被拒绝。供应商不得通过修正或撤消不合要求的偏离或保留从而使其响应文件成为实质上响应的响应文件。如发现下列情况之一的，其响应文件将可能被拒绝：（详见《供应商须知前附表》）</w:t>
      </w:r>
    </w:p>
    <w:p w14:paraId="0715EC8E">
      <w:pPr>
        <w:spacing w:line="360" w:lineRule="auto"/>
        <w:rPr>
          <w:rFonts w:ascii="宋体" w:hAnsi="宋体" w:cs="宋体"/>
          <w:sz w:val="24"/>
        </w:rPr>
      </w:pPr>
      <w:r>
        <w:rPr>
          <w:rFonts w:hint="eastAsia" w:ascii="宋体" w:hAnsi="宋体" w:cs="宋体"/>
          <w:sz w:val="24"/>
        </w:rPr>
        <w:t>17.6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4AF1D346">
      <w:pPr>
        <w:spacing w:line="360" w:lineRule="auto"/>
        <w:rPr>
          <w:rFonts w:ascii="宋体" w:hAnsi="宋体" w:cs="宋体"/>
          <w:sz w:val="24"/>
        </w:rPr>
      </w:pPr>
      <w:r>
        <w:rPr>
          <w:rFonts w:hint="eastAsia" w:ascii="宋体" w:hAnsi="宋体" w:cs="宋体"/>
          <w:sz w:val="24"/>
        </w:rPr>
        <w:t>17.7 采购人保留对通过初审的供应商进行进一步询价或议价的权利。</w:t>
      </w:r>
    </w:p>
    <w:p w14:paraId="3C89BFD9">
      <w:pPr>
        <w:spacing w:line="360" w:lineRule="auto"/>
        <w:rPr>
          <w:rFonts w:ascii="宋体" w:hAnsi="宋体" w:cs="宋体"/>
          <w:b/>
          <w:sz w:val="24"/>
        </w:rPr>
      </w:pPr>
      <w:r>
        <w:rPr>
          <w:rFonts w:hint="eastAsia" w:ascii="宋体" w:hAnsi="宋体" w:cs="宋体"/>
          <w:b/>
          <w:sz w:val="24"/>
        </w:rPr>
        <w:t>六、询价和成交供应商评审</w:t>
      </w:r>
    </w:p>
    <w:p w14:paraId="0E57FCE1">
      <w:pPr>
        <w:spacing w:line="360" w:lineRule="auto"/>
        <w:rPr>
          <w:rFonts w:ascii="宋体" w:hAnsi="宋体" w:cs="宋体"/>
          <w:sz w:val="24"/>
        </w:rPr>
      </w:pPr>
      <w:r>
        <w:rPr>
          <w:rFonts w:hint="eastAsia" w:ascii="宋体" w:hAnsi="宋体" w:cs="宋体"/>
          <w:sz w:val="24"/>
        </w:rPr>
        <w:t>18.询价</w:t>
      </w:r>
    </w:p>
    <w:p w14:paraId="60106130">
      <w:pPr>
        <w:spacing w:line="360" w:lineRule="auto"/>
        <w:rPr>
          <w:rFonts w:ascii="宋体" w:hAnsi="宋体" w:cs="宋体"/>
          <w:sz w:val="24"/>
        </w:rPr>
      </w:pPr>
      <w:r>
        <w:rPr>
          <w:rFonts w:hint="eastAsia" w:ascii="宋体" w:hAnsi="宋体" w:cs="宋体"/>
          <w:sz w:val="24"/>
        </w:rPr>
        <w:t>18.1获得询价资格的供应商应按本须知及询价通知要求准时参加询价，并在询价后按要求提供递交其最终报价和相关承诺，否则将视为在报价有效期内撤回询价响应文件，其响应文件将被拒绝。</w:t>
      </w:r>
    </w:p>
    <w:p w14:paraId="5D9FC41E">
      <w:pPr>
        <w:spacing w:line="360" w:lineRule="auto"/>
        <w:rPr>
          <w:rFonts w:ascii="宋体" w:hAnsi="宋体" w:cs="宋体"/>
          <w:sz w:val="24"/>
        </w:rPr>
      </w:pPr>
      <w:r>
        <w:rPr>
          <w:rFonts w:hint="eastAsia" w:ascii="宋体" w:hAnsi="宋体" w:cs="宋体"/>
          <w:sz w:val="24"/>
        </w:rPr>
        <w:t>18.2谈判开始时间预计为：递交询价响应文件截止时间后当天（包括法定节假日，具体时间以采购人的通知为准），供应商应提前做好询价准备。</w:t>
      </w:r>
    </w:p>
    <w:p w14:paraId="215B3D0F">
      <w:pPr>
        <w:spacing w:line="360" w:lineRule="auto"/>
        <w:rPr>
          <w:rFonts w:ascii="宋体" w:hAnsi="宋体" w:cs="宋体"/>
          <w:sz w:val="24"/>
        </w:rPr>
      </w:pPr>
      <w:r>
        <w:rPr>
          <w:rFonts w:hint="eastAsia" w:ascii="宋体" w:hAnsi="宋体" w:cs="宋体"/>
          <w:sz w:val="24"/>
        </w:rPr>
        <w:t>18.3进行询价的各供应商应由其法定代表人或本项目的授权代表作为谈判代表，谈判过程中可有商务、技术及售后服务等人员（总人数不超过5人）共同参加谈判。</w:t>
      </w:r>
    </w:p>
    <w:p w14:paraId="05AD3663">
      <w:pPr>
        <w:spacing w:line="360" w:lineRule="auto"/>
        <w:rPr>
          <w:rFonts w:ascii="宋体" w:hAnsi="宋体" w:cs="宋体"/>
          <w:sz w:val="24"/>
        </w:rPr>
      </w:pPr>
      <w:r>
        <w:rPr>
          <w:rFonts w:hint="eastAsia" w:ascii="宋体" w:hAnsi="宋体" w:cs="宋体"/>
          <w:sz w:val="24"/>
        </w:rPr>
        <w:t>18.4 评审委员会将与获得询价询价的各供应商分别进行询价，询价内容包括但不限于报价、技术、实施及服务等。在询价中，询价的任何一方不得透漏与谈判有关的其它供应商的技术资料、价格和其它信息。</w:t>
      </w:r>
    </w:p>
    <w:p w14:paraId="1FBDA387">
      <w:pPr>
        <w:spacing w:line="360" w:lineRule="auto"/>
        <w:rPr>
          <w:rFonts w:ascii="宋体" w:hAnsi="宋体" w:cs="宋体"/>
          <w:sz w:val="24"/>
        </w:rPr>
      </w:pPr>
      <w:r>
        <w:rPr>
          <w:rFonts w:hint="eastAsia" w:ascii="宋体" w:hAnsi="宋体" w:cs="宋体"/>
          <w:sz w:val="24"/>
        </w:rPr>
        <w:t>18.5 询价后，参加询价的供应商应当在规定的时间内按评审委员会的要求递交针对本项目的最终报价和相关承诺。最终报价和相关承诺须由法定代表人或本项目的授权代表签字。</w:t>
      </w:r>
    </w:p>
    <w:p w14:paraId="3F64BB11">
      <w:pPr>
        <w:spacing w:line="360" w:lineRule="auto"/>
        <w:rPr>
          <w:rFonts w:ascii="宋体" w:hAnsi="宋体" w:cs="宋体"/>
          <w:sz w:val="24"/>
        </w:rPr>
      </w:pPr>
      <w:r>
        <w:rPr>
          <w:rFonts w:hint="eastAsia" w:ascii="宋体" w:hAnsi="宋体" w:cs="宋体"/>
          <w:sz w:val="24"/>
        </w:rPr>
        <w:t>18.6 供应商应将其最终报价和相关承诺的正本一份密封装在一个信封中，信封上标明“项目名称”、“供应商名称和地址”字样，并在规定的时间内递交至</w:t>
      </w:r>
      <w:r>
        <w:rPr>
          <w:rFonts w:hint="eastAsia" w:ascii="宋体" w:hAnsi="宋体" w:cs="宋体"/>
          <w:color w:val="000000"/>
          <w:sz w:val="24"/>
        </w:rPr>
        <w:t>采购</w:t>
      </w:r>
      <w:r>
        <w:rPr>
          <w:rFonts w:hint="eastAsia" w:ascii="宋体" w:hAnsi="宋体" w:cs="宋体"/>
          <w:sz w:val="24"/>
        </w:rPr>
        <w:t>人。</w:t>
      </w:r>
    </w:p>
    <w:p w14:paraId="404B9F54">
      <w:pPr>
        <w:spacing w:line="360" w:lineRule="auto"/>
        <w:rPr>
          <w:rFonts w:ascii="宋体" w:hAnsi="宋体" w:cs="宋体"/>
          <w:sz w:val="24"/>
        </w:rPr>
      </w:pPr>
      <w:r>
        <w:rPr>
          <w:rFonts w:hint="eastAsia" w:ascii="宋体" w:hAnsi="宋体" w:cs="宋体"/>
          <w:sz w:val="24"/>
        </w:rPr>
        <w:t>18.7 供应商逾期递交的或不满足要求的最终报价和相关承诺将被拒绝，并将导致其询价响应文件实质上没有响应询价文件的要求。最终报价和相关承诺在递交后将不得更改，并将作为成交供应商的评审依据。</w:t>
      </w:r>
    </w:p>
    <w:p w14:paraId="409F632B">
      <w:pPr>
        <w:spacing w:line="360" w:lineRule="auto"/>
        <w:rPr>
          <w:rFonts w:ascii="宋体" w:hAnsi="宋体" w:cs="宋体"/>
          <w:sz w:val="24"/>
        </w:rPr>
      </w:pPr>
      <w:r>
        <w:rPr>
          <w:rFonts w:hint="eastAsia" w:ascii="宋体" w:hAnsi="宋体" w:cs="宋体"/>
          <w:sz w:val="24"/>
        </w:rPr>
        <w:t>19.成交供应商的评审</w:t>
      </w:r>
    </w:p>
    <w:p w14:paraId="0CA6177F">
      <w:pPr>
        <w:spacing w:line="360" w:lineRule="auto"/>
        <w:rPr>
          <w:rFonts w:ascii="宋体" w:hAnsi="宋体" w:cs="宋体"/>
          <w:sz w:val="24"/>
        </w:rPr>
      </w:pPr>
      <w:r>
        <w:rPr>
          <w:rFonts w:hint="eastAsia" w:ascii="宋体" w:hAnsi="宋体" w:cs="宋体"/>
          <w:sz w:val="24"/>
        </w:rPr>
        <w:t>19.1 评审委员会将对参加询价且实质上响应询价文件要求的各供应商进行成交供应商的评价和比价。评审的依据为供应商递交的询价响应文件和谈判后递交的谈判报价、最终报价及承诺。</w:t>
      </w:r>
    </w:p>
    <w:p w14:paraId="28DCCDC3">
      <w:pPr>
        <w:tabs>
          <w:tab w:val="left" w:pos="220"/>
        </w:tabs>
        <w:adjustRightInd w:val="0"/>
        <w:snapToGrid w:val="0"/>
        <w:spacing w:line="360" w:lineRule="auto"/>
        <w:ind w:firstLine="420" w:firstLineChars="175"/>
        <w:rPr>
          <w:rFonts w:ascii="宋体" w:hAnsi="宋体" w:cs="宋体"/>
          <w:sz w:val="24"/>
        </w:rPr>
      </w:pPr>
      <w:r>
        <w:rPr>
          <w:rFonts w:hint="eastAsia" w:ascii="宋体" w:hAnsi="宋体" w:cs="宋体"/>
          <w:sz w:val="24"/>
        </w:rPr>
        <w:t>19.2 询价后，评审委员会将根据满足询价文件的全部技术和商务要求且</w:t>
      </w:r>
      <w:r>
        <w:rPr>
          <w:rFonts w:hint="eastAsia" w:ascii="宋体" w:hAnsi="宋体" w:cs="宋体"/>
          <w:b/>
          <w:sz w:val="24"/>
        </w:rPr>
        <w:t>报价由低到高的顺序</w:t>
      </w:r>
      <w:r>
        <w:rPr>
          <w:rFonts w:hint="eastAsia" w:ascii="宋体" w:hAnsi="宋体" w:cs="宋体"/>
          <w:sz w:val="24"/>
        </w:rPr>
        <w:t>确定成交候选人名单。</w:t>
      </w:r>
    </w:p>
    <w:p w14:paraId="1080D5A2">
      <w:pPr>
        <w:spacing w:line="360" w:lineRule="auto"/>
        <w:rPr>
          <w:rFonts w:ascii="宋体" w:hAnsi="宋体" w:cs="宋体"/>
          <w:sz w:val="24"/>
        </w:rPr>
      </w:pPr>
      <w:r>
        <w:rPr>
          <w:rFonts w:hint="eastAsia" w:ascii="宋体" w:hAnsi="宋体" w:cs="宋体"/>
          <w:sz w:val="24"/>
        </w:rPr>
        <w:t>注：具体评审办法详见第三章评审办法。</w:t>
      </w:r>
    </w:p>
    <w:p w14:paraId="42A441F9">
      <w:pPr>
        <w:spacing w:line="360" w:lineRule="auto"/>
        <w:rPr>
          <w:rFonts w:ascii="宋体" w:hAnsi="宋体" w:cs="宋体"/>
          <w:sz w:val="24"/>
        </w:rPr>
      </w:pPr>
      <w:r>
        <w:rPr>
          <w:rFonts w:hint="eastAsia" w:ascii="宋体" w:hAnsi="宋体" w:cs="宋体"/>
          <w:sz w:val="24"/>
        </w:rPr>
        <w:t>19.3评审委员会将根据评估结果，对参加询价且实质上响应询价文件要求的供应商按综合得分排序向采购人推荐本项目的成交供应商候选人。</w:t>
      </w:r>
    </w:p>
    <w:p w14:paraId="35DE0B6B">
      <w:pPr>
        <w:spacing w:line="360" w:lineRule="auto"/>
        <w:rPr>
          <w:rFonts w:ascii="宋体" w:hAnsi="宋体" w:cs="宋体"/>
          <w:sz w:val="24"/>
        </w:rPr>
      </w:pPr>
      <w:r>
        <w:rPr>
          <w:rFonts w:hint="eastAsia" w:ascii="宋体" w:hAnsi="宋体" w:cs="宋体"/>
          <w:sz w:val="24"/>
        </w:rPr>
        <w:t>19.4评审委员会发现供应商的报价明显低于其他报价，有可能影响产品质量或者不能诚信履约的，且无法在评审现场合理的时间内提供书面说明并在必要时提交相关证明材料，以证明其报价合理性的，评审委员会认定该供应商以低于成本报价竞标，其询价响应文件应作为无效处理。</w:t>
      </w:r>
    </w:p>
    <w:p w14:paraId="5E3E6E4D">
      <w:pPr>
        <w:spacing w:line="360" w:lineRule="auto"/>
        <w:rPr>
          <w:rFonts w:ascii="宋体" w:hAnsi="宋体" w:cs="宋体"/>
          <w:b/>
          <w:sz w:val="24"/>
        </w:rPr>
      </w:pPr>
      <w:r>
        <w:rPr>
          <w:rFonts w:hint="eastAsia" w:ascii="宋体" w:hAnsi="宋体" w:cs="宋体"/>
          <w:b/>
          <w:sz w:val="24"/>
        </w:rPr>
        <w:t>七、保密</w:t>
      </w:r>
    </w:p>
    <w:p w14:paraId="5AEF4837">
      <w:pPr>
        <w:spacing w:line="360" w:lineRule="auto"/>
        <w:rPr>
          <w:rFonts w:ascii="宋体" w:hAnsi="宋体" w:cs="宋体"/>
          <w:sz w:val="24"/>
        </w:rPr>
      </w:pPr>
      <w:r>
        <w:rPr>
          <w:rFonts w:hint="eastAsia" w:ascii="宋体" w:hAnsi="宋体" w:cs="宋体"/>
          <w:sz w:val="24"/>
        </w:rPr>
        <w:t>20.与采购人的接触</w:t>
      </w:r>
    </w:p>
    <w:p w14:paraId="6567FC66">
      <w:pPr>
        <w:spacing w:line="360" w:lineRule="auto"/>
        <w:rPr>
          <w:rFonts w:ascii="宋体" w:hAnsi="宋体" w:cs="宋体"/>
          <w:sz w:val="24"/>
        </w:rPr>
      </w:pPr>
      <w:r>
        <w:rPr>
          <w:rFonts w:hint="eastAsia" w:ascii="宋体" w:hAnsi="宋体" w:cs="宋体"/>
          <w:sz w:val="24"/>
        </w:rPr>
        <w:t>20.1除本须知第17条和第19条规定外，从递交询价响应文件之日起至授予合同期间，供应商不得就与其询价响应文件有关的事项与采购人接触。</w:t>
      </w:r>
    </w:p>
    <w:p w14:paraId="51C85EFF">
      <w:pPr>
        <w:spacing w:line="360" w:lineRule="auto"/>
        <w:rPr>
          <w:rFonts w:ascii="宋体" w:hAnsi="宋体" w:cs="宋体"/>
          <w:sz w:val="24"/>
        </w:rPr>
      </w:pPr>
      <w:r>
        <w:rPr>
          <w:rFonts w:hint="eastAsia" w:ascii="宋体" w:hAnsi="宋体" w:cs="宋体"/>
          <w:sz w:val="24"/>
        </w:rPr>
        <w:t>20.2 供应商试图对评审委员会的评审、比较或授予合同的决定进行影响，都可能导致其响应文件被拒绝。</w:t>
      </w:r>
    </w:p>
    <w:p w14:paraId="69D40483">
      <w:pPr>
        <w:spacing w:line="360" w:lineRule="auto"/>
        <w:rPr>
          <w:rFonts w:ascii="宋体" w:hAnsi="宋体" w:cs="宋体"/>
          <w:b/>
          <w:sz w:val="24"/>
        </w:rPr>
      </w:pPr>
      <w:r>
        <w:rPr>
          <w:rFonts w:hint="eastAsia" w:ascii="宋体" w:hAnsi="宋体" w:cs="宋体"/>
          <w:b/>
          <w:sz w:val="24"/>
        </w:rPr>
        <w:t>八、合同的签订</w:t>
      </w:r>
    </w:p>
    <w:p w14:paraId="5FA79479">
      <w:pPr>
        <w:spacing w:line="360" w:lineRule="auto"/>
        <w:rPr>
          <w:rFonts w:ascii="宋体" w:hAnsi="宋体" w:cs="宋体"/>
          <w:sz w:val="24"/>
        </w:rPr>
      </w:pPr>
      <w:r>
        <w:rPr>
          <w:rFonts w:hint="eastAsia" w:ascii="宋体" w:hAnsi="宋体" w:cs="宋体"/>
          <w:sz w:val="24"/>
        </w:rPr>
        <w:t>21. 合同的签订（详见《供应商须知前附表》）</w:t>
      </w:r>
    </w:p>
    <w:p w14:paraId="3678E5F5">
      <w:pPr>
        <w:spacing w:line="360" w:lineRule="auto"/>
        <w:rPr>
          <w:rFonts w:ascii="宋体" w:hAnsi="宋体" w:cs="宋体"/>
          <w:sz w:val="24"/>
        </w:rPr>
      </w:pPr>
      <w:r>
        <w:rPr>
          <w:rFonts w:hint="eastAsia" w:ascii="宋体" w:hAnsi="宋体" w:cs="宋体"/>
          <w:sz w:val="24"/>
        </w:rPr>
        <w:t>21.1评审委员会将根据供应商评估结果，按综合得分排序向采购人推荐本项目的成交供应商候选人。</w:t>
      </w:r>
    </w:p>
    <w:p w14:paraId="16540D9B">
      <w:pPr>
        <w:spacing w:line="360" w:lineRule="auto"/>
        <w:rPr>
          <w:rFonts w:ascii="宋体" w:hAnsi="宋体" w:cs="宋体"/>
          <w:sz w:val="24"/>
        </w:rPr>
      </w:pPr>
      <w:r>
        <w:rPr>
          <w:rFonts w:hint="eastAsia" w:ascii="宋体" w:hAnsi="宋体" w:cs="宋体"/>
          <w:sz w:val="24"/>
        </w:rPr>
        <w:t>21.2 在签订合同前，如评审委员会发现供应商存在提供虚假不实资料的，将拒绝其响应文件，并取消供应商推荐资格，同时按综合评估排序对下一个候选人能否令人满意地履行合同作类似的审查。</w:t>
      </w:r>
    </w:p>
    <w:p w14:paraId="36BDD2CC">
      <w:pPr>
        <w:spacing w:line="360" w:lineRule="auto"/>
        <w:rPr>
          <w:rFonts w:ascii="宋体" w:hAnsi="宋体" w:cs="宋体"/>
          <w:sz w:val="24"/>
        </w:rPr>
      </w:pPr>
      <w:r>
        <w:rPr>
          <w:rFonts w:hint="eastAsia" w:ascii="宋体" w:hAnsi="宋体" w:cs="宋体"/>
          <w:sz w:val="24"/>
        </w:rPr>
        <w:t>22. 接受和拒绝任何或所有响应文件的权力</w:t>
      </w:r>
    </w:p>
    <w:p w14:paraId="11F5F7FB">
      <w:pPr>
        <w:spacing w:line="360" w:lineRule="auto"/>
        <w:rPr>
          <w:rFonts w:ascii="宋体" w:hAnsi="宋体" w:cs="宋体"/>
          <w:sz w:val="24"/>
        </w:rPr>
      </w:pPr>
      <w:r>
        <w:rPr>
          <w:rFonts w:hint="eastAsia" w:ascii="宋体" w:hAnsi="宋体" w:cs="宋体"/>
          <w:sz w:val="24"/>
        </w:rPr>
        <w:t>22.1采购人保留在签订合同之前任何时候接受或拒绝任何响应文件，以及宣布本次采购无效或拒绝所有响应文件的权力，对受影响的供应商不承担任何责任，也无义务向受影响的供应商解释采取这一行动的理由。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72CD43A1">
      <w:pPr>
        <w:spacing w:line="360" w:lineRule="auto"/>
        <w:rPr>
          <w:rFonts w:ascii="宋体" w:hAnsi="宋体" w:cs="宋体"/>
          <w:sz w:val="24"/>
        </w:rPr>
      </w:pPr>
      <w:r>
        <w:rPr>
          <w:rFonts w:hint="eastAsia" w:ascii="宋体" w:hAnsi="宋体" w:cs="宋体"/>
          <w:sz w:val="24"/>
        </w:rPr>
        <w:t>23.授予合同通知书</w:t>
      </w:r>
    </w:p>
    <w:p w14:paraId="61EB4903">
      <w:pPr>
        <w:spacing w:line="360" w:lineRule="auto"/>
        <w:rPr>
          <w:rFonts w:ascii="宋体" w:hAnsi="宋体" w:cs="宋体"/>
          <w:sz w:val="24"/>
        </w:rPr>
      </w:pPr>
      <w:r>
        <w:rPr>
          <w:rFonts w:hint="eastAsia" w:ascii="宋体" w:hAnsi="宋体" w:cs="宋体"/>
          <w:sz w:val="24"/>
        </w:rPr>
        <w:t>23.1 采购人确定供应商后，将向成交供应商发出授予合同通知书。</w:t>
      </w:r>
    </w:p>
    <w:p w14:paraId="537A5FCB">
      <w:pPr>
        <w:spacing w:line="360" w:lineRule="auto"/>
        <w:rPr>
          <w:rFonts w:ascii="宋体" w:hAnsi="宋体" w:cs="宋体"/>
          <w:sz w:val="24"/>
        </w:rPr>
      </w:pPr>
      <w:r>
        <w:rPr>
          <w:rFonts w:hint="eastAsia" w:ascii="宋体" w:hAnsi="宋体" w:cs="宋体"/>
          <w:sz w:val="24"/>
        </w:rPr>
        <w:t>23.2 授予合同通知书是合同的一个组成部分。</w:t>
      </w:r>
    </w:p>
    <w:p w14:paraId="738C7408">
      <w:pPr>
        <w:spacing w:line="360" w:lineRule="auto"/>
        <w:rPr>
          <w:rFonts w:ascii="宋体" w:hAnsi="宋体" w:cs="宋体"/>
          <w:sz w:val="24"/>
        </w:rPr>
      </w:pPr>
      <w:r>
        <w:rPr>
          <w:rFonts w:hint="eastAsia" w:ascii="宋体" w:hAnsi="宋体" w:cs="宋体"/>
          <w:sz w:val="24"/>
        </w:rPr>
        <w:t>24.签订合同</w:t>
      </w:r>
    </w:p>
    <w:p w14:paraId="08825E9C">
      <w:pPr>
        <w:spacing w:line="360" w:lineRule="auto"/>
        <w:rPr>
          <w:rFonts w:ascii="宋体" w:hAnsi="宋体" w:cs="宋体"/>
          <w:sz w:val="24"/>
        </w:rPr>
      </w:pPr>
      <w:r>
        <w:rPr>
          <w:rFonts w:hint="eastAsia" w:ascii="宋体" w:hAnsi="宋体" w:cs="宋体"/>
          <w:sz w:val="24"/>
        </w:rPr>
        <w:t>24.1成交供应商应按授予合同通知书规定的时间、地点与采购人签订合同（格式见第四章《合同格式》），否则按响应有效期内撤回响应文件处理。</w:t>
      </w:r>
    </w:p>
    <w:p w14:paraId="187025C4">
      <w:pPr>
        <w:tabs>
          <w:tab w:val="left" w:pos="540"/>
        </w:tabs>
        <w:adjustRightInd w:val="0"/>
        <w:snapToGrid w:val="0"/>
        <w:spacing w:line="360" w:lineRule="auto"/>
        <w:jc w:val="center"/>
        <w:rPr>
          <w:rFonts w:ascii="黑体" w:hAnsi="宋体" w:eastAsia="黑体"/>
          <w:spacing w:val="-10"/>
          <w:sz w:val="36"/>
          <w:szCs w:val="36"/>
        </w:rPr>
      </w:pPr>
      <w:r>
        <w:rPr>
          <w:rFonts w:hint="eastAsia" w:ascii="宋体" w:hAnsi="宋体" w:cs="宋体"/>
          <w:sz w:val="24"/>
        </w:rPr>
        <w:t>24.2 如果成交供应商没有按照上述规定执行，采购人将有充分理由取消该中选决定。在此情况下，采购人可与下一个候选人签订合同，或重新采购</w:t>
      </w:r>
      <w:r>
        <w:rPr>
          <w:rFonts w:hint="eastAsia" w:ascii="宋体" w:hAnsi="宋体" w:cs="宋体"/>
          <w:bCs/>
          <w:kern w:val="44"/>
          <w:sz w:val="24"/>
        </w:rPr>
        <w:t>。</w:t>
      </w:r>
      <w:bookmarkEnd w:id="0"/>
      <w:bookmarkEnd w:id="1"/>
      <w:bookmarkEnd w:id="2"/>
      <w:bookmarkEnd w:id="3"/>
      <w:bookmarkStart w:id="4" w:name="_Toc150538845"/>
      <w:r>
        <w:rPr>
          <w:rFonts w:hint="eastAsia" w:ascii="黑体" w:hAnsi="宋体" w:eastAsia="黑体"/>
          <w:spacing w:val="-10"/>
          <w:sz w:val="36"/>
          <w:szCs w:val="36"/>
        </w:rPr>
        <w:br w:type="page"/>
      </w:r>
      <w:r>
        <w:rPr>
          <w:rFonts w:hint="eastAsia" w:eastAsia="黑体"/>
          <w:sz w:val="52"/>
          <w:szCs w:val="52"/>
        </w:rPr>
        <w:t>第三章 成交办法</w:t>
      </w:r>
    </w:p>
    <w:p w14:paraId="40FF81EF">
      <w:pPr>
        <w:ind w:firstLine="422" w:firstLineChars="200"/>
        <w:rPr>
          <w:rFonts w:ascii="宋体" w:hAnsi="宋体"/>
          <w:b/>
          <w:szCs w:val="21"/>
        </w:rPr>
      </w:pPr>
    </w:p>
    <w:p w14:paraId="072B2BEB">
      <w:pPr>
        <w:spacing w:line="360" w:lineRule="auto"/>
        <w:jc w:val="center"/>
        <w:rPr>
          <w:rFonts w:ascii="宋体" w:hAnsi="宋体"/>
          <w:b/>
          <w:bCs/>
          <w:sz w:val="32"/>
          <w:szCs w:val="32"/>
        </w:rPr>
      </w:pPr>
      <w:r>
        <w:rPr>
          <w:rFonts w:hint="eastAsia" w:ascii="宋体" w:hAnsi="宋体"/>
          <w:b/>
          <w:bCs/>
          <w:sz w:val="32"/>
          <w:szCs w:val="32"/>
        </w:rPr>
        <w:t>成交办法前附表</w:t>
      </w:r>
    </w:p>
    <w:tbl>
      <w:tblPr>
        <w:tblStyle w:val="59"/>
        <w:tblW w:w="10086" w:type="dxa"/>
        <w:tblInd w:w="-6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58"/>
        <w:gridCol w:w="2409"/>
        <w:gridCol w:w="5919"/>
      </w:tblGrid>
      <w:tr w14:paraId="71D2D9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758" w:type="dxa"/>
            <w:tcBorders>
              <w:top w:val="single" w:color="auto" w:sz="4" w:space="0"/>
              <w:bottom w:val="single" w:color="auto" w:sz="4" w:space="0"/>
              <w:right w:val="single" w:color="auto" w:sz="4" w:space="0"/>
            </w:tcBorders>
            <w:vAlign w:val="center"/>
          </w:tcPr>
          <w:p w14:paraId="45520E40">
            <w:pPr>
              <w:jc w:val="center"/>
              <w:rPr>
                <w:rFonts w:eastAsia="Times New Roman"/>
                <w:b/>
                <w:szCs w:val="21"/>
              </w:rPr>
            </w:pPr>
            <w:r>
              <w:rPr>
                <w:rFonts w:hint="eastAsia"/>
                <w:b/>
                <w:szCs w:val="21"/>
              </w:rPr>
              <w:t>评审内容</w:t>
            </w:r>
          </w:p>
        </w:tc>
        <w:tc>
          <w:tcPr>
            <w:tcW w:w="2409" w:type="dxa"/>
            <w:tcBorders>
              <w:top w:val="single" w:color="auto" w:sz="4" w:space="0"/>
              <w:left w:val="single" w:color="auto" w:sz="4" w:space="0"/>
              <w:bottom w:val="single" w:color="auto" w:sz="4" w:space="0"/>
              <w:right w:val="single" w:color="auto" w:sz="4" w:space="0"/>
            </w:tcBorders>
            <w:vAlign w:val="center"/>
          </w:tcPr>
          <w:p w14:paraId="4BB890F8">
            <w:pPr>
              <w:jc w:val="center"/>
              <w:rPr>
                <w:b/>
                <w:szCs w:val="21"/>
              </w:rPr>
            </w:pPr>
            <w:r>
              <w:rPr>
                <w:b/>
                <w:szCs w:val="21"/>
              </w:rPr>
              <w:t>评审因素</w:t>
            </w:r>
          </w:p>
        </w:tc>
        <w:tc>
          <w:tcPr>
            <w:tcW w:w="5919" w:type="dxa"/>
            <w:tcBorders>
              <w:top w:val="single" w:color="auto" w:sz="4" w:space="0"/>
              <w:left w:val="single" w:color="auto" w:sz="4" w:space="0"/>
              <w:bottom w:val="single" w:color="auto" w:sz="4" w:space="0"/>
              <w:right w:val="single" w:color="auto" w:sz="4" w:space="0"/>
            </w:tcBorders>
            <w:vAlign w:val="center"/>
          </w:tcPr>
          <w:p w14:paraId="1E403604">
            <w:pPr>
              <w:jc w:val="center"/>
              <w:rPr>
                <w:b/>
                <w:szCs w:val="21"/>
              </w:rPr>
            </w:pPr>
            <w:r>
              <w:rPr>
                <w:b/>
                <w:szCs w:val="21"/>
              </w:rPr>
              <w:t>评审标准</w:t>
            </w:r>
          </w:p>
        </w:tc>
      </w:tr>
      <w:tr w14:paraId="6EE10E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58" w:type="dxa"/>
            <w:vMerge w:val="restart"/>
            <w:tcBorders>
              <w:top w:val="single" w:color="auto" w:sz="4" w:space="0"/>
              <w:right w:val="single" w:color="auto" w:sz="4" w:space="0"/>
            </w:tcBorders>
            <w:vAlign w:val="center"/>
          </w:tcPr>
          <w:p w14:paraId="63C2D564">
            <w:pPr>
              <w:jc w:val="center"/>
              <w:rPr>
                <w:szCs w:val="21"/>
              </w:rPr>
            </w:pPr>
            <w:r>
              <w:rPr>
                <w:szCs w:val="21"/>
              </w:rPr>
              <w:t>形式评审标准</w:t>
            </w:r>
          </w:p>
        </w:tc>
        <w:tc>
          <w:tcPr>
            <w:tcW w:w="2409" w:type="dxa"/>
            <w:tcBorders>
              <w:top w:val="single" w:color="auto" w:sz="4" w:space="0"/>
              <w:left w:val="single" w:color="auto" w:sz="4" w:space="0"/>
              <w:bottom w:val="single" w:color="auto" w:sz="4" w:space="0"/>
              <w:right w:val="single" w:color="auto" w:sz="4" w:space="0"/>
            </w:tcBorders>
            <w:vAlign w:val="center"/>
          </w:tcPr>
          <w:p w14:paraId="193A95B2">
            <w:pPr>
              <w:jc w:val="center"/>
              <w:rPr>
                <w:szCs w:val="21"/>
              </w:rPr>
            </w:pPr>
            <w:r>
              <w:rPr>
                <w:rFonts w:hint="eastAsia"/>
                <w:szCs w:val="21"/>
              </w:rPr>
              <w:t>供应商</w:t>
            </w:r>
            <w:r>
              <w:rPr>
                <w:szCs w:val="21"/>
              </w:rPr>
              <w:t>名称</w:t>
            </w:r>
          </w:p>
        </w:tc>
        <w:tc>
          <w:tcPr>
            <w:tcW w:w="5919" w:type="dxa"/>
            <w:tcBorders>
              <w:top w:val="single" w:color="auto" w:sz="4" w:space="0"/>
              <w:left w:val="single" w:color="auto" w:sz="4" w:space="0"/>
              <w:bottom w:val="single" w:color="auto" w:sz="4" w:space="0"/>
              <w:right w:val="single" w:color="auto" w:sz="4" w:space="0"/>
            </w:tcBorders>
            <w:vAlign w:val="center"/>
          </w:tcPr>
          <w:p w14:paraId="7EBD08D4">
            <w:pPr>
              <w:rPr>
                <w:szCs w:val="21"/>
              </w:rPr>
            </w:pPr>
            <w:r>
              <w:rPr>
                <w:szCs w:val="21"/>
              </w:rPr>
              <w:t>与营业执照、资质证书一致。</w:t>
            </w:r>
          </w:p>
        </w:tc>
      </w:tr>
      <w:tr w14:paraId="57FF9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758" w:type="dxa"/>
            <w:vMerge w:val="continue"/>
            <w:tcBorders>
              <w:right w:val="single" w:color="auto" w:sz="4" w:space="0"/>
            </w:tcBorders>
            <w:vAlign w:val="center"/>
          </w:tcPr>
          <w:p w14:paraId="22D633D1">
            <w:pPr>
              <w:jc w:val="center"/>
              <w:rPr>
                <w:b/>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14AA789E">
            <w:pPr>
              <w:jc w:val="center"/>
              <w:rPr>
                <w:szCs w:val="21"/>
              </w:rPr>
            </w:pPr>
            <w:r>
              <w:rPr>
                <w:rFonts w:hint="eastAsia"/>
                <w:szCs w:val="21"/>
              </w:rPr>
              <w:t>响应文件</w:t>
            </w:r>
            <w:r>
              <w:rPr>
                <w:szCs w:val="21"/>
              </w:rPr>
              <w:t>签字盖章</w:t>
            </w:r>
          </w:p>
        </w:tc>
        <w:tc>
          <w:tcPr>
            <w:tcW w:w="5919" w:type="dxa"/>
            <w:tcBorders>
              <w:top w:val="single" w:color="auto" w:sz="4" w:space="0"/>
              <w:left w:val="single" w:color="auto" w:sz="4" w:space="0"/>
              <w:bottom w:val="single" w:color="auto" w:sz="4" w:space="0"/>
              <w:right w:val="single" w:color="auto" w:sz="4" w:space="0"/>
            </w:tcBorders>
            <w:vAlign w:val="center"/>
          </w:tcPr>
          <w:p w14:paraId="1FFB27F5">
            <w:pPr>
              <w:rPr>
                <w:szCs w:val="21"/>
              </w:rPr>
            </w:pPr>
            <w:r>
              <w:rPr>
                <w:szCs w:val="21"/>
              </w:rPr>
              <w:t>符合第二章“</w:t>
            </w:r>
            <w:r>
              <w:rPr>
                <w:rFonts w:hint="eastAsia"/>
                <w:szCs w:val="21"/>
              </w:rPr>
              <w:t>供应商</w:t>
            </w:r>
            <w:r>
              <w:rPr>
                <w:szCs w:val="21"/>
              </w:rPr>
              <w:t>须知前附表”规定。</w:t>
            </w:r>
          </w:p>
        </w:tc>
      </w:tr>
      <w:tr w14:paraId="71DA5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758" w:type="dxa"/>
            <w:vMerge w:val="continue"/>
            <w:tcBorders>
              <w:right w:val="single" w:color="auto" w:sz="4" w:space="0"/>
            </w:tcBorders>
            <w:vAlign w:val="center"/>
          </w:tcPr>
          <w:p w14:paraId="652B62B7">
            <w:pPr>
              <w:jc w:val="center"/>
              <w:rPr>
                <w:b/>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634AC7F1">
            <w:pPr>
              <w:jc w:val="center"/>
              <w:rPr>
                <w:szCs w:val="21"/>
              </w:rPr>
            </w:pPr>
            <w:r>
              <w:rPr>
                <w:szCs w:val="21"/>
              </w:rPr>
              <w:t>法定代表人授权委托书</w:t>
            </w:r>
          </w:p>
        </w:tc>
        <w:tc>
          <w:tcPr>
            <w:tcW w:w="5919" w:type="dxa"/>
            <w:tcBorders>
              <w:top w:val="single" w:color="auto" w:sz="4" w:space="0"/>
              <w:left w:val="single" w:color="auto" w:sz="4" w:space="0"/>
              <w:bottom w:val="single" w:color="auto" w:sz="4" w:space="0"/>
              <w:right w:val="single" w:color="auto" w:sz="4" w:space="0"/>
            </w:tcBorders>
            <w:vAlign w:val="center"/>
          </w:tcPr>
          <w:p w14:paraId="476C6D9C">
            <w:pPr>
              <w:rPr>
                <w:szCs w:val="21"/>
              </w:rPr>
            </w:pPr>
            <w:r>
              <w:rPr>
                <w:szCs w:val="21"/>
              </w:rPr>
              <w:t>出具法定代表人授权书，法人代表签字和单位盖章。</w:t>
            </w:r>
          </w:p>
        </w:tc>
      </w:tr>
      <w:tr w14:paraId="208D63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758" w:type="dxa"/>
            <w:vMerge w:val="continue"/>
            <w:tcBorders>
              <w:bottom w:val="single" w:color="auto" w:sz="4" w:space="0"/>
              <w:right w:val="single" w:color="auto" w:sz="4" w:space="0"/>
            </w:tcBorders>
            <w:vAlign w:val="center"/>
          </w:tcPr>
          <w:p w14:paraId="5D8E1A4B">
            <w:pPr>
              <w:jc w:val="center"/>
              <w:rPr>
                <w:b/>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17176131">
            <w:pPr>
              <w:jc w:val="center"/>
              <w:rPr>
                <w:szCs w:val="21"/>
              </w:rPr>
            </w:pPr>
            <w:r>
              <w:rPr>
                <w:rFonts w:hint="eastAsia"/>
                <w:szCs w:val="21"/>
              </w:rPr>
              <w:t>响应文件</w:t>
            </w:r>
            <w:r>
              <w:rPr>
                <w:szCs w:val="21"/>
              </w:rPr>
              <w:t>格式</w:t>
            </w:r>
          </w:p>
        </w:tc>
        <w:tc>
          <w:tcPr>
            <w:tcW w:w="5919" w:type="dxa"/>
            <w:tcBorders>
              <w:top w:val="single" w:color="auto" w:sz="4" w:space="0"/>
              <w:left w:val="single" w:color="auto" w:sz="4" w:space="0"/>
              <w:bottom w:val="single" w:color="auto" w:sz="4" w:space="0"/>
              <w:right w:val="single" w:color="auto" w:sz="4" w:space="0"/>
            </w:tcBorders>
            <w:vAlign w:val="center"/>
          </w:tcPr>
          <w:p w14:paraId="4E9F1362">
            <w:pPr>
              <w:rPr>
                <w:szCs w:val="21"/>
              </w:rPr>
            </w:pPr>
            <w:r>
              <w:rPr>
                <w:szCs w:val="21"/>
              </w:rPr>
              <w:t>符合</w:t>
            </w:r>
            <w:r>
              <w:rPr>
                <w:rFonts w:hint="eastAsia"/>
                <w:szCs w:val="21"/>
              </w:rPr>
              <w:t>采购文件</w:t>
            </w:r>
            <w:r>
              <w:rPr>
                <w:szCs w:val="21"/>
              </w:rPr>
              <w:t>“</w:t>
            </w:r>
            <w:r>
              <w:rPr>
                <w:rFonts w:hint="eastAsia"/>
                <w:szCs w:val="21"/>
              </w:rPr>
              <w:t>响应文件</w:t>
            </w:r>
            <w:r>
              <w:rPr>
                <w:szCs w:val="21"/>
              </w:rPr>
              <w:t>格式”要求，字迹清晰可辨。</w:t>
            </w:r>
          </w:p>
        </w:tc>
      </w:tr>
      <w:tr w14:paraId="56283F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758" w:type="dxa"/>
            <w:tcBorders>
              <w:top w:val="single" w:color="auto" w:sz="4" w:space="0"/>
              <w:bottom w:val="single" w:color="auto" w:sz="4" w:space="0"/>
              <w:right w:val="single" w:color="auto" w:sz="4" w:space="0"/>
            </w:tcBorders>
            <w:vAlign w:val="center"/>
          </w:tcPr>
          <w:p w14:paraId="08083D4E">
            <w:pPr>
              <w:jc w:val="center"/>
              <w:rPr>
                <w:rFonts w:ascii="Tahoma" w:hAnsi="Tahoma"/>
                <w:sz w:val="24"/>
              </w:rPr>
            </w:pPr>
            <w:r>
              <w:rPr>
                <w:szCs w:val="21"/>
              </w:rPr>
              <w:t>资格评审标准</w:t>
            </w:r>
          </w:p>
        </w:tc>
        <w:tc>
          <w:tcPr>
            <w:tcW w:w="2409" w:type="dxa"/>
            <w:tcBorders>
              <w:top w:val="single" w:color="auto" w:sz="4" w:space="0"/>
              <w:left w:val="single" w:color="auto" w:sz="4" w:space="0"/>
              <w:bottom w:val="single" w:color="auto" w:sz="4" w:space="0"/>
              <w:right w:val="single" w:color="auto" w:sz="4" w:space="0"/>
            </w:tcBorders>
            <w:vAlign w:val="center"/>
          </w:tcPr>
          <w:p w14:paraId="298B8CA5">
            <w:pPr>
              <w:jc w:val="center"/>
              <w:rPr>
                <w:rFonts w:ascii="宋体" w:hAnsi="宋体"/>
                <w:bCs/>
                <w:szCs w:val="21"/>
              </w:rPr>
            </w:pPr>
            <w:r>
              <w:rPr>
                <w:rFonts w:hint="eastAsia" w:ascii="宋体" w:hAnsi="宋体"/>
                <w:bCs/>
                <w:szCs w:val="21"/>
              </w:rPr>
              <w:t>资格条件</w:t>
            </w:r>
          </w:p>
        </w:tc>
        <w:tc>
          <w:tcPr>
            <w:tcW w:w="5919" w:type="dxa"/>
            <w:tcBorders>
              <w:top w:val="single" w:color="auto" w:sz="4" w:space="0"/>
              <w:left w:val="single" w:color="auto" w:sz="4" w:space="0"/>
              <w:bottom w:val="single" w:color="auto" w:sz="4" w:space="0"/>
              <w:right w:val="single" w:color="auto" w:sz="4" w:space="0"/>
            </w:tcBorders>
            <w:vAlign w:val="center"/>
          </w:tcPr>
          <w:p w14:paraId="644EA82A">
            <w:pPr>
              <w:rPr>
                <w:szCs w:val="21"/>
              </w:rPr>
            </w:pPr>
            <w:r>
              <w:rPr>
                <w:rFonts w:hint="eastAsia"/>
                <w:szCs w:val="21"/>
              </w:rPr>
              <w:t>满足第一章采购公告中资格条件的要求。</w:t>
            </w:r>
          </w:p>
        </w:tc>
      </w:tr>
      <w:tr w14:paraId="5C6CC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758" w:type="dxa"/>
            <w:vMerge w:val="restart"/>
            <w:tcBorders>
              <w:top w:val="single" w:color="auto" w:sz="4" w:space="0"/>
              <w:right w:val="single" w:color="auto" w:sz="4" w:space="0"/>
            </w:tcBorders>
            <w:vAlign w:val="center"/>
          </w:tcPr>
          <w:p w14:paraId="3CDFF038">
            <w:pPr>
              <w:jc w:val="center"/>
              <w:rPr>
                <w:szCs w:val="21"/>
              </w:rPr>
            </w:pPr>
            <w:r>
              <w:rPr>
                <w:szCs w:val="21"/>
              </w:rPr>
              <w:t>响应性评审标准</w:t>
            </w:r>
          </w:p>
        </w:tc>
        <w:tc>
          <w:tcPr>
            <w:tcW w:w="2409" w:type="dxa"/>
            <w:tcBorders>
              <w:top w:val="single" w:color="auto" w:sz="4" w:space="0"/>
              <w:left w:val="single" w:color="auto" w:sz="4" w:space="0"/>
              <w:bottom w:val="single" w:color="auto" w:sz="4" w:space="0"/>
              <w:right w:val="single" w:color="auto" w:sz="4" w:space="0"/>
            </w:tcBorders>
            <w:vAlign w:val="center"/>
          </w:tcPr>
          <w:p w14:paraId="7B3A35F3">
            <w:pPr>
              <w:jc w:val="center"/>
              <w:rPr>
                <w:szCs w:val="21"/>
              </w:rPr>
            </w:pPr>
            <w:r>
              <w:rPr>
                <w:rFonts w:hint="eastAsia"/>
                <w:szCs w:val="21"/>
              </w:rPr>
              <w:t>响应</w:t>
            </w:r>
            <w:r>
              <w:rPr>
                <w:szCs w:val="21"/>
              </w:rPr>
              <w:t>内容</w:t>
            </w:r>
          </w:p>
        </w:tc>
        <w:tc>
          <w:tcPr>
            <w:tcW w:w="5919" w:type="dxa"/>
            <w:tcBorders>
              <w:top w:val="single" w:color="auto" w:sz="4" w:space="0"/>
              <w:left w:val="single" w:color="auto" w:sz="4" w:space="0"/>
              <w:bottom w:val="single" w:color="auto" w:sz="4" w:space="0"/>
              <w:right w:val="single" w:color="auto" w:sz="4" w:space="0"/>
            </w:tcBorders>
            <w:vAlign w:val="center"/>
          </w:tcPr>
          <w:p w14:paraId="6CFAEFDC">
            <w:pPr>
              <w:rPr>
                <w:szCs w:val="21"/>
              </w:rPr>
            </w:pPr>
            <w:r>
              <w:rPr>
                <w:szCs w:val="21"/>
              </w:rPr>
              <w:t>符合</w:t>
            </w:r>
            <w:r>
              <w:rPr>
                <w:rFonts w:hint="eastAsia"/>
                <w:szCs w:val="21"/>
              </w:rPr>
              <w:t>采购文件</w:t>
            </w:r>
            <w:r>
              <w:rPr>
                <w:szCs w:val="21"/>
              </w:rPr>
              <w:t>要求</w:t>
            </w:r>
            <w:r>
              <w:rPr>
                <w:rFonts w:hint="eastAsia"/>
                <w:szCs w:val="21"/>
              </w:rPr>
              <w:t>。</w:t>
            </w:r>
          </w:p>
        </w:tc>
      </w:tr>
      <w:tr w14:paraId="4926E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758" w:type="dxa"/>
            <w:vMerge w:val="continue"/>
            <w:tcBorders>
              <w:right w:val="single" w:color="auto" w:sz="4" w:space="0"/>
            </w:tcBorders>
            <w:vAlign w:val="center"/>
          </w:tcPr>
          <w:p w14:paraId="046F9E9C">
            <w:pPr>
              <w:rPr>
                <w:b/>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652EC1FD">
            <w:pPr>
              <w:jc w:val="center"/>
              <w:rPr>
                <w:szCs w:val="21"/>
              </w:rPr>
            </w:pPr>
            <w:r>
              <w:rPr>
                <w:szCs w:val="21"/>
              </w:rPr>
              <w:t>报价唯一且有效</w:t>
            </w:r>
          </w:p>
        </w:tc>
        <w:tc>
          <w:tcPr>
            <w:tcW w:w="5919" w:type="dxa"/>
            <w:tcBorders>
              <w:top w:val="single" w:color="auto" w:sz="4" w:space="0"/>
              <w:left w:val="single" w:color="auto" w:sz="4" w:space="0"/>
              <w:bottom w:val="single" w:color="auto" w:sz="4" w:space="0"/>
              <w:right w:val="single" w:color="auto" w:sz="4" w:space="0"/>
            </w:tcBorders>
            <w:vAlign w:val="center"/>
          </w:tcPr>
          <w:p w14:paraId="5C3A66D9">
            <w:pPr>
              <w:autoSpaceDE w:val="0"/>
              <w:autoSpaceDN w:val="0"/>
              <w:jc w:val="left"/>
              <w:rPr>
                <w:szCs w:val="21"/>
              </w:rPr>
            </w:pPr>
            <w:r>
              <w:rPr>
                <w:szCs w:val="21"/>
              </w:rPr>
              <w:t>报价唯一，符合</w:t>
            </w:r>
            <w:r>
              <w:rPr>
                <w:rFonts w:hint="eastAsia"/>
                <w:szCs w:val="21"/>
              </w:rPr>
              <w:t>采购文件</w:t>
            </w:r>
            <w:r>
              <w:rPr>
                <w:szCs w:val="21"/>
              </w:rPr>
              <w:t>中“</w:t>
            </w:r>
            <w:r>
              <w:rPr>
                <w:rFonts w:hint="eastAsia"/>
                <w:szCs w:val="21"/>
              </w:rPr>
              <w:t>报价表</w:t>
            </w:r>
            <w:r>
              <w:rPr>
                <w:szCs w:val="21"/>
              </w:rPr>
              <w:t>”规定。</w:t>
            </w:r>
          </w:p>
        </w:tc>
      </w:tr>
      <w:tr w14:paraId="3230FE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758" w:type="dxa"/>
            <w:vMerge w:val="continue"/>
            <w:tcBorders>
              <w:right w:val="single" w:color="auto" w:sz="4" w:space="0"/>
            </w:tcBorders>
            <w:vAlign w:val="center"/>
          </w:tcPr>
          <w:p w14:paraId="1F022339">
            <w:pPr>
              <w:jc w:val="center"/>
              <w:rPr>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48798058">
            <w:pPr>
              <w:jc w:val="center"/>
              <w:rPr>
                <w:szCs w:val="21"/>
              </w:rPr>
            </w:pPr>
            <w:r>
              <w:rPr>
                <w:szCs w:val="21"/>
              </w:rPr>
              <w:t>权利义务</w:t>
            </w:r>
          </w:p>
        </w:tc>
        <w:tc>
          <w:tcPr>
            <w:tcW w:w="5919" w:type="dxa"/>
            <w:tcBorders>
              <w:top w:val="single" w:color="auto" w:sz="4" w:space="0"/>
              <w:left w:val="single" w:color="auto" w:sz="4" w:space="0"/>
              <w:bottom w:val="single" w:color="auto" w:sz="4" w:space="0"/>
              <w:right w:val="single" w:color="auto" w:sz="4" w:space="0"/>
            </w:tcBorders>
            <w:vAlign w:val="center"/>
          </w:tcPr>
          <w:p w14:paraId="427FFA57">
            <w:pPr>
              <w:rPr>
                <w:szCs w:val="21"/>
              </w:rPr>
            </w:pPr>
            <w:r>
              <w:rPr>
                <w:szCs w:val="21"/>
              </w:rPr>
              <w:t>符合</w:t>
            </w:r>
            <w:r>
              <w:rPr>
                <w:rFonts w:hint="eastAsia"/>
                <w:szCs w:val="21"/>
              </w:rPr>
              <w:t>采购文件</w:t>
            </w:r>
            <w:r>
              <w:rPr>
                <w:szCs w:val="21"/>
              </w:rPr>
              <w:t xml:space="preserve"> “合同条款”的要求</w:t>
            </w:r>
            <w:r>
              <w:rPr>
                <w:rFonts w:hint="eastAsia"/>
                <w:szCs w:val="21"/>
              </w:rPr>
              <w:t>。</w:t>
            </w:r>
          </w:p>
        </w:tc>
      </w:tr>
      <w:tr w14:paraId="1E7EE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758" w:type="dxa"/>
            <w:vMerge w:val="continue"/>
            <w:tcBorders>
              <w:right w:val="single" w:color="auto" w:sz="4" w:space="0"/>
            </w:tcBorders>
            <w:vAlign w:val="center"/>
          </w:tcPr>
          <w:p w14:paraId="7A93DDFC">
            <w:pPr>
              <w:jc w:val="center"/>
              <w:rPr>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6762FE26">
            <w:pPr>
              <w:jc w:val="center"/>
              <w:rPr>
                <w:szCs w:val="21"/>
              </w:rPr>
            </w:pPr>
            <w:r>
              <w:rPr>
                <w:szCs w:val="21"/>
              </w:rPr>
              <w:t>技术标准和要求</w:t>
            </w:r>
          </w:p>
        </w:tc>
        <w:tc>
          <w:tcPr>
            <w:tcW w:w="5919" w:type="dxa"/>
            <w:tcBorders>
              <w:top w:val="single" w:color="auto" w:sz="4" w:space="0"/>
              <w:left w:val="single" w:color="auto" w:sz="4" w:space="0"/>
              <w:bottom w:val="single" w:color="auto" w:sz="4" w:space="0"/>
              <w:right w:val="single" w:color="auto" w:sz="4" w:space="0"/>
            </w:tcBorders>
            <w:vAlign w:val="center"/>
          </w:tcPr>
          <w:p w14:paraId="7E9DFCC1">
            <w:pPr>
              <w:rPr>
                <w:szCs w:val="21"/>
              </w:rPr>
            </w:pPr>
            <w:r>
              <w:rPr>
                <w:szCs w:val="21"/>
              </w:rPr>
              <w:t>符合</w:t>
            </w:r>
            <w:r>
              <w:rPr>
                <w:rFonts w:hint="eastAsia"/>
                <w:szCs w:val="21"/>
              </w:rPr>
              <w:t>采购文件</w:t>
            </w:r>
            <w:r>
              <w:rPr>
                <w:szCs w:val="21"/>
              </w:rPr>
              <w:t xml:space="preserve"> “技术需求书”的规定。</w:t>
            </w:r>
          </w:p>
        </w:tc>
      </w:tr>
      <w:tr w14:paraId="4B83D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758" w:type="dxa"/>
            <w:vMerge w:val="continue"/>
            <w:tcBorders>
              <w:bottom w:val="single" w:color="auto" w:sz="4" w:space="0"/>
              <w:right w:val="single" w:color="auto" w:sz="4" w:space="0"/>
            </w:tcBorders>
            <w:vAlign w:val="center"/>
          </w:tcPr>
          <w:p w14:paraId="4D637761">
            <w:pPr>
              <w:jc w:val="center"/>
              <w:rPr>
                <w:szCs w:val="21"/>
              </w:rPr>
            </w:pPr>
          </w:p>
        </w:tc>
        <w:tc>
          <w:tcPr>
            <w:tcW w:w="2409" w:type="dxa"/>
            <w:tcBorders>
              <w:top w:val="single" w:color="auto" w:sz="4" w:space="0"/>
              <w:left w:val="single" w:color="auto" w:sz="4" w:space="0"/>
              <w:bottom w:val="single" w:color="auto" w:sz="4" w:space="0"/>
              <w:right w:val="single" w:color="auto" w:sz="4" w:space="0"/>
            </w:tcBorders>
            <w:vAlign w:val="center"/>
          </w:tcPr>
          <w:p w14:paraId="080A9B06">
            <w:pPr>
              <w:jc w:val="center"/>
              <w:rPr>
                <w:szCs w:val="21"/>
              </w:rPr>
            </w:pPr>
            <w:r>
              <w:rPr>
                <w:rFonts w:hint="eastAsia" w:ascii="宋体" w:hAnsi="宋体" w:cs="宋体"/>
                <w:kern w:val="0"/>
                <w:szCs w:val="21"/>
              </w:rPr>
              <w:t>实质性响应</w:t>
            </w:r>
          </w:p>
        </w:tc>
        <w:tc>
          <w:tcPr>
            <w:tcW w:w="5919" w:type="dxa"/>
            <w:tcBorders>
              <w:top w:val="single" w:color="auto" w:sz="4" w:space="0"/>
              <w:left w:val="single" w:color="auto" w:sz="4" w:space="0"/>
              <w:bottom w:val="single" w:color="auto" w:sz="4" w:space="0"/>
              <w:right w:val="single" w:color="auto" w:sz="4" w:space="0"/>
            </w:tcBorders>
            <w:vAlign w:val="center"/>
          </w:tcPr>
          <w:p w14:paraId="585A1D5B">
            <w:pPr>
              <w:rPr>
                <w:szCs w:val="21"/>
              </w:rPr>
            </w:pPr>
            <w:r>
              <w:rPr>
                <w:rFonts w:hint="eastAsia" w:ascii="宋体" w:hAnsi="宋体" w:cs="宋体"/>
                <w:kern w:val="0"/>
                <w:szCs w:val="21"/>
              </w:rPr>
              <w:t>响应文件对采购文件进行了实质性响应，按采购文件规定提交了合同条款偏离表、技术需求偏离表。如对采购文件</w:t>
            </w:r>
            <w:r>
              <w:rPr>
                <w:rFonts w:hint="eastAsia" w:ascii="宋体" w:hAnsi="宋体" w:cs="宋体"/>
                <w:b/>
                <w:bCs/>
                <w:kern w:val="0"/>
                <w:szCs w:val="21"/>
              </w:rPr>
              <w:t>第五章《技术需求书》</w:t>
            </w:r>
            <w:r>
              <w:rPr>
                <w:rFonts w:hint="eastAsia" w:ascii="宋体" w:hAnsi="宋体" w:cs="宋体"/>
                <w:b/>
                <w:kern w:val="0"/>
                <w:szCs w:val="21"/>
              </w:rPr>
              <w:t>条款、特别说明的不可负偏离条款或其他实质性内容有负偏离的</w:t>
            </w:r>
            <w:r>
              <w:rPr>
                <w:rFonts w:hint="eastAsia" w:ascii="宋体" w:hAnsi="宋体" w:cs="宋体"/>
                <w:kern w:val="0"/>
                <w:szCs w:val="21"/>
              </w:rPr>
              <w:t>，将导致响应被否决。</w:t>
            </w:r>
          </w:p>
        </w:tc>
      </w:tr>
    </w:tbl>
    <w:p w14:paraId="420663A8">
      <w:pPr>
        <w:spacing w:line="360" w:lineRule="auto"/>
        <w:rPr>
          <w:rFonts w:ascii="宋体" w:hAnsi="宋体"/>
          <w:b/>
          <w:bCs/>
          <w:sz w:val="20"/>
          <w:szCs w:val="20"/>
        </w:rPr>
      </w:pPr>
    </w:p>
    <w:p w14:paraId="3D286E23">
      <w:pPr>
        <w:spacing w:line="360" w:lineRule="auto"/>
        <w:rPr>
          <w:b/>
          <w:bCs/>
          <w:sz w:val="24"/>
        </w:rPr>
      </w:pPr>
      <w:r>
        <w:rPr>
          <w:rFonts w:hint="eastAsia"/>
          <w:b/>
          <w:bCs/>
          <w:sz w:val="24"/>
        </w:rPr>
        <w:t>一、成交办法</w:t>
      </w:r>
    </w:p>
    <w:p w14:paraId="3F02E193">
      <w:pPr>
        <w:spacing w:line="360" w:lineRule="auto"/>
        <w:ind w:firstLine="480" w:firstLineChars="200"/>
        <w:rPr>
          <w:rFonts w:ascii="宋体" w:hAnsi="宋体"/>
          <w:sz w:val="24"/>
        </w:rPr>
      </w:pPr>
      <w:r>
        <w:rPr>
          <w:rFonts w:hint="eastAsia"/>
          <w:sz w:val="24"/>
        </w:rPr>
        <w:t>最低评标价法，是指响应文件满足询价文件全部实质性要求，且最终报价最低的供应商为成交候选人的成交方法。</w:t>
      </w:r>
    </w:p>
    <w:p w14:paraId="3433DE3D">
      <w:pPr>
        <w:spacing w:line="360" w:lineRule="auto"/>
        <w:rPr>
          <w:b/>
          <w:bCs/>
          <w:sz w:val="24"/>
        </w:rPr>
      </w:pPr>
      <w:r>
        <w:rPr>
          <w:rFonts w:hint="eastAsia"/>
          <w:b/>
          <w:bCs/>
          <w:sz w:val="24"/>
        </w:rPr>
        <w:t>二</w:t>
      </w:r>
      <w:r>
        <w:rPr>
          <w:b/>
          <w:bCs/>
          <w:sz w:val="24"/>
        </w:rPr>
        <w:t>、</w:t>
      </w:r>
      <w:r>
        <w:rPr>
          <w:rFonts w:hint="eastAsia"/>
          <w:b/>
          <w:bCs/>
          <w:sz w:val="24"/>
        </w:rPr>
        <w:t>成交标准</w:t>
      </w:r>
    </w:p>
    <w:p w14:paraId="422E8597">
      <w:pPr>
        <w:spacing w:line="360" w:lineRule="auto"/>
        <w:ind w:firstLine="480" w:firstLineChars="200"/>
        <w:rPr>
          <w:rFonts w:ascii="宋体" w:hAnsi="宋体"/>
          <w:b/>
          <w:sz w:val="24"/>
        </w:rPr>
      </w:pPr>
      <w:r>
        <w:rPr>
          <w:rFonts w:hint="eastAsia"/>
          <w:sz w:val="24"/>
        </w:rPr>
        <w:t>质量和服务均能满足采购文件实质性要求，且评审价最低。</w:t>
      </w:r>
    </w:p>
    <w:p w14:paraId="3002E085">
      <w:pPr>
        <w:pStyle w:val="223"/>
        <w:ind w:firstLine="0" w:firstLineChars="0"/>
        <w:rPr>
          <w:lang w:val="zh-CN"/>
        </w:rPr>
      </w:pPr>
    </w:p>
    <w:p w14:paraId="55C095EB">
      <w:pPr>
        <w:pStyle w:val="3"/>
        <w:spacing w:line="360" w:lineRule="auto"/>
        <w:jc w:val="center"/>
        <w:rPr>
          <w:rFonts w:ascii="宋体" w:hAnsi="宋体"/>
          <w:b w:val="0"/>
          <w:bCs w:val="0"/>
          <w:sz w:val="28"/>
          <w:szCs w:val="28"/>
        </w:rPr>
      </w:pPr>
      <w:r>
        <w:rPr>
          <w:rFonts w:hint="eastAsia" w:ascii="黑体" w:hAnsi="宋体" w:eastAsia="黑体"/>
          <w:sz w:val="36"/>
          <w:szCs w:val="36"/>
          <w:lang w:val="zh-CN"/>
        </w:rPr>
        <w:br w:type="page"/>
      </w:r>
      <w:bookmarkEnd w:id="4"/>
      <w:r>
        <w:rPr>
          <w:rFonts w:hint="eastAsia" w:eastAsia="黑体"/>
          <w:sz w:val="52"/>
          <w:szCs w:val="52"/>
        </w:rPr>
        <w:t>第四章 合同格式</w:t>
      </w:r>
    </w:p>
    <w:p w14:paraId="131D40C6">
      <w:pPr>
        <w:spacing w:line="360" w:lineRule="auto"/>
        <w:ind w:firstLine="422" w:firstLineChars="200"/>
        <w:rPr>
          <w:rFonts w:ascii="宋体" w:hAnsi="宋体"/>
          <w:szCs w:val="21"/>
        </w:rPr>
      </w:pPr>
      <w:r>
        <w:rPr>
          <w:rFonts w:ascii="宋体" w:hAnsi="宋体"/>
          <w:b/>
          <w:szCs w:val="21"/>
          <w:u w:val="single"/>
        </w:rPr>
        <w:t>江苏省广电有线信息网络股份有限公司（以下简称“甲方”）</w:t>
      </w:r>
      <w:r>
        <w:rPr>
          <w:rFonts w:ascii="宋体" w:hAnsi="宋体"/>
          <w:szCs w:val="21"/>
        </w:rPr>
        <w:t>就的采购及相关服务组织了</w:t>
      </w:r>
      <w:r>
        <w:rPr>
          <w:rFonts w:hint="eastAsia" w:ascii="宋体" w:hAnsi="宋体"/>
          <w:szCs w:val="21"/>
        </w:rPr>
        <w:t>询价</w:t>
      </w:r>
      <w:r>
        <w:rPr>
          <w:rFonts w:ascii="宋体" w:hAnsi="宋体"/>
          <w:szCs w:val="21"/>
        </w:rPr>
        <w:t>，经评委会严格评审，本项目由</w:t>
      </w:r>
      <w:r>
        <w:rPr>
          <w:rFonts w:ascii="宋体" w:hAnsi="宋体"/>
          <w:b/>
          <w:szCs w:val="21"/>
          <w:u w:val="single"/>
        </w:rPr>
        <w:t>公司</w:t>
      </w:r>
      <w:r>
        <w:rPr>
          <w:rFonts w:ascii="宋体" w:hAnsi="宋体"/>
          <w:b/>
          <w:szCs w:val="21"/>
        </w:rPr>
        <w:t>（以下简称“乙方”）</w:t>
      </w:r>
      <w:r>
        <w:rPr>
          <w:rFonts w:ascii="宋体" w:hAnsi="宋体"/>
          <w:szCs w:val="21"/>
        </w:rPr>
        <w:t>中标。</w:t>
      </w:r>
    </w:p>
    <w:p w14:paraId="103A8886">
      <w:pPr>
        <w:spacing w:line="360" w:lineRule="auto"/>
        <w:ind w:firstLine="420" w:firstLineChars="200"/>
        <w:rPr>
          <w:rFonts w:ascii="宋体" w:hAnsi="宋体"/>
          <w:szCs w:val="21"/>
        </w:rPr>
      </w:pPr>
      <w:r>
        <w:rPr>
          <w:rFonts w:hint="eastAsia" w:ascii="宋体" w:hAnsi="宋体"/>
          <w:bCs/>
          <w:szCs w:val="21"/>
        </w:rPr>
        <w:t>甲</w:t>
      </w:r>
      <w:r>
        <w:rPr>
          <w:rFonts w:ascii="宋体" w:hAnsi="宋体"/>
          <w:bCs/>
          <w:szCs w:val="21"/>
        </w:rPr>
        <w:t>、</w:t>
      </w:r>
      <w:r>
        <w:rPr>
          <w:rFonts w:hint="eastAsia" w:ascii="宋体" w:hAnsi="宋体"/>
          <w:bCs/>
          <w:szCs w:val="21"/>
        </w:rPr>
        <w:t>乙</w:t>
      </w:r>
      <w:r>
        <w:rPr>
          <w:rFonts w:ascii="宋体" w:hAnsi="宋体"/>
          <w:bCs/>
          <w:szCs w:val="21"/>
        </w:rPr>
        <w:t>双方根据</w:t>
      </w:r>
      <w:r>
        <w:rPr>
          <w:rFonts w:hint="eastAsia" w:ascii="宋体" w:hAnsi="宋体"/>
          <w:bCs/>
          <w:szCs w:val="21"/>
        </w:rPr>
        <w:t>询价</w:t>
      </w:r>
      <w:r>
        <w:rPr>
          <w:rFonts w:ascii="宋体" w:hAnsi="宋体"/>
          <w:szCs w:val="21"/>
        </w:rPr>
        <w:t>文件的规定、乙方</w:t>
      </w:r>
      <w:r>
        <w:rPr>
          <w:rFonts w:hint="eastAsia" w:ascii="宋体" w:hAnsi="宋体"/>
          <w:szCs w:val="21"/>
        </w:rPr>
        <w:t>响应</w:t>
      </w:r>
      <w:r>
        <w:rPr>
          <w:rFonts w:ascii="宋体" w:hAnsi="宋体"/>
          <w:szCs w:val="21"/>
        </w:rPr>
        <w:t>文件及</w:t>
      </w:r>
      <w:r>
        <w:rPr>
          <w:rFonts w:hint="eastAsia" w:ascii="宋体" w:hAnsi="宋体"/>
          <w:szCs w:val="21"/>
        </w:rPr>
        <w:t>询价</w:t>
      </w:r>
      <w:r>
        <w:rPr>
          <w:rFonts w:ascii="宋体" w:hAnsi="宋体"/>
          <w:szCs w:val="21"/>
        </w:rPr>
        <w:t>时乙方做出的书面承诺，依法签订本合同。</w:t>
      </w:r>
    </w:p>
    <w:p w14:paraId="4CEFBDA0">
      <w:pPr>
        <w:pStyle w:val="3"/>
        <w:widowControl/>
        <w:tabs>
          <w:tab w:val="left" w:pos="25"/>
        </w:tabs>
        <w:spacing w:before="0" w:after="0" w:line="360" w:lineRule="auto"/>
        <w:jc w:val="left"/>
        <w:rPr>
          <w:rFonts w:ascii="宋体" w:hAnsi="宋体" w:cs="宋体"/>
          <w:bCs w:val="0"/>
          <w:sz w:val="21"/>
          <w:szCs w:val="21"/>
        </w:rPr>
      </w:pPr>
      <w:bookmarkStart w:id="5" w:name="_Toc69378619"/>
      <w:bookmarkStart w:id="6" w:name="_Toc3115"/>
      <w:r>
        <w:rPr>
          <w:rFonts w:ascii="宋体" w:hAnsi="宋体" w:cs="宋体"/>
          <w:bCs w:val="0"/>
          <w:sz w:val="21"/>
          <w:szCs w:val="21"/>
        </w:rPr>
        <w:t>一、项目标的和内容</w:t>
      </w:r>
      <w:bookmarkEnd w:id="5"/>
      <w:bookmarkEnd w:id="6"/>
    </w:p>
    <w:p w14:paraId="4448FFCC">
      <w:pPr>
        <w:spacing w:line="360" w:lineRule="auto"/>
        <w:ind w:firstLine="420" w:firstLineChars="200"/>
        <w:rPr>
          <w:szCs w:val="21"/>
        </w:rPr>
      </w:pPr>
      <w:bookmarkStart w:id="7" w:name="_Toc69378620"/>
      <w:r>
        <w:rPr>
          <w:szCs w:val="21"/>
        </w:rPr>
        <w:t>项目标的内容包括乙方按照甲方具体要求供应</w:t>
      </w:r>
      <w:r>
        <w:rPr>
          <w:rFonts w:hint="eastAsia" w:ascii="Tahoma" w:hAnsi="Tahoma"/>
          <w:sz w:val="24"/>
          <w:u w:val="single"/>
        </w:rPr>
        <w:t>“</w:t>
      </w:r>
      <w:r>
        <w:rPr>
          <w:rFonts w:hint="eastAsia"/>
          <w:szCs w:val="21"/>
          <w:u w:val="single"/>
        </w:rPr>
        <w:t>云态势感知探针扩容采购项目</w:t>
      </w:r>
      <w:r>
        <w:rPr>
          <w:rFonts w:hint="eastAsia" w:ascii="Tahoma" w:hAnsi="Tahoma"/>
          <w:sz w:val="24"/>
          <w:u w:val="single"/>
        </w:rPr>
        <w:t>”</w:t>
      </w:r>
      <w:r>
        <w:rPr>
          <w:szCs w:val="21"/>
        </w:rPr>
        <w:t>相关软</w:t>
      </w:r>
      <w:r>
        <w:rPr>
          <w:rFonts w:hint="eastAsia"/>
          <w:szCs w:val="21"/>
        </w:rPr>
        <w:t>硬</w:t>
      </w:r>
      <w:r>
        <w:rPr>
          <w:szCs w:val="21"/>
        </w:rPr>
        <w:t>件、</w:t>
      </w:r>
      <w:r>
        <w:rPr>
          <w:rFonts w:hint="eastAsia"/>
          <w:szCs w:val="21"/>
        </w:rPr>
        <w:t>授权</w:t>
      </w:r>
      <w:r>
        <w:rPr>
          <w:szCs w:val="21"/>
        </w:rPr>
        <w:t>，并完成所有软、硬件的安装、调试及操作培训工作，同时</w:t>
      </w:r>
      <w:r>
        <w:rPr>
          <w:rFonts w:hint="eastAsia"/>
          <w:szCs w:val="21"/>
        </w:rPr>
        <w:t>乙</w:t>
      </w:r>
      <w:r>
        <w:rPr>
          <w:szCs w:val="21"/>
        </w:rPr>
        <w:t>方承诺配合</w:t>
      </w:r>
      <w:r>
        <w:rPr>
          <w:rFonts w:hint="eastAsia"/>
          <w:szCs w:val="21"/>
        </w:rPr>
        <w:t>甲</w:t>
      </w:r>
      <w:r>
        <w:rPr>
          <w:szCs w:val="21"/>
        </w:rPr>
        <w:t>方及</w:t>
      </w:r>
      <w:r>
        <w:rPr>
          <w:rFonts w:hint="eastAsia"/>
          <w:szCs w:val="21"/>
        </w:rPr>
        <w:t>乙</w:t>
      </w:r>
      <w:r>
        <w:rPr>
          <w:szCs w:val="21"/>
        </w:rPr>
        <w:t>方指定的厂商完成相关的系统集成。具体设备名称、规格型号、配置、数量、价格明细及总价等详见附件一：</w:t>
      </w:r>
      <w:r>
        <w:rPr>
          <w:rFonts w:hint="eastAsia"/>
          <w:szCs w:val="21"/>
        </w:rPr>
        <w:t>价格表</w:t>
      </w:r>
      <w:r>
        <w:rPr>
          <w:szCs w:val="21"/>
        </w:rPr>
        <w:t>。</w:t>
      </w:r>
    </w:p>
    <w:p w14:paraId="5E424ED7">
      <w:pPr>
        <w:pStyle w:val="3"/>
        <w:widowControl/>
        <w:tabs>
          <w:tab w:val="left" w:pos="25"/>
        </w:tabs>
        <w:spacing w:before="0" w:after="0" w:line="360" w:lineRule="auto"/>
        <w:jc w:val="left"/>
        <w:rPr>
          <w:rFonts w:ascii="宋体" w:hAnsi="宋体" w:cs="宋体"/>
          <w:bCs w:val="0"/>
          <w:sz w:val="21"/>
          <w:szCs w:val="21"/>
        </w:rPr>
      </w:pPr>
      <w:bookmarkStart w:id="8" w:name="_Toc2311"/>
      <w:r>
        <w:rPr>
          <w:rFonts w:ascii="宋体" w:hAnsi="宋体" w:cs="宋体"/>
          <w:bCs w:val="0"/>
          <w:sz w:val="21"/>
          <w:szCs w:val="21"/>
        </w:rPr>
        <w:t>二、合同总价</w:t>
      </w:r>
      <w:bookmarkEnd w:id="7"/>
      <w:bookmarkEnd w:id="8"/>
    </w:p>
    <w:p w14:paraId="0253731D">
      <w:pPr>
        <w:numPr>
          <w:ilvl w:val="1"/>
          <w:numId w:val="3"/>
        </w:numPr>
        <w:tabs>
          <w:tab w:val="left" w:pos="0"/>
          <w:tab w:val="clear" w:pos="1155"/>
        </w:tabs>
        <w:spacing w:line="360" w:lineRule="auto"/>
        <w:ind w:left="0" w:firstLine="0"/>
        <w:rPr>
          <w:rFonts w:ascii="宋体" w:hAnsi="宋体"/>
          <w:szCs w:val="21"/>
        </w:rPr>
      </w:pPr>
      <w:r>
        <w:rPr>
          <w:rFonts w:ascii="宋体" w:hAnsi="宋体"/>
          <w:szCs w:val="21"/>
        </w:rPr>
        <w:t>合同总价</w:t>
      </w:r>
      <w:r>
        <w:rPr>
          <w:rFonts w:ascii="宋体" w:hAnsi="宋体"/>
          <w:b/>
          <w:szCs w:val="21"/>
        </w:rPr>
        <w:t>（人民币大写）：</w:t>
      </w:r>
      <w:r>
        <w:rPr>
          <w:rFonts w:ascii="宋体" w:hAnsi="宋体"/>
          <w:szCs w:val="21"/>
        </w:rPr>
        <w:t>。</w:t>
      </w:r>
    </w:p>
    <w:p w14:paraId="399BC830">
      <w:pPr>
        <w:spacing w:line="360" w:lineRule="auto"/>
        <w:ind w:firstLine="1265" w:firstLineChars="600"/>
        <w:rPr>
          <w:rFonts w:ascii="宋体" w:hAnsi="宋体"/>
          <w:szCs w:val="21"/>
        </w:rPr>
      </w:pPr>
      <w:r>
        <w:rPr>
          <w:rFonts w:ascii="宋体" w:hAnsi="宋体"/>
          <w:b/>
          <w:szCs w:val="21"/>
        </w:rPr>
        <w:t>（人民币小写）：</w:t>
      </w:r>
      <w:r>
        <w:rPr>
          <w:rFonts w:ascii="宋体" w:hAnsi="宋体"/>
          <w:b/>
          <w:szCs w:val="21"/>
          <w:u w:val="single"/>
        </w:rPr>
        <w:t>￥</w:t>
      </w:r>
      <w:r>
        <w:rPr>
          <w:rFonts w:ascii="宋体" w:hAnsi="宋体"/>
          <w:szCs w:val="21"/>
        </w:rPr>
        <w:t>。</w:t>
      </w:r>
    </w:p>
    <w:p w14:paraId="4049284D">
      <w:pPr>
        <w:numPr>
          <w:ilvl w:val="1"/>
          <w:numId w:val="3"/>
        </w:numPr>
        <w:tabs>
          <w:tab w:val="left" w:pos="0"/>
          <w:tab w:val="clear" w:pos="1155"/>
        </w:tabs>
        <w:spacing w:line="360" w:lineRule="auto"/>
        <w:ind w:left="0" w:firstLine="0"/>
        <w:rPr>
          <w:szCs w:val="21"/>
        </w:rPr>
      </w:pPr>
      <w:bookmarkStart w:id="9"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方的总价款，包括但不限于软硬件的采购费、包装费、运输费、保险费、安装调试费、随机提供的备品备件和专用工具费、检测验收费、培训费、售后服务费，以及与所供产品和服务有关的一切税费</w:t>
      </w:r>
      <w:r>
        <w:rPr>
          <w:rFonts w:hint="eastAsia"/>
          <w:szCs w:val="21"/>
        </w:rPr>
        <w:t>，除此之外，</w:t>
      </w:r>
      <w:r>
        <w:rPr>
          <w:szCs w:val="21"/>
        </w:rPr>
        <w:t>甲</w:t>
      </w:r>
      <w:r>
        <w:rPr>
          <w:rFonts w:hint="eastAsia"/>
          <w:szCs w:val="21"/>
        </w:rPr>
        <w:t>方不再以任何名义、任何方式向</w:t>
      </w:r>
      <w:r>
        <w:rPr>
          <w:szCs w:val="21"/>
        </w:rPr>
        <w:t>乙</w:t>
      </w:r>
      <w:r>
        <w:rPr>
          <w:rFonts w:hint="eastAsia"/>
          <w:szCs w:val="21"/>
        </w:rPr>
        <w:t>方支付费用</w:t>
      </w:r>
      <w:r>
        <w:rPr>
          <w:szCs w:val="21"/>
        </w:rPr>
        <w:t>。</w:t>
      </w:r>
    </w:p>
    <w:p w14:paraId="16CB7019">
      <w:pPr>
        <w:numPr>
          <w:ilvl w:val="1"/>
          <w:numId w:val="3"/>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9"/>
      <w:r>
        <w:rPr>
          <w:rFonts w:hint="eastAsia"/>
        </w:rPr>
        <w:t>。</w:t>
      </w:r>
    </w:p>
    <w:p w14:paraId="5F7D039C">
      <w:pPr>
        <w:pStyle w:val="3"/>
        <w:widowControl/>
        <w:tabs>
          <w:tab w:val="left" w:pos="25"/>
        </w:tabs>
        <w:spacing w:before="0" w:after="0" w:line="360" w:lineRule="auto"/>
        <w:jc w:val="left"/>
        <w:rPr>
          <w:rFonts w:ascii="宋体" w:hAnsi="宋体" w:cs="宋体"/>
          <w:bCs w:val="0"/>
          <w:sz w:val="21"/>
          <w:szCs w:val="21"/>
        </w:rPr>
      </w:pPr>
      <w:bookmarkStart w:id="10" w:name="_Toc32328"/>
      <w:r>
        <w:rPr>
          <w:rFonts w:hint="eastAsia" w:ascii="宋体" w:hAnsi="宋体" w:cs="宋体"/>
          <w:bCs w:val="0"/>
          <w:sz w:val="21"/>
          <w:szCs w:val="21"/>
        </w:rPr>
        <w:t>三</w:t>
      </w:r>
      <w:r>
        <w:rPr>
          <w:rFonts w:ascii="宋体" w:hAnsi="宋体" w:cs="宋体"/>
          <w:bCs w:val="0"/>
          <w:sz w:val="21"/>
          <w:szCs w:val="21"/>
        </w:rPr>
        <w:t>、付款方式及期限</w:t>
      </w:r>
      <w:bookmarkEnd w:id="10"/>
    </w:p>
    <w:p w14:paraId="5BC570BA">
      <w:pPr>
        <w:pStyle w:val="20"/>
        <w:spacing w:line="360" w:lineRule="auto"/>
        <w:rPr>
          <w:sz w:val="21"/>
          <w:szCs w:val="24"/>
          <w:highlight w:val="yellow"/>
        </w:rPr>
      </w:pPr>
      <w:bookmarkStart w:id="11" w:name="_Toc69378621"/>
      <w:r>
        <w:rPr>
          <w:sz w:val="21"/>
          <w:szCs w:val="24"/>
        </w:rPr>
        <w:t>1、</w:t>
      </w:r>
      <w:r>
        <w:rPr>
          <w:rFonts w:hint="eastAsia"/>
          <w:sz w:val="21"/>
          <w:szCs w:val="24"/>
        </w:rPr>
        <w:t>付款方式：合同款以电汇方式汇入乙方账号，禁止将货款划入其他账号或支付现金。如收款方的账号和开户行变更，须及时以书面形式通知付款方，通知上必须同时盖有收款方的公章或财务专用章，乙方须按甲方要求提供增值税专用发票。</w:t>
      </w:r>
    </w:p>
    <w:p w14:paraId="7D70F5BA">
      <w:pPr>
        <w:tabs>
          <w:tab w:val="left" w:pos="0"/>
        </w:tabs>
        <w:spacing w:line="360" w:lineRule="auto"/>
        <w:rPr>
          <w:szCs w:val="21"/>
        </w:rPr>
      </w:pPr>
      <w:r>
        <w:t>2、</w:t>
      </w:r>
      <w:r>
        <w:rPr>
          <w:rFonts w:hint="eastAsia"/>
        </w:rPr>
        <w:t>付款期限：设备到货安装完成后1个月内，甲方电汇支付乙方合同总额的30%，即人民币；项目通过终验后1个月内，甲方电汇支付乙方合同总额的60%，即人民币；10%余款即人民币，作为质量保证金，在终验合格一年后的10个工作日之内电汇支付7%，如乙方此时向甲方开据合同总额3%的银行保函（此保函须在免费包修期结束后到期），甲方在收到银行保函30日内将尾款结清（即合同总价的10%），否则甲方将在免费包修期结束后的10个工作日之内支付剩余的3%给乙方。如乙方违反本合同第十五条廉洁条款第二点，甲方有权全部扣除合同总额的10%，若此时合同总额已经全部支付或余款不足10%的，甲方有权根据此合同向乙方进一步追诉。</w:t>
      </w:r>
    </w:p>
    <w:p w14:paraId="19A8B0BC">
      <w:pPr>
        <w:spacing w:line="360" w:lineRule="auto"/>
        <w:rPr>
          <w:szCs w:val="21"/>
        </w:rPr>
      </w:pPr>
      <w:r>
        <w:rPr>
          <w:rFonts w:hint="eastAsia"/>
        </w:rPr>
        <w:t>3、</w:t>
      </w:r>
      <w:r>
        <w:t>质量保证金：质量保证金包含对履约的保证、对质量的保证和廉政的保证。在合同履行过程中，如</w:t>
      </w:r>
      <w:r>
        <w:rPr>
          <w:rFonts w:hint="eastAsia"/>
        </w:rPr>
        <w:t>乙</w:t>
      </w:r>
      <w:r>
        <w:t>方应承担履约保证、质量保证或廉政保证中约定的保证责任，</w:t>
      </w:r>
      <w:r>
        <w:rPr>
          <w:rFonts w:hint="eastAsia"/>
        </w:rPr>
        <w:t>甲</w:t>
      </w:r>
      <w:r>
        <w:t>方有权直接在质量保证金中扣除；扣除后保证金不足的，</w:t>
      </w:r>
      <w:r>
        <w:rPr>
          <w:rFonts w:hint="eastAsia"/>
        </w:rPr>
        <w:t>乙</w:t>
      </w:r>
      <w:r>
        <w:t>方应在五个工作日内补足，或由</w:t>
      </w:r>
      <w:r>
        <w:rPr>
          <w:rFonts w:hint="eastAsia"/>
        </w:rPr>
        <w:t>甲</w:t>
      </w:r>
      <w:r>
        <w:t>方直接在应付账款中扣除。</w:t>
      </w:r>
    </w:p>
    <w:p w14:paraId="26A90970">
      <w:pPr>
        <w:tabs>
          <w:tab w:val="left" w:pos="0"/>
        </w:tabs>
        <w:spacing w:line="360" w:lineRule="auto"/>
        <w:rPr>
          <w:szCs w:val="21"/>
        </w:rPr>
      </w:pPr>
      <w:r>
        <w:rPr>
          <w:rFonts w:hint="eastAsia"/>
          <w:szCs w:val="21"/>
        </w:rPr>
        <w:t>4、付款前，乙方必须按照国家有关发票管理规定，向甲方一次性提供</w:t>
      </w:r>
      <w:r>
        <w:rPr>
          <w:rFonts w:hint="eastAsia"/>
        </w:rPr>
        <w:t>合同总额的增值税专用发票</w:t>
      </w:r>
      <w:r>
        <w:rPr>
          <w:rFonts w:hint="eastAsia"/>
          <w:szCs w:val="21"/>
        </w:rPr>
        <w:t>，由甲方审核无误后再支付货款，否则甲方有权拒绝或迟延支付货款，且不影响乙方履行本合同项下的义务，给甲方造成的损失由乙方承担。</w:t>
      </w:r>
    </w:p>
    <w:p w14:paraId="087E7223">
      <w:pPr>
        <w:tabs>
          <w:tab w:val="left" w:pos="0"/>
        </w:tabs>
        <w:spacing w:line="360" w:lineRule="auto"/>
        <w:rPr>
          <w:szCs w:val="21"/>
        </w:rPr>
      </w:pPr>
      <w:r>
        <w:rPr>
          <w:rFonts w:hint="eastAsia"/>
          <w:szCs w:val="21"/>
        </w:rPr>
        <w:t>5、扣款细则</w:t>
      </w:r>
    </w:p>
    <w:p w14:paraId="08629A3D">
      <w:pPr>
        <w:spacing w:line="360" w:lineRule="auto"/>
        <w:rPr>
          <w:szCs w:val="21"/>
        </w:rPr>
      </w:pPr>
      <w:r>
        <w:rPr>
          <w:rFonts w:hint="eastAsia"/>
          <w:szCs w:val="21"/>
        </w:rPr>
        <w:t>乙方履行义务期间，存在以下情况时，甲方可视情况进行相应的扣款。</w:t>
      </w:r>
    </w:p>
    <w:tbl>
      <w:tblPr>
        <w:tblStyle w:val="59"/>
        <w:tblW w:w="96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
        <w:gridCol w:w="985"/>
        <w:gridCol w:w="2159"/>
        <w:gridCol w:w="2185"/>
        <w:gridCol w:w="1276"/>
        <w:gridCol w:w="2551"/>
      </w:tblGrid>
      <w:tr w14:paraId="2A580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jc w:val="center"/>
        </w:trPr>
        <w:tc>
          <w:tcPr>
            <w:tcW w:w="0" w:type="auto"/>
            <w:vAlign w:val="center"/>
          </w:tcPr>
          <w:p w14:paraId="4E42CCD6">
            <w:pPr>
              <w:spacing w:line="360" w:lineRule="auto"/>
              <w:jc w:val="center"/>
              <w:rPr>
                <w:rFonts w:ascii="宋体" w:hAnsi="宋体"/>
                <w:b/>
                <w:szCs w:val="21"/>
              </w:rPr>
            </w:pPr>
            <w:r>
              <w:rPr>
                <w:rFonts w:hint="eastAsia" w:ascii="宋体" w:hAnsi="宋体"/>
                <w:b/>
                <w:szCs w:val="21"/>
              </w:rPr>
              <w:t>序号</w:t>
            </w:r>
          </w:p>
        </w:tc>
        <w:tc>
          <w:tcPr>
            <w:tcW w:w="0" w:type="auto"/>
            <w:vAlign w:val="center"/>
          </w:tcPr>
          <w:p w14:paraId="719DDC3C">
            <w:pPr>
              <w:spacing w:line="360" w:lineRule="auto"/>
              <w:jc w:val="center"/>
              <w:rPr>
                <w:rFonts w:ascii="宋体" w:hAnsi="宋体"/>
                <w:b/>
                <w:szCs w:val="21"/>
              </w:rPr>
            </w:pPr>
            <w:r>
              <w:rPr>
                <w:rFonts w:hint="eastAsia" w:ascii="宋体" w:hAnsi="宋体"/>
                <w:b/>
                <w:szCs w:val="21"/>
              </w:rPr>
              <w:t>费用类别</w:t>
            </w:r>
          </w:p>
        </w:tc>
        <w:tc>
          <w:tcPr>
            <w:tcW w:w="0" w:type="auto"/>
            <w:vAlign w:val="center"/>
          </w:tcPr>
          <w:p w14:paraId="28A94B0A">
            <w:pPr>
              <w:spacing w:line="360" w:lineRule="auto"/>
              <w:jc w:val="center"/>
              <w:rPr>
                <w:rFonts w:ascii="宋体" w:hAnsi="宋体"/>
                <w:b/>
                <w:szCs w:val="21"/>
              </w:rPr>
            </w:pPr>
            <w:r>
              <w:rPr>
                <w:rFonts w:hint="eastAsia" w:ascii="宋体" w:hAnsi="宋体"/>
                <w:b/>
                <w:szCs w:val="21"/>
              </w:rPr>
              <w:t>适用状况</w:t>
            </w:r>
          </w:p>
        </w:tc>
        <w:tc>
          <w:tcPr>
            <w:tcW w:w="2185" w:type="dxa"/>
            <w:vAlign w:val="center"/>
          </w:tcPr>
          <w:p w14:paraId="7321EBB7">
            <w:pPr>
              <w:spacing w:line="360" w:lineRule="auto"/>
              <w:jc w:val="center"/>
              <w:rPr>
                <w:rFonts w:ascii="宋体" w:hAnsi="宋体"/>
                <w:b/>
                <w:szCs w:val="21"/>
              </w:rPr>
            </w:pPr>
            <w:r>
              <w:rPr>
                <w:rFonts w:hint="eastAsia" w:ascii="宋体" w:hAnsi="宋体"/>
                <w:b/>
                <w:szCs w:val="21"/>
              </w:rPr>
              <w:t>执行方法</w:t>
            </w:r>
          </w:p>
        </w:tc>
        <w:tc>
          <w:tcPr>
            <w:tcW w:w="1276" w:type="dxa"/>
            <w:vAlign w:val="center"/>
          </w:tcPr>
          <w:p w14:paraId="1A75783A">
            <w:pPr>
              <w:spacing w:line="360" w:lineRule="auto"/>
              <w:jc w:val="center"/>
              <w:rPr>
                <w:rFonts w:ascii="宋体" w:hAnsi="宋体"/>
                <w:b/>
                <w:szCs w:val="21"/>
              </w:rPr>
            </w:pPr>
            <w:r>
              <w:rPr>
                <w:rFonts w:hint="eastAsia" w:ascii="宋体" w:hAnsi="宋体"/>
                <w:b/>
                <w:szCs w:val="21"/>
              </w:rPr>
              <w:t>罚款金额</w:t>
            </w:r>
          </w:p>
        </w:tc>
        <w:tc>
          <w:tcPr>
            <w:tcW w:w="2551" w:type="dxa"/>
            <w:vAlign w:val="center"/>
          </w:tcPr>
          <w:p w14:paraId="093D5B9C">
            <w:pPr>
              <w:spacing w:line="360" w:lineRule="auto"/>
              <w:jc w:val="center"/>
              <w:rPr>
                <w:rFonts w:ascii="宋体" w:hAnsi="宋体"/>
                <w:b/>
                <w:szCs w:val="21"/>
              </w:rPr>
            </w:pPr>
            <w:r>
              <w:rPr>
                <w:rFonts w:hint="eastAsia" w:ascii="宋体" w:hAnsi="宋体"/>
                <w:b/>
                <w:szCs w:val="21"/>
              </w:rPr>
              <w:t>备注</w:t>
            </w:r>
          </w:p>
        </w:tc>
      </w:tr>
      <w:tr w14:paraId="78FC1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6448455B">
            <w:pPr>
              <w:spacing w:line="360" w:lineRule="auto"/>
              <w:rPr>
                <w:rFonts w:ascii="宋体" w:hAnsi="宋体"/>
                <w:szCs w:val="21"/>
              </w:rPr>
            </w:pPr>
            <w:r>
              <w:rPr>
                <w:rFonts w:ascii="宋体" w:hAnsi="宋体"/>
                <w:szCs w:val="21"/>
              </w:rPr>
              <w:t>1</w:t>
            </w:r>
          </w:p>
        </w:tc>
        <w:tc>
          <w:tcPr>
            <w:tcW w:w="0" w:type="auto"/>
            <w:vAlign w:val="center"/>
          </w:tcPr>
          <w:p w14:paraId="13A99D97">
            <w:pPr>
              <w:spacing w:line="360" w:lineRule="auto"/>
              <w:rPr>
                <w:rFonts w:ascii="宋体" w:hAnsi="宋体"/>
                <w:szCs w:val="21"/>
              </w:rPr>
            </w:pPr>
            <w:r>
              <w:rPr>
                <w:rFonts w:hint="eastAsia" w:ascii="宋体" w:hAnsi="宋体"/>
                <w:szCs w:val="21"/>
              </w:rPr>
              <w:t>项目人员缺勤费用</w:t>
            </w:r>
          </w:p>
        </w:tc>
        <w:tc>
          <w:tcPr>
            <w:tcW w:w="0" w:type="auto"/>
            <w:vAlign w:val="center"/>
          </w:tcPr>
          <w:p w14:paraId="3B72579D">
            <w:pPr>
              <w:spacing w:line="360" w:lineRule="auto"/>
              <w:rPr>
                <w:rFonts w:ascii="宋体" w:hAnsi="宋体"/>
                <w:szCs w:val="21"/>
              </w:rPr>
            </w:pPr>
            <w:r>
              <w:rPr>
                <w:rFonts w:hint="eastAsia" w:ascii="宋体" w:hAnsi="宋体"/>
                <w:szCs w:val="21"/>
              </w:rPr>
              <w:t>乙方未按照甲方的考勤要求开展工作或未经甲方同意擅自更换项目人员。</w:t>
            </w:r>
          </w:p>
        </w:tc>
        <w:tc>
          <w:tcPr>
            <w:tcW w:w="2185" w:type="dxa"/>
            <w:vAlign w:val="center"/>
          </w:tcPr>
          <w:p w14:paraId="2036AB17">
            <w:pPr>
              <w:spacing w:line="360" w:lineRule="auto"/>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276" w:type="dxa"/>
            <w:vAlign w:val="center"/>
          </w:tcPr>
          <w:p w14:paraId="7FF30A28">
            <w:pPr>
              <w:spacing w:line="360" w:lineRule="auto"/>
              <w:rPr>
                <w:szCs w:val="21"/>
              </w:rPr>
            </w:pPr>
            <w:r>
              <w:rPr>
                <w:szCs w:val="21"/>
              </w:rPr>
              <w:t>100</w:t>
            </w:r>
            <w:r>
              <w:rPr>
                <w:rFonts w:hAnsi="宋体"/>
                <w:szCs w:val="21"/>
              </w:rPr>
              <w:t>元</w:t>
            </w:r>
            <w:r>
              <w:rPr>
                <w:szCs w:val="21"/>
              </w:rPr>
              <w:t>/</w:t>
            </w:r>
            <w:r>
              <w:rPr>
                <w:rFonts w:hAnsi="宋体"/>
                <w:szCs w:val="21"/>
              </w:rPr>
              <w:t>人天</w:t>
            </w:r>
          </w:p>
        </w:tc>
        <w:tc>
          <w:tcPr>
            <w:tcW w:w="2551" w:type="dxa"/>
            <w:vAlign w:val="center"/>
          </w:tcPr>
          <w:p w14:paraId="356BC7A9">
            <w:pPr>
              <w:spacing w:line="360" w:lineRule="auto"/>
              <w:rPr>
                <w:rFonts w:ascii="宋体" w:hAnsi="宋体"/>
                <w:szCs w:val="21"/>
              </w:rPr>
            </w:pPr>
          </w:p>
        </w:tc>
      </w:tr>
      <w:tr w14:paraId="7F8A5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507D2A1B">
            <w:pPr>
              <w:spacing w:line="360" w:lineRule="auto"/>
              <w:rPr>
                <w:rFonts w:ascii="宋体" w:hAnsi="宋体"/>
                <w:szCs w:val="21"/>
              </w:rPr>
            </w:pPr>
            <w:r>
              <w:rPr>
                <w:rFonts w:ascii="宋体" w:hAnsi="宋体"/>
                <w:szCs w:val="21"/>
              </w:rPr>
              <w:t>2</w:t>
            </w:r>
          </w:p>
        </w:tc>
        <w:tc>
          <w:tcPr>
            <w:tcW w:w="0" w:type="auto"/>
            <w:vAlign w:val="center"/>
          </w:tcPr>
          <w:p w14:paraId="42F80275">
            <w:pPr>
              <w:spacing w:line="360" w:lineRule="auto"/>
              <w:rPr>
                <w:rFonts w:ascii="宋体" w:hAnsi="宋体"/>
                <w:szCs w:val="21"/>
              </w:rPr>
            </w:pPr>
            <w:r>
              <w:rPr>
                <w:rFonts w:hint="eastAsia" w:ascii="宋体" w:hAnsi="宋体"/>
                <w:szCs w:val="21"/>
              </w:rPr>
              <w:t>项目进度滞后费用</w:t>
            </w:r>
          </w:p>
        </w:tc>
        <w:tc>
          <w:tcPr>
            <w:tcW w:w="0" w:type="auto"/>
            <w:vAlign w:val="center"/>
          </w:tcPr>
          <w:p w14:paraId="35DA082B">
            <w:pPr>
              <w:spacing w:line="360" w:lineRule="auto"/>
              <w:rPr>
                <w:rFonts w:ascii="宋体" w:hAnsi="宋体"/>
                <w:szCs w:val="21"/>
              </w:rPr>
            </w:pPr>
            <w:r>
              <w:rPr>
                <w:rFonts w:hint="eastAsia" w:ascii="宋体" w:hAnsi="宋体"/>
                <w:szCs w:val="21"/>
              </w:rPr>
              <w:t>乙方未按照提交的项目进度按时完成阶段性工作。</w:t>
            </w:r>
          </w:p>
        </w:tc>
        <w:tc>
          <w:tcPr>
            <w:tcW w:w="2185" w:type="dxa"/>
            <w:vAlign w:val="center"/>
          </w:tcPr>
          <w:p w14:paraId="314F0E92">
            <w:pPr>
              <w:spacing w:line="360" w:lineRule="auto"/>
              <w:rPr>
                <w:rFonts w:ascii="宋体" w:hAnsi="宋体"/>
                <w:szCs w:val="21"/>
              </w:rPr>
            </w:pPr>
            <w:r>
              <w:rPr>
                <w:rFonts w:hint="eastAsia" w:ascii="宋体" w:hAnsi="宋体"/>
                <w:szCs w:val="21"/>
              </w:rPr>
              <w:t>由甲方项目经理完成项目进度确认表，提交财务部扣款</w:t>
            </w:r>
          </w:p>
        </w:tc>
        <w:tc>
          <w:tcPr>
            <w:tcW w:w="1276" w:type="dxa"/>
            <w:vAlign w:val="center"/>
          </w:tcPr>
          <w:p w14:paraId="5BA386F3">
            <w:pPr>
              <w:spacing w:line="360" w:lineRule="auto"/>
              <w:rPr>
                <w:szCs w:val="21"/>
              </w:rPr>
            </w:pPr>
            <w:r>
              <w:rPr>
                <w:szCs w:val="21"/>
              </w:rPr>
              <w:t>5000</w:t>
            </w:r>
            <w:r>
              <w:rPr>
                <w:rFonts w:hAnsi="宋体"/>
                <w:szCs w:val="21"/>
              </w:rPr>
              <w:t>元</w:t>
            </w:r>
            <w:r>
              <w:rPr>
                <w:szCs w:val="21"/>
              </w:rPr>
              <w:t>/</w:t>
            </w:r>
            <w:r>
              <w:rPr>
                <w:rFonts w:hAnsi="宋体"/>
                <w:szCs w:val="21"/>
              </w:rPr>
              <w:t>天</w:t>
            </w:r>
          </w:p>
        </w:tc>
        <w:tc>
          <w:tcPr>
            <w:tcW w:w="2551" w:type="dxa"/>
            <w:vAlign w:val="center"/>
          </w:tcPr>
          <w:p w14:paraId="06E745CF">
            <w:pPr>
              <w:spacing w:line="360" w:lineRule="auto"/>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14:paraId="3642C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14901B59">
            <w:pPr>
              <w:spacing w:line="360" w:lineRule="auto"/>
              <w:rPr>
                <w:rFonts w:ascii="宋体" w:hAnsi="宋体"/>
                <w:szCs w:val="21"/>
              </w:rPr>
            </w:pPr>
            <w:r>
              <w:rPr>
                <w:rFonts w:ascii="宋体" w:hAnsi="宋体"/>
                <w:szCs w:val="21"/>
              </w:rPr>
              <w:t>3</w:t>
            </w:r>
          </w:p>
        </w:tc>
        <w:tc>
          <w:tcPr>
            <w:tcW w:w="0" w:type="auto"/>
            <w:vAlign w:val="center"/>
          </w:tcPr>
          <w:p w14:paraId="6DE1EE78">
            <w:pPr>
              <w:spacing w:line="360" w:lineRule="auto"/>
              <w:rPr>
                <w:rFonts w:ascii="宋体" w:hAnsi="宋体"/>
                <w:szCs w:val="21"/>
              </w:rPr>
            </w:pPr>
            <w:r>
              <w:rPr>
                <w:rFonts w:hint="eastAsia" w:ascii="宋体" w:hAnsi="宋体"/>
                <w:szCs w:val="21"/>
              </w:rPr>
              <w:t>服务质量不合格</w:t>
            </w:r>
          </w:p>
        </w:tc>
        <w:tc>
          <w:tcPr>
            <w:tcW w:w="0" w:type="auto"/>
            <w:vAlign w:val="center"/>
          </w:tcPr>
          <w:p w14:paraId="36774991">
            <w:pPr>
              <w:spacing w:line="360" w:lineRule="auto"/>
              <w:rPr>
                <w:rFonts w:ascii="宋体" w:hAnsi="宋体"/>
                <w:szCs w:val="21"/>
              </w:rPr>
            </w:pPr>
            <w:r>
              <w:rPr>
                <w:rFonts w:hint="eastAsia" w:ascii="宋体" w:hAnsi="宋体"/>
                <w:szCs w:val="21"/>
              </w:rPr>
              <w:t>乙方提供的服务不满足事先约定的质量要求。</w:t>
            </w:r>
          </w:p>
        </w:tc>
        <w:tc>
          <w:tcPr>
            <w:tcW w:w="2185" w:type="dxa"/>
            <w:vAlign w:val="center"/>
          </w:tcPr>
          <w:p w14:paraId="7AAD1EAB">
            <w:pPr>
              <w:spacing w:line="360" w:lineRule="auto"/>
              <w:rPr>
                <w:rFonts w:ascii="宋体" w:hAnsi="宋体"/>
                <w:szCs w:val="21"/>
              </w:rPr>
            </w:pPr>
            <w:r>
              <w:rPr>
                <w:rFonts w:hint="eastAsia" w:ascii="宋体" w:hAnsi="宋体"/>
                <w:szCs w:val="21"/>
              </w:rPr>
              <w:t>由甲方项目经理完成产品质量缺陷说明，提交财务部扣款</w:t>
            </w:r>
          </w:p>
        </w:tc>
        <w:tc>
          <w:tcPr>
            <w:tcW w:w="1276" w:type="dxa"/>
            <w:vAlign w:val="center"/>
          </w:tcPr>
          <w:p w14:paraId="32C2FE12">
            <w:pPr>
              <w:spacing w:line="360" w:lineRule="auto"/>
              <w:rPr>
                <w:szCs w:val="21"/>
              </w:rPr>
            </w:pPr>
            <w:r>
              <w:rPr>
                <w:rFonts w:hAnsi="宋体"/>
                <w:szCs w:val="21"/>
              </w:rPr>
              <w:t>合同款</w:t>
            </w:r>
            <w:r>
              <w:rPr>
                <w:szCs w:val="21"/>
              </w:rPr>
              <w:t>*5%~10%</w:t>
            </w:r>
          </w:p>
        </w:tc>
        <w:tc>
          <w:tcPr>
            <w:tcW w:w="2551" w:type="dxa"/>
            <w:vAlign w:val="center"/>
          </w:tcPr>
          <w:p w14:paraId="62D352DB">
            <w:pPr>
              <w:spacing w:line="360" w:lineRule="auto"/>
              <w:rPr>
                <w:rFonts w:ascii="宋体" w:hAnsi="宋体"/>
                <w:szCs w:val="21"/>
              </w:rPr>
            </w:pPr>
            <w:r>
              <w:rPr>
                <w:rFonts w:hint="eastAsia" w:ascii="宋体" w:hAnsi="宋体"/>
                <w:szCs w:val="21"/>
              </w:rPr>
              <w:t>视问题严重程度</w:t>
            </w:r>
          </w:p>
        </w:tc>
      </w:tr>
      <w:tr w14:paraId="0689C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242B4281">
            <w:pPr>
              <w:spacing w:line="360" w:lineRule="auto"/>
              <w:rPr>
                <w:rFonts w:ascii="宋体" w:hAnsi="宋体"/>
                <w:szCs w:val="21"/>
              </w:rPr>
            </w:pPr>
            <w:r>
              <w:rPr>
                <w:rFonts w:ascii="宋体" w:hAnsi="宋体"/>
                <w:szCs w:val="21"/>
              </w:rPr>
              <w:t>4</w:t>
            </w:r>
          </w:p>
        </w:tc>
        <w:tc>
          <w:tcPr>
            <w:tcW w:w="0" w:type="auto"/>
            <w:vAlign w:val="center"/>
          </w:tcPr>
          <w:p w14:paraId="61635D7C">
            <w:pPr>
              <w:spacing w:line="360" w:lineRule="auto"/>
              <w:rPr>
                <w:rFonts w:ascii="宋体" w:hAnsi="宋体"/>
                <w:szCs w:val="21"/>
              </w:rPr>
            </w:pPr>
            <w:r>
              <w:rPr>
                <w:rFonts w:hint="eastAsia" w:ascii="宋体" w:hAnsi="宋体"/>
                <w:szCs w:val="21"/>
              </w:rPr>
              <w:t>技术支持延迟或售后不合格</w:t>
            </w:r>
          </w:p>
        </w:tc>
        <w:tc>
          <w:tcPr>
            <w:tcW w:w="0" w:type="auto"/>
            <w:vAlign w:val="center"/>
          </w:tcPr>
          <w:p w14:paraId="0972A155">
            <w:pPr>
              <w:spacing w:line="360" w:lineRule="auto"/>
              <w:rPr>
                <w:rFonts w:ascii="宋体" w:hAnsi="宋体"/>
                <w:szCs w:val="21"/>
              </w:rPr>
            </w:pPr>
            <w:r>
              <w:rPr>
                <w:rFonts w:hint="eastAsia" w:ascii="宋体" w:hAnsi="宋体"/>
                <w:szCs w:val="21"/>
              </w:rPr>
              <w:t>乙方未在要求的时间内解决甲方提出的符合包修或技术支持范围的问题</w:t>
            </w:r>
          </w:p>
        </w:tc>
        <w:tc>
          <w:tcPr>
            <w:tcW w:w="2185" w:type="dxa"/>
            <w:vAlign w:val="center"/>
          </w:tcPr>
          <w:p w14:paraId="4BEF78CB">
            <w:pPr>
              <w:spacing w:line="360" w:lineRule="auto"/>
              <w:rPr>
                <w:rFonts w:ascii="宋体" w:hAnsi="宋体"/>
                <w:szCs w:val="21"/>
              </w:rPr>
            </w:pPr>
            <w:r>
              <w:rPr>
                <w:rFonts w:hint="eastAsia" w:ascii="宋体" w:hAnsi="宋体"/>
                <w:szCs w:val="21"/>
              </w:rPr>
              <w:t>由甲方项目经理完成售后反馈表，提交财务部扣款</w:t>
            </w:r>
          </w:p>
        </w:tc>
        <w:tc>
          <w:tcPr>
            <w:tcW w:w="1276" w:type="dxa"/>
            <w:vAlign w:val="center"/>
          </w:tcPr>
          <w:p w14:paraId="1E17651B">
            <w:pPr>
              <w:spacing w:line="360" w:lineRule="auto"/>
              <w:rPr>
                <w:szCs w:val="21"/>
              </w:rPr>
            </w:pPr>
            <w:r>
              <w:rPr>
                <w:rFonts w:hAnsi="宋体"/>
                <w:szCs w:val="21"/>
              </w:rPr>
              <w:t>合同款</w:t>
            </w:r>
            <w:r>
              <w:rPr>
                <w:szCs w:val="21"/>
              </w:rPr>
              <w:t>*5%~10%</w:t>
            </w:r>
          </w:p>
        </w:tc>
        <w:tc>
          <w:tcPr>
            <w:tcW w:w="2551" w:type="dxa"/>
            <w:vAlign w:val="center"/>
          </w:tcPr>
          <w:p w14:paraId="531DD760">
            <w:pPr>
              <w:spacing w:line="360" w:lineRule="auto"/>
              <w:rPr>
                <w:rFonts w:ascii="宋体" w:hAnsi="宋体"/>
                <w:szCs w:val="21"/>
              </w:rPr>
            </w:pPr>
            <w:r>
              <w:rPr>
                <w:rFonts w:hint="eastAsia" w:ascii="宋体" w:hAnsi="宋体"/>
                <w:szCs w:val="21"/>
              </w:rPr>
              <w:t>视问题严重程度</w:t>
            </w:r>
          </w:p>
        </w:tc>
      </w:tr>
      <w:tr w14:paraId="368BC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0" w:type="auto"/>
            <w:vAlign w:val="center"/>
          </w:tcPr>
          <w:p w14:paraId="01E27790">
            <w:pPr>
              <w:spacing w:line="360" w:lineRule="auto"/>
              <w:rPr>
                <w:rFonts w:ascii="宋体" w:hAnsi="宋体"/>
                <w:szCs w:val="21"/>
              </w:rPr>
            </w:pPr>
            <w:r>
              <w:rPr>
                <w:rFonts w:hint="eastAsia" w:ascii="宋体" w:hAnsi="宋体"/>
                <w:szCs w:val="21"/>
              </w:rPr>
              <w:t>5</w:t>
            </w:r>
          </w:p>
        </w:tc>
        <w:tc>
          <w:tcPr>
            <w:tcW w:w="0" w:type="auto"/>
            <w:vAlign w:val="center"/>
          </w:tcPr>
          <w:p w14:paraId="7C342FB6">
            <w:pPr>
              <w:spacing w:line="360" w:lineRule="auto"/>
              <w:rPr>
                <w:rFonts w:ascii="宋体" w:hAnsi="宋体"/>
                <w:szCs w:val="21"/>
              </w:rPr>
            </w:pPr>
            <w:r>
              <w:rPr>
                <w:rFonts w:hint="eastAsia" w:ascii="宋体" w:hAnsi="宋体"/>
                <w:szCs w:val="21"/>
              </w:rPr>
              <w:t>文档缺失或质量不合格</w:t>
            </w:r>
          </w:p>
        </w:tc>
        <w:tc>
          <w:tcPr>
            <w:tcW w:w="0" w:type="auto"/>
            <w:vAlign w:val="center"/>
          </w:tcPr>
          <w:p w14:paraId="1CD53D18">
            <w:pPr>
              <w:spacing w:line="360" w:lineRule="auto"/>
              <w:rPr>
                <w:rFonts w:ascii="宋体" w:hAnsi="宋体"/>
                <w:szCs w:val="21"/>
              </w:rPr>
            </w:pPr>
            <w:r>
              <w:rPr>
                <w:rFonts w:hint="eastAsia" w:ascii="宋体" w:hAnsi="宋体"/>
                <w:szCs w:val="21"/>
              </w:rPr>
              <w:t>乙方未提供或提供的技术规范、培训材料等文档</w:t>
            </w:r>
          </w:p>
        </w:tc>
        <w:tc>
          <w:tcPr>
            <w:tcW w:w="2185" w:type="dxa"/>
            <w:vAlign w:val="center"/>
          </w:tcPr>
          <w:p w14:paraId="466880EE">
            <w:pPr>
              <w:spacing w:line="360" w:lineRule="auto"/>
              <w:rPr>
                <w:rFonts w:ascii="宋体" w:hAnsi="宋体"/>
                <w:szCs w:val="21"/>
              </w:rPr>
            </w:pPr>
            <w:r>
              <w:rPr>
                <w:rFonts w:hint="eastAsia" w:ascii="宋体" w:hAnsi="宋体"/>
                <w:szCs w:val="21"/>
              </w:rPr>
              <w:t>由甲方项目经理确认文档条目，提交财务部扣款</w:t>
            </w:r>
          </w:p>
        </w:tc>
        <w:tc>
          <w:tcPr>
            <w:tcW w:w="1276" w:type="dxa"/>
            <w:vAlign w:val="center"/>
          </w:tcPr>
          <w:p w14:paraId="61C20E6D">
            <w:pPr>
              <w:spacing w:line="360" w:lineRule="auto"/>
              <w:rPr>
                <w:szCs w:val="21"/>
              </w:rPr>
            </w:pPr>
            <w:r>
              <w:rPr>
                <w:rFonts w:hAnsi="宋体"/>
                <w:szCs w:val="21"/>
              </w:rPr>
              <w:t>合同款</w:t>
            </w:r>
            <w:r>
              <w:rPr>
                <w:szCs w:val="21"/>
              </w:rPr>
              <w:t>*5%~10%</w:t>
            </w:r>
          </w:p>
        </w:tc>
        <w:tc>
          <w:tcPr>
            <w:tcW w:w="2551" w:type="dxa"/>
            <w:vAlign w:val="center"/>
          </w:tcPr>
          <w:p w14:paraId="1AE635B7">
            <w:pPr>
              <w:spacing w:line="360" w:lineRule="auto"/>
              <w:rPr>
                <w:rFonts w:ascii="宋体" w:hAnsi="宋体"/>
                <w:szCs w:val="21"/>
              </w:rPr>
            </w:pPr>
            <w:r>
              <w:rPr>
                <w:rFonts w:hint="eastAsia" w:ascii="宋体" w:hAnsi="宋体"/>
                <w:szCs w:val="21"/>
              </w:rPr>
              <w:t>视文档重要性</w:t>
            </w:r>
          </w:p>
        </w:tc>
      </w:tr>
    </w:tbl>
    <w:p w14:paraId="5843F647">
      <w:pPr>
        <w:spacing w:line="360" w:lineRule="auto"/>
      </w:pPr>
    </w:p>
    <w:p w14:paraId="3410A80F">
      <w:pPr>
        <w:pStyle w:val="3"/>
        <w:widowControl/>
        <w:tabs>
          <w:tab w:val="left" w:pos="25"/>
        </w:tabs>
        <w:spacing w:before="0" w:after="0" w:line="360" w:lineRule="auto"/>
        <w:jc w:val="left"/>
        <w:rPr>
          <w:rFonts w:ascii="宋体" w:hAnsi="宋体" w:cs="宋体"/>
          <w:bCs w:val="0"/>
          <w:sz w:val="21"/>
          <w:szCs w:val="21"/>
        </w:rPr>
      </w:pPr>
      <w:bookmarkStart w:id="12" w:name="_Toc31094"/>
      <w:r>
        <w:rPr>
          <w:rFonts w:hint="eastAsia" w:ascii="宋体" w:hAnsi="宋体" w:cs="宋体"/>
          <w:bCs w:val="0"/>
          <w:sz w:val="21"/>
          <w:szCs w:val="21"/>
        </w:rPr>
        <w:t>四</w:t>
      </w:r>
      <w:r>
        <w:rPr>
          <w:rFonts w:ascii="宋体" w:hAnsi="宋体" w:cs="宋体"/>
          <w:bCs w:val="0"/>
          <w:sz w:val="21"/>
          <w:szCs w:val="21"/>
        </w:rPr>
        <w:t>、</w:t>
      </w:r>
      <w:r>
        <w:rPr>
          <w:rFonts w:hint="eastAsia" w:ascii="宋体" w:hAnsi="宋体" w:cs="宋体"/>
          <w:bCs w:val="0"/>
          <w:sz w:val="21"/>
          <w:szCs w:val="21"/>
        </w:rPr>
        <w:t>产品的质量要求</w:t>
      </w:r>
      <w:bookmarkEnd w:id="12"/>
    </w:p>
    <w:p w14:paraId="5AE60254">
      <w:pPr>
        <w:spacing w:line="360" w:lineRule="auto"/>
        <w:ind w:firstLine="420" w:firstLineChars="200"/>
        <w:rPr>
          <w:rFonts w:ascii="宋体" w:hAnsi="宋体" w:cs="宋体"/>
          <w:szCs w:val="21"/>
        </w:rPr>
      </w:pPr>
      <w:r>
        <w:rPr>
          <w:rFonts w:hint="eastAsia" w:ascii="宋体" w:hAnsi="宋体" w:cs="宋体"/>
          <w:szCs w:val="21"/>
        </w:rPr>
        <w:t>乙方所提供产品的技术指标和生产工艺必须完全满足甲方在“</w:t>
      </w:r>
      <w:r>
        <w:rPr>
          <w:rFonts w:hint="eastAsia"/>
          <w:szCs w:val="21"/>
          <w:u w:val="single"/>
        </w:rPr>
        <w:t>云态势感知探针扩容采购项目</w:t>
      </w:r>
      <w:r>
        <w:rPr>
          <w:rFonts w:hint="eastAsia" w:ascii="宋体" w:hAnsi="宋体" w:cs="宋体"/>
          <w:szCs w:val="21"/>
        </w:rPr>
        <w:t>”询价文件中提出的技术要求，乙方所提供产品的功能与服务实现必须完全遵守响应文件和询价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bookmarkEnd w:id="11"/>
    <w:p w14:paraId="075218F5">
      <w:pPr>
        <w:pStyle w:val="3"/>
        <w:widowControl/>
        <w:tabs>
          <w:tab w:val="left" w:pos="25"/>
        </w:tabs>
        <w:spacing w:before="0" w:after="0" w:line="360" w:lineRule="auto"/>
        <w:jc w:val="left"/>
        <w:rPr>
          <w:rFonts w:ascii="宋体" w:hAnsi="宋体" w:cs="宋体"/>
          <w:bCs w:val="0"/>
          <w:sz w:val="21"/>
          <w:szCs w:val="21"/>
        </w:rPr>
      </w:pPr>
      <w:bookmarkStart w:id="13" w:name="_Toc23497"/>
      <w:r>
        <w:rPr>
          <w:rFonts w:hint="eastAsia" w:ascii="宋体" w:hAnsi="宋体" w:cs="宋体"/>
          <w:bCs w:val="0"/>
          <w:sz w:val="21"/>
          <w:szCs w:val="21"/>
        </w:rPr>
        <w:t>五</w:t>
      </w:r>
      <w:r>
        <w:rPr>
          <w:rFonts w:ascii="宋体" w:hAnsi="宋体" w:cs="宋体"/>
          <w:bCs w:val="0"/>
          <w:sz w:val="21"/>
          <w:szCs w:val="21"/>
        </w:rPr>
        <w:t>、</w:t>
      </w:r>
      <w:r>
        <w:rPr>
          <w:rFonts w:hint="eastAsia" w:ascii="宋体" w:hAnsi="宋体" w:cs="宋体"/>
          <w:bCs w:val="0"/>
          <w:sz w:val="21"/>
          <w:szCs w:val="21"/>
        </w:rPr>
        <w:t>产品的包装</w:t>
      </w:r>
      <w:bookmarkEnd w:id="13"/>
    </w:p>
    <w:p w14:paraId="3DE84A9E">
      <w:pPr>
        <w:numPr>
          <w:ilvl w:val="0"/>
          <w:numId w:val="4"/>
        </w:numPr>
        <w:tabs>
          <w:tab w:val="left" w:pos="0"/>
          <w:tab w:val="clear" w:pos="1155"/>
        </w:tabs>
        <w:spacing w:line="360" w:lineRule="auto"/>
        <w:ind w:left="0" w:firstLine="0"/>
        <w:rPr>
          <w:rFonts w:ascii="宋体" w:hAnsi="宋体" w:cs="宋体"/>
          <w:szCs w:val="21"/>
        </w:rPr>
      </w:pPr>
      <w:r>
        <w:rPr>
          <w:rFonts w:hint="eastAsia" w:ascii="宋体" w:hAnsi="宋体" w:cs="宋体"/>
          <w:szCs w:val="21"/>
        </w:rPr>
        <w:t>所有产品由乙方负责妥善包装，附件、清单完整齐全，注明储运标志，并适合于长途运输。由此不当而引起的所有损失和责任由乙方承担。</w:t>
      </w:r>
    </w:p>
    <w:p w14:paraId="3953C77C">
      <w:pPr>
        <w:numPr>
          <w:ilvl w:val="0"/>
          <w:numId w:val="4"/>
        </w:numPr>
        <w:tabs>
          <w:tab w:val="left" w:pos="0"/>
          <w:tab w:val="clear" w:pos="1155"/>
        </w:tabs>
        <w:spacing w:line="360" w:lineRule="auto"/>
        <w:ind w:left="0" w:firstLine="0"/>
        <w:rPr>
          <w:rFonts w:ascii="宋体" w:hAnsi="宋体" w:cs="宋体"/>
          <w:szCs w:val="21"/>
        </w:rPr>
      </w:pPr>
      <w:r>
        <w:rPr>
          <w:rFonts w:hint="eastAsia" w:ascii="宋体" w:hAnsi="宋体" w:cs="宋体"/>
          <w:szCs w:val="21"/>
        </w:rPr>
        <w:t>每件包装外面应清楚地打上记号，这些记号或标志应在运单上说明。</w:t>
      </w:r>
    </w:p>
    <w:p w14:paraId="12FCEC7E">
      <w:pPr>
        <w:numPr>
          <w:ilvl w:val="0"/>
          <w:numId w:val="4"/>
        </w:numPr>
        <w:tabs>
          <w:tab w:val="left" w:pos="0"/>
          <w:tab w:val="clear" w:pos="1155"/>
        </w:tabs>
        <w:spacing w:line="360" w:lineRule="auto"/>
        <w:ind w:left="0" w:firstLine="0"/>
        <w:rPr>
          <w:rFonts w:ascii="宋体" w:hAnsi="宋体" w:cs="宋体"/>
          <w:szCs w:val="21"/>
        </w:rPr>
      </w:pPr>
      <w:r>
        <w:rPr>
          <w:rFonts w:hint="eastAsia" w:ascii="宋体" w:hAnsi="宋体" w:cs="宋体"/>
          <w:szCs w:val="21"/>
        </w:rPr>
        <w:t>备品备件及专用工具应在箱内运送并与产品分别包装，所有备件应加上标签，以示区别。</w:t>
      </w:r>
    </w:p>
    <w:p w14:paraId="76E2E7A9">
      <w:pPr>
        <w:numPr>
          <w:ilvl w:val="0"/>
          <w:numId w:val="4"/>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乙方应提前3天通知甲方负责收货的联系人，告知产品运送到项目现场的具体日期。</w:t>
      </w:r>
    </w:p>
    <w:p w14:paraId="1BACA415">
      <w:pPr>
        <w:pStyle w:val="3"/>
        <w:widowControl/>
        <w:tabs>
          <w:tab w:val="left" w:pos="25"/>
        </w:tabs>
        <w:spacing w:before="0" w:after="0" w:line="360" w:lineRule="auto"/>
        <w:jc w:val="left"/>
        <w:rPr>
          <w:rFonts w:ascii="宋体" w:hAnsi="宋体" w:cs="宋体"/>
          <w:bCs w:val="0"/>
          <w:sz w:val="21"/>
          <w:szCs w:val="21"/>
        </w:rPr>
      </w:pPr>
      <w:bookmarkStart w:id="14" w:name="_Toc19244"/>
      <w:bookmarkStart w:id="15" w:name="_Toc69378622"/>
      <w:r>
        <w:rPr>
          <w:rFonts w:hint="eastAsia" w:ascii="宋体" w:hAnsi="宋体" w:cs="宋体"/>
          <w:bCs w:val="0"/>
          <w:sz w:val="21"/>
          <w:szCs w:val="21"/>
        </w:rPr>
        <w:t>六、产品交付</w:t>
      </w:r>
      <w:bookmarkEnd w:id="14"/>
    </w:p>
    <w:p w14:paraId="55A17A6A">
      <w:pPr>
        <w:numPr>
          <w:ilvl w:val="0"/>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产品的交货地点为甲方指定地点、指定楼层。</w:t>
      </w:r>
    </w:p>
    <w:p w14:paraId="6F5AF4F9">
      <w:pPr>
        <w:numPr>
          <w:ilvl w:val="0"/>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乙方交货时应提供下列技术资料：</w:t>
      </w:r>
    </w:p>
    <w:p w14:paraId="699F59B3">
      <w:pPr>
        <w:spacing w:line="360" w:lineRule="auto"/>
        <w:rPr>
          <w:rFonts w:ascii="宋体" w:hAnsi="宋体" w:cs="宋体"/>
          <w:szCs w:val="21"/>
        </w:rPr>
      </w:pPr>
      <w:r>
        <w:rPr>
          <w:rFonts w:hint="eastAsia" w:ascii="宋体" w:hAnsi="宋体" w:cs="宋体"/>
          <w:szCs w:val="21"/>
        </w:rPr>
        <w:t>（1）产品原厂或原产地证明；</w:t>
      </w:r>
    </w:p>
    <w:p w14:paraId="6089F707">
      <w:pPr>
        <w:spacing w:line="360" w:lineRule="auto"/>
        <w:rPr>
          <w:rFonts w:ascii="宋体" w:hAnsi="宋体" w:cs="宋体"/>
          <w:szCs w:val="21"/>
        </w:rPr>
      </w:pPr>
      <w:r>
        <w:rPr>
          <w:rFonts w:hint="eastAsia" w:ascii="宋体" w:hAnsi="宋体" w:cs="宋体"/>
          <w:szCs w:val="21"/>
        </w:rPr>
        <w:t>（2）产品出厂检验报告和产品合格证；</w:t>
      </w:r>
    </w:p>
    <w:p w14:paraId="673628E7">
      <w:pPr>
        <w:spacing w:line="360" w:lineRule="auto"/>
        <w:rPr>
          <w:rFonts w:ascii="宋体" w:hAnsi="宋体" w:cs="宋体"/>
          <w:szCs w:val="21"/>
        </w:rPr>
      </w:pPr>
      <w:r>
        <w:rPr>
          <w:rFonts w:hint="eastAsia" w:ascii="宋体" w:hAnsi="宋体" w:cs="宋体"/>
          <w:szCs w:val="21"/>
        </w:rPr>
        <w:t>（3）询价文件中所要求提交的资料。</w:t>
      </w:r>
    </w:p>
    <w:p w14:paraId="20772053">
      <w:pPr>
        <w:numPr>
          <w:ilvl w:val="0"/>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设备到货后，甲方负责清点货物包装箱件数。在设备安装调试前，甲乙双方代表在施工现场共同开箱清点验收货物。若一方因故无法抵达施工现场，则无条件接受另一方开箱清点验收结果。</w:t>
      </w:r>
    </w:p>
    <w:p w14:paraId="7FBCFA52">
      <w:pPr>
        <w:tabs>
          <w:tab w:val="left" w:pos="0"/>
        </w:tabs>
        <w:spacing w:line="360" w:lineRule="auto"/>
        <w:ind w:firstLine="420" w:firstLineChars="200"/>
        <w:rPr>
          <w:szCs w:val="21"/>
        </w:rPr>
      </w:pPr>
      <w:r>
        <w:rPr>
          <w:rFonts w:hint="eastAsia" w:ascii="宋体" w:hAnsi="宋体" w:cs="宋体"/>
          <w:szCs w:val="21"/>
        </w:rPr>
        <w:t>甲方有权拒收运抵现场的被损坏或有缺陷的或不符合询价文件、乙方响应文件和询价时乙方做出的书面承诺的任何产品。</w:t>
      </w:r>
    </w:p>
    <w:bookmarkEnd w:id="15"/>
    <w:p w14:paraId="57F031C9">
      <w:pPr>
        <w:pStyle w:val="3"/>
        <w:widowControl/>
        <w:tabs>
          <w:tab w:val="left" w:pos="25"/>
        </w:tabs>
        <w:spacing w:before="0" w:after="0" w:line="360" w:lineRule="auto"/>
        <w:jc w:val="left"/>
        <w:rPr>
          <w:rFonts w:ascii="宋体" w:hAnsi="宋体" w:cs="宋体"/>
          <w:bCs w:val="0"/>
          <w:sz w:val="21"/>
          <w:szCs w:val="21"/>
        </w:rPr>
      </w:pPr>
      <w:bookmarkStart w:id="16" w:name="_Toc69378629"/>
      <w:bookmarkStart w:id="17" w:name="_Toc17438"/>
      <w:r>
        <w:rPr>
          <w:rFonts w:hint="eastAsia" w:ascii="宋体" w:hAnsi="宋体" w:cs="宋体"/>
          <w:bCs w:val="0"/>
          <w:sz w:val="21"/>
          <w:szCs w:val="21"/>
        </w:rPr>
        <w:t>七、</w:t>
      </w:r>
      <w:bookmarkEnd w:id="16"/>
      <w:bookmarkStart w:id="18" w:name="_Toc69378632"/>
      <w:r>
        <w:rPr>
          <w:rFonts w:hint="eastAsia" w:ascii="宋体" w:hAnsi="宋体" w:cs="宋体"/>
          <w:bCs w:val="0"/>
          <w:sz w:val="21"/>
          <w:szCs w:val="21"/>
        </w:rPr>
        <w:t>运输费用</w:t>
      </w:r>
      <w:bookmarkEnd w:id="17"/>
    </w:p>
    <w:p w14:paraId="4C75DB67">
      <w:pPr>
        <w:spacing w:line="360" w:lineRule="auto"/>
        <w:ind w:firstLine="420" w:firstLineChars="200"/>
        <w:rPr>
          <w:rFonts w:ascii="宋体" w:hAnsi="宋体" w:cs="宋体"/>
          <w:szCs w:val="21"/>
        </w:rPr>
      </w:pPr>
      <w:r>
        <w:rPr>
          <w:rFonts w:hint="eastAsia" w:ascii="宋体" w:hAnsi="宋体" w:cs="宋体"/>
          <w:szCs w:val="21"/>
        </w:rPr>
        <w:t>乙方承担所有产品的运输、装卸和保险等费用。</w:t>
      </w:r>
    </w:p>
    <w:p w14:paraId="73B1F7E3">
      <w:pPr>
        <w:pStyle w:val="3"/>
        <w:widowControl/>
        <w:tabs>
          <w:tab w:val="left" w:pos="25"/>
        </w:tabs>
        <w:spacing w:before="0" w:after="0" w:line="360" w:lineRule="auto"/>
        <w:jc w:val="left"/>
        <w:rPr>
          <w:rFonts w:ascii="宋体" w:hAnsi="宋体" w:cs="宋体"/>
          <w:bCs w:val="0"/>
          <w:sz w:val="21"/>
          <w:szCs w:val="21"/>
        </w:rPr>
      </w:pPr>
      <w:bookmarkStart w:id="19" w:name="_Toc9578"/>
      <w:r>
        <w:rPr>
          <w:rFonts w:hint="eastAsia" w:ascii="宋体" w:hAnsi="宋体" w:cs="宋体"/>
          <w:bCs w:val="0"/>
          <w:sz w:val="21"/>
          <w:szCs w:val="21"/>
        </w:rPr>
        <w:t>八、供货周期</w:t>
      </w:r>
      <w:bookmarkEnd w:id="19"/>
    </w:p>
    <w:p w14:paraId="36B29F18">
      <w:pPr>
        <w:spacing w:line="360" w:lineRule="auto"/>
        <w:ind w:firstLine="420" w:firstLineChars="200"/>
        <w:rPr>
          <w:rFonts w:ascii="宋体" w:hAnsi="宋体" w:cs="宋体"/>
          <w:szCs w:val="21"/>
        </w:rPr>
      </w:pPr>
      <w:r>
        <w:rPr>
          <w:rFonts w:hint="eastAsia" w:ascii="宋体" w:hAnsi="宋体" w:cs="宋体"/>
          <w:szCs w:val="21"/>
        </w:rPr>
        <w:t>所有货物在合同生效后天内（不超过3</w:t>
      </w:r>
      <w:r>
        <w:rPr>
          <w:rFonts w:ascii="宋体" w:hAnsi="宋体" w:cs="宋体"/>
          <w:szCs w:val="21"/>
        </w:rPr>
        <w:t>0</w:t>
      </w:r>
      <w:r>
        <w:rPr>
          <w:rFonts w:hint="eastAsia" w:ascii="宋体" w:hAnsi="宋体" w:cs="宋体"/>
          <w:szCs w:val="21"/>
        </w:rPr>
        <w:t>天）运抵甲方工地现场并安装、调试结束，验收合格。现场集成对接时间不得超过10周。乙方每逾期一天交货（不足一天按一天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14:paraId="0E64FFBA">
      <w:pPr>
        <w:spacing w:line="360" w:lineRule="auto"/>
        <w:ind w:firstLine="420" w:firstLineChars="200"/>
        <w:rPr>
          <w:rFonts w:ascii="宋体" w:hAnsi="宋体"/>
          <w:szCs w:val="21"/>
        </w:rPr>
      </w:pPr>
      <w:r>
        <w:rPr>
          <w:rFonts w:hint="eastAsia" w:ascii="宋体" w:hAnsi="宋体" w:cs="宋体"/>
          <w:szCs w:val="21"/>
        </w:rPr>
        <w:t>乙方逾期交货，甲方接受的，不影响甲方追究乙方逾期交货的违约责任。</w:t>
      </w:r>
      <w:bookmarkEnd w:id="18"/>
    </w:p>
    <w:p w14:paraId="2F4502FC">
      <w:pPr>
        <w:pStyle w:val="3"/>
        <w:widowControl/>
        <w:tabs>
          <w:tab w:val="left" w:pos="25"/>
        </w:tabs>
        <w:spacing w:before="0" w:after="0" w:line="360" w:lineRule="auto"/>
        <w:jc w:val="left"/>
        <w:rPr>
          <w:rFonts w:ascii="宋体" w:hAnsi="宋体" w:cs="宋体"/>
          <w:bCs w:val="0"/>
          <w:sz w:val="21"/>
          <w:szCs w:val="21"/>
        </w:rPr>
      </w:pPr>
      <w:bookmarkStart w:id="20" w:name="_Toc30925"/>
      <w:bookmarkStart w:id="21" w:name="_Toc69378633"/>
      <w:r>
        <w:rPr>
          <w:rFonts w:hint="eastAsia" w:ascii="宋体" w:hAnsi="宋体" w:cs="宋体"/>
          <w:bCs w:val="0"/>
          <w:sz w:val="21"/>
          <w:szCs w:val="21"/>
        </w:rPr>
        <w:t>九、验收标准</w:t>
      </w:r>
      <w:bookmarkEnd w:id="20"/>
    </w:p>
    <w:p w14:paraId="6C49970D">
      <w:pPr>
        <w:numPr>
          <w:ilvl w:val="0"/>
          <w:numId w:val="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询价文件、乙方响应文件、询价时乙方做出的书面承诺以及甲乙双方共同签订的补充协议的要求进行验收。乙方在货到安装调试完毕、系统达到技术要求规定的指标并开通业务后，向甲方提交“系统初验申请”，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14:paraId="720F283D">
      <w:pPr>
        <w:numPr>
          <w:ilvl w:val="0"/>
          <w:numId w:val="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14:paraId="38918C50">
      <w:pPr>
        <w:numPr>
          <w:ilvl w:val="0"/>
          <w:numId w:val="6"/>
        </w:numPr>
        <w:adjustRightInd w:val="0"/>
        <w:snapToGrid w:val="0"/>
        <w:spacing w:line="360" w:lineRule="auto"/>
        <w:rPr>
          <w:rFonts w:ascii="宋体"/>
          <w:szCs w:val="21"/>
        </w:rPr>
      </w:pPr>
      <w:r>
        <w:rPr>
          <w:rFonts w:hint="eastAsia" w:ascii="宋体" w:hAnsi="宋体"/>
          <w:szCs w:val="21"/>
        </w:rPr>
        <w:t>因甲方原因未能及时组织初验或终验，甲方应在乙方的协助下尽快解决问题。</w:t>
      </w:r>
    </w:p>
    <w:p w14:paraId="39069E89">
      <w:pPr>
        <w:numPr>
          <w:ilvl w:val="0"/>
          <w:numId w:val="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14:paraId="0BF56A0A">
      <w:pPr>
        <w:numPr>
          <w:ilvl w:val="0"/>
          <w:numId w:val="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14:paraId="715C42D6">
      <w:pPr>
        <w:numPr>
          <w:ilvl w:val="0"/>
          <w:numId w:val="6"/>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w:t>
      </w:r>
    </w:p>
    <w:p w14:paraId="6F96FFA6">
      <w:pPr>
        <w:pStyle w:val="3"/>
        <w:adjustRightInd w:val="0"/>
        <w:snapToGrid w:val="0"/>
        <w:spacing w:before="0" w:after="0" w:line="360" w:lineRule="auto"/>
        <w:ind w:left="4"/>
        <w:jc w:val="left"/>
        <w:rPr>
          <w:rFonts w:ascii="宋体" w:hAnsi="宋体"/>
          <w:kern w:val="2"/>
          <w:sz w:val="21"/>
          <w:szCs w:val="21"/>
        </w:rPr>
      </w:pPr>
      <w:bookmarkStart w:id="22" w:name="_Toc72326302"/>
      <w:bookmarkStart w:id="23" w:name="_Toc17856"/>
      <w:r>
        <w:rPr>
          <w:rFonts w:hint="eastAsia" w:ascii="宋体" w:hAnsi="宋体"/>
          <w:kern w:val="2"/>
          <w:sz w:val="21"/>
          <w:szCs w:val="21"/>
        </w:rPr>
        <w:t>十、售后服务</w:t>
      </w:r>
      <w:bookmarkEnd w:id="22"/>
      <w:bookmarkEnd w:id="23"/>
    </w:p>
    <w:p w14:paraId="30C372AA">
      <w:pPr>
        <w:numPr>
          <w:ilvl w:val="0"/>
          <w:numId w:val="7"/>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小时的技术支持和服务。如果出现技术问题或故障，乙方应按响应文件和询价时做出的书面承诺提供相应的服务和技术支持。</w:t>
      </w:r>
      <w:r>
        <w:rPr>
          <w:rFonts w:ascii="宋体" w:hAnsi="宋体"/>
          <w:szCs w:val="21"/>
        </w:rPr>
        <w:t>在接到通知后1小时内应答，6小时内派出代表到达现场进行处理。在得到</w:t>
      </w:r>
      <w:r>
        <w:rPr>
          <w:rFonts w:hint="eastAsia" w:ascii="宋体" w:hAnsi="宋体"/>
          <w:szCs w:val="21"/>
        </w:rPr>
        <w:t>乙方</w:t>
      </w:r>
      <w:r>
        <w:rPr>
          <w:rFonts w:ascii="宋体" w:hAnsi="宋体"/>
          <w:szCs w:val="21"/>
        </w:rPr>
        <w:t>同意后，或在规定期限内，</w:t>
      </w:r>
      <w:r>
        <w:rPr>
          <w:rFonts w:hint="eastAsia" w:ascii="宋体" w:hAnsi="宋体"/>
          <w:szCs w:val="21"/>
        </w:rPr>
        <w:t>乙方</w:t>
      </w:r>
      <w:r>
        <w:rPr>
          <w:rFonts w:ascii="宋体" w:hAnsi="宋体"/>
          <w:szCs w:val="21"/>
        </w:rPr>
        <w:t>代表仍未到达现场，</w:t>
      </w:r>
      <w:r>
        <w:rPr>
          <w:rFonts w:hint="eastAsia" w:ascii="宋体" w:hAnsi="宋体"/>
          <w:szCs w:val="21"/>
        </w:rPr>
        <w:t>甲方</w:t>
      </w:r>
      <w:r>
        <w:rPr>
          <w:rFonts w:ascii="宋体" w:hAnsi="宋体"/>
          <w:szCs w:val="21"/>
        </w:rPr>
        <w:t>可以自己进行故障处理，并要求</w:t>
      </w:r>
      <w:r>
        <w:rPr>
          <w:rFonts w:hint="eastAsia" w:ascii="宋体" w:hAnsi="宋体"/>
          <w:szCs w:val="21"/>
        </w:rPr>
        <w:t>乙方</w:t>
      </w:r>
      <w:r>
        <w:rPr>
          <w:rFonts w:ascii="宋体" w:hAnsi="宋体"/>
          <w:szCs w:val="21"/>
        </w:rPr>
        <w:t>承担相应费用。重大技术故障</w:t>
      </w:r>
      <w:r>
        <w:rPr>
          <w:rFonts w:hint="eastAsia" w:ascii="宋体" w:hAnsi="宋体"/>
          <w:szCs w:val="21"/>
        </w:rPr>
        <w:t>乙方</w:t>
      </w:r>
      <w:r>
        <w:rPr>
          <w:rFonts w:ascii="宋体" w:hAnsi="宋体"/>
          <w:szCs w:val="21"/>
        </w:rPr>
        <w:t>需要明确处理的时间。</w:t>
      </w:r>
    </w:p>
    <w:p w14:paraId="35F2D11A">
      <w:pPr>
        <w:numPr>
          <w:ilvl w:val="0"/>
          <w:numId w:val="7"/>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 年（不少于3年）</w:t>
      </w:r>
      <w:r>
        <w:rPr>
          <w:rFonts w:hint="eastAsia" w:ascii="宋体" w:hAnsi="宋体"/>
          <w:szCs w:val="21"/>
        </w:rPr>
        <w:t>，自初验通过之日起计算。免费包修期</w:t>
      </w:r>
      <w:r>
        <w:rPr>
          <w:rFonts w:ascii="宋体" w:hAnsi="宋体"/>
          <w:szCs w:val="21"/>
        </w:rPr>
        <w:t>，故障设备</w:t>
      </w:r>
      <w:r>
        <w:rPr>
          <w:rFonts w:hint="eastAsia" w:ascii="宋体" w:hAnsi="宋体"/>
          <w:szCs w:val="21"/>
        </w:rPr>
        <w:t>乙方</w:t>
      </w:r>
      <w:r>
        <w:rPr>
          <w:rFonts w:ascii="宋体" w:hAnsi="宋体"/>
          <w:szCs w:val="21"/>
        </w:rPr>
        <w:t>应在6小时内予以更换，更换故障部件的</w:t>
      </w:r>
      <w:r>
        <w:rPr>
          <w:rFonts w:hint="eastAsia" w:ascii="宋体" w:hAnsi="宋体"/>
          <w:szCs w:val="21"/>
        </w:rPr>
        <w:t>免费包修期</w:t>
      </w:r>
      <w:r>
        <w:rPr>
          <w:rFonts w:ascii="宋体" w:hAnsi="宋体"/>
          <w:szCs w:val="21"/>
        </w:rPr>
        <w:t>从更换日期起重新计算。</w:t>
      </w:r>
      <w:r>
        <w:rPr>
          <w:rFonts w:hint="eastAsia" w:ascii="宋体" w:hAnsi="宋体"/>
          <w:szCs w:val="21"/>
        </w:rPr>
        <w:t>超过免费质保期后，乙方对其提供的产品在设备寿命期内提供有偿保修服务。每年</w:t>
      </w:r>
      <w:r>
        <w:rPr>
          <w:rFonts w:hint="eastAsia"/>
          <w:szCs w:val="21"/>
        </w:rPr>
        <w:t>价格不得高于需要保修设备成交价的 %（不高于5%）。</w:t>
      </w:r>
    </w:p>
    <w:p w14:paraId="53628F86">
      <w:pPr>
        <w:pStyle w:val="424"/>
        <w:numPr>
          <w:ilvl w:val="0"/>
          <w:numId w:val="7"/>
        </w:numPr>
        <w:ind w:left="0" w:firstLine="0"/>
        <w:rPr>
          <w:rFonts w:ascii="宋体" w:hAnsi="宋体"/>
          <w:sz w:val="21"/>
          <w:szCs w:val="21"/>
        </w:rPr>
      </w:pPr>
      <w:r>
        <w:rPr>
          <w:rFonts w:hint="eastAsia" w:ascii="宋体" w:hAnsi="宋体"/>
          <w:sz w:val="21"/>
          <w:szCs w:val="21"/>
        </w:rPr>
        <w:t>培训：包括响应文件和询价时做出的书面承诺的培训。乙方另行提供的其它培训，往返路程费用、住宿及餐饮等费用由乙方承担。</w:t>
      </w:r>
    </w:p>
    <w:p w14:paraId="3E3D3D04">
      <w:pPr>
        <w:pStyle w:val="424"/>
        <w:numPr>
          <w:ilvl w:val="0"/>
          <w:numId w:val="7"/>
        </w:numPr>
        <w:ind w:left="0" w:firstLine="0"/>
        <w:rPr>
          <w:rFonts w:ascii="宋体" w:hAnsi="宋体"/>
          <w:szCs w:val="21"/>
        </w:rPr>
      </w:pPr>
      <w:r>
        <w:rPr>
          <w:rFonts w:hint="eastAsia" w:ascii="宋体" w:hAnsi="宋体"/>
          <w:sz w:val="21"/>
          <w:szCs w:val="21"/>
        </w:rPr>
        <w:t>原厂服务：乙方所提供的技术服务都由各产品制造商原厂提供，所销售的产品均已包含年期每周7天×24小时原厂服务。如乙方停止代理销售本合同涉及的品牌产品，则乙方保证由各产品制造商原厂继续提供所有的售后服务，且不免除乙方对此应承担的责任。</w:t>
      </w:r>
    </w:p>
    <w:p w14:paraId="33AE079E">
      <w:pPr>
        <w:numPr>
          <w:ilvl w:val="0"/>
          <w:numId w:val="7"/>
        </w:numPr>
        <w:adjustRightInd w:val="0"/>
        <w:snapToGrid w:val="0"/>
        <w:spacing w:line="360" w:lineRule="auto"/>
        <w:ind w:left="0" w:firstLine="0"/>
        <w:rPr>
          <w:rFonts w:ascii="宋体" w:hAnsi="宋体"/>
          <w:szCs w:val="21"/>
        </w:rPr>
      </w:pPr>
      <w:r>
        <w:rPr>
          <w:rFonts w:hint="eastAsia" w:ascii="宋体" w:hAnsi="宋体"/>
          <w:szCs w:val="21"/>
        </w:rPr>
        <w:t>如果在系统发生故障后，乙方未能按照要求时间排除系统故障，甲方有权请第三方解决问题，由此产生的费用由乙方承担。造成甲方业务损失的，由乙方承担相应责任。</w:t>
      </w:r>
    </w:p>
    <w:p w14:paraId="62E10167">
      <w:pPr>
        <w:numPr>
          <w:ilvl w:val="0"/>
          <w:numId w:val="7"/>
        </w:numPr>
        <w:adjustRightInd w:val="0"/>
        <w:snapToGrid w:val="0"/>
        <w:spacing w:line="360" w:lineRule="auto"/>
        <w:ind w:left="360" w:hanging="360"/>
        <w:rPr>
          <w:rFonts w:ascii="宋体" w:hAnsi="宋体"/>
          <w:szCs w:val="21"/>
        </w:rPr>
      </w:pPr>
      <w:r>
        <w:rPr>
          <w:rFonts w:hint="eastAsia" w:ascii="宋体" w:hAnsi="宋体"/>
          <w:szCs w:val="21"/>
        </w:rPr>
        <w:t>乙方保证立即响应并至少通过电话做远程诊断，尝试排除故障或进行紧急处理。</w:t>
      </w:r>
    </w:p>
    <w:p w14:paraId="45528069">
      <w:pPr>
        <w:numPr>
          <w:ilvl w:val="0"/>
          <w:numId w:val="7"/>
        </w:numPr>
        <w:tabs>
          <w:tab w:val="left" w:pos="210"/>
        </w:tabs>
        <w:adjustRightInd w:val="0"/>
        <w:snapToGrid w:val="0"/>
        <w:spacing w:line="360" w:lineRule="auto"/>
        <w:ind w:left="0" w:firstLine="0"/>
        <w:rPr>
          <w:rFonts w:ascii="宋体" w:hAnsi="宋体"/>
          <w:szCs w:val="21"/>
        </w:rPr>
      </w:pPr>
      <w:r>
        <w:rPr>
          <w:rFonts w:hint="eastAsia" w:ascii="宋体" w:hAnsi="宋体"/>
          <w:szCs w:val="21"/>
        </w:rPr>
        <w:t>乙方保证提供完善的备件支持服务，用以保障甲方应急替换。若某部件发生故障，乙方承诺在6小时内为甲方替换部件。</w:t>
      </w:r>
    </w:p>
    <w:p w14:paraId="07C8BEA7">
      <w:pPr>
        <w:numPr>
          <w:ilvl w:val="0"/>
          <w:numId w:val="7"/>
        </w:numPr>
        <w:adjustRightInd w:val="0"/>
        <w:snapToGrid w:val="0"/>
        <w:spacing w:line="360" w:lineRule="auto"/>
        <w:ind w:left="360" w:hanging="360"/>
        <w:rPr>
          <w:rFonts w:ascii="宋体" w:hAnsi="宋体"/>
          <w:szCs w:val="21"/>
        </w:rPr>
      </w:pPr>
      <w:r>
        <w:rPr>
          <w:rFonts w:hint="eastAsia" w:ascii="宋体" w:hAnsi="宋体"/>
          <w:szCs w:val="21"/>
        </w:rPr>
        <w:t>乙方承诺负责甲方指定的不少于20个地点（江苏省内）的设备现场安装、调试、接入等服务。</w:t>
      </w:r>
    </w:p>
    <w:p w14:paraId="7EC725A7">
      <w:pPr>
        <w:numPr>
          <w:ilvl w:val="0"/>
          <w:numId w:val="7"/>
        </w:numPr>
        <w:adjustRightInd w:val="0"/>
        <w:snapToGrid w:val="0"/>
        <w:spacing w:line="360" w:lineRule="auto"/>
        <w:ind w:left="360" w:hanging="360"/>
        <w:rPr>
          <w:rFonts w:ascii="宋体" w:hAnsi="宋体"/>
          <w:szCs w:val="21"/>
        </w:rPr>
      </w:pPr>
      <w:r>
        <w:rPr>
          <w:rFonts w:hint="eastAsia" w:ascii="宋体" w:hAnsi="宋体"/>
          <w:szCs w:val="21"/>
        </w:rPr>
        <w:t>乙方在招标人工地安装、调试期间，一切费用由乙方自理。</w:t>
      </w:r>
    </w:p>
    <w:p w14:paraId="6FBC1A9B">
      <w:pPr>
        <w:numPr>
          <w:ilvl w:val="0"/>
          <w:numId w:val="7"/>
        </w:numPr>
        <w:adjustRightInd w:val="0"/>
        <w:snapToGrid w:val="0"/>
        <w:spacing w:line="360" w:lineRule="auto"/>
        <w:ind w:left="0" w:firstLine="0"/>
        <w:rPr>
          <w:rFonts w:ascii="宋体" w:hAnsi="宋体"/>
          <w:szCs w:val="21"/>
        </w:rPr>
      </w:pPr>
      <w:r>
        <w:rPr>
          <w:rFonts w:hint="eastAsia" w:ascii="宋体" w:hAnsi="宋体"/>
          <w:szCs w:val="21"/>
        </w:rPr>
        <w:t>乙方所供货物要求实行终身维保；乙方应提供货物最低使用年限，在此期间内，不应发生非人为操作原因的重大故障，否则甲方有权追溯乙方的责任。</w:t>
      </w:r>
    </w:p>
    <w:p w14:paraId="7089C469">
      <w:pPr>
        <w:pStyle w:val="3"/>
        <w:adjustRightInd w:val="0"/>
        <w:snapToGrid w:val="0"/>
        <w:spacing w:before="0" w:after="0" w:line="360" w:lineRule="auto"/>
        <w:ind w:left="4"/>
        <w:rPr>
          <w:rFonts w:ascii="宋体" w:hAnsi="宋体"/>
          <w:kern w:val="2"/>
          <w:sz w:val="21"/>
          <w:szCs w:val="21"/>
        </w:rPr>
      </w:pPr>
      <w:bookmarkStart w:id="24" w:name="_Toc17089"/>
      <w:bookmarkStart w:id="25" w:name="_Toc72326303"/>
      <w:r>
        <w:rPr>
          <w:rFonts w:hint="eastAsia" w:ascii="宋体" w:hAnsi="宋体"/>
          <w:kern w:val="2"/>
          <w:sz w:val="21"/>
          <w:szCs w:val="21"/>
        </w:rPr>
        <w:t>十一、技术升级和优惠条件</w:t>
      </w:r>
      <w:bookmarkEnd w:id="24"/>
      <w:bookmarkEnd w:id="25"/>
    </w:p>
    <w:p w14:paraId="4D846771">
      <w:pPr>
        <w:numPr>
          <w:ilvl w:val="0"/>
          <w:numId w:val="8"/>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乙方对所开发软件在包修期内提供免费的不增加新功能的软件升级服务，并在升级后为甲方提供免费的培训。</w:t>
      </w:r>
    </w:p>
    <w:p w14:paraId="2793B1F3">
      <w:pPr>
        <w:numPr>
          <w:ilvl w:val="0"/>
          <w:numId w:val="8"/>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14:paraId="33F4FDC5">
      <w:pPr>
        <w:numPr>
          <w:ilvl w:val="0"/>
          <w:numId w:val="8"/>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14:paraId="190685AB">
      <w:pPr>
        <w:numPr>
          <w:ilvl w:val="0"/>
          <w:numId w:val="8"/>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rPr>
        <w:t>“</w:t>
      </w:r>
      <w:r>
        <w:rPr>
          <w:rFonts w:hint="eastAsia"/>
          <w:szCs w:val="21"/>
          <w:u w:val="single"/>
        </w:rPr>
        <w:t>云态势感知探针扩容采购项目</w:t>
      </w:r>
      <w:r>
        <w:rPr>
          <w:rFonts w:hint="eastAsia" w:ascii="宋体" w:hAnsi="宋体"/>
          <w:szCs w:val="21"/>
        </w:rPr>
        <w:t>”</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14:paraId="5685A1F0">
      <w:pPr>
        <w:numPr>
          <w:ilvl w:val="0"/>
          <w:numId w:val="8"/>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提供的同类设备、配件、软件及相关服务等报价应不高于本项目的中标价格、折扣，且不高于当时市场价格。</w:t>
      </w:r>
    </w:p>
    <w:p w14:paraId="28E90126">
      <w:pPr>
        <w:adjustRightInd w:val="0"/>
        <w:snapToGrid w:val="0"/>
        <w:spacing w:line="360" w:lineRule="auto"/>
        <w:rPr>
          <w:rFonts w:ascii="宋体" w:hAnsi="宋体"/>
          <w:b/>
          <w:szCs w:val="21"/>
        </w:rPr>
      </w:pPr>
      <w:bookmarkStart w:id="26" w:name="_Toc72326304"/>
      <w:r>
        <w:rPr>
          <w:rFonts w:hint="eastAsia" w:ascii="宋体" w:hAnsi="宋体"/>
          <w:b/>
          <w:bCs/>
          <w:szCs w:val="21"/>
        </w:rPr>
        <w:t>十二</w:t>
      </w:r>
      <w:r>
        <w:rPr>
          <w:rFonts w:hint="eastAsia" w:ascii="宋体" w:hAnsi="宋体"/>
          <w:szCs w:val="21"/>
        </w:rPr>
        <w:t>、</w:t>
      </w:r>
      <w:bookmarkEnd w:id="26"/>
      <w:bookmarkStart w:id="27" w:name="_Toc72326305"/>
      <w:r>
        <w:rPr>
          <w:rFonts w:hint="eastAsia" w:ascii="宋体" w:hAnsi="宋体"/>
          <w:b/>
          <w:bCs/>
          <w:szCs w:val="21"/>
        </w:rPr>
        <w:t>双方责任</w:t>
      </w:r>
      <w:bookmarkEnd w:id="27"/>
    </w:p>
    <w:p w14:paraId="08316DD6">
      <w:pPr>
        <w:adjustRightInd w:val="0"/>
        <w:snapToGrid w:val="0"/>
        <w:spacing w:line="360" w:lineRule="auto"/>
        <w:rPr>
          <w:rFonts w:ascii="宋体" w:hAnsi="宋体"/>
          <w:szCs w:val="21"/>
        </w:rPr>
      </w:pPr>
      <w:r>
        <w:rPr>
          <w:rFonts w:hint="eastAsia" w:ascii="宋体" w:hAnsi="宋体"/>
          <w:szCs w:val="21"/>
        </w:rPr>
        <w:t>甲方责任</w:t>
      </w:r>
    </w:p>
    <w:p w14:paraId="38751E91">
      <w:pPr>
        <w:numPr>
          <w:ilvl w:val="0"/>
          <w:numId w:val="9"/>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14:paraId="51F64D5F">
      <w:pPr>
        <w:numPr>
          <w:ilvl w:val="0"/>
          <w:numId w:val="9"/>
        </w:numPr>
        <w:adjustRightInd w:val="0"/>
        <w:snapToGrid w:val="0"/>
        <w:spacing w:line="360" w:lineRule="auto"/>
        <w:rPr>
          <w:rFonts w:ascii="宋体"/>
          <w:szCs w:val="21"/>
        </w:rPr>
      </w:pPr>
      <w:r>
        <w:rPr>
          <w:rFonts w:hint="eastAsia" w:ascii="宋体" w:hAnsi="宋体"/>
          <w:szCs w:val="21"/>
        </w:rPr>
        <w:t>甲方需为乙方协调各方关系提供便利。</w:t>
      </w:r>
    </w:p>
    <w:p w14:paraId="45C27338">
      <w:pPr>
        <w:numPr>
          <w:ilvl w:val="0"/>
          <w:numId w:val="9"/>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14:paraId="1812A8CF">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14:paraId="05DC9E6A">
      <w:pPr>
        <w:adjustRightInd w:val="0"/>
        <w:snapToGrid w:val="0"/>
        <w:spacing w:line="360" w:lineRule="auto"/>
        <w:rPr>
          <w:rFonts w:ascii="宋体" w:hAnsi="宋体"/>
          <w:bCs/>
          <w:szCs w:val="21"/>
        </w:rPr>
      </w:pPr>
      <w:r>
        <w:rPr>
          <w:rFonts w:hint="eastAsia" w:ascii="宋体" w:hAnsi="宋体"/>
          <w:szCs w:val="21"/>
        </w:rPr>
        <w:t>乙方责任</w:t>
      </w:r>
    </w:p>
    <w:p w14:paraId="1DE53184">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乙方承诺：除响应文件及后续书面承诺标明的偏离外，乙方提供的产品和服务均满足询价文件要求。</w:t>
      </w:r>
    </w:p>
    <w:p w14:paraId="40BF7108">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乙方应按照询价文件、响应文件、乙方后续书面承诺的技术要求以及甲乙双方协定补充文件，提供合格的产品，并保证通过甲方的验收。</w:t>
      </w:r>
    </w:p>
    <w:p w14:paraId="1E9A771A">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在系统安装、调试、开发过程中，乙方须保证不影响甲方现有系统的正常运行和现有业务的正常发展。</w:t>
      </w:r>
    </w:p>
    <w:p w14:paraId="18ACB9CB">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乙方保证在系统安装、调试、开发过程中不非法使用第三方软件，否则由此产生的纠纷由乙方自行负责。</w:t>
      </w:r>
    </w:p>
    <w:p w14:paraId="38E73D42">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14:paraId="71694A6E">
      <w:pPr>
        <w:numPr>
          <w:ilvl w:val="0"/>
          <w:numId w:val="10"/>
        </w:numPr>
        <w:adjustRightInd w:val="0"/>
        <w:snapToGrid w:val="0"/>
        <w:spacing w:line="360" w:lineRule="auto"/>
        <w:rPr>
          <w:rFonts w:ascii="宋体"/>
          <w:szCs w:val="21"/>
        </w:rPr>
      </w:pPr>
      <w:r>
        <w:rPr>
          <w:rFonts w:hint="eastAsia" w:ascii="宋体" w:hAnsi="宋体"/>
          <w:szCs w:val="21"/>
        </w:rPr>
        <w:t>乙方按照要求提供产品合格证书、产品检测记录、调试记录等技术资料。</w:t>
      </w:r>
    </w:p>
    <w:p w14:paraId="449A8657">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乙方负责与硬件设备相配套的软件厂家、其它设备的制造商、第三方软件厂家和售后服务部门等联系沟通，完成安装、调试，配置相关的产品。</w:t>
      </w:r>
    </w:p>
    <w:p w14:paraId="44E48268">
      <w:pPr>
        <w:numPr>
          <w:ilvl w:val="0"/>
          <w:numId w:val="10"/>
        </w:numPr>
        <w:adjustRightInd w:val="0"/>
        <w:snapToGrid w:val="0"/>
        <w:spacing w:line="360" w:lineRule="auto"/>
        <w:rPr>
          <w:rFonts w:ascii="宋体"/>
          <w:szCs w:val="21"/>
        </w:rPr>
      </w:pPr>
      <w:r>
        <w:rPr>
          <w:rFonts w:hint="eastAsia" w:ascii="宋体" w:hAnsi="宋体"/>
          <w:szCs w:val="21"/>
        </w:rPr>
        <w:t>乙方负责配合相关厂家，定期检查产品、及时排查硬件故障。</w:t>
      </w:r>
    </w:p>
    <w:p w14:paraId="274FF753">
      <w:pPr>
        <w:numPr>
          <w:ilvl w:val="0"/>
          <w:numId w:val="10"/>
        </w:numPr>
        <w:adjustRightInd w:val="0"/>
        <w:snapToGrid w:val="0"/>
        <w:spacing w:line="360" w:lineRule="auto"/>
        <w:rPr>
          <w:rFonts w:ascii="宋体"/>
          <w:szCs w:val="21"/>
        </w:rPr>
      </w:pPr>
      <w:r>
        <w:rPr>
          <w:rFonts w:hint="eastAsia" w:ascii="宋体" w:hAnsi="宋体"/>
          <w:szCs w:val="21"/>
        </w:rPr>
        <w:t>乙方未按合同规定的质量要求交货产品，甲方拒收时，乙方应承担合同的违约责任。</w:t>
      </w:r>
    </w:p>
    <w:p w14:paraId="0A816680">
      <w:pPr>
        <w:numPr>
          <w:ilvl w:val="0"/>
          <w:numId w:val="10"/>
        </w:numPr>
        <w:adjustRightInd w:val="0"/>
        <w:snapToGrid w:val="0"/>
        <w:spacing w:line="360" w:lineRule="auto"/>
        <w:rPr>
          <w:rFonts w:ascii="宋体"/>
          <w:szCs w:val="21"/>
        </w:rPr>
      </w:pPr>
      <w:r>
        <w:rPr>
          <w:rFonts w:hint="eastAsia" w:ascii="宋体" w:hAnsi="宋体"/>
          <w:szCs w:val="21"/>
        </w:rPr>
        <w:t>迟延履行，甲方书面确定一个合理的期限，如乙方仍不能履行，按乙方不履行合同处理。</w:t>
      </w:r>
    </w:p>
    <w:p w14:paraId="10000ACB">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本合同所有产品的制造，都必须由响应文件和询价时做出的书面承诺中明确的制造商承担，否则将按乙方不履行合同处理。</w:t>
      </w:r>
    </w:p>
    <w:p w14:paraId="48A64514">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乙方保证不在软件中对功能、性能、容量进行人为限制，不得含有陷阱、逻辑炸弹、后门等非法程序代码。</w:t>
      </w:r>
    </w:p>
    <w:p w14:paraId="267EE368">
      <w:pPr>
        <w:numPr>
          <w:ilvl w:val="0"/>
          <w:numId w:val="10"/>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2DA81D30">
      <w:pPr>
        <w:numPr>
          <w:ilvl w:val="0"/>
          <w:numId w:val="10"/>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rPr>
        <w:t>/</w:t>
      </w:r>
      <w:r>
        <w:rPr>
          <w:rFonts w:hint="eastAsia" w:ascii="宋体" w:hAnsi="宋体"/>
          <w:szCs w:val="21"/>
        </w:rPr>
        <w:t>或服务而提起的侵权指控，乙方须依法承担全部责任</w:t>
      </w:r>
    </w:p>
    <w:p w14:paraId="2FAB8DCD">
      <w:pPr>
        <w:pStyle w:val="3"/>
        <w:adjustRightInd w:val="0"/>
        <w:snapToGrid w:val="0"/>
        <w:spacing w:before="0" w:after="0" w:line="360" w:lineRule="auto"/>
        <w:ind w:left="4"/>
        <w:rPr>
          <w:rFonts w:ascii="宋体" w:hAnsi="宋体"/>
          <w:kern w:val="2"/>
          <w:sz w:val="21"/>
          <w:szCs w:val="21"/>
        </w:rPr>
      </w:pPr>
      <w:bookmarkStart w:id="28" w:name="_Toc13471"/>
      <w:bookmarkStart w:id="29" w:name="_Toc72326306"/>
      <w:r>
        <w:rPr>
          <w:rFonts w:hint="eastAsia" w:ascii="宋体" w:hAnsi="宋体"/>
          <w:kern w:val="2"/>
          <w:sz w:val="21"/>
          <w:szCs w:val="21"/>
        </w:rPr>
        <w:t>十三、违约责任</w:t>
      </w:r>
      <w:bookmarkEnd w:id="28"/>
      <w:bookmarkEnd w:id="29"/>
    </w:p>
    <w:p w14:paraId="7B529E91">
      <w:pPr>
        <w:numPr>
          <w:ilvl w:val="0"/>
          <w:numId w:val="11"/>
        </w:numPr>
        <w:adjustRightInd w:val="0"/>
        <w:snapToGrid w:val="0"/>
        <w:spacing w:line="360" w:lineRule="auto"/>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14:paraId="0099EF98">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由于乙方提供的开发服务不符合询价文件及本合同第四条所规定的要求时，甲方有权要求乙方更换，如果乙方产品在更换后仍不符合要求，甲方有权终止合同，乙方应支付合同总额20%的违约金给甲方。</w:t>
      </w:r>
    </w:p>
    <w:p w14:paraId="7DAACBDD">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14:paraId="5DDA5B60">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14:paraId="11078B6C">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14:paraId="5E4642C2">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14:paraId="2DB1C0A8">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14:paraId="1B259010">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14:paraId="01550500">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14:paraId="5C45D38F">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14:paraId="6CFD8E35">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14:paraId="654535DB">
      <w:pPr>
        <w:pStyle w:val="3"/>
        <w:adjustRightInd w:val="0"/>
        <w:snapToGrid w:val="0"/>
        <w:spacing w:before="0" w:after="0" w:line="360" w:lineRule="auto"/>
        <w:ind w:left="4"/>
        <w:rPr>
          <w:rFonts w:ascii="宋体" w:hAnsi="宋体"/>
          <w:kern w:val="2"/>
          <w:sz w:val="21"/>
          <w:szCs w:val="21"/>
        </w:rPr>
      </w:pPr>
      <w:bookmarkStart w:id="30" w:name="_Toc72326307"/>
      <w:bookmarkStart w:id="31" w:name="_Toc10003"/>
      <w:r>
        <w:rPr>
          <w:rFonts w:hint="eastAsia" w:ascii="宋体" w:hAnsi="宋体"/>
          <w:kern w:val="2"/>
          <w:sz w:val="21"/>
          <w:szCs w:val="21"/>
        </w:rPr>
        <w:t>十四、廉洁条款</w:t>
      </w:r>
      <w:bookmarkEnd w:id="30"/>
      <w:bookmarkEnd w:id="31"/>
    </w:p>
    <w:p w14:paraId="6C979588">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72F5FD61">
      <w:pPr>
        <w:numPr>
          <w:ilvl w:val="0"/>
          <w:numId w:val="12"/>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7AF1B4F9">
      <w:pPr>
        <w:pStyle w:val="3"/>
        <w:adjustRightInd w:val="0"/>
        <w:snapToGrid w:val="0"/>
        <w:spacing w:before="0" w:after="0" w:line="360" w:lineRule="auto"/>
        <w:ind w:left="4"/>
        <w:rPr>
          <w:rFonts w:ascii="宋体" w:hAnsi="宋体"/>
          <w:kern w:val="2"/>
          <w:sz w:val="21"/>
          <w:szCs w:val="21"/>
        </w:rPr>
      </w:pPr>
      <w:bookmarkStart w:id="32" w:name="_Toc12160"/>
      <w:bookmarkStart w:id="33" w:name="_Toc72326308"/>
      <w:r>
        <w:rPr>
          <w:rFonts w:hint="eastAsia" w:ascii="宋体" w:hAnsi="宋体"/>
          <w:kern w:val="2"/>
          <w:sz w:val="21"/>
          <w:szCs w:val="21"/>
        </w:rPr>
        <w:t>十五、不可抗力</w:t>
      </w:r>
      <w:bookmarkEnd w:id="32"/>
      <w:bookmarkEnd w:id="33"/>
    </w:p>
    <w:p w14:paraId="019099A2">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14:paraId="1C2E3F9E">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当不可抗力事故终止后，受影响一方应以书面的形式通知对方，双方商定合同是否继续履行。</w:t>
      </w:r>
    </w:p>
    <w:p w14:paraId="46BE50FB">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14:paraId="7325A6A2">
      <w:pPr>
        <w:pStyle w:val="3"/>
        <w:adjustRightInd w:val="0"/>
        <w:snapToGrid w:val="0"/>
        <w:spacing w:before="0" w:after="0" w:line="360" w:lineRule="auto"/>
        <w:ind w:left="4"/>
        <w:rPr>
          <w:rFonts w:ascii="宋体" w:hAnsi="宋体"/>
          <w:kern w:val="2"/>
          <w:sz w:val="21"/>
          <w:szCs w:val="21"/>
        </w:rPr>
      </w:pPr>
      <w:bookmarkStart w:id="34" w:name="_Toc72326309"/>
      <w:bookmarkStart w:id="35" w:name="_Toc3857"/>
      <w:r>
        <w:rPr>
          <w:rFonts w:hint="eastAsia" w:ascii="宋体" w:hAnsi="宋体"/>
          <w:kern w:val="2"/>
          <w:sz w:val="21"/>
          <w:szCs w:val="21"/>
        </w:rPr>
        <w:t>十六、解决纠纷的方式</w:t>
      </w:r>
      <w:bookmarkEnd w:id="34"/>
      <w:bookmarkEnd w:id="35"/>
    </w:p>
    <w:p w14:paraId="16665729">
      <w:pPr>
        <w:numPr>
          <w:ilvl w:val="0"/>
          <w:numId w:val="14"/>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14:paraId="5A850400">
      <w:pPr>
        <w:numPr>
          <w:ilvl w:val="0"/>
          <w:numId w:val="14"/>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14:paraId="093B5A8C">
      <w:pPr>
        <w:numPr>
          <w:ilvl w:val="0"/>
          <w:numId w:val="14"/>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14:paraId="3A937F48">
      <w:pPr>
        <w:pStyle w:val="3"/>
        <w:adjustRightInd w:val="0"/>
        <w:snapToGrid w:val="0"/>
        <w:spacing w:before="0" w:after="0" w:line="360" w:lineRule="auto"/>
        <w:ind w:left="4"/>
        <w:rPr>
          <w:rFonts w:ascii="宋体" w:hAnsi="宋体"/>
          <w:kern w:val="2"/>
          <w:sz w:val="21"/>
          <w:szCs w:val="21"/>
        </w:rPr>
      </w:pPr>
      <w:bookmarkStart w:id="36" w:name="_Toc72326310"/>
      <w:bookmarkStart w:id="37" w:name="_Toc32072"/>
      <w:r>
        <w:rPr>
          <w:rFonts w:hint="eastAsia" w:ascii="宋体" w:hAnsi="宋体"/>
          <w:kern w:val="2"/>
          <w:sz w:val="21"/>
          <w:szCs w:val="21"/>
        </w:rPr>
        <w:t>十七、合同生效及其他</w:t>
      </w:r>
      <w:bookmarkEnd w:id="36"/>
      <w:bookmarkEnd w:id="37"/>
    </w:p>
    <w:p w14:paraId="34EC6BC6">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合同的生效期：本合同一式四份（甲乙双方各二份），每份均具有同等法律效力，自甲乙双方盖章之日起生效。</w:t>
      </w:r>
    </w:p>
    <w:p w14:paraId="1C6B91EB">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14:paraId="4148380B">
      <w:pPr>
        <w:adjustRightInd w:val="0"/>
        <w:snapToGrid w:val="0"/>
        <w:spacing w:line="360" w:lineRule="auto"/>
        <w:rPr>
          <w:rFonts w:ascii="宋体"/>
          <w:szCs w:val="21"/>
        </w:rPr>
      </w:pPr>
      <w:r>
        <w:rPr>
          <w:rFonts w:hint="eastAsia" w:ascii="宋体" w:hAnsi="宋体"/>
          <w:szCs w:val="21"/>
        </w:rPr>
        <w:t>（1）甲方的询价文件、乙方的响应文件、乙方的</w:t>
      </w:r>
      <w:r>
        <w:rPr>
          <w:rFonts w:ascii="宋体" w:hAnsi="宋体"/>
          <w:szCs w:val="21"/>
        </w:rPr>
        <w:t>报价</w:t>
      </w:r>
      <w:r>
        <w:rPr>
          <w:rFonts w:hint="eastAsia" w:ascii="宋体" w:hAnsi="宋体"/>
          <w:szCs w:val="21"/>
        </w:rPr>
        <w:t>表、询价时乙方做出的书面承诺及其它补充修改的部分；</w:t>
      </w:r>
    </w:p>
    <w:p w14:paraId="5A2375DE">
      <w:pPr>
        <w:adjustRightInd w:val="0"/>
        <w:snapToGrid w:val="0"/>
        <w:spacing w:line="360" w:lineRule="auto"/>
        <w:rPr>
          <w:rFonts w:ascii="宋体"/>
          <w:szCs w:val="21"/>
        </w:rPr>
      </w:pPr>
      <w:r>
        <w:rPr>
          <w:rFonts w:hint="eastAsia" w:ascii="宋体" w:hAnsi="宋体"/>
          <w:szCs w:val="21"/>
        </w:rPr>
        <w:t>（2）在执行本合同期间，甲乙双方的所有采用书面方式的通知。</w:t>
      </w:r>
    </w:p>
    <w:p w14:paraId="28740F88">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14:paraId="5DF817EC">
      <w:pPr>
        <w:adjustRightInd w:val="0"/>
        <w:snapToGrid w:val="0"/>
        <w:spacing w:line="360" w:lineRule="auto"/>
        <w:rPr>
          <w:rFonts w:ascii="宋体"/>
          <w:szCs w:val="21"/>
        </w:rPr>
      </w:pPr>
      <w:r>
        <w:rPr>
          <w:rFonts w:hint="eastAsia" w:ascii="宋体" w:hAnsi="宋体"/>
          <w:szCs w:val="21"/>
        </w:rPr>
        <w:t>（1）合同条款优先于询价文件和响应文件条款；</w:t>
      </w:r>
    </w:p>
    <w:p w14:paraId="2AC71FC7">
      <w:pPr>
        <w:adjustRightInd w:val="0"/>
        <w:snapToGrid w:val="0"/>
        <w:spacing w:line="360" w:lineRule="auto"/>
        <w:rPr>
          <w:rFonts w:ascii="宋体"/>
          <w:szCs w:val="21"/>
        </w:rPr>
      </w:pPr>
      <w:r>
        <w:rPr>
          <w:rFonts w:hint="eastAsia" w:ascii="宋体" w:hAnsi="宋体"/>
          <w:szCs w:val="21"/>
        </w:rPr>
        <w:t>（2）在后文件的效力优先于在先文件的效力。</w:t>
      </w:r>
    </w:p>
    <w:p w14:paraId="4912823D">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14:paraId="5CFED62A">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对本合同的任何修改和增补，以双方另行签订的补充协议为准。</w:t>
      </w:r>
    </w:p>
    <w:p w14:paraId="7767CBA9">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14:paraId="721CC677">
      <w:pPr>
        <w:numPr>
          <w:ilvl w:val="0"/>
          <w:numId w:val="15"/>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14:paraId="4E09852C">
      <w:pPr>
        <w:pStyle w:val="3"/>
        <w:adjustRightInd w:val="0"/>
        <w:snapToGrid w:val="0"/>
        <w:spacing w:before="0" w:after="0" w:line="360" w:lineRule="auto"/>
        <w:ind w:left="4"/>
        <w:jc w:val="left"/>
        <w:rPr>
          <w:rFonts w:ascii="宋体" w:hAnsi="宋体"/>
          <w:kern w:val="2"/>
          <w:sz w:val="21"/>
          <w:szCs w:val="21"/>
        </w:rPr>
      </w:pPr>
      <w:bookmarkStart w:id="38" w:name="_Toc72326311"/>
      <w:bookmarkStart w:id="39" w:name="_Toc26001"/>
      <w:r>
        <w:rPr>
          <w:rFonts w:hint="eastAsia" w:ascii="宋体" w:hAnsi="宋体"/>
          <w:kern w:val="2"/>
          <w:sz w:val="21"/>
          <w:szCs w:val="21"/>
        </w:rPr>
        <w:t>十八、附件列表</w:t>
      </w:r>
      <w:bookmarkEnd w:id="38"/>
      <w:bookmarkEnd w:id="39"/>
    </w:p>
    <w:p w14:paraId="64B11C8B">
      <w:pPr>
        <w:adjustRightInd w:val="0"/>
        <w:snapToGrid w:val="0"/>
        <w:spacing w:line="360" w:lineRule="auto"/>
        <w:rPr>
          <w:rFonts w:ascii="宋体"/>
          <w:szCs w:val="21"/>
        </w:rPr>
      </w:pPr>
      <w:r>
        <w:rPr>
          <w:rFonts w:hint="eastAsia" w:ascii="宋体" w:hAnsi="宋体"/>
          <w:szCs w:val="21"/>
        </w:rPr>
        <w:t>附件一：价格表</w:t>
      </w:r>
    </w:p>
    <w:p w14:paraId="0C99EBEE">
      <w:pPr>
        <w:adjustRightInd w:val="0"/>
        <w:snapToGrid w:val="0"/>
        <w:spacing w:line="360" w:lineRule="auto"/>
        <w:ind w:left="210" w:hanging="210" w:hangingChars="100"/>
        <w:jc w:val="left"/>
        <w:rPr>
          <w:szCs w:val="21"/>
        </w:rPr>
      </w:pPr>
    </w:p>
    <w:p w14:paraId="454F9C2B">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：_______________________</w:t>
      </w:r>
    </w:p>
    <w:p w14:paraId="012708E5">
      <w:pPr>
        <w:adjustRightInd w:val="0"/>
        <w:snapToGrid w:val="0"/>
        <w:spacing w:line="360" w:lineRule="auto"/>
        <w:rPr>
          <w:szCs w:val="21"/>
        </w:rPr>
      </w:pPr>
      <w:r>
        <w:rPr>
          <w:szCs w:val="21"/>
        </w:rPr>
        <w:t>（盖章）_________________________          （盖章）_______________________</w:t>
      </w:r>
    </w:p>
    <w:p w14:paraId="16D53C7D">
      <w:pPr>
        <w:adjustRightInd w:val="0"/>
        <w:snapToGrid w:val="0"/>
        <w:spacing w:line="360" w:lineRule="auto"/>
        <w:ind w:firstLine="35" w:firstLineChars="17"/>
        <w:rPr>
          <w:szCs w:val="21"/>
        </w:rPr>
      </w:pPr>
      <w:r>
        <w:rPr>
          <w:szCs w:val="21"/>
        </w:rPr>
        <w:t>法人代表或授权代表：____________             法人代表或授权代表：_________________</w:t>
      </w:r>
    </w:p>
    <w:p w14:paraId="3BCDC589">
      <w:pPr>
        <w:adjustRightInd w:val="0"/>
        <w:snapToGrid w:val="0"/>
        <w:spacing w:line="360" w:lineRule="auto"/>
        <w:ind w:firstLine="105" w:firstLineChars="50"/>
        <w:rPr>
          <w:szCs w:val="21"/>
        </w:rPr>
      </w:pPr>
      <w:r>
        <w:rPr>
          <w:szCs w:val="21"/>
        </w:rPr>
        <w:t>地址：___________________                   地址：____________________</w:t>
      </w:r>
    </w:p>
    <w:p w14:paraId="03808785">
      <w:pPr>
        <w:adjustRightInd w:val="0"/>
        <w:snapToGrid w:val="0"/>
        <w:spacing w:line="360" w:lineRule="auto"/>
        <w:ind w:firstLine="105" w:firstLineChars="50"/>
        <w:rPr>
          <w:szCs w:val="21"/>
        </w:rPr>
      </w:pPr>
      <w:r>
        <w:rPr>
          <w:szCs w:val="21"/>
        </w:rPr>
        <w:t>电话：___________________                   电话：___________________</w:t>
      </w:r>
    </w:p>
    <w:p w14:paraId="5363B066">
      <w:pPr>
        <w:adjustRightInd w:val="0"/>
        <w:snapToGrid w:val="0"/>
        <w:spacing w:line="360" w:lineRule="auto"/>
        <w:ind w:firstLine="105" w:firstLineChars="50"/>
        <w:rPr>
          <w:szCs w:val="21"/>
          <w:u w:val="single"/>
        </w:rPr>
      </w:pPr>
      <w:r>
        <w:rPr>
          <w:szCs w:val="21"/>
        </w:rPr>
        <w:t>开户银行：___________________    开户银行：___________________</w:t>
      </w:r>
    </w:p>
    <w:p w14:paraId="33BE8197">
      <w:pPr>
        <w:adjustRightInd w:val="0"/>
        <w:snapToGrid w:val="0"/>
        <w:spacing w:line="360" w:lineRule="auto"/>
        <w:ind w:firstLine="105" w:firstLineChars="50"/>
        <w:rPr>
          <w:szCs w:val="21"/>
        </w:rPr>
      </w:pPr>
      <w:r>
        <w:rPr>
          <w:szCs w:val="21"/>
        </w:rPr>
        <w:t>银行账号：___________________ 银行账号：___________________</w:t>
      </w:r>
    </w:p>
    <w:p w14:paraId="2F1A582D">
      <w:pPr>
        <w:spacing w:line="360" w:lineRule="auto"/>
        <w:ind w:firstLine="5040" w:firstLineChars="2400"/>
        <w:rPr>
          <w:szCs w:val="21"/>
        </w:rPr>
      </w:pPr>
    </w:p>
    <w:p w14:paraId="5D425497">
      <w:pPr>
        <w:spacing w:line="360" w:lineRule="auto"/>
        <w:ind w:firstLine="5040" w:firstLineChars="2400"/>
        <w:rPr>
          <w:szCs w:val="21"/>
        </w:rPr>
      </w:pPr>
      <w:r>
        <w:rPr>
          <w:rFonts w:hint="eastAsia"/>
          <w:szCs w:val="21"/>
        </w:rPr>
        <w:t>签订日期：年月日</w:t>
      </w:r>
      <w:bookmarkEnd w:id="21"/>
    </w:p>
    <w:p w14:paraId="70AAFDE9">
      <w:pPr>
        <w:autoSpaceDE w:val="0"/>
        <w:autoSpaceDN w:val="0"/>
        <w:adjustRightInd w:val="0"/>
        <w:spacing w:line="360" w:lineRule="auto"/>
        <w:ind w:firstLine="420"/>
        <w:jc w:val="center"/>
        <w:rPr>
          <w:rFonts w:ascii="宋体" w:hAnsi="宋体"/>
          <w:b/>
          <w:bCs/>
          <w:sz w:val="28"/>
          <w:szCs w:val="28"/>
        </w:rPr>
        <w:sectPr>
          <w:headerReference r:id="rId3" w:type="default"/>
          <w:footerReference r:id="rId4" w:type="default"/>
          <w:pgSz w:w="12240" w:h="15840"/>
          <w:pgMar w:top="1418" w:right="1418" w:bottom="1418" w:left="1418" w:header="720" w:footer="720" w:gutter="0"/>
          <w:pgNumType w:fmt="numberInDash"/>
          <w:cols w:space="720" w:num="1"/>
          <w:docGrid w:linePitch="286" w:charSpace="0"/>
        </w:sectPr>
      </w:pPr>
    </w:p>
    <w:p w14:paraId="268178A3">
      <w:pPr>
        <w:pStyle w:val="3"/>
        <w:spacing w:line="360" w:lineRule="auto"/>
        <w:jc w:val="center"/>
        <w:rPr>
          <w:rFonts w:eastAsia="黑体"/>
          <w:sz w:val="52"/>
          <w:szCs w:val="52"/>
        </w:rPr>
      </w:pPr>
      <w:r>
        <w:rPr>
          <w:rFonts w:hint="eastAsia" w:eastAsia="黑体"/>
          <w:sz w:val="52"/>
          <w:szCs w:val="52"/>
        </w:rPr>
        <w:t>第五章技术需求书</w:t>
      </w:r>
    </w:p>
    <w:p w14:paraId="4CD511E5">
      <w:pPr>
        <w:pStyle w:val="280"/>
        <w:numPr>
          <w:ilvl w:val="0"/>
          <w:numId w:val="16"/>
        </w:numPr>
        <w:spacing w:line="360" w:lineRule="auto"/>
        <w:ind w:left="0" w:firstLine="426" w:firstLineChars="0"/>
        <w:rPr>
          <w:rFonts w:asciiTheme="minorEastAsia" w:hAnsiTheme="minorEastAsia" w:eastAsiaTheme="minorEastAsia"/>
          <w:sz w:val="24"/>
          <w:szCs w:val="24"/>
        </w:rPr>
      </w:pPr>
      <w:r>
        <w:rPr>
          <w:rFonts w:asciiTheme="minorEastAsia" w:hAnsiTheme="minorEastAsia" w:eastAsiaTheme="minorEastAsia"/>
          <w:sz w:val="24"/>
          <w:szCs w:val="24"/>
        </w:rPr>
        <w:t>供应商须对照本《技术需求书》，依据第三方检测报告、供应商本身产品说明书及样本，逐条说明所提供货物和服务已对</w:t>
      </w:r>
      <w:r>
        <w:rPr>
          <w:rFonts w:hint="eastAsia" w:asciiTheme="minorEastAsia" w:hAnsiTheme="minorEastAsia" w:eastAsiaTheme="minorEastAsia"/>
          <w:sz w:val="24"/>
          <w:szCs w:val="24"/>
          <w:lang w:val="en-US"/>
        </w:rPr>
        <w:t>询价</w:t>
      </w:r>
      <w:r>
        <w:rPr>
          <w:rFonts w:asciiTheme="minorEastAsia" w:hAnsiTheme="minorEastAsia" w:eastAsiaTheme="minorEastAsia"/>
          <w:sz w:val="24"/>
          <w:szCs w:val="24"/>
        </w:rPr>
        <w:t>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w:t>
      </w:r>
      <w:r>
        <w:rPr>
          <w:rFonts w:hint="eastAsia" w:asciiTheme="minorEastAsia" w:hAnsiTheme="minorEastAsia" w:eastAsiaTheme="minorEastAsia"/>
          <w:sz w:val="24"/>
          <w:szCs w:val="24"/>
          <w:lang w:val="en-US"/>
        </w:rPr>
        <w:t>询价</w:t>
      </w:r>
      <w:r>
        <w:rPr>
          <w:rFonts w:asciiTheme="minorEastAsia" w:hAnsiTheme="minorEastAsia" w:eastAsiaTheme="minorEastAsia"/>
          <w:sz w:val="24"/>
          <w:szCs w:val="24"/>
        </w:rPr>
        <w:t>文件技术要求或简单标注“符合”“满足”的响应文件将可能取消评审。供应商在合同签订中的任何偏差都不得超越技术偏离表中已被供应商确认的条款。</w:t>
      </w:r>
    </w:p>
    <w:p w14:paraId="4161D3B5">
      <w:pPr>
        <w:pStyle w:val="280"/>
        <w:numPr>
          <w:ilvl w:val="0"/>
          <w:numId w:val="16"/>
        </w:numPr>
        <w:spacing w:line="360" w:lineRule="auto"/>
        <w:ind w:left="0" w:firstLine="426"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rPr>
        <w:t>询价</w:t>
      </w:r>
      <w:r>
        <w:rPr>
          <w:rFonts w:hint="eastAsia" w:asciiTheme="minorEastAsia" w:hAnsiTheme="minorEastAsia" w:eastAsiaTheme="minorEastAsia"/>
          <w:sz w:val="24"/>
          <w:szCs w:val="24"/>
        </w:rPr>
        <w:t>文件技术要求中所</w:t>
      </w:r>
      <w:r>
        <w:rPr>
          <w:rFonts w:asciiTheme="minorEastAsia" w:hAnsiTheme="minorEastAsia" w:eastAsiaTheme="minorEastAsia"/>
          <w:sz w:val="24"/>
          <w:szCs w:val="24"/>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14:paraId="770834C0">
      <w:pPr>
        <w:pStyle w:val="280"/>
        <w:numPr>
          <w:ilvl w:val="0"/>
          <w:numId w:val="16"/>
        </w:numPr>
        <w:spacing w:line="360" w:lineRule="auto"/>
        <w:ind w:left="0" w:firstLine="426"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技术需求书中</w:t>
      </w:r>
      <w:r>
        <w:rPr>
          <w:rFonts w:hint="eastAsia" w:asciiTheme="minorEastAsia" w:hAnsiTheme="minorEastAsia" w:eastAsiaTheme="minorEastAsia"/>
          <w:sz w:val="24"/>
          <w:szCs w:val="24"/>
          <w:lang w:val="en-US"/>
        </w:rPr>
        <w:t>所有条款均</w:t>
      </w:r>
      <w:r>
        <w:rPr>
          <w:rFonts w:asciiTheme="minorEastAsia" w:hAnsiTheme="minorEastAsia" w:eastAsiaTheme="minorEastAsia"/>
          <w:sz w:val="24"/>
          <w:szCs w:val="24"/>
        </w:rPr>
        <w:t>为必须保证满足要求的条款。</w:t>
      </w:r>
    </w:p>
    <w:p w14:paraId="1965CEA9">
      <w:pPr>
        <w:pStyle w:val="280"/>
        <w:numPr>
          <w:ilvl w:val="0"/>
          <w:numId w:val="16"/>
        </w:numPr>
        <w:spacing w:line="360" w:lineRule="auto"/>
        <w:ind w:left="0" w:firstLine="426" w:firstLineChars="0"/>
        <w:rPr>
          <w:rFonts w:asciiTheme="minorEastAsia" w:hAnsiTheme="minorEastAsia" w:eastAsiaTheme="minorEastAsia"/>
          <w:sz w:val="24"/>
          <w:szCs w:val="24"/>
        </w:rPr>
      </w:pPr>
      <w:r>
        <w:rPr>
          <w:rFonts w:asciiTheme="minorEastAsia" w:hAnsiTheme="minorEastAsia" w:eastAsiaTheme="minorEastAsia"/>
          <w:sz w:val="24"/>
          <w:szCs w:val="24"/>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5C00B92F">
      <w:pPr>
        <w:pStyle w:val="280"/>
        <w:spacing w:line="360" w:lineRule="auto"/>
        <w:ind w:left="426" w:firstLine="0" w:firstLineChars="0"/>
        <w:rPr>
          <w:rFonts w:ascii="宋体" w:hAnsi="宋体"/>
          <w:szCs w:val="21"/>
        </w:rPr>
      </w:pPr>
    </w:p>
    <w:p w14:paraId="252875FE">
      <w:pPr>
        <w:pStyle w:val="280"/>
        <w:spacing w:line="360" w:lineRule="auto"/>
        <w:ind w:left="426" w:firstLine="0" w:firstLineChars="0"/>
        <w:rPr>
          <w:rFonts w:ascii="宋体" w:hAnsi="宋体"/>
          <w:szCs w:val="21"/>
        </w:rPr>
      </w:pPr>
    </w:p>
    <w:p w14:paraId="18972F5A">
      <w:pPr>
        <w:pStyle w:val="280"/>
        <w:spacing w:line="360" w:lineRule="auto"/>
        <w:ind w:left="426" w:firstLine="0" w:firstLineChars="0"/>
        <w:rPr>
          <w:rFonts w:ascii="宋体" w:hAnsi="宋体"/>
          <w:szCs w:val="21"/>
        </w:rPr>
      </w:pPr>
    </w:p>
    <w:p w14:paraId="15905ED1">
      <w:pPr>
        <w:pStyle w:val="280"/>
        <w:spacing w:line="360" w:lineRule="auto"/>
        <w:ind w:left="426" w:firstLine="0" w:firstLineChars="0"/>
        <w:rPr>
          <w:rFonts w:ascii="宋体" w:hAnsi="宋体"/>
          <w:szCs w:val="21"/>
        </w:rPr>
      </w:pPr>
    </w:p>
    <w:p w14:paraId="53700F53">
      <w:pPr>
        <w:pStyle w:val="280"/>
        <w:spacing w:line="360" w:lineRule="auto"/>
        <w:ind w:left="426" w:firstLine="0" w:firstLineChars="0"/>
        <w:rPr>
          <w:rFonts w:ascii="宋体" w:hAnsi="宋体"/>
          <w:szCs w:val="21"/>
        </w:rPr>
      </w:pPr>
    </w:p>
    <w:p w14:paraId="6F9493B5">
      <w:pPr>
        <w:pStyle w:val="280"/>
        <w:spacing w:line="360" w:lineRule="auto"/>
        <w:ind w:left="426" w:firstLine="0" w:firstLineChars="0"/>
        <w:rPr>
          <w:rFonts w:ascii="宋体" w:hAnsi="宋体"/>
          <w:szCs w:val="21"/>
        </w:rPr>
      </w:pPr>
    </w:p>
    <w:p w14:paraId="0CE8E42A">
      <w:pPr>
        <w:pStyle w:val="280"/>
        <w:spacing w:line="360" w:lineRule="auto"/>
        <w:ind w:left="426" w:firstLine="0" w:firstLineChars="0"/>
        <w:rPr>
          <w:rFonts w:ascii="宋体" w:hAnsi="宋体"/>
          <w:szCs w:val="21"/>
        </w:rPr>
      </w:pPr>
    </w:p>
    <w:p w14:paraId="649A221D">
      <w:pPr>
        <w:pStyle w:val="280"/>
        <w:spacing w:line="360" w:lineRule="auto"/>
        <w:ind w:left="426" w:firstLine="0" w:firstLineChars="0"/>
        <w:rPr>
          <w:rFonts w:ascii="宋体" w:hAnsi="宋体"/>
          <w:szCs w:val="21"/>
        </w:rPr>
      </w:pPr>
    </w:p>
    <w:p w14:paraId="34815371">
      <w:pPr>
        <w:pStyle w:val="280"/>
        <w:spacing w:line="360" w:lineRule="auto"/>
        <w:ind w:left="426" w:firstLine="0" w:firstLineChars="0"/>
        <w:rPr>
          <w:rFonts w:ascii="宋体" w:hAnsi="宋体"/>
          <w:szCs w:val="21"/>
        </w:rPr>
      </w:pPr>
    </w:p>
    <w:p w14:paraId="73405FC8">
      <w:pPr>
        <w:pStyle w:val="280"/>
        <w:spacing w:line="360" w:lineRule="auto"/>
        <w:ind w:left="426" w:firstLine="0" w:firstLineChars="0"/>
        <w:rPr>
          <w:rFonts w:ascii="宋体" w:hAnsi="宋体"/>
          <w:szCs w:val="21"/>
        </w:rPr>
      </w:pPr>
    </w:p>
    <w:p w14:paraId="094B7D94">
      <w:pPr>
        <w:pStyle w:val="280"/>
        <w:spacing w:line="360" w:lineRule="auto"/>
        <w:ind w:left="426" w:firstLine="0" w:firstLineChars="0"/>
        <w:rPr>
          <w:rFonts w:ascii="宋体" w:hAnsi="宋体"/>
          <w:szCs w:val="21"/>
        </w:rPr>
      </w:pPr>
    </w:p>
    <w:p w14:paraId="6DAE7616">
      <w:pPr>
        <w:pStyle w:val="280"/>
        <w:spacing w:line="360" w:lineRule="auto"/>
        <w:ind w:left="426" w:firstLine="0" w:firstLineChars="0"/>
        <w:rPr>
          <w:rFonts w:ascii="宋体" w:hAnsi="宋体"/>
          <w:szCs w:val="21"/>
        </w:rPr>
      </w:pPr>
    </w:p>
    <w:p w14:paraId="51B6FC0A">
      <w:pPr>
        <w:pStyle w:val="280"/>
        <w:spacing w:line="360" w:lineRule="auto"/>
        <w:ind w:left="426" w:firstLine="0" w:firstLineChars="0"/>
        <w:rPr>
          <w:rFonts w:ascii="宋体" w:hAnsi="宋体"/>
          <w:szCs w:val="21"/>
        </w:rPr>
      </w:pPr>
    </w:p>
    <w:p w14:paraId="3A2A3CDA">
      <w:pPr>
        <w:pStyle w:val="280"/>
        <w:spacing w:line="360" w:lineRule="auto"/>
        <w:ind w:left="426" w:firstLine="0" w:firstLineChars="0"/>
        <w:rPr>
          <w:rFonts w:ascii="宋体" w:hAnsi="宋体"/>
          <w:szCs w:val="21"/>
        </w:rPr>
      </w:pPr>
    </w:p>
    <w:p w14:paraId="12059065">
      <w:pPr>
        <w:spacing w:line="360" w:lineRule="auto"/>
        <w:outlineLvl w:val="1"/>
        <w:rPr>
          <w:b/>
          <w:sz w:val="24"/>
        </w:rPr>
      </w:pPr>
      <w:r>
        <w:rPr>
          <w:rFonts w:hint="eastAsia"/>
          <w:b/>
          <w:sz w:val="24"/>
        </w:rPr>
        <w:t>一、综述</w:t>
      </w:r>
    </w:p>
    <w:p w14:paraId="620387E5">
      <w:pPr>
        <w:spacing w:line="360" w:lineRule="auto"/>
        <w:outlineLvl w:val="2"/>
        <w:rPr>
          <w:sz w:val="24"/>
          <w:szCs w:val="32"/>
        </w:rPr>
      </w:pPr>
      <w:r>
        <w:rPr>
          <w:sz w:val="24"/>
          <w:szCs w:val="32"/>
        </w:rPr>
        <w:t xml:space="preserve">1.1 </w:t>
      </w:r>
      <w:r>
        <w:rPr>
          <w:rFonts w:hint="eastAsia"/>
          <w:sz w:val="24"/>
          <w:szCs w:val="32"/>
        </w:rPr>
        <w:t>说明</w:t>
      </w:r>
    </w:p>
    <w:p w14:paraId="3DC664F4">
      <w:pPr>
        <w:spacing w:line="360" w:lineRule="auto"/>
        <w:rPr>
          <w:color w:val="262626"/>
          <w:sz w:val="24"/>
          <w:szCs w:val="32"/>
        </w:rPr>
      </w:pPr>
      <w:r>
        <w:rPr>
          <w:color w:val="262626"/>
          <w:sz w:val="24"/>
          <w:szCs w:val="32"/>
        </w:rPr>
        <w:t>1.1.1</w:t>
      </w:r>
      <w:r>
        <w:rPr>
          <w:color w:val="262626"/>
          <w:sz w:val="24"/>
          <w:szCs w:val="32"/>
        </w:rPr>
        <w:tab/>
      </w:r>
      <w:r>
        <w:rPr>
          <w:rFonts w:hint="eastAsia"/>
          <w:color w:val="262626"/>
          <w:sz w:val="24"/>
          <w:szCs w:val="32"/>
        </w:rPr>
        <w:t>本技术需求书为</w:t>
      </w:r>
      <w:r>
        <w:rPr>
          <w:rFonts w:hint="eastAsia"/>
          <w:color w:val="262626"/>
          <w:sz w:val="24"/>
          <w:szCs w:val="32"/>
          <w:u w:val="single"/>
        </w:rPr>
        <w:t>云态势感知探针扩容采购项目</w:t>
      </w:r>
      <w:r>
        <w:rPr>
          <w:rFonts w:hint="eastAsia"/>
          <w:color w:val="262626"/>
          <w:sz w:val="24"/>
          <w:szCs w:val="32"/>
        </w:rPr>
        <w:t>中硬件设备的主要技术要求和供货要求，投标文件的技术部分内容格式应符合本技术需求书的要求，供应商提供的各项设备及系统的功能和性能应完全符合本技术需求书中指明的标准，并满足或高于技术需求书中提出的技术指标要求。</w:t>
      </w:r>
    </w:p>
    <w:p w14:paraId="4FF62B73">
      <w:pPr>
        <w:spacing w:line="360" w:lineRule="auto"/>
        <w:rPr>
          <w:color w:val="262626"/>
          <w:sz w:val="24"/>
          <w:szCs w:val="32"/>
        </w:rPr>
      </w:pPr>
      <w:r>
        <w:rPr>
          <w:color w:val="262626"/>
          <w:sz w:val="24"/>
          <w:szCs w:val="32"/>
        </w:rPr>
        <w:t>1.1.2</w:t>
      </w:r>
      <w:r>
        <w:rPr>
          <w:color w:val="262626"/>
          <w:sz w:val="24"/>
          <w:szCs w:val="32"/>
        </w:rPr>
        <w:tab/>
      </w:r>
      <w:r>
        <w:rPr>
          <w:rFonts w:hint="eastAsia"/>
          <w:color w:val="262626"/>
          <w:sz w:val="24"/>
          <w:szCs w:val="32"/>
        </w:rPr>
        <w:t>投标人应根据本技术需求书的要求，基于自己的产品和技术提供具体、完整的配置方案。投标人在投标文件中给出的设备硬件和软件配置，必须保证投标文件中各项性能和功能承诺指标的实现。设备在各种承诺业务功能同时启用时，不应影响设备性能和稳定性。</w:t>
      </w:r>
    </w:p>
    <w:p w14:paraId="2F288A78">
      <w:pPr>
        <w:spacing w:line="360" w:lineRule="auto"/>
        <w:rPr>
          <w:color w:val="262626"/>
          <w:sz w:val="24"/>
          <w:szCs w:val="32"/>
        </w:rPr>
      </w:pPr>
      <w:r>
        <w:rPr>
          <w:color w:val="262626"/>
          <w:sz w:val="24"/>
          <w:szCs w:val="32"/>
        </w:rPr>
        <w:t>1.1.3</w:t>
      </w:r>
      <w:r>
        <w:rPr>
          <w:color w:val="262626"/>
          <w:sz w:val="24"/>
          <w:szCs w:val="32"/>
        </w:rPr>
        <w:tab/>
      </w:r>
      <w:r>
        <w:rPr>
          <w:rFonts w:hint="eastAsia"/>
          <w:color w:val="262626"/>
          <w:sz w:val="24"/>
          <w:szCs w:val="32"/>
        </w:rPr>
        <w:t>投标人应提供所投标的各产品型号的推出时间。投标人所投设备应是制造商新推出的产品型号，投标人应保证本次投标的产品在</w:t>
      </w:r>
      <w:r>
        <w:rPr>
          <w:color w:val="262626"/>
          <w:sz w:val="24"/>
          <w:szCs w:val="32"/>
        </w:rPr>
        <w:t>5</w:t>
      </w:r>
      <w:r>
        <w:rPr>
          <w:rFonts w:hint="eastAsia"/>
          <w:color w:val="262626"/>
          <w:sz w:val="24"/>
          <w:szCs w:val="32"/>
        </w:rPr>
        <w:t>年内不会因制造商的技术路线调整、技术升级等原因导致停产及不再销售。</w:t>
      </w:r>
    </w:p>
    <w:p w14:paraId="0268110C">
      <w:pPr>
        <w:spacing w:line="360" w:lineRule="auto"/>
        <w:rPr>
          <w:color w:val="262626"/>
          <w:sz w:val="24"/>
          <w:szCs w:val="32"/>
        </w:rPr>
      </w:pPr>
      <w:r>
        <w:rPr>
          <w:color w:val="262626"/>
          <w:sz w:val="24"/>
          <w:szCs w:val="32"/>
        </w:rPr>
        <w:t>1.1.4</w:t>
      </w:r>
      <w:r>
        <w:rPr>
          <w:color w:val="262626"/>
          <w:sz w:val="24"/>
          <w:szCs w:val="32"/>
        </w:rPr>
        <w:tab/>
      </w:r>
      <w:r>
        <w:rPr>
          <w:rFonts w:hint="eastAsia"/>
          <w:color w:val="262626"/>
          <w:sz w:val="24"/>
          <w:szCs w:val="32"/>
        </w:rPr>
        <w:t>本技术需求书应视为保证网络运行所需的最低要求。如有遗漏，投标人应予以补充，否则一旦中标将认为投标人认同遗漏部分并免费提供。</w:t>
      </w:r>
    </w:p>
    <w:p w14:paraId="4B957C0F">
      <w:pPr>
        <w:spacing w:line="360" w:lineRule="auto"/>
        <w:rPr>
          <w:color w:val="262626"/>
          <w:sz w:val="24"/>
          <w:szCs w:val="32"/>
        </w:rPr>
      </w:pPr>
      <w:r>
        <w:rPr>
          <w:color w:val="262626"/>
          <w:sz w:val="24"/>
          <w:szCs w:val="32"/>
        </w:rPr>
        <w:t>1.1.5</w:t>
      </w:r>
      <w:r>
        <w:rPr>
          <w:color w:val="262626"/>
          <w:sz w:val="24"/>
          <w:szCs w:val="32"/>
        </w:rPr>
        <w:tab/>
      </w:r>
      <w:r>
        <w:rPr>
          <w:rFonts w:hint="eastAsia"/>
          <w:color w:val="262626"/>
          <w:sz w:val="24"/>
          <w:szCs w:val="32"/>
        </w:rPr>
        <w:t>投标人若在投标文件中应答“满足”但实际应用中发现不能满足，则投标人应在六周内免费更换满足技术需求书要求的设备（更换设备时所需的一切相关费用，例如运输费、施工费、集成费等由投标人承担），同时承担期间招标人所有损失，招标人保留退货的权力。因此造成招标人计划用其他厂商设备替换该设备的，投标人必须负责替换设备所需的一切费用（包括但不限于运输费、施工费、集成费等），并且期间招标人所有损失由投标人承担；同时招标人保留限制投标人参加后期集采的权力。</w:t>
      </w:r>
    </w:p>
    <w:p w14:paraId="7C521012">
      <w:pPr>
        <w:spacing w:line="360" w:lineRule="auto"/>
        <w:rPr>
          <w:color w:val="262626"/>
          <w:sz w:val="24"/>
          <w:szCs w:val="32"/>
        </w:rPr>
      </w:pPr>
      <w:r>
        <w:rPr>
          <w:color w:val="262626"/>
          <w:sz w:val="24"/>
          <w:szCs w:val="32"/>
        </w:rPr>
        <w:t>1.1.6</w:t>
      </w:r>
      <w:r>
        <w:rPr>
          <w:color w:val="262626"/>
          <w:sz w:val="24"/>
          <w:szCs w:val="32"/>
        </w:rPr>
        <w:tab/>
      </w:r>
      <w:r>
        <w:rPr>
          <w:rFonts w:hint="eastAsia"/>
          <w:color w:val="262626"/>
          <w:sz w:val="24"/>
          <w:szCs w:val="32"/>
        </w:rPr>
        <w:t>投标人不同软件、设备对技术需求书所要求功能和性能支持若有所不同，须逐一说明，否则招标人认为投标人不同软件、设备均支持所要求的功能和性能，若在实际使用中发现与应答有出入，则投标人必须免费更换所有的不满足要求的设备</w:t>
      </w:r>
      <w:r>
        <w:rPr>
          <w:color w:val="262626"/>
          <w:sz w:val="24"/>
          <w:szCs w:val="32"/>
        </w:rPr>
        <w:t xml:space="preserve"> (</w:t>
      </w:r>
      <w:r>
        <w:rPr>
          <w:rFonts w:hint="eastAsia"/>
          <w:color w:val="262626"/>
          <w:sz w:val="24"/>
          <w:szCs w:val="32"/>
        </w:rPr>
        <w:t>更换设备所需的一切相关费用，例如运输费、施工费、集成费等也由投标人承担</w:t>
      </w:r>
      <w:r>
        <w:rPr>
          <w:color w:val="262626"/>
          <w:sz w:val="24"/>
          <w:szCs w:val="32"/>
        </w:rPr>
        <w:t>)</w:t>
      </w:r>
      <w:r>
        <w:rPr>
          <w:rFonts w:hint="eastAsia"/>
          <w:color w:val="262626"/>
          <w:sz w:val="24"/>
          <w:szCs w:val="32"/>
        </w:rPr>
        <w:t>，并且期间招标人所有损失由投标人承担。同时招标人保留退货的权力，如果招标人计划用其他厂商设备替换该设备，投标人必须负责替换设备所需的一切费用（包括但不限于运输费、施工费、集成费等），并且期间招标人所有损失由投标人承担；同时招标人保留限制投标人参加后期集采的权力。</w:t>
      </w:r>
    </w:p>
    <w:p w14:paraId="0D69D394">
      <w:pPr>
        <w:spacing w:line="360" w:lineRule="auto"/>
        <w:rPr>
          <w:color w:val="262626"/>
          <w:sz w:val="24"/>
          <w:szCs w:val="32"/>
        </w:rPr>
      </w:pPr>
      <w:r>
        <w:rPr>
          <w:color w:val="262626"/>
          <w:sz w:val="24"/>
          <w:szCs w:val="32"/>
        </w:rPr>
        <w:t>1.1.7</w:t>
      </w:r>
      <w:r>
        <w:rPr>
          <w:color w:val="262626"/>
          <w:sz w:val="24"/>
          <w:szCs w:val="32"/>
        </w:rPr>
        <w:tab/>
      </w:r>
      <w:r>
        <w:rPr>
          <w:rFonts w:hint="eastAsia"/>
          <w:color w:val="262626"/>
          <w:sz w:val="24"/>
          <w:szCs w:val="32"/>
        </w:rPr>
        <w:t>招标人在任何时候都保留和拥有对本技术需求书的解释权。</w:t>
      </w:r>
    </w:p>
    <w:p w14:paraId="19C4EBAA">
      <w:pPr>
        <w:spacing w:line="360" w:lineRule="auto"/>
        <w:outlineLvl w:val="2"/>
        <w:rPr>
          <w:sz w:val="24"/>
          <w:szCs w:val="32"/>
        </w:rPr>
      </w:pPr>
      <w:bookmarkStart w:id="40" w:name="_Hlk74066017"/>
      <w:r>
        <w:rPr>
          <w:sz w:val="24"/>
          <w:szCs w:val="32"/>
        </w:rPr>
        <w:t xml:space="preserve">1.2 </w:t>
      </w:r>
      <w:r>
        <w:rPr>
          <w:rFonts w:hint="eastAsia"/>
          <w:sz w:val="24"/>
          <w:szCs w:val="32"/>
        </w:rPr>
        <w:t>技术应答要求</w:t>
      </w:r>
    </w:p>
    <w:p w14:paraId="5CB211EC">
      <w:pPr>
        <w:spacing w:line="360" w:lineRule="auto"/>
        <w:ind w:firstLine="480" w:firstLineChars="200"/>
        <w:rPr>
          <w:sz w:val="24"/>
          <w:szCs w:val="32"/>
        </w:rPr>
      </w:pPr>
      <w:r>
        <w:rPr>
          <w:rFonts w:hint="eastAsia"/>
          <w:sz w:val="24"/>
          <w:szCs w:val="32"/>
        </w:rPr>
        <w:t>投标人应按照本技术需求书的要求提供响应文件的技术部分，并包含但不限于以下内容：</w:t>
      </w:r>
    </w:p>
    <w:p w14:paraId="0FF175C3">
      <w:pPr>
        <w:spacing w:line="360" w:lineRule="auto"/>
        <w:rPr>
          <w:sz w:val="24"/>
          <w:szCs w:val="32"/>
        </w:rPr>
      </w:pPr>
      <w:r>
        <w:rPr>
          <w:sz w:val="24"/>
          <w:szCs w:val="32"/>
        </w:rPr>
        <w:t xml:space="preserve">1.2.1 </w:t>
      </w:r>
      <w:r>
        <w:rPr>
          <w:rFonts w:hint="eastAsia"/>
          <w:sz w:val="24"/>
          <w:szCs w:val="32"/>
        </w:rPr>
        <w:t>综述</w:t>
      </w:r>
    </w:p>
    <w:p w14:paraId="139E9198">
      <w:pPr>
        <w:spacing w:line="360" w:lineRule="auto"/>
        <w:ind w:firstLine="480" w:firstLineChars="200"/>
        <w:rPr>
          <w:sz w:val="24"/>
          <w:szCs w:val="32"/>
        </w:rPr>
      </w:pPr>
      <w:r>
        <w:rPr>
          <w:rFonts w:hint="eastAsia"/>
          <w:sz w:val="24"/>
          <w:szCs w:val="32"/>
        </w:rPr>
        <w:t>包括总体技术方案、产品设计原则、供应商的技术优势、第三方测评等内容。投标人应对其主流商用产品及产品线进行详细介绍和技术说明，说明的设备范围应涵盖所有的响应设备及其所在产品线，并能够完全反映响应设备制造商的主流商用产品概况。</w:t>
      </w:r>
    </w:p>
    <w:p w14:paraId="6B731DA4">
      <w:pPr>
        <w:spacing w:line="360" w:lineRule="auto"/>
        <w:rPr>
          <w:sz w:val="24"/>
          <w:szCs w:val="32"/>
        </w:rPr>
      </w:pPr>
      <w:r>
        <w:rPr>
          <w:sz w:val="24"/>
          <w:szCs w:val="32"/>
        </w:rPr>
        <w:t xml:space="preserve">1.2.2 </w:t>
      </w:r>
      <w:r>
        <w:rPr>
          <w:rFonts w:hint="eastAsia"/>
          <w:sz w:val="24"/>
          <w:szCs w:val="32"/>
        </w:rPr>
        <w:t>投标人所提供的设备</w:t>
      </w:r>
      <w:r>
        <w:rPr>
          <w:sz w:val="24"/>
          <w:szCs w:val="32"/>
        </w:rPr>
        <w:t>(</w:t>
      </w:r>
      <w:r>
        <w:rPr>
          <w:rFonts w:hint="eastAsia"/>
          <w:sz w:val="24"/>
          <w:szCs w:val="32"/>
        </w:rPr>
        <w:t>包括软、硬件</w:t>
      </w:r>
      <w:r>
        <w:rPr>
          <w:sz w:val="24"/>
          <w:szCs w:val="32"/>
        </w:rPr>
        <w:t>)</w:t>
      </w:r>
      <w:r>
        <w:rPr>
          <w:rFonts w:hint="eastAsia"/>
          <w:sz w:val="24"/>
          <w:szCs w:val="32"/>
        </w:rPr>
        <w:t>和系统建设方案应符合如下技术标准：</w:t>
      </w:r>
    </w:p>
    <w:p w14:paraId="31A9A11A">
      <w:pPr>
        <w:spacing w:line="360" w:lineRule="auto"/>
        <w:rPr>
          <w:sz w:val="24"/>
          <w:szCs w:val="32"/>
        </w:rPr>
      </w:pPr>
      <w:r>
        <w:rPr>
          <w:sz w:val="24"/>
          <w:szCs w:val="32"/>
        </w:rPr>
        <w:t>1.2.2.1</w:t>
      </w:r>
      <w:r>
        <w:rPr>
          <w:rFonts w:hint="eastAsia"/>
          <w:sz w:val="24"/>
          <w:szCs w:val="32"/>
        </w:rPr>
        <w:t>符合有关国际标准</w:t>
      </w:r>
      <w:r>
        <w:rPr>
          <w:sz w:val="24"/>
          <w:szCs w:val="32"/>
        </w:rPr>
        <w:t>(</w:t>
      </w:r>
      <w:r>
        <w:rPr>
          <w:rFonts w:hint="eastAsia"/>
          <w:sz w:val="24"/>
          <w:szCs w:val="32"/>
        </w:rPr>
        <w:t>如</w:t>
      </w:r>
      <w:r>
        <w:rPr>
          <w:sz w:val="24"/>
          <w:szCs w:val="32"/>
        </w:rPr>
        <w:t>ISO</w:t>
      </w:r>
      <w:r>
        <w:rPr>
          <w:rFonts w:hint="eastAsia"/>
          <w:sz w:val="24"/>
          <w:szCs w:val="32"/>
        </w:rPr>
        <w:t>、</w:t>
      </w:r>
      <w:r>
        <w:rPr>
          <w:sz w:val="24"/>
          <w:szCs w:val="32"/>
        </w:rPr>
        <w:t>ITU-T</w:t>
      </w:r>
      <w:r>
        <w:rPr>
          <w:rFonts w:hint="eastAsia"/>
          <w:sz w:val="24"/>
          <w:szCs w:val="32"/>
        </w:rPr>
        <w:t>、</w:t>
      </w:r>
      <w:r>
        <w:rPr>
          <w:sz w:val="24"/>
          <w:szCs w:val="32"/>
        </w:rPr>
        <w:t>ETSI</w:t>
      </w:r>
      <w:r>
        <w:rPr>
          <w:rFonts w:hint="eastAsia"/>
          <w:sz w:val="24"/>
          <w:szCs w:val="32"/>
        </w:rPr>
        <w:t>、</w:t>
      </w:r>
      <w:r>
        <w:rPr>
          <w:sz w:val="24"/>
          <w:szCs w:val="32"/>
        </w:rPr>
        <w:t>IMTC</w:t>
      </w:r>
      <w:r>
        <w:rPr>
          <w:rFonts w:hint="eastAsia"/>
          <w:sz w:val="24"/>
          <w:szCs w:val="32"/>
        </w:rPr>
        <w:t>、</w:t>
      </w:r>
      <w:r>
        <w:rPr>
          <w:sz w:val="24"/>
          <w:szCs w:val="32"/>
        </w:rPr>
        <w:t>IETF</w:t>
      </w:r>
      <w:r>
        <w:rPr>
          <w:rFonts w:hint="eastAsia"/>
          <w:sz w:val="24"/>
          <w:szCs w:val="32"/>
        </w:rPr>
        <w:t>、</w:t>
      </w:r>
      <w:r>
        <w:rPr>
          <w:sz w:val="24"/>
          <w:szCs w:val="32"/>
        </w:rPr>
        <w:t xml:space="preserve">IEEE </w:t>
      </w:r>
      <w:r>
        <w:rPr>
          <w:rFonts w:hint="eastAsia"/>
          <w:sz w:val="24"/>
          <w:szCs w:val="32"/>
        </w:rPr>
        <w:t>等国际组织发布的标准、规范和建议等</w:t>
      </w:r>
      <w:r>
        <w:rPr>
          <w:sz w:val="24"/>
          <w:szCs w:val="32"/>
        </w:rPr>
        <w:t>)</w:t>
      </w:r>
      <w:r>
        <w:rPr>
          <w:rFonts w:hint="eastAsia"/>
          <w:sz w:val="24"/>
          <w:szCs w:val="32"/>
        </w:rPr>
        <w:t>，投标人应在响应文件中具体说明，并附上相应的详细技术资料。</w:t>
      </w:r>
    </w:p>
    <w:p w14:paraId="7A266DC5">
      <w:pPr>
        <w:spacing w:line="360" w:lineRule="auto"/>
        <w:rPr>
          <w:sz w:val="24"/>
          <w:szCs w:val="32"/>
        </w:rPr>
      </w:pPr>
      <w:r>
        <w:rPr>
          <w:sz w:val="24"/>
          <w:szCs w:val="32"/>
        </w:rPr>
        <w:t>1.2.2.2</w:t>
      </w:r>
      <w:r>
        <w:rPr>
          <w:rFonts w:hint="eastAsia"/>
          <w:sz w:val="24"/>
          <w:szCs w:val="32"/>
        </w:rPr>
        <w:t>若投标人的设备和系统中包含自己的专用标准，应在响应文件中具体说明，并附上相应的详细技术资料。</w:t>
      </w:r>
    </w:p>
    <w:p w14:paraId="090695C9">
      <w:pPr>
        <w:spacing w:line="360" w:lineRule="auto"/>
        <w:rPr>
          <w:sz w:val="24"/>
          <w:szCs w:val="32"/>
        </w:rPr>
      </w:pPr>
      <w:r>
        <w:rPr>
          <w:sz w:val="24"/>
          <w:szCs w:val="32"/>
        </w:rPr>
        <w:t>1.2.2.3</w:t>
      </w:r>
      <w:r>
        <w:rPr>
          <w:rFonts w:hint="eastAsia"/>
          <w:sz w:val="24"/>
          <w:szCs w:val="32"/>
        </w:rPr>
        <w:t>本文件中未列出但</w:t>
      </w:r>
      <w:r>
        <w:rPr>
          <w:sz w:val="24"/>
          <w:szCs w:val="32"/>
        </w:rPr>
        <w:t xml:space="preserve">ITU-T </w:t>
      </w:r>
      <w:r>
        <w:rPr>
          <w:rFonts w:hint="eastAsia"/>
          <w:sz w:val="24"/>
          <w:szCs w:val="32"/>
        </w:rPr>
        <w:t>已有建议的，投标人的系统设备性能和功能均应满足</w:t>
      </w:r>
      <w:r>
        <w:rPr>
          <w:sz w:val="24"/>
          <w:szCs w:val="32"/>
        </w:rPr>
        <w:t xml:space="preserve">ITU-T </w:t>
      </w:r>
      <w:r>
        <w:rPr>
          <w:rFonts w:hint="eastAsia"/>
          <w:sz w:val="24"/>
          <w:szCs w:val="32"/>
        </w:rPr>
        <w:t>最新建议要求。</w:t>
      </w:r>
    </w:p>
    <w:p w14:paraId="578724BC">
      <w:pPr>
        <w:spacing w:line="360" w:lineRule="auto"/>
        <w:rPr>
          <w:sz w:val="24"/>
          <w:szCs w:val="32"/>
        </w:rPr>
      </w:pPr>
      <w:r>
        <w:rPr>
          <w:sz w:val="24"/>
          <w:szCs w:val="32"/>
        </w:rPr>
        <w:t xml:space="preserve">1.2.3 </w:t>
      </w:r>
      <w:r>
        <w:rPr>
          <w:rFonts w:hint="eastAsia"/>
          <w:sz w:val="24"/>
          <w:szCs w:val="32"/>
        </w:rPr>
        <w:t>所有投标设备的技术文档，投标人应针对各种设备逐一说明以下内容：</w:t>
      </w:r>
    </w:p>
    <w:p w14:paraId="31CD109B">
      <w:pPr>
        <w:spacing w:line="360" w:lineRule="auto"/>
        <w:rPr>
          <w:sz w:val="24"/>
          <w:szCs w:val="32"/>
        </w:rPr>
      </w:pPr>
      <w:r>
        <w:rPr>
          <w:sz w:val="24"/>
          <w:szCs w:val="32"/>
        </w:rPr>
        <w:t>1.2.3</w:t>
      </w:r>
      <w:r>
        <w:rPr>
          <w:rFonts w:hint="eastAsia"/>
          <w:sz w:val="24"/>
          <w:szCs w:val="32"/>
        </w:rPr>
        <w:t>.1设备功能、性能说明；</w:t>
      </w:r>
    </w:p>
    <w:p w14:paraId="4B9951FC">
      <w:pPr>
        <w:spacing w:line="360" w:lineRule="auto"/>
        <w:rPr>
          <w:sz w:val="24"/>
          <w:szCs w:val="32"/>
        </w:rPr>
      </w:pPr>
      <w:r>
        <w:rPr>
          <w:sz w:val="24"/>
          <w:szCs w:val="32"/>
        </w:rPr>
        <w:t>1.2.3</w:t>
      </w:r>
      <w:r>
        <w:rPr>
          <w:rFonts w:hint="eastAsia"/>
          <w:sz w:val="24"/>
          <w:szCs w:val="32"/>
        </w:rPr>
        <w:t>.</w:t>
      </w:r>
      <w:r>
        <w:rPr>
          <w:sz w:val="24"/>
          <w:szCs w:val="32"/>
        </w:rPr>
        <w:t>2</w:t>
      </w:r>
      <w:r>
        <w:rPr>
          <w:rFonts w:hint="eastAsia"/>
          <w:sz w:val="24"/>
          <w:szCs w:val="32"/>
        </w:rPr>
        <w:t>设备体系结构；</w:t>
      </w:r>
    </w:p>
    <w:p w14:paraId="0BDC7160">
      <w:pPr>
        <w:spacing w:line="360" w:lineRule="auto"/>
        <w:rPr>
          <w:sz w:val="24"/>
          <w:szCs w:val="32"/>
        </w:rPr>
      </w:pPr>
      <w:r>
        <w:rPr>
          <w:sz w:val="24"/>
          <w:szCs w:val="32"/>
        </w:rPr>
        <w:t>1.2.3</w:t>
      </w:r>
      <w:r>
        <w:rPr>
          <w:rFonts w:hint="eastAsia"/>
          <w:sz w:val="24"/>
          <w:szCs w:val="32"/>
        </w:rPr>
        <w:t>.</w:t>
      </w:r>
      <w:r>
        <w:rPr>
          <w:sz w:val="24"/>
          <w:szCs w:val="32"/>
        </w:rPr>
        <w:t>3</w:t>
      </w:r>
      <w:r>
        <w:rPr>
          <w:rFonts w:hint="eastAsia"/>
          <w:sz w:val="24"/>
          <w:szCs w:val="32"/>
        </w:rPr>
        <w:t>设备各种接口特性；</w:t>
      </w:r>
    </w:p>
    <w:p w14:paraId="2C351A6B">
      <w:pPr>
        <w:spacing w:line="360" w:lineRule="auto"/>
        <w:rPr>
          <w:sz w:val="24"/>
          <w:szCs w:val="32"/>
        </w:rPr>
      </w:pPr>
      <w:r>
        <w:rPr>
          <w:sz w:val="24"/>
          <w:szCs w:val="32"/>
        </w:rPr>
        <w:t>1.2.3</w:t>
      </w:r>
      <w:r>
        <w:rPr>
          <w:rFonts w:hint="eastAsia"/>
          <w:sz w:val="24"/>
          <w:szCs w:val="32"/>
        </w:rPr>
        <w:t>.</w:t>
      </w:r>
      <w:r>
        <w:rPr>
          <w:sz w:val="24"/>
          <w:szCs w:val="32"/>
        </w:rPr>
        <w:t>4</w:t>
      </w:r>
      <w:r>
        <w:rPr>
          <w:rFonts w:hint="eastAsia"/>
          <w:sz w:val="24"/>
          <w:szCs w:val="32"/>
        </w:rPr>
        <w:t>安装方式；</w:t>
      </w:r>
    </w:p>
    <w:p w14:paraId="711FD150">
      <w:pPr>
        <w:spacing w:line="360" w:lineRule="auto"/>
        <w:rPr>
          <w:sz w:val="24"/>
          <w:szCs w:val="32"/>
        </w:rPr>
      </w:pPr>
      <w:r>
        <w:rPr>
          <w:sz w:val="24"/>
          <w:szCs w:val="32"/>
        </w:rPr>
        <w:t>1.2.3</w:t>
      </w:r>
      <w:r>
        <w:rPr>
          <w:rFonts w:hint="eastAsia"/>
          <w:sz w:val="24"/>
          <w:szCs w:val="32"/>
        </w:rPr>
        <w:t>.</w:t>
      </w:r>
      <w:r>
        <w:rPr>
          <w:sz w:val="24"/>
          <w:szCs w:val="32"/>
        </w:rPr>
        <w:t>5</w:t>
      </w:r>
      <w:r>
        <w:rPr>
          <w:rFonts w:hint="eastAsia"/>
          <w:sz w:val="24"/>
          <w:szCs w:val="32"/>
        </w:rPr>
        <w:t>物理尺寸；</w:t>
      </w:r>
    </w:p>
    <w:p w14:paraId="23A6DDF5">
      <w:pPr>
        <w:spacing w:line="360" w:lineRule="auto"/>
        <w:rPr>
          <w:sz w:val="24"/>
          <w:szCs w:val="32"/>
        </w:rPr>
      </w:pPr>
      <w:r>
        <w:rPr>
          <w:sz w:val="24"/>
          <w:szCs w:val="32"/>
        </w:rPr>
        <w:t>1.2.3</w:t>
      </w:r>
      <w:r>
        <w:rPr>
          <w:rFonts w:hint="eastAsia"/>
          <w:sz w:val="24"/>
          <w:szCs w:val="32"/>
        </w:rPr>
        <w:t>.</w:t>
      </w:r>
      <w:r>
        <w:rPr>
          <w:sz w:val="24"/>
          <w:szCs w:val="32"/>
        </w:rPr>
        <w:t>6</w:t>
      </w:r>
      <w:r>
        <w:rPr>
          <w:rFonts w:hint="eastAsia"/>
          <w:sz w:val="24"/>
          <w:szCs w:val="32"/>
        </w:rPr>
        <w:t>供电方式、耗电量；</w:t>
      </w:r>
    </w:p>
    <w:p w14:paraId="1CC7B2CE">
      <w:pPr>
        <w:spacing w:line="360" w:lineRule="auto"/>
        <w:rPr>
          <w:sz w:val="24"/>
          <w:szCs w:val="32"/>
        </w:rPr>
      </w:pPr>
      <w:r>
        <w:rPr>
          <w:sz w:val="24"/>
          <w:szCs w:val="32"/>
        </w:rPr>
        <w:t>1.2.3</w:t>
      </w:r>
      <w:r>
        <w:rPr>
          <w:rFonts w:hint="eastAsia"/>
          <w:sz w:val="24"/>
          <w:szCs w:val="32"/>
        </w:rPr>
        <w:t>.</w:t>
      </w:r>
      <w:r>
        <w:rPr>
          <w:sz w:val="24"/>
          <w:szCs w:val="32"/>
        </w:rPr>
        <w:t>7</w:t>
      </w:r>
      <w:r>
        <w:rPr>
          <w:rFonts w:hint="eastAsia"/>
          <w:sz w:val="24"/>
          <w:szCs w:val="32"/>
        </w:rPr>
        <w:t>设备或机架接地要求；</w:t>
      </w:r>
    </w:p>
    <w:p w14:paraId="55587F00">
      <w:pPr>
        <w:spacing w:line="360" w:lineRule="auto"/>
        <w:rPr>
          <w:sz w:val="24"/>
          <w:szCs w:val="32"/>
        </w:rPr>
      </w:pPr>
      <w:r>
        <w:rPr>
          <w:sz w:val="24"/>
          <w:szCs w:val="32"/>
        </w:rPr>
        <w:t>1.2.3</w:t>
      </w:r>
      <w:r>
        <w:rPr>
          <w:rFonts w:hint="eastAsia"/>
          <w:sz w:val="24"/>
          <w:szCs w:val="32"/>
        </w:rPr>
        <w:t>.</w:t>
      </w:r>
      <w:r>
        <w:rPr>
          <w:sz w:val="24"/>
          <w:szCs w:val="32"/>
        </w:rPr>
        <w:t>8</w:t>
      </w:r>
      <w:r>
        <w:rPr>
          <w:rFonts w:hint="eastAsia"/>
          <w:sz w:val="24"/>
          <w:szCs w:val="32"/>
        </w:rPr>
        <w:t>重量、温湿度等环境要求；</w:t>
      </w:r>
    </w:p>
    <w:p w14:paraId="49BF653A">
      <w:pPr>
        <w:spacing w:line="360" w:lineRule="auto"/>
        <w:rPr>
          <w:sz w:val="24"/>
          <w:szCs w:val="32"/>
        </w:rPr>
      </w:pPr>
      <w:r>
        <w:rPr>
          <w:sz w:val="24"/>
          <w:szCs w:val="32"/>
        </w:rPr>
        <w:t>1.2.3</w:t>
      </w:r>
      <w:r>
        <w:rPr>
          <w:rFonts w:hint="eastAsia"/>
          <w:sz w:val="24"/>
          <w:szCs w:val="32"/>
        </w:rPr>
        <w:t>.</w:t>
      </w:r>
      <w:r>
        <w:rPr>
          <w:sz w:val="24"/>
          <w:szCs w:val="32"/>
        </w:rPr>
        <w:t>9</w:t>
      </w:r>
      <w:r>
        <w:rPr>
          <w:rFonts w:hint="eastAsia"/>
          <w:sz w:val="24"/>
          <w:szCs w:val="32"/>
        </w:rPr>
        <w:t>设备相关性能指标的测试记录文档；</w:t>
      </w:r>
    </w:p>
    <w:p w14:paraId="4FA9F14F">
      <w:pPr>
        <w:spacing w:line="360" w:lineRule="auto"/>
        <w:rPr>
          <w:sz w:val="24"/>
          <w:szCs w:val="32"/>
        </w:rPr>
      </w:pPr>
      <w:r>
        <w:rPr>
          <w:sz w:val="24"/>
          <w:szCs w:val="32"/>
        </w:rPr>
        <w:t>1.2.3</w:t>
      </w:r>
      <w:r>
        <w:rPr>
          <w:rFonts w:hint="eastAsia"/>
          <w:sz w:val="24"/>
          <w:szCs w:val="32"/>
        </w:rPr>
        <w:t>.</w:t>
      </w:r>
      <w:r>
        <w:rPr>
          <w:sz w:val="24"/>
          <w:szCs w:val="32"/>
        </w:rPr>
        <w:t>10</w:t>
      </w:r>
      <w:r>
        <w:rPr>
          <w:rFonts w:hint="eastAsia"/>
          <w:sz w:val="24"/>
          <w:szCs w:val="32"/>
        </w:rPr>
        <w:t>设备装架示意图：如所响应设备为装架式，供应商应提供相应的装架示意图；</w:t>
      </w:r>
    </w:p>
    <w:p w14:paraId="30F801C3">
      <w:pPr>
        <w:spacing w:line="360" w:lineRule="auto"/>
        <w:rPr>
          <w:sz w:val="24"/>
          <w:szCs w:val="32"/>
        </w:rPr>
      </w:pPr>
      <w:r>
        <w:rPr>
          <w:sz w:val="24"/>
          <w:szCs w:val="32"/>
        </w:rPr>
        <w:t>1.2.3</w:t>
      </w:r>
      <w:r>
        <w:rPr>
          <w:rFonts w:hint="eastAsia"/>
          <w:sz w:val="24"/>
          <w:szCs w:val="32"/>
        </w:rPr>
        <w:t>.</w:t>
      </w:r>
      <w:r>
        <w:rPr>
          <w:sz w:val="24"/>
          <w:szCs w:val="32"/>
        </w:rPr>
        <w:t>11</w:t>
      </w:r>
      <w:r>
        <w:rPr>
          <w:rFonts w:hint="eastAsia"/>
          <w:sz w:val="24"/>
          <w:szCs w:val="32"/>
        </w:rPr>
        <w:t>单台设备和相关部件的可靠性指标，至少包括：设备和部件的无故障运行时间、每年的不可用时间。</w:t>
      </w:r>
    </w:p>
    <w:p w14:paraId="26FDEC08">
      <w:pPr>
        <w:spacing w:line="360" w:lineRule="auto"/>
        <w:outlineLvl w:val="2"/>
        <w:rPr>
          <w:sz w:val="24"/>
          <w:szCs w:val="32"/>
        </w:rPr>
      </w:pPr>
      <w:r>
        <w:rPr>
          <w:sz w:val="24"/>
          <w:szCs w:val="32"/>
        </w:rPr>
        <w:t>1.3</w:t>
      </w:r>
      <w:r>
        <w:rPr>
          <w:rFonts w:hint="eastAsia"/>
          <w:sz w:val="24"/>
          <w:szCs w:val="32"/>
        </w:rPr>
        <w:t>环境要求</w:t>
      </w:r>
    </w:p>
    <w:p w14:paraId="360916E4">
      <w:pPr>
        <w:spacing w:line="360" w:lineRule="auto"/>
        <w:ind w:firstLine="480" w:firstLineChars="200"/>
        <w:rPr>
          <w:sz w:val="24"/>
          <w:szCs w:val="32"/>
        </w:rPr>
      </w:pPr>
      <w:r>
        <w:rPr>
          <w:rFonts w:hint="eastAsia"/>
          <w:sz w:val="24"/>
          <w:szCs w:val="32"/>
        </w:rPr>
        <w:t>本次投标的硬件设备应能适应如下环境要求：</w:t>
      </w:r>
    </w:p>
    <w:p w14:paraId="2E75D61D">
      <w:pPr>
        <w:spacing w:line="360" w:lineRule="auto"/>
        <w:rPr>
          <w:sz w:val="24"/>
          <w:szCs w:val="32"/>
        </w:rPr>
      </w:pPr>
      <w:r>
        <w:rPr>
          <w:rFonts w:hint="eastAsia"/>
          <w:sz w:val="24"/>
          <w:szCs w:val="32"/>
        </w:rPr>
        <w:t>1.3.1</w:t>
      </w:r>
      <w:r>
        <w:rPr>
          <w:sz w:val="24"/>
          <w:szCs w:val="32"/>
        </w:rPr>
        <w:tab/>
      </w:r>
      <w:r>
        <w:rPr>
          <w:rFonts w:hint="eastAsia"/>
          <w:sz w:val="24"/>
          <w:szCs w:val="32"/>
        </w:rPr>
        <w:t>温度：</w:t>
      </w:r>
      <w:r>
        <w:rPr>
          <w:sz w:val="24"/>
          <w:szCs w:val="32"/>
        </w:rPr>
        <w:t>5~40</w:t>
      </w:r>
      <w:r>
        <w:rPr>
          <w:rFonts w:hint="eastAsia"/>
          <w:sz w:val="24"/>
          <w:szCs w:val="32"/>
        </w:rPr>
        <w:t>℃</w:t>
      </w:r>
    </w:p>
    <w:p w14:paraId="7B1B8571">
      <w:pPr>
        <w:spacing w:line="360" w:lineRule="auto"/>
        <w:rPr>
          <w:sz w:val="24"/>
          <w:szCs w:val="32"/>
        </w:rPr>
      </w:pPr>
      <w:r>
        <w:rPr>
          <w:rFonts w:hint="eastAsia"/>
          <w:sz w:val="24"/>
          <w:szCs w:val="32"/>
        </w:rPr>
        <w:t>1.3.</w:t>
      </w:r>
      <w:r>
        <w:rPr>
          <w:sz w:val="24"/>
          <w:szCs w:val="32"/>
        </w:rPr>
        <w:t>2</w:t>
      </w:r>
      <w:r>
        <w:rPr>
          <w:sz w:val="24"/>
          <w:szCs w:val="32"/>
        </w:rPr>
        <w:tab/>
      </w:r>
      <w:r>
        <w:rPr>
          <w:rFonts w:hint="eastAsia"/>
          <w:sz w:val="24"/>
          <w:szCs w:val="32"/>
        </w:rPr>
        <w:t>相对湿度：</w:t>
      </w:r>
      <w:r>
        <w:rPr>
          <w:sz w:val="24"/>
          <w:szCs w:val="32"/>
        </w:rPr>
        <w:t>10%</w:t>
      </w:r>
      <w:r>
        <w:rPr>
          <w:rFonts w:hint="eastAsia"/>
          <w:sz w:val="24"/>
          <w:szCs w:val="32"/>
        </w:rPr>
        <w:t>～</w:t>
      </w:r>
      <w:r>
        <w:rPr>
          <w:sz w:val="24"/>
          <w:szCs w:val="32"/>
        </w:rPr>
        <w:t>80%</w:t>
      </w:r>
    </w:p>
    <w:p w14:paraId="3493C2DB">
      <w:pPr>
        <w:spacing w:line="360" w:lineRule="auto"/>
        <w:rPr>
          <w:sz w:val="24"/>
          <w:szCs w:val="32"/>
        </w:rPr>
      </w:pPr>
      <w:r>
        <w:rPr>
          <w:rFonts w:hint="eastAsia"/>
          <w:sz w:val="24"/>
          <w:szCs w:val="32"/>
        </w:rPr>
        <w:t>1.3.</w:t>
      </w:r>
      <w:r>
        <w:rPr>
          <w:sz w:val="24"/>
          <w:szCs w:val="32"/>
        </w:rPr>
        <w:t>3</w:t>
      </w:r>
      <w:r>
        <w:rPr>
          <w:sz w:val="24"/>
          <w:szCs w:val="32"/>
        </w:rPr>
        <w:tab/>
      </w:r>
      <w:r>
        <w:rPr>
          <w:rFonts w:hint="eastAsia"/>
          <w:sz w:val="24"/>
          <w:szCs w:val="32"/>
        </w:rPr>
        <w:t>温度变化率：≤</w:t>
      </w:r>
      <w:r>
        <w:rPr>
          <w:sz w:val="24"/>
          <w:szCs w:val="32"/>
        </w:rPr>
        <w:t>10</w:t>
      </w:r>
      <w:r>
        <w:rPr>
          <w:rFonts w:hint="eastAsia"/>
          <w:sz w:val="24"/>
          <w:szCs w:val="32"/>
        </w:rPr>
        <w:t>℃</w:t>
      </w:r>
      <w:r>
        <w:rPr>
          <w:sz w:val="24"/>
          <w:szCs w:val="32"/>
        </w:rPr>
        <w:t>/h</w:t>
      </w:r>
      <w:r>
        <w:rPr>
          <w:rFonts w:hint="eastAsia"/>
          <w:sz w:val="24"/>
          <w:szCs w:val="32"/>
        </w:rPr>
        <w:t>，不结露</w:t>
      </w:r>
    </w:p>
    <w:p w14:paraId="17F88C4B">
      <w:pPr>
        <w:spacing w:line="360" w:lineRule="auto"/>
        <w:rPr>
          <w:sz w:val="24"/>
          <w:szCs w:val="32"/>
        </w:rPr>
      </w:pPr>
      <w:r>
        <w:rPr>
          <w:rFonts w:hint="eastAsia"/>
          <w:sz w:val="24"/>
          <w:szCs w:val="32"/>
        </w:rPr>
        <w:t>1.3.</w:t>
      </w:r>
      <w:r>
        <w:rPr>
          <w:sz w:val="24"/>
          <w:szCs w:val="32"/>
        </w:rPr>
        <w:t>4</w:t>
      </w:r>
      <w:r>
        <w:rPr>
          <w:sz w:val="24"/>
          <w:szCs w:val="32"/>
        </w:rPr>
        <w:tab/>
      </w:r>
      <w:r>
        <w:rPr>
          <w:rFonts w:hint="eastAsia"/>
          <w:sz w:val="24"/>
          <w:szCs w:val="32"/>
        </w:rPr>
        <w:t>海拔高度：</w:t>
      </w:r>
      <w:r>
        <w:rPr>
          <w:sz w:val="24"/>
          <w:szCs w:val="32"/>
        </w:rPr>
        <w:t>-200</w:t>
      </w:r>
      <w:r>
        <w:rPr>
          <w:rFonts w:hint="eastAsia"/>
          <w:sz w:val="24"/>
          <w:szCs w:val="32"/>
        </w:rPr>
        <w:t>米～</w:t>
      </w:r>
      <w:r>
        <w:rPr>
          <w:sz w:val="24"/>
          <w:szCs w:val="32"/>
        </w:rPr>
        <w:t>3000</w:t>
      </w:r>
      <w:r>
        <w:rPr>
          <w:rFonts w:hint="eastAsia"/>
          <w:sz w:val="24"/>
          <w:szCs w:val="32"/>
        </w:rPr>
        <w:t>米</w:t>
      </w:r>
    </w:p>
    <w:p w14:paraId="49BF4277">
      <w:pPr>
        <w:spacing w:line="360" w:lineRule="auto"/>
        <w:rPr>
          <w:sz w:val="24"/>
          <w:szCs w:val="32"/>
        </w:rPr>
      </w:pPr>
      <w:r>
        <w:rPr>
          <w:rFonts w:hint="eastAsia"/>
          <w:sz w:val="24"/>
          <w:szCs w:val="32"/>
        </w:rPr>
        <w:t>1.3.</w:t>
      </w:r>
      <w:r>
        <w:rPr>
          <w:sz w:val="24"/>
          <w:szCs w:val="32"/>
        </w:rPr>
        <w:t>5</w:t>
      </w:r>
      <w:r>
        <w:rPr>
          <w:sz w:val="24"/>
          <w:szCs w:val="32"/>
        </w:rPr>
        <w:tab/>
      </w:r>
      <w:r>
        <w:rPr>
          <w:rFonts w:hint="eastAsia"/>
          <w:sz w:val="24"/>
          <w:szCs w:val="32"/>
        </w:rPr>
        <w:t>防尘：静态条件下测试，主机房空气中≥</w:t>
      </w:r>
      <w:r>
        <w:rPr>
          <w:sz w:val="24"/>
          <w:szCs w:val="32"/>
        </w:rPr>
        <w:t>0.5</w:t>
      </w:r>
      <w:r>
        <w:rPr>
          <w:rFonts w:hint="eastAsia"/>
          <w:sz w:val="24"/>
          <w:szCs w:val="32"/>
        </w:rPr>
        <w:t>μ</w:t>
      </w:r>
      <w:r>
        <w:rPr>
          <w:sz w:val="24"/>
          <w:szCs w:val="32"/>
        </w:rPr>
        <w:t>m</w:t>
      </w:r>
      <w:r>
        <w:rPr>
          <w:rFonts w:hint="eastAsia"/>
          <w:sz w:val="24"/>
          <w:szCs w:val="32"/>
        </w:rPr>
        <w:t>的尘粒数，少于</w:t>
      </w:r>
      <w:r>
        <w:rPr>
          <w:sz w:val="24"/>
          <w:szCs w:val="32"/>
        </w:rPr>
        <w:t>18000</w:t>
      </w:r>
      <w:r>
        <w:rPr>
          <w:rFonts w:hint="eastAsia"/>
          <w:sz w:val="24"/>
          <w:szCs w:val="32"/>
        </w:rPr>
        <w:t>粒</w:t>
      </w:r>
      <w:r>
        <w:rPr>
          <w:sz w:val="24"/>
          <w:szCs w:val="32"/>
        </w:rPr>
        <w:t>/</w:t>
      </w:r>
      <w:r>
        <w:rPr>
          <w:rFonts w:hint="eastAsia"/>
          <w:sz w:val="24"/>
          <w:szCs w:val="32"/>
        </w:rPr>
        <w:t>升</w:t>
      </w:r>
    </w:p>
    <w:p w14:paraId="06D45F64">
      <w:pPr>
        <w:spacing w:line="360" w:lineRule="auto"/>
        <w:rPr>
          <w:sz w:val="24"/>
          <w:szCs w:val="32"/>
        </w:rPr>
      </w:pPr>
      <w:r>
        <w:rPr>
          <w:rFonts w:hint="eastAsia"/>
          <w:sz w:val="24"/>
          <w:szCs w:val="32"/>
        </w:rPr>
        <w:t>1.3.</w:t>
      </w:r>
      <w:r>
        <w:rPr>
          <w:sz w:val="24"/>
          <w:szCs w:val="32"/>
        </w:rPr>
        <w:t>6</w:t>
      </w:r>
      <w:r>
        <w:rPr>
          <w:sz w:val="24"/>
          <w:szCs w:val="32"/>
        </w:rPr>
        <w:tab/>
      </w:r>
      <w:r>
        <w:rPr>
          <w:rFonts w:hint="eastAsia"/>
          <w:sz w:val="24"/>
          <w:szCs w:val="32"/>
        </w:rPr>
        <w:t>额定电压交流220～240</w:t>
      </w:r>
      <w:r>
        <w:rPr>
          <w:sz w:val="24"/>
          <w:szCs w:val="32"/>
        </w:rPr>
        <w:t xml:space="preserve">V  </w:t>
      </w:r>
      <w:r>
        <w:rPr>
          <w:rFonts w:hint="eastAsia"/>
          <w:sz w:val="24"/>
          <w:szCs w:val="32"/>
        </w:rPr>
        <w:t>直流</w:t>
      </w:r>
      <w:r>
        <w:rPr>
          <w:sz w:val="24"/>
          <w:szCs w:val="32"/>
        </w:rPr>
        <w:t>-48V</w:t>
      </w:r>
      <w:r>
        <w:rPr>
          <w:rFonts w:hint="eastAsia"/>
          <w:sz w:val="24"/>
          <w:szCs w:val="32"/>
        </w:rPr>
        <w:t>～</w:t>
      </w:r>
      <w:r>
        <w:rPr>
          <w:sz w:val="24"/>
          <w:szCs w:val="32"/>
        </w:rPr>
        <w:t>-57V</w:t>
      </w:r>
    </w:p>
    <w:p w14:paraId="0F6D3544">
      <w:pPr>
        <w:spacing w:line="360" w:lineRule="auto"/>
        <w:ind w:firstLine="480" w:firstLineChars="200"/>
        <w:rPr>
          <w:sz w:val="24"/>
          <w:szCs w:val="32"/>
        </w:rPr>
      </w:pPr>
      <w:r>
        <w:rPr>
          <w:rFonts w:hint="eastAsia"/>
          <w:sz w:val="24"/>
          <w:szCs w:val="32"/>
        </w:rPr>
        <w:t>投标设备如不能适应上述要求时请说明。同时，投标人须详细提供所有投标设备对机房环境的要求，诸如：运行及非运行状态时的温度、湿度、防尘、设备噪声强度、各种电磁干扰等要求，以及运输、长期和短期储存要求等。</w:t>
      </w:r>
      <w:bookmarkEnd w:id="40"/>
    </w:p>
    <w:p w14:paraId="365B01AB">
      <w:pPr>
        <w:numPr>
          <w:ilvl w:val="0"/>
          <w:numId w:val="3"/>
        </w:numPr>
        <w:spacing w:line="360" w:lineRule="auto"/>
        <w:outlineLvl w:val="1"/>
        <w:rPr>
          <w:b/>
          <w:sz w:val="24"/>
        </w:rPr>
      </w:pPr>
      <w:r>
        <w:rPr>
          <w:rFonts w:hint="eastAsia"/>
          <w:b/>
          <w:sz w:val="24"/>
        </w:rPr>
        <w:t>技术要求</w:t>
      </w:r>
    </w:p>
    <w:p w14:paraId="74F85D2B">
      <w:pPr>
        <w:pStyle w:val="2"/>
        <w:spacing w:line="360" w:lineRule="auto"/>
        <w:ind w:left="420"/>
        <w:outlineLvl w:val="1"/>
        <w:rPr>
          <w:b/>
          <w:sz w:val="24"/>
          <w:szCs w:val="32"/>
        </w:rPr>
      </w:pPr>
      <w:r>
        <w:rPr>
          <w:sz w:val="24"/>
          <w:szCs w:val="32"/>
        </w:rPr>
        <w:t>1</w:t>
      </w:r>
      <w:r>
        <w:rPr>
          <w:rFonts w:hint="eastAsia"/>
          <w:sz w:val="24"/>
          <w:szCs w:val="32"/>
        </w:rPr>
        <w:t>、</w:t>
      </w:r>
      <w:r>
        <w:rPr>
          <w:rFonts w:hint="eastAsia"/>
          <w:sz w:val="24"/>
          <w:szCs w:val="32"/>
          <w:u w:val="single"/>
        </w:rPr>
        <w:t>云态势感知探针</w:t>
      </w:r>
      <w:r>
        <w:rPr>
          <w:rFonts w:hint="eastAsia"/>
          <w:sz w:val="24"/>
          <w:szCs w:val="32"/>
        </w:rPr>
        <w:t>技术要求</w:t>
      </w:r>
    </w:p>
    <w:tbl>
      <w:tblPr>
        <w:tblStyle w:val="59"/>
        <w:tblW w:w="5059" w:type="pct"/>
        <w:tblInd w:w="0" w:type="dxa"/>
        <w:tblLayout w:type="autofit"/>
        <w:tblCellMar>
          <w:top w:w="0" w:type="dxa"/>
          <w:left w:w="108" w:type="dxa"/>
          <w:bottom w:w="0" w:type="dxa"/>
          <w:right w:w="108" w:type="dxa"/>
        </w:tblCellMar>
      </w:tblPr>
      <w:tblGrid>
        <w:gridCol w:w="1686"/>
        <w:gridCol w:w="8048"/>
      </w:tblGrid>
      <w:tr w14:paraId="7B61E8D9">
        <w:trPr>
          <w:trHeight w:val="472" w:hRule="atLeast"/>
        </w:trPr>
        <w:tc>
          <w:tcPr>
            <w:tcW w:w="866" w:type="pct"/>
            <w:tcBorders>
              <w:top w:val="single" w:color="auto" w:sz="4" w:space="0"/>
              <w:left w:val="single" w:color="auto" w:sz="4" w:space="0"/>
              <w:right w:val="single" w:color="auto" w:sz="4" w:space="0"/>
            </w:tcBorders>
            <w:shd w:val="clear" w:color="auto" w:fill="auto"/>
            <w:noWrap/>
            <w:vAlign w:val="center"/>
          </w:tcPr>
          <w:p w14:paraId="6B514609">
            <w:pPr>
              <w:widowControl/>
              <w:jc w:val="center"/>
              <w:rPr>
                <w:rFonts w:ascii="宋体" w:hAnsi="宋体" w:cs="宋体"/>
                <w:b/>
                <w:kern w:val="0"/>
                <w:szCs w:val="21"/>
              </w:rPr>
            </w:pPr>
            <w:r>
              <w:rPr>
                <w:rFonts w:hint="eastAsia" w:ascii="宋体" w:hAnsi="宋体" w:cs="宋体"/>
                <w:b/>
                <w:kern w:val="0"/>
                <w:szCs w:val="21"/>
              </w:rPr>
              <w:t>技术指标</w:t>
            </w:r>
          </w:p>
        </w:tc>
        <w:tc>
          <w:tcPr>
            <w:tcW w:w="4134" w:type="pct"/>
            <w:tcBorders>
              <w:top w:val="single" w:color="auto" w:sz="4" w:space="0"/>
              <w:left w:val="nil"/>
              <w:bottom w:val="single" w:color="auto" w:sz="4" w:space="0"/>
              <w:right w:val="single" w:color="auto" w:sz="4" w:space="0"/>
            </w:tcBorders>
            <w:shd w:val="clear" w:color="auto" w:fill="auto"/>
            <w:vAlign w:val="center"/>
          </w:tcPr>
          <w:p w14:paraId="6522680C">
            <w:pPr>
              <w:widowControl/>
              <w:jc w:val="center"/>
              <w:rPr>
                <w:rFonts w:ascii="宋体" w:hAnsi="宋体" w:cs="宋体"/>
                <w:b/>
                <w:kern w:val="0"/>
                <w:szCs w:val="21"/>
                <w:highlight w:val="yellow"/>
              </w:rPr>
            </w:pPr>
            <w:r>
              <w:rPr>
                <w:rFonts w:hint="eastAsia" w:ascii="宋体" w:hAnsi="宋体" w:cs="宋体"/>
                <w:b/>
                <w:kern w:val="0"/>
                <w:szCs w:val="21"/>
              </w:rPr>
              <w:t>技术参数</w:t>
            </w:r>
          </w:p>
        </w:tc>
      </w:tr>
      <w:tr w14:paraId="41FF79A0">
        <w:tblPrEx>
          <w:tblCellMar>
            <w:top w:w="0" w:type="dxa"/>
            <w:left w:w="108" w:type="dxa"/>
            <w:bottom w:w="0" w:type="dxa"/>
            <w:right w:w="108" w:type="dxa"/>
          </w:tblCellMar>
        </w:tblPrEx>
        <w:trPr>
          <w:trHeight w:val="330" w:hRule="atLeast"/>
        </w:trPr>
        <w:tc>
          <w:tcPr>
            <w:tcW w:w="866" w:type="pct"/>
            <w:vMerge w:val="restart"/>
            <w:tcBorders>
              <w:top w:val="single" w:color="auto" w:sz="4" w:space="0"/>
              <w:left w:val="single" w:color="auto" w:sz="4" w:space="0"/>
              <w:right w:val="single" w:color="auto" w:sz="4" w:space="0"/>
            </w:tcBorders>
            <w:shd w:val="clear" w:color="auto" w:fill="auto"/>
            <w:noWrap/>
            <w:vAlign w:val="center"/>
          </w:tcPr>
          <w:p w14:paraId="792C3A04">
            <w:pPr>
              <w:rPr>
                <w:rFonts w:ascii="宋体" w:hAnsi="宋体" w:cs="宋体"/>
                <w:color w:val="000000"/>
                <w:kern w:val="0"/>
                <w:szCs w:val="21"/>
              </w:rPr>
            </w:pPr>
            <w:r>
              <w:rPr>
                <w:rFonts w:hint="eastAsia" w:ascii="宋体" w:hAnsi="宋体" w:cs="宋体"/>
                <w:color w:val="000000"/>
                <w:kern w:val="0"/>
                <w:szCs w:val="21"/>
              </w:rPr>
              <w:t>基本要求</w:t>
            </w:r>
          </w:p>
        </w:tc>
        <w:tc>
          <w:tcPr>
            <w:tcW w:w="4134" w:type="pct"/>
            <w:tcBorders>
              <w:top w:val="single" w:color="auto" w:sz="4" w:space="0"/>
              <w:left w:val="nil"/>
              <w:bottom w:val="single" w:color="auto" w:sz="4" w:space="0"/>
              <w:right w:val="single" w:color="auto" w:sz="4" w:space="0"/>
            </w:tcBorders>
            <w:shd w:val="clear" w:color="000000" w:fill="auto"/>
            <w:vAlign w:val="center"/>
          </w:tcPr>
          <w:p w14:paraId="6053D67B">
            <w:pPr>
              <w:widowControl/>
              <w:jc w:val="left"/>
              <w:rPr>
                <w:rFonts w:ascii="宋体" w:hAnsi="宋体" w:cs="宋体"/>
                <w:kern w:val="0"/>
                <w:szCs w:val="21"/>
              </w:rPr>
            </w:pPr>
            <w:r>
              <w:rPr>
                <w:rFonts w:hint="eastAsia" w:ascii="宋体" w:hAnsi="宋体" w:cs="宋体"/>
                <w:kern w:val="0"/>
                <w:szCs w:val="21"/>
              </w:rPr>
              <w:t>≤2</w:t>
            </w:r>
            <w:r>
              <w:rPr>
                <w:rFonts w:ascii="宋体" w:hAnsi="宋体" w:cs="宋体"/>
                <w:kern w:val="0"/>
                <w:szCs w:val="21"/>
              </w:rPr>
              <w:t>U设备</w:t>
            </w:r>
            <w:r>
              <w:rPr>
                <w:rFonts w:hint="eastAsia" w:ascii="宋体" w:hAnsi="宋体" w:cs="宋体"/>
                <w:kern w:val="0"/>
                <w:szCs w:val="21"/>
              </w:rPr>
              <w:t>，</w:t>
            </w:r>
            <w:r>
              <w:rPr>
                <w:rFonts w:ascii="宋体" w:hAnsi="宋体" w:cs="宋体"/>
                <w:kern w:val="0"/>
                <w:szCs w:val="21"/>
              </w:rPr>
              <w:t>双电源</w:t>
            </w:r>
          </w:p>
        </w:tc>
      </w:tr>
      <w:tr w14:paraId="380CB568">
        <w:tblPrEx>
          <w:tblCellMar>
            <w:top w:w="0" w:type="dxa"/>
            <w:left w:w="108" w:type="dxa"/>
            <w:bottom w:w="0" w:type="dxa"/>
            <w:right w:w="108" w:type="dxa"/>
          </w:tblCellMar>
        </w:tblPrEx>
        <w:trPr>
          <w:trHeight w:val="330" w:hRule="atLeast"/>
        </w:trPr>
        <w:tc>
          <w:tcPr>
            <w:tcW w:w="866" w:type="pct"/>
            <w:vMerge w:val="continue"/>
            <w:tcBorders>
              <w:top w:val="single" w:color="auto" w:sz="4" w:space="0"/>
              <w:left w:val="single" w:color="auto" w:sz="4" w:space="0"/>
              <w:right w:val="single" w:color="auto" w:sz="4" w:space="0"/>
            </w:tcBorders>
            <w:shd w:val="clear" w:color="auto" w:fill="auto"/>
            <w:noWrap/>
            <w:vAlign w:val="center"/>
          </w:tcPr>
          <w:p w14:paraId="44188545">
            <w:pPr>
              <w:rPr>
                <w:rFonts w:ascii="宋体" w:hAnsi="宋体" w:cs="宋体"/>
                <w:color w:val="000000"/>
                <w:kern w:val="0"/>
                <w:szCs w:val="21"/>
              </w:rPr>
            </w:pPr>
          </w:p>
        </w:tc>
        <w:tc>
          <w:tcPr>
            <w:tcW w:w="4134" w:type="pct"/>
            <w:tcBorders>
              <w:top w:val="single" w:color="auto" w:sz="4" w:space="0"/>
              <w:left w:val="nil"/>
              <w:bottom w:val="single" w:color="auto" w:sz="4" w:space="0"/>
              <w:right w:val="single" w:color="auto" w:sz="4" w:space="0"/>
            </w:tcBorders>
            <w:shd w:val="clear" w:color="000000" w:fill="auto"/>
            <w:vAlign w:val="center"/>
          </w:tcPr>
          <w:p w14:paraId="681B668E">
            <w:pPr>
              <w:widowControl/>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个SFP+万兆</w:t>
            </w:r>
            <w:r>
              <w:rPr>
                <w:rFonts w:ascii="宋体" w:hAnsi="宋体" w:cs="宋体"/>
                <w:kern w:val="0"/>
                <w:szCs w:val="21"/>
              </w:rPr>
              <w:t>端口（</w:t>
            </w:r>
            <w:r>
              <w:rPr>
                <w:rFonts w:hint="eastAsia" w:ascii="宋体" w:hAnsi="宋体" w:cs="宋体"/>
                <w:kern w:val="0"/>
                <w:szCs w:val="21"/>
              </w:rPr>
              <w:t>含</w:t>
            </w:r>
            <w:r>
              <w:rPr>
                <w:rFonts w:ascii="宋体" w:hAnsi="宋体" w:cs="宋体"/>
                <w:kern w:val="0"/>
                <w:szCs w:val="21"/>
              </w:rPr>
              <w:t>模块）</w:t>
            </w:r>
          </w:p>
          <w:p w14:paraId="5A0ACBDF">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4</w:t>
            </w:r>
            <w:r>
              <w:rPr>
                <w:rFonts w:ascii="宋体" w:hAnsi="宋体" w:cs="宋体"/>
                <w:kern w:val="0"/>
                <w:szCs w:val="21"/>
              </w:rPr>
              <w:t>千兆电口</w:t>
            </w:r>
          </w:p>
          <w:p w14:paraId="52AEDCDD">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64G内存</w:t>
            </w:r>
          </w:p>
          <w:p w14:paraId="6744407A">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1</w:t>
            </w:r>
            <w:r>
              <w:rPr>
                <w:rFonts w:ascii="宋体" w:hAnsi="宋体" w:cs="宋体"/>
                <w:kern w:val="0"/>
                <w:szCs w:val="21"/>
              </w:rPr>
              <w:t>T 硬盘</w:t>
            </w:r>
          </w:p>
          <w:p w14:paraId="46DB0549">
            <w:pPr>
              <w:widowControl/>
              <w:jc w:val="left"/>
              <w:rPr>
                <w:rFonts w:ascii="宋体" w:hAnsi="宋体" w:cs="宋体"/>
                <w:kern w:val="0"/>
                <w:szCs w:val="21"/>
              </w:rPr>
            </w:pPr>
            <w:r>
              <w:rPr>
                <w:rFonts w:ascii="宋体" w:hAnsi="宋体" w:cs="宋体"/>
                <w:kern w:val="0"/>
                <w:szCs w:val="21"/>
              </w:rPr>
              <w:t>≥</w:t>
            </w:r>
            <w:r>
              <w:rPr>
                <w:rFonts w:hint="eastAsia" w:ascii="宋体" w:hAnsi="宋体" w:cs="宋体"/>
                <w:kern w:val="0"/>
                <w:szCs w:val="21"/>
              </w:rPr>
              <w:t>8</w:t>
            </w:r>
            <w:r>
              <w:rPr>
                <w:rFonts w:ascii="宋体" w:hAnsi="宋体" w:cs="宋体"/>
                <w:kern w:val="0"/>
                <w:szCs w:val="21"/>
              </w:rPr>
              <w:t>个扩展槽</w:t>
            </w:r>
          </w:p>
          <w:p w14:paraId="6E658128">
            <w:pPr>
              <w:widowControl/>
              <w:jc w:val="left"/>
              <w:rPr>
                <w:rFonts w:ascii="宋体" w:hAnsi="宋体" w:cs="宋体"/>
                <w:kern w:val="0"/>
                <w:szCs w:val="21"/>
              </w:rPr>
            </w:pPr>
            <w:r>
              <w:rPr>
                <w:rFonts w:ascii="宋体" w:hAnsi="宋体" w:cs="宋体"/>
                <w:kern w:val="0"/>
                <w:szCs w:val="21"/>
              </w:rPr>
              <w:t>支持扩展</w:t>
            </w:r>
            <w:r>
              <w:rPr>
                <w:rFonts w:hint="eastAsia" w:ascii="宋体" w:hAnsi="宋体" w:cs="宋体"/>
                <w:kern w:val="0"/>
                <w:szCs w:val="21"/>
              </w:rPr>
              <w:t>SFP+、QSFP+</w:t>
            </w:r>
            <w:r>
              <w:rPr>
                <w:rFonts w:ascii="宋体" w:hAnsi="宋体" w:cs="宋体"/>
                <w:kern w:val="0"/>
                <w:szCs w:val="21"/>
              </w:rPr>
              <w:t>接口</w:t>
            </w:r>
          </w:p>
        </w:tc>
      </w:tr>
      <w:tr w14:paraId="234823FC">
        <w:tblPrEx>
          <w:tblCellMar>
            <w:top w:w="0" w:type="dxa"/>
            <w:left w:w="108" w:type="dxa"/>
            <w:bottom w:w="0" w:type="dxa"/>
            <w:right w:w="108" w:type="dxa"/>
          </w:tblCellMar>
        </w:tblPrEx>
        <w:trPr>
          <w:trHeight w:val="330" w:hRule="atLeast"/>
        </w:trPr>
        <w:tc>
          <w:tcPr>
            <w:tcW w:w="866" w:type="pct"/>
            <w:vMerge w:val="continue"/>
            <w:tcBorders>
              <w:top w:val="single" w:color="auto" w:sz="4" w:space="0"/>
              <w:left w:val="single" w:color="auto" w:sz="4" w:space="0"/>
              <w:right w:val="single" w:color="auto" w:sz="4" w:space="0"/>
            </w:tcBorders>
            <w:shd w:val="clear" w:color="auto" w:fill="auto"/>
            <w:noWrap/>
            <w:vAlign w:val="center"/>
          </w:tcPr>
          <w:p w14:paraId="0C167808">
            <w:pPr>
              <w:rPr>
                <w:rFonts w:ascii="宋体" w:hAnsi="宋体" w:cs="宋体"/>
                <w:color w:val="000000"/>
                <w:kern w:val="0"/>
                <w:szCs w:val="21"/>
              </w:rPr>
            </w:pPr>
          </w:p>
        </w:tc>
        <w:tc>
          <w:tcPr>
            <w:tcW w:w="4134" w:type="pct"/>
            <w:tcBorders>
              <w:top w:val="single" w:color="auto" w:sz="4" w:space="0"/>
              <w:left w:val="nil"/>
              <w:bottom w:val="single" w:color="auto" w:sz="4" w:space="0"/>
              <w:right w:val="single" w:color="auto" w:sz="4" w:space="0"/>
            </w:tcBorders>
            <w:shd w:val="clear" w:color="000000" w:fill="auto"/>
            <w:vAlign w:val="center"/>
          </w:tcPr>
          <w:p w14:paraId="69F0A3D6">
            <w:pPr>
              <w:widowControl/>
              <w:jc w:val="left"/>
              <w:rPr>
                <w:rFonts w:ascii="宋体" w:hAnsi="宋体" w:cs="宋体"/>
                <w:kern w:val="0"/>
                <w:szCs w:val="21"/>
              </w:rPr>
            </w:pPr>
            <w:r>
              <w:rPr>
                <w:rFonts w:ascii="宋体" w:hAnsi="宋体" w:cs="宋体"/>
                <w:kern w:val="0"/>
                <w:szCs w:val="21"/>
              </w:rPr>
              <w:t>应用层处理性能≥10Gbps</w:t>
            </w:r>
          </w:p>
        </w:tc>
      </w:tr>
      <w:tr w14:paraId="1E5EE5EB">
        <w:tblPrEx>
          <w:tblCellMar>
            <w:top w:w="0" w:type="dxa"/>
            <w:left w:w="108" w:type="dxa"/>
            <w:bottom w:w="0" w:type="dxa"/>
            <w:right w:w="108" w:type="dxa"/>
          </w:tblCellMar>
        </w:tblPrEx>
        <w:trPr>
          <w:trHeight w:val="330" w:hRule="atLeast"/>
        </w:trPr>
        <w:tc>
          <w:tcPr>
            <w:tcW w:w="866" w:type="pct"/>
            <w:vMerge w:val="continue"/>
            <w:tcBorders>
              <w:top w:val="single" w:color="auto" w:sz="4" w:space="0"/>
              <w:left w:val="single" w:color="auto" w:sz="4" w:space="0"/>
              <w:right w:val="single" w:color="auto" w:sz="4" w:space="0"/>
            </w:tcBorders>
            <w:shd w:val="clear" w:color="auto" w:fill="auto"/>
            <w:noWrap/>
            <w:vAlign w:val="center"/>
          </w:tcPr>
          <w:p w14:paraId="0C17A0BF">
            <w:pPr>
              <w:rPr>
                <w:rFonts w:ascii="宋体" w:hAnsi="宋体" w:cs="宋体"/>
                <w:color w:val="000000"/>
                <w:kern w:val="0"/>
                <w:szCs w:val="21"/>
              </w:rPr>
            </w:pPr>
          </w:p>
        </w:tc>
        <w:tc>
          <w:tcPr>
            <w:tcW w:w="4134" w:type="pct"/>
            <w:tcBorders>
              <w:top w:val="single" w:color="auto" w:sz="4" w:space="0"/>
              <w:left w:val="nil"/>
              <w:bottom w:val="single" w:color="auto" w:sz="4" w:space="0"/>
              <w:right w:val="single" w:color="auto" w:sz="4" w:space="0"/>
            </w:tcBorders>
            <w:shd w:val="clear" w:color="000000" w:fill="auto"/>
            <w:vAlign w:val="center"/>
          </w:tcPr>
          <w:p w14:paraId="702A148A">
            <w:pPr>
              <w:widowControl/>
              <w:jc w:val="left"/>
              <w:rPr>
                <w:rFonts w:ascii="宋体" w:hAnsi="宋体" w:cs="宋体"/>
                <w:kern w:val="0"/>
                <w:szCs w:val="21"/>
              </w:rPr>
            </w:pPr>
            <w:r>
              <w:rPr>
                <w:rFonts w:hint="eastAsia" w:ascii="宋体" w:hAnsi="宋体" w:cs="宋体"/>
                <w:kern w:val="0"/>
                <w:szCs w:val="21"/>
              </w:rPr>
              <w:t>采用国产化操作系统以及国产化芯片。提供产品兼容性证书</w:t>
            </w:r>
          </w:p>
        </w:tc>
      </w:tr>
      <w:tr w14:paraId="7BF3166D">
        <w:tblPrEx>
          <w:tblCellMar>
            <w:top w:w="0" w:type="dxa"/>
            <w:left w:w="108" w:type="dxa"/>
            <w:bottom w:w="0" w:type="dxa"/>
            <w:right w:w="108" w:type="dxa"/>
          </w:tblCellMar>
        </w:tblPrEx>
        <w:trPr>
          <w:trHeight w:val="330" w:hRule="atLeast"/>
        </w:trPr>
        <w:tc>
          <w:tcPr>
            <w:tcW w:w="866" w:type="pct"/>
            <w:vMerge w:val="continue"/>
            <w:tcBorders>
              <w:left w:val="single" w:color="auto" w:sz="4" w:space="0"/>
              <w:right w:val="single" w:color="auto" w:sz="4" w:space="0"/>
            </w:tcBorders>
            <w:shd w:val="clear" w:color="auto" w:fill="auto"/>
            <w:noWrap/>
            <w:vAlign w:val="center"/>
          </w:tcPr>
          <w:p w14:paraId="309AA57C">
            <w:pPr>
              <w:rPr>
                <w:rFonts w:ascii="宋体" w:hAnsi="宋体" w:cs="宋体"/>
                <w:color w:val="000000"/>
                <w:kern w:val="0"/>
                <w:szCs w:val="21"/>
              </w:rPr>
            </w:pPr>
          </w:p>
        </w:tc>
        <w:tc>
          <w:tcPr>
            <w:tcW w:w="4134" w:type="pct"/>
            <w:tcBorders>
              <w:top w:val="single" w:color="auto" w:sz="4" w:space="0"/>
              <w:left w:val="nil"/>
              <w:bottom w:val="single" w:color="auto" w:sz="4" w:space="0"/>
              <w:right w:val="single" w:color="auto" w:sz="4" w:space="0"/>
            </w:tcBorders>
            <w:shd w:val="clear" w:color="000000" w:fill="auto"/>
            <w:vAlign w:val="center"/>
          </w:tcPr>
          <w:p w14:paraId="02F3AD10">
            <w:pPr>
              <w:widowControl/>
              <w:jc w:val="left"/>
              <w:rPr>
                <w:rFonts w:ascii="宋体" w:hAnsi="宋体" w:cs="宋体"/>
                <w:kern w:val="0"/>
                <w:szCs w:val="21"/>
              </w:rPr>
            </w:pPr>
            <w:r>
              <w:rPr>
                <w:rFonts w:hint="eastAsia" w:ascii="宋体" w:hAnsi="宋体" w:cs="宋体"/>
                <w:kern w:val="0"/>
                <w:szCs w:val="21"/>
              </w:rPr>
              <w:t>为便于统一管理和安全联动，要求探针能够与现网安全运营平台相互兼容，探针可以上送安全威胁分析数据，供安全运营平台进行全网威胁分析。（提供证明截图）</w:t>
            </w:r>
          </w:p>
        </w:tc>
      </w:tr>
      <w:tr w14:paraId="7283B012">
        <w:tblPrEx>
          <w:tblCellMar>
            <w:top w:w="0" w:type="dxa"/>
            <w:left w:w="108" w:type="dxa"/>
            <w:bottom w:w="0" w:type="dxa"/>
            <w:right w:w="108" w:type="dxa"/>
          </w:tblCellMar>
        </w:tblPrEx>
        <w:trPr>
          <w:trHeight w:val="330" w:hRule="atLeast"/>
        </w:trPr>
        <w:tc>
          <w:tcPr>
            <w:tcW w:w="866" w:type="pct"/>
            <w:vMerge w:val="continue"/>
            <w:tcBorders>
              <w:left w:val="single" w:color="auto" w:sz="4" w:space="0"/>
              <w:right w:val="single" w:color="auto" w:sz="4" w:space="0"/>
            </w:tcBorders>
            <w:shd w:val="clear" w:color="auto" w:fill="auto"/>
            <w:noWrap/>
            <w:vAlign w:val="center"/>
          </w:tcPr>
          <w:p w14:paraId="7CDE1322">
            <w:pPr>
              <w:rPr>
                <w:rFonts w:ascii="宋体" w:hAnsi="宋体" w:cs="宋体"/>
                <w:color w:val="000000"/>
                <w:kern w:val="0"/>
                <w:szCs w:val="21"/>
              </w:rPr>
            </w:pPr>
          </w:p>
        </w:tc>
        <w:tc>
          <w:tcPr>
            <w:tcW w:w="4134" w:type="pct"/>
            <w:tcBorders>
              <w:top w:val="single" w:color="auto" w:sz="4" w:space="0"/>
              <w:left w:val="nil"/>
              <w:bottom w:val="single" w:color="auto" w:sz="4" w:space="0"/>
              <w:right w:val="single" w:color="auto" w:sz="4" w:space="0"/>
            </w:tcBorders>
            <w:shd w:val="clear" w:color="000000" w:fill="auto"/>
            <w:vAlign w:val="center"/>
          </w:tcPr>
          <w:p w14:paraId="5A6052B7">
            <w:pPr>
              <w:widowControl/>
              <w:jc w:val="left"/>
              <w:rPr>
                <w:rFonts w:ascii="宋体" w:hAnsi="宋体" w:cs="宋体"/>
                <w:kern w:val="0"/>
                <w:szCs w:val="21"/>
              </w:rPr>
            </w:pPr>
            <w:r>
              <w:rPr>
                <w:rFonts w:hint="eastAsia" w:ascii="宋体" w:hAnsi="宋体" w:cs="宋体"/>
                <w:kern w:val="0"/>
                <w:szCs w:val="21"/>
              </w:rPr>
              <w:t>可通过安全运营平台实时监控探针的</w:t>
            </w:r>
            <w:r>
              <w:rPr>
                <w:rFonts w:ascii="宋体" w:hAnsi="宋体" w:cs="宋体"/>
                <w:kern w:val="0"/>
                <w:szCs w:val="21"/>
              </w:rPr>
              <w:t>CPU、</w:t>
            </w:r>
            <w:r>
              <w:rPr>
                <w:rFonts w:hint="eastAsia" w:ascii="宋体" w:hAnsi="宋体" w:cs="宋体"/>
                <w:kern w:val="0"/>
                <w:szCs w:val="21"/>
              </w:rPr>
              <w:t>实时流量</w:t>
            </w:r>
            <w:r>
              <w:rPr>
                <w:rFonts w:ascii="宋体" w:hAnsi="宋体" w:cs="宋体"/>
                <w:kern w:val="0"/>
                <w:szCs w:val="21"/>
              </w:rPr>
              <w:t>、存储空间使用情况</w:t>
            </w:r>
            <w:r>
              <w:rPr>
                <w:rFonts w:hint="eastAsia" w:ascii="宋体" w:hAnsi="宋体" w:cs="宋体"/>
                <w:kern w:val="0"/>
                <w:szCs w:val="21"/>
              </w:rPr>
              <w:t>（提供证明截图）</w:t>
            </w:r>
          </w:p>
        </w:tc>
      </w:tr>
      <w:tr w14:paraId="6D30DCD9">
        <w:tblPrEx>
          <w:tblCellMar>
            <w:top w:w="0" w:type="dxa"/>
            <w:left w:w="108" w:type="dxa"/>
            <w:bottom w:w="0" w:type="dxa"/>
            <w:right w:w="108" w:type="dxa"/>
          </w:tblCellMar>
        </w:tblPrEx>
        <w:trPr>
          <w:trHeight w:val="660" w:hRule="atLeast"/>
        </w:trPr>
        <w:tc>
          <w:tcPr>
            <w:tcW w:w="866" w:type="pct"/>
            <w:vMerge w:val="restart"/>
            <w:tcBorders>
              <w:top w:val="single" w:color="auto" w:sz="4" w:space="0"/>
              <w:left w:val="single" w:color="auto" w:sz="4" w:space="0"/>
              <w:right w:val="single" w:color="auto" w:sz="4" w:space="0"/>
            </w:tcBorders>
            <w:vAlign w:val="center"/>
          </w:tcPr>
          <w:p w14:paraId="161B876D">
            <w:pPr>
              <w:jc w:val="left"/>
              <w:rPr>
                <w:rFonts w:ascii="宋体" w:hAnsi="宋体" w:cs="宋体"/>
                <w:color w:val="000000"/>
                <w:kern w:val="0"/>
                <w:szCs w:val="21"/>
              </w:rPr>
            </w:pPr>
            <w:r>
              <w:rPr>
                <w:rFonts w:ascii="宋体" w:hAnsi="宋体" w:cs="宋体"/>
                <w:color w:val="000000"/>
                <w:kern w:val="0"/>
                <w:szCs w:val="21"/>
              </w:rPr>
              <w:t>威胁可视化</w:t>
            </w:r>
          </w:p>
        </w:tc>
        <w:tc>
          <w:tcPr>
            <w:tcW w:w="4134" w:type="pct"/>
            <w:tcBorders>
              <w:top w:val="nil"/>
              <w:left w:val="nil"/>
              <w:bottom w:val="single" w:color="auto" w:sz="4" w:space="0"/>
              <w:right w:val="single" w:color="auto" w:sz="4" w:space="0"/>
            </w:tcBorders>
            <w:shd w:val="clear" w:color="auto" w:fill="auto"/>
            <w:vAlign w:val="center"/>
          </w:tcPr>
          <w:p w14:paraId="0CA0B6CC">
            <w:pPr>
              <w:widowControl/>
              <w:jc w:val="left"/>
              <w:rPr>
                <w:rFonts w:ascii="宋体" w:hAnsi="宋体" w:cs="宋体"/>
                <w:kern w:val="0"/>
                <w:szCs w:val="21"/>
              </w:rPr>
            </w:pPr>
            <w:r>
              <w:rPr>
                <w:rFonts w:hint="eastAsia" w:ascii="宋体" w:hAnsi="宋体" w:cs="宋体"/>
                <w:kern w:val="0"/>
                <w:szCs w:val="21"/>
              </w:rPr>
              <w:t>支持服务器风险监控、终端风险监控、威胁事件监控和外部攻击地理分布概览的可视化呈现，并支持投屏展示（要求提供证明截图）</w:t>
            </w:r>
          </w:p>
        </w:tc>
      </w:tr>
      <w:tr w14:paraId="468FE9ED">
        <w:tblPrEx>
          <w:tblCellMar>
            <w:top w:w="0" w:type="dxa"/>
            <w:left w:w="108" w:type="dxa"/>
            <w:bottom w:w="0" w:type="dxa"/>
            <w:right w:w="108" w:type="dxa"/>
          </w:tblCellMar>
        </w:tblPrEx>
        <w:trPr>
          <w:trHeight w:val="660" w:hRule="atLeast"/>
        </w:trPr>
        <w:tc>
          <w:tcPr>
            <w:tcW w:w="866" w:type="pct"/>
            <w:vMerge w:val="continue"/>
            <w:tcBorders>
              <w:left w:val="single" w:color="auto" w:sz="4" w:space="0"/>
              <w:right w:val="single" w:color="auto" w:sz="4" w:space="0"/>
            </w:tcBorders>
            <w:vAlign w:val="center"/>
          </w:tcPr>
          <w:p w14:paraId="2E5BC837">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6932032C">
            <w:pPr>
              <w:widowControl/>
              <w:jc w:val="left"/>
              <w:rPr>
                <w:rFonts w:ascii="宋体" w:hAnsi="宋体" w:cs="宋体"/>
                <w:kern w:val="0"/>
                <w:szCs w:val="21"/>
              </w:rPr>
            </w:pPr>
            <w:bookmarkStart w:id="41" w:name="_Hlk101948877"/>
            <w:r>
              <w:rPr>
                <w:rFonts w:hint="eastAsia" w:ascii="宋体" w:hAnsi="宋体" w:cs="宋体"/>
                <w:kern w:val="0"/>
                <w:szCs w:val="21"/>
              </w:rPr>
              <w:t>通过威胁透视功能呈现由服务器发起或指向服务器的网络威胁，采用不同的颜色标识服务器的风险程度，支持多维度的条件过滤（要求提供证明截图）</w:t>
            </w:r>
            <w:bookmarkEnd w:id="41"/>
          </w:p>
        </w:tc>
      </w:tr>
      <w:tr w14:paraId="03C5FC49">
        <w:tblPrEx>
          <w:tblCellMar>
            <w:top w:w="0" w:type="dxa"/>
            <w:left w:w="108" w:type="dxa"/>
            <w:bottom w:w="0" w:type="dxa"/>
            <w:right w:w="108" w:type="dxa"/>
          </w:tblCellMar>
        </w:tblPrEx>
        <w:trPr>
          <w:trHeight w:val="660" w:hRule="atLeast"/>
        </w:trPr>
        <w:tc>
          <w:tcPr>
            <w:tcW w:w="866" w:type="pct"/>
            <w:vMerge w:val="continue"/>
            <w:tcBorders>
              <w:left w:val="single" w:color="auto" w:sz="4" w:space="0"/>
              <w:right w:val="single" w:color="auto" w:sz="4" w:space="0"/>
            </w:tcBorders>
            <w:vAlign w:val="center"/>
          </w:tcPr>
          <w:p w14:paraId="6682536C">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31DDB322">
            <w:pPr>
              <w:widowControl/>
              <w:jc w:val="left"/>
              <w:rPr>
                <w:rFonts w:ascii="宋体" w:hAnsi="宋体" w:cs="宋体"/>
                <w:kern w:val="0"/>
                <w:szCs w:val="21"/>
              </w:rPr>
            </w:pPr>
            <w:r>
              <w:rPr>
                <w:rFonts w:hint="eastAsia" w:ascii="宋体" w:hAnsi="宋体" w:cs="宋体"/>
                <w:kern w:val="0"/>
                <w:szCs w:val="21"/>
              </w:rPr>
              <w:t>通过异常流量透视功能呈现由服务器发起或指向服务器的网络流量，以服务器为对象，监控与服务器互访的异常网络流量，支持多维度的条件过滤</w:t>
            </w:r>
          </w:p>
        </w:tc>
      </w:tr>
      <w:tr w14:paraId="03816F6D">
        <w:tblPrEx>
          <w:tblCellMar>
            <w:top w:w="0" w:type="dxa"/>
            <w:left w:w="108" w:type="dxa"/>
            <w:bottom w:w="0" w:type="dxa"/>
            <w:right w:w="108" w:type="dxa"/>
          </w:tblCellMar>
        </w:tblPrEx>
        <w:trPr>
          <w:trHeight w:val="330" w:hRule="atLeast"/>
        </w:trPr>
        <w:tc>
          <w:tcPr>
            <w:tcW w:w="866" w:type="pct"/>
            <w:vMerge w:val="continue"/>
            <w:tcBorders>
              <w:left w:val="single" w:color="auto" w:sz="4" w:space="0"/>
              <w:right w:val="single" w:color="auto" w:sz="4" w:space="0"/>
            </w:tcBorders>
            <w:vAlign w:val="center"/>
          </w:tcPr>
          <w:p w14:paraId="4AFC913C">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30929DC8">
            <w:pPr>
              <w:widowControl/>
              <w:jc w:val="left"/>
              <w:rPr>
                <w:rFonts w:ascii="宋体" w:hAnsi="宋体" w:cs="宋体"/>
                <w:kern w:val="0"/>
                <w:szCs w:val="21"/>
              </w:rPr>
            </w:pPr>
            <w:r>
              <w:rPr>
                <w:rFonts w:hint="eastAsia" w:ascii="宋体" w:hAnsi="宋体" w:cs="宋体"/>
                <w:kern w:val="0"/>
                <w:szCs w:val="21"/>
              </w:rPr>
              <w:t>通过威胁透视镜功能呈现由内网终端发起或指向内网终端的网络威胁</w:t>
            </w:r>
          </w:p>
        </w:tc>
      </w:tr>
      <w:tr w14:paraId="0603313A">
        <w:tblPrEx>
          <w:tblCellMar>
            <w:top w:w="0" w:type="dxa"/>
            <w:left w:w="108" w:type="dxa"/>
            <w:bottom w:w="0" w:type="dxa"/>
            <w:right w:w="108" w:type="dxa"/>
          </w:tblCellMar>
        </w:tblPrEx>
        <w:trPr>
          <w:trHeight w:val="329" w:hRule="atLeast"/>
        </w:trPr>
        <w:tc>
          <w:tcPr>
            <w:tcW w:w="866" w:type="pct"/>
            <w:vMerge w:val="continue"/>
            <w:tcBorders>
              <w:left w:val="single" w:color="auto" w:sz="4" w:space="0"/>
              <w:right w:val="single" w:color="auto" w:sz="4" w:space="0"/>
            </w:tcBorders>
            <w:vAlign w:val="center"/>
          </w:tcPr>
          <w:p w14:paraId="7314BD8F">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63183FAC">
            <w:pPr>
              <w:widowControl/>
              <w:jc w:val="left"/>
              <w:rPr>
                <w:rFonts w:ascii="宋体" w:hAnsi="宋体" w:cs="宋体"/>
                <w:kern w:val="0"/>
                <w:szCs w:val="21"/>
              </w:rPr>
            </w:pPr>
            <w:r>
              <w:rPr>
                <w:rFonts w:hint="eastAsia" w:ascii="宋体" w:hAnsi="宋体" w:cs="宋体"/>
                <w:kern w:val="0"/>
                <w:szCs w:val="21"/>
              </w:rPr>
              <w:t>支持异常行为威胁事件的异常信息提取及呈现（提供设备功能截图）</w:t>
            </w:r>
          </w:p>
        </w:tc>
      </w:tr>
      <w:tr w14:paraId="444C3B81">
        <w:tblPrEx>
          <w:tblCellMar>
            <w:top w:w="0" w:type="dxa"/>
            <w:left w:w="108" w:type="dxa"/>
            <w:bottom w:w="0" w:type="dxa"/>
            <w:right w:w="108" w:type="dxa"/>
          </w:tblCellMar>
        </w:tblPrEx>
        <w:trPr>
          <w:trHeight w:val="345" w:hRule="atLeast"/>
        </w:trPr>
        <w:tc>
          <w:tcPr>
            <w:tcW w:w="866" w:type="pct"/>
            <w:vMerge w:val="continue"/>
            <w:tcBorders>
              <w:left w:val="single" w:color="auto" w:sz="4" w:space="0"/>
              <w:right w:val="single" w:color="auto" w:sz="4" w:space="0"/>
            </w:tcBorders>
            <w:vAlign w:val="center"/>
          </w:tcPr>
          <w:p w14:paraId="717F6D5E">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7E94D02F">
            <w:pPr>
              <w:widowControl/>
              <w:jc w:val="left"/>
              <w:rPr>
                <w:rFonts w:ascii="宋体" w:hAnsi="宋体" w:cs="宋体"/>
                <w:kern w:val="0"/>
                <w:szCs w:val="21"/>
              </w:rPr>
            </w:pPr>
            <w:r>
              <w:rPr>
                <w:rFonts w:hint="eastAsia" w:ascii="宋体" w:hAnsi="宋体" w:cs="宋体"/>
                <w:kern w:val="0"/>
                <w:szCs w:val="21"/>
              </w:rPr>
              <w:t>支持攻击路径还原，支持威胁标签展示</w:t>
            </w:r>
          </w:p>
        </w:tc>
      </w:tr>
      <w:tr w14:paraId="0DC291EF">
        <w:tblPrEx>
          <w:tblCellMar>
            <w:top w:w="0" w:type="dxa"/>
            <w:left w:w="108" w:type="dxa"/>
            <w:bottom w:w="0" w:type="dxa"/>
            <w:right w:w="108" w:type="dxa"/>
          </w:tblCellMar>
        </w:tblPrEx>
        <w:trPr>
          <w:trHeight w:val="660" w:hRule="atLeast"/>
        </w:trPr>
        <w:tc>
          <w:tcPr>
            <w:tcW w:w="866" w:type="pct"/>
            <w:vMerge w:val="continue"/>
            <w:tcBorders>
              <w:left w:val="single" w:color="auto" w:sz="4" w:space="0"/>
              <w:right w:val="single" w:color="auto" w:sz="4" w:space="0"/>
            </w:tcBorders>
            <w:vAlign w:val="center"/>
          </w:tcPr>
          <w:p w14:paraId="28E01790">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5917B716">
            <w:pPr>
              <w:widowControl/>
              <w:jc w:val="left"/>
              <w:rPr>
                <w:rFonts w:ascii="宋体" w:hAnsi="宋体" w:cs="宋体"/>
                <w:kern w:val="0"/>
                <w:szCs w:val="21"/>
              </w:rPr>
            </w:pPr>
            <w:r>
              <w:rPr>
                <w:rFonts w:hint="eastAsia" w:ascii="宋体" w:hAnsi="宋体" w:cs="宋体"/>
                <w:kern w:val="0"/>
                <w:szCs w:val="21"/>
              </w:rPr>
              <w:t>支持通过RestAPI接口获取威胁事件及详细信息，包括但不限于：源目IP，威胁类型，严重级别，协议，端口等。</w:t>
            </w:r>
          </w:p>
        </w:tc>
      </w:tr>
      <w:tr w14:paraId="560C7FE3">
        <w:tblPrEx>
          <w:tblCellMar>
            <w:top w:w="0" w:type="dxa"/>
            <w:left w:w="108" w:type="dxa"/>
            <w:bottom w:w="0" w:type="dxa"/>
            <w:right w:w="108" w:type="dxa"/>
          </w:tblCellMar>
        </w:tblPrEx>
        <w:trPr>
          <w:trHeight w:val="330" w:hRule="atLeast"/>
        </w:trPr>
        <w:tc>
          <w:tcPr>
            <w:tcW w:w="86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FBDEED">
            <w:pPr>
              <w:widowControl/>
              <w:jc w:val="center"/>
              <w:rPr>
                <w:rFonts w:ascii="宋体" w:hAnsi="宋体" w:cs="宋体"/>
                <w:color w:val="000000"/>
                <w:kern w:val="0"/>
                <w:szCs w:val="21"/>
              </w:rPr>
            </w:pPr>
            <w:r>
              <w:rPr>
                <w:rFonts w:hint="eastAsia" w:ascii="宋体" w:hAnsi="宋体" w:cs="宋体"/>
                <w:color w:val="000000"/>
                <w:kern w:val="0"/>
                <w:szCs w:val="21"/>
              </w:rPr>
              <w:t>威胁检测</w:t>
            </w:r>
          </w:p>
        </w:tc>
        <w:tc>
          <w:tcPr>
            <w:tcW w:w="4134" w:type="pct"/>
            <w:tcBorders>
              <w:top w:val="nil"/>
              <w:left w:val="nil"/>
              <w:bottom w:val="single" w:color="auto" w:sz="4" w:space="0"/>
              <w:right w:val="single" w:color="auto" w:sz="4" w:space="0"/>
            </w:tcBorders>
            <w:shd w:val="clear" w:color="auto" w:fill="auto"/>
            <w:vAlign w:val="center"/>
          </w:tcPr>
          <w:p w14:paraId="0CAB8D6A">
            <w:pPr>
              <w:widowControl/>
              <w:jc w:val="left"/>
              <w:rPr>
                <w:rFonts w:ascii="宋体" w:hAnsi="宋体" w:cs="宋体"/>
                <w:color w:val="000000"/>
                <w:kern w:val="0"/>
                <w:szCs w:val="21"/>
              </w:rPr>
            </w:pPr>
            <w:r>
              <w:rPr>
                <w:rFonts w:hint="eastAsia" w:ascii="宋体" w:hAnsi="宋体" w:cs="宋体"/>
                <w:color w:val="000000"/>
                <w:kern w:val="0"/>
                <w:szCs w:val="21"/>
              </w:rPr>
              <w:t>多种畸形报文攻击检测</w:t>
            </w:r>
          </w:p>
        </w:tc>
      </w:tr>
      <w:tr w14:paraId="6463B3CF">
        <w:tblPrEx>
          <w:tblCellMar>
            <w:top w:w="0" w:type="dxa"/>
            <w:left w:w="108" w:type="dxa"/>
            <w:bottom w:w="0" w:type="dxa"/>
            <w:right w:w="108" w:type="dxa"/>
          </w:tblCellMar>
        </w:tblPrEx>
        <w:trPr>
          <w:trHeight w:val="330" w:hRule="atLeast"/>
        </w:trPr>
        <w:tc>
          <w:tcPr>
            <w:tcW w:w="8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81C694">
            <w:pPr>
              <w:widowControl/>
              <w:jc w:val="left"/>
              <w:rPr>
                <w:rFonts w:ascii="宋体" w:hAnsi="宋体" w:cs="宋体"/>
                <w:color w:val="000000"/>
                <w:kern w:val="0"/>
                <w:szCs w:val="21"/>
              </w:rPr>
            </w:pPr>
          </w:p>
        </w:tc>
        <w:tc>
          <w:tcPr>
            <w:tcW w:w="4134" w:type="pct"/>
            <w:tcBorders>
              <w:top w:val="nil"/>
              <w:left w:val="single" w:color="auto" w:sz="4" w:space="0"/>
              <w:bottom w:val="single" w:color="auto" w:sz="4" w:space="0"/>
              <w:right w:val="single" w:color="auto" w:sz="4" w:space="0"/>
            </w:tcBorders>
            <w:shd w:val="clear" w:color="auto" w:fill="auto"/>
            <w:vAlign w:val="center"/>
          </w:tcPr>
          <w:p w14:paraId="720E7811">
            <w:pPr>
              <w:widowControl/>
              <w:jc w:val="left"/>
              <w:rPr>
                <w:rFonts w:ascii="宋体" w:hAnsi="宋体" w:cs="宋体"/>
                <w:color w:val="000000"/>
                <w:kern w:val="0"/>
                <w:szCs w:val="21"/>
              </w:rPr>
            </w:pPr>
            <w:r>
              <w:rPr>
                <w:rFonts w:hint="eastAsia" w:ascii="宋体" w:hAnsi="宋体" w:cs="宋体"/>
                <w:color w:val="000000"/>
                <w:kern w:val="0"/>
                <w:szCs w:val="21"/>
              </w:rPr>
              <w:t>支持自定义应用层攻击特征，提供预定义检测配置模板</w:t>
            </w:r>
          </w:p>
        </w:tc>
      </w:tr>
      <w:tr w14:paraId="3BCD4038">
        <w:tblPrEx>
          <w:tblCellMar>
            <w:top w:w="0" w:type="dxa"/>
            <w:left w:w="108" w:type="dxa"/>
            <w:bottom w:w="0" w:type="dxa"/>
            <w:right w:w="108" w:type="dxa"/>
          </w:tblCellMar>
        </w:tblPrEx>
        <w:trPr>
          <w:trHeight w:val="330" w:hRule="atLeast"/>
        </w:trPr>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320A7C2D">
            <w:pPr>
              <w:widowControl/>
              <w:jc w:val="left"/>
              <w:rPr>
                <w:rFonts w:ascii="宋体" w:hAnsi="宋体" w:cs="宋体"/>
                <w:color w:val="000000"/>
                <w:kern w:val="0"/>
                <w:szCs w:val="21"/>
              </w:rPr>
            </w:pPr>
            <w:r>
              <w:rPr>
                <w:rFonts w:hint="eastAsia" w:ascii="宋体" w:hAnsi="宋体" w:cs="宋体"/>
                <w:color w:val="000000"/>
                <w:kern w:val="0"/>
                <w:szCs w:val="21"/>
              </w:rPr>
              <w:t>入侵检测</w:t>
            </w:r>
          </w:p>
        </w:tc>
        <w:tc>
          <w:tcPr>
            <w:tcW w:w="4134" w:type="pct"/>
            <w:tcBorders>
              <w:top w:val="nil"/>
              <w:left w:val="single" w:color="auto" w:sz="4" w:space="0"/>
              <w:bottom w:val="single" w:color="auto" w:sz="4" w:space="0"/>
              <w:right w:val="single" w:color="auto" w:sz="4" w:space="0"/>
            </w:tcBorders>
            <w:shd w:val="clear" w:color="auto" w:fill="auto"/>
            <w:vAlign w:val="center"/>
          </w:tcPr>
          <w:p w14:paraId="67DB79C6">
            <w:pPr>
              <w:widowControl/>
              <w:jc w:val="left"/>
              <w:rPr>
                <w:rFonts w:ascii="宋体" w:hAnsi="宋体" w:cs="宋体"/>
                <w:color w:val="000000"/>
                <w:kern w:val="0"/>
                <w:szCs w:val="21"/>
              </w:rPr>
            </w:pPr>
            <w:r>
              <w:rPr>
                <w:rFonts w:hint="eastAsia" w:ascii="宋体" w:hAnsi="宋体" w:cs="宋体"/>
                <w:kern w:val="0"/>
                <w:szCs w:val="21"/>
              </w:rPr>
              <w:t>提供≥9000种特征的攻击检测，特征库支持网络实时更新（要求提供证明截图）</w:t>
            </w:r>
          </w:p>
        </w:tc>
      </w:tr>
      <w:tr w14:paraId="3FE59CB4">
        <w:tblPrEx>
          <w:tblCellMar>
            <w:top w:w="0" w:type="dxa"/>
            <w:left w:w="108" w:type="dxa"/>
            <w:bottom w:w="0" w:type="dxa"/>
            <w:right w:w="108" w:type="dxa"/>
          </w:tblCellMar>
        </w:tblPrEx>
        <w:trPr>
          <w:trHeight w:val="330" w:hRule="atLeast"/>
        </w:trPr>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002318F3">
            <w:pPr>
              <w:widowControl/>
              <w:jc w:val="left"/>
              <w:rPr>
                <w:rFonts w:ascii="宋体" w:hAnsi="宋体" w:cs="宋体"/>
                <w:color w:val="000000"/>
                <w:kern w:val="0"/>
                <w:szCs w:val="21"/>
              </w:rPr>
            </w:pPr>
            <w:r>
              <w:rPr>
                <w:rFonts w:hint="eastAsia" w:ascii="宋体" w:hAnsi="宋体" w:cs="宋体"/>
                <w:color w:val="000000"/>
                <w:kern w:val="0"/>
                <w:szCs w:val="21"/>
              </w:rPr>
              <w:t>弱密码检测</w:t>
            </w:r>
          </w:p>
        </w:tc>
        <w:tc>
          <w:tcPr>
            <w:tcW w:w="4134" w:type="pct"/>
            <w:tcBorders>
              <w:top w:val="nil"/>
              <w:left w:val="single" w:color="auto" w:sz="4" w:space="0"/>
              <w:bottom w:val="single" w:color="auto" w:sz="4" w:space="0"/>
              <w:right w:val="single" w:color="auto" w:sz="4" w:space="0"/>
            </w:tcBorders>
            <w:shd w:val="clear" w:color="auto" w:fill="auto"/>
            <w:vAlign w:val="center"/>
          </w:tcPr>
          <w:p w14:paraId="15BF8370">
            <w:pPr>
              <w:widowControl/>
              <w:jc w:val="left"/>
              <w:rPr>
                <w:rFonts w:ascii="宋体" w:hAnsi="宋体" w:cs="宋体"/>
                <w:color w:val="000000"/>
                <w:kern w:val="0"/>
                <w:szCs w:val="21"/>
              </w:rPr>
            </w:pPr>
            <w:r>
              <w:rPr>
                <w:rFonts w:ascii="宋体" w:hAnsi="宋体" w:cs="宋体"/>
                <w:color w:val="000000"/>
                <w:kern w:val="0"/>
                <w:szCs w:val="21"/>
              </w:rPr>
              <w:t>弱密码检测支持协议：ftp telnet http smtp pop imap</w:t>
            </w:r>
          </w:p>
        </w:tc>
      </w:tr>
      <w:tr w14:paraId="3BDD1974">
        <w:tblPrEx>
          <w:tblCellMar>
            <w:top w:w="0" w:type="dxa"/>
            <w:left w:w="108" w:type="dxa"/>
            <w:bottom w:w="0" w:type="dxa"/>
            <w:right w:w="108" w:type="dxa"/>
          </w:tblCellMar>
        </w:tblPrEx>
        <w:trPr>
          <w:trHeight w:val="330" w:hRule="atLeast"/>
        </w:trPr>
        <w:tc>
          <w:tcPr>
            <w:tcW w:w="86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C718B8">
            <w:pPr>
              <w:widowControl/>
              <w:jc w:val="left"/>
              <w:rPr>
                <w:rFonts w:ascii="宋体" w:hAnsi="宋体" w:cs="宋体"/>
                <w:color w:val="000000"/>
                <w:kern w:val="0"/>
                <w:szCs w:val="21"/>
              </w:rPr>
            </w:pPr>
            <w:r>
              <w:rPr>
                <w:rFonts w:hint="eastAsia" w:ascii="宋体" w:hAnsi="宋体" w:cs="宋体"/>
                <w:color w:val="000000"/>
                <w:kern w:val="0"/>
                <w:szCs w:val="21"/>
              </w:rPr>
              <w:t>病毒检测</w:t>
            </w:r>
          </w:p>
        </w:tc>
        <w:tc>
          <w:tcPr>
            <w:tcW w:w="4134" w:type="pct"/>
            <w:tcBorders>
              <w:top w:val="nil"/>
              <w:left w:val="nil"/>
              <w:bottom w:val="single" w:color="auto" w:sz="4" w:space="0"/>
              <w:right w:val="single" w:color="auto" w:sz="4" w:space="0"/>
            </w:tcBorders>
            <w:shd w:val="clear" w:color="auto" w:fill="auto"/>
            <w:vAlign w:val="center"/>
          </w:tcPr>
          <w:p w14:paraId="490EDF56">
            <w:pPr>
              <w:widowControl/>
              <w:jc w:val="left"/>
              <w:rPr>
                <w:rFonts w:ascii="宋体" w:hAnsi="宋体" w:cs="宋体"/>
                <w:color w:val="000000"/>
                <w:kern w:val="0"/>
                <w:szCs w:val="21"/>
              </w:rPr>
            </w:pPr>
            <w:r>
              <w:rPr>
                <w:rFonts w:hint="eastAsia" w:ascii="宋体" w:hAnsi="宋体" w:cs="宋体"/>
                <w:color w:val="000000"/>
                <w:kern w:val="0"/>
                <w:szCs w:val="21"/>
              </w:rPr>
              <w:t>基于流的病毒检测，支持压缩病毒文件的扫描</w:t>
            </w:r>
          </w:p>
        </w:tc>
      </w:tr>
      <w:tr w14:paraId="1DF64FFA">
        <w:tblPrEx>
          <w:tblCellMar>
            <w:top w:w="0" w:type="dxa"/>
            <w:left w:w="108" w:type="dxa"/>
            <w:bottom w:w="0" w:type="dxa"/>
            <w:right w:w="108" w:type="dxa"/>
          </w:tblCellMar>
        </w:tblPrEx>
        <w:trPr>
          <w:trHeight w:val="330" w:hRule="atLeast"/>
        </w:trPr>
        <w:tc>
          <w:tcPr>
            <w:tcW w:w="86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FCBAD7">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3C156E67">
            <w:pPr>
              <w:widowControl/>
              <w:rPr>
                <w:rFonts w:ascii="宋体" w:hAnsi="宋体" w:cs="宋体"/>
                <w:color w:val="000000"/>
                <w:kern w:val="0"/>
                <w:szCs w:val="21"/>
              </w:rPr>
            </w:pPr>
            <w:r>
              <w:rPr>
                <w:rFonts w:hint="eastAsia" w:ascii="宋体" w:hAnsi="宋体" w:cs="宋体"/>
                <w:kern w:val="0"/>
                <w:szCs w:val="21"/>
              </w:rPr>
              <w:t>≥</w:t>
            </w:r>
            <w:r>
              <w:rPr>
                <w:rFonts w:ascii="宋体" w:hAnsi="宋体" w:cs="宋体"/>
                <w:color w:val="000000"/>
                <w:kern w:val="0"/>
                <w:szCs w:val="21"/>
              </w:rPr>
              <w:t>500</w:t>
            </w:r>
            <w:r>
              <w:rPr>
                <w:rFonts w:hint="eastAsia" w:ascii="宋体" w:hAnsi="宋体" w:cs="宋体"/>
                <w:color w:val="000000"/>
                <w:kern w:val="0"/>
                <w:szCs w:val="21"/>
              </w:rPr>
              <w:t>万的病毒特征库，病</w:t>
            </w:r>
            <w:r>
              <w:rPr>
                <w:rFonts w:hint="eastAsia" w:ascii="宋体" w:hAnsi="宋体" w:cs="宋体"/>
                <w:kern w:val="0"/>
                <w:szCs w:val="21"/>
              </w:rPr>
              <w:t>毒库支持网络实时更新</w:t>
            </w:r>
          </w:p>
        </w:tc>
      </w:tr>
      <w:tr w14:paraId="160C88A5">
        <w:tblPrEx>
          <w:tblCellMar>
            <w:top w:w="0" w:type="dxa"/>
            <w:left w:w="108" w:type="dxa"/>
            <w:bottom w:w="0" w:type="dxa"/>
            <w:right w:w="108" w:type="dxa"/>
          </w:tblCellMar>
        </w:tblPrEx>
        <w:trPr>
          <w:trHeight w:val="330" w:hRule="atLeast"/>
        </w:trPr>
        <w:tc>
          <w:tcPr>
            <w:tcW w:w="866" w:type="pct"/>
            <w:vMerge w:val="restart"/>
            <w:tcBorders>
              <w:top w:val="single" w:color="auto" w:sz="4" w:space="0"/>
              <w:left w:val="single" w:color="auto" w:sz="4" w:space="0"/>
              <w:right w:val="single" w:color="auto" w:sz="4" w:space="0"/>
            </w:tcBorders>
            <w:shd w:val="clear" w:color="auto" w:fill="auto"/>
            <w:vAlign w:val="center"/>
          </w:tcPr>
          <w:p w14:paraId="076F2536">
            <w:pPr>
              <w:widowControl/>
              <w:jc w:val="left"/>
              <w:rPr>
                <w:rFonts w:ascii="宋体" w:hAnsi="宋体" w:cs="宋体"/>
                <w:color w:val="000000"/>
                <w:kern w:val="0"/>
                <w:szCs w:val="21"/>
              </w:rPr>
            </w:pPr>
            <w:r>
              <w:rPr>
                <w:rFonts w:hint="eastAsia" w:ascii="宋体" w:hAnsi="宋体" w:cs="宋体"/>
                <w:color w:val="000000"/>
                <w:kern w:val="0"/>
                <w:szCs w:val="21"/>
              </w:rPr>
              <w:t>高级威胁检测</w:t>
            </w:r>
          </w:p>
        </w:tc>
        <w:tc>
          <w:tcPr>
            <w:tcW w:w="4134" w:type="pct"/>
            <w:tcBorders>
              <w:top w:val="nil"/>
              <w:left w:val="nil"/>
              <w:bottom w:val="single" w:color="auto" w:sz="4" w:space="0"/>
              <w:right w:val="single" w:color="auto" w:sz="4" w:space="0"/>
            </w:tcBorders>
            <w:shd w:val="clear" w:color="auto" w:fill="auto"/>
            <w:vAlign w:val="center"/>
          </w:tcPr>
          <w:p w14:paraId="6C601730">
            <w:pPr>
              <w:widowControl/>
              <w:jc w:val="left"/>
              <w:rPr>
                <w:rFonts w:ascii="宋体" w:hAnsi="宋体" w:cs="宋体"/>
                <w:color w:val="000000"/>
                <w:kern w:val="0"/>
                <w:szCs w:val="21"/>
              </w:rPr>
            </w:pPr>
            <w:r>
              <w:rPr>
                <w:rFonts w:hint="eastAsia" w:ascii="宋体" w:hAnsi="宋体" w:cs="宋体"/>
                <w:color w:val="000000"/>
                <w:kern w:val="0"/>
                <w:szCs w:val="21"/>
              </w:rPr>
              <w:t>基于高级威胁行为集的未知威胁检测</w:t>
            </w:r>
          </w:p>
        </w:tc>
      </w:tr>
      <w:tr w14:paraId="00F515DD">
        <w:tblPrEx>
          <w:tblCellMar>
            <w:top w:w="0" w:type="dxa"/>
            <w:left w:w="108" w:type="dxa"/>
            <w:bottom w:w="0" w:type="dxa"/>
            <w:right w:w="108" w:type="dxa"/>
          </w:tblCellMar>
        </w:tblPrEx>
        <w:trPr>
          <w:trHeight w:val="330" w:hRule="atLeast"/>
        </w:trPr>
        <w:tc>
          <w:tcPr>
            <w:tcW w:w="866" w:type="pct"/>
            <w:vMerge w:val="continue"/>
            <w:tcBorders>
              <w:left w:val="single" w:color="auto" w:sz="4" w:space="0"/>
              <w:bottom w:val="single" w:color="auto" w:sz="4" w:space="0"/>
              <w:right w:val="single" w:color="auto" w:sz="4" w:space="0"/>
            </w:tcBorders>
            <w:shd w:val="clear" w:color="auto" w:fill="auto"/>
            <w:vAlign w:val="center"/>
          </w:tcPr>
          <w:p w14:paraId="6A81304A">
            <w:pPr>
              <w:widowControl/>
              <w:jc w:val="left"/>
              <w:rPr>
                <w:rFonts w:ascii="宋体" w:hAnsi="宋体" w:cs="宋体"/>
                <w:color w:val="000000"/>
                <w:kern w:val="0"/>
                <w:szCs w:val="21"/>
              </w:rPr>
            </w:pPr>
          </w:p>
        </w:tc>
        <w:tc>
          <w:tcPr>
            <w:tcW w:w="4134" w:type="pct"/>
            <w:tcBorders>
              <w:top w:val="nil"/>
              <w:left w:val="single" w:color="auto" w:sz="4" w:space="0"/>
              <w:bottom w:val="single" w:color="auto" w:sz="4" w:space="0"/>
              <w:right w:val="single" w:color="auto" w:sz="4" w:space="0"/>
            </w:tcBorders>
            <w:shd w:val="clear" w:color="auto" w:fill="auto"/>
            <w:vAlign w:val="center"/>
          </w:tcPr>
          <w:p w14:paraId="5192DDA9">
            <w:pPr>
              <w:widowControl/>
              <w:jc w:val="left"/>
              <w:rPr>
                <w:rFonts w:ascii="宋体" w:hAnsi="宋体" w:cs="宋体"/>
                <w:color w:val="000000"/>
                <w:kern w:val="0"/>
                <w:szCs w:val="21"/>
              </w:rPr>
            </w:pPr>
            <w:r>
              <w:rPr>
                <w:rFonts w:hint="eastAsia" w:ascii="宋体" w:hAnsi="宋体" w:cs="宋体"/>
                <w:color w:val="000000"/>
                <w:kern w:val="0"/>
                <w:szCs w:val="21"/>
              </w:rPr>
              <w:t>支持主流的恶意勒索软件和挖矿软件检测</w:t>
            </w:r>
          </w:p>
        </w:tc>
      </w:tr>
      <w:tr w14:paraId="75ECAE6D">
        <w:tblPrEx>
          <w:tblCellMar>
            <w:top w:w="0" w:type="dxa"/>
            <w:left w:w="108" w:type="dxa"/>
            <w:bottom w:w="0" w:type="dxa"/>
            <w:right w:w="108" w:type="dxa"/>
          </w:tblCellMar>
        </w:tblPrEx>
        <w:trPr>
          <w:trHeight w:val="330" w:hRule="atLeast"/>
        </w:trPr>
        <w:tc>
          <w:tcPr>
            <w:tcW w:w="866" w:type="pct"/>
            <w:tcBorders>
              <w:top w:val="single" w:color="auto" w:sz="4" w:space="0"/>
              <w:left w:val="single" w:color="auto" w:sz="4" w:space="0"/>
              <w:bottom w:val="single" w:color="auto" w:sz="4" w:space="0"/>
              <w:right w:val="single" w:color="auto" w:sz="4" w:space="0"/>
            </w:tcBorders>
            <w:shd w:val="clear" w:color="auto" w:fill="auto"/>
            <w:vAlign w:val="center"/>
          </w:tcPr>
          <w:p w14:paraId="37F0CDC6">
            <w:pPr>
              <w:widowControl/>
              <w:jc w:val="left"/>
              <w:rPr>
                <w:rFonts w:ascii="宋体" w:hAnsi="宋体" w:cs="宋体"/>
                <w:color w:val="000000"/>
                <w:kern w:val="0"/>
                <w:szCs w:val="21"/>
              </w:rPr>
            </w:pPr>
            <w:r>
              <w:rPr>
                <w:rFonts w:ascii="宋体" w:hAnsi="宋体" w:cs="宋体"/>
                <w:color w:val="000000"/>
                <w:kern w:val="0"/>
                <w:szCs w:val="21"/>
              </w:rPr>
              <w:t xml:space="preserve">WEB </w:t>
            </w:r>
            <w:r>
              <w:rPr>
                <w:rFonts w:hint="eastAsia" w:ascii="宋体" w:hAnsi="宋体" w:cs="宋体"/>
                <w:color w:val="000000"/>
                <w:kern w:val="0"/>
                <w:szCs w:val="21"/>
              </w:rPr>
              <w:t>攻击检测</w:t>
            </w:r>
          </w:p>
        </w:tc>
        <w:tc>
          <w:tcPr>
            <w:tcW w:w="4134" w:type="pct"/>
            <w:tcBorders>
              <w:top w:val="nil"/>
              <w:left w:val="single" w:color="auto" w:sz="4" w:space="0"/>
              <w:bottom w:val="single" w:color="auto" w:sz="4" w:space="0"/>
              <w:right w:val="single" w:color="auto" w:sz="4" w:space="0"/>
            </w:tcBorders>
            <w:shd w:val="clear" w:color="auto" w:fill="auto"/>
            <w:vAlign w:val="center"/>
          </w:tcPr>
          <w:p w14:paraId="66306545">
            <w:pPr>
              <w:widowControl/>
              <w:jc w:val="left"/>
              <w:rPr>
                <w:rFonts w:ascii="宋体" w:hAnsi="宋体" w:cs="宋体"/>
                <w:color w:val="000000"/>
                <w:kern w:val="0"/>
                <w:szCs w:val="21"/>
              </w:rPr>
            </w:pPr>
            <w:r>
              <w:rPr>
                <w:rFonts w:hint="eastAsia" w:ascii="宋体" w:hAnsi="宋体" w:cs="宋体"/>
                <w:color w:val="000000"/>
                <w:kern w:val="0"/>
                <w:szCs w:val="21"/>
              </w:rPr>
              <w:t>支持H</w:t>
            </w:r>
            <w:r>
              <w:rPr>
                <w:rFonts w:ascii="宋体" w:hAnsi="宋体" w:cs="宋体"/>
                <w:color w:val="000000"/>
                <w:kern w:val="0"/>
                <w:szCs w:val="21"/>
              </w:rPr>
              <w:t>TTP协议异常、</w:t>
            </w:r>
            <w:r>
              <w:rPr>
                <w:rFonts w:hint="eastAsia" w:ascii="宋体" w:hAnsi="宋体" w:cs="宋体"/>
                <w:color w:val="000000"/>
                <w:kern w:val="0"/>
                <w:szCs w:val="21"/>
              </w:rPr>
              <w:t>D</w:t>
            </w:r>
            <w:r>
              <w:rPr>
                <w:rFonts w:ascii="宋体" w:hAnsi="宋体" w:cs="宋体"/>
                <w:color w:val="000000"/>
                <w:kern w:val="0"/>
                <w:szCs w:val="21"/>
              </w:rPr>
              <w:t>DOS攻击、注入攻击、跨站攻击、信息泄露、探测访问、特殊漏洞、恶意软件、资源非法访问（提供设备功能截图）</w:t>
            </w:r>
          </w:p>
        </w:tc>
      </w:tr>
      <w:tr w14:paraId="57E77F2D">
        <w:tblPrEx>
          <w:tblCellMar>
            <w:top w:w="0" w:type="dxa"/>
            <w:left w:w="108" w:type="dxa"/>
            <w:bottom w:w="0" w:type="dxa"/>
            <w:right w:w="108" w:type="dxa"/>
          </w:tblCellMar>
        </w:tblPrEx>
        <w:trPr>
          <w:trHeight w:val="660" w:hRule="atLeast"/>
        </w:trPr>
        <w:tc>
          <w:tcPr>
            <w:tcW w:w="866" w:type="pct"/>
            <w:vMerge w:val="restart"/>
            <w:tcBorders>
              <w:left w:val="single" w:color="auto" w:sz="4" w:space="0"/>
              <w:right w:val="single" w:color="auto" w:sz="4" w:space="0"/>
            </w:tcBorders>
            <w:shd w:val="clear" w:color="auto" w:fill="auto"/>
            <w:vAlign w:val="center"/>
          </w:tcPr>
          <w:p w14:paraId="6590123E">
            <w:pPr>
              <w:widowControl/>
              <w:jc w:val="left"/>
              <w:rPr>
                <w:rFonts w:ascii="宋体" w:hAnsi="宋体" w:cs="宋体"/>
                <w:color w:val="000000"/>
                <w:kern w:val="0"/>
                <w:szCs w:val="21"/>
              </w:rPr>
            </w:pPr>
            <w:r>
              <w:rPr>
                <w:rFonts w:hint="eastAsia" w:ascii="宋体" w:hAnsi="宋体" w:cs="宋体"/>
                <w:color w:val="000000"/>
                <w:kern w:val="0"/>
                <w:szCs w:val="21"/>
              </w:rPr>
              <w:t>异常行为分析</w:t>
            </w:r>
          </w:p>
        </w:tc>
        <w:tc>
          <w:tcPr>
            <w:tcW w:w="4134" w:type="pct"/>
            <w:tcBorders>
              <w:top w:val="nil"/>
              <w:left w:val="nil"/>
              <w:bottom w:val="single" w:color="auto" w:sz="4" w:space="0"/>
              <w:right w:val="single" w:color="auto" w:sz="4" w:space="0"/>
            </w:tcBorders>
            <w:shd w:val="clear" w:color="auto" w:fill="auto"/>
            <w:vAlign w:val="center"/>
          </w:tcPr>
          <w:p w14:paraId="723931C2">
            <w:pPr>
              <w:widowControl/>
              <w:jc w:val="left"/>
              <w:rPr>
                <w:rFonts w:ascii="宋体" w:hAnsi="宋体" w:cs="宋体"/>
                <w:color w:val="000000"/>
                <w:kern w:val="0"/>
                <w:szCs w:val="21"/>
              </w:rPr>
            </w:pPr>
            <w:r>
              <w:rPr>
                <w:rFonts w:hint="eastAsia" w:ascii="宋体" w:hAnsi="宋体" w:cs="宋体"/>
                <w:color w:val="000000"/>
                <w:kern w:val="0"/>
                <w:szCs w:val="21"/>
              </w:rPr>
              <w:t>可灵活配置异常行为检测的灵敏度、学习周期、学习基值等属性，支持手动配置学习和不监测，应对业务变更或特例情况（提供设备功能截图）</w:t>
            </w:r>
          </w:p>
        </w:tc>
      </w:tr>
      <w:tr w14:paraId="774FA273">
        <w:tblPrEx>
          <w:tblCellMar>
            <w:top w:w="0" w:type="dxa"/>
            <w:left w:w="108" w:type="dxa"/>
            <w:bottom w:w="0" w:type="dxa"/>
            <w:right w:w="108" w:type="dxa"/>
          </w:tblCellMar>
        </w:tblPrEx>
        <w:trPr>
          <w:trHeight w:val="330" w:hRule="atLeast"/>
        </w:trPr>
        <w:tc>
          <w:tcPr>
            <w:tcW w:w="866" w:type="pct"/>
            <w:vMerge w:val="continue"/>
            <w:tcBorders>
              <w:left w:val="single" w:color="auto" w:sz="4" w:space="0"/>
              <w:bottom w:val="single" w:color="auto" w:sz="4" w:space="0"/>
              <w:right w:val="single" w:color="auto" w:sz="4" w:space="0"/>
            </w:tcBorders>
            <w:shd w:val="clear" w:color="auto" w:fill="auto"/>
            <w:vAlign w:val="center"/>
          </w:tcPr>
          <w:p w14:paraId="296698FE">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41632943">
            <w:pPr>
              <w:widowControl/>
              <w:jc w:val="left"/>
              <w:rPr>
                <w:rFonts w:ascii="宋体" w:hAnsi="宋体" w:cs="宋体"/>
                <w:color w:val="000000"/>
                <w:kern w:val="0"/>
                <w:szCs w:val="21"/>
              </w:rPr>
            </w:pPr>
            <w:r>
              <w:rPr>
                <w:rFonts w:hint="eastAsia" w:ascii="宋体" w:hAnsi="宋体" w:cs="宋体"/>
                <w:color w:val="000000"/>
                <w:kern w:val="0"/>
                <w:szCs w:val="21"/>
              </w:rPr>
              <w:t>支持手动设置异常行为检测中部分检测规则的检测阈值，适应真实环境（提供设备功能截图）</w:t>
            </w:r>
          </w:p>
        </w:tc>
      </w:tr>
      <w:tr w14:paraId="7A9C8ED7">
        <w:trPr>
          <w:trHeight w:val="343" w:hRule="atLeast"/>
        </w:trPr>
        <w:tc>
          <w:tcPr>
            <w:tcW w:w="866" w:type="pct"/>
            <w:vMerge w:val="restart"/>
            <w:tcBorders>
              <w:top w:val="single" w:color="auto" w:sz="4" w:space="0"/>
              <w:left w:val="single" w:color="auto" w:sz="4" w:space="0"/>
              <w:right w:val="single" w:color="auto" w:sz="4" w:space="0"/>
            </w:tcBorders>
            <w:shd w:val="clear" w:color="auto" w:fill="auto"/>
            <w:vAlign w:val="center"/>
          </w:tcPr>
          <w:p w14:paraId="49361264">
            <w:pPr>
              <w:widowControl/>
              <w:jc w:val="left"/>
              <w:rPr>
                <w:rFonts w:ascii="宋体" w:hAnsi="宋体" w:cs="宋体"/>
                <w:color w:val="000000"/>
                <w:kern w:val="0"/>
                <w:szCs w:val="21"/>
              </w:rPr>
            </w:pPr>
            <w:r>
              <w:rPr>
                <w:rFonts w:hint="eastAsia" w:ascii="宋体" w:hAnsi="宋体" w:cs="宋体"/>
                <w:color w:val="000000"/>
                <w:kern w:val="0"/>
                <w:szCs w:val="21"/>
              </w:rPr>
              <w:t>威胁追踪溯源</w:t>
            </w:r>
          </w:p>
        </w:tc>
        <w:tc>
          <w:tcPr>
            <w:tcW w:w="4134" w:type="pct"/>
            <w:tcBorders>
              <w:top w:val="nil"/>
              <w:left w:val="nil"/>
              <w:bottom w:val="single" w:color="auto" w:sz="4" w:space="0"/>
              <w:right w:val="single" w:color="auto" w:sz="4" w:space="0"/>
            </w:tcBorders>
            <w:shd w:val="clear" w:color="auto" w:fill="auto"/>
            <w:vAlign w:val="center"/>
          </w:tcPr>
          <w:p w14:paraId="01BD3504">
            <w:pPr>
              <w:widowControl/>
              <w:jc w:val="left"/>
              <w:rPr>
                <w:rFonts w:ascii="宋体" w:hAnsi="宋体" w:cs="宋体"/>
                <w:kern w:val="0"/>
                <w:szCs w:val="21"/>
              </w:rPr>
            </w:pPr>
            <w:r>
              <w:rPr>
                <w:rFonts w:hint="eastAsia" w:ascii="宋体" w:hAnsi="宋体" w:cs="宋体"/>
                <w:kern w:val="0"/>
                <w:szCs w:val="21"/>
              </w:rPr>
              <w:t>支持威胁追踪，捕获证据信息</w:t>
            </w:r>
          </w:p>
        </w:tc>
      </w:tr>
      <w:tr w14:paraId="14561BA5">
        <w:tblPrEx>
          <w:tblCellMar>
            <w:top w:w="0" w:type="dxa"/>
            <w:left w:w="108" w:type="dxa"/>
            <w:bottom w:w="0" w:type="dxa"/>
            <w:right w:w="108" w:type="dxa"/>
          </w:tblCellMar>
        </w:tblPrEx>
        <w:trPr>
          <w:trHeight w:val="660" w:hRule="atLeast"/>
        </w:trPr>
        <w:tc>
          <w:tcPr>
            <w:tcW w:w="866" w:type="pct"/>
            <w:vMerge w:val="continue"/>
            <w:tcBorders>
              <w:left w:val="single" w:color="auto" w:sz="4" w:space="0"/>
              <w:right w:val="single" w:color="auto" w:sz="4" w:space="0"/>
            </w:tcBorders>
            <w:shd w:val="clear" w:color="auto" w:fill="auto"/>
            <w:vAlign w:val="center"/>
          </w:tcPr>
          <w:p w14:paraId="7412295E">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1DF74783">
            <w:pPr>
              <w:widowControl/>
              <w:jc w:val="left"/>
              <w:rPr>
                <w:rFonts w:ascii="宋体" w:hAnsi="宋体" w:cs="宋体"/>
                <w:kern w:val="0"/>
                <w:szCs w:val="21"/>
              </w:rPr>
            </w:pPr>
            <w:r>
              <w:rPr>
                <w:rFonts w:hint="eastAsia" w:ascii="宋体" w:hAnsi="宋体" w:cs="宋体"/>
                <w:kern w:val="0"/>
                <w:szCs w:val="21"/>
              </w:rPr>
              <w:t>支持根据终端事件分析检测威胁事件（远程桌面暴力暴力、恶意PowerShell进程、可疑文件创建、绕过用户权限控制访问文件或应用程序）</w:t>
            </w:r>
          </w:p>
        </w:tc>
      </w:tr>
      <w:tr w14:paraId="7778AF0E">
        <w:tblPrEx>
          <w:tblCellMar>
            <w:top w:w="0" w:type="dxa"/>
            <w:left w:w="108" w:type="dxa"/>
            <w:bottom w:w="0" w:type="dxa"/>
            <w:right w:w="108" w:type="dxa"/>
          </w:tblCellMar>
        </w:tblPrEx>
        <w:trPr>
          <w:trHeight w:val="330" w:hRule="atLeast"/>
        </w:trPr>
        <w:tc>
          <w:tcPr>
            <w:tcW w:w="866" w:type="pct"/>
            <w:vMerge w:val="continue"/>
            <w:tcBorders>
              <w:left w:val="single" w:color="auto" w:sz="4" w:space="0"/>
              <w:bottom w:val="single" w:color="auto" w:sz="4" w:space="0"/>
              <w:right w:val="single" w:color="auto" w:sz="4" w:space="0"/>
            </w:tcBorders>
            <w:shd w:val="clear" w:color="auto" w:fill="auto"/>
            <w:vAlign w:val="center"/>
          </w:tcPr>
          <w:p w14:paraId="3B6C362C">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4F059D1D">
            <w:pPr>
              <w:widowControl/>
              <w:jc w:val="left"/>
              <w:rPr>
                <w:rFonts w:ascii="宋体" w:hAnsi="宋体" w:cs="宋体"/>
                <w:kern w:val="0"/>
                <w:szCs w:val="21"/>
              </w:rPr>
            </w:pPr>
            <w:r>
              <w:rPr>
                <w:rFonts w:hint="eastAsia" w:ascii="宋体" w:hAnsi="宋体" w:cs="宋体"/>
                <w:kern w:val="0"/>
                <w:szCs w:val="21"/>
              </w:rPr>
              <w:t>支持溯源取证，查询产生威胁的相关进程信息</w:t>
            </w:r>
            <w:r>
              <w:rPr>
                <w:rFonts w:hint="eastAsia" w:ascii="宋体" w:hAnsi="宋体" w:cs="宋体"/>
                <w:color w:val="000000"/>
                <w:kern w:val="0"/>
                <w:szCs w:val="21"/>
              </w:rPr>
              <w:t>（提供设备功能截图）</w:t>
            </w:r>
          </w:p>
        </w:tc>
      </w:tr>
      <w:tr w14:paraId="6D7C865F">
        <w:tblPrEx>
          <w:tblCellMar>
            <w:top w:w="0" w:type="dxa"/>
            <w:left w:w="108" w:type="dxa"/>
            <w:bottom w:w="0" w:type="dxa"/>
            <w:right w:w="108" w:type="dxa"/>
          </w:tblCellMar>
        </w:tblPrEx>
        <w:trPr>
          <w:trHeight w:val="330" w:hRule="atLeast"/>
        </w:trPr>
        <w:tc>
          <w:tcPr>
            <w:tcW w:w="866" w:type="pct"/>
            <w:vMerge w:val="restart"/>
            <w:tcBorders>
              <w:top w:val="single" w:color="auto" w:sz="4" w:space="0"/>
              <w:left w:val="single" w:color="auto" w:sz="4" w:space="0"/>
              <w:right w:val="single" w:color="auto" w:sz="4" w:space="0"/>
            </w:tcBorders>
            <w:shd w:val="clear" w:color="auto" w:fill="auto"/>
            <w:vAlign w:val="center"/>
          </w:tcPr>
          <w:p w14:paraId="2969FE32">
            <w:pPr>
              <w:widowControl/>
              <w:jc w:val="left"/>
              <w:rPr>
                <w:rFonts w:ascii="宋体" w:hAnsi="宋体" w:cs="宋体"/>
                <w:color w:val="000000"/>
                <w:kern w:val="0"/>
                <w:szCs w:val="21"/>
              </w:rPr>
            </w:pPr>
            <w:r>
              <w:rPr>
                <w:rFonts w:hint="eastAsia" w:ascii="宋体" w:hAnsi="宋体" w:cs="宋体"/>
                <w:color w:val="000000"/>
                <w:kern w:val="0"/>
                <w:szCs w:val="21"/>
              </w:rPr>
              <w:t>威胁诱捕检测</w:t>
            </w:r>
          </w:p>
        </w:tc>
        <w:tc>
          <w:tcPr>
            <w:tcW w:w="4134" w:type="pct"/>
            <w:tcBorders>
              <w:top w:val="nil"/>
              <w:left w:val="nil"/>
              <w:bottom w:val="single" w:color="auto" w:sz="4" w:space="0"/>
              <w:right w:val="single" w:color="auto" w:sz="4" w:space="0"/>
            </w:tcBorders>
            <w:shd w:val="clear" w:color="auto" w:fill="auto"/>
            <w:vAlign w:val="center"/>
          </w:tcPr>
          <w:p w14:paraId="72C3FDA9">
            <w:pPr>
              <w:widowControl/>
              <w:jc w:val="left"/>
              <w:rPr>
                <w:rFonts w:ascii="宋体" w:hAnsi="宋体" w:cs="宋体"/>
                <w:color w:val="000000"/>
                <w:kern w:val="0"/>
                <w:szCs w:val="21"/>
              </w:rPr>
            </w:pPr>
            <w:r>
              <w:rPr>
                <w:rFonts w:hint="eastAsia" w:ascii="宋体" w:hAnsi="宋体" w:cs="宋体"/>
                <w:color w:val="000000"/>
                <w:kern w:val="0"/>
                <w:szCs w:val="21"/>
              </w:rPr>
              <w:t>支持本地设置蜜罐陷阱，诱捕网络威胁攻击，确认威胁来源、威胁类型及影响范围</w:t>
            </w:r>
          </w:p>
        </w:tc>
      </w:tr>
      <w:tr w14:paraId="615D93BA">
        <w:tblPrEx>
          <w:tblCellMar>
            <w:top w:w="0" w:type="dxa"/>
            <w:left w:w="108" w:type="dxa"/>
            <w:bottom w:w="0" w:type="dxa"/>
            <w:right w:w="108" w:type="dxa"/>
          </w:tblCellMar>
        </w:tblPrEx>
        <w:trPr>
          <w:trHeight w:val="330" w:hRule="atLeast"/>
        </w:trPr>
        <w:tc>
          <w:tcPr>
            <w:tcW w:w="866" w:type="pct"/>
            <w:vMerge w:val="continue"/>
            <w:tcBorders>
              <w:left w:val="single" w:color="auto" w:sz="4" w:space="0"/>
              <w:bottom w:val="single" w:color="auto" w:sz="4" w:space="0"/>
              <w:right w:val="single" w:color="auto" w:sz="4" w:space="0"/>
            </w:tcBorders>
            <w:shd w:val="clear" w:color="auto" w:fill="auto"/>
            <w:vAlign w:val="center"/>
          </w:tcPr>
          <w:p w14:paraId="354DAFBE">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11F1A523">
            <w:pPr>
              <w:widowControl/>
              <w:jc w:val="left"/>
              <w:rPr>
                <w:rFonts w:ascii="宋体" w:hAnsi="宋体" w:cs="宋体"/>
                <w:color w:val="000000"/>
                <w:kern w:val="0"/>
                <w:szCs w:val="21"/>
              </w:rPr>
            </w:pPr>
            <w:r>
              <w:rPr>
                <w:rFonts w:hint="eastAsia" w:ascii="宋体" w:hAnsi="宋体" w:cs="宋体"/>
                <w:color w:val="000000"/>
                <w:kern w:val="0"/>
                <w:szCs w:val="21"/>
              </w:rPr>
              <w:t>支持至少FTP、HTTP、MYSQL、SSH、TELNET五种网络协议的行为欺骗检测</w:t>
            </w:r>
          </w:p>
        </w:tc>
      </w:tr>
      <w:tr w14:paraId="21E4E15F">
        <w:tblPrEx>
          <w:tblCellMar>
            <w:top w:w="0" w:type="dxa"/>
            <w:left w:w="108" w:type="dxa"/>
            <w:bottom w:w="0" w:type="dxa"/>
            <w:right w:w="108" w:type="dxa"/>
          </w:tblCellMar>
        </w:tblPrEx>
        <w:trPr>
          <w:trHeight w:val="330" w:hRule="atLeast"/>
        </w:trPr>
        <w:tc>
          <w:tcPr>
            <w:tcW w:w="866" w:type="pct"/>
            <w:vMerge w:val="restart"/>
            <w:tcBorders>
              <w:top w:val="nil"/>
              <w:left w:val="single" w:color="auto" w:sz="4" w:space="0"/>
              <w:right w:val="single" w:color="auto" w:sz="4" w:space="0"/>
            </w:tcBorders>
            <w:shd w:val="clear" w:color="auto" w:fill="auto"/>
            <w:vAlign w:val="center"/>
          </w:tcPr>
          <w:p w14:paraId="547669DD">
            <w:pPr>
              <w:widowControl/>
              <w:jc w:val="left"/>
              <w:rPr>
                <w:rFonts w:ascii="宋体" w:hAnsi="宋体" w:cs="宋体"/>
                <w:color w:val="000000"/>
                <w:kern w:val="0"/>
                <w:szCs w:val="21"/>
              </w:rPr>
            </w:pPr>
            <w:r>
              <w:rPr>
                <w:rFonts w:ascii="宋体" w:hAnsi="宋体" w:cs="宋体"/>
                <w:color w:val="000000"/>
                <w:kern w:val="0"/>
                <w:szCs w:val="21"/>
              </w:rPr>
              <w:t>威胁情报联动</w:t>
            </w:r>
          </w:p>
        </w:tc>
        <w:tc>
          <w:tcPr>
            <w:tcW w:w="4134" w:type="pct"/>
            <w:tcBorders>
              <w:top w:val="nil"/>
              <w:left w:val="nil"/>
              <w:bottom w:val="single" w:color="auto" w:sz="4" w:space="0"/>
              <w:right w:val="single" w:color="auto" w:sz="4" w:space="0"/>
            </w:tcBorders>
            <w:shd w:val="clear" w:color="auto" w:fill="auto"/>
            <w:vAlign w:val="center"/>
          </w:tcPr>
          <w:p w14:paraId="69BE6F84">
            <w:pPr>
              <w:widowControl/>
              <w:jc w:val="left"/>
              <w:rPr>
                <w:rFonts w:ascii="宋体" w:hAnsi="宋体" w:cs="宋体"/>
                <w:color w:val="000000"/>
                <w:kern w:val="0"/>
                <w:szCs w:val="21"/>
              </w:rPr>
            </w:pPr>
            <w:r>
              <w:rPr>
                <w:rFonts w:hint="eastAsia" w:ascii="宋体" w:hAnsi="宋体" w:cs="宋体"/>
                <w:color w:val="000000"/>
                <w:kern w:val="0"/>
                <w:szCs w:val="21"/>
              </w:rPr>
              <w:t>支持云端威胁情报库实时推送目前业界已发现的最严峻的威胁信息至设备，并以弹窗形式显示最新的威胁推送信息（提供设备功能截图）</w:t>
            </w:r>
          </w:p>
        </w:tc>
      </w:tr>
      <w:tr w14:paraId="50BF57E3">
        <w:tblPrEx>
          <w:tblCellMar>
            <w:top w:w="0" w:type="dxa"/>
            <w:left w:w="108" w:type="dxa"/>
            <w:bottom w:w="0" w:type="dxa"/>
            <w:right w:w="108" w:type="dxa"/>
          </w:tblCellMar>
        </w:tblPrEx>
        <w:trPr>
          <w:trHeight w:val="330" w:hRule="atLeast"/>
        </w:trPr>
        <w:tc>
          <w:tcPr>
            <w:tcW w:w="866" w:type="pct"/>
            <w:vMerge w:val="continue"/>
            <w:tcBorders>
              <w:left w:val="single" w:color="auto" w:sz="4" w:space="0"/>
              <w:right w:val="single" w:color="auto" w:sz="4" w:space="0"/>
            </w:tcBorders>
            <w:shd w:val="clear" w:color="auto" w:fill="auto"/>
            <w:vAlign w:val="center"/>
          </w:tcPr>
          <w:p w14:paraId="46B00F75">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3551369B">
            <w:pPr>
              <w:widowControl/>
              <w:jc w:val="left"/>
              <w:rPr>
                <w:rFonts w:ascii="宋体" w:hAnsi="宋体" w:cs="宋体"/>
                <w:color w:val="000000"/>
                <w:kern w:val="0"/>
                <w:szCs w:val="21"/>
              </w:rPr>
            </w:pPr>
            <w:r>
              <w:rPr>
                <w:rFonts w:hint="eastAsia" w:ascii="宋体" w:hAnsi="宋体" w:cs="宋体"/>
                <w:color w:val="000000"/>
                <w:kern w:val="0"/>
                <w:szCs w:val="21"/>
              </w:rPr>
              <w:t>支持对于存在威胁情报信息的威胁事件或威胁日志，可以在列表或详情中对用户进行提示</w:t>
            </w:r>
          </w:p>
        </w:tc>
      </w:tr>
      <w:tr w14:paraId="17B4B0DE">
        <w:tblPrEx>
          <w:tblCellMar>
            <w:top w:w="0" w:type="dxa"/>
            <w:left w:w="108" w:type="dxa"/>
            <w:bottom w:w="0" w:type="dxa"/>
            <w:right w:w="108" w:type="dxa"/>
          </w:tblCellMar>
        </w:tblPrEx>
        <w:trPr>
          <w:trHeight w:val="330" w:hRule="atLeast"/>
        </w:trPr>
        <w:tc>
          <w:tcPr>
            <w:tcW w:w="866" w:type="pct"/>
            <w:vMerge w:val="continue"/>
            <w:tcBorders>
              <w:left w:val="single" w:color="auto" w:sz="4" w:space="0"/>
              <w:bottom w:val="single" w:color="auto" w:sz="4" w:space="0"/>
              <w:right w:val="single" w:color="auto" w:sz="4" w:space="0"/>
            </w:tcBorders>
            <w:shd w:val="clear" w:color="auto" w:fill="auto"/>
            <w:vAlign w:val="center"/>
          </w:tcPr>
          <w:p w14:paraId="5B55D39D">
            <w:pPr>
              <w:widowControl/>
              <w:jc w:val="left"/>
              <w:rPr>
                <w:rFonts w:ascii="宋体" w:hAnsi="宋体" w:cs="宋体"/>
                <w:color w:val="000000"/>
                <w:kern w:val="0"/>
                <w:szCs w:val="21"/>
              </w:rPr>
            </w:pPr>
          </w:p>
        </w:tc>
        <w:tc>
          <w:tcPr>
            <w:tcW w:w="4134" w:type="pct"/>
            <w:tcBorders>
              <w:top w:val="nil"/>
              <w:left w:val="nil"/>
              <w:bottom w:val="single" w:color="auto" w:sz="4" w:space="0"/>
              <w:right w:val="single" w:color="auto" w:sz="4" w:space="0"/>
            </w:tcBorders>
            <w:shd w:val="clear" w:color="auto" w:fill="auto"/>
            <w:vAlign w:val="center"/>
          </w:tcPr>
          <w:p w14:paraId="39CCEBEB">
            <w:pPr>
              <w:widowControl/>
              <w:jc w:val="left"/>
              <w:rPr>
                <w:rFonts w:ascii="宋体" w:hAnsi="宋体" w:cs="宋体"/>
                <w:color w:val="000000"/>
                <w:kern w:val="0"/>
                <w:szCs w:val="21"/>
              </w:rPr>
            </w:pPr>
            <w:r>
              <w:rPr>
                <w:rFonts w:hint="eastAsia" w:ascii="宋体" w:hAnsi="宋体" w:cs="宋体"/>
                <w:color w:val="000000"/>
                <w:kern w:val="0"/>
                <w:szCs w:val="21"/>
              </w:rPr>
              <w:t>支持</w:t>
            </w:r>
            <w:r>
              <w:rPr>
                <w:rFonts w:hint="eastAsia" w:ascii="宋体" w:hAnsi="宋体" w:cs="宋体"/>
                <w:kern w:val="0"/>
                <w:szCs w:val="21"/>
              </w:rPr>
              <w:t>对于</w:t>
            </w:r>
            <w:r>
              <w:rPr>
                <w:rFonts w:hint="eastAsia" w:ascii="宋体" w:hAnsi="宋体" w:cs="宋体"/>
                <w:color w:val="000000"/>
                <w:kern w:val="0"/>
                <w:szCs w:val="21"/>
              </w:rPr>
              <w:t>存在威胁情报信息的IP，MD5，URL和domain，支持快速跳转到威胁情报中心进行详细信息查看</w:t>
            </w:r>
          </w:p>
        </w:tc>
      </w:tr>
      <w:tr w14:paraId="6021E075">
        <w:tblPrEx>
          <w:tblCellMar>
            <w:top w:w="0" w:type="dxa"/>
            <w:left w:w="108" w:type="dxa"/>
            <w:bottom w:w="0" w:type="dxa"/>
            <w:right w:w="108" w:type="dxa"/>
          </w:tblCellMar>
        </w:tblPrEx>
        <w:trPr>
          <w:trHeight w:val="330" w:hRule="atLeast"/>
        </w:trPr>
        <w:tc>
          <w:tcPr>
            <w:tcW w:w="86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C9CFD4">
            <w:pPr>
              <w:widowControl/>
              <w:jc w:val="center"/>
              <w:rPr>
                <w:rFonts w:ascii="宋体" w:hAnsi="宋体" w:cs="宋体"/>
                <w:color w:val="000000"/>
                <w:kern w:val="0"/>
                <w:szCs w:val="21"/>
              </w:rPr>
            </w:pPr>
            <w:r>
              <w:rPr>
                <w:rFonts w:hint="eastAsia" w:ascii="宋体" w:hAnsi="宋体" w:cs="宋体"/>
                <w:color w:val="000000"/>
                <w:kern w:val="0"/>
                <w:szCs w:val="21"/>
              </w:rPr>
              <w:t>监控统计</w:t>
            </w:r>
          </w:p>
        </w:tc>
        <w:tc>
          <w:tcPr>
            <w:tcW w:w="4134" w:type="pct"/>
            <w:tcBorders>
              <w:top w:val="single" w:color="auto" w:sz="4" w:space="0"/>
              <w:left w:val="single" w:color="auto" w:sz="4" w:space="0"/>
              <w:bottom w:val="single" w:color="auto" w:sz="4" w:space="0"/>
              <w:right w:val="single" w:color="auto" w:sz="4" w:space="0"/>
            </w:tcBorders>
            <w:shd w:val="clear" w:color="auto" w:fill="auto"/>
            <w:vAlign w:val="center"/>
          </w:tcPr>
          <w:p w14:paraId="060604B9">
            <w:pPr>
              <w:widowControl/>
              <w:jc w:val="left"/>
              <w:rPr>
                <w:rFonts w:ascii="宋体" w:hAnsi="宋体" w:cs="宋体"/>
                <w:color w:val="000000"/>
                <w:kern w:val="0"/>
                <w:szCs w:val="21"/>
              </w:rPr>
            </w:pPr>
            <w:r>
              <w:rPr>
                <w:rFonts w:hint="eastAsia" w:ascii="宋体" w:hAnsi="宋体" w:cs="宋体"/>
                <w:kern w:val="0"/>
                <w:szCs w:val="21"/>
              </w:rPr>
              <w:t>可识别≥6000种的PC及移动端应用程序，能够准确识别</w:t>
            </w:r>
            <w:r>
              <w:rPr>
                <w:rFonts w:ascii="宋体" w:hAnsi="宋体" w:cs="宋体"/>
                <w:kern w:val="0"/>
                <w:szCs w:val="21"/>
              </w:rPr>
              <w:t>IM、P2P下载、文件传输、邮件、在线游戏、股票软件、流媒体、非法信道等应用</w:t>
            </w:r>
            <w:r>
              <w:rPr>
                <w:rFonts w:hint="eastAsia" w:ascii="宋体" w:hAnsi="宋体" w:cs="宋体"/>
                <w:kern w:val="0"/>
                <w:szCs w:val="21"/>
              </w:rPr>
              <w:t>（提供设备功能截图</w:t>
            </w:r>
            <w:r>
              <w:rPr>
                <w:rFonts w:ascii="宋体" w:hAnsi="宋体" w:cs="宋体"/>
                <w:kern w:val="0"/>
                <w:szCs w:val="21"/>
              </w:rPr>
              <w:t>）</w:t>
            </w:r>
          </w:p>
        </w:tc>
      </w:tr>
      <w:tr w14:paraId="3AEC8F3A">
        <w:tblPrEx>
          <w:tblCellMar>
            <w:top w:w="0" w:type="dxa"/>
            <w:left w:w="108" w:type="dxa"/>
            <w:bottom w:w="0" w:type="dxa"/>
            <w:right w:w="108" w:type="dxa"/>
          </w:tblCellMar>
        </w:tblPrEx>
        <w:trPr>
          <w:trHeight w:val="660" w:hRule="atLeast"/>
        </w:trPr>
        <w:tc>
          <w:tcPr>
            <w:tcW w:w="866" w:type="pct"/>
            <w:tcBorders>
              <w:top w:val="nil"/>
              <w:left w:val="single" w:color="000000" w:sz="8" w:space="0"/>
              <w:bottom w:val="single" w:color="auto" w:sz="4" w:space="0"/>
              <w:right w:val="single" w:color="000000" w:sz="8" w:space="0"/>
            </w:tcBorders>
            <w:shd w:val="clear" w:color="auto" w:fill="auto"/>
            <w:vAlign w:val="center"/>
          </w:tcPr>
          <w:p w14:paraId="7432F5FE">
            <w:pPr>
              <w:widowControl/>
              <w:jc w:val="center"/>
              <w:textAlignment w:val="center"/>
              <w:rPr>
                <w:rFonts w:ascii="宋体" w:hAnsi="宋体" w:cs="宋体"/>
                <w:b/>
                <w:bCs/>
                <w:color w:val="000000"/>
                <w:szCs w:val="21"/>
              </w:rPr>
            </w:pPr>
            <w:bookmarkStart w:id="42" w:name="_Toc51053579"/>
            <w:bookmarkStart w:id="43" w:name="_Toc16228"/>
            <w:bookmarkStart w:id="44" w:name="_Toc3231"/>
            <w:bookmarkStart w:id="45" w:name="_Toc31593"/>
            <w:bookmarkStart w:id="46" w:name="_Toc363"/>
            <w:bookmarkStart w:id="47" w:name="_Toc12808"/>
            <w:r>
              <w:rPr>
                <w:rFonts w:hint="eastAsia" w:ascii="宋体" w:hAnsi="宋体" w:cs="宋体"/>
                <w:color w:val="000000"/>
                <w:kern w:val="0"/>
                <w:szCs w:val="21"/>
              </w:rPr>
              <w:t>安装要求</w:t>
            </w:r>
          </w:p>
        </w:tc>
        <w:tc>
          <w:tcPr>
            <w:tcW w:w="4134" w:type="pct"/>
            <w:tcBorders>
              <w:top w:val="nil"/>
              <w:left w:val="nil"/>
              <w:bottom w:val="single" w:color="auto" w:sz="4" w:space="0"/>
              <w:right w:val="single" w:color="000000" w:sz="8" w:space="0"/>
            </w:tcBorders>
            <w:shd w:val="clear" w:color="auto" w:fill="auto"/>
            <w:vAlign w:val="center"/>
          </w:tcPr>
          <w:p w14:paraId="7BFD411C">
            <w:pPr>
              <w:widowControl/>
              <w:jc w:val="left"/>
              <w:textAlignment w:val="center"/>
              <w:rPr>
                <w:rFonts w:ascii="宋体" w:hAnsi="宋体" w:cs="宋体"/>
                <w:color w:val="000000"/>
                <w:szCs w:val="21"/>
              </w:rPr>
            </w:pPr>
            <w:r>
              <w:rPr>
                <w:rFonts w:hint="eastAsia" w:ascii="宋体" w:hAnsi="宋体" w:cs="宋体"/>
                <w:color w:val="000000"/>
                <w:kern w:val="0"/>
                <w:szCs w:val="21"/>
              </w:rPr>
              <w:t>导轨、相关缆线（电源线、接地线等）必须齐全并满足机房实际布局连接要求。负责货物的搬运、安装和系统集成，并免费提供所需的各类连接线、光纤线、网线、电源线等相关配件，并负责根据用户现场环境做好地板承重加固、按照用户要求做好机房电源连接等工作。负责硬件操作系统等相关软件安装、系统集成、测试，并协助用户部署现有其他应用设备</w:t>
            </w:r>
          </w:p>
        </w:tc>
      </w:tr>
      <w:tr w14:paraId="4A90F02A">
        <w:tblPrEx>
          <w:tblCellMar>
            <w:top w:w="0" w:type="dxa"/>
            <w:left w:w="108" w:type="dxa"/>
            <w:bottom w:w="0" w:type="dxa"/>
            <w:right w:w="108" w:type="dxa"/>
          </w:tblCellMar>
        </w:tblPrEx>
        <w:trPr>
          <w:trHeight w:val="660" w:hRule="atLeast"/>
        </w:trPr>
        <w:tc>
          <w:tcPr>
            <w:tcW w:w="866" w:type="pct"/>
            <w:tcBorders>
              <w:top w:val="nil"/>
              <w:left w:val="single" w:color="000000" w:sz="8" w:space="0"/>
              <w:bottom w:val="single" w:color="auto" w:sz="4" w:space="0"/>
              <w:right w:val="single" w:color="000000" w:sz="8" w:space="0"/>
            </w:tcBorders>
            <w:shd w:val="clear" w:color="auto" w:fill="auto"/>
            <w:vAlign w:val="center"/>
          </w:tcPr>
          <w:p w14:paraId="5C7C880C">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服务要求</w:t>
            </w:r>
          </w:p>
        </w:tc>
        <w:tc>
          <w:tcPr>
            <w:tcW w:w="4134" w:type="pct"/>
            <w:tcBorders>
              <w:top w:val="nil"/>
              <w:left w:val="nil"/>
              <w:bottom w:val="single" w:color="auto" w:sz="4" w:space="0"/>
              <w:right w:val="single" w:color="000000" w:sz="8" w:space="0"/>
            </w:tcBorders>
            <w:shd w:val="clear" w:color="auto" w:fill="auto"/>
            <w:vAlign w:val="center"/>
          </w:tcPr>
          <w:p w14:paraId="500B3613">
            <w:pPr>
              <w:widowControl/>
              <w:jc w:val="left"/>
              <w:textAlignment w:val="center"/>
              <w:rPr>
                <w:rFonts w:ascii="宋体" w:hAnsi="宋体" w:cs="宋体"/>
                <w:color w:val="000000"/>
                <w:kern w:val="0"/>
                <w:szCs w:val="21"/>
              </w:rPr>
            </w:pPr>
            <w:r>
              <w:rPr>
                <w:rFonts w:hint="eastAsia" w:ascii="宋体" w:hAnsi="宋体" w:cs="宋体"/>
                <w:color w:val="000000"/>
                <w:kern w:val="0"/>
                <w:szCs w:val="21"/>
              </w:rPr>
              <w:t>提供</w:t>
            </w:r>
            <w:r>
              <w:rPr>
                <w:rFonts w:ascii="宋体" w:hAnsi="宋体" w:cs="宋体"/>
                <w:color w:val="000000"/>
                <w:kern w:val="0"/>
                <w:szCs w:val="21"/>
              </w:rPr>
              <w:t>3</w:t>
            </w:r>
            <w:r>
              <w:rPr>
                <w:rFonts w:hint="eastAsia" w:ascii="宋体" w:hAnsi="宋体" w:cs="宋体"/>
                <w:color w:val="000000"/>
                <w:kern w:val="0"/>
                <w:szCs w:val="21"/>
              </w:rPr>
              <w:t>年原厂7×24免费现场包修服务和现场技术支持服务</w:t>
            </w:r>
          </w:p>
        </w:tc>
      </w:tr>
    </w:tbl>
    <w:p w14:paraId="3641B091">
      <w:pPr>
        <w:spacing w:line="360" w:lineRule="auto"/>
      </w:pPr>
    </w:p>
    <w:p w14:paraId="0C375247">
      <w:pPr>
        <w:pStyle w:val="2"/>
        <w:rPr>
          <w:sz w:val="24"/>
          <w:szCs w:val="32"/>
        </w:rPr>
      </w:pPr>
      <w:r>
        <w:rPr>
          <w:sz w:val="24"/>
          <w:szCs w:val="32"/>
        </w:rPr>
        <w:t>2</w:t>
      </w:r>
      <w:r>
        <w:rPr>
          <w:rFonts w:hint="eastAsia"/>
          <w:sz w:val="24"/>
          <w:szCs w:val="32"/>
        </w:rPr>
        <w:t>、辅材清单</w:t>
      </w:r>
    </w:p>
    <w:tbl>
      <w:tblPr>
        <w:tblStyle w:val="59"/>
        <w:tblW w:w="9365" w:type="dxa"/>
        <w:jc w:val="center"/>
        <w:tblLayout w:type="autofit"/>
        <w:tblCellMar>
          <w:top w:w="0" w:type="dxa"/>
          <w:left w:w="108" w:type="dxa"/>
          <w:bottom w:w="0" w:type="dxa"/>
          <w:right w:w="108" w:type="dxa"/>
        </w:tblCellMar>
      </w:tblPr>
      <w:tblGrid>
        <w:gridCol w:w="816"/>
        <w:gridCol w:w="1433"/>
        <w:gridCol w:w="4391"/>
        <w:gridCol w:w="1010"/>
        <w:gridCol w:w="1715"/>
      </w:tblGrid>
      <w:tr w14:paraId="55A4FD51">
        <w:tblPrEx>
          <w:tblCellMar>
            <w:top w:w="0" w:type="dxa"/>
            <w:left w:w="108" w:type="dxa"/>
            <w:bottom w:w="0" w:type="dxa"/>
            <w:right w:w="108" w:type="dxa"/>
          </w:tblCellMar>
        </w:tblPrEx>
        <w:trPr>
          <w:trHeight w:val="51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0B7C">
            <w:pPr>
              <w:widowControl/>
              <w:spacing w:line="400" w:lineRule="exact"/>
              <w:jc w:val="center"/>
              <w:rPr>
                <w:rFonts w:eastAsiaTheme="minorEastAsia"/>
                <w:color w:val="000000"/>
                <w:kern w:val="0"/>
                <w:szCs w:val="21"/>
              </w:rPr>
            </w:pPr>
            <w:r>
              <w:rPr>
                <w:rFonts w:hint="eastAsia" w:eastAsiaTheme="minorEastAsia"/>
                <w:color w:val="000000"/>
                <w:kern w:val="0"/>
                <w:szCs w:val="21"/>
              </w:rPr>
              <w:t>序号</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1ECC">
            <w:pPr>
              <w:widowControl/>
              <w:spacing w:line="400" w:lineRule="exact"/>
              <w:jc w:val="center"/>
              <w:rPr>
                <w:rFonts w:eastAsiaTheme="minorEastAsia"/>
                <w:color w:val="000000"/>
                <w:kern w:val="0"/>
                <w:szCs w:val="21"/>
              </w:rPr>
            </w:pPr>
            <w:r>
              <w:rPr>
                <w:rFonts w:hint="eastAsia" w:eastAsiaTheme="minorEastAsia"/>
                <w:color w:val="000000"/>
                <w:kern w:val="0"/>
                <w:szCs w:val="21"/>
              </w:rPr>
              <w:t>辅材类型</w:t>
            </w:r>
          </w:p>
        </w:tc>
        <w:tc>
          <w:tcPr>
            <w:tcW w:w="4391" w:type="dxa"/>
            <w:tcBorders>
              <w:top w:val="single" w:color="000000" w:sz="4" w:space="0"/>
              <w:left w:val="single" w:color="000000" w:sz="4" w:space="0"/>
              <w:bottom w:val="single" w:color="000000" w:sz="4" w:space="0"/>
              <w:right w:val="single" w:color="000000" w:sz="4" w:space="0"/>
            </w:tcBorders>
            <w:vAlign w:val="center"/>
          </w:tcPr>
          <w:p w14:paraId="1FDBC80B">
            <w:pPr>
              <w:widowControl/>
              <w:spacing w:line="400" w:lineRule="exact"/>
              <w:jc w:val="center"/>
              <w:rPr>
                <w:rFonts w:eastAsiaTheme="minorEastAsia"/>
                <w:color w:val="000000"/>
                <w:kern w:val="0"/>
                <w:szCs w:val="21"/>
              </w:rPr>
            </w:pPr>
            <w:r>
              <w:rPr>
                <w:rFonts w:hint="eastAsia" w:eastAsiaTheme="minorEastAsia"/>
                <w:color w:val="000000"/>
                <w:kern w:val="0"/>
                <w:szCs w:val="21"/>
              </w:rPr>
              <w:t>辅材规格</w:t>
            </w:r>
            <w:r>
              <w:rPr>
                <w:rFonts w:eastAsiaTheme="minorEastAsia"/>
                <w:color w:val="000000"/>
                <w:kern w:val="0"/>
                <w:szCs w:val="21"/>
              </w:rPr>
              <w:t>型号</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B5FF">
            <w:pPr>
              <w:widowControl/>
              <w:spacing w:line="400" w:lineRule="exact"/>
              <w:jc w:val="center"/>
              <w:rPr>
                <w:rFonts w:eastAsiaTheme="minorEastAsia"/>
                <w:color w:val="000000"/>
                <w:kern w:val="0"/>
                <w:szCs w:val="21"/>
              </w:rPr>
            </w:pPr>
            <w:r>
              <w:rPr>
                <w:rFonts w:hint="eastAsia" w:eastAsiaTheme="minorEastAsia"/>
                <w:color w:val="000000"/>
                <w:kern w:val="0"/>
                <w:szCs w:val="21"/>
              </w:rPr>
              <w:t>长度</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FD82">
            <w:pPr>
              <w:widowControl/>
              <w:spacing w:line="400" w:lineRule="exact"/>
              <w:jc w:val="center"/>
              <w:rPr>
                <w:rFonts w:eastAsiaTheme="minorEastAsia"/>
                <w:color w:val="000000"/>
                <w:kern w:val="0"/>
                <w:szCs w:val="21"/>
              </w:rPr>
            </w:pPr>
            <w:r>
              <w:rPr>
                <w:rFonts w:hint="eastAsia" w:eastAsiaTheme="minorEastAsia"/>
                <w:color w:val="000000"/>
                <w:kern w:val="0"/>
                <w:szCs w:val="21"/>
              </w:rPr>
              <w:t>总计（根/对）</w:t>
            </w:r>
          </w:p>
        </w:tc>
      </w:tr>
      <w:tr w14:paraId="347CB3D6">
        <w:tblPrEx>
          <w:tblCellMar>
            <w:top w:w="0" w:type="dxa"/>
            <w:left w:w="108" w:type="dxa"/>
            <w:bottom w:w="0" w:type="dxa"/>
            <w:right w:w="108" w:type="dxa"/>
          </w:tblCellMar>
        </w:tblPrEx>
        <w:trPr>
          <w:trHeight w:val="51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1F56">
            <w:pPr>
              <w:widowControl/>
              <w:spacing w:line="400" w:lineRule="exact"/>
              <w:jc w:val="center"/>
              <w:rPr>
                <w:rFonts w:eastAsiaTheme="minorEastAsia"/>
                <w:color w:val="000000"/>
                <w:kern w:val="0"/>
                <w:szCs w:val="21"/>
              </w:rPr>
            </w:pPr>
            <w:r>
              <w:rPr>
                <w:rFonts w:eastAsiaTheme="minorEastAsia"/>
                <w:color w:val="000000"/>
                <w:kern w:val="0"/>
                <w:szCs w:val="21"/>
              </w:rPr>
              <w:t>1</w:t>
            </w:r>
          </w:p>
        </w:tc>
        <w:tc>
          <w:tcPr>
            <w:tcW w:w="1433" w:type="dxa"/>
            <w:vMerge w:val="restart"/>
            <w:tcBorders>
              <w:top w:val="single" w:color="000000" w:sz="4" w:space="0"/>
              <w:left w:val="single" w:color="000000" w:sz="4" w:space="0"/>
              <w:right w:val="single" w:color="000000" w:sz="4" w:space="0"/>
            </w:tcBorders>
            <w:shd w:val="clear" w:color="auto" w:fill="auto"/>
            <w:noWrap/>
            <w:vAlign w:val="center"/>
          </w:tcPr>
          <w:p w14:paraId="03192F40">
            <w:pPr>
              <w:widowControl/>
              <w:spacing w:line="400" w:lineRule="exact"/>
              <w:jc w:val="center"/>
              <w:rPr>
                <w:rFonts w:eastAsiaTheme="minorEastAsia"/>
                <w:color w:val="000000"/>
                <w:kern w:val="0"/>
                <w:szCs w:val="21"/>
              </w:rPr>
            </w:pPr>
            <w:r>
              <w:rPr>
                <w:rFonts w:eastAsiaTheme="minorEastAsia"/>
                <w:color w:val="000000"/>
                <w:kern w:val="0"/>
                <w:szCs w:val="21"/>
              </w:rPr>
              <w:t>光纤</w:t>
            </w:r>
          </w:p>
        </w:tc>
        <w:tc>
          <w:tcPr>
            <w:tcW w:w="4391" w:type="dxa"/>
            <w:vMerge w:val="restart"/>
            <w:tcBorders>
              <w:top w:val="single" w:color="000000" w:sz="4" w:space="0"/>
              <w:left w:val="single" w:color="000000" w:sz="4" w:space="0"/>
              <w:right w:val="single" w:color="000000" w:sz="4" w:space="0"/>
            </w:tcBorders>
            <w:vAlign w:val="center"/>
          </w:tcPr>
          <w:p w14:paraId="3964EBCB">
            <w:pPr>
              <w:widowControl/>
              <w:spacing w:line="400" w:lineRule="exact"/>
              <w:jc w:val="center"/>
              <w:rPr>
                <w:rFonts w:eastAsiaTheme="minorEastAsia"/>
                <w:color w:val="000000"/>
                <w:kern w:val="0"/>
                <w:szCs w:val="21"/>
              </w:rPr>
            </w:pPr>
            <w:r>
              <w:rPr>
                <w:rFonts w:eastAsiaTheme="minorEastAsia"/>
                <w:color w:val="000000"/>
                <w:kern w:val="0"/>
                <w:szCs w:val="21"/>
              </w:rPr>
              <w:t>MPO-MPO OM3多模40G</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BCE6">
            <w:pPr>
              <w:widowControl/>
              <w:spacing w:line="400" w:lineRule="exact"/>
              <w:jc w:val="center"/>
              <w:rPr>
                <w:rFonts w:eastAsiaTheme="minorEastAsia"/>
                <w:color w:val="000000"/>
                <w:kern w:val="0"/>
                <w:szCs w:val="21"/>
              </w:rPr>
            </w:pPr>
            <w:r>
              <w:rPr>
                <w:rFonts w:eastAsiaTheme="minorEastAsia"/>
                <w:color w:val="000000"/>
                <w:kern w:val="0"/>
                <w:szCs w:val="21"/>
              </w:rPr>
              <w:t>10M</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171C">
            <w:pPr>
              <w:widowControl/>
              <w:spacing w:line="400" w:lineRule="exact"/>
              <w:jc w:val="center"/>
              <w:rPr>
                <w:rFonts w:eastAsiaTheme="minorEastAsia"/>
                <w:color w:val="000000"/>
                <w:kern w:val="0"/>
                <w:szCs w:val="21"/>
              </w:rPr>
            </w:pPr>
            <w:r>
              <w:rPr>
                <w:rFonts w:eastAsiaTheme="minorEastAsia"/>
                <w:color w:val="000000"/>
                <w:kern w:val="0"/>
                <w:szCs w:val="21"/>
              </w:rPr>
              <w:t>6</w:t>
            </w:r>
          </w:p>
        </w:tc>
      </w:tr>
      <w:tr w14:paraId="49FD5472">
        <w:tblPrEx>
          <w:tblCellMar>
            <w:top w:w="0" w:type="dxa"/>
            <w:left w:w="108" w:type="dxa"/>
            <w:bottom w:w="0" w:type="dxa"/>
            <w:right w:w="108" w:type="dxa"/>
          </w:tblCellMar>
        </w:tblPrEx>
        <w:trPr>
          <w:trHeight w:val="51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F935">
            <w:pPr>
              <w:widowControl/>
              <w:spacing w:line="400" w:lineRule="exact"/>
              <w:jc w:val="center"/>
              <w:rPr>
                <w:rFonts w:eastAsiaTheme="minorEastAsia"/>
                <w:color w:val="000000"/>
                <w:kern w:val="0"/>
                <w:szCs w:val="21"/>
              </w:rPr>
            </w:pPr>
            <w:r>
              <w:rPr>
                <w:rFonts w:hint="eastAsia" w:eastAsiaTheme="minorEastAsia"/>
                <w:color w:val="000000"/>
                <w:kern w:val="0"/>
                <w:szCs w:val="21"/>
              </w:rPr>
              <w:t>2</w:t>
            </w:r>
          </w:p>
        </w:tc>
        <w:tc>
          <w:tcPr>
            <w:tcW w:w="1433" w:type="dxa"/>
            <w:vMerge w:val="continue"/>
            <w:tcBorders>
              <w:top w:val="single" w:color="000000" w:sz="4" w:space="0"/>
              <w:left w:val="single" w:color="000000" w:sz="4" w:space="0"/>
              <w:right w:val="single" w:color="000000" w:sz="4" w:space="0"/>
            </w:tcBorders>
            <w:shd w:val="clear" w:color="auto" w:fill="auto"/>
            <w:noWrap/>
            <w:vAlign w:val="center"/>
          </w:tcPr>
          <w:p w14:paraId="3F04E12B">
            <w:pPr>
              <w:widowControl/>
              <w:spacing w:line="400" w:lineRule="exact"/>
              <w:jc w:val="center"/>
              <w:rPr>
                <w:rFonts w:eastAsiaTheme="minorEastAsia"/>
                <w:color w:val="000000"/>
                <w:kern w:val="0"/>
                <w:szCs w:val="21"/>
              </w:rPr>
            </w:pPr>
          </w:p>
        </w:tc>
        <w:tc>
          <w:tcPr>
            <w:tcW w:w="4391" w:type="dxa"/>
            <w:vMerge w:val="continue"/>
            <w:tcBorders>
              <w:top w:val="single" w:color="000000" w:sz="4" w:space="0"/>
              <w:left w:val="single" w:color="000000" w:sz="4" w:space="0"/>
              <w:bottom w:val="single" w:color="auto" w:sz="4" w:space="0"/>
              <w:right w:val="single" w:color="000000" w:sz="4" w:space="0"/>
            </w:tcBorders>
            <w:vAlign w:val="center"/>
          </w:tcPr>
          <w:p w14:paraId="72651492">
            <w:pPr>
              <w:widowControl/>
              <w:spacing w:line="400" w:lineRule="exact"/>
              <w:jc w:val="center"/>
              <w:rPr>
                <w:rFonts w:eastAsiaTheme="minorEastAsia"/>
                <w:color w:val="000000"/>
                <w:kern w:val="0"/>
                <w:szCs w:val="21"/>
              </w:rPr>
            </w:pPr>
          </w:p>
        </w:tc>
        <w:tc>
          <w:tcPr>
            <w:tcW w:w="1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A6A9A77">
            <w:pPr>
              <w:widowControl/>
              <w:spacing w:line="400" w:lineRule="exact"/>
              <w:jc w:val="center"/>
              <w:rPr>
                <w:rFonts w:eastAsiaTheme="minorEastAsia"/>
                <w:color w:val="000000"/>
                <w:kern w:val="0"/>
                <w:szCs w:val="21"/>
              </w:rPr>
            </w:pPr>
            <w:r>
              <w:rPr>
                <w:rFonts w:eastAsiaTheme="minorEastAsia"/>
                <w:color w:val="000000"/>
                <w:kern w:val="0"/>
                <w:szCs w:val="21"/>
              </w:rPr>
              <w:t xml:space="preserve">15M </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988E">
            <w:pPr>
              <w:widowControl/>
              <w:spacing w:line="400" w:lineRule="exact"/>
              <w:jc w:val="center"/>
              <w:rPr>
                <w:rFonts w:eastAsiaTheme="minorEastAsia"/>
                <w:color w:val="000000"/>
                <w:kern w:val="0"/>
                <w:szCs w:val="21"/>
              </w:rPr>
            </w:pPr>
            <w:r>
              <w:rPr>
                <w:rFonts w:eastAsiaTheme="minorEastAsia"/>
                <w:color w:val="000000"/>
                <w:kern w:val="0"/>
                <w:szCs w:val="21"/>
              </w:rPr>
              <w:t>4</w:t>
            </w:r>
          </w:p>
        </w:tc>
      </w:tr>
      <w:tr w14:paraId="22C9FDF6">
        <w:tblPrEx>
          <w:tblCellMar>
            <w:top w:w="0" w:type="dxa"/>
            <w:left w:w="108" w:type="dxa"/>
            <w:bottom w:w="0" w:type="dxa"/>
            <w:right w:w="108" w:type="dxa"/>
          </w:tblCellMar>
        </w:tblPrEx>
        <w:trPr>
          <w:trHeight w:val="51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F94F">
            <w:pPr>
              <w:widowControl/>
              <w:spacing w:line="400" w:lineRule="exact"/>
              <w:jc w:val="center"/>
              <w:rPr>
                <w:rFonts w:eastAsiaTheme="minorEastAsia"/>
                <w:color w:val="000000"/>
                <w:kern w:val="0"/>
                <w:szCs w:val="21"/>
              </w:rPr>
            </w:pPr>
            <w:r>
              <w:rPr>
                <w:rFonts w:eastAsiaTheme="minorEastAsia"/>
                <w:color w:val="000000"/>
                <w:kern w:val="0"/>
                <w:szCs w:val="21"/>
              </w:rPr>
              <w:t>3</w:t>
            </w:r>
          </w:p>
        </w:tc>
        <w:tc>
          <w:tcPr>
            <w:tcW w:w="1433" w:type="dxa"/>
            <w:vMerge w:val="continue"/>
            <w:tcBorders>
              <w:left w:val="single" w:color="000000" w:sz="4" w:space="0"/>
              <w:right w:val="single" w:color="000000" w:sz="4" w:space="0"/>
            </w:tcBorders>
            <w:shd w:val="clear" w:color="auto" w:fill="auto"/>
            <w:noWrap/>
            <w:vAlign w:val="center"/>
          </w:tcPr>
          <w:p w14:paraId="70C5968B">
            <w:pPr>
              <w:widowControl/>
              <w:spacing w:line="400" w:lineRule="exact"/>
              <w:jc w:val="center"/>
              <w:rPr>
                <w:rFonts w:eastAsiaTheme="minorEastAsia"/>
                <w:color w:val="000000"/>
                <w:kern w:val="0"/>
                <w:szCs w:val="21"/>
              </w:rPr>
            </w:pPr>
          </w:p>
        </w:tc>
        <w:tc>
          <w:tcPr>
            <w:tcW w:w="4391" w:type="dxa"/>
            <w:vMerge w:val="restart"/>
            <w:tcBorders>
              <w:top w:val="single" w:color="auto" w:sz="4" w:space="0"/>
              <w:left w:val="single" w:color="000000" w:sz="4" w:space="0"/>
              <w:right w:val="single" w:color="000000" w:sz="4" w:space="0"/>
            </w:tcBorders>
            <w:vAlign w:val="center"/>
          </w:tcPr>
          <w:p w14:paraId="241804BB">
            <w:pPr>
              <w:widowControl/>
              <w:spacing w:line="400" w:lineRule="exact"/>
              <w:jc w:val="center"/>
              <w:rPr>
                <w:rFonts w:eastAsiaTheme="minorEastAsia"/>
                <w:color w:val="000000"/>
                <w:kern w:val="0"/>
                <w:szCs w:val="21"/>
              </w:rPr>
            </w:pPr>
            <w:r>
              <w:rPr>
                <w:rFonts w:eastAsiaTheme="minorEastAsia"/>
                <w:color w:val="000000"/>
                <w:kern w:val="0"/>
                <w:szCs w:val="21"/>
              </w:rPr>
              <w:t>单模万兆光纤</w:t>
            </w:r>
          </w:p>
        </w:tc>
        <w:tc>
          <w:tcPr>
            <w:tcW w:w="101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9318FDC">
            <w:pPr>
              <w:widowControl/>
              <w:spacing w:line="400" w:lineRule="exact"/>
              <w:jc w:val="center"/>
              <w:rPr>
                <w:rFonts w:eastAsiaTheme="minorEastAsia"/>
                <w:color w:val="000000"/>
                <w:kern w:val="0"/>
                <w:szCs w:val="21"/>
              </w:rPr>
            </w:pPr>
            <w:r>
              <w:rPr>
                <w:rFonts w:eastAsiaTheme="minorEastAsia"/>
                <w:color w:val="000000"/>
                <w:kern w:val="0"/>
                <w:szCs w:val="21"/>
              </w:rPr>
              <w:t>15M</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009F">
            <w:pPr>
              <w:widowControl/>
              <w:spacing w:line="400" w:lineRule="exact"/>
              <w:jc w:val="center"/>
              <w:rPr>
                <w:rFonts w:eastAsiaTheme="minorEastAsia"/>
                <w:color w:val="000000"/>
                <w:kern w:val="0"/>
                <w:szCs w:val="21"/>
              </w:rPr>
            </w:pPr>
            <w:r>
              <w:rPr>
                <w:rFonts w:eastAsiaTheme="minorEastAsia"/>
                <w:color w:val="000000"/>
                <w:kern w:val="0"/>
                <w:szCs w:val="21"/>
              </w:rPr>
              <w:t>9</w:t>
            </w:r>
          </w:p>
        </w:tc>
      </w:tr>
      <w:tr w14:paraId="6A98B841">
        <w:tblPrEx>
          <w:tblCellMar>
            <w:top w:w="0" w:type="dxa"/>
            <w:left w:w="108" w:type="dxa"/>
            <w:bottom w:w="0" w:type="dxa"/>
            <w:right w:w="108" w:type="dxa"/>
          </w:tblCellMar>
        </w:tblPrEx>
        <w:trPr>
          <w:trHeight w:val="51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935D">
            <w:pPr>
              <w:widowControl/>
              <w:spacing w:line="400" w:lineRule="exact"/>
              <w:jc w:val="center"/>
              <w:rPr>
                <w:rFonts w:eastAsiaTheme="minorEastAsia"/>
                <w:color w:val="000000"/>
                <w:kern w:val="0"/>
                <w:szCs w:val="21"/>
              </w:rPr>
            </w:pPr>
            <w:r>
              <w:rPr>
                <w:rFonts w:eastAsiaTheme="minorEastAsia"/>
                <w:color w:val="000000"/>
                <w:kern w:val="0"/>
                <w:szCs w:val="21"/>
              </w:rPr>
              <w:t>4</w:t>
            </w:r>
          </w:p>
        </w:tc>
        <w:tc>
          <w:tcPr>
            <w:tcW w:w="1433" w:type="dxa"/>
            <w:vMerge w:val="continue"/>
            <w:tcBorders>
              <w:left w:val="single" w:color="000000" w:sz="4" w:space="0"/>
              <w:right w:val="single" w:color="000000" w:sz="4" w:space="0"/>
            </w:tcBorders>
            <w:shd w:val="clear" w:color="auto" w:fill="auto"/>
            <w:noWrap/>
            <w:vAlign w:val="center"/>
          </w:tcPr>
          <w:p w14:paraId="5C594FF6">
            <w:pPr>
              <w:widowControl/>
              <w:spacing w:line="400" w:lineRule="exact"/>
              <w:jc w:val="center"/>
              <w:rPr>
                <w:rFonts w:eastAsiaTheme="minorEastAsia"/>
                <w:color w:val="000000"/>
                <w:kern w:val="0"/>
                <w:szCs w:val="21"/>
              </w:rPr>
            </w:pPr>
          </w:p>
        </w:tc>
        <w:tc>
          <w:tcPr>
            <w:tcW w:w="4391" w:type="dxa"/>
            <w:vMerge w:val="continue"/>
            <w:tcBorders>
              <w:left w:val="single" w:color="000000" w:sz="4" w:space="0"/>
              <w:bottom w:val="single" w:color="000000" w:sz="4" w:space="0"/>
              <w:right w:val="single" w:color="000000" w:sz="4" w:space="0"/>
            </w:tcBorders>
            <w:vAlign w:val="center"/>
          </w:tcPr>
          <w:p w14:paraId="5F76D661">
            <w:pPr>
              <w:widowControl/>
              <w:spacing w:line="400" w:lineRule="exact"/>
              <w:ind w:firstLine="630" w:firstLineChars="300"/>
              <w:jc w:val="center"/>
              <w:rPr>
                <w:rFonts w:eastAsiaTheme="minorEastAsia"/>
                <w:color w:val="000000"/>
                <w:kern w:val="0"/>
                <w:szCs w:val="21"/>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A04A">
            <w:pPr>
              <w:widowControl/>
              <w:spacing w:line="400" w:lineRule="exact"/>
              <w:jc w:val="center"/>
              <w:rPr>
                <w:rFonts w:eastAsiaTheme="minorEastAsia"/>
                <w:color w:val="000000"/>
                <w:kern w:val="0"/>
                <w:szCs w:val="21"/>
              </w:rPr>
            </w:pPr>
            <w:r>
              <w:rPr>
                <w:rFonts w:eastAsiaTheme="minorEastAsia"/>
                <w:color w:val="000000"/>
                <w:kern w:val="0"/>
                <w:szCs w:val="21"/>
              </w:rPr>
              <w:t>30M</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3A20">
            <w:pPr>
              <w:widowControl/>
              <w:spacing w:line="400" w:lineRule="exact"/>
              <w:jc w:val="center"/>
              <w:rPr>
                <w:rFonts w:eastAsiaTheme="minorEastAsia"/>
                <w:color w:val="000000"/>
                <w:kern w:val="0"/>
                <w:szCs w:val="21"/>
              </w:rPr>
            </w:pPr>
            <w:r>
              <w:rPr>
                <w:rFonts w:eastAsiaTheme="minorEastAsia"/>
                <w:color w:val="000000"/>
                <w:kern w:val="0"/>
                <w:szCs w:val="21"/>
              </w:rPr>
              <w:t>14</w:t>
            </w:r>
          </w:p>
        </w:tc>
      </w:tr>
      <w:tr w14:paraId="5330E5BC">
        <w:tblPrEx>
          <w:tblCellMar>
            <w:top w:w="0" w:type="dxa"/>
            <w:left w:w="108" w:type="dxa"/>
            <w:bottom w:w="0" w:type="dxa"/>
            <w:right w:w="108" w:type="dxa"/>
          </w:tblCellMar>
        </w:tblPrEx>
        <w:trPr>
          <w:trHeight w:val="51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2A1A">
            <w:pPr>
              <w:widowControl/>
              <w:spacing w:line="400" w:lineRule="exact"/>
              <w:jc w:val="center"/>
              <w:rPr>
                <w:rFonts w:eastAsiaTheme="minorEastAsia"/>
                <w:color w:val="000000"/>
                <w:kern w:val="0"/>
                <w:szCs w:val="21"/>
              </w:rPr>
            </w:pPr>
            <w:r>
              <w:rPr>
                <w:rFonts w:eastAsiaTheme="minorEastAsia"/>
                <w:color w:val="000000"/>
                <w:kern w:val="0"/>
                <w:szCs w:val="21"/>
              </w:rPr>
              <w:t>5</w:t>
            </w:r>
          </w:p>
        </w:tc>
        <w:tc>
          <w:tcPr>
            <w:tcW w:w="1433" w:type="dxa"/>
            <w:vMerge w:val="continue"/>
            <w:tcBorders>
              <w:left w:val="single" w:color="000000" w:sz="4" w:space="0"/>
              <w:right w:val="single" w:color="000000" w:sz="4" w:space="0"/>
            </w:tcBorders>
            <w:shd w:val="clear" w:color="auto" w:fill="auto"/>
            <w:noWrap/>
            <w:vAlign w:val="center"/>
          </w:tcPr>
          <w:p w14:paraId="24F6A0A3">
            <w:pPr>
              <w:widowControl/>
              <w:spacing w:line="400" w:lineRule="exact"/>
              <w:jc w:val="center"/>
              <w:rPr>
                <w:rFonts w:eastAsiaTheme="minorEastAsia"/>
                <w:color w:val="000000"/>
                <w:kern w:val="0"/>
                <w:szCs w:val="21"/>
              </w:rPr>
            </w:pPr>
          </w:p>
        </w:tc>
        <w:tc>
          <w:tcPr>
            <w:tcW w:w="4391" w:type="dxa"/>
            <w:vMerge w:val="restart"/>
            <w:tcBorders>
              <w:left w:val="single" w:color="000000" w:sz="4" w:space="0"/>
              <w:right w:val="single" w:color="000000" w:sz="4" w:space="0"/>
            </w:tcBorders>
            <w:vAlign w:val="center"/>
          </w:tcPr>
          <w:p w14:paraId="2E7FDD2D">
            <w:pPr>
              <w:widowControl/>
              <w:spacing w:line="400" w:lineRule="exact"/>
              <w:jc w:val="center"/>
              <w:rPr>
                <w:rFonts w:eastAsiaTheme="minorEastAsia"/>
                <w:color w:val="000000"/>
                <w:kern w:val="0"/>
                <w:szCs w:val="21"/>
              </w:rPr>
            </w:pPr>
            <w:r>
              <w:rPr>
                <w:rFonts w:eastAsia="Arial"/>
                <w:color w:val="333333"/>
                <w:szCs w:val="21"/>
                <w:shd w:val="clear" w:color="auto" w:fill="FFFFFF"/>
              </w:rPr>
              <w:t>OM3</w:t>
            </w:r>
            <w:r>
              <w:rPr>
                <w:rFonts w:eastAsiaTheme="minorEastAsia"/>
                <w:color w:val="000000"/>
                <w:kern w:val="0"/>
                <w:szCs w:val="21"/>
              </w:rPr>
              <w:t>多模万兆光纤</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DAAE">
            <w:pPr>
              <w:widowControl/>
              <w:spacing w:line="400" w:lineRule="exact"/>
              <w:jc w:val="center"/>
              <w:rPr>
                <w:rFonts w:eastAsiaTheme="minorEastAsia"/>
                <w:color w:val="000000"/>
                <w:kern w:val="0"/>
                <w:szCs w:val="21"/>
              </w:rPr>
            </w:pPr>
            <w:r>
              <w:rPr>
                <w:rFonts w:eastAsiaTheme="minorEastAsia"/>
                <w:color w:val="000000"/>
                <w:kern w:val="0"/>
                <w:szCs w:val="21"/>
              </w:rPr>
              <w:t>3M</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62AC">
            <w:pPr>
              <w:widowControl/>
              <w:spacing w:line="400" w:lineRule="exact"/>
              <w:jc w:val="center"/>
              <w:rPr>
                <w:rFonts w:eastAsiaTheme="minorEastAsia"/>
                <w:color w:val="000000"/>
                <w:kern w:val="0"/>
                <w:szCs w:val="21"/>
              </w:rPr>
            </w:pPr>
            <w:r>
              <w:rPr>
                <w:rFonts w:eastAsiaTheme="minorEastAsia"/>
                <w:color w:val="000000"/>
                <w:kern w:val="0"/>
                <w:szCs w:val="21"/>
              </w:rPr>
              <w:t>19</w:t>
            </w:r>
          </w:p>
        </w:tc>
      </w:tr>
      <w:tr w14:paraId="46AFA976">
        <w:tblPrEx>
          <w:tblCellMar>
            <w:top w:w="0" w:type="dxa"/>
            <w:left w:w="108" w:type="dxa"/>
            <w:bottom w:w="0" w:type="dxa"/>
            <w:right w:w="108" w:type="dxa"/>
          </w:tblCellMar>
        </w:tblPrEx>
        <w:trPr>
          <w:trHeight w:val="51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50B9">
            <w:pPr>
              <w:widowControl/>
              <w:spacing w:line="400" w:lineRule="exact"/>
              <w:jc w:val="center"/>
              <w:rPr>
                <w:rFonts w:eastAsiaTheme="minorEastAsia"/>
                <w:color w:val="000000"/>
                <w:kern w:val="0"/>
                <w:szCs w:val="21"/>
              </w:rPr>
            </w:pPr>
            <w:r>
              <w:rPr>
                <w:rFonts w:eastAsiaTheme="minorEastAsia"/>
                <w:color w:val="000000"/>
                <w:kern w:val="0"/>
                <w:szCs w:val="21"/>
              </w:rPr>
              <w:t>6</w:t>
            </w:r>
          </w:p>
        </w:tc>
        <w:tc>
          <w:tcPr>
            <w:tcW w:w="1433" w:type="dxa"/>
            <w:vMerge w:val="continue"/>
            <w:tcBorders>
              <w:left w:val="single" w:color="000000" w:sz="4" w:space="0"/>
              <w:right w:val="single" w:color="000000" w:sz="4" w:space="0"/>
            </w:tcBorders>
            <w:shd w:val="clear" w:color="auto" w:fill="auto"/>
            <w:noWrap/>
            <w:vAlign w:val="center"/>
          </w:tcPr>
          <w:p w14:paraId="7B4CC5A1">
            <w:pPr>
              <w:widowControl/>
              <w:spacing w:line="400" w:lineRule="exact"/>
              <w:jc w:val="center"/>
              <w:rPr>
                <w:rFonts w:eastAsiaTheme="minorEastAsia"/>
                <w:color w:val="000000"/>
                <w:kern w:val="0"/>
                <w:szCs w:val="21"/>
              </w:rPr>
            </w:pPr>
          </w:p>
        </w:tc>
        <w:tc>
          <w:tcPr>
            <w:tcW w:w="4391" w:type="dxa"/>
            <w:vMerge w:val="continue"/>
            <w:tcBorders>
              <w:left w:val="single" w:color="000000" w:sz="4" w:space="0"/>
              <w:right w:val="single" w:color="000000" w:sz="4" w:space="0"/>
            </w:tcBorders>
            <w:vAlign w:val="center"/>
          </w:tcPr>
          <w:p w14:paraId="53EAA739">
            <w:pPr>
              <w:widowControl/>
              <w:spacing w:line="400" w:lineRule="exact"/>
              <w:ind w:firstLine="630" w:firstLineChars="300"/>
              <w:jc w:val="center"/>
              <w:rPr>
                <w:rFonts w:eastAsiaTheme="minorEastAsia"/>
                <w:color w:val="000000"/>
                <w:kern w:val="0"/>
                <w:szCs w:val="21"/>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8011">
            <w:pPr>
              <w:widowControl/>
              <w:spacing w:line="400" w:lineRule="exact"/>
              <w:jc w:val="center"/>
              <w:rPr>
                <w:rFonts w:eastAsiaTheme="minorEastAsia"/>
                <w:color w:val="000000"/>
                <w:kern w:val="0"/>
                <w:szCs w:val="21"/>
              </w:rPr>
            </w:pPr>
            <w:r>
              <w:rPr>
                <w:rFonts w:eastAsiaTheme="minorEastAsia"/>
                <w:color w:val="000000"/>
                <w:kern w:val="0"/>
                <w:szCs w:val="21"/>
              </w:rPr>
              <w:t>5M</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EFB8">
            <w:pPr>
              <w:widowControl/>
              <w:spacing w:line="400" w:lineRule="exact"/>
              <w:jc w:val="center"/>
              <w:rPr>
                <w:rFonts w:eastAsiaTheme="minorEastAsia"/>
                <w:color w:val="000000"/>
                <w:kern w:val="0"/>
                <w:szCs w:val="21"/>
              </w:rPr>
            </w:pPr>
            <w:r>
              <w:rPr>
                <w:rFonts w:eastAsiaTheme="minorEastAsia"/>
                <w:color w:val="000000"/>
                <w:kern w:val="0"/>
                <w:szCs w:val="21"/>
              </w:rPr>
              <w:t>21</w:t>
            </w:r>
          </w:p>
        </w:tc>
      </w:tr>
      <w:tr w14:paraId="0AA4CB3E">
        <w:tblPrEx>
          <w:tblCellMar>
            <w:top w:w="0" w:type="dxa"/>
            <w:left w:w="108" w:type="dxa"/>
            <w:bottom w:w="0" w:type="dxa"/>
            <w:right w:w="108" w:type="dxa"/>
          </w:tblCellMar>
        </w:tblPrEx>
        <w:trPr>
          <w:trHeight w:val="51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8186">
            <w:pPr>
              <w:widowControl/>
              <w:spacing w:line="400" w:lineRule="exact"/>
              <w:jc w:val="center"/>
              <w:rPr>
                <w:rFonts w:eastAsiaTheme="minorEastAsia"/>
                <w:color w:val="000000"/>
                <w:kern w:val="0"/>
                <w:szCs w:val="21"/>
              </w:rPr>
            </w:pPr>
            <w:r>
              <w:rPr>
                <w:rFonts w:eastAsiaTheme="minorEastAsia"/>
                <w:color w:val="000000"/>
                <w:kern w:val="0"/>
                <w:szCs w:val="21"/>
              </w:rPr>
              <w:t>7</w:t>
            </w:r>
          </w:p>
        </w:tc>
        <w:tc>
          <w:tcPr>
            <w:tcW w:w="1433" w:type="dxa"/>
            <w:vMerge w:val="continue"/>
            <w:tcBorders>
              <w:left w:val="single" w:color="000000" w:sz="4" w:space="0"/>
              <w:bottom w:val="single" w:color="000000" w:sz="4" w:space="0"/>
              <w:right w:val="single" w:color="000000" w:sz="4" w:space="0"/>
            </w:tcBorders>
            <w:shd w:val="clear" w:color="auto" w:fill="auto"/>
            <w:noWrap/>
            <w:vAlign w:val="center"/>
          </w:tcPr>
          <w:p w14:paraId="793C6422">
            <w:pPr>
              <w:widowControl/>
              <w:spacing w:line="400" w:lineRule="exact"/>
              <w:jc w:val="center"/>
              <w:rPr>
                <w:rFonts w:eastAsiaTheme="minorEastAsia"/>
                <w:color w:val="000000"/>
                <w:kern w:val="0"/>
                <w:szCs w:val="21"/>
              </w:rPr>
            </w:pPr>
          </w:p>
        </w:tc>
        <w:tc>
          <w:tcPr>
            <w:tcW w:w="4391" w:type="dxa"/>
            <w:vMerge w:val="continue"/>
            <w:tcBorders>
              <w:left w:val="single" w:color="000000" w:sz="4" w:space="0"/>
              <w:bottom w:val="single" w:color="000000" w:sz="4" w:space="0"/>
              <w:right w:val="single" w:color="000000" w:sz="4" w:space="0"/>
            </w:tcBorders>
            <w:vAlign w:val="center"/>
          </w:tcPr>
          <w:p w14:paraId="32D74A1D">
            <w:pPr>
              <w:widowControl/>
              <w:spacing w:line="400" w:lineRule="exact"/>
              <w:ind w:firstLine="630" w:firstLineChars="300"/>
              <w:jc w:val="center"/>
              <w:rPr>
                <w:rFonts w:eastAsiaTheme="minorEastAsia"/>
                <w:color w:val="000000"/>
                <w:kern w:val="0"/>
                <w:szCs w:val="21"/>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1464">
            <w:pPr>
              <w:widowControl/>
              <w:spacing w:line="400" w:lineRule="exact"/>
              <w:jc w:val="center"/>
              <w:rPr>
                <w:rFonts w:eastAsiaTheme="minorEastAsia"/>
                <w:color w:val="000000"/>
                <w:kern w:val="0"/>
                <w:szCs w:val="21"/>
              </w:rPr>
            </w:pPr>
            <w:r>
              <w:rPr>
                <w:rFonts w:eastAsiaTheme="minorEastAsia"/>
                <w:color w:val="000000"/>
                <w:kern w:val="0"/>
                <w:szCs w:val="21"/>
              </w:rPr>
              <w:t>10M</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55872">
            <w:pPr>
              <w:widowControl/>
              <w:spacing w:line="400" w:lineRule="exact"/>
              <w:jc w:val="center"/>
              <w:rPr>
                <w:rFonts w:eastAsiaTheme="minorEastAsia"/>
                <w:color w:val="000000"/>
                <w:kern w:val="0"/>
                <w:szCs w:val="21"/>
              </w:rPr>
            </w:pPr>
            <w:r>
              <w:rPr>
                <w:rFonts w:eastAsiaTheme="minorEastAsia"/>
                <w:color w:val="000000"/>
                <w:kern w:val="0"/>
                <w:szCs w:val="21"/>
              </w:rPr>
              <w:t>74</w:t>
            </w:r>
          </w:p>
        </w:tc>
      </w:tr>
      <w:tr w14:paraId="58FC6849">
        <w:tblPrEx>
          <w:tblCellMar>
            <w:top w:w="0" w:type="dxa"/>
            <w:left w:w="108" w:type="dxa"/>
            <w:bottom w:w="0" w:type="dxa"/>
            <w:right w:w="108" w:type="dxa"/>
          </w:tblCellMar>
        </w:tblPrEx>
        <w:trPr>
          <w:trHeight w:val="51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40E6">
            <w:pPr>
              <w:widowControl/>
              <w:spacing w:line="400" w:lineRule="exact"/>
              <w:jc w:val="center"/>
              <w:rPr>
                <w:rFonts w:eastAsiaTheme="minorEastAsia"/>
                <w:color w:val="000000"/>
                <w:kern w:val="0"/>
                <w:szCs w:val="21"/>
              </w:rPr>
            </w:pPr>
            <w:r>
              <w:rPr>
                <w:rFonts w:eastAsiaTheme="minorEastAsia"/>
                <w:color w:val="000000"/>
                <w:kern w:val="0"/>
                <w:szCs w:val="21"/>
              </w:rPr>
              <w:t>8</w:t>
            </w:r>
          </w:p>
        </w:tc>
        <w:tc>
          <w:tcPr>
            <w:tcW w:w="1433" w:type="dxa"/>
            <w:vMerge w:val="restart"/>
            <w:tcBorders>
              <w:top w:val="single" w:color="000000" w:sz="4" w:space="0"/>
              <w:left w:val="single" w:color="000000" w:sz="4" w:space="0"/>
              <w:right w:val="single" w:color="000000" w:sz="4" w:space="0"/>
            </w:tcBorders>
            <w:shd w:val="clear" w:color="auto" w:fill="auto"/>
            <w:noWrap/>
            <w:vAlign w:val="center"/>
          </w:tcPr>
          <w:p w14:paraId="66560B11">
            <w:pPr>
              <w:widowControl/>
              <w:spacing w:line="400" w:lineRule="exact"/>
              <w:jc w:val="center"/>
              <w:rPr>
                <w:rFonts w:eastAsiaTheme="minorEastAsia"/>
                <w:color w:val="000000"/>
                <w:kern w:val="0"/>
                <w:szCs w:val="21"/>
              </w:rPr>
            </w:pPr>
            <w:r>
              <w:rPr>
                <w:rFonts w:hint="eastAsia" w:eastAsiaTheme="minorEastAsia"/>
                <w:color w:val="000000"/>
                <w:kern w:val="0"/>
                <w:szCs w:val="21"/>
              </w:rPr>
              <w:t>网线</w:t>
            </w:r>
          </w:p>
        </w:tc>
        <w:tc>
          <w:tcPr>
            <w:tcW w:w="4391" w:type="dxa"/>
            <w:vMerge w:val="restart"/>
            <w:tcBorders>
              <w:top w:val="single" w:color="000000" w:sz="4" w:space="0"/>
              <w:left w:val="single" w:color="000000" w:sz="4" w:space="0"/>
              <w:right w:val="single" w:color="000000" w:sz="4" w:space="0"/>
            </w:tcBorders>
            <w:vAlign w:val="center"/>
          </w:tcPr>
          <w:p w14:paraId="2C237930">
            <w:pPr>
              <w:widowControl/>
              <w:spacing w:line="400" w:lineRule="exact"/>
              <w:jc w:val="center"/>
              <w:rPr>
                <w:rFonts w:eastAsiaTheme="minorEastAsia"/>
                <w:color w:val="000000"/>
                <w:kern w:val="0"/>
                <w:szCs w:val="21"/>
              </w:rPr>
            </w:pPr>
            <w:r>
              <w:rPr>
                <w:rFonts w:hint="eastAsia" w:eastAsiaTheme="minorEastAsia"/>
                <w:color w:val="000000"/>
                <w:kern w:val="0"/>
                <w:szCs w:val="21"/>
              </w:rPr>
              <w:t>六类网线</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6AB3">
            <w:pPr>
              <w:widowControl/>
              <w:spacing w:line="400" w:lineRule="exact"/>
              <w:jc w:val="center"/>
              <w:rPr>
                <w:rFonts w:eastAsiaTheme="minorEastAsia"/>
                <w:color w:val="000000"/>
                <w:kern w:val="0"/>
                <w:szCs w:val="21"/>
              </w:rPr>
            </w:pPr>
            <w:r>
              <w:rPr>
                <w:rFonts w:eastAsiaTheme="minorEastAsia"/>
                <w:color w:val="000000"/>
                <w:kern w:val="0"/>
                <w:szCs w:val="21"/>
              </w:rPr>
              <w:t>3M</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50B6">
            <w:pPr>
              <w:widowControl/>
              <w:spacing w:line="400" w:lineRule="exact"/>
              <w:jc w:val="center"/>
              <w:rPr>
                <w:rFonts w:eastAsiaTheme="minorEastAsia"/>
                <w:color w:val="000000"/>
                <w:kern w:val="0"/>
                <w:szCs w:val="21"/>
              </w:rPr>
            </w:pPr>
            <w:r>
              <w:rPr>
                <w:rFonts w:eastAsiaTheme="minorEastAsia"/>
                <w:color w:val="000000"/>
                <w:kern w:val="0"/>
                <w:szCs w:val="21"/>
              </w:rPr>
              <w:t>3</w:t>
            </w:r>
          </w:p>
        </w:tc>
      </w:tr>
      <w:tr w14:paraId="65E9D09F">
        <w:tblPrEx>
          <w:tblCellMar>
            <w:top w:w="0" w:type="dxa"/>
            <w:left w:w="108" w:type="dxa"/>
            <w:bottom w:w="0" w:type="dxa"/>
            <w:right w:w="108" w:type="dxa"/>
          </w:tblCellMar>
        </w:tblPrEx>
        <w:trPr>
          <w:trHeight w:val="51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C533">
            <w:pPr>
              <w:widowControl/>
              <w:spacing w:line="400" w:lineRule="exact"/>
              <w:jc w:val="center"/>
              <w:rPr>
                <w:rFonts w:eastAsiaTheme="minorEastAsia"/>
                <w:color w:val="000000"/>
                <w:kern w:val="0"/>
                <w:szCs w:val="21"/>
              </w:rPr>
            </w:pPr>
            <w:r>
              <w:rPr>
                <w:rFonts w:eastAsiaTheme="minorEastAsia"/>
                <w:color w:val="000000"/>
                <w:kern w:val="0"/>
                <w:szCs w:val="21"/>
              </w:rPr>
              <w:t>9</w:t>
            </w:r>
          </w:p>
        </w:tc>
        <w:tc>
          <w:tcPr>
            <w:tcW w:w="1433" w:type="dxa"/>
            <w:vMerge w:val="continue"/>
            <w:tcBorders>
              <w:left w:val="single" w:color="000000" w:sz="4" w:space="0"/>
              <w:right w:val="single" w:color="000000" w:sz="4" w:space="0"/>
            </w:tcBorders>
            <w:shd w:val="clear" w:color="auto" w:fill="auto"/>
            <w:noWrap/>
            <w:vAlign w:val="center"/>
          </w:tcPr>
          <w:p w14:paraId="6DA85C6D">
            <w:pPr>
              <w:spacing w:line="400" w:lineRule="exact"/>
              <w:jc w:val="center"/>
              <w:rPr>
                <w:rFonts w:eastAsiaTheme="minorEastAsia"/>
                <w:color w:val="000000"/>
                <w:kern w:val="0"/>
                <w:szCs w:val="21"/>
              </w:rPr>
            </w:pPr>
          </w:p>
        </w:tc>
        <w:tc>
          <w:tcPr>
            <w:tcW w:w="4391" w:type="dxa"/>
            <w:vMerge w:val="continue"/>
            <w:tcBorders>
              <w:left w:val="single" w:color="000000" w:sz="4" w:space="0"/>
              <w:right w:val="single" w:color="000000" w:sz="4" w:space="0"/>
            </w:tcBorders>
            <w:vAlign w:val="center"/>
          </w:tcPr>
          <w:p w14:paraId="471E8104">
            <w:pPr>
              <w:spacing w:line="400" w:lineRule="exact"/>
              <w:jc w:val="center"/>
              <w:rPr>
                <w:rFonts w:eastAsiaTheme="minorEastAsia"/>
                <w:color w:val="000000"/>
                <w:kern w:val="0"/>
                <w:szCs w:val="21"/>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5D66">
            <w:pPr>
              <w:widowControl/>
              <w:spacing w:line="400" w:lineRule="exact"/>
              <w:jc w:val="center"/>
              <w:rPr>
                <w:rFonts w:eastAsiaTheme="minorEastAsia"/>
                <w:color w:val="000000"/>
                <w:kern w:val="0"/>
                <w:szCs w:val="21"/>
              </w:rPr>
            </w:pPr>
            <w:r>
              <w:rPr>
                <w:rFonts w:eastAsiaTheme="minorEastAsia"/>
                <w:color w:val="000000"/>
                <w:kern w:val="0"/>
                <w:szCs w:val="21"/>
              </w:rPr>
              <w:t>5M</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C271">
            <w:pPr>
              <w:widowControl/>
              <w:spacing w:line="400" w:lineRule="exact"/>
              <w:jc w:val="center"/>
              <w:rPr>
                <w:rFonts w:eastAsiaTheme="minorEastAsia"/>
                <w:color w:val="000000"/>
                <w:kern w:val="0"/>
                <w:szCs w:val="21"/>
              </w:rPr>
            </w:pPr>
            <w:r>
              <w:rPr>
                <w:rFonts w:eastAsiaTheme="minorEastAsia"/>
                <w:color w:val="000000"/>
                <w:kern w:val="0"/>
                <w:szCs w:val="21"/>
              </w:rPr>
              <w:t>20</w:t>
            </w:r>
          </w:p>
        </w:tc>
      </w:tr>
      <w:tr w14:paraId="1133EEE3">
        <w:tblPrEx>
          <w:tblCellMar>
            <w:top w:w="0" w:type="dxa"/>
            <w:left w:w="108" w:type="dxa"/>
            <w:bottom w:w="0" w:type="dxa"/>
            <w:right w:w="108" w:type="dxa"/>
          </w:tblCellMar>
        </w:tblPrEx>
        <w:trPr>
          <w:trHeight w:val="510" w:hRule="atLeast"/>
          <w:jc w:val="center"/>
        </w:trPr>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A5D7">
            <w:pPr>
              <w:widowControl/>
              <w:spacing w:line="400" w:lineRule="exact"/>
              <w:jc w:val="center"/>
              <w:rPr>
                <w:rFonts w:eastAsiaTheme="minorEastAsia"/>
                <w:color w:val="000000"/>
                <w:kern w:val="0"/>
                <w:szCs w:val="21"/>
              </w:rPr>
            </w:pPr>
            <w:r>
              <w:rPr>
                <w:rFonts w:eastAsiaTheme="minorEastAsia"/>
                <w:color w:val="000000"/>
                <w:kern w:val="0"/>
                <w:szCs w:val="21"/>
              </w:rPr>
              <w:t>10</w:t>
            </w:r>
          </w:p>
        </w:tc>
        <w:tc>
          <w:tcPr>
            <w:tcW w:w="1433" w:type="dxa"/>
            <w:vMerge w:val="continue"/>
            <w:tcBorders>
              <w:left w:val="single" w:color="000000" w:sz="4" w:space="0"/>
              <w:bottom w:val="single" w:color="000000" w:sz="4" w:space="0"/>
              <w:right w:val="single" w:color="000000" w:sz="4" w:space="0"/>
            </w:tcBorders>
            <w:shd w:val="clear" w:color="auto" w:fill="auto"/>
            <w:noWrap/>
            <w:vAlign w:val="center"/>
          </w:tcPr>
          <w:p w14:paraId="39DBA049">
            <w:pPr>
              <w:widowControl/>
              <w:spacing w:line="400" w:lineRule="exact"/>
              <w:jc w:val="center"/>
              <w:rPr>
                <w:rFonts w:eastAsiaTheme="minorEastAsia"/>
                <w:color w:val="000000"/>
                <w:kern w:val="0"/>
                <w:szCs w:val="21"/>
              </w:rPr>
            </w:pPr>
          </w:p>
        </w:tc>
        <w:tc>
          <w:tcPr>
            <w:tcW w:w="4391" w:type="dxa"/>
            <w:vMerge w:val="continue"/>
            <w:tcBorders>
              <w:left w:val="single" w:color="000000" w:sz="4" w:space="0"/>
              <w:bottom w:val="single" w:color="000000" w:sz="4" w:space="0"/>
              <w:right w:val="single" w:color="000000" w:sz="4" w:space="0"/>
            </w:tcBorders>
            <w:vAlign w:val="center"/>
          </w:tcPr>
          <w:p w14:paraId="4A786237">
            <w:pPr>
              <w:widowControl/>
              <w:spacing w:line="400" w:lineRule="exact"/>
              <w:jc w:val="center"/>
              <w:rPr>
                <w:rFonts w:eastAsiaTheme="minorEastAsia"/>
                <w:color w:val="000000"/>
                <w:kern w:val="0"/>
                <w:szCs w:val="21"/>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5E98">
            <w:pPr>
              <w:widowControl/>
              <w:spacing w:line="400" w:lineRule="exact"/>
              <w:jc w:val="center"/>
              <w:rPr>
                <w:rFonts w:eastAsiaTheme="minorEastAsia"/>
                <w:color w:val="000000"/>
                <w:kern w:val="0"/>
                <w:szCs w:val="21"/>
              </w:rPr>
            </w:pPr>
            <w:r>
              <w:rPr>
                <w:rFonts w:eastAsiaTheme="minorEastAsia"/>
                <w:color w:val="000000"/>
                <w:kern w:val="0"/>
                <w:szCs w:val="21"/>
              </w:rPr>
              <w:t>10M</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D48B">
            <w:pPr>
              <w:widowControl/>
              <w:spacing w:line="400" w:lineRule="exact"/>
              <w:jc w:val="center"/>
              <w:rPr>
                <w:rFonts w:eastAsiaTheme="minorEastAsia"/>
                <w:color w:val="000000"/>
                <w:kern w:val="0"/>
                <w:szCs w:val="21"/>
              </w:rPr>
            </w:pPr>
            <w:r>
              <w:rPr>
                <w:rFonts w:eastAsiaTheme="minorEastAsia"/>
                <w:color w:val="000000"/>
                <w:kern w:val="0"/>
                <w:szCs w:val="21"/>
              </w:rPr>
              <w:t>52</w:t>
            </w:r>
          </w:p>
        </w:tc>
      </w:tr>
    </w:tbl>
    <w:p w14:paraId="34596F1E">
      <w:pPr>
        <w:pStyle w:val="2"/>
        <w:spacing w:line="360" w:lineRule="auto"/>
      </w:pPr>
    </w:p>
    <w:p w14:paraId="49B3FB83">
      <w:pPr>
        <w:sectPr>
          <w:pgSz w:w="12240" w:h="15840"/>
          <w:pgMar w:top="1418" w:right="1418" w:bottom="1418" w:left="1418" w:header="720" w:footer="720" w:gutter="0"/>
          <w:pgNumType w:fmt="numberInDash"/>
          <w:cols w:space="720" w:num="1"/>
          <w:docGrid w:linePitch="286" w:charSpace="0"/>
        </w:sectPr>
      </w:pPr>
    </w:p>
    <w:bookmarkEnd w:id="42"/>
    <w:bookmarkEnd w:id="43"/>
    <w:bookmarkEnd w:id="44"/>
    <w:bookmarkEnd w:id="45"/>
    <w:bookmarkEnd w:id="46"/>
    <w:bookmarkEnd w:id="47"/>
    <w:p w14:paraId="78AC3F69">
      <w:pPr>
        <w:pStyle w:val="3"/>
        <w:spacing w:line="360" w:lineRule="auto"/>
        <w:jc w:val="center"/>
        <w:rPr>
          <w:rFonts w:eastAsia="黑体"/>
          <w:sz w:val="52"/>
          <w:szCs w:val="52"/>
        </w:rPr>
      </w:pPr>
      <w:r>
        <w:rPr>
          <w:rFonts w:hint="eastAsia" w:eastAsia="黑体"/>
          <w:sz w:val="52"/>
          <w:szCs w:val="52"/>
        </w:rPr>
        <w:t>第六章 询价响应文件</w:t>
      </w:r>
      <w:r>
        <w:rPr>
          <w:rFonts w:eastAsia="黑体"/>
          <w:sz w:val="52"/>
          <w:szCs w:val="52"/>
        </w:rPr>
        <w:t>格式</w:t>
      </w:r>
    </w:p>
    <w:p w14:paraId="1A5DC12B">
      <w:pPr>
        <w:jc w:val="center"/>
        <w:rPr>
          <w:rFonts w:ascii="黑体" w:eastAsia="黑体"/>
          <w:b/>
          <w:bCs/>
          <w:sz w:val="36"/>
          <w:szCs w:val="36"/>
          <w:lang w:val="zh-CN"/>
        </w:rPr>
      </w:pPr>
    </w:p>
    <w:p w14:paraId="26B7FD17">
      <w:pPr>
        <w:spacing w:line="360" w:lineRule="auto"/>
        <w:jc w:val="right"/>
        <w:rPr>
          <w:rFonts w:eastAsia="黑体"/>
          <w:sz w:val="28"/>
          <w:szCs w:val="28"/>
          <w:u w:val="single"/>
        </w:rPr>
      </w:pPr>
      <w:r>
        <w:rPr>
          <w:rFonts w:hint="eastAsia" w:ascii="黑体" w:hAnsi="黑体" w:eastAsia="黑体" w:cs="宋体"/>
          <w:sz w:val="36"/>
          <w:szCs w:val="36"/>
          <w:lang w:val="zh-TW"/>
        </w:rPr>
        <w:t>正</w:t>
      </w:r>
      <w:r>
        <w:rPr>
          <w:rFonts w:ascii="黑体" w:hAnsi="黑体" w:eastAsia="黑体" w:cs="宋体"/>
          <w:sz w:val="36"/>
          <w:szCs w:val="36"/>
          <w:lang w:val="zh-TW"/>
        </w:rPr>
        <w:t>本</w:t>
      </w:r>
      <w:r>
        <w:rPr>
          <w:rFonts w:hint="eastAsia" w:ascii="黑体" w:hAnsi="黑体" w:eastAsia="黑体" w:cs="宋体"/>
          <w:sz w:val="36"/>
          <w:szCs w:val="36"/>
          <w:lang w:val="zh-TW"/>
        </w:rPr>
        <w:t>/副本</w:t>
      </w:r>
    </w:p>
    <w:p w14:paraId="30302DCB">
      <w:pPr>
        <w:jc w:val="center"/>
        <w:rPr>
          <w:rFonts w:eastAsia="黑体"/>
          <w:b/>
          <w:sz w:val="52"/>
          <w:szCs w:val="52"/>
        </w:rPr>
      </w:pPr>
    </w:p>
    <w:p w14:paraId="7FE2D0B4">
      <w:pPr>
        <w:jc w:val="center"/>
        <w:rPr>
          <w:rFonts w:ascii="黑体" w:hAnsi="黑体" w:eastAsia="黑体" w:cs="黑体"/>
          <w:sz w:val="48"/>
          <w:szCs w:val="48"/>
        </w:rPr>
      </w:pPr>
      <w:r>
        <w:rPr>
          <w:rFonts w:hint="eastAsia" w:ascii="黑体" w:hAnsi="黑体" w:eastAsia="黑体" w:cs="黑体"/>
          <w:sz w:val="48"/>
          <w:szCs w:val="48"/>
        </w:rPr>
        <w:t>江苏省广电有线信息网络股份有限公司</w:t>
      </w:r>
    </w:p>
    <w:p w14:paraId="1464A91E">
      <w:pPr>
        <w:jc w:val="center"/>
        <w:rPr>
          <w:rFonts w:ascii="黑体" w:hAnsi="黑体" w:eastAsia="黑体" w:cs="黑体"/>
          <w:sz w:val="48"/>
          <w:szCs w:val="48"/>
        </w:rPr>
      </w:pPr>
      <w:r>
        <w:rPr>
          <w:rFonts w:hint="eastAsia" w:ascii="黑体" w:hAnsi="黑体" w:eastAsia="黑体" w:cs="黑体"/>
          <w:sz w:val="48"/>
          <w:szCs w:val="48"/>
        </w:rPr>
        <w:t>云态势感知探针扩容采购项目</w:t>
      </w:r>
    </w:p>
    <w:p w14:paraId="6D19A451">
      <w:pPr>
        <w:jc w:val="center"/>
        <w:rPr>
          <w:rFonts w:ascii="黑体" w:hAnsi="黑体" w:eastAsia="黑体" w:cs="黑体"/>
          <w:sz w:val="48"/>
          <w:szCs w:val="48"/>
        </w:rPr>
      </w:pPr>
    </w:p>
    <w:p w14:paraId="5D4DB704">
      <w:pPr>
        <w:jc w:val="center"/>
        <w:rPr>
          <w:rFonts w:eastAsia="黑体"/>
          <w:b/>
          <w:sz w:val="52"/>
          <w:szCs w:val="52"/>
          <w:lang w:val="zh-CN"/>
        </w:rPr>
      </w:pPr>
    </w:p>
    <w:p w14:paraId="679FA6CF">
      <w:pPr>
        <w:jc w:val="center"/>
        <w:rPr>
          <w:rFonts w:ascii="宋体" w:hAnsi="宋体"/>
          <w:b/>
          <w:sz w:val="72"/>
        </w:rPr>
      </w:pPr>
    </w:p>
    <w:p w14:paraId="1FC59305">
      <w:pPr>
        <w:jc w:val="center"/>
        <w:rPr>
          <w:rFonts w:ascii="宋体" w:hAnsi="宋体"/>
          <w:b/>
          <w:sz w:val="72"/>
        </w:rPr>
      </w:pPr>
    </w:p>
    <w:p w14:paraId="5043B9C9">
      <w:pPr>
        <w:jc w:val="center"/>
        <w:rPr>
          <w:rFonts w:ascii="宋体" w:hAnsi="宋体"/>
          <w:b/>
          <w:sz w:val="72"/>
        </w:rPr>
      </w:pPr>
      <w:r>
        <w:rPr>
          <w:rFonts w:hint="eastAsia" w:ascii="黑体" w:hAnsi="黑体" w:eastAsia="黑体" w:cs="黑体"/>
          <w:sz w:val="48"/>
          <w:szCs w:val="48"/>
        </w:rPr>
        <w:t>询价响应文件</w:t>
      </w:r>
    </w:p>
    <w:p w14:paraId="21784928">
      <w:pPr>
        <w:spacing w:line="360" w:lineRule="auto"/>
        <w:jc w:val="center"/>
      </w:pPr>
    </w:p>
    <w:p w14:paraId="63612ECF">
      <w:pPr>
        <w:rPr>
          <w:rFonts w:eastAsia="黑体"/>
          <w:sz w:val="28"/>
          <w:szCs w:val="28"/>
        </w:rPr>
      </w:pPr>
    </w:p>
    <w:p w14:paraId="7B8E8518">
      <w:pPr>
        <w:spacing w:line="360" w:lineRule="auto"/>
        <w:jc w:val="center"/>
        <w:rPr>
          <w:rFonts w:eastAsia="黑体"/>
          <w:sz w:val="28"/>
          <w:szCs w:val="28"/>
        </w:rPr>
      </w:pPr>
    </w:p>
    <w:p w14:paraId="1EF4869F">
      <w:pPr>
        <w:spacing w:line="360" w:lineRule="auto"/>
        <w:jc w:val="center"/>
        <w:rPr>
          <w:rFonts w:eastAsia="黑体"/>
          <w:sz w:val="28"/>
          <w:szCs w:val="28"/>
        </w:rPr>
      </w:pPr>
    </w:p>
    <w:p w14:paraId="255ED079">
      <w:pPr>
        <w:spacing w:line="360" w:lineRule="auto"/>
        <w:rPr>
          <w:rFonts w:eastAsia="黑体"/>
          <w:sz w:val="28"/>
          <w:szCs w:val="28"/>
        </w:rPr>
      </w:pPr>
    </w:p>
    <w:p w14:paraId="213EA5D7">
      <w:pPr>
        <w:spacing w:line="360" w:lineRule="auto"/>
        <w:jc w:val="center"/>
        <w:rPr>
          <w:rFonts w:eastAsia="黑体"/>
          <w:sz w:val="28"/>
          <w:szCs w:val="28"/>
        </w:rPr>
      </w:pPr>
    </w:p>
    <w:p w14:paraId="14867370">
      <w:pPr>
        <w:spacing w:line="360" w:lineRule="auto"/>
        <w:jc w:val="center"/>
        <w:rPr>
          <w:rFonts w:eastAsia="黑体"/>
          <w:sz w:val="28"/>
          <w:szCs w:val="28"/>
          <w:u w:val="single"/>
        </w:rPr>
      </w:pPr>
      <w:r>
        <w:rPr>
          <w:rFonts w:hint="eastAsia" w:eastAsia="黑体"/>
          <w:sz w:val="28"/>
          <w:szCs w:val="28"/>
        </w:rPr>
        <w:t>供应商名称</w:t>
      </w:r>
      <w:r>
        <w:rPr>
          <w:rFonts w:eastAsia="黑体"/>
          <w:sz w:val="28"/>
          <w:szCs w:val="28"/>
        </w:rPr>
        <w:t>：（盖单位公章）</w:t>
      </w:r>
    </w:p>
    <w:p w14:paraId="7D8F46E2">
      <w:pPr>
        <w:spacing w:line="360" w:lineRule="auto"/>
        <w:jc w:val="center"/>
        <w:rPr>
          <w:rFonts w:eastAsia="黑体"/>
          <w:sz w:val="28"/>
          <w:szCs w:val="28"/>
        </w:rPr>
      </w:pPr>
      <w:r>
        <w:rPr>
          <w:rFonts w:eastAsia="黑体"/>
          <w:sz w:val="28"/>
          <w:szCs w:val="28"/>
        </w:rPr>
        <w:t>法定代表人或其委托代理人：（签字）</w:t>
      </w:r>
    </w:p>
    <w:p w14:paraId="7B1AB16A">
      <w:pPr>
        <w:spacing w:line="360" w:lineRule="auto"/>
        <w:jc w:val="center"/>
        <w:rPr>
          <w:rFonts w:eastAsia="黑体"/>
          <w:sz w:val="28"/>
          <w:szCs w:val="28"/>
        </w:rPr>
        <w:sectPr>
          <w:pgSz w:w="12240" w:h="15840"/>
          <w:pgMar w:top="1418" w:right="1418" w:bottom="1418" w:left="1418" w:header="720" w:footer="720" w:gutter="0"/>
          <w:pgNumType w:fmt="numberInDash"/>
          <w:cols w:space="720" w:num="1"/>
          <w:docGrid w:linePitch="286" w:charSpace="0"/>
        </w:sectPr>
      </w:pPr>
      <w:r>
        <w:rPr>
          <w:rFonts w:eastAsia="黑体"/>
          <w:sz w:val="28"/>
          <w:szCs w:val="28"/>
        </w:rPr>
        <w:t>年月日</w:t>
      </w:r>
    </w:p>
    <w:p w14:paraId="1CC0D60D">
      <w:pPr>
        <w:spacing w:line="276" w:lineRule="auto"/>
        <w:jc w:val="center"/>
        <w:rPr>
          <w:b/>
          <w:sz w:val="32"/>
          <w:szCs w:val="32"/>
        </w:rPr>
      </w:pPr>
      <w:bookmarkStart w:id="48" w:name="_Toc26260030"/>
      <w:bookmarkStart w:id="49" w:name="_Toc472689687"/>
      <w:bookmarkStart w:id="50" w:name="_Toc26259737"/>
      <w:bookmarkStart w:id="51" w:name="_Toc529538374"/>
      <w:bookmarkStart w:id="52" w:name="_Toc447265603"/>
      <w:bookmarkStart w:id="53" w:name="_Toc447265317"/>
      <w:bookmarkStart w:id="54" w:name="_Toc438052118"/>
      <w:r>
        <w:rPr>
          <w:rFonts w:hint="eastAsia"/>
          <w:b/>
          <w:sz w:val="32"/>
          <w:szCs w:val="32"/>
        </w:rPr>
        <w:t>评审索引表</w:t>
      </w:r>
      <w:bookmarkEnd w:id="48"/>
      <w:bookmarkEnd w:id="49"/>
      <w:bookmarkEnd w:id="50"/>
      <w:bookmarkEnd w:id="51"/>
    </w:p>
    <w:p w14:paraId="6C7356D9">
      <w:pPr>
        <w:spacing w:line="276" w:lineRule="auto"/>
        <w:ind w:firstLine="482" w:firstLineChars="200"/>
        <w:rPr>
          <w:b/>
          <w:sz w:val="24"/>
        </w:rPr>
      </w:pPr>
      <w:r>
        <w:rPr>
          <w:rFonts w:hint="eastAsia"/>
          <w:b/>
          <w:sz w:val="24"/>
        </w:rPr>
        <w:t>为了便于评审高效有序进行，请供应商提供如下索引表，并请将该索引表置于响应文件首页。请供应商按照索引表及采购文件要求提供相关材料。供应商没有按照采购文件要求提交全部资料，或者响应没有对采购文件做出实质性响应是供应商的风险，并可能导致其响应文件作否决处理。</w:t>
      </w:r>
    </w:p>
    <w:p w14:paraId="72DAAC8A">
      <w:pPr>
        <w:pStyle w:val="17"/>
        <w:rPr>
          <w:rFonts w:ascii="宋体" w:hAnsi="宋体"/>
          <w:b/>
          <w:sz w:val="24"/>
        </w:rPr>
      </w:pPr>
      <w:bookmarkStart w:id="55" w:name="_Toc529538375"/>
      <w:bookmarkStart w:id="56" w:name="_Toc26260031"/>
      <w:bookmarkStart w:id="57" w:name="_Toc429954241"/>
      <w:bookmarkStart w:id="58" w:name="_Toc401133270"/>
      <w:bookmarkStart w:id="59" w:name="_Toc485737092"/>
      <w:bookmarkStart w:id="60" w:name="_Toc26259738"/>
      <w:bookmarkStart w:id="61" w:name="_Toc427071030"/>
      <w:bookmarkStart w:id="62" w:name="_Toc401151285"/>
      <w:bookmarkStart w:id="63" w:name="_Toc401216443"/>
    </w:p>
    <w:p w14:paraId="25EEE697">
      <w:pPr>
        <w:spacing w:line="276" w:lineRule="auto"/>
        <w:jc w:val="center"/>
        <w:rPr>
          <w:b/>
          <w:sz w:val="24"/>
        </w:rPr>
      </w:pPr>
      <w:r>
        <w:rPr>
          <w:rFonts w:hint="eastAsia"/>
          <w:b/>
          <w:sz w:val="24"/>
        </w:rPr>
        <w:t>初步评审索引表</w:t>
      </w:r>
      <w:bookmarkEnd w:id="55"/>
      <w:bookmarkEnd w:id="56"/>
      <w:bookmarkEnd w:id="57"/>
      <w:bookmarkEnd w:id="58"/>
      <w:bookmarkEnd w:id="59"/>
      <w:bookmarkEnd w:id="60"/>
      <w:bookmarkEnd w:id="61"/>
      <w:bookmarkEnd w:id="62"/>
      <w:bookmarkEnd w:id="63"/>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143"/>
        <w:gridCol w:w="5114"/>
        <w:gridCol w:w="1251"/>
      </w:tblGrid>
      <w:tr w14:paraId="2D69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02E1BF9">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14" w:type="pct"/>
            <w:vAlign w:val="center"/>
          </w:tcPr>
          <w:p w14:paraId="4A163120">
            <w:pPr>
              <w:widowControl/>
              <w:jc w:val="center"/>
              <w:rPr>
                <w:rFonts w:ascii="宋体" w:hAnsi="宋体" w:cs="宋体"/>
                <w:b/>
                <w:bCs/>
                <w:kern w:val="0"/>
                <w:sz w:val="20"/>
                <w:szCs w:val="20"/>
              </w:rPr>
            </w:pPr>
            <w:r>
              <w:rPr>
                <w:rFonts w:hint="eastAsia" w:ascii="宋体" w:hAnsi="宋体" w:cs="宋体"/>
                <w:b/>
                <w:bCs/>
                <w:kern w:val="0"/>
                <w:sz w:val="20"/>
                <w:szCs w:val="20"/>
                <w:lang w:eastAsia="zh-TW"/>
              </w:rPr>
              <w:t>评审因素</w:t>
            </w:r>
          </w:p>
        </w:tc>
        <w:tc>
          <w:tcPr>
            <w:tcW w:w="2658" w:type="pct"/>
            <w:vAlign w:val="center"/>
          </w:tcPr>
          <w:p w14:paraId="4DCAD80F">
            <w:pPr>
              <w:widowControl/>
              <w:jc w:val="center"/>
              <w:rPr>
                <w:rFonts w:ascii="宋体" w:hAnsi="宋体" w:cs="宋体"/>
                <w:b/>
                <w:bCs/>
                <w:kern w:val="0"/>
                <w:sz w:val="20"/>
                <w:szCs w:val="20"/>
                <w:lang w:eastAsia="zh-TW"/>
              </w:rPr>
            </w:pPr>
            <w:r>
              <w:rPr>
                <w:b/>
                <w:szCs w:val="21"/>
              </w:rPr>
              <w:t>评审标准</w:t>
            </w:r>
          </w:p>
        </w:tc>
        <w:tc>
          <w:tcPr>
            <w:tcW w:w="650" w:type="pct"/>
            <w:vAlign w:val="center"/>
          </w:tcPr>
          <w:p w14:paraId="26659CE4">
            <w:pPr>
              <w:widowControl/>
              <w:jc w:val="center"/>
              <w:rPr>
                <w:rFonts w:ascii="宋体" w:hAnsi="宋体" w:cs="宋体"/>
                <w:b/>
                <w:bCs/>
                <w:kern w:val="0"/>
                <w:sz w:val="20"/>
                <w:szCs w:val="20"/>
              </w:rPr>
            </w:pPr>
            <w:r>
              <w:rPr>
                <w:rFonts w:hint="eastAsia" w:ascii="宋体" w:hAnsi="宋体" w:cs="宋体"/>
                <w:b/>
                <w:bCs/>
                <w:kern w:val="0"/>
                <w:sz w:val="20"/>
                <w:szCs w:val="20"/>
              </w:rPr>
              <w:t>证明材料对应页码</w:t>
            </w:r>
          </w:p>
        </w:tc>
      </w:tr>
      <w:tr w14:paraId="6B88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26515AE">
            <w:pPr>
              <w:widowControl/>
              <w:jc w:val="center"/>
              <w:rPr>
                <w:rFonts w:ascii="宋体" w:hAnsi="宋体"/>
              </w:rPr>
            </w:pPr>
            <w:r>
              <w:rPr>
                <w:rFonts w:hint="eastAsia" w:ascii="宋体" w:hAnsi="宋体"/>
              </w:rPr>
              <w:t>1</w:t>
            </w:r>
          </w:p>
        </w:tc>
        <w:tc>
          <w:tcPr>
            <w:tcW w:w="1114" w:type="pct"/>
            <w:vAlign w:val="center"/>
          </w:tcPr>
          <w:p w14:paraId="74040159">
            <w:pPr>
              <w:widowControl/>
              <w:jc w:val="left"/>
              <w:rPr>
                <w:rFonts w:ascii="宋体" w:hAnsi="宋体" w:cs="宋体"/>
                <w:kern w:val="0"/>
                <w:sz w:val="18"/>
                <w:szCs w:val="18"/>
              </w:rPr>
            </w:pPr>
          </w:p>
        </w:tc>
        <w:tc>
          <w:tcPr>
            <w:tcW w:w="2658" w:type="pct"/>
            <w:vAlign w:val="center"/>
          </w:tcPr>
          <w:p w14:paraId="4501A22A">
            <w:pPr>
              <w:widowControl/>
              <w:jc w:val="left"/>
              <w:rPr>
                <w:rFonts w:ascii="宋体" w:hAnsi="宋体" w:cs="宋体"/>
                <w:kern w:val="0"/>
                <w:sz w:val="18"/>
                <w:szCs w:val="18"/>
              </w:rPr>
            </w:pPr>
          </w:p>
        </w:tc>
        <w:tc>
          <w:tcPr>
            <w:tcW w:w="650" w:type="pct"/>
            <w:vAlign w:val="center"/>
          </w:tcPr>
          <w:p w14:paraId="3CCC3178">
            <w:pPr>
              <w:widowControl/>
              <w:jc w:val="center"/>
              <w:rPr>
                <w:rFonts w:ascii="宋体" w:hAnsi="宋体" w:cs="宋体"/>
                <w:kern w:val="0"/>
                <w:szCs w:val="21"/>
              </w:rPr>
            </w:pPr>
            <w:r>
              <w:rPr>
                <w:rFonts w:hint="eastAsia"/>
                <w:szCs w:val="21"/>
              </w:rPr>
              <w:t>页</w:t>
            </w:r>
          </w:p>
        </w:tc>
      </w:tr>
      <w:tr w14:paraId="4D88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F749907">
            <w:pPr>
              <w:widowControl/>
              <w:jc w:val="center"/>
              <w:rPr>
                <w:rFonts w:ascii="宋体" w:hAnsi="宋体"/>
              </w:rPr>
            </w:pPr>
            <w:r>
              <w:rPr>
                <w:rFonts w:hint="eastAsia" w:ascii="宋体" w:hAnsi="宋体"/>
              </w:rPr>
              <w:t>2</w:t>
            </w:r>
          </w:p>
        </w:tc>
        <w:tc>
          <w:tcPr>
            <w:tcW w:w="1114" w:type="pct"/>
            <w:vAlign w:val="center"/>
          </w:tcPr>
          <w:p w14:paraId="22BD85C3">
            <w:pPr>
              <w:widowControl/>
              <w:jc w:val="left"/>
              <w:rPr>
                <w:rFonts w:ascii="宋体" w:hAnsi="宋体" w:cs="宋体"/>
                <w:kern w:val="0"/>
                <w:sz w:val="18"/>
                <w:szCs w:val="18"/>
              </w:rPr>
            </w:pPr>
          </w:p>
        </w:tc>
        <w:tc>
          <w:tcPr>
            <w:tcW w:w="2658" w:type="pct"/>
            <w:vAlign w:val="center"/>
          </w:tcPr>
          <w:p w14:paraId="496D4F4A">
            <w:pPr>
              <w:widowControl/>
              <w:jc w:val="left"/>
              <w:rPr>
                <w:rFonts w:ascii="宋体" w:hAnsi="宋体" w:cs="宋体"/>
                <w:kern w:val="0"/>
                <w:sz w:val="18"/>
                <w:szCs w:val="18"/>
              </w:rPr>
            </w:pPr>
          </w:p>
        </w:tc>
        <w:tc>
          <w:tcPr>
            <w:tcW w:w="650" w:type="pct"/>
            <w:vAlign w:val="center"/>
          </w:tcPr>
          <w:p w14:paraId="49C0A7B4">
            <w:pPr>
              <w:widowControl/>
              <w:jc w:val="center"/>
              <w:rPr>
                <w:rFonts w:ascii="宋体" w:hAnsi="宋体" w:cs="宋体"/>
                <w:kern w:val="0"/>
                <w:szCs w:val="21"/>
              </w:rPr>
            </w:pPr>
            <w:r>
              <w:rPr>
                <w:rFonts w:hint="eastAsia"/>
                <w:szCs w:val="21"/>
              </w:rPr>
              <w:t>页</w:t>
            </w:r>
          </w:p>
        </w:tc>
      </w:tr>
      <w:tr w14:paraId="560A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E2EF8F7">
            <w:pPr>
              <w:widowControl/>
              <w:jc w:val="center"/>
              <w:rPr>
                <w:rFonts w:ascii="宋体" w:hAnsi="宋体"/>
              </w:rPr>
            </w:pPr>
            <w:r>
              <w:rPr>
                <w:rFonts w:hint="eastAsia" w:ascii="宋体" w:hAnsi="宋体"/>
              </w:rPr>
              <w:t>3</w:t>
            </w:r>
          </w:p>
        </w:tc>
        <w:tc>
          <w:tcPr>
            <w:tcW w:w="1114" w:type="pct"/>
            <w:vAlign w:val="center"/>
          </w:tcPr>
          <w:p w14:paraId="6A4C170A">
            <w:pPr>
              <w:widowControl/>
              <w:jc w:val="left"/>
              <w:rPr>
                <w:rFonts w:ascii="宋体" w:hAnsi="宋体" w:cs="宋体"/>
                <w:kern w:val="0"/>
                <w:sz w:val="18"/>
                <w:szCs w:val="18"/>
              </w:rPr>
            </w:pPr>
          </w:p>
        </w:tc>
        <w:tc>
          <w:tcPr>
            <w:tcW w:w="2658" w:type="pct"/>
            <w:vAlign w:val="center"/>
          </w:tcPr>
          <w:p w14:paraId="4191AAB7">
            <w:pPr>
              <w:widowControl/>
              <w:jc w:val="left"/>
              <w:rPr>
                <w:rFonts w:ascii="宋体" w:hAnsi="宋体" w:cs="宋体"/>
                <w:kern w:val="0"/>
                <w:sz w:val="18"/>
                <w:szCs w:val="18"/>
              </w:rPr>
            </w:pPr>
          </w:p>
        </w:tc>
        <w:tc>
          <w:tcPr>
            <w:tcW w:w="650" w:type="pct"/>
            <w:vAlign w:val="center"/>
          </w:tcPr>
          <w:p w14:paraId="09AB7F33">
            <w:pPr>
              <w:widowControl/>
              <w:jc w:val="center"/>
              <w:rPr>
                <w:rFonts w:ascii="宋体" w:hAnsi="宋体" w:cs="宋体"/>
                <w:b/>
                <w:kern w:val="0"/>
                <w:szCs w:val="21"/>
              </w:rPr>
            </w:pPr>
            <w:r>
              <w:rPr>
                <w:rFonts w:hint="eastAsia"/>
                <w:szCs w:val="21"/>
              </w:rPr>
              <w:t>页</w:t>
            </w:r>
          </w:p>
        </w:tc>
      </w:tr>
      <w:tr w14:paraId="51FD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F9E1AB2">
            <w:pPr>
              <w:widowControl/>
              <w:jc w:val="center"/>
              <w:rPr>
                <w:rFonts w:ascii="宋体" w:hAnsi="宋体"/>
              </w:rPr>
            </w:pPr>
            <w:r>
              <w:rPr>
                <w:rFonts w:hint="eastAsia" w:ascii="宋体" w:hAnsi="宋体"/>
              </w:rPr>
              <w:t>4</w:t>
            </w:r>
          </w:p>
        </w:tc>
        <w:tc>
          <w:tcPr>
            <w:tcW w:w="1114" w:type="pct"/>
            <w:vAlign w:val="center"/>
          </w:tcPr>
          <w:p w14:paraId="3CDC6DC1">
            <w:pPr>
              <w:widowControl/>
              <w:jc w:val="left"/>
              <w:rPr>
                <w:rFonts w:ascii="宋体" w:hAnsi="宋体" w:cs="宋体"/>
                <w:kern w:val="0"/>
                <w:sz w:val="18"/>
                <w:szCs w:val="18"/>
              </w:rPr>
            </w:pPr>
          </w:p>
        </w:tc>
        <w:tc>
          <w:tcPr>
            <w:tcW w:w="2658" w:type="pct"/>
            <w:vAlign w:val="center"/>
          </w:tcPr>
          <w:p w14:paraId="397F4BEE">
            <w:pPr>
              <w:widowControl/>
              <w:jc w:val="left"/>
              <w:rPr>
                <w:rFonts w:ascii="宋体" w:hAnsi="宋体" w:cs="宋体"/>
                <w:kern w:val="0"/>
                <w:sz w:val="18"/>
                <w:szCs w:val="18"/>
              </w:rPr>
            </w:pPr>
          </w:p>
        </w:tc>
        <w:tc>
          <w:tcPr>
            <w:tcW w:w="650" w:type="pct"/>
            <w:vAlign w:val="center"/>
          </w:tcPr>
          <w:p w14:paraId="2F6EFCB1">
            <w:pPr>
              <w:widowControl/>
              <w:jc w:val="center"/>
              <w:rPr>
                <w:rFonts w:ascii="宋体" w:hAnsi="宋体" w:cs="宋体"/>
                <w:kern w:val="0"/>
                <w:szCs w:val="21"/>
              </w:rPr>
            </w:pPr>
            <w:r>
              <w:rPr>
                <w:rFonts w:hint="eastAsia"/>
                <w:szCs w:val="21"/>
              </w:rPr>
              <w:t>页</w:t>
            </w:r>
          </w:p>
        </w:tc>
      </w:tr>
      <w:tr w14:paraId="55CB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37AB914">
            <w:pPr>
              <w:widowControl/>
              <w:jc w:val="center"/>
              <w:rPr>
                <w:rFonts w:ascii="宋体" w:hAnsi="宋体"/>
              </w:rPr>
            </w:pPr>
            <w:r>
              <w:rPr>
                <w:rFonts w:hint="eastAsia" w:ascii="宋体" w:hAnsi="宋体"/>
              </w:rPr>
              <w:t>5</w:t>
            </w:r>
          </w:p>
        </w:tc>
        <w:tc>
          <w:tcPr>
            <w:tcW w:w="1114" w:type="pct"/>
            <w:vAlign w:val="center"/>
          </w:tcPr>
          <w:p w14:paraId="3571AB80">
            <w:pPr>
              <w:widowControl/>
              <w:jc w:val="left"/>
              <w:rPr>
                <w:rFonts w:ascii="宋体" w:hAnsi="宋体" w:cs="宋体"/>
                <w:kern w:val="0"/>
                <w:sz w:val="18"/>
                <w:szCs w:val="18"/>
              </w:rPr>
            </w:pPr>
          </w:p>
        </w:tc>
        <w:tc>
          <w:tcPr>
            <w:tcW w:w="2658" w:type="pct"/>
            <w:vAlign w:val="center"/>
          </w:tcPr>
          <w:p w14:paraId="0F7BBAA9">
            <w:pPr>
              <w:widowControl/>
              <w:jc w:val="left"/>
              <w:rPr>
                <w:rFonts w:ascii="宋体" w:hAnsi="宋体" w:cs="宋体"/>
                <w:kern w:val="0"/>
                <w:sz w:val="18"/>
                <w:szCs w:val="18"/>
              </w:rPr>
            </w:pPr>
          </w:p>
        </w:tc>
        <w:tc>
          <w:tcPr>
            <w:tcW w:w="650" w:type="pct"/>
            <w:vAlign w:val="center"/>
          </w:tcPr>
          <w:p w14:paraId="4572CF1A">
            <w:pPr>
              <w:widowControl/>
              <w:jc w:val="center"/>
              <w:rPr>
                <w:rFonts w:ascii="宋体" w:hAnsi="宋体" w:cs="宋体"/>
                <w:kern w:val="0"/>
                <w:szCs w:val="21"/>
              </w:rPr>
            </w:pPr>
            <w:r>
              <w:rPr>
                <w:rFonts w:hint="eastAsia"/>
                <w:szCs w:val="21"/>
              </w:rPr>
              <w:t>页</w:t>
            </w:r>
          </w:p>
        </w:tc>
      </w:tr>
      <w:tr w14:paraId="5C48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88A2299">
            <w:pPr>
              <w:widowControl/>
              <w:jc w:val="center"/>
              <w:rPr>
                <w:rFonts w:ascii="宋体" w:hAnsi="宋体"/>
              </w:rPr>
            </w:pPr>
            <w:r>
              <w:rPr>
                <w:rFonts w:hint="eastAsia" w:ascii="宋体" w:hAnsi="宋体"/>
              </w:rPr>
              <w:t>6</w:t>
            </w:r>
          </w:p>
        </w:tc>
        <w:tc>
          <w:tcPr>
            <w:tcW w:w="1114" w:type="pct"/>
            <w:vAlign w:val="center"/>
          </w:tcPr>
          <w:p w14:paraId="27AD79E5">
            <w:pPr>
              <w:widowControl/>
              <w:jc w:val="left"/>
              <w:rPr>
                <w:rFonts w:ascii="宋体" w:hAnsi="宋体" w:cs="宋体"/>
                <w:kern w:val="0"/>
                <w:sz w:val="18"/>
                <w:szCs w:val="18"/>
              </w:rPr>
            </w:pPr>
          </w:p>
        </w:tc>
        <w:tc>
          <w:tcPr>
            <w:tcW w:w="2658" w:type="pct"/>
            <w:vAlign w:val="center"/>
          </w:tcPr>
          <w:p w14:paraId="6B262D85">
            <w:pPr>
              <w:widowControl/>
              <w:jc w:val="left"/>
              <w:rPr>
                <w:rFonts w:ascii="宋体" w:hAnsi="宋体" w:cs="宋体"/>
                <w:kern w:val="0"/>
                <w:sz w:val="18"/>
                <w:szCs w:val="18"/>
              </w:rPr>
            </w:pPr>
          </w:p>
        </w:tc>
        <w:tc>
          <w:tcPr>
            <w:tcW w:w="650" w:type="pct"/>
            <w:vAlign w:val="center"/>
          </w:tcPr>
          <w:p w14:paraId="0A446743">
            <w:pPr>
              <w:widowControl/>
              <w:jc w:val="center"/>
              <w:rPr>
                <w:rFonts w:ascii="宋体" w:hAnsi="宋体" w:cs="宋体"/>
                <w:kern w:val="0"/>
                <w:szCs w:val="21"/>
              </w:rPr>
            </w:pPr>
            <w:r>
              <w:rPr>
                <w:rFonts w:hint="eastAsia"/>
                <w:szCs w:val="21"/>
              </w:rPr>
              <w:t>页</w:t>
            </w:r>
          </w:p>
        </w:tc>
      </w:tr>
      <w:tr w14:paraId="7504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CC24264">
            <w:pPr>
              <w:widowControl/>
              <w:jc w:val="center"/>
              <w:rPr>
                <w:rFonts w:ascii="宋体" w:hAnsi="宋体"/>
              </w:rPr>
            </w:pPr>
            <w:r>
              <w:rPr>
                <w:rFonts w:hint="eastAsia" w:ascii="宋体" w:hAnsi="宋体"/>
              </w:rPr>
              <w:t>7</w:t>
            </w:r>
          </w:p>
        </w:tc>
        <w:tc>
          <w:tcPr>
            <w:tcW w:w="1114" w:type="pct"/>
            <w:vAlign w:val="center"/>
          </w:tcPr>
          <w:p w14:paraId="2C886934">
            <w:pPr>
              <w:widowControl/>
              <w:jc w:val="left"/>
              <w:rPr>
                <w:rFonts w:ascii="宋体" w:hAnsi="宋体" w:cs="宋体"/>
                <w:kern w:val="0"/>
                <w:sz w:val="18"/>
                <w:szCs w:val="18"/>
              </w:rPr>
            </w:pPr>
          </w:p>
        </w:tc>
        <w:tc>
          <w:tcPr>
            <w:tcW w:w="2658" w:type="pct"/>
            <w:vAlign w:val="center"/>
          </w:tcPr>
          <w:p w14:paraId="03D520B2">
            <w:pPr>
              <w:widowControl/>
              <w:jc w:val="left"/>
              <w:rPr>
                <w:rFonts w:ascii="宋体" w:hAnsi="宋体" w:cs="宋体"/>
                <w:kern w:val="0"/>
                <w:sz w:val="18"/>
                <w:szCs w:val="18"/>
              </w:rPr>
            </w:pPr>
          </w:p>
        </w:tc>
        <w:tc>
          <w:tcPr>
            <w:tcW w:w="650" w:type="pct"/>
            <w:vAlign w:val="center"/>
          </w:tcPr>
          <w:p w14:paraId="2C1411C2">
            <w:pPr>
              <w:widowControl/>
              <w:jc w:val="center"/>
              <w:rPr>
                <w:rFonts w:ascii="宋体" w:hAnsi="宋体" w:cs="宋体"/>
                <w:kern w:val="0"/>
                <w:szCs w:val="21"/>
              </w:rPr>
            </w:pPr>
            <w:r>
              <w:rPr>
                <w:rFonts w:hint="eastAsia"/>
                <w:szCs w:val="21"/>
              </w:rPr>
              <w:t>页</w:t>
            </w:r>
          </w:p>
        </w:tc>
      </w:tr>
      <w:tr w14:paraId="79EC6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8F84780">
            <w:pPr>
              <w:widowControl/>
              <w:jc w:val="center"/>
              <w:rPr>
                <w:rFonts w:ascii="宋体" w:hAnsi="宋体"/>
              </w:rPr>
            </w:pPr>
            <w:r>
              <w:rPr>
                <w:rFonts w:hint="eastAsia" w:ascii="宋体" w:hAnsi="宋体"/>
              </w:rPr>
              <w:t>8</w:t>
            </w:r>
          </w:p>
        </w:tc>
        <w:tc>
          <w:tcPr>
            <w:tcW w:w="1114" w:type="pct"/>
            <w:vAlign w:val="center"/>
          </w:tcPr>
          <w:p w14:paraId="34278013">
            <w:pPr>
              <w:widowControl/>
              <w:jc w:val="left"/>
              <w:rPr>
                <w:rFonts w:ascii="宋体" w:hAnsi="宋体" w:cs="宋体"/>
                <w:kern w:val="0"/>
                <w:sz w:val="18"/>
                <w:szCs w:val="18"/>
              </w:rPr>
            </w:pPr>
          </w:p>
        </w:tc>
        <w:tc>
          <w:tcPr>
            <w:tcW w:w="2658" w:type="pct"/>
            <w:vAlign w:val="center"/>
          </w:tcPr>
          <w:p w14:paraId="067258F0">
            <w:pPr>
              <w:widowControl/>
              <w:jc w:val="left"/>
              <w:rPr>
                <w:rFonts w:ascii="宋体" w:hAnsi="宋体" w:cs="宋体"/>
                <w:kern w:val="0"/>
                <w:sz w:val="18"/>
                <w:szCs w:val="18"/>
              </w:rPr>
            </w:pPr>
          </w:p>
        </w:tc>
        <w:tc>
          <w:tcPr>
            <w:tcW w:w="650" w:type="pct"/>
            <w:vAlign w:val="center"/>
          </w:tcPr>
          <w:p w14:paraId="670521C3">
            <w:pPr>
              <w:widowControl/>
              <w:jc w:val="center"/>
              <w:rPr>
                <w:rFonts w:ascii="宋体" w:hAnsi="宋体" w:cs="宋体"/>
                <w:kern w:val="0"/>
                <w:szCs w:val="21"/>
              </w:rPr>
            </w:pPr>
            <w:r>
              <w:rPr>
                <w:rFonts w:hint="eastAsia"/>
                <w:szCs w:val="21"/>
              </w:rPr>
              <w:t>页</w:t>
            </w:r>
          </w:p>
        </w:tc>
      </w:tr>
      <w:tr w14:paraId="35F6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40CFD9D">
            <w:pPr>
              <w:widowControl/>
              <w:jc w:val="center"/>
              <w:rPr>
                <w:rFonts w:ascii="宋体" w:hAnsi="宋体"/>
              </w:rPr>
            </w:pPr>
            <w:r>
              <w:rPr>
                <w:rFonts w:hint="eastAsia" w:ascii="宋体" w:hAnsi="宋体"/>
              </w:rPr>
              <w:t>9</w:t>
            </w:r>
          </w:p>
        </w:tc>
        <w:tc>
          <w:tcPr>
            <w:tcW w:w="1114" w:type="pct"/>
            <w:vAlign w:val="center"/>
          </w:tcPr>
          <w:p w14:paraId="5053748A">
            <w:pPr>
              <w:widowControl/>
              <w:jc w:val="left"/>
              <w:rPr>
                <w:rFonts w:ascii="宋体" w:hAnsi="宋体" w:cs="宋体"/>
                <w:kern w:val="0"/>
                <w:sz w:val="18"/>
                <w:szCs w:val="18"/>
              </w:rPr>
            </w:pPr>
          </w:p>
        </w:tc>
        <w:tc>
          <w:tcPr>
            <w:tcW w:w="2658" w:type="pct"/>
            <w:vAlign w:val="center"/>
          </w:tcPr>
          <w:p w14:paraId="3774E3B0">
            <w:pPr>
              <w:widowControl/>
              <w:jc w:val="left"/>
              <w:rPr>
                <w:rFonts w:ascii="宋体" w:hAnsi="宋体" w:cs="宋体"/>
                <w:kern w:val="0"/>
                <w:sz w:val="18"/>
                <w:szCs w:val="18"/>
              </w:rPr>
            </w:pPr>
          </w:p>
        </w:tc>
        <w:tc>
          <w:tcPr>
            <w:tcW w:w="650" w:type="pct"/>
            <w:vAlign w:val="center"/>
          </w:tcPr>
          <w:p w14:paraId="6BDAA358">
            <w:pPr>
              <w:widowControl/>
              <w:jc w:val="center"/>
              <w:rPr>
                <w:rFonts w:ascii="宋体" w:hAnsi="宋体" w:cs="宋体"/>
                <w:kern w:val="0"/>
                <w:szCs w:val="21"/>
              </w:rPr>
            </w:pPr>
            <w:r>
              <w:rPr>
                <w:rFonts w:hint="eastAsia"/>
                <w:szCs w:val="21"/>
              </w:rPr>
              <w:t>页</w:t>
            </w:r>
          </w:p>
        </w:tc>
      </w:tr>
      <w:tr w14:paraId="35DD2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3243D3B">
            <w:pPr>
              <w:widowControl/>
              <w:jc w:val="center"/>
              <w:rPr>
                <w:rFonts w:ascii="宋体" w:hAnsi="宋体"/>
              </w:rPr>
            </w:pPr>
            <w:r>
              <w:rPr>
                <w:rFonts w:hint="eastAsia" w:ascii="宋体" w:hAnsi="宋体"/>
              </w:rPr>
              <w:t>10</w:t>
            </w:r>
          </w:p>
        </w:tc>
        <w:tc>
          <w:tcPr>
            <w:tcW w:w="1114" w:type="pct"/>
            <w:vAlign w:val="center"/>
          </w:tcPr>
          <w:p w14:paraId="51DD978A">
            <w:pPr>
              <w:widowControl/>
              <w:jc w:val="left"/>
              <w:rPr>
                <w:rFonts w:ascii="宋体" w:hAnsi="宋体" w:cs="宋体"/>
                <w:kern w:val="0"/>
                <w:sz w:val="18"/>
                <w:szCs w:val="18"/>
              </w:rPr>
            </w:pPr>
          </w:p>
        </w:tc>
        <w:tc>
          <w:tcPr>
            <w:tcW w:w="2658" w:type="pct"/>
            <w:vAlign w:val="center"/>
          </w:tcPr>
          <w:p w14:paraId="6F337C92">
            <w:pPr>
              <w:widowControl/>
              <w:jc w:val="left"/>
              <w:rPr>
                <w:rFonts w:ascii="宋体" w:hAnsi="宋体" w:cs="宋体"/>
                <w:kern w:val="0"/>
                <w:sz w:val="18"/>
                <w:szCs w:val="18"/>
              </w:rPr>
            </w:pPr>
          </w:p>
        </w:tc>
        <w:tc>
          <w:tcPr>
            <w:tcW w:w="650" w:type="pct"/>
            <w:vAlign w:val="center"/>
          </w:tcPr>
          <w:p w14:paraId="4A66371A">
            <w:pPr>
              <w:widowControl/>
              <w:jc w:val="center"/>
              <w:rPr>
                <w:rFonts w:ascii="宋体" w:hAnsi="宋体" w:cs="宋体"/>
                <w:kern w:val="0"/>
                <w:szCs w:val="21"/>
              </w:rPr>
            </w:pPr>
            <w:r>
              <w:rPr>
                <w:rFonts w:hint="eastAsia"/>
                <w:szCs w:val="21"/>
              </w:rPr>
              <w:t>页</w:t>
            </w:r>
          </w:p>
        </w:tc>
      </w:tr>
    </w:tbl>
    <w:p w14:paraId="64F75303"/>
    <w:p w14:paraId="1B58D40E">
      <w:pPr>
        <w:spacing w:line="276" w:lineRule="auto"/>
        <w:jc w:val="center"/>
        <w:rPr>
          <w:b/>
          <w:sz w:val="24"/>
        </w:rPr>
      </w:pPr>
      <w:bookmarkStart w:id="64" w:name="_Toc26259739"/>
      <w:bookmarkStart w:id="65" w:name="_Toc26260032"/>
      <w:r>
        <w:rPr>
          <w:rFonts w:hint="eastAsia"/>
          <w:b/>
          <w:sz w:val="24"/>
        </w:rPr>
        <w:t>详细评审索引表</w:t>
      </w:r>
      <w:bookmarkEnd w:id="64"/>
      <w:bookmarkEnd w:id="65"/>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8"/>
        <w:gridCol w:w="2143"/>
        <w:gridCol w:w="5114"/>
        <w:gridCol w:w="1251"/>
      </w:tblGrid>
      <w:tr w14:paraId="515AD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4B04239">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114" w:type="pct"/>
            <w:vAlign w:val="center"/>
          </w:tcPr>
          <w:p w14:paraId="2C059BF0">
            <w:pPr>
              <w:widowControl/>
              <w:jc w:val="center"/>
              <w:rPr>
                <w:rFonts w:ascii="宋体" w:hAnsi="宋体" w:cs="宋体"/>
                <w:b/>
                <w:bCs/>
                <w:kern w:val="0"/>
                <w:sz w:val="20"/>
                <w:szCs w:val="20"/>
              </w:rPr>
            </w:pPr>
            <w:r>
              <w:rPr>
                <w:rFonts w:hint="eastAsia" w:ascii="宋体" w:hAnsi="宋体" w:cs="宋体"/>
                <w:b/>
                <w:bCs/>
                <w:kern w:val="0"/>
                <w:sz w:val="20"/>
                <w:szCs w:val="20"/>
                <w:lang w:eastAsia="zh-TW"/>
              </w:rPr>
              <w:t>评审因素</w:t>
            </w:r>
          </w:p>
        </w:tc>
        <w:tc>
          <w:tcPr>
            <w:tcW w:w="2658" w:type="pct"/>
            <w:vAlign w:val="center"/>
          </w:tcPr>
          <w:p w14:paraId="6C3969D0">
            <w:pPr>
              <w:widowControl/>
              <w:jc w:val="center"/>
              <w:rPr>
                <w:rFonts w:ascii="宋体" w:hAnsi="宋体" w:cs="宋体"/>
                <w:b/>
                <w:bCs/>
                <w:kern w:val="0"/>
                <w:sz w:val="20"/>
                <w:szCs w:val="20"/>
                <w:lang w:eastAsia="zh-TW"/>
              </w:rPr>
            </w:pPr>
            <w:r>
              <w:rPr>
                <w:b/>
                <w:szCs w:val="21"/>
              </w:rPr>
              <w:t>评审标准</w:t>
            </w:r>
          </w:p>
        </w:tc>
        <w:tc>
          <w:tcPr>
            <w:tcW w:w="650" w:type="pct"/>
            <w:vAlign w:val="center"/>
          </w:tcPr>
          <w:p w14:paraId="5D6B14B7">
            <w:pPr>
              <w:widowControl/>
              <w:jc w:val="center"/>
              <w:rPr>
                <w:rFonts w:ascii="宋体" w:hAnsi="宋体" w:cs="宋体"/>
                <w:b/>
                <w:bCs/>
                <w:kern w:val="0"/>
                <w:sz w:val="20"/>
                <w:szCs w:val="20"/>
              </w:rPr>
            </w:pPr>
            <w:r>
              <w:rPr>
                <w:rFonts w:hint="eastAsia" w:ascii="宋体" w:hAnsi="宋体" w:cs="宋体"/>
                <w:b/>
                <w:bCs/>
                <w:kern w:val="0"/>
                <w:sz w:val="20"/>
                <w:szCs w:val="20"/>
              </w:rPr>
              <w:t>证明材料对应页码</w:t>
            </w:r>
          </w:p>
        </w:tc>
      </w:tr>
      <w:tr w14:paraId="4646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CE3FB83">
            <w:pPr>
              <w:widowControl/>
              <w:jc w:val="center"/>
              <w:rPr>
                <w:rFonts w:ascii="宋体" w:hAnsi="宋体"/>
              </w:rPr>
            </w:pPr>
            <w:r>
              <w:rPr>
                <w:rFonts w:hint="eastAsia" w:ascii="宋体" w:hAnsi="宋体"/>
              </w:rPr>
              <w:t>1</w:t>
            </w:r>
          </w:p>
        </w:tc>
        <w:tc>
          <w:tcPr>
            <w:tcW w:w="1114" w:type="pct"/>
            <w:vAlign w:val="center"/>
          </w:tcPr>
          <w:p w14:paraId="212E2EFD">
            <w:pPr>
              <w:widowControl/>
              <w:jc w:val="left"/>
              <w:rPr>
                <w:rFonts w:ascii="宋体" w:hAnsi="宋体" w:cs="宋体"/>
                <w:kern w:val="0"/>
                <w:sz w:val="18"/>
                <w:szCs w:val="18"/>
              </w:rPr>
            </w:pPr>
          </w:p>
        </w:tc>
        <w:tc>
          <w:tcPr>
            <w:tcW w:w="2658" w:type="pct"/>
            <w:vAlign w:val="center"/>
          </w:tcPr>
          <w:p w14:paraId="087D4792">
            <w:pPr>
              <w:widowControl/>
              <w:jc w:val="left"/>
              <w:rPr>
                <w:rFonts w:ascii="宋体" w:hAnsi="宋体" w:cs="宋体"/>
                <w:kern w:val="0"/>
                <w:sz w:val="18"/>
                <w:szCs w:val="18"/>
              </w:rPr>
            </w:pPr>
          </w:p>
        </w:tc>
        <w:tc>
          <w:tcPr>
            <w:tcW w:w="650" w:type="pct"/>
            <w:vAlign w:val="center"/>
          </w:tcPr>
          <w:p w14:paraId="7776E8EC">
            <w:pPr>
              <w:widowControl/>
              <w:jc w:val="center"/>
              <w:rPr>
                <w:rFonts w:ascii="宋体" w:hAnsi="宋体" w:cs="宋体"/>
                <w:kern w:val="0"/>
                <w:szCs w:val="21"/>
              </w:rPr>
            </w:pPr>
            <w:r>
              <w:rPr>
                <w:rFonts w:hint="eastAsia"/>
                <w:szCs w:val="21"/>
              </w:rPr>
              <w:t>页</w:t>
            </w:r>
          </w:p>
        </w:tc>
      </w:tr>
      <w:tr w14:paraId="403B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39E03BC">
            <w:pPr>
              <w:widowControl/>
              <w:jc w:val="center"/>
              <w:rPr>
                <w:rFonts w:ascii="宋体" w:hAnsi="宋体"/>
              </w:rPr>
            </w:pPr>
            <w:r>
              <w:rPr>
                <w:rFonts w:hint="eastAsia" w:ascii="宋体" w:hAnsi="宋体"/>
              </w:rPr>
              <w:t>2</w:t>
            </w:r>
          </w:p>
        </w:tc>
        <w:tc>
          <w:tcPr>
            <w:tcW w:w="1114" w:type="pct"/>
            <w:vAlign w:val="center"/>
          </w:tcPr>
          <w:p w14:paraId="53E47B12">
            <w:pPr>
              <w:widowControl/>
              <w:jc w:val="left"/>
              <w:rPr>
                <w:rFonts w:ascii="宋体" w:hAnsi="宋体" w:cs="宋体"/>
                <w:kern w:val="0"/>
                <w:sz w:val="18"/>
                <w:szCs w:val="18"/>
              </w:rPr>
            </w:pPr>
          </w:p>
        </w:tc>
        <w:tc>
          <w:tcPr>
            <w:tcW w:w="2658" w:type="pct"/>
            <w:vAlign w:val="center"/>
          </w:tcPr>
          <w:p w14:paraId="657DCB85">
            <w:pPr>
              <w:widowControl/>
              <w:jc w:val="left"/>
              <w:rPr>
                <w:rFonts w:ascii="宋体" w:hAnsi="宋体" w:cs="宋体"/>
                <w:kern w:val="0"/>
                <w:sz w:val="18"/>
                <w:szCs w:val="18"/>
              </w:rPr>
            </w:pPr>
          </w:p>
        </w:tc>
        <w:tc>
          <w:tcPr>
            <w:tcW w:w="650" w:type="pct"/>
            <w:vAlign w:val="center"/>
          </w:tcPr>
          <w:p w14:paraId="18A971FC">
            <w:pPr>
              <w:widowControl/>
              <w:jc w:val="center"/>
              <w:rPr>
                <w:rFonts w:ascii="宋体" w:hAnsi="宋体" w:cs="宋体"/>
                <w:kern w:val="0"/>
                <w:szCs w:val="21"/>
              </w:rPr>
            </w:pPr>
            <w:r>
              <w:rPr>
                <w:rFonts w:hint="eastAsia"/>
                <w:szCs w:val="21"/>
              </w:rPr>
              <w:t>页</w:t>
            </w:r>
          </w:p>
        </w:tc>
      </w:tr>
      <w:tr w14:paraId="105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BA0EC69">
            <w:pPr>
              <w:widowControl/>
              <w:jc w:val="center"/>
              <w:rPr>
                <w:rFonts w:ascii="宋体" w:hAnsi="宋体"/>
              </w:rPr>
            </w:pPr>
            <w:r>
              <w:rPr>
                <w:rFonts w:hint="eastAsia" w:ascii="宋体" w:hAnsi="宋体"/>
              </w:rPr>
              <w:t>3</w:t>
            </w:r>
          </w:p>
        </w:tc>
        <w:tc>
          <w:tcPr>
            <w:tcW w:w="1114" w:type="pct"/>
            <w:vAlign w:val="center"/>
          </w:tcPr>
          <w:p w14:paraId="546CB5B8">
            <w:pPr>
              <w:widowControl/>
              <w:jc w:val="left"/>
              <w:rPr>
                <w:rFonts w:ascii="宋体" w:hAnsi="宋体" w:cs="宋体"/>
                <w:kern w:val="0"/>
                <w:sz w:val="18"/>
                <w:szCs w:val="18"/>
              </w:rPr>
            </w:pPr>
          </w:p>
        </w:tc>
        <w:tc>
          <w:tcPr>
            <w:tcW w:w="2658" w:type="pct"/>
            <w:vAlign w:val="center"/>
          </w:tcPr>
          <w:p w14:paraId="57C9ECDF">
            <w:pPr>
              <w:widowControl/>
              <w:jc w:val="left"/>
              <w:rPr>
                <w:rFonts w:ascii="宋体" w:hAnsi="宋体" w:cs="宋体"/>
                <w:kern w:val="0"/>
                <w:sz w:val="18"/>
                <w:szCs w:val="18"/>
              </w:rPr>
            </w:pPr>
          </w:p>
        </w:tc>
        <w:tc>
          <w:tcPr>
            <w:tcW w:w="650" w:type="pct"/>
            <w:vAlign w:val="center"/>
          </w:tcPr>
          <w:p w14:paraId="0243F2AA">
            <w:pPr>
              <w:widowControl/>
              <w:jc w:val="center"/>
              <w:rPr>
                <w:rFonts w:ascii="宋体" w:hAnsi="宋体" w:cs="宋体"/>
                <w:b/>
                <w:kern w:val="0"/>
                <w:szCs w:val="21"/>
              </w:rPr>
            </w:pPr>
            <w:r>
              <w:rPr>
                <w:rFonts w:hint="eastAsia"/>
                <w:szCs w:val="21"/>
              </w:rPr>
              <w:t>页</w:t>
            </w:r>
          </w:p>
        </w:tc>
      </w:tr>
      <w:tr w14:paraId="555B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52D6A4EF">
            <w:pPr>
              <w:widowControl/>
              <w:jc w:val="center"/>
              <w:rPr>
                <w:rFonts w:ascii="宋体" w:hAnsi="宋体"/>
              </w:rPr>
            </w:pPr>
            <w:r>
              <w:rPr>
                <w:rFonts w:hint="eastAsia" w:ascii="宋体" w:hAnsi="宋体"/>
              </w:rPr>
              <w:t>4</w:t>
            </w:r>
          </w:p>
        </w:tc>
        <w:tc>
          <w:tcPr>
            <w:tcW w:w="1114" w:type="pct"/>
            <w:vAlign w:val="center"/>
          </w:tcPr>
          <w:p w14:paraId="39AA1440">
            <w:pPr>
              <w:widowControl/>
              <w:jc w:val="left"/>
              <w:rPr>
                <w:rFonts w:ascii="宋体" w:hAnsi="宋体" w:cs="宋体"/>
                <w:kern w:val="0"/>
                <w:sz w:val="18"/>
                <w:szCs w:val="18"/>
              </w:rPr>
            </w:pPr>
          </w:p>
        </w:tc>
        <w:tc>
          <w:tcPr>
            <w:tcW w:w="2658" w:type="pct"/>
            <w:vAlign w:val="center"/>
          </w:tcPr>
          <w:p w14:paraId="6BED7AC2">
            <w:pPr>
              <w:widowControl/>
              <w:jc w:val="left"/>
              <w:rPr>
                <w:rFonts w:ascii="宋体" w:hAnsi="宋体" w:cs="宋体"/>
                <w:kern w:val="0"/>
                <w:sz w:val="18"/>
                <w:szCs w:val="18"/>
              </w:rPr>
            </w:pPr>
          </w:p>
        </w:tc>
        <w:tc>
          <w:tcPr>
            <w:tcW w:w="650" w:type="pct"/>
            <w:vAlign w:val="center"/>
          </w:tcPr>
          <w:p w14:paraId="40537C40">
            <w:pPr>
              <w:widowControl/>
              <w:jc w:val="center"/>
              <w:rPr>
                <w:rFonts w:ascii="宋体" w:hAnsi="宋体" w:cs="宋体"/>
                <w:kern w:val="0"/>
                <w:szCs w:val="21"/>
              </w:rPr>
            </w:pPr>
            <w:r>
              <w:rPr>
                <w:rFonts w:hint="eastAsia"/>
                <w:szCs w:val="21"/>
              </w:rPr>
              <w:t>页</w:t>
            </w:r>
          </w:p>
        </w:tc>
      </w:tr>
      <w:tr w14:paraId="32D59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DA4D7B3">
            <w:pPr>
              <w:widowControl/>
              <w:jc w:val="center"/>
              <w:rPr>
                <w:rFonts w:ascii="宋体" w:hAnsi="宋体"/>
              </w:rPr>
            </w:pPr>
            <w:r>
              <w:rPr>
                <w:rFonts w:hint="eastAsia" w:ascii="宋体" w:hAnsi="宋体"/>
              </w:rPr>
              <w:t>5</w:t>
            </w:r>
          </w:p>
        </w:tc>
        <w:tc>
          <w:tcPr>
            <w:tcW w:w="1114" w:type="pct"/>
            <w:vAlign w:val="center"/>
          </w:tcPr>
          <w:p w14:paraId="691B3DCD">
            <w:pPr>
              <w:widowControl/>
              <w:jc w:val="left"/>
              <w:rPr>
                <w:rFonts w:ascii="宋体" w:hAnsi="宋体" w:cs="宋体"/>
                <w:kern w:val="0"/>
                <w:sz w:val="18"/>
                <w:szCs w:val="18"/>
              </w:rPr>
            </w:pPr>
          </w:p>
        </w:tc>
        <w:tc>
          <w:tcPr>
            <w:tcW w:w="2658" w:type="pct"/>
            <w:vAlign w:val="center"/>
          </w:tcPr>
          <w:p w14:paraId="0BF826C1">
            <w:pPr>
              <w:widowControl/>
              <w:jc w:val="left"/>
              <w:rPr>
                <w:rFonts w:ascii="宋体" w:hAnsi="宋体" w:cs="宋体"/>
                <w:kern w:val="0"/>
                <w:sz w:val="18"/>
                <w:szCs w:val="18"/>
              </w:rPr>
            </w:pPr>
          </w:p>
        </w:tc>
        <w:tc>
          <w:tcPr>
            <w:tcW w:w="650" w:type="pct"/>
            <w:vAlign w:val="center"/>
          </w:tcPr>
          <w:p w14:paraId="1F7C713A">
            <w:pPr>
              <w:widowControl/>
              <w:jc w:val="center"/>
              <w:rPr>
                <w:rFonts w:ascii="宋体" w:hAnsi="宋体" w:cs="宋体"/>
                <w:kern w:val="0"/>
                <w:szCs w:val="21"/>
              </w:rPr>
            </w:pPr>
            <w:r>
              <w:rPr>
                <w:rFonts w:hint="eastAsia"/>
                <w:szCs w:val="21"/>
              </w:rPr>
              <w:t>页</w:t>
            </w:r>
          </w:p>
        </w:tc>
      </w:tr>
      <w:tr w14:paraId="158B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D29FF72">
            <w:pPr>
              <w:widowControl/>
              <w:jc w:val="center"/>
              <w:rPr>
                <w:rFonts w:ascii="宋体" w:hAnsi="宋体"/>
              </w:rPr>
            </w:pPr>
            <w:r>
              <w:rPr>
                <w:rFonts w:hint="eastAsia" w:ascii="宋体" w:hAnsi="宋体"/>
              </w:rPr>
              <w:t>6</w:t>
            </w:r>
          </w:p>
        </w:tc>
        <w:tc>
          <w:tcPr>
            <w:tcW w:w="1114" w:type="pct"/>
            <w:vAlign w:val="center"/>
          </w:tcPr>
          <w:p w14:paraId="64DE1EBB">
            <w:pPr>
              <w:widowControl/>
              <w:jc w:val="left"/>
              <w:rPr>
                <w:rFonts w:ascii="宋体" w:hAnsi="宋体" w:cs="宋体"/>
                <w:kern w:val="0"/>
                <w:sz w:val="18"/>
                <w:szCs w:val="18"/>
              </w:rPr>
            </w:pPr>
          </w:p>
        </w:tc>
        <w:tc>
          <w:tcPr>
            <w:tcW w:w="2658" w:type="pct"/>
            <w:vAlign w:val="center"/>
          </w:tcPr>
          <w:p w14:paraId="4D919E60">
            <w:pPr>
              <w:widowControl/>
              <w:jc w:val="left"/>
              <w:rPr>
                <w:rFonts w:ascii="宋体" w:hAnsi="宋体" w:cs="宋体"/>
                <w:kern w:val="0"/>
                <w:sz w:val="18"/>
                <w:szCs w:val="18"/>
              </w:rPr>
            </w:pPr>
          </w:p>
        </w:tc>
        <w:tc>
          <w:tcPr>
            <w:tcW w:w="650" w:type="pct"/>
            <w:vAlign w:val="center"/>
          </w:tcPr>
          <w:p w14:paraId="00F6F672">
            <w:pPr>
              <w:widowControl/>
              <w:jc w:val="center"/>
              <w:rPr>
                <w:rFonts w:ascii="宋体" w:hAnsi="宋体" w:cs="宋体"/>
                <w:kern w:val="0"/>
                <w:szCs w:val="21"/>
              </w:rPr>
            </w:pPr>
            <w:r>
              <w:rPr>
                <w:rFonts w:hint="eastAsia"/>
                <w:szCs w:val="21"/>
              </w:rPr>
              <w:t>页</w:t>
            </w:r>
          </w:p>
        </w:tc>
      </w:tr>
      <w:tr w14:paraId="4E90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E6B978D">
            <w:pPr>
              <w:widowControl/>
              <w:jc w:val="center"/>
              <w:rPr>
                <w:rFonts w:ascii="宋体" w:hAnsi="宋体"/>
              </w:rPr>
            </w:pPr>
            <w:r>
              <w:rPr>
                <w:rFonts w:hint="eastAsia" w:ascii="宋体" w:hAnsi="宋体"/>
              </w:rPr>
              <w:t>7</w:t>
            </w:r>
          </w:p>
        </w:tc>
        <w:tc>
          <w:tcPr>
            <w:tcW w:w="1114" w:type="pct"/>
            <w:vAlign w:val="center"/>
          </w:tcPr>
          <w:p w14:paraId="5E43C5CF">
            <w:pPr>
              <w:widowControl/>
              <w:jc w:val="left"/>
              <w:rPr>
                <w:rFonts w:ascii="宋体" w:hAnsi="宋体" w:cs="宋体"/>
                <w:kern w:val="0"/>
                <w:sz w:val="18"/>
                <w:szCs w:val="18"/>
              </w:rPr>
            </w:pPr>
          </w:p>
        </w:tc>
        <w:tc>
          <w:tcPr>
            <w:tcW w:w="2658" w:type="pct"/>
            <w:vAlign w:val="center"/>
          </w:tcPr>
          <w:p w14:paraId="4DFA9251">
            <w:pPr>
              <w:widowControl/>
              <w:jc w:val="left"/>
              <w:rPr>
                <w:rFonts w:ascii="宋体" w:hAnsi="宋体" w:cs="宋体"/>
                <w:kern w:val="0"/>
                <w:sz w:val="18"/>
                <w:szCs w:val="18"/>
              </w:rPr>
            </w:pPr>
          </w:p>
        </w:tc>
        <w:tc>
          <w:tcPr>
            <w:tcW w:w="650" w:type="pct"/>
            <w:vAlign w:val="center"/>
          </w:tcPr>
          <w:p w14:paraId="0FA9AFCE">
            <w:pPr>
              <w:widowControl/>
              <w:jc w:val="center"/>
              <w:rPr>
                <w:rFonts w:ascii="宋体" w:hAnsi="宋体" w:cs="宋体"/>
                <w:kern w:val="0"/>
                <w:szCs w:val="21"/>
              </w:rPr>
            </w:pPr>
            <w:r>
              <w:rPr>
                <w:rFonts w:hint="eastAsia"/>
                <w:szCs w:val="21"/>
              </w:rPr>
              <w:t>页</w:t>
            </w:r>
          </w:p>
        </w:tc>
      </w:tr>
      <w:tr w14:paraId="74A2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E0D5936">
            <w:pPr>
              <w:widowControl/>
              <w:jc w:val="center"/>
              <w:rPr>
                <w:rFonts w:ascii="宋体" w:hAnsi="宋体"/>
              </w:rPr>
            </w:pPr>
            <w:r>
              <w:rPr>
                <w:rFonts w:hint="eastAsia" w:ascii="宋体" w:hAnsi="宋体"/>
              </w:rPr>
              <w:t>8</w:t>
            </w:r>
          </w:p>
        </w:tc>
        <w:tc>
          <w:tcPr>
            <w:tcW w:w="1114" w:type="pct"/>
            <w:vAlign w:val="center"/>
          </w:tcPr>
          <w:p w14:paraId="518E297B">
            <w:pPr>
              <w:widowControl/>
              <w:jc w:val="left"/>
              <w:rPr>
                <w:rFonts w:ascii="宋体" w:hAnsi="宋体" w:cs="宋体"/>
                <w:kern w:val="0"/>
                <w:sz w:val="18"/>
                <w:szCs w:val="18"/>
              </w:rPr>
            </w:pPr>
          </w:p>
        </w:tc>
        <w:tc>
          <w:tcPr>
            <w:tcW w:w="2658" w:type="pct"/>
            <w:vAlign w:val="center"/>
          </w:tcPr>
          <w:p w14:paraId="2070E63B">
            <w:pPr>
              <w:widowControl/>
              <w:jc w:val="left"/>
              <w:rPr>
                <w:rFonts w:ascii="宋体" w:hAnsi="宋体" w:cs="宋体"/>
                <w:kern w:val="0"/>
                <w:sz w:val="18"/>
                <w:szCs w:val="18"/>
              </w:rPr>
            </w:pPr>
          </w:p>
        </w:tc>
        <w:tc>
          <w:tcPr>
            <w:tcW w:w="650" w:type="pct"/>
            <w:vAlign w:val="center"/>
          </w:tcPr>
          <w:p w14:paraId="3C99D594">
            <w:pPr>
              <w:widowControl/>
              <w:jc w:val="center"/>
              <w:rPr>
                <w:rFonts w:ascii="宋体" w:hAnsi="宋体" w:cs="宋体"/>
                <w:kern w:val="0"/>
                <w:szCs w:val="21"/>
              </w:rPr>
            </w:pPr>
            <w:r>
              <w:rPr>
                <w:rFonts w:hint="eastAsia"/>
                <w:szCs w:val="21"/>
              </w:rPr>
              <w:t>页</w:t>
            </w:r>
          </w:p>
        </w:tc>
      </w:tr>
      <w:tr w14:paraId="6E69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D6FBFA8">
            <w:pPr>
              <w:widowControl/>
              <w:jc w:val="center"/>
              <w:rPr>
                <w:rFonts w:ascii="宋体" w:hAnsi="宋体"/>
              </w:rPr>
            </w:pPr>
            <w:r>
              <w:rPr>
                <w:rFonts w:hint="eastAsia" w:ascii="宋体" w:hAnsi="宋体"/>
              </w:rPr>
              <w:t>9</w:t>
            </w:r>
          </w:p>
        </w:tc>
        <w:tc>
          <w:tcPr>
            <w:tcW w:w="1114" w:type="pct"/>
            <w:vAlign w:val="center"/>
          </w:tcPr>
          <w:p w14:paraId="0C66D159">
            <w:pPr>
              <w:widowControl/>
              <w:jc w:val="left"/>
              <w:rPr>
                <w:rFonts w:ascii="宋体" w:hAnsi="宋体" w:cs="宋体"/>
                <w:kern w:val="0"/>
                <w:sz w:val="18"/>
                <w:szCs w:val="18"/>
              </w:rPr>
            </w:pPr>
          </w:p>
        </w:tc>
        <w:tc>
          <w:tcPr>
            <w:tcW w:w="2658" w:type="pct"/>
            <w:vAlign w:val="center"/>
          </w:tcPr>
          <w:p w14:paraId="3A5BE3E6">
            <w:pPr>
              <w:widowControl/>
              <w:jc w:val="left"/>
              <w:rPr>
                <w:rFonts w:ascii="宋体" w:hAnsi="宋体" w:cs="宋体"/>
                <w:kern w:val="0"/>
                <w:sz w:val="18"/>
                <w:szCs w:val="18"/>
              </w:rPr>
            </w:pPr>
          </w:p>
        </w:tc>
        <w:tc>
          <w:tcPr>
            <w:tcW w:w="650" w:type="pct"/>
            <w:vAlign w:val="center"/>
          </w:tcPr>
          <w:p w14:paraId="155BE97B">
            <w:pPr>
              <w:widowControl/>
              <w:jc w:val="center"/>
              <w:rPr>
                <w:rFonts w:ascii="宋体" w:hAnsi="宋体" w:cs="宋体"/>
                <w:kern w:val="0"/>
                <w:szCs w:val="21"/>
              </w:rPr>
            </w:pPr>
            <w:r>
              <w:rPr>
                <w:rFonts w:hint="eastAsia"/>
                <w:szCs w:val="21"/>
              </w:rPr>
              <w:t>页</w:t>
            </w:r>
          </w:p>
        </w:tc>
      </w:tr>
      <w:tr w14:paraId="3486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FEC9F05">
            <w:pPr>
              <w:widowControl/>
              <w:jc w:val="center"/>
              <w:rPr>
                <w:rFonts w:ascii="宋体" w:hAnsi="宋体"/>
              </w:rPr>
            </w:pPr>
            <w:r>
              <w:rPr>
                <w:rFonts w:hint="eastAsia" w:ascii="宋体" w:hAnsi="宋体"/>
              </w:rPr>
              <w:t>10</w:t>
            </w:r>
          </w:p>
        </w:tc>
        <w:tc>
          <w:tcPr>
            <w:tcW w:w="1114" w:type="pct"/>
            <w:vAlign w:val="center"/>
          </w:tcPr>
          <w:p w14:paraId="70C50E1B">
            <w:pPr>
              <w:widowControl/>
              <w:jc w:val="left"/>
              <w:rPr>
                <w:rFonts w:ascii="宋体" w:hAnsi="宋体" w:cs="宋体"/>
                <w:kern w:val="0"/>
                <w:sz w:val="18"/>
                <w:szCs w:val="18"/>
              </w:rPr>
            </w:pPr>
          </w:p>
        </w:tc>
        <w:tc>
          <w:tcPr>
            <w:tcW w:w="2658" w:type="pct"/>
            <w:vAlign w:val="center"/>
          </w:tcPr>
          <w:p w14:paraId="15886A5F">
            <w:pPr>
              <w:widowControl/>
              <w:jc w:val="left"/>
              <w:rPr>
                <w:rFonts w:ascii="宋体" w:hAnsi="宋体" w:cs="宋体"/>
                <w:kern w:val="0"/>
                <w:sz w:val="18"/>
                <w:szCs w:val="18"/>
              </w:rPr>
            </w:pPr>
          </w:p>
        </w:tc>
        <w:tc>
          <w:tcPr>
            <w:tcW w:w="650" w:type="pct"/>
            <w:vAlign w:val="center"/>
          </w:tcPr>
          <w:p w14:paraId="63EB7519">
            <w:pPr>
              <w:widowControl/>
              <w:jc w:val="center"/>
              <w:rPr>
                <w:rFonts w:ascii="宋体" w:hAnsi="宋体" w:cs="宋体"/>
                <w:kern w:val="0"/>
                <w:szCs w:val="21"/>
              </w:rPr>
            </w:pPr>
            <w:r>
              <w:rPr>
                <w:rFonts w:hint="eastAsia"/>
                <w:szCs w:val="21"/>
              </w:rPr>
              <w:t>页</w:t>
            </w:r>
          </w:p>
        </w:tc>
      </w:tr>
      <w:bookmarkEnd w:id="52"/>
      <w:bookmarkEnd w:id="53"/>
      <w:bookmarkEnd w:id="54"/>
    </w:tbl>
    <w:p w14:paraId="6329139F">
      <w:pPr>
        <w:autoSpaceDE w:val="0"/>
        <w:autoSpaceDN w:val="0"/>
        <w:adjustRightInd w:val="0"/>
        <w:spacing w:line="240" w:lineRule="atLeast"/>
        <w:rPr>
          <w:rFonts w:ascii="宋体"/>
          <w:b/>
          <w:szCs w:val="21"/>
          <w:lang w:val="zh-CN"/>
        </w:rPr>
      </w:pPr>
      <w:r>
        <w:rPr>
          <w:rFonts w:hint="eastAsia" w:ascii="宋体"/>
          <w:b/>
          <w:szCs w:val="21"/>
          <w:lang w:val="zh-CN"/>
        </w:rPr>
        <w:br w:type="page"/>
      </w:r>
    </w:p>
    <w:p w14:paraId="0CF4887B">
      <w:pPr>
        <w:pStyle w:val="4"/>
        <w:snapToGrid w:val="0"/>
        <w:spacing w:beforeLines="100" w:afterLines="100"/>
        <w:ind w:right="210" w:rightChars="100"/>
        <w:rPr>
          <w:rStyle w:val="138"/>
          <w:rFonts w:hAnsi="宋体"/>
          <w:b w:val="0"/>
          <w:bCs w:val="0"/>
          <w:sz w:val="24"/>
          <w:szCs w:val="24"/>
        </w:rPr>
      </w:pPr>
      <w:bookmarkStart w:id="66" w:name="_Toc161767428"/>
      <w:bookmarkStart w:id="67" w:name="_Toc135999006"/>
      <w:bookmarkStart w:id="68" w:name="_Toc69378663"/>
      <w:bookmarkStart w:id="69" w:name="_Toc26260033"/>
      <w:r>
        <w:rPr>
          <w:rStyle w:val="138"/>
          <w:rFonts w:hint="eastAsia" w:hAnsi="宋体"/>
          <w:b w:val="0"/>
          <w:bCs w:val="0"/>
          <w:sz w:val="24"/>
          <w:szCs w:val="24"/>
        </w:rPr>
        <w:t>附件</w:t>
      </w:r>
      <w:r>
        <w:rPr>
          <w:rStyle w:val="138"/>
          <w:rFonts w:hAnsi="宋体"/>
          <w:b w:val="0"/>
          <w:bCs w:val="0"/>
          <w:sz w:val="24"/>
          <w:szCs w:val="24"/>
        </w:rPr>
        <w:t>1</w:t>
      </w:r>
      <w:r>
        <w:rPr>
          <w:rStyle w:val="138"/>
          <w:rFonts w:hint="eastAsia" w:hAnsi="宋体"/>
          <w:b w:val="0"/>
          <w:bCs w:val="0"/>
          <w:sz w:val="24"/>
          <w:szCs w:val="24"/>
        </w:rPr>
        <w:t>：</w:t>
      </w:r>
      <w:bookmarkEnd w:id="66"/>
      <w:bookmarkEnd w:id="67"/>
      <w:r>
        <w:rPr>
          <w:rStyle w:val="138"/>
          <w:rFonts w:hint="eastAsia" w:hAnsi="宋体"/>
          <w:b w:val="0"/>
          <w:bCs w:val="0"/>
          <w:sz w:val="24"/>
          <w:szCs w:val="24"/>
        </w:rPr>
        <w:t>响应函</w:t>
      </w:r>
      <w:bookmarkEnd w:id="68"/>
      <w:bookmarkEnd w:id="69"/>
    </w:p>
    <w:p w14:paraId="5C68F396">
      <w:pPr>
        <w:snapToGrid w:val="0"/>
        <w:spacing w:beforeLines="100" w:afterLines="100"/>
        <w:ind w:left="210" w:leftChars="100" w:right="210" w:rightChars="100" w:firstLine="643" w:firstLineChars="200"/>
        <w:jc w:val="center"/>
        <w:rPr>
          <w:rStyle w:val="138"/>
          <w:rFonts w:ascii="宋体" w:hAnsi="宋体"/>
        </w:rPr>
      </w:pPr>
      <w:r>
        <w:rPr>
          <w:rStyle w:val="138"/>
          <w:rFonts w:hint="eastAsia" w:ascii="宋体" w:hAnsi="宋体"/>
        </w:rPr>
        <w:t>响应函</w:t>
      </w:r>
    </w:p>
    <w:p w14:paraId="0DB33D21">
      <w:pPr>
        <w:spacing w:line="360" w:lineRule="auto"/>
        <w:rPr>
          <w:rFonts w:ascii="宋体" w:hAnsi="宋体"/>
          <w:sz w:val="24"/>
        </w:rPr>
      </w:pPr>
      <w:r>
        <w:rPr>
          <w:rFonts w:hint="eastAsia" w:ascii="宋体" w:hAnsi="宋体"/>
          <w:sz w:val="24"/>
        </w:rPr>
        <w:t>江苏省广电有线信息网络股份有限公司：</w:t>
      </w:r>
    </w:p>
    <w:p w14:paraId="1D322934">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14:paraId="0C03D920">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14:paraId="3668EFE8">
      <w:pPr>
        <w:spacing w:line="360" w:lineRule="auto"/>
        <w:rPr>
          <w:rFonts w:ascii="宋体" w:hAnsi="宋体"/>
          <w:sz w:val="24"/>
        </w:rPr>
      </w:pPr>
      <w:r>
        <w:rPr>
          <w:rFonts w:hint="eastAsia" w:ascii="宋体" w:hAnsi="宋体"/>
          <w:sz w:val="24"/>
        </w:rPr>
        <w:t>（2）提供按询价文件要求的产品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14:paraId="1216FE9A">
      <w:pPr>
        <w:spacing w:line="360" w:lineRule="auto"/>
        <w:rPr>
          <w:rFonts w:ascii="宋体" w:hAnsi="宋体"/>
          <w:sz w:val="24"/>
        </w:rPr>
      </w:pPr>
      <w:r>
        <w:rPr>
          <w:rFonts w:hint="eastAsia" w:ascii="宋体" w:hAnsi="宋体"/>
          <w:sz w:val="24"/>
        </w:rPr>
        <w:t>（3）供应商将按询价文件的规定履行全部责任和义务。</w:t>
      </w:r>
    </w:p>
    <w:p w14:paraId="1D8F77F5">
      <w:pPr>
        <w:spacing w:line="360" w:lineRule="auto"/>
        <w:rPr>
          <w:rFonts w:ascii="宋体" w:hAnsi="宋体"/>
          <w:sz w:val="24"/>
        </w:rPr>
      </w:pPr>
      <w:r>
        <w:rPr>
          <w:rFonts w:hint="eastAsia" w:ascii="宋体" w:hAnsi="宋体"/>
          <w:sz w:val="24"/>
        </w:rPr>
        <w:t>（4）供应商已详细审查全部询价文件，我们完全理解并同意放弃对询价文件提出质疑及</w:t>
      </w:r>
      <w:r>
        <w:rPr>
          <w:rFonts w:ascii="宋体" w:hAnsi="宋体"/>
          <w:sz w:val="24"/>
        </w:rPr>
        <w:t>/</w:t>
      </w:r>
      <w:r>
        <w:rPr>
          <w:rFonts w:hint="eastAsia" w:ascii="宋体" w:hAnsi="宋体"/>
          <w:sz w:val="24"/>
        </w:rPr>
        <w:t>或争议的权利。</w:t>
      </w:r>
    </w:p>
    <w:p w14:paraId="7171363D">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14:paraId="764A586A">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14:paraId="5C7A8958">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14:paraId="6C9D2D74">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25D890C0">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73C3F2F0">
      <w:pPr>
        <w:spacing w:line="360" w:lineRule="auto"/>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）根据本项目要求，我单位委派（姓名）（身份证号）作为本项目的项目负责人。</w:t>
      </w:r>
    </w:p>
    <w:p w14:paraId="579FF28E">
      <w:pPr>
        <w:spacing w:line="360" w:lineRule="auto"/>
        <w:rPr>
          <w:rFonts w:ascii="宋体" w:hAnsi="宋体"/>
          <w:sz w:val="24"/>
        </w:rPr>
      </w:pPr>
      <w:r>
        <w:rPr>
          <w:rFonts w:hint="eastAsia" w:ascii="宋体" w:hAnsi="宋体"/>
          <w:sz w:val="24"/>
        </w:rPr>
        <w:t>（11）与本响应文件有关的一切往来通讯请寄：</w:t>
      </w:r>
    </w:p>
    <w:p w14:paraId="0A9CFA29">
      <w:pPr>
        <w:spacing w:line="360" w:lineRule="auto"/>
        <w:rPr>
          <w:rFonts w:ascii="宋体" w:hAnsi="宋体"/>
          <w:sz w:val="24"/>
        </w:rPr>
      </w:pPr>
    </w:p>
    <w:p w14:paraId="47717E9A">
      <w:pPr>
        <w:spacing w:line="360" w:lineRule="auto"/>
        <w:rPr>
          <w:rFonts w:ascii="宋体" w:hAnsi="宋体"/>
          <w:sz w:val="24"/>
        </w:rPr>
      </w:pPr>
      <w:r>
        <w:rPr>
          <w:rFonts w:hint="eastAsia" w:ascii="宋体" w:hAnsi="宋体"/>
          <w:sz w:val="24"/>
        </w:rPr>
        <w:t>地址传真：</w:t>
      </w:r>
    </w:p>
    <w:p w14:paraId="4ACE1BD7">
      <w:pPr>
        <w:spacing w:line="360" w:lineRule="auto"/>
        <w:rPr>
          <w:rFonts w:ascii="宋体" w:hAnsi="宋体"/>
          <w:sz w:val="24"/>
        </w:rPr>
      </w:pPr>
      <w:r>
        <w:rPr>
          <w:rFonts w:hint="eastAsia" w:ascii="宋体" w:hAnsi="宋体"/>
          <w:sz w:val="24"/>
        </w:rPr>
        <w:t>电话电子函件：</w:t>
      </w:r>
    </w:p>
    <w:p w14:paraId="3FD8993E">
      <w:pPr>
        <w:spacing w:line="360" w:lineRule="auto"/>
        <w:rPr>
          <w:rFonts w:ascii="宋体" w:hAnsi="宋体"/>
          <w:sz w:val="24"/>
        </w:rPr>
      </w:pPr>
    </w:p>
    <w:p w14:paraId="0B9F2C4E">
      <w:pPr>
        <w:spacing w:line="360" w:lineRule="auto"/>
        <w:rPr>
          <w:rFonts w:ascii="宋体" w:hAnsi="宋体"/>
          <w:sz w:val="24"/>
        </w:rPr>
      </w:pPr>
      <w:r>
        <w:rPr>
          <w:rFonts w:hint="eastAsia" w:ascii="宋体" w:hAnsi="宋体"/>
          <w:sz w:val="24"/>
        </w:rPr>
        <w:t>供应商名称（盖章）：</w:t>
      </w:r>
    </w:p>
    <w:p w14:paraId="66D5D516">
      <w:pPr>
        <w:spacing w:line="360" w:lineRule="auto"/>
        <w:rPr>
          <w:rFonts w:ascii="宋体" w:hAnsi="宋体"/>
          <w:sz w:val="24"/>
        </w:rPr>
      </w:pPr>
      <w:r>
        <w:rPr>
          <w:rFonts w:hint="eastAsia" w:ascii="宋体" w:hAnsi="宋体"/>
          <w:sz w:val="24"/>
        </w:rPr>
        <w:t>供应商代表（签字）：</w:t>
      </w:r>
    </w:p>
    <w:p w14:paraId="4E1A319E">
      <w:pPr>
        <w:spacing w:line="360" w:lineRule="auto"/>
        <w:rPr>
          <w:rFonts w:ascii="宋体" w:hAnsi="宋体"/>
          <w:sz w:val="24"/>
        </w:rPr>
      </w:pPr>
      <w:r>
        <w:rPr>
          <w:rFonts w:hint="eastAsia" w:ascii="宋体" w:hAnsi="宋体"/>
          <w:sz w:val="24"/>
        </w:rPr>
        <w:t>日期：</w:t>
      </w:r>
    </w:p>
    <w:p w14:paraId="4CFA431C">
      <w:pPr>
        <w:rPr>
          <w:rFonts w:ascii="宋体" w:hAnsi="宋体"/>
          <w:sz w:val="24"/>
        </w:rPr>
      </w:pPr>
      <w:r>
        <w:rPr>
          <w:rFonts w:hint="eastAsia" w:ascii="宋体" w:hAnsi="宋体"/>
          <w:sz w:val="24"/>
        </w:rPr>
        <w:br w:type="page"/>
      </w:r>
    </w:p>
    <w:p w14:paraId="30781921">
      <w:pPr>
        <w:pStyle w:val="4"/>
        <w:snapToGrid w:val="0"/>
        <w:spacing w:before="0" w:after="0" w:line="360" w:lineRule="auto"/>
        <w:rPr>
          <w:rStyle w:val="138"/>
          <w:rFonts w:hAnsi="宋体"/>
          <w:b w:val="0"/>
          <w:bCs w:val="0"/>
          <w:sz w:val="24"/>
          <w:szCs w:val="24"/>
        </w:rPr>
      </w:pPr>
      <w:r>
        <w:rPr>
          <w:rStyle w:val="138"/>
          <w:rFonts w:hint="eastAsia" w:hAnsi="宋体"/>
          <w:b w:val="0"/>
          <w:bCs w:val="0"/>
          <w:sz w:val="24"/>
          <w:szCs w:val="24"/>
        </w:rPr>
        <w:t>附件2：法定代表人身份证明及授权委托书</w:t>
      </w:r>
    </w:p>
    <w:p w14:paraId="6C6E3FD6">
      <w:pPr>
        <w:topLinePunct/>
        <w:spacing w:line="360" w:lineRule="auto"/>
        <w:ind w:firstLine="480" w:firstLineChars="200"/>
        <w:rPr>
          <w:rFonts w:ascii="宋体" w:hAnsi="宋体" w:cs="宋体"/>
          <w:sz w:val="24"/>
        </w:rPr>
      </w:pPr>
      <w:r>
        <w:rPr>
          <w:rFonts w:hint="eastAsia" w:ascii="宋体" w:hAnsi="宋体" w:cs="宋体"/>
          <w:sz w:val="24"/>
        </w:rPr>
        <w:t>本人</w:t>
      </w:r>
      <w:r>
        <w:rPr>
          <w:rFonts w:hint="eastAsia" w:ascii="宋体" w:hAnsi="宋体" w:cs="宋体"/>
          <w:sz w:val="24"/>
          <w:u w:val="single"/>
        </w:rPr>
        <w:t xml:space="preserve">       （姓名）</w:t>
      </w:r>
      <w:r>
        <w:rPr>
          <w:rFonts w:hint="eastAsia" w:ascii="宋体" w:hAnsi="宋体" w:cs="宋体"/>
          <w:sz w:val="24"/>
        </w:rPr>
        <w:t>系</w:t>
      </w:r>
      <w:r>
        <w:rPr>
          <w:rFonts w:hint="eastAsia" w:ascii="宋体" w:hAnsi="宋体" w:cs="宋体"/>
          <w:sz w:val="24"/>
          <w:u w:val="single"/>
        </w:rPr>
        <w:t xml:space="preserve"> （供应商名称）</w:t>
      </w:r>
      <w:r>
        <w:rPr>
          <w:rFonts w:hint="eastAsia" w:ascii="宋体" w:hAnsi="宋体" w:cs="宋体"/>
          <w:sz w:val="24"/>
        </w:rPr>
        <w:t>的法定代表人，现委托</w:t>
      </w:r>
      <w:r>
        <w:rPr>
          <w:rFonts w:hint="eastAsia" w:ascii="宋体" w:hAnsi="宋体" w:cs="宋体"/>
          <w:sz w:val="24"/>
          <w:u w:val="single"/>
        </w:rPr>
        <w:t xml:space="preserve"> （姓名）</w:t>
      </w:r>
      <w:r>
        <w:rPr>
          <w:rFonts w:hint="eastAsia" w:ascii="宋体" w:hAnsi="宋体" w:cs="宋体"/>
          <w:sz w:val="24"/>
        </w:rPr>
        <w:t>为我方授权代表。授权代表根据授权，以我方名义全权处理</w:t>
      </w:r>
      <w:r>
        <w:rPr>
          <w:rFonts w:hint="eastAsia" w:ascii="宋体" w:hAnsi="宋体" w:cs="宋体"/>
          <w:color w:val="000000"/>
          <w:sz w:val="24"/>
          <w:u w:val="single"/>
        </w:rPr>
        <w:t xml:space="preserve">            项目</w:t>
      </w:r>
      <w:r>
        <w:rPr>
          <w:rFonts w:hint="eastAsia" w:ascii="宋体" w:hAnsi="宋体" w:cs="宋体"/>
          <w:sz w:val="24"/>
        </w:rPr>
        <w:t>（签署、澄清、说明、补正、递交、撤回、修改响应文件、参与谈判、签订合同和处理一切有关事宜），其法律后果由我方承担。</w:t>
      </w:r>
    </w:p>
    <w:p w14:paraId="2D7210EE">
      <w:pPr>
        <w:spacing w:line="360" w:lineRule="auto"/>
        <w:ind w:firstLine="480" w:firstLineChars="200"/>
        <w:rPr>
          <w:rFonts w:ascii="宋体" w:hAnsi="宋体" w:cs="宋体"/>
          <w:sz w:val="24"/>
        </w:rPr>
      </w:pPr>
      <w:r>
        <w:rPr>
          <w:rFonts w:hint="eastAsia" w:ascii="宋体" w:hAnsi="宋体" w:cs="宋体"/>
          <w:sz w:val="24"/>
        </w:rPr>
        <w:t>委托期限：。</w:t>
      </w:r>
    </w:p>
    <w:p w14:paraId="3FFC9B8E">
      <w:pPr>
        <w:spacing w:line="360" w:lineRule="auto"/>
        <w:ind w:firstLine="480" w:firstLineChars="200"/>
        <w:rPr>
          <w:rFonts w:ascii="宋体" w:hAnsi="宋体" w:cs="宋体"/>
          <w:sz w:val="24"/>
        </w:rPr>
      </w:pPr>
      <w:r>
        <w:rPr>
          <w:rFonts w:hint="eastAsia" w:ascii="宋体" w:hAnsi="宋体" w:cs="宋体"/>
          <w:sz w:val="24"/>
        </w:rPr>
        <w:t>授权代表无转委托权。</w:t>
      </w:r>
    </w:p>
    <w:p w14:paraId="424D3C6E">
      <w:pPr>
        <w:spacing w:line="360" w:lineRule="auto"/>
        <w:ind w:firstLine="480" w:firstLineChars="200"/>
        <w:rPr>
          <w:rFonts w:ascii="宋体" w:hAnsi="宋体" w:cs="宋体"/>
          <w:sz w:val="24"/>
        </w:rPr>
      </w:pPr>
      <w:r>
        <w:rPr>
          <w:rFonts w:ascii="宋体" w:hAnsi="宋体" w:cs="宋体"/>
          <w:sz w:val="24"/>
        </w:rPr>
        <w:pict>
          <v:shape id="_x0000_s1026" o:spid="_x0000_s1026" o:spt="176" type="#_x0000_t176" style="position:absolute;left:0pt;margin-left:205.3pt;margin-top:19.05pt;height:166.45pt;width:259.65pt;z-index:251660288;mso-width-relative:page;mso-height-relative:page;" coordsize="21600,21600" o:gfxdata="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nB1SjYAAAACgEAAA8AAAAAAAAAAQAgAAAAIgAAAGRycy9kb3ducmV2LnhtbFBLAQIU&#10;ABQAAAAIAIdO4kBS6nqdZQIAAK8EAAAOAAAAAAAAAAEAIAAAACcBAABkcnMvZTJvRG9jLnhtbFBL&#10;BQYAAAAABgAGAFkBAAD+BQAAAAA=&#10;">
            <v:path/>
            <v:fill focussize="0,0"/>
            <v:stroke joinstyle="miter"/>
            <v:imagedata o:title=""/>
            <o:lock v:ext="edit"/>
            <v:textbox>
              <w:txbxContent>
                <w:p w14:paraId="5175B48A">
                  <w:pPr>
                    <w:ind w:firstLine="420"/>
                    <w:jc w:val="center"/>
                    <w:rPr>
                      <w:szCs w:val="21"/>
                    </w:rPr>
                  </w:pPr>
                  <w:r>
                    <w:rPr>
                      <w:rFonts w:hint="eastAsia"/>
                      <w:szCs w:val="21"/>
                    </w:rPr>
                    <w:t>法定代表人身份证背面复印件</w:t>
                  </w:r>
                </w:p>
              </w:txbxContent>
            </v:textbox>
          </v:shape>
        </w:pict>
      </w:r>
      <w:r>
        <w:rPr>
          <w:rFonts w:ascii="宋体" w:hAnsi="宋体" w:cs="宋体"/>
          <w:sz w:val="24"/>
        </w:rPr>
        <w:pict>
          <v:shape id="_x0000_s1029" o:spid="_x0000_s1029" o:spt="176" type="#_x0000_t176" style="position:absolute;left:0pt;margin-left:-55.35pt;margin-top:19.55pt;height:166.45pt;width:259.65pt;z-index:251661312;mso-width-relative:page;mso-height-relative:page;" coordsize="21600,21600" o:gfxdata="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joPkl2QAAAAsBAAAPAAAAAAAAAAEAIAAAACIAAABkcnMvZG93bnJldi54bWxQSwEC&#10;FAAUAAAACACHTuJApj+U72UCAACvBAAADgAAAAAAAAABACAAAAAoAQAAZHJzL2Uyb0RvYy54bWxQ&#10;SwUGAAAAAAYABgBZAQAA/wUAAAAA&#10;">
            <v:path/>
            <v:fill focussize="0,0"/>
            <v:stroke joinstyle="miter"/>
            <v:imagedata o:title=""/>
            <o:lock v:ext="edit"/>
            <v:textbox>
              <w:txbxContent>
                <w:p w14:paraId="29182E8E">
                  <w:pPr>
                    <w:ind w:firstLine="420"/>
                    <w:jc w:val="center"/>
                    <w:rPr>
                      <w:szCs w:val="21"/>
                    </w:rPr>
                  </w:pPr>
                  <w:r>
                    <w:rPr>
                      <w:rFonts w:hint="eastAsia"/>
                      <w:szCs w:val="21"/>
                    </w:rPr>
                    <w:t>法定代表人身份证正面复印件</w:t>
                  </w:r>
                </w:p>
              </w:txbxContent>
            </v:textbox>
          </v:shape>
        </w:pict>
      </w:r>
      <w:r>
        <w:rPr>
          <w:rFonts w:hint="eastAsia" w:ascii="宋体" w:hAnsi="宋体" w:cs="宋体"/>
          <w:sz w:val="24"/>
        </w:rPr>
        <w:t>附：法定代表人和授权代表身份证复印件(需同时提供正面及背面)</w:t>
      </w:r>
    </w:p>
    <w:p w14:paraId="45C8358D">
      <w:pPr>
        <w:spacing w:line="360" w:lineRule="auto"/>
        <w:ind w:firstLine="420" w:firstLineChars="200"/>
        <w:rPr>
          <w:rFonts w:ascii="宋体" w:hAnsi="宋体" w:cs="宋体"/>
          <w:szCs w:val="21"/>
        </w:rPr>
      </w:pPr>
    </w:p>
    <w:p w14:paraId="1E54D19B">
      <w:pPr>
        <w:spacing w:line="360" w:lineRule="auto"/>
        <w:ind w:firstLine="420" w:firstLineChars="200"/>
        <w:rPr>
          <w:rFonts w:ascii="宋体" w:hAnsi="宋体" w:cs="宋体"/>
          <w:szCs w:val="21"/>
        </w:rPr>
      </w:pPr>
    </w:p>
    <w:p w14:paraId="3B6DA1B2">
      <w:pPr>
        <w:spacing w:line="360" w:lineRule="auto"/>
        <w:ind w:firstLine="420" w:firstLineChars="200"/>
        <w:rPr>
          <w:rFonts w:ascii="宋体" w:hAnsi="宋体" w:cs="宋体"/>
          <w:szCs w:val="21"/>
        </w:rPr>
      </w:pPr>
    </w:p>
    <w:p w14:paraId="29CD97D8">
      <w:pPr>
        <w:spacing w:line="360" w:lineRule="auto"/>
        <w:ind w:firstLine="420" w:firstLineChars="200"/>
        <w:rPr>
          <w:rFonts w:ascii="宋体" w:hAnsi="宋体" w:cs="宋体"/>
          <w:szCs w:val="21"/>
        </w:rPr>
      </w:pPr>
    </w:p>
    <w:p w14:paraId="0BACD3DD">
      <w:pPr>
        <w:spacing w:line="360" w:lineRule="auto"/>
        <w:ind w:firstLine="420" w:firstLineChars="200"/>
        <w:rPr>
          <w:rFonts w:ascii="宋体" w:hAnsi="宋体" w:cs="宋体"/>
          <w:szCs w:val="21"/>
        </w:rPr>
      </w:pPr>
    </w:p>
    <w:p w14:paraId="37676BEA">
      <w:pPr>
        <w:spacing w:line="360" w:lineRule="auto"/>
        <w:ind w:firstLine="420" w:firstLineChars="200"/>
        <w:rPr>
          <w:rFonts w:ascii="宋体" w:hAnsi="宋体" w:cs="宋体"/>
          <w:szCs w:val="21"/>
        </w:rPr>
      </w:pPr>
    </w:p>
    <w:p w14:paraId="19770343">
      <w:pPr>
        <w:spacing w:line="360" w:lineRule="auto"/>
        <w:ind w:firstLine="420" w:firstLineChars="200"/>
        <w:rPr>
          <w:rFonts w:ascii="宋体" w:hAnsi="宋体" w:cs="宋体"/>
          <w:szCs w:val="21"/>
        </w:rPr>
      </w:pPr>
    </w:p>
    <w:p w14:paraId="47C01787">
      <w:pPr>
        <w:spacing w:line="360" w:lineRule="auto"/>
        <w:ind w:firstLine="420" w:firstLineChars="200"/>
        <w:rPr>
          <w:rFonts w:ascii="宋体" w:hAnsi="宋体" w:cs="宋体"/>
          <w:szCs w:val="21"/>
        </w:rPr>
      </w:pPr>
    </w:p>
    <w:p w14:paraId="228D8CAF">
      <w:pPr>
        <w:spacing w:line="360" w:lineRule="auto"/>
        <w:ind w:firstLine="420" w:firstLineChars="200"/>
        <w:rPr>
          <w:rFonts w:ascii="宋体" w:hAnsi="宋体" w:cs="宋体"/>
          <w:szCs w:val="21"/>
        </w:rPr>
      </w:pPr>
      <w:r>
        <w:rPr>
          <w:rFonts w:ascii="宋体" w:hAnsi="宋体" w:cs="宋体"/>
        </w:rPr>
        <w:pict>
          <v:shape id="_x0000_s1028" o:spid="_x0000_s1028" o:spt="176" type="#_x0000_t176" style="position:absolute;left:0pt;margin-left:-56.35pt;margin-top:5.25pt;height:166.45pt;width:259.65pt;z-index:251663360;mso-width-relative:page;mso-height-relative:page;" coordsize="21600,21600" o:gfxdata="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gcG7b2QAAAAsBAAAPAAAAAAAAAAEAIAAAACIAAABkcnMvZG93bnJldi54bWxQSwEC&#10;FAAUAAAACACHTuJA/WYXO2UCAACvBAAADgAAAAAAAAABACAAAAAoAQAAZHJzL2Uyb0RvYy54bWxQ&#10;SwUGAAAAAAYABgBZAQAA/wUAAAAA&#10;">
            <v:path/>
            <v:fill focussize="0,0"/>
            <v:stroke joinstyle="miter"/>
            <v:imagedata o:title=""/>
            <o:lock v:ext="edit"/>
            <v:textbox>
              <w:txbxContent>
                <w:p w14:paraId="2737E51C">
                  <w:pPr>
                    <w:ind w:firstLine="420"/>
                    <w:jc w:val="center"/>
                    <w:rPr>
                      <w:szCs w:val="21"/>
                    </w:rPr>
                  </w:pPr>
                  <w:r>
                    <w:rPr>
                      <w:rFonts w:hint="eastAsia"/>
                      <w:szCs w:val="21"/>
                    </w:rPr>
                    <w:t>授权代表身份证正面复印件</w:t>
                  </w:r>
                </w:p>
              </w:txbxContent>
            </v:textbox>
          </v:shape>
        </w:pict>
      </w:r>
      <w:r>
        <w:rPr>
          <w:rFonts w:ascii="宋体" w:hAnsi="宋体" w:cs="宋体"/>
        </w:rPr>
        <w:pict>
          <v:shape id="_x0000_s1027" o:spid="_x0000_s1027" o:spt="176" type="#_x0000_t176" style="position:absolute;left:0pt;margin-left:203.3pt;margin-top:2.75pt;height:166.45pt;width:259.65pt;z-index:251662336;mso-width-relative:page;mso-height-relative:page;" coordsize="21600,21600" o:gfxdata="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1pP8tcAAAAJAQAADwAAAAAAAAABACAAAAAiAAAAZHJzL2Rvd25yZXYueG1sUEsBAhQA&#10;FAAAAAgAh07iQAmz+UllAgAArwQAAA4AAAAAAAAAAQAgAAAAJgEAAGRycy9lMm9Eb2MueG1sUEsF&#10;BgAAAAAGAAYAWQEAAP0FAAAAAA==&#10;">
            <v:path/>
            <v:fill focussize="0,0"/>
            <v:stroke joinstyle="miter"/>
            <v:imagedata o:title=""/>
            <o:lock v:ext="edit"/>
            <v:textbox>
              <w:txbxContent>
                <w:p w14:paraId="3292E5F8">
                  <w:pPr>
                    <w:ind w:firstLine="420"/>
                    <w:jc w:val="center"/>
                    <w:rPr>
                      <w:szCs w:val="21"/>
                    </w:rPr>
                  </w:pPr>
                  <w:r>
                    <w:rPr>
                      <w:rFonts w:hint="eastAsia"/>
                      <w:szCs w:val="21"/>
                    </w:rPr>
                    <w:t>授权代表身份证背面复印件</w:t>
                  </w:r>
                </w:p>
              </w:txbxContent>
            </v:textbox>
          </v:shape>
        </w:pict>
      </w:r>
    </w:p>
    <w:p w14:paraId="5DD72D8F">
      <w:pPr>
        <w:spacing w:line="360" w:lineRule="auto"/>
        <w:ind w:firstLine="420" w:firstLineChars="200"/>
        <w:rPr>
          <w:rFonts w:ascii="宋体" w:hAnsi="宋体" w:cs="宋体"/>
          <w:szCs w:val="21"/>
        </w:rPr>
      </w:pPr>
    </w:p>
    <w:p w14:paraId="1E81CE67">
      <w:pPr>
        <w:spacing w:line="360" w:lineRule="auto"/>
        <w:ind w:firstLine="420" w:firstLineChars="200"/>
        <w:rPr>
          <w:rFonts w:ascii="宋体" w:hAnsi="宋体" w:cs="宋体"/>
          <w:szCs w:val="21"/>
        </w:rPr>
      </w:pPr>
    </w:p>
    <w:p w14:paraId="299578AF">
      <w:pPr>
        <w:spacing w:line="360" w:lineRule="auto"/>
        <w:ind w:firstLine="420" w:firstLineChars="200"/>
        <w:rPr>
          <w:rFonts w:ascii="宋体" w:hAnsi="宋体" w:cs="宋体"/>
          <w:szCs w:val="21"/>
        </w:rPr>
      </w:pPr>
    </w:p>
    <w:p w14:paraId="0C548EB0">
      <w:pPr>
        <w:spacing w:line="360" w:lineRule="auto"/>
        <w:ind w:firstLine="420" w:firstLineChars="200"/>
        <w:rPr>
          <w:rFonts w:ascii="宋体" w:hAnsi="宋体" w:cs="宋体"/>
          <w:szCs w:val="21"/>
        </w:rPr>
      </w:pPr>
    </w:p>
    <w:p w14:paraId="1D6F282C">
      <w:pPr>
        <w:spacing w:line="360" w:lineRule="auto"/>
        <w:ind w:firstLine="420" w:firstLineChars="200"/>
        <w:rPr>
          <w:rFonts w:ascii="宋体" w:hAnsi="宋体" w:cs="宋体"/>
          <w:szCs w:val="21"/>
        </w:rPr>
      </w:pPr>
    </w:p>
    <w:p w14:paraId="337F5533">
      <w:pPr>
        <w:spacing w:line="360" w:lineRule="auto"/>
        <w:ind w:firstLine="420" w:firstLineChars="200"/>
        <w:rPr>
          <w:rFonts w:ascii="宋体" w:hAnsi="宋体" w:cs="宋体"/>
          <w:szCs w:val="21"/>
        </w:rPr>
      </w:pPr>
    </w:p>
    <w:p w14:paraId="58EC5B6A">
      <w:pPr>
        <w:spacing w:line="360" w:lineRule="auto"/>
        <w:ind w:firstLine="420" w:firstLineChars="200"/>
        <w:jc w:val="right"/>
        <w:rPr>
          <w:rFonts w:ascii="宋体" w:hAnsi="宋体" w:cs="宋体"/>
          <w:szCs w:val="21"/>
        </w:rPr>
      </w:pPr>
    </w:p>
    <w:p w14:paraId="3F1CAD05">
      <w:pPr>
        <w:spacing w:line="360" w:lineRule="auto"/>
        <w:ind w:firstLine="420" w:firstLineChars="200"/>
        <w:jc w:val="right"/>
        <w:rPr>
          <w:rFonts w:ascii="宋体" w:hAnsi="宋体" w:cs="宋体"/>
          <w:szCs w:val="21"/>
        </w:rPr>
      </w:pPr>
    </w:p>
    <w:p w14:paraId="17EFF26B">
      <w:pPr>
        <w:spacing w:line="360" w:lineRule="auto"/>
        <w:ind w:firstLine="420" w:firstLineChars="200"/>
        <w:jc w:val="right"/>
        <w:rPr>
          <w:rFonts w:ascii="宋体" w:hAnsi="宋体" w:cs="宋体"/>
          <w:szCs w:val="21"/>
        </w:rPr>
      </w:pPr>
      <w:r>
        <w:rPr>
          <w:rFonts w:hint="eastAsia" w:ascii="宋体" w:hAnsi="宋体" w:cs="宋体"/>
          <w:szCs w:val="21"/>
        </w:rPr>
        <w:t>供应商名称：（盖单位公章）</w:t>
      </w:r>
    </w:p>
    <w:p w14:paraId="507CC9F4">
      <w:pPr>
        <w:spacing w:line="360" w:lineRule="auto"/>
        <w:ind w:firstLine="420" w:firstLineChars="200"/>
        <w:jc w:val="right"/>
        <w:rPr>
          <w:rFonts w:ascii="宋体" w:hAnsi="宋体" w:cs="宋体"/>
          <w:szCs w:val="21"/>
        </w:rPr>
      </w:pPr>
      <w:r>
        <w:rPr>
          <w:rFonts w:hint="eastAsia" w:ascii="宋体" w:hAnsi="宋体" w:cs="宋体"/>
          <w:szCs w:val="21"/>
        </w:rPr>
        <w:t>法定代表人：（签字）</w:t>
      </w:r>
    </w:p>
    <w:p w14:paraId="22D5732F">
      <w:pPr>
        <w:spacing w:line="360" w:lineRule="auto"/>
        <w:ind w:right="420" w:firstLine="3990" w:firstLineChars="1900"/>
        <w:rPr>
          <w:rFonts w:ascii="宋体" w:hAnsi="宋体" w:cs="宋体"/>
          <w:szCs w:val="21"/>
        </w:rPr>
      </w:pPr>
      <w:r>
        <w:rPr>
          <w:rFonts w:hint="eastAsia" w:ascii="宋体" w:hAnsi="宋体" w:cs="宋体"/>
          <w:szCs w:val="21"/>
        </w:rPr>
        <w:t>身份证号码：</w:t>
      </w:r>
    </w:p>
    <w:p w14:paraId="569C6C17">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委托授权代表：（签字）</w:t>
      </w:r>
    </w:p>
    <w:p w14:paraId="6B8B1F4C">
      <w:pPr>
        <w:spacing w:line="360" w:lineRule="auto"/>
        <w:ind w:right="105" w:firstLine="3990" w:firstLineChars="1900"/>
        <w:rPr>
          <w:rFonts w:ascii="宋体" w:hAnsi="宋体" w:cs="宋体"/>
          <w:szCs w:val="21"/>
        </w:rPr>
      </w:pPr>
      <w:r>
        <w:rPr>
          <w:rFonts w:hint="eastAsia" w:ascii="宋体" w:hAnsi="宋体" w:cs="宋体"/>
          <w:szCs w:val="21"/>
        </w:rPr>
        <w:t>身份证号码：</w:t>
      </w:r>
    </w:p>
    <w:p w14:paraId="57BBE456">
      <w:pPr>
        <w:spacing w:line="360" w:lineRule="auto"/>
        <w:ind w:firstLine="2310" w:firstLineChars="1100"/>
        <w:jc w:val="right"/>
        <w:rPr>
          <w:rFonts w:ascii="宋体" w:hAnsi="宋体" w:cs="宋体"/>
          <w:szCs w:val="21"/>
        </w:rPr>
      </w:pPr>
      <w:r>
        <w:rPr>
          <w:rFonts w:hint="eastAsia" w:ascii="宋体" w:hAnsi="宋体" w:cs="宋体"/>
          <w:szCs w:val="21"/>
        </w:rPr>
        <w:t>年月日</w:t>
      </w:r>
    </w:p>
    <w:p w14:paraId="30CB436D">
      <w:pPr>
        <w:pStyle w:val="4"/>
        <w:snapToGrid w:val="0"/>
        <w:spacing w:beforeLines="100" w:afterLines="100"/>
        <w:ind w:right="210" w:rightChars="100"/>
        <w:rPr>
          <w:rStyle w:val="138"/>
          <w:rFonts w:hAnsi="宋体"/>
          <w:b w:val="0"/>
          <w:bCs w:val="0"/>
          <w:sz w:val="24"/>
          <w:szCs w:val="24"/>
        </w:rPr>
      </w:pPr>
      <w:bookmarkStart w:id="70" w:name="_Toc3811_WPSOffice_Level1"/>
      <w:bookmarkStart w:id="71" w:name="_Toc16143_WPSOffice_Level1"/>
      <w:bookmarkStart w:id="72" w:name="_Toc10923_WPSOffice_Level1"/>
      <w:r>
        <w:rPr>
          <w:rStyle w:val="138"/>
          <w:rFonts w:hint="eastAsia" w:hAnsi="宋体"/>
          <w:b w:val="0"/>
          <w:bCs w:val="0"/>
          <w:sz w:val="24"/>
          <w:szCs w:val="24"/>
        </w:rPr>
        <w:t>附件3：供应商资格条件要求的资质、授权书或证明材料</w:t>
      </w:r>
      <w:bookmarkEnd w:id="70"/>
      <w:bookmarkEnd w:id="71"/>
      <w:bookmarkEnd w:id="72"/>
    </w:p>
    <w:p w14:paraId="69F75136">
      <w:r>
        <w:br w:type="page"/>
      </w:r>
    </w:p>
    <w:p w14:paraId="43A7C9F3">
      <w:pPr>
        <w:pStyle w:val="4"/>
        <w:snapToGrid w:val="0"/>
        <w:spacing w:beforeLines="100" w:afterLines="100"/>
        <w:ind w:right="210" w:rightChars="100"/>
        <w:rPr>
          <w:rStyle w:val="138"/>
          <w:rFonts w:hAnsi="宋体"/>
          <w:b w:val="0"/>
          <w:bCs w:val="0"/>
          <w:sz w:val="24"/>
          <w:szCs w:val="24"/>
        </w:rPr>
      </w:pPr>
      <w:r>
        <w:rPr>
          <w:rStyle w:val="138"/>
          <w:rFonts w:hint="eastAsia" w:hAnsi="宋体"/>
          <w:b w:val="0"/>
          <w:bCs w:val="0"/>
          <w:sz w:val="24"/>
          <w:szCs w:val="24"/>
        </w:rPr>
        <w:t>附件4：合同文本的提供</w:t>
      </w:r>
    </w:p>
    <w:p w14:paraId="2450DCB4">
      <w:pPr>
        <w:autoSpaceDE w:val="0"/>
        <w:autoSpaceDN w:val="0"/>
        <w:adjustRightInd w:val="0"/>
        <w:spacing w:line="360" w:lineRule="auto"/>
        <w:ind w:firstLine="480" w:firstLineChars="200"/>
        <w:rPr>
          <w:rFonts w:ascii="宋体" w:hAnsi="宋体"/>
          <w:sz w:val="20"/>
          <w:szCs w:val="20"/>
        </w:rPr>
      </w:pPr>
      <w:r>
        <w:rPr>
          <w:sz w:val="24"/>
        </w:rPr>
        <w:t>除了对</w:t>
      </w:r>
      <w:r>
        <w:rPr>
          <w:rFonts w:hint="eastAsia"/>
          <w:sz w:val="24"/>
        </w:rPr>
        <w:t>采购文件</w:t>
      </w:r>
      <w:r>
        <w:rPr>
          <w:sz w:val="24"/>
        </w:rPr>
        <w:t>第四章《合同</w:t>
      </w:r>
      <w:r>
        <w:rPr>
          <w:rFonts w:hint="eastAsia"/>
          <w:sz w:val="24"/>
        </w:rPr>
        <w:t>条款</w:t>
      </w:r>
      <w:r>
        <w:rPr>
          <w:sz w:val="24"/>
        </w:rPr>
        <w:t>》内容的应答外，</w:t>
      </w:r>
      <w:r>
        <w:rPr>
          <w:rFonts w:hint="eastAsia"/>
          <w:sz w:val="24"/>
        </w:rPr>
        <w:t>供应商</w:t>
      </w:r>
      <w:r>
        <w:rPr>
          <w:sz w:val="24"/>
        </w:rPr>
        <w:t>还应提供一份完整的合同文本，作为</w:t>
      </w:r>
      <w:r>
        <w:rPr>
          <w:rFonts w:hint="eastAsia"/>
          <w:sz w:val="24"/>
        </w:rPr>
        <w:t>响应文件</w:t>
      </w:r>
      <w:r>
        <w:rPr>
          <w:sz w:val="24"/>
        </w:rPr>
        <w:t>的一部分</w:t>
      </w:r>
      <w:r>
        <w:rPr>
          <w:rFonts w:hint="eastAsia"/>
          <w:sz w:val="24"/>
        </w:rPr>
        <w:t>。在执行合同付款时，供应商须按采购人要求开据增值税专用发票。</w:t>
      </w:r>
    </w:p>
    <w:p w14:paraId="0A4165A4">
      <w:pPr>
        <w:autoSpaceDE w:val="0"/>
        <w:autoSpaceDN w:val="0"/>
        <w:adjustRightInd w:val="0"/>
        <w:spacing w:line="300" w:lineRule="auto"/>
        <w:rPr>
          <w:rFonts w:ascii="宋体" w:hAnsi="宋体"/>
          <w:sz w:val="20"/>
          <w:szCs w:val="20"/>
        </w:rPr>
      </w:pPr>
    </w:p>
    <w:p w14:paraId="7F359D1A">
      <w:pPr>
        <w:widowControl/>
        <w:adjustRightInd w:val="0"/>
        <w:spacing w:line="240" w:lineRule="atLeast"/>
        <w:jc w:val="left"/>
        <w:rPr>
          <w:rFonts w:ascii="宋体" w:cs="宋体"/>
          <w:b/>
          <w:kern w:val="0"/>
          <w:szCs w:val="21"/>
          <w:lang w:val="zh-CN"/>
        </w:rPr>
      </w:pPr>
      <w:r>
        <w:rPr>
          <w:rFonts w:hint="eastAsia" w:ascii="宋体" w:cs="宋体"/>
          <w:b/>
          <w:kern w:val="0"/>
          <w:szCs w:val="21"/>
          <w:lang w:val="zh-CN"/>
        </w:rPr>
        <w:br w:type="page"/>
      </w:r>
    </w:p>
    <w:p w14:paraId="79353259">
      <w:pPr>
        <w:pStyle w:val="4"/>
        <w:snapToGrid w:val="0"/>
        <w:spacing w:beforeLines="100" w:afterLines="100"/>
        <w:ind w:right="210" w:rightChars="100"/>
        <w:rPr>
          <w:rStyle w:val="138"/>
          <w:rFonts w:hAnsi="宋体"/>
          <w:b w:val="0"/>
          <w:bCs w:val="0"/>
          <w:sz w:val="24"/>
          <w:szCs w:val="24"/>
        </w:rPr>
      </w:pPr>
      <w:r>
        <w:rPr>
          <w:rStyle w:val="138"/>
          <w:rFonts w:hint="eastAsia" w:hAnsi="宋体"/>
          <w:b w:val="0"/>
          <w:bCs w:val="0"/>
          <w:sz w:val="24"/>
          <w:szCs w:val="24"/>
        </w:rPr>
        <w:t>附件5：技术（服务）规范应答书，按照技术（服务）规范要求逐条应答，必须满足询价文件的全部技术和商务要求</w:t>
      </w:r>
    </w:p>
    <w:p w14:paraId="213FDA30">
      <w:pPr>
        <w:widowControl/>
        <w:jc w:val="left"/>
        <w:rPr>
          <w:rStyle w:val="138"/>
          <w:rFonts w:hAnsi="宋体"/>
          <w:b w:val="0"/>
          <w:bCs w:val="0"/>
        </w:rPr>
      </w:pPr>
      <w:bookmarkStart w:id="73" w:name="_Toc8152_WPSOffice_Level1"/>
      <w:bookmarkEnd w:id="73"/>
      <w:bookmarkStart w:id="74" w:name="_Toc27529_WPSOffice_Level1"/>
      <w:bookmarkEnd w:id="74"/>
      <w:bookmarkStart w:id="75" w:name="_Toc9742_WPSOffice_Level1"/>
      <w:bookmarkEnd w:id="75"/>
      <w:r>
        <w:rPr>
          <w:rStyle w:val="138"/>
          <w:rFonts w:hAnsi="宋体"/>
        </w:rPr>
        <w:br w:type="page"/>
      </w:r>
    </w:p>
    <w:p w14:paraId="38D7A10F">
      <w:pPr>
        <w:pStyle w:val="4"/>
        <w:snapToGrid w:val="0"/>
        <w:spacing w:beforeLines="100" w:afterLines="100"/>
        <w:ind w:right="210" w:rightChars="100"/>
        <w:rPr>
          <w:rStyle w:val="138"/>
          <w:rFonts w:hAnsi="宋体"/>
          <w:b w:val="0"/>
          <w:bCs w:val="0"/>
          <w:sz w:val="24"/>
          <w:szCs w:val="24"/>
        </w:rPr>
      </w:pPr>
      <w:r>
        <w:rPr>
          <w:rStyle w:val="138"/>
          <w:rFonts w:hint="eastAsia" w:hAnsi="宋体"/>
          <w:b w:val="0"/>
          <w:bCs w:val="0"/>
          <w:sz w:val="24"/>
          <w:szCs w:val="24"/>
        </w:rPr>
        <w:t>附件6：报价表</w:t>
      </w:r>
    </w:p>
    <w:p w14:paraId="07ED98EE">
      <w:pPr>
        <w:spacing w:line="360" w:lineRule="auto"/>
      </w:pPr>
      <w:r>
        <w:t>项目名称：</w:t>
      </w:r>
      <w:r>
        <w:rPr>
          <w:rFonts w:hint="eastAsia"/>
          <w:szCs w:val="21"/>
        </w:rPr>
        <w:t>江苏省广电有线信息网络股份有限公司云态势感知探针扩容采购</w:t>
      </w:r>
      <w:r>
        <w:t>项目</w:t>
      </w:r>
    </w:p>
    <w:p w14:paraId="75917477">
      <w:pPr>
        <w:spacing w:line="360" w:lineRule="auto"/>
      </w:pPr>
      <w:r>
        <w:rPr>
          <w:rFonts w:hint="eastAsia"/>
        </w:rPr>
        <w:t>包号：</w:t>
      </w:r>
    </w:p>
    <w:tbl>
      <w:tblPr>
        <w:tblStyle w:val="59"/>
        <w:tblpPr w:leftFromText="180" w:rightFromText="180" w:vertAnchor="text" w:horzAnchor="page" w:tblpX="1166" w:tblpY="252"/>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1838"/>
        <w:gridCol w:w="1590"/>
        <w:gridCol w:w="710"/>
        <w:gridCol w:w="1730"/>
        <w:gridCol w:w="1302"/>
      </w:tblGrid>
      <w:tr w14:paraId="4DF7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52" w:type="dxa"/>
            <w:vAlign w:val="center"/>
          </w:tcPr>
          <w:p w14:paraId="2715AE5C">
            <w:pPr>
              <w:spacing w:line="400" w:lineRule="exact"/>
              <w:jc w:val="center"/>
              <w:rPr>
                <w:b/>
                <w:szCs w:val="21"/>
              </w:rPr>
            </w:pPr>
            <w:r>
              <w:rPr>
                <w:rFonts w:hint="eastAsia"/>
                <w:b/>
                <w:szCs w:val="21"/>
              </w:rPr>
              <w:t>报价</w:t>
            </w:r>
            <w:r>
              <w:rPr>
                <w:b/>
                <w:szCs w:val="21"/>
              </w:rPr>
              <w:t>项</w:t>
            </w:r>
          </w:p>
        </w:tc>
        <w:tc>
          <w:tcPr>
            <w:tcW w:w="1838" w:type="dxa"/>
            <w:vAlign w:val="center"/>
          </w:tcPr>
          <w:p w14:paraId="73507F1A">
            <w:pPr>
              <w:spacing w:line="400" w:lineRule="exact"/>
              <w:jc w:val="center"/>
              <w:rPr>
                <w:b/>
              </w:rPr>
            </w:pPr>
            <w:r>
              <w:rPr>
                <w:rFonts w:hint="eastAsia"/>
                <w:b/>
              </w:rPr>
              <w:t>规格型号</w:t>
            </w:r>
          </w:p>
        </w:tc>
        <w:tc>
          <w:tcPr>
            <w:tcW w:w="1590" w:type="dxa"/>
            <w:vAlign w:val="center"/>
          </w:tcPr>
          <w:p w14:paraId="1B02159F">
            <w:pPr>
              <w:spacing w:line="360" w:lineRule="auto"/>
              <w:jc w:val="center"/>
              <w:rPr>
                <w:b/>
              </w:rPr>
            </w:pPr>
            <w:r>
              <w:rPr>
                <w:rFonts w:hint="eastAsia"/>
                <w:b/>
              </w:rPr>
              <w:t>含税单价</w:t>
            </w:r>
            <w:r>
              <w:rPr>
                <w:b/>
              </w:rPr>
              <w:t>（元）</w:t>
            </w:r>
          </w:p>
        </w:tc>
        <w:tc>
          <w:tcPr>
            <w:tcW w:w="710" w:type="dxa"/>
            <w:vAlign w:val="center"/>
          </w:tcPr>
          <w:p w14:paraId="01625181">
            <w:pPr>
              <w:spacing w:line="360" w:lineRule="auto"/>
              <w:jc w:val="center"/>
              <w:rPr>
                <w:b/>
              </w:rPr>
            </w:pPr>
            <w:r>
              <w:rPr>
                <w:rFonts w:hint="eastAsia"/>
                <w:b/>
              </w:rPr>
              <w:t>数量</w:t>
            </w:r>
          </w:p>
        </w:tc>
        <w:tc>
          <w:tcPr>
            <w:tcW w:w="1730" w:type="dxa"/>
            <w:vAlign w:val="center"/>
          </w:tcPr>
          <w:p w14:paraId="14954B66">
            <w:pPr>
              <w:spacing w:line="360" w:lineRule="auto"/>
              <w:jc w:val="center"/>
              <w:rPr>
                <w:b/>
              </w:rPr>
            </w:pPr>
            <w:r>
              <w:rPr>
                <w:rFonts w:hint="eastAsia"/>
                <w:b/>
              </w:rPr>
              <w:t>含税总价</w:t>
            </w:r>
            <w:r>
              <w:rPr>
                <w:b/>
              </w:rPr>
              <w:t>（元）</w:t>
            </w:r>
          </w:p>
        </w:tc>
        <w:tc>
          <w:tcPr>
            <w:tcW w:w="1302" w:type="dxa"/>
            <w:vAlign w:val="center"/>
          </w:tcPr>
          <w:p w14:paraId="0DCE0FA9">
            <w:pPr>
              <w:spacing w:line="360" w:lineRule="auto"/>
              <w:jc w:val="center"/>
              <w:rPr>
                <w:b/>
              </w:rPr>
            </w:pPr>
            <w:r>
              <w:rPr>
                <w:rFonts w:hint="eastAsia"/>
                <w:b/>
              </w:rPr>
              <w:t>备注</w:t>
            </w:r>
          </w:p>
        </w:tc>
      </w:tr>
      <w:tr w14:paraId="40F3C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52" w:type="dxa"/>
            <w:vAlign w:val="center"/>
          </w:tcPr>
          <w:p w14:paraId="5F426C65">
            <w:pPr>
              <w:jc w:val="center"/>
              <w:rPr>
                <w:szCs w:val="21"/>
              </w:rPr>
            </w:pPr>
            <w:r>
              <w:rPr>
                <w:rFonts w:hint="eastAsia"/>
                <w:szCs w:val="21"/>
              </w:rPr>
              <w:t>云</w:t>
            </w:r>
            <w:r>
              <w:rPr>
                <w:szCs w:val="21"/>
              </w:rPr>
              <w:t>态势感知探针</w:t>
            </w:r>
          </w:p>
        </w:tc>
        <w:tc>
          <w:tcPr>
            <w:tcW w:w="1838" w:type="dxa"/>
            <w:vAlign w:val="center"/>
          </w:tcPr>
          <w:p w14:paraId="766DE107">
            <w:pPr>
              <w:spacing w:line="400" w:lineRule="exact"/>
              <w:jc w:val="center"/>
            </w:pPr>
          </w:p>
        </w:tc>
        <w:tc>
          <w:tcPr>
            <w:tcW w:w="1590" w:type="dxa"/>
            <w:vAlign w:val="center"/>
          </w:tcPr>
          <w:p w14:paraId="7A6A986B">
            <w:pPr>
              <w:spacing w:line="400" w:lineRule="exact"/>
              <w:jc w:val="center"/>
            </w:pPr>
          </w:p>
        </w:tc>
        <w:tc>
          <w:tcPr>
            <w:tcW w:w="710" w:type="dxa"/>
            <w:vAlign w:val="center"/>
          </w:tcPr>
          <w:p w14:paraId="3B438783">
            <w:pPr>
              <w:spacing w:line="400" w:lineRule="exact"/>
              <w:jc w:val="center"/>
            </w:pPr>
          </w:p>
        </w:tc>
        <w:tc>
          <w:tcPr>
            <w:tcW w:w="1730" w:type="dxa"/>
            <w:vAlign w:val="center"/>
          </w:tcPr>
          <w:p w14:paraId="5865D89F">
            <w:pPr>
              <w:spacing w:line="400" w:lineRule="exact"/>
              <w:jc w:val="center"/>
            </w:pPr>
          </w:p>
        </w:tc>
        <w:tc>
          <w:tcPr>
            <w:tcW w:w="1302" w:type="dxa"/>
            <w:vAlign w:val="center"/>
          </w:tcPr>
          <w:p w14:paraId="06AE8186">
            <w:pPr>
              <w:spacing w:line="400" w:lineRule="exact"/>
              <w:jc w:val="center"/>
            </w:pPr>
          </w:p>
        </w:tc>
      </w:tr>
      <w:tr w14:paraId="449E5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52" w:type="dxa"/>
            <w:vAlign w:val="center"/>
          </w:tcPr>
          <w:p w14:paraId="1A4C2257">
            <w:pPr>
              <w:jc w:val="center"/>
              <w:rPr>
                <w:szCs w:val="21"/>
              </w:rPr>
            </w:pPr>
            <w:r>
              <w:rPr>
                <w:rFonts w:hint="eastAsia"/>
                <w:szCs w:val="21"/>
              </w:rPr>
              <w:t>辅材</w:t>
            </w:r>
          </w:p>
        </w:tc>
        <w:tc>
          <w:tcPr>
            <w:tcW w:w="1838" w:type="dxa"/>
            <w:vAlign w:val="center"/>
          </w:tcPr>
          <w:p w14:paraId="21380442">
            <w:pPr>
              <w:spacing w:line="400" w:lineRule="exact"/>
              <w:jc w:val="center"/>
            </w:pPr>
          </w:p>
        </w:tc>
        <w:tc>
          <w:tcPr>
            <w:tcW w:w="1590" w:type="dxa"/>
            <w:vAlign w:val="center"/>
          </w:tcPr>
          <w:p w14:paraId="73277C1A">
            <w:pPr>
              <w:spacing w:line="400" w:lineRule="exact"/>
              <w:jc w:val="center"/>
            </w:pPr>
          </w:p>
        </w:tc>
        <w:tc>
          <w:tcPr>
            <w:tcW w:w="710" w:type="dxa"/>
            <w:vAlign w:val="center"/>
          </w:tcPr>
          <w:p w14:paraId="1B2ADDDC">
            <w:pPr>
              <w:spacing w:line="400" w:lineRule="exact"/>
              <w:jc w:val="center"/>
            </w:pPr>
          </w:p>
        </w:tc>
        <w:tc>
          <w:tcPr>
            <w:tcW w:w="1730" w:type="dxa"/>
            <w:vAlign w:val="center"/>
          </w:tcPr>
          <w:p w14:paraId="354A7573">
            <w:pPr>
              <w:spacing w:line="400" w:lineRule="exact"/>
              <w:jc w:val="center"/>
            </w:pPr>
          </w:p>
        </w:tc>
        <w:tc>
          <w:tcPr>
            <w:tcW w:w="1302" w:type="dxa"/>
            <w:vAlign w:val="center"/>
          </w:tcPr>
          <w:p w14:paraId="3E8584C4">
            <w:pPr>
              <w:spacing w:line="400" w:lineRule="exact"/>
              <w:jc w:val="center"/>
            </w:pPr>
          </w:p>
        </w:tc>
      </w:tr>
      <w:tr w14:paraId="38B4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52" w:type="dxa"/>
            <w:vAlign w:val="center"/>
          </w:tcPr>
          <w:p w14:paraId="1EEE7659">
            <w:pPr>
              <w:spacing w:line="400" w:lineRule="exact"/>
              <w:jc w:val="center"/>
            </w:pPr>
            <w:r>
              <w:rPr>
                <w:rFonts w:hint="eastAsia"/>
              </w:rPr>
              <w:t>开发周期/到货期</w:t>
            </w:r>
          </w:p>
        </w:tc>
        <w:tc>
          <w:tcPr>
            <w:tcW w:w="7170" w:type="dxa"/>
            <w:gridSpan w:val="5"/>
            <w:vAlign w:val="center"/>
          </w:tcPr>
          <w:p w14:paraId="144009D6">
            <w:pPr>
              <w:spacing w:line="400" w:lineRule="exact"/>
              <w:ind w:firstLine="630" w:firstLineChars="300"/>
            </w:pPr>
            <w:r>
              <w:rPr>
                <w:rFonts w:hint="eastAsia"/>
                <w:u w:val="single"/>
              </w:rPr>
              <w:t>天（</w:t>
            </w:r>
            <w:r>
              <w:rPr>
                <w:rFonts w:hint="eastAsia"/>
              </w:rPr>
              <w:t>不超过3</w:t>
            </w:r>
            <w:r>
              <w:t>0</w:t>
            </w:r>
            <w:r>
              <w:rPr>
                <w:rFonts w:hint="eastAsia"/>
              </w:rPr>
              <w:t>天）</w:t>
            </w:r>
          </w:p>
        </w:tc>
      </w:tr>
      <w:tr w14:paraId="035D4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14:paraId="6E4E6D8A">
            <w:pPr>
              <w:spacing w:line="400" w:lineRule="exact"/>
              <w:jc w:val="center"/>
            </w:pPr>
            <w:r>
              <w:rPr>
                <w:rFonts w:hint="eastAsia"/>
              </w:rPr>
              <w:t>开发</w:t>
            </w:r>
            <w:r>
              <w:t>地点</w:t>
            </w:r>
            <w:r>
              <w:rPr>
                <w:rFonts w:hint="eastAsia"/>
              </w:rPr>
              <w:t>/交货地点</w:t>
            </w:r>
          </w:p>
        </w:tc>
        <w:tc>
          <w:tcPr>
            <w:tcW w:w="7170" w:type="dxa"/>
            <w:gridSpan w:val="5"/>
            <w:vAlign w:val="center"/>
          </w:tcPr>
          <w:p w14:paraId="76AB1A47">
            <w:pPr>
              <w:spacing w:line="400" w:lineRule="exact"/>
            </w:pPr>
            <w:r>
              <w:rPr>
                <w:rFonts w:hint="eastAsia"/>
              </w:rPr>
              <w:t>采购人</w:t>
            </w:r>
            <w:r>
              <w:t>指定地点</w:t>
            </w:r>
          </w:p>
        </w:tc>
      </w:tr>
      <w:tr w14:paraId="0AB6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14:paraId="2DE5EA07">
            <w:pPr>
              <w:spacing w:line="400" w:lineRule="exact"/>
              <w:jc w:val="center"/>
            </w:pPr>
            <w:r>
              <w:t>免费</w:t>
            </w:r>
            <w:r>
              <w:rPr>
                <w:rFonts w:hint="eastAsia"/>
              </w:rPr>
              <w:t>包</w:t>
            </w:r>
            <w:r>
              <w:t>修期</w:t>
            </w:r>
          </w:p>
        </w:tc>
        <w:tc>
          <w:tcPr>
            <w:tcW w:w="7170" w:type="dxa"/>
            <w:gridSpan w:val="5"/>
            <w:vAlign w:val="center"/>
          </w:tcPr>
          <w:p w14:paraId="58E653DD">
            <w:pPr>
              <w:spacing w:line="400" w:lineRule="exact"/>
              <w:ind w:firstLine="630" w:firstLineChars="300"/>
            </w:pPr>
            <w:r>
              <w:rPr>
                <w:rFonts w:hint="eastAsia"/>
                <w:u w:val="single"/>
              </w:rPr>
              <w:t>年（</w:t>
            </w:r>
            <w:r>
              <w:rPr>
                <w:rFonts w:hint="eastAsia"/>
              </w:rPr>
              <w:t>不少于</w:t>
            </w:r>
            <w:r>
              <w:t>3年）</w:t>
            </w:r>
          </w:p>
        </w:tc>
      </w:tr>
      <w:tr w14:paraId="496B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152" w:type="dxa"/>
            <w:vAlign w:val="center"/>
          </w:tcPr>
          <w:p w14:paraId="48AFD06F">
            <w:pPr>
              <w:spacing w:line="400" w:lineRule="exact"/>
              <w:jc w:val="center"/>
            </w:pPr>
            <w:r>
              <w:rPr>
                <w:rFonts w:hint="eastAsia"/>
              </w:rPr>
              <w:t>包</w:t>
            </w:r>
            <w:r>
              <w:t>修期内的服务内容</w:t>
            </w:r>
          </w:p>
        </w:tc>
        <w:tc>
          <w:tcPr>
            <w:tcW w:w="7170" w:type="dxa"/>
            <w:gridSpan w:val="5"/>
            <w:vAlign w:val="center"/>
          </w:tcPr>
          <w:p w14:paraId="2253ADAF">
            <w:pPr>
              <w:spacing w:line="400" w:lineRule="exact"/>
              <w:rPr>
                <w:u w:val="single"/>
              </w:rPr>
            </w:pPr>
            <w:r>
              <w:rPr>
                <w:rFonts w:hint="eastAsia"/>
              </w:rPr>
              <w:t>采购文件</w:t>
            </w:r>
            <w:r>
              <w:t>第五章《</w:t>
            </w:r>
            <w:r>
              <w:rPr>
                <w:rFonts w:hint="eastAsia"/>
              </w:rPr>
              <w:t>（</w:t>
            </w:r>
            <w:r>
              <w:t>技术</w:t>
            </w:r>
            <w:r>
              <w:rPr>
                <w:rFonts w:hint="eastAsia"/>
              </w:rPr>
              <w:t>）需</w:t>
            </w:r>
            <w:r>
              <w:t>求</w:t>
            </w:r>
            <w:r>
              <w:rPr>
                <w:rFonts w:hint="eastAsia"/>
              </w:rPr>
              <w:t>书</w:t>
            </w:r>
            <w:r>
              <w:t>》中所有要求的内容，以及：</w:t>
            </w:r>
          </w:p>
          <w:p w14:paraId="2963D132">
            <w:pPr>
              <w:spacing w:line="400" w:lineRule="exact"/>
            </w:pPr>
          </w:p>
        </w:tc>
      </w:tr>
      <w:tr w14:paraId="0744A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14:paraId="2A282574">
            <w:pPr>
              <w:spacing w:line="400" w:lineRule="exact"/>
              <w:jc w:val="center"/>
            </w:pPr>
            <w:r>
              <w:rPr>
                <w:rFonts w:hint="eastAsia"/>
              </w:rPr>
              <w:t>包</w:t>
            </w:r>
            <w:r>
              <w:t>修期满后的服务价格</w:t>
            </w:r>
          </w:p>
        </w:tc>
        <w:tc>
          <w:tcPr>
            <w:tcW w:w="7170" w:type="dxa"/>
            <w:gridSpan w:val="5"/>
            <w:vAlign w:val="center"/>
          </w:tcPr>
          <w:p w14:paraId="482B2E1A">
            <w:pPr>
              <w:spacing w:line="400" w:lineRule="exact"/>
            </w:pPr>
            <w:r>
              <w:t>维保价格：元/年（</w:t>
            </w:r>
            <w:r>
              <w:rPr>
                <w:szCs w:val="21"/>
              </w:rPr>
              <w:t>年维保费用不得高于合同价格的5%</w:t>
            </w:r>
            <w:r>
              <w:t>）</w:t>
            </w:r>
          </w:p>
          <w:p w14:paraId="77216278">
            <w:pPr>
              <w:spacing w:line="400" w:lineRule="exact"/>
            </w:pPr>
            <w:r>
              <w:t>包含内容：</w:t>
            </w:r>
            <w:r>
              <w:rPr>
                <w:u w:val="single"/>
              </w:rPr>
              <w:t>按照</w:t>
            </w:r>
            <w:r>
              <w:rPr>
                <w:rFonts w:hint="eastAsia"/>
                <w:u w:val="single"/>
              </w:rPr>
              <w:t>包</w:t>
            </w:r>
            <w:r>
              <w:rPr>
                <w:u w:val="single"/>
              </w:rPr>
              <w:t>修期内的服务内容</w:t>
            </w:r>
          </w:p>
        </w:tc>
      </w:tr>
      <w:tr w14:paraId="5F4E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2" w:type="dxa"/>
            <w:vAlign w:val="center"/>
          </w:tcPr>
          <w:p w14:paraId="14EB80C8">
            <w:pPr>
              <w:spacing w:line="400" w:lineRule="exact"/>
              <w:jc w:val="center"/>
              <w:rPr>
                <w:u w:val="single"/>
              </w:rPr>
            </w:pPr>
            <w:r>
              <w:t>备注</w:t>
            </w:r>
          </w:p>
        </w:tc>
        <w:tc>
          <w:tcPr>
            <w:tcW w:w="7170" w:type="dxa"/>
            <w:gridSpan w:val="5"/>
            <w:vAlign w:val="center"/>
          </w:tcPr>
          <w:p w14:paraId="6B485702">
            <w:pPr>
              <w:spacing w:line="400" w:lineRule="exact"/>
            </w:pPr>
          </w:p>
        </w:tc>
      </w:tr>
    </w:tbl>
    <w:p w14:paraId="7CC6E403">
      <w:pPr>
        <w:snapToGrid w:val="0"/>
        <w:spacing w:line="360" w:lineRule="auto"/>
      </w:pPr>
    </w:p>
    <w:p w14:paraId="27D2C3F4">
      <w:pPr>
        <w:snapToGrid w:val="0"/>
        <w:spacing w:line="360" w:lineRule="auto"/>
        <w:rPr>
          <w:szCs w:val="21"/>
        </w:rPr>
      </w:pPr>
      <w:r>
        <w:rPr>
          <w:rFonts w:hint="eastAsia"/>
        </w:rPr>
        <w:t>注</w:t>
      </w:r>
      <w:r>
        <w:t>：1.</w:t>
      </w:r>
      <w:r>
        <w:rPr>
          <w:rFonts w:hint="eastAsia"/>
          <w:szCs w:val="21"/>
        </w:rPr>
        <w:t>供应商</w:t>
      </w:r>
      <w:r>
        <w:rPr>
          <w:szCs w:val="21"/>
        </w:rPr>
        <w:t>须按照</w:t>
      </w:r>
      <w:r>
        <w:rPr>
          <w:rFonts w:hint="eastAsia"/>
          <w:szCs w:val="21"/>
        </w:rPr>
        <w:t>采购文件</w:t>
      </w:r>
      <w:r>
        <w:rPr>
          <w:szCs w:val="21"/>
        </w:rPr>
        <w:t>要求，到用户指定现场（到楼层）</w:t>
      </w:r>
      <w:r>
        <w:rPr>
          <w:rFonts w:hint="eastAsia"/>
          <w:szCs w:val="21"/>
        </w:rPr>
        <w:t>开发</w:t>
      </w:r>
      <w:r>
        <w:rPr>
          <w:szCs w:val="21"/>
        </w:rPr>
        <w:t>并提供全部服务的含税价。</w:t>
      </w:r>
    </w:p>
    <w:p w14:paraId="208879FB">
      <w:pPr>
        <w:spacing w:line="360" w:lineRule="auto"/>
        <w:ind w:left="525"/>
        <w:rPr>
          <w:b/>
          <w:szCs w:val="21"/>
        </w:rPr>
      </w:pPr>
      <w:r>
        <w:rPr>
          <w:rFonts w:hint="eastAsia"/>
        </w:rPr>
        <w:t>2.</w:t>
      </w:r>
      <w:r>
        <w:t>对包修期满后的服务，</w:t>
      </w:r>
      <w:r>
        <w:rPr>
          <w:rFonts w:hint="eastAsia"/>
        </w:rPr>
        <w:t>采购人</w:t>
      </w:r>
      <w:r>
        <w:t>有选择最终服务商的权利。</w:t>
      </w:r>
    </w:p>
    <w:p w14:paraId="2CAA95F3">
      <w:pPr>
        <w:spacing w:line="360" w:lineRule="auto"/>
      </w:pPr>
    </w:p>
    <w:p w14:paraId="04F4F838">
      <w:pPr>
        <w:spacing w:line="360" w:lineRule="auto"/>
        <w:jc w:val="right"/>
        <w:rPr>
          <w:rFonts w:ascii="宋体" w:hAnsi="宋体"/>
          <w:szCs w:val="21"/>
        </w:rPr>
      </w:pPr>
      <w:r>
        <w:rPr>
          <w:rFonts w:hint="eastAsia" w:ascii="宋体" w:hAnsi="宋体"/>
          <w:szCs w:val="21"/>
        </w:rPr>
        <w:t>供应商：（盖单位公章）</w:t>
      </w:r>
    </w:p>
    <w:p w14:paraId="008FDAF8">
      <w:pPr>
        <w:spacing w:line="360" w:lineRule="auto"/>
        <w:jc w:val="right"/>
        <w:rPr>
          <w:rFonts w:ascii="宋体" w:hAnsi="宋体"/>
          <w:szCs w:val="21"/>
        </w:rPr>
      </w:pPr>
      <w:r>
        <w:rPr>
          <w:rFonts w:hint="eastAsia" w:ascii="宋体" w:hAnsi="宋体"/>
          <w:szCs w:val="21"/>
        </w:rPr>
        <w:t>法定代表人或其委托代理人：（签字）</w:t>
      </w:r>
    </w:p>
    <w:p w14:paraId="22FCE1AA">
      <w:pPr>
        <w:spacing w:line="360" w:lineRule="auto"/>
        <w:jc w:val="right"/>
        <w:rPr>
          <w:u w:val="single"/>
        </w:rPr>
      </w:pPr>
      <w:r>
        <w:rPr>
          <w:rFonts w:hint="eastAsia" w:ascii="宋体" w:hAnsi="宋体"/>
          <w:szCs w:val="21"/>
        </w:rPr>
        <w:t>年月日</w:t>
      </w:r>
    </w:p>
    <w:p w14:paraId="0D76C44B">
      <w:pPr>
        <w:pStyle w:val="4"/>
        <w:snapToGrid w:val="0"/>
        <w:spacing w:beforeLines="100" w:afterLines="100"/>
        <w:ind w:right="210" w:rightChars="100"/>
        <w:rPr>
          <w:rStyle w:val="138"/>
          <w:rFonts w:hAnsi="宋体"/>
          <w:b w:val="0"/>
          <w:bCs w:val="0"/>
        </w:rPr>
      </w:pPr>
      <w:r>
        <w:rPr>
          <w:rStyle w:val="138"/>
          <w:rFonts w:hint="eastAsia" w:hAnsi="宋体"/>
          <w:b w:val="0"/>
          <w:bCs w:val="0"/>
        </w:rPr>
        <w:br w:type="page"/>
      </w:r>
      <w:r>
        <w:rPr>
          <w:rStyle w:val="138"/>
          <w:rFonts w:hint="eastAsia" w:hAnsi="宋体"/>
          <w:b w:val="0"/>
          <w:bCs w:val="0"/>
          <w:sz w:val="24"/>
          <w:szCs w:val="24"/>
        </w:rPr>
        <w:t>附件7：其他供应商认为有必要的证明材料等</w:t>
      </w:r>
    </w:p>
    <w:p w14:paraId="32CE25FE">
      <w:pPr>
        <w:autoSpaceDE w:val="0"/>
        <w:autoSpaceDN w:val="0"/>
        <w:adjustRightInd w:val="0"/>
        <w:spacing w:line="360" w:lineRule="auto"/>
        <w:ind w:firstLine="420" w:firstLineChars="200"/>
        <w:rPr>
          <w:b/>
          <w:bCs/>
        </w:rPr>
      </w:pPr>
      <w:r>
        <w:rPr>
          <w:rFonts w:hint="eastAsia"/>
        </w:rPr>
        <w:t>供应商认为需要提供的其他内容。</w:t>
      </w:r>
      <w:bookmarkStart w:id="76" w:name="_Toc15291"/>
      <w:bookmarkStart w:id="77" w:name="_Toc32147"/>
      <w:bookmarkStart w:id="78" w:name="_Toc82869835"/>
    </w:p>
    <w:p w14:paraId="4AE746DD">
      <w:pPr>
        <w:spacing w:line="360" w:lineRule="auto"/>
        <w:jc w:val="center"/>
        <w:outlineLvl w:val="0"/>
        <w:rPr>
          <w:rFonts w:eastAsia="黑体"/>
          <w:sz w:val="52"/>
          <w:szCs w:val="52"/>
        </w:rPr>
      </w:pPr>
      <w:r>
        <w:rPr>
          <w:rFonts w:hint="eastAsia"/>
        </w:rPr>
        <w:br w:type="page"/>
      </w:r>
      <w:r>
        <w:rPr>
          <w:rFonts w:hint="eastAsia" w:eastAsia="黑体"/>
          <w:b/>
          <w:bCs/>
          <w:kern w:val="44"/>
          <w:sz w:val="52"/>
          <w:szCs w:val="52"/>
          <w:lang w:val="zh-CN"/>
        </w:rPr>
        <w:t>第七章其他</w:t>
      </w:r>
      <w:bookmarkEnd w:id="76"/>
      <w:bookmarkEnd w:id="77"/>
      <w:bookmarkEnd w:id="78"/>
    </w:p>
    <w:p w14:paraId="5E4E0300">
      <w:pPr>
        <w:widowControl/>
        <w:jc w:val="left"/>
        <w:rPr>
          <w:b/>
          <w:sz w:val="24"/>
        </w:rPr>
      </w:pPr>
      <w:bookmarkStart w:id="79" w:name="_Toc15025"/>
      <w:r>
        <w:rPr>
          <w:rFonts w:hint="eastAsia"/>
          <w:b/>
          <w:sz w:val="24"/>
        </w:rPr>
        <w:t>响应</w:t>
      </w:r>
      <w:r>
        <w:rPr>
          <w:b/>
          <w:sz w:val="24"/>
        </w:rPr>
        <w:t>文件</w:t>
      </w:r>
      <w:r>
        <w:rPr>
          <w:b/>
          <w:kern w:val="11"/>
          <w:sz w:val="24"/>
        </w:rPr>
        <w:t>封套格式</w:t>
      </w:r>
      <w:r>
        <w:rPr>
          <w:b/>
          <w:sz w:val="24"/>
        </w:rPr>
        <w:t>如下：</w:t>
      </w:r>
      <w:bookmarkEnd w:id="79"/>
    </w:p>
    <w:tbl>
      <w:tblPr>
        <w:tblStyle w:val="5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26414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6075014B">
            <w:pPr>
              <w:spacing w:beforeLines="50" w:afterLines="100"/>
              <w:jc w:val="center"/>
              <w:rPr>
                <w:rFonts w:eastAsia="黑体"/>
                <w:sz w:val="32"/>
                <w:szCs w:val="32"/>
                <w:u w:val="single"/>
              </w:rPr>
            </w:pPr>
          </w:p>
          <w:p w14:paraId="3177E07A">
            <w:pPr>
              <w:jc w:val="center"/>
              <w:rPr>
                <w:rFonts w:eastAsia="黑体"/>
                <w:sz w:val="32"/>
                <w:szCs w:val="32"/>
              </w:rPr>
            </w:pPr>
            <w:r>
              <w:rPr>
                <w:rFonts w:hint="eastAsia" w:eastAsia="黑体"/>
                <w:sz w:val="32"/>
                <w:szCs w:val="32"/>
              </w:rPr>
              <w:t>江苏省广电有线信息网络股份有限公司</w:t>
            </w:r>
          </w:p>
          <w:p w14:paraId="46350D77">
            <w:pPr>
              <w:jc w:val="center"/>
              <w:rPr>
                <w:rFonts w:eastAsia="黑体"/>
                <w:sz w:val="32"/>
                <w:szCs w:val="32"/>
              </w:rPr>
            </w:pPr>
            <w:r>
              <w:rPr>
                <w:rFonts w:hint="eastAsia" w:eastAsia="黑体"/>
                <w:sz w:val="32"/>
                <w:szCs w:val="32"/>
              </w:rPr>
              <w:t>云态势感知探针扩容采购项目</w:t>
            </w:r>
          </w:p>
          <w:p w14:paraId="1F9EC2D4">
            <w:pPr>
              <w:spacing w:beforeLines="100" w:afterLines="100"/>
              <w:jc w:val="center"/>
              <w:rPr>
                <w:rFonts w:eastAsia="黑体"/>
                <w:sz w:val="52"/>
                <w:szCs w:val="36"/>
              </w:rPr>
            </w:pPr>
          </w:p>
          <w:p w14:paraId="12EF8DF5">
            <w:pPr>
              <w:jc w:val="center"/>
              <w:rPr>
                <w:rFonts w:eastAsia="黑体"/>
                <w:sz w:val="52"/>
                <w:szCs w:val="36"/>
              </w:rPr>
            </w:pPr>
            <w:r>
              <w:rPr>
                <w:rFonts w:hint="eastAsia" w:eastAsia="黑体"/>
                <w:sz w:val="52"/>
                <w:szCs w:val="36"/>
              </w:rPr>
              <w:t>响应文件</w:t>
            </w:r>
          </w:p>
          <w:p w14:paraId="6A873376">
            <w:pPr>
              <w:spacing w:after="120"/>
              <w:jc w:val="center"/>
              <w:rPr>
                <w:rFonts w:eastAsia="PMingLiU"/>
                <w:sz w:val="36"/>
                <w:szCs w:val="36"/>
                <w:lang w:val="zh-TW" w:eastAsia="zh-TW"/>
              </w:rPr>
            </w:pPr>
            <w:r>
              <w:rPr>
                <w:rFonts w:hint="eastAsia" w:eastAsia="黑体"/>
                <w:sz w:val="28"/>
                <w:szCs w:val="28"/>
              </w:rPr>
              <w:t>（开标时间以前不得开封）</w:t>
            </w:r>
          </w:p>
          <w:p w14:paraId="6BF79D54">
            <w:pPr>
              <w:spacing w:beforeLines="100" w:afterLines="100"/>
              <w:jc w:val="center"/>
              <w:rPr>
                <w:rFonts w:eastAsia="黑体"/>
                <w:sz w:val="52"/>
                <w:szCs w:val="36"/>
              </w:rPr>
            </w:pPr>
          </w:p>
          <w:p w14:paraId="22D2288A">
            <w:pPr>
              <w:spacing w:line="360" w:lineRule="auto"/>
              <w:jc w:val="center"/>
              <w:rPr>
                <w:rFonts w:eastAsia="黑体"/>
                <w:sz w:val="24"/>
              </w:rPr>
            </w:pPr>
            <w:r>
              <w:rPr>
                <w:rFonts w:hint="eastAsia" w:eastAsia="黑体"/>
                <w:sz w:val="24"/>
              </w:rPr>
              <w:t>供应商</w:t>
            </w:r>
            <w:r>
              <w:rPr>
                <w:rFonts w:eastAsia="黑体"/>
                <w:sz w:val="24"/>
              </w:rPr>
              <w:t>：（盖单位章）</w:t>
            </w:r>
          </w:p>
          <w:p w14:paraId="5E1AF0D0">
            <w:pPr>
              <w:spacing w:line="360" w:lineRule="auto"/>
              <w:jc w:val="center"/>
              <w:rPr>
                <w:rFonts w:eastAsia="黑体"/>
                <w:sz w:val="24"/>
              </w:rPr>
            </w:pPr>
            <w:r>
              <w:rPr>
                <w:rFonts w:eastAsia="黑体"/>
                <w:sz w:val="24"/>
              </w:rPr>
              <w:t>法定代表人或其委托的代理人：（签字）</w:t>
            </w:r>
          </w:p>
          <w:p w14:paraId="7CA1A9F6">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p>
          <w:p w14:paraId="555086CD">
            <w:pPr>
              <w:spacing w:afterLines="200"/>
              <w:ind w:firstLine="3000" w:firstLineChars="1250"/>
              <w:rPr>
                <w:kern w:val="11"/>
              </w:rPr>
            </w:pPr>
            <w:r>
              <w:rPr>
                <w:rFonts w:eastAsia="黑体"/>
                <w:sz w:val="24"/>
              </w:rPr>
              <w:t>年月日</w:t>
            </w:r>
          </w:p>
        </w:tc>
      </w:tr>
    </w:tbl>
    <w:p w14:paraId="1360FDED">
      <w:pPr>
        <w:rPr>
          <w:kern w:val="11"/>
          <w:sz w:val="24"/>
        </w:rPr>
      </w:pPr>
    </w:p>
    <w:p w14:paraId="69E09A24">
      <w:pPr>
        <w:widowControl/>
        <w:jc w:val="left"/>
      </w:pPr>
    </w:p>
    <w:p w14:paraId="213449E5">
      <w:pPr>
        <w:widowControl/>
        <w:spacing w:line="360" w:lineRule="auto"/>
        <w:jc w:val="left"/>
        <w:rPr>
          <w:kern w:val="11"/>
          <w:sz w:val="24"/>
        </w:rPr>
      </w:pPr>
    </w:p>
    <w:p w14:paraId="1CB08CA4">
      <w:pPr>
        <w:widowControl/>
        <w:spacing w:line="360" w:lineRule="auto"/>
        <w:jc w:val="left"/>
        <w:rPr>
          <w:kern w:val="11"/>
          <w:sz w:val="24"/>
        </w:rPr>
      </w:pPr>
    </w:p>
    <w:p w14:paraId="37D2AE51">
      <w:pPr>
        <w:widowControl/>
        <w:spacing w:line="360" w:lineRule="auto"/>
        <w:jc w:val="left"/>
        <w:rPr>
          <w:kern w:val="11"/>
          <w:sz w:val="24"/>
        </w:rPr>
      </w:pPr>
    </w:p>
    <w:p w14:paraId="7B316965">
      <w:pPr>
        <w:widowControl/>
        <w:spacing w:line="360" w:lineRule="auto"/>
        <w:jc w:val="left"/>
        <w:rPr>
          <w:kern w:val="11"/>
          <w:sz w:val="24"/>
        </w:rPr>
      </w:pPr>
    </w:p>
    <w:p w14:paraId="3B035EF9">
      <w:pPr>
        <w:widowControl/>
        <w:spacing w:line="360" w:lineRule="auto"/>
        <w:jc w:val="left"/>
        <w:rPr>
          <w:kern w:val="11"/>
          <w:sz w:val="24"/>
        </w:rPr>
      </w:pPr>
    </w:p>
    <w:p w14:paraId="44252AC3">
      <w:pPr>
        <w:widowControl/>
        <w:spacing w:line="360" w:lineRule="auto"/>
        <w:jc w:val="left"/>
        <w:rPr>
          <w:kern w:val="11"/>
          <w:sz w:val="24"/>
        </w:rPr>
      </w:pPr>
    </w:p>
    <w:p w14:paraId="22E86569">
      <w:pPr>
        <w:widowControl/>
        <w:spacing w:line="360" w:lineRule="auto"/>
        <w:jc w:val="left"/>
        <w:rPr>
          <w:kern w:val="11"/>
          <w:sz w:val="24"/>
        </w:rPr>
      </w:pPr>
    </w:p>
    <w:p w14:paraId="099B7439">
      <w:pPr>
        <w:widowControl/>
        <w:spacing w:line="360" w:lineRule="auto"/>
        <w:jc w:val="left"/>
        <w:rPr>
          <w:kern w:val="11"/>
          <w:sz w:val="24"/>
        </w:rPr>
      </w:pPr>
    </w:p>
    <w:p w14:paraId="1881654F">
      <w:pPr>
        <w:widowControl/>
        <w:spacing w:line="360" w:lineRule="auto"/>
        <w:jc w:val="left"/>
        <w:rPr>
          <w:kern w:val="11"/>
          <w:sz w:val="24"/>
        </w:rPr>
      </w:pPr>
    </w:p>
    <w:p w14:paraId="2B1625AE">
      <w:pPr>
        <w:widowControl/>
        <w:spacing w:line="360" w:lineRule="auto"/>
        <w:jc w:val="left"/>
        <w:rPr>
          <w:kern w:val="11"/>
          <w:sz w:val="24"/>
        </w:rPr>
      </w:pPr>
    </w:p>
    <w:p w14:paraId="5CA75CD3">
      <w:pPr>
        <w:widowControl/>
        <w:spacing w:line="360" w:lineRule="auto"/>
        <w:jc w:val="left"/>
        <w:rPr>
          <w:sz w:val="24"/>
        </w:rPr>
      </w:pPr>
      <w:r>
        <w:rPr>
          <w:rFonts w:hint="eastAsia"/>
          <w:kern w:val="11"/>
          <w:sz w:val="24"/>
        </w:rPr>
        <w:t>响应文件电子版</w:t>
      </w:r>
      <w:r>
        <w:rPr>
          <w:kern w:val="11"/>
          <w:sz w:val="24"/>
        </w:rPr>
        <w:t>封套格式</w:t>
      </w:r>
      <w:r>
        <w:rPr>
          <w:sz w:val="24"/>
        </w:rPr>
        <w:t>如下：</w:t>
      </w:r>
    </w:p>
    <w:tbl>
      <w:tblPr>
        <w:tblStyle w:val="5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0CCDA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1E09EF23">
            <w:pPr>
              <w:spacing w:beforeLines="50" w:afterLines="100"/>
              <w:jc w:val="center"/>
              <w:rPr>
                <w:rFonts w:eastAsia="黑体"/>
                <w:sz w:val="32"/>
                <w:szCs w:val="32"/>
                <w:u w:val="single"/>
              </w:rPr>
            </w:pPr>
          </w:p>
          <w:p w14:paraId="509AAB57">
            <w:pPr>
              <w:jc w:val="center"/>
              <w:rPr>
                <w:rFonts w:eastAsia="黑体"/>
                <w:sz w:val="32"/>
                <w:szCs w:val="32"/>
              </w:rPr>
            </w:pPr>
            <w:r>
              <w:rPr>
                <w:rFonts w:hint="eastAsia" w:eastAsia="黑体"/>
                <w:sz w:val="32"/>
                <w:szCs w:val="32"/>
              </w:rPr>
              <w:t>江苏省广电有线信息网络股份有限公司</w:t>
            </w:r>
          </w:p>
          <w:p w14:paraId="26DEE239">
            <w:pPr>
              <w:jc w:val="center"/>
              <w:rPr>
                <w:rFonts w:eastAsia="黑体"/>
                <w:sz w:val="32"/>
                <w:szCs w:val="32"/>
              </w:rPr>
            </w:pPr>
            <w:r>
              <w:rPr>
                <w:rFonts w:hint="eastAsia" w:eastAsia="黑体"/>
                <w:sz w:val="32"/>
                <w:szCs w:val="32"/>
              </w:rPr>
              <w:t>云态势感知探针扩容采购项目</w:t>
            </w:r>
          </w:p>
          <w:p w14:paraId="60B39ED3">
            <w:pPr>
              <w:jc w:val="center"/>
              <w:rPr>
                <w:rFonts w:eastAsia="黑体"/>
                <w:sz w:val="28"/>
                <w:szCs w:val="28"/>
                <w:u w:val="single"/>
              </w:rPr>
            </w:pPr>
          </w:p>
          <w:p w14:paraId="3D0D89A8">
            <w:pPr>
              <w:spacing w:beforeLines="100" w:afterLines="100"/>
              <w:jc w:val="center"/>
              <w:rPr>
                <w:rFonts w:eastAsia="黑体"/>
                <w:sz w:val="52"/>
                <w:szCs w:val="36"/>
              </w:rPr>
            </w:pPr>
          </w:p>
          <w:p w14:paraId="0062B95D">
            <w:pPr>
              <w:jc w:val="center"/>
              <w:rPr>
                <w:rFonts w:eastAsia="黑体"/>
                <w:sz w:val="52"/>
                <w:szCs w:val="36"/>
              </w:rPr>
            </w:pPr>
            <w:r>
              <w:rPr>
                <w:rFonts w:hint="eastAsia" w:eastAsia="黑体"/>
                <w:sz w:val="52"/>
                <w:szCs w:val="36"/>
              </w:rPr>
              <w:t>响应文件电子版</w:t>
            </w:r>
          </w:p>
          <w:p w14:paraId="10B2A3F0">
            <w:pPr>
              <w:spacing w:after="120"/>
              <w:jc w:val="center"/>
              <w:rPr>
                <w:rFonts w:eastAsia="PMingLiU"/>
                <w:sz w:val="36"/>
                <w:szCs w:val="36"/>
                <w:lang w:val="zh-TW" w:eastAsia="zh-TW"/>
              </w:rPr>
            </w:pPr>
            <w:r>
              <w:rPr>
                <w:rFonts w:hint="eastAsia" w:eastAsia="黑体"/>
                <w:sz w:val="28"/>
                <w:szCs w:val="28"/>
              </w:rPr>
              <w:t>（开标时间以前不得开封）</w:t>
            </w:r>
          </w:p>
          <w:p w14:paraId="27DBFBFF">
            <w:pPr>
              <w:jc w:val="center"/>
              <w:rPr>
                <w:rFonts w:eastAsia="黑体"/>
                <w:b/>
                <w:bCs/>
                <w:sz w:val="44"/>
                <w:szCs w:val="44"/>
                <w:lang w:eastAsia="zh-TW"/>
              </w:rPr>
            </w:pPr>
          </w:p>
          <w:p w14:paraId="4FC5F91A">
            <w:pPr>
              <w:spacing w:beforeLines="100" w:afterLines="100"/>
              <w:jc w:val="center"/>
              <w:rPr>
                <w:rFonts w:eastAsia="黑体"/>
                <w:sz w:val="52"/>
                <w:szCs w:val="36"/>
              </w:rPr>
            </w:pPr>
          </w:p>
          <w:p w14:paraId="6AABD798">
            <w:pPr>
              <w:spacing w:line="360" w:lineRule="auto"/>
              <w:jc w:val="center"/>
              <w:rPr>
                <w:rFonts w:eastAsia="黑体"/>
                <w:sz w:val="24"/>
              </w:rPr>
            </w:pPr>
            <w:r>
              <w:rPr>
                <w:rFonts w:hint="eastAsia" w:eastAsia="黑体"/>
                <w:sz w:val="24"/>
              </w:rPr>
              <w:t>供应商</w:t>
            </w:r>
            <w:r>
              <w:rPr>
                <w:rFonts w:eastAsia="黑体"/>
                <w:sz w:val="24"/>
              </w:rPr>
              <w:t>：（盖单位章）</w:t>
            </w:r>
          </w:p>
          <w:p w14:paraId="66F03BBB">
            <w:pPr>
              <w:spacing w:line="360" w:lineRule="auto"/>
              <w:jc w:val="center"/>
              <w:rPr>
                <w:rFonts w:eastAsia="黑体"/>
                <w:sz w:val="24"/>
              </w:rPr>
            </w:pPr>
            <w:r>
              <w:rPr>
                <w:rFonts w:eastAsia="黑体"/>
                <w:sz w:val="24"/>
              </w:rPr>
              <w:t>法定代表人或其委托的代理人：（签字）</w:t>
            </w:r>
          </w:p>
          <w:p w14:paraId="45642A5B">
            <w:pPr>
              <w:spacing w:line="360" w:lineRule="auto"/>
              <w:ind w:firstLine="1440" w:firstLineChars="600"/>
              <w:rPr>
                <w:rFonts w:eastAsia="黑体"/>
                <w:sz w:val="24"/>
                <w:u w:val="single"/>
              </w:rPr>
            </w:pPr>
            <w:r>
              <w:rPr>
                <w:rFonts w:hint="eastAsia" w:eastAsia="黑体"/>
                <w:sz w:val="24"/>
              </w:rPr>
              <w:t>供应商</w:t>
            </w:r>
            <w:r>
              <w:rPr>
                <w:rFonts w:eastAsia="黑体"/>
                <w:sz w:val="24"/>
              </w:rPr>
              <w:t>地址：</w:t>
            </w:r>
          </w:p>
          <w:p w14:paraId="3DF2F80E">
            <w:pPr>
              <w:spacing w:afterLines="200"/>
              <w:ind w:firstLine="3000" w:firstLineChars="1250"/>
              <w:rPr>
                <w:kern w:val="11"/>
              </w:rPr>
            </w:pPr>
            <w:r>
              <w:rPr>
                <w:rFonts w:eastAsia="黑体"/>
                <w:sz w:val="24"/>
              </w:rPr>
              <w:t>年月日</w:t>
            </w:r>
          </w:p>
        </w:tc>
      </w:tr>
    </w:tbl>
    <w:p w14:paraId="12F1CEAC">
      <w:pPr>
        <w:rPr>
          <w:kern w:val="11"/>
          <w:sz w:val="24"/>
        </w:rPr>
      </w:pPr>
    </w:p>
    <w:p w14:paraId="2C0C95FA">
      <w:pPr>
        <w:widowControl/>
        <w:jc w:val="left"/>
        <w:rPr>
          <w:kern w:val="11"/>
          <w:sz w:val="24"/>
        </w:rPr>
      </w:pPr>
      <w:r>
        <w:rPr>
          <w:kern w:val="11"/>
          <w:sz w:val="24"/>
        </w:rPr>
        <w:br w:type="page"/>
      </w:r>
    </w:p>
    <w:p w14:paraId="6B6630B1">
      <w:pPr>
        <w:widowControl/>
        <w:jc w:val="left"/>
        <w:rPr>
          <w:rFonts w:eastAsia="黑体"/>
          <w:bCs/>
          <w:kern w:val="44"/>
          <w:sz w:val="30"/>
          <w:szCs w:val="44"/>
        </w:rPr>
      </w:pPr>
      <w:r>
        <w:rPr>
          <w:rFonts w:hint="eastAsia"/>
          <w:kern w:val="11"/>
          <w:sz w:val="24"/>
        </w:rPr>
        <w:t>响应</w:t>
      </w:r>
      <w:r>
        <w:rPr>
          <w:kern w:val="11"/>
          <w:sz w:val="24"/>
        </w:rPr>
        <w:t>文件</w:t>
      </w:r>
      <w:r>
        <w:rPr>
          <w:rFonts w:hint="eastAsia"/>
          <w:kern w:val="11"/>
          <w:sz w:val="24"/>
        </w:rPr>
        <w:t>封口格式</w:t>
      </w:r>
    </w:p>
    <w:tbl>
      <w:tblPr>
        <w:tblStyle w:val="6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003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14:paraId="03D97CB9">
            <w:pPr>
              <w:spacing w:line="360" w:lineRule="auto"/>
              <w:jc w:val="center"/>
            </w:pPr>
            <w:r>
              <w:rPr>
                <w:b/>
                <w:bCs/>
                <w:kern w:val="11"/>
                <w:sz w:val="24"/>
              </w:rPr>
              <w:t>--------------</w:t>
            </w:r>
            <w:r>
              <w:rPr>
                <w:rFonts w:ascii="黑体" w:hAnsi="黑体" w:eastAsia="黑体"/>
                <w:bCs/>
                <w:kern w:val="11"/>
                <w:sz w:val="24"/>
              </w:rPr>
              <w:t xml:space="preserve">于    年  月  日  </w:t>
            </w:r>
            <w:r>
              <w:rPr>
                <w:rFonts w:hint="eastAsia" w:ascii="黑体" w:hAnsi="黑体" w:eastAsia="黑体"/>
                <w:bCs/>
                <w:kern w:val="11"/>
                <w:sz w:val="24"/>
              </w:rPr>
              <w:t>时  分</w:t>
            </w:r>
            <w:r>
              <w:rPr>
                <w:rFonts w:ascii="黑体" w:hAnsi="黑体" w:eastAsia="黑体"/>
                <w:bCs/>
                <w:kern w:val="11"/>
                <w:sz w:val="24"/>
              </w:rPr>
              <w:t>之前不准启封（公章）</w:t>
            </w:r>
            <w:r>
              <w:rPr>
                <w:b/>
                <w:bCs/>
                <w:kern w:val="11"/>
                <w:sz w:val="24"/>
              </w:rPr>
              <w:t>----------------</w:t>
            </w:r>
          </w:p>
        </w:tc>
      </w:tr>
    </w:tbl>
    <w:p w14:paraId="49D21090"/>
    <w:p w14:paraId="598F1478">
      <w:pPr>
        <w:pStyle w:val="223"/>
        <w:ind w:firstLine="0" w:firstLineChars="0"/>
      </w:pPr>
    </w:p>
    <w:sectPr>
      <w:headerReference r:id="rId5" w:type="default"/>
      <w:footerReference r:id="rId6" w:type="default"/>
      <w:pgSz w:w="12240" w:h="15840"/>
      <w:pgMar w:top="1418" w:right="1418" w:bottom="1418" w:left="1418"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ˎ̥">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Beijing">
    <w:altName w:val="Segoe Print"/>
    <w:panose1 w:val="00000000000000000000"/>
    <w:charset w:val="00"/>
    <w:family w:val="auto"/>
    <w:pitch w:val="default"/>
    <w:sig w:usb0="00000000" w:usb1="00000000" w:usb2="00000000" w:usb3="00000000" w:csb0="00000000" w:csb1="0000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全真中明體">
    <w:altName w:val="MingLiU-ExtB"/>
    <w:panose1 w:val="00000000000000000000"/>
    <w:charset w:val="88"/>
    <w:family w:val="auto"/>
    <w:pitch w:val="default"/>
    <w:sig w:usb0="00000000" w:usb1="00000000" w:usb2="00000010" w:usb3="00000000" w:csb0="00100000"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09C9">
    <w:pPr>
      <w:pStyle w:val="35"/>
      <w:jc w:val="center"/>
    </w:pPr>
    <w:r>
      <w:pict>
        <v:shape id="文本框 101377" o:spid="_x0000_s2049"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qRS7NAAAAADAQAADwAAAAAAAAABACAAAAAi&#10;AAAAZHJzL2Rvd25yZXYueG1sUEsBAhQAFAAAAAgAh07iQJdjqDISAgAAFQQAAA4AAAAAAAAAAQAg&#10;AAAAHwEAAGRycy9lMm9Eb2MueG1sUEsFBgAAAAAGAAYAWQEAAKMFAAAAAA==&#10;">
          <v:path/>
          <v:fill on="f" focussize="0,0"/>
          <v:stroke on="f" joinstyle="miter"/>
          <v:imagedata o:title=""/>
          <o:lock v:ext="edit"/>
          <v:textbox inset="0mm,0mm,0mm,0mm" style="mso-fit-shape-to-text:t;">
            <w:txbxContent>
              <w:p w14:paraId="524A55DA">
                <w:pPr>
                  <w:pStyle w:val="35"/>
                </w:pPr>
                <w:r>
                  <w:fldChar w:fldCharType="begin"/>
                </w:r>
                <w:r>
                  <w:instrText xml:space="preserve"> PAGE  \* MERGEFORMAT </w:instrText>
                </w:r>
                <w:r>
                  <w:fldChar w:fldCharType="separate"/>
                </w:r>
                <w:r>
                  <w:t>- 27 -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87A62">
    <w:pPr>
      <w:pStyle w:val="35"/>
      <w:jc w:val="center"/>
    </w:pPr>
    <w:r>
      <w:fldChar w:fldCharType="begin"/>
    </w:r>
    <w:r>
      <w:rPr>
        <w:rStyle w:val="64"/>
      </w:rPr>
      <w:instrText xml:space="preserve"> PAGE </w:instrText>
    </w:r>
    <w:r>
      <w:fldChar w:fldCharType="separate"/>
    </w:r>
    <w:r>
      <w:rPr>
        <w:rStyle w:val="64"/>
      </w:rPr>
      <w:t>- 32 -</w:t>
    </w:r>
    <w:r>
      <w:fldChar w:fldCharType="end"/>
    </w:r>
  </w:p>
  <w:p w14:paraId="0597E43D">
    <w:pPr>
      <w:pStyle w:val="3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D7D4F">
    <w:pPr>
      <w:pStyle w:val="36"/>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03F78">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341CB"/>
    <w:multiLevelType w:val="multilevel"/>
    <w:tmpl w:val="AEC341CB"/>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B9A6CDEF"/>
    <w:multiLevelType w:val="multilevel"/>
    <w:tmpl w:val="B9A6CDEF"/>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424"/>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42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7"/>
  </w:num>
  <w:num w:numId="3">
    <w:abstractNumId w:val="3"/>
  </w:num>
  <w:num w:numId="4">
    <w:abstractNumId w:val="1"/>
  </w:num>
  <w:num w:numId="5">
    <w:abstractNumId w:val="0"/>
  </w:num>
  <w:num w:numId="6">
    <w:abstractNumId w:val="6"/>
  </w:num>
  <w:num w:numId="7">
    <w:abstractNumId w:val="2"/>
  </w:num>
  <w:num w:numId="8">
    <w:abstractNumId w:val="5"/>
  </w:num>
  <w:num w:numId="9">
    <w:abstractNumId w:val="15"/>
  </w:num>
  <w:num w:numId="10">
    <w:abstractNumId w:val="8"/>
  </w:num>
  <w:num w:numId="11">
    <w:abstractNumId w:val="12"/>
  </w:num>
  <w:num w:numId="12">
    <w:abstractNumId w:val="10"/>
  </w:num>
  <w:num w:numId="13">
    <w:abstractNumId w:val="11"/>
  </w:num>
  <w:num w:numId="14">
    <w:abstractNumId w:val="9"/>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ZhOGFjZmY4ZmRkMTM2MWFiOGQ0NDM5NzgwMjc3M2UifQ=="/>
  </w:docVars>
  <w:rsids>
    <w:rsidRoot w:val="00172A27"/>
    <w:rsid w:val="00001A5F"/>
    <w:rsid w:val="00005307"/>
    <w:rsid w:val="00007030"/>
    <w:rsid w:val="000078B2"/>
    <w:rsid w:val="000119F5"/>
    <w:rsid w:val="0001308C"/>
    <w:rsid w:val="00013A75"/>
    <w:rsid w:val="00017FEB"/>
    <w:rsid w:val="00021323"/>
    <w:rsid w:val="00023006"/>
    <w:rsid w:val="000250E8"/>
    <w:rsid w:val="000264B2"/>
    <w:rsid w:val="00026FF0"/>
    <w:rsid w:val="00027166"/>
    <w:rsid w:val="0003317A"/>
    <w:rsid w:val="00033300"/>
    <w:rsid w:val="000334AB"/>
    <w:rsid w:val="0003648C"/>
    <w:rsid w:val="00036897"/>
    <w:rsid w:val="00037D28"/>
    <w:rsid w:val="00042D16"/>
    <w:rsid w:val="0004404D"/>
    <w:rsid w:val="00044447"/>
    <w:rsid w:val="000445E1"/>
    <w:rsid w:val="00050050"/>
    <w:rsid w:val="00051D7E"/>
    <w:rsid w:val="000537AB"/>
    <w:rsid w:val="00054BC4"/>
    <w:rsid w:val="000557EE"/>
    <w:rsid w:val="00057714"/>
    <w:rsid w:val="00062D3A"/>
    <w:rsid w:val="00065B2D"/>
    <w:rsid w:val="00066215"/>
    <w:rsid w:val="0006640C"/>
    <w:rsid w:val="000665A2"/>
    <w:rsid w:val="00067900"/>
    <w:rsid w:val="00070DDD"/>
    <w:rsid w:val="00070ECD"/>
    <w:rsid w:val="000743BB"/>
    <w:rsid w:val="00074864"/>
    <w:rsid w:val="00080C21"/>
    <w:rsid w:val="0008155E"/>
    <w:rsid w:val="00084D06"/>
    <w:rsid w:val="00085C9D"/>
    <w:rsid w:val="00086ADD"/>
    <w:rsid w:val="0009087C"/>
    <w:rsid w:val="00091797"/>
    <w:rsid w:val="00092681"/>
    <w:rsid w:val="000944CB"/>
    <w:rsid w:val="00097F1A"/>
    <w:rsid w:val="000A14B7"/>
    <w:rsid w:val="000A1B77"/>
    <w:rsid w:val="000A2F18"/>
    <w:rsid w:val="000A3AB5"/>
    <w:rsid w:val="000A65F3"/>
    <w:rsid w:val="000A68A0"/>
    <w:rsid w:val="000A746C"/>
    <w:rsid w:val="000B12DA"/>
    <w:rsid w:val="000B18EE"/>
    <w:rsid w:val="000B3A13"/>
    <w:rsid w:val="000B70A8"/>
    <w:rsid w:val="000B7F1C"/>
    <w:rsid w:val="000C09B1"/>
    <w:rsid w:val="000C2A2B"/>
    <w:rsid w:val="000C2D1B"/>
    <w:rsid w:val="000C403D"/>
    <w:rsid w:val="000C436F"/>
    <w:rsid w:val="000C4550"/>
    <w:rsid w:val="000C4A9B"/>
    <w:rsid w:val="000C6A6F"/>
    <w:rsid w:val="000D0CE2"/>
    <w:rsid w:val="000D18C7"/>
    <w:rsid w:val="000D3CB7"/>
    <w:rsid w:val="000D5859"/>
    <w:rsid w:val="000D625C"/>
    <w:rsid w:val="000D7A66"/>
    <w:rsid w:val="000E2EFE"/>
    <w:rsid w:val="000E3144"/>
    <w:rsid w:val="000E4D11"/>
    <w:rsid w:val="000E5C2B"/>
    <w:rsid w:val="000F17F9"/>
    <w:rsid w:val="000F1914"/>
    <w:rsid w:val="000F2144"/>
    <w:rsid w:val="000F28E0"/>
    <w:rsid w:val="000F33C2"/>
    <w:rsid w:val="000F3A6F"/>
    <w:rsid w:val="000F4083"/>
    <w:rsid w:val="0010672F"/>
    <w:rsid w:val="00106854"/>
    <w:rsid w:val="00106E18"/>
    <w:rsid w:val="001075CB"/>
    <w:rsid w:val="0011113D"/>
    <w:rsid w:val="00112D20"/>
    <w:rsid w:val="00112E79"/>
    <w:rsid w:val="00114CE4"/>
    <w:rsid w:val="00117A72"/>
    <w:rsid w:val="001205E7"/>
    <w:rsid w:val="0012476A"/>
    <w:rsid w:val="001259D7"/>
    <w:rsid w:val="00126891"/>
    <w:rsid w:val="001275AC"/>
    <w:rsid w:val="00131F44"/>
    <w:rsid w:val="001330EB"/>
    <w:rsid w:val="00134CC8"/>
    <w:rsid w:val="00135011"/>
    <w:rsid w:val="00141B52"/>
    <w:rsid w:val="00142BEB"/>
    <w:rsid w:val="00142FA4"/>
    <w:rsid w:val="00145FA0"/>
    <w:rsid w:val="00146D38"/>
    <w:rsid w:val="00150B1F"/>
    <w:rsid w:val="00152171"/>
    <w:rsid w:val="001524CD"/>
    <w:rsid w:val="001526DA"/>
    <w:rsid w:val="00152DA9"/>
    <w:rsid w:val="00156063"/>
    <w:rsid w:val="00156A3D"/>
    <w:rsid w:val="001602C7"/>
    <w:rsid w:val="0016123C"/>
    <w:rsid w:val="00164A91"/>
    <w:rsid w:val="00164D43"/>
    <w:rsid w:val="0016508E"/>
    <w:rsid w:val="00165689"/>
    <w:rsid w:val="001670E3"/>
    <w:rsid w:val="00172A27"/>
    <w:rsid w:val="00176227"/>
    <w:rsid w:val="001769ED"/>
    <w:rsid w:val="00176F67"/>
    <w:rsid w:val="00177712"/>
    <w:rsid w:val="001826F2"/>
    <w:rsid w:val="00182F23"/>
    <w:rsid w:val="00185962"/>
    <w:rsid w:val="00186444"/>
    <w:rsid w:val="00186CBB"/>
    <w:rsid w:val="00193094"/>
    <w:rsid w:val="001969B0"/>
    <w:rsid w:val="001A0D15"/>
    <w:rsid w:val="001A1BCE"/>
    <w:rsid w:val="001A207E"/>
    <w:rsid w:val="001A29A2"/>
    <w:rsid w:val="001A365D"/>
    <w:rsid w:val="001A4716"/>
    <w:rsid w:val="001A619E"/>
    <w:rsid w:val="001A69D8"/>
    <w:rsid w:val="001A7E14"/>
    <w:rsid w:val="001B2169"/>
    <w:rsid w:val="001B2582"/>
    <w:rsid w:val="001B3267"/>
    <w:rsid w:val="001B345F"/>
    <w:rsid w:val="001B3B07"/>
    <w:rsid w:val="001B437D"/>
    <w:rsid w:val="001B5A13"/>
    <w:rsid w:val="001B5A4B"/>
    <w:rsid w:val="001C2C3F"/>
    <w:rsid w:val="001C770D"/>
    <w:rsid w:val="001C7AB8"/>
    <w:rsid w:val="001D0A91"/>
    <w:rsid w:val="001D482A"/>
    <w:rsid w:val="001D4DFD"/>
    <w:rsid w:val="001E11F3"/>
    <w:rsid w:val="001E3F03"/>
    <w:rsid w:val="001E622A"/>
    <w:rsid w:val="001E6ED2"/>
    <w:rsid w:val="001E78D6"/>
    <w:rsid w:val="001F3596"/>
    <w:rsid w:val="001F420D"/>
    <w:rsid w:val="001F4FC5"/>
    <w:rsid w:val="001F6B0E"/>
    <w:rsid w:val="002017FB"/>
    <w:rsid w:val="0020181A"/>
    <w:rsid w:val="00204480"/>
    <w:rsid w:val="00205000"/>
    <w:rsid w:val="00206E23"/>
    <w:rsid w:val="00207D42"/>
    <w:rsid w:val="00211EF2"/>
    <w:rsid w:val="00214DCF"/>
    <w:rsid w:val="0021713E"/>
    <w:rsid w:val="002208EA"/>
    <w:rsid w:val="002242C8"/>
    <w:rsid w:val="00225C9B"/>
    <w:rsid w:val="00226A86"/>
    <w:rsid w:val="00230686"/>
    <w:rsid w:val="00233473"/>
    <w:rsid w:val="0023440B"/>
    <w:rsid w:val="00235991"/>
    <w:rsid w:val="00236738"/>
    <w:rsid w:val="00237EA0"/>
    <w:rsid w:val="002416C9"/>
    <w:rsid w:val="00242AEA"/>
    <w:rsid w:val="0024318C"/>
    <w:rsid w:val="00244144"/>
    <w:rsid w:val="002448F8"/>
    <w:rsid w:val="00246563"/>
    <w:rsid w:val="00246981"/>
    <w:rsid w:val="00246E97"/>
    <w:rsid w:val="002500EE"/>
    <w:rsid w:val="00250E58"/>
    <w:rsid w:val="00251257"/>
    <w:rsid w:val="002519BE"/>
    <w:rsid w:val="0025522C"/>
    <w:rsid w:val="00255C31"/>
    <w:rsid w:val="0025708E"/>
    <w:rsid w:val="002570A1"/>
    <w:rsid w:val="0026073C"/>
    <w:rsid w:val="002616DC"/>
    <w:rsid w:val="00261B48"/>
    <w:rsid w:val="00264127"/>
    <w:rsid w:val="00264D8A"/>
    <w:rsid w:val="00265E7D"/>
    <w:rsid w:val="0026784B"/>
    <w:rsid w:val="00270B91"/>
    <w:rsid w:val="00271E3B"/>
    <w:rsid w:val="002749B2"/>
    <w:rsid w:val="00274ECE"/>
    <w:rsid w:val="00275CC5"/>
    <w:rsid w:val="00276BEF"/>
    <w:rsid w:val="00276BF0"/>
    <w:rsid w:val="00277129"/>
    <w:rsid w:val="00280773"/>
    <w:rsid w:val="00280FFA"/>
    <w:rsid w:val="00283A26"/>
    <w:rsid w:val="002848AA"/>
    <w:rsid w:val="00286ED4"/>
    <w:rsid w:val="00292781"/>
    <w:rsid w:val="00292EBD"/>
    <w:rsid w:val="00297AA5"/>
    <w:rsid w:val="002A2217"/>
    <w:rsid w:val="002A5A8C"/>
    <w:rsid w:val="002A72F1"/>
    <w:rsid w:val="002A7C2B"/>
    <w:rsid w:val="002A7F87"/>
    <w:rsid w:val="002B1414"/>
    <w:rsid w:val="002B2032"/>
    <w:rsid w:val="002B235D"/>
    <w:rsid w:val="002B375D"/>
    <w:rsid w:val="002B3C37"/>
    <w:rsid w:val="002B562D"/>
    <w:rsid w:val="002B5A4D"/>
    <w:rsid w:val="002B769D"/>
    <w:rsid w:val="002B7EB6"/>
    <w:rsid w:val="002C201C"/>
    <w:rsid w:val="002C2392"/>
    <w:rsid w:val="002C2F47"/>
    <w:rsid w:val="002D0141"/>
    <w:rsid w:val="002D01CA"/>
    <w:rsid w:val="002D3B55"/>
    <w:rsid w:val="002E1391"/>
    <w:rsid w:val="002E322E"/>
    <w:rsid w:val="002E347E"/>
    <w:rsid w:val="002E4EBF"/>
    <w:rsid w:val="002E507E"/>
    <w:rsid w:val="002E625E"/>
    <w:rsid w:val="002E7D9E"/>
    <w:rsid w:val="002F30BD"/>
    <w:rsid w:val="002F3722"/>
    <w:rsid w:val="002F45DB"/>
    <w:rsid w:val="002F51E6"/>
    <w:rsid w:val="002F63B0"/>
    <w:rsid w:val="00300A33"/>
    <w:rsid w:val="00302905"/>
    <w:rsid w:val="00306E0E"/>
    <w:rsid w:val="00307167"/>
    <w:rsid w:val="00312045"/>
    <w:rsid w:val="00312465"/>
    <w:rsid w:val="00313482"/>
    <w:rsid w:val="00314693"/>
    <w:rsid w:val="0032016B"/>
    <w:rsid w:val="00324A7F"/>
    <w:rsid w:val="00325950"/>
    <w:rsid w:val="00326ACF"/>
    <w:rsid w:val="00330B1A"/>
    <w:rsid w:val="00331789"/>
    <w:rsid w:val="00331A95"/>
    <w:rsid w:val="003326D8"/>
    <w:rsid w:val="003349B2"/>
    <w:rsid w:val="00335865"/>
    <w:rsid w:val="00340B57"/>
    <w:rsid w:val="00344A69"/>
    <w:rsid w:val="00344D27"/>
    <w:rsid w:val="00344F82"/>
    <w:rsid w:val="00346FE2"/>
    <w:rsid w:val="0034775F"/>
    <w:rsid w:val="00351230"/>
    <w:rsid w:val="00351A95"/>
    <w:rsid w:val="003521ED"/>
    <w:rsid w:val="00352D0A"/>
    <w:rsid w:val="00354269"/>
    <w:rsid w:val="00357ACA"/>
    <w:rsid w:val="00361690"/>
    <w:rsid w:val="00363D1B"/>
    <w:rsid w:val="00363D3A"/>
    <w:rsid w:val="003641D1"/>
    <w:rsid w:val="003647B9"/>
    <w:rsid w:val="003672EA"/>
    <w:rsid w:val="00370447"/>
    <w:rsid w:val="00371637"/>
    <w:rsid w:val="003731F9"/>
    <w:rsid w:val="00377A97"/>
    <w:rsid w:val="00381E29"/>
    <w:rsid w:val="00382D58"/>
    <w:rsid w:val="0038315E"/>
    <w:rsid w:val="0038459A"/>
    <w:rsid w:val="00385EC9"/>
    <w:rsid w:val="00386009"/>
    <w:rsid w:val="00386D35"/>
    <w:rsid w:val="00387634"/>
    <w:rsid w:val="00390B2B"/>
    <w:rsid w:val="003A0828"/>
    <w:rsid w:val="003A2986"/>
    <w:rsid w:val="003A69E5"/>
    <w:rsid w:val="003B2D91"/>
    <w:rsid w:val="003B466B"/>
    <w:rsid w:val="003B6869"/>
    <w:rsid w:val="003B7010"/>
    <w:rsid w:val="003B7E3F"/>
    <w:rsid w:val="003C1429"/>
    <w:rsid w:val="003C19C5"/>
    <w:rsid w:val="003C24D1"/>
    <w:rsid w:val="003C3E9B"/>
    <w:rsid w:val="003C6E53"/>
    <w:rsid w:val="003C749A"/>
    <w:rsid w:val="003C797A"/>
    <w:rsid w:val="003C79CD"/>
    <w:rsid w:val="003C7D2E"/>
    <w:rsid w:val="003D0D69"/>
    <w:rsid w:val="003D28E3"/>
    <w:rsid w:val="003D5F02"/>
    <w:rsid w:val="003D7D86"/>
    <w:rsid w:val="003E0754"/>
    <w:rsid w:val="003E3140"/>
    <w:rsid w:val="003F0013"/>
    <w:rsid w:val="003F0ADD"/>
    <w:rsid w:val="003F121A"/>
    <w:rsid w:val="003F20C9"/>
    <w:rsid w:val="003F237D"/>
    <w:rsid w:val="003F3205"/>
    <w:rsid w:val="003F39FF"/>
    <w:rsid w:val="003F4103"/>
    <w:rsid w:val="003F451F"/>
    <w:rsid w:val="003F6EBD"/>
    <w:rsid w:val="003F7D7E"/>
    <w:rsid w:val="00400272"/>
    <w:rsid w:val="00400FBE"/>
    <w:rsid w:val="004034BE"/>
    <w:rsid w:val="004053BD"/>
    <w:rsid w:val="004063D6"/>
    <w:rsid w:val="00407EF0"/>
    <w:rsid w:val="004134E2"/>
    <w:rsid w:val="00413A06"/>
    <w:rsid w:val="00415D7C"/>
    <w:rsid w:val="00416876"/>
    <w:rsid w:val="00422B76"/>
    <w:rsid w:val="004247BF"/>
    <w:rsid w:val="00430533"/>
    <w:rsid w:val="00430A68"/>
    <w:rsid w:val="00431F68"/>
    <w:rsid w:val="0043619E"/>
    <w:rsid w:val="0043694C"/>
    <w:rsid w:val="004409B0"/>
    <w:rsid w:val="00441004"/>
    <w:rsid w:val="00444058"/>
    <w:rsid w:val="00445425"/>
    <w:rsid w:val="00446F71"/>
    <w:rsid w:val="00450749"/>
    <w:rsid w:val="00451174"/>
    <w:rsid w:val="0045256C"/>
    <w:rsid w:val="00453221"/>
    <w:rsid w:val="00454A80"/>
    <w:rsid w:val="004567C3"/>
    <w:rsid w:val="00461DB5"/>
    <w:rsid w:val="00470422"/>
    <w:rsid w:val="00472775"/>
    <w:rsid w:val="00473F85"/>
    <w:rsid w:val="00476B2A"/>
    <w:rsid w:val="00482C4A"/>
    <w:rsid w:val="00483AC6"/>
    <w:rsid w:val="0048454E"/>
    <w:rsid w:val="0048523D"/>
    <w:rsid w:val="00485F38"/>
    <w:rsid w:val="00490299"/>
    <w:rsid w:val="004921A5"/>
    <w:rsid w:val="00492CA8"/>
    <w:rsid w:val="0049512B"/>
    <w:rsid w:val="0049553D"/>
    <w:rsid w:val="004A3C59"/>
    <w:rsid w:val="004A5A80"/>
    <w:rsid w:val="004B0058"/>
    <w:rsid w:val="004B156D"/>
    <w:rsid w:val="004B262E"/>
    <w:rsid w:val="004B34B5"/>
    <w:rsid w:val="004B52D3"/>
    <w:rsid w:val="004B5824"/>
    <w:rsid w:val="004C0BAB"/>
    <w:rsid w:val="004C3110"/>
    <w:rsid w:val="004C5C78"/>
    <w:rsid w:val="004C607A"/>
    <w:rsid w:val="004D00FF"/>
    <w:rsid w:val="004D1A8C"/>
    <w:rsid w:val="004D2413"/>
    <w:rsid w:val="004D37F5"/>
    <w:rsid w:val="004D40F3"/>
    <w:rsid w:val="004D4517"/>
    <w:rsid w:val="004D7470"/>
    <w:rsid w:val="004E0E91"/>
    <w:rsid w:val="004E1057"/>
    <w:rsid w:val="004E2D3B"/>
    <w:rsid w:val="004E2EFF"/>
    <w:rsid w:val="004E4FD6"/>
    <w:rsid w:val="004E76B8"/>
    <w:rsid w:val="004F027C"/>
    <w:rsid w:val="004F0D54"/>
    <w:rsid w:val="004F150D"/>
    <w:rsid w:val="004F195D"/>
    <w:rsid w:val="004F24E1"/>
    <w:rsid w:val="004F2CFD"/>
    <w:rsid w:val="004F2FFD"/>
    <w:rsid w:val="004F334A"/>
    <w:rsid w:val="004F4D65"/>
    <w:rsid w:val="004F553C"/>
    <w:rsid w:val="004F59F5"/>
    <w:rsid w:val="004F617A"/>
    <w:rsid w:val="004F6DE3"/>
    <w:rsid w:val="00501B39"/>
    <w:rsid w:val="005022A2"/>
    <w:rsid w:val="00511E51"/>
    <w:rsid w:val="00513FA4"/>
    <w:rsid w:val="00516B79"/>
    <w:rsid w:val="005177FD"/>
    <w:rsid w:val="00517E0C"/>
    <w:rsid w:val="005208A8"/>
    <w:rsid w:val="00521322"/>
    <w:rsid w:val="00522A49"/>
    <w:rsid w:val="00522C60"/>
    <w:rsid w:val="00523F11"/>
    <w:rsid w:val="005247A1"/>
    <w:rsid w:val="00524FBE"/>
    <w:rsid w:val="00525136"/>
    <w:rsid w:val="00526DA6"/>
    <w:rsid w:val="0052793E"/>
    <w:rsid w:val="005301F1"/>
    <w:rsid w:val="00530ACD"/>
    <w:rsid w:val="005316DB"/>
    <w:rsid w:val="00531947"/>
    <w:rsid w:val="005319EB"/>
    <w:rsid w:val="00531D4E"/>
    <w:rsid w:val="00534D99"/>
    <w:rsid w:val="0053686C"/>
    <w:rsid w:val="005431EA"/>
    <w:rsid w:val="005434AB"/>
    <w:rsid w:val="00543E4F"/>
    <w:rsid w:val="00545E9D"/>
    <w:rsid w:val="005467B4"/>
    <w:rsid w:val="00550252"/>
    <w:rsid w:val="005518B6"/>
    <w:rsid w:val="00552A38"/>
    <w:rsid w:val="00552C1F"/>
    <w:rsid w:val="00552D5C"/>
    <w:rsid w:val="00554C7C"/>
    <w:rsid w:val="0055624B"/>
    <w:rsid w:val="00556AE1"/>
    <w:rsid w:val="00557DDE"/>
    <w:rsid w:val="0056149D"/>
    <w:rsid w:val="005635F4"/>
    <w:rsid w:val="0056719B"/>
    <w:rsid w:val="0057369A"/>
    <w:rsid w:val="00573BEC"/>
    <w:rsid w:val="00575B52"/>
    <w:rsid w:val="00575D8C"/>
    <w:rsid w:val="00581D16"/>
    <w:rsid w:val="00587A55"/>
    <w:rsid w:val="00587E78"/>
    <w:rsid w:val="00592A3E"/>
    <w:rsid w:val="005932F7"/>
    <w:rsid w:val="00594CA6"/>
    <w:rsid w:val="00595D25"/>
    <w:rsid w:val="0059630A"/>
    <w:rsid w:val="00597C89"/>
    <w:rsid w:val="005A3822"/>
    <w:rsid w:val="005A5EE2"/>
    <w:rsid w:val="005A7FBB"/>
    <w:rsid w:val="005B10F5"/>
    <w:rsid w:val="005B26B9"/>
    <w:rsid w:val="005B4923"/>
    <w:rsid w:val="005B5174"/>
    <w:rsid w:val="005C004B"/>
    <w:rsid w:val="005C4C85"/>
    <w:rsid w:val="005C4F3F"/>
    <w:rsid w:val="005C5E80"/>
    <w:rsid w:val="005D0715"/>
    <w:rsid w:val="005D118F"/>
    <w:rsid w:val="005D11F5"/>
    <w:rsid w:val="005D2FB7"/>
    <w:rsid w:val="005D3465"/>
    <w:rsid w:val="005D46CB"/>
    <w:rsid w:val="005D4E2A"/>
    <w:rsid w:val="005D50A3"/>
    <w:rsid w:val="005E03C3"/>
    <w:rsid w:val="005E0D2E"/>
    <w:rsid w:val="005E473E"/>
    <w:rsid w:val="005E7FF7"/>
    <w:rsid w:val="005F1E7A"/>
    <w:rsid w:val="005F2106"/>
    <w:rsid w:val="005F2F32"/>
    <w:rsid w:val="005F4886"/>
    <w:rsid w:val="005F4A16"/>
    <w:rsid w:val="00600EF8"/>
    <w:rsid w:val="00603D3F"/>
    <w:rsid w:val="00604458"/>
    <w:rsid w:val="00605215"/>
    <w:rsid w:val="00606DEC"/>
    <w:rsid w:val="006100F3"/>
    <w:rsid w:val="00611E41"/>
    <w:rsid w:val="0061266C"/>
    <w:rsid w:val="00621097"/>
    <w:rsid w:val="00621FAE"/>
    <w:rsid w:val="00624218"/>
    <w:rsid w:val="0062474C"/>
    <w:rsid w:val="00624E36"/>
    <w:rsid w:val="00627F1F"/>
    <w:rsid w:val="00631792"/>
    <w:rsid w:val="00633508"/>
    <w:rsid w:val="0063453C"/>
    <w:rsid w:val="00635B36"/>
    <w:rsid w:val="00636391"/>
    <w:rsid w:val="00636CF3"/>
    <w:rsid w:val="00636E59"/>
    <w:rsid w:val="00641F33"/>
    <w:rsid w:val="006426C8"/>
    <w:rsid w:val="0064273C"/>
    <w:rsid w:val="00644133"/>
    <w:rsid w:val="00645E7B"/>
    <w:rsid w:val="006462B0"/>
    <w:rsid w:val="00646476"/>
    <w:rsid w:val="0065009E"/>
    <w:rsid w:val="006502D7"/>
    <w:rsid w:val="00652752"/>
    <w:rsid w:val="00654E39"/>
    <w:rsid w:val="006555E7"/>
    <w:rsid w:val="00663513"/>
    <w:rsid w:val="00663799"/>
    <w:rsid w:val="006679A8"/>
    <w:rsid w:val="006704DD"/>
    <w:rsid w:val="00673262"/>
    <w:rsid w:val="00674E7D"/>
    <w:rsid w:val="00675971"/>
    <w:rsid w:val="00675C9C"/>
    <w:rsid w:val="0068093B"/>
    <w:rsid w:val="00680CE1"/>
    <w:rsid w:val="006834BE"/>
    <w:rsid w:val="00691F07"/>
    <w:rsid w:val="00693B27"/>
    <w:rsid w:val="00697EF5"/>
    <w:rsid w:val="006A1AE3"/>
    <w:rsid w:val="006A4EDE"/>
    <w:rsid w:val="006A5A2B"/>
    <w:rsid w:val="006A6347"/>
    <w:rsid w:val="006A75DD"/>
    <w:rsid w:val="006B034E"/>
    <w:rsid w:val="006B0C8A"/>
    <w:rsid w:val="006B154C"/>
    <w:rsid w:val="006B201C"/>
    <w:rsid w:val="006B3726"/>
    <w:rsid w:val="006B4024"/>
    <w:rsid w:val="006B633C"/>
    <w:rsid w:val="006B79C4"/>
    <w:rsid w:val="006B7C21"/>
    <w:rsid w:val="006C0040"/>
    <w:rsid w:val="006C2C85"/>
    <w:rsid w:val="006C55D8"/>
    <w:rsid w:val="006C6F45"/>
    <w:rsid w:val="006D33DB"/>
    <w:rsid w:val="006E126D"/>
    <w:rsid w:val="006E4A72"/>
    <w:rsid w:val="006E514C"/>
    <w:rsid w:val="006F0397"/>
    <w:rsid w:val="006F2B22"/>
    <w:rsid w:val="006F46E7"/>
    <w:rsid w:val="006F5868"/>
    <w:rsid w:val="00700887"/>
    <w:rsid w:val="00702480"/>
    <w:rsid w:val="00703CBA"/>
    <w:rsid w:val="00703CFF"/>
    <w:rsid w:val="0070617E"/>
    <w:rsid w:val="00706D2F"/>
    <w:rsid w:val="00710824"/>
    <w:rsid w:val="00714C56"/>
    <w:rsid w:val="007170C2"/>
    <w:rsid w:val="00720103"/>
    <w:rsid w:val="00721DB0"/>
    <w:rsid w:val="00723A75"/>
    <w:rsid w:val="00723EE0"/>
    <w:rsid w:val="00725AA4"/>
    <w:rsid w:val="00726703"/>
    <w:rsid w:val="0073075D"/>
    <w:rsid w:val="007307EC"/>
    <w:rsid w:val="0073145A"/>
    <w:rsid w:val="0074289C"/>
    <w:rsid w:val="00743433"/>
    <w:rsid w:val="0074534A"/>
    <w:rsid w:val="00745670"/>
    <w:rsid w:val="00746F2F"/>
    <w:rsid w:val="00752668"/>
    <w:rsid w:val="00752A1E"/>
    <w:rsid w:val="00757037"/>
    <w:rsid w:val="00760873"/>
    <w:rsid w:val="007633EF"/>
    <w:rsid w:val="00763417"/>
    <w:rsid w:val="0076556F"/>
    <w:rsid w:val="00767DC1"/>
    <w:rsid w:val="00770779"/>
    <w:rsid w:val="00773220"/>
    <w:rsid w:val="00774237"/>
    <w:rsid w:val="007829B5"/>
    <w:rsid w:val="0078367D"/>
    <w:rsid w:val="00783C2B"/>
    <w:rsid w:val="007847B1"/>
    <w:rsid w:val="0079272F"/>
    <w:rsid w:val="00792977"/>
    <w:rsid w:val="00795217"/>
    <w:rsid w:val="00796351"/>
    <w:rsid w:val="00796F21"/>
    <w:rsid w:val="00797CAD"/>
    <w:rsid w:val="007A052E"/>
    <w:rsid w:val="007A0A04"/>
    <w:rsid w:val="007A18EC"/>
    <w:rsid w:val="007A1CCA"/>
    <w:rsid w:val="007A2848"/>
    <w:rsid w:val="007B0839"/>
    <w:rsid w:val="007B26D3"/>
    <w:rsid w:val="007B3B89"/>
    <w:rsid w:val="007B3CBD"/>
    <w:rsid w:val="007C09C3"/>
    <w:rsid w:val="007C203D"/>
    <w:rsid w:val="007C28A6"/>
    <w:rsid w:val="007C346F"/>
    <w:rsid w:val="007C77F1"/>
    <w:rsid w:val="007C7B9E"/>
    <w:rsid w:val="007D0FCB"/>
    <w:rsid w:val="007D1EC3"/>
    <w:rsid w:val="007D2A6E"/>
    <w:rsid w:val="007D7456"/>
    <w:rsid w:val="007E19B8"/>
    <w:rsid w:val="007E1BDA"/>
    <w:rsid w:val="007E2A45"/>
    <w:rsid w:val="007E358D"/>
    <w:rsid w:val="007E4173"/>
    <w:rsid w:val="007E47EB"/>
    <w:rsid w:val="007E52D5"/>
    <w:rsid w:val="007E6186"/>
    <w:rsid w:val="007E6FD9"/>
    <w:rsid w:val="007F0214"/>
    <w:rsid w:val="007F0D57"/>
    <w:rsid w:val="007F0DBF"/>
    <w:rsid w:val="007F1BC3"/>
    <w:rsid w:val="007F429B"/>
    <w:rsid w:val="007F6815"/>
    <w:rsid w:val="007F7F1F"/>
    <w:rsid w:val="00800929"/>
    <w:rsid w:val="00801627"/>
    <w:rsid w:val="00803774"/>
    <w:rsid w:val="0080428D"/>
    <w:rsid w:val="00805F7A"/>
    <w:rsid w:val="00810611"/>
    <w:rsid w:val="00810E91"/>
    <w:rsid w:val="008111F4"/>
    <w:rsid w:val="00811750"/>
    <w:rsid w:val="00813AE3"/>
    <w:rsid w:val="008202BF"/>
    <w:rsid w:val="00822B32"/>
    <w:rsid w:val="00826012"/>
    <w:rsid w:val="008276BC"/>
    <w:rsid w:val="0082784C"/>
    <w:rsid w:val="008317D3"/>
    <w:rsid w:val="00831ECB"/>
    <w:rsid w:val="008339B1"/>
    <w:rsid w:val="008375CD"/>
    <w:rsid w:val="00837FDD"/>
    <w:rsid w:val="00841361"/>
    <w:rsid w:val="00842A67"/>
    <w:rsid w:val="00842B6B"/>
    <w:rsid w:val="00843CC6"/>
    <w:rsid w:val="00844203"/>
    <w:rsid w:val="00846B28"/>
    <w:rsid w:val="00846D2A"/>
    <w:rsid w:val="00846D30"/>
    <w:rsid w:val="0084714C"/>
    <w:rsid w:val="00847A8A"/>
    <w:rsid w:val="00851482"/>
    <w:rsid w:val="0085162D"/>
    <w:rsid w:val="00852BD3"/>
    <w:rsid w:val="00852F4A"/>
    <w:rsid w:val="00853955"/>
    <w:rsid w:val="00853CFC"/>
    <w:rsid w:val="00856A90"/>
    <w:rsid w:val="0085770B"/>
    <w:rsid w:val="00857965"/>
    <w:rsid w:val="00857FCF"/>
    <w:rsid w:val="0086093E"/>
    <w:rsid w:val="008610FC"/>
    <w:rsid w:val="00861FF6"/>
    <w:rsid w:val="008633CB"/>
    <w:rsid w:val="0086683C"/>
    <w:rsid w:val="0087355D"/>
    <w:rsid w:val="008739B3"/>
    <w:rsid w:val="008749E1"/>
    <w:rsid w:val="00874CB9"/>
    <w:rsid w:val="00876F7D"/>
    <w:rsid w:val="00880C3D"/>
    <w:rsid w:val="00882121"/>
    <w:rsid w:val="008848B1"/>
    <w:rsid w:val="0088709C"/>
    <w:rsid w:val="00887EE1"/>
    <w:rsid w:val="00890731"/>
    <w:rsid w:val="0089255E"/>
    <w:rsid w:val="008A04DE"/>
    <w:rsid w:val="008A12EC"/>
    <w:rsid w:val="008A13D5"/>
    <w:rsid w:val="008A1A43"/>
    <w:rsid w:val="008A272A"/>
    <w:rsid w:val="008A2C9C"/>
    <w:rsid w:val="008A2F1F"/>
    <w:rsid w:val="008B014E"/>
    <w:rsid w:val="008B1CEC"/>
    <w:rsid w:val="008B230A"/>
    <w:rsid w:val="008B4589"/>
    <w:rsid w:val="008B51FA"/>
    <w:rsid w:val="008B6690"/>
    <w:rsid w:val="008B714B"/>
    <w:rsid w:val="008C1D7C"/>
    <w:rsid w:val="008C331B"/>
    <w:rsid w:val="008C3360"/>
    <w:rsid w:val="008C417B"/>
    <w:rsid w:val="008C5A21"/>
    <w:rsid w:val="008C71D8"/>
    <w:rsid w:val="008C76FB"/>
    <w:rsid w:val="008D03BA"/>
    <w:rsid w:val="008D15E3"/>
    <w:rsid w:val="008D278D"/>
    <w:rsid w:val="008D368B"/>
    <w:rsid w:val="008D4AF5"/>
    <w:rsid w:val="008D6D17"/>
    <w:rsid w:val="008E1D9B"/>
    <w:rsid w:val="008E2C70"/>
    <w:rsid w:val="008E3D59"/>
    <w:rsid w:val="008E619A"/>
    <w:rsid w:val="008E6393"/>
    <w:rsid w:val="008E6519"/>
    <w:rsid w:val="008E6AE3"/>
    <w:rsid w:val="008F0A67"/>
    <w:rsid w:val="008F5AE5"/>
    <w:rsid w:val="008F5DAA"/>
    <w:rsid w:val="008F6938"/>
    <w:rsid w:val="00901D0D"/>
    <w:rsid w:val="00901E95"/>
    <w:rsid w:val="0090221B"/>
    <w:rsid w:val="0090508F"/>
    <w:rsid w:val="009058BB"/>
    <w:rsid w:val="00905D95"/>
    <w:rsid w:val="00906697"/>
    <w:rsid w:val="0090737C"/>
    <w:rsid w:val="00907E30"/>
    <w:rsid w:val="00907E3E"/>
    <w:rsid w:val="00910EAE"/>
    <w:rsid w:val="009127E5"/>
    <w:rsid w:val="00912908"/>
    <w:rsid w:val="0091436B"/>
    <w:rsid w:val="00915B19"/>
    <w:rsid w:val="009173DC"/>
    <w:rsid w:val="00917684"/>
    <w:rsid w:val="00917F31"/>
    <w:rsid w:val="009215F8"/>
    <w:rsid w:val="009230D6"/>
    <w:rsid w:val="009257A1"/>
    <w:rsid w:val="00925BDC"/>
    <w:rsid w:val="00931A83"/>
    <w:rsid w:val="00931B49"/>
    <w:rsid w:val="00931E36"/>
    <w:rsid w:val="0093432B"/>
    <w:rsid w:val="0093493E"/>
    <w:rsid w:val="00936FE9"/>
    <w:rsid w:val="00943736"/>
    <w:rsid w:val="00946489"/>
    <w:rsid w:val="009465E2"/>
    <w:rsid w:val="00947AC3"/>
    <w:rsid w:val="0095103C"/>
    <w:rsid w:val="0095216A"/>
    <w:rsid w:val="00956F72"/>
    <w:rsid w:val="00956F97"/>
    <w:rsid w:val="009579EB"/>
    <w:rsid w:val="00957D8B"/>
    <w:rsid w:val="00963964"/>
    <w:rsid w:val="00965482"/>
    <w:rsid w:val="0096630E"/>
    <w:rsid w:val="0097106E"/>
    <w:rsid w:val="00980982"/>
    <w:rsid w:val="009830A6"/>
    <w:rsid w:val="009844AA"/>
    <w:rsid w:val="00985A2C"/>
    <w:rsid w:val="00987485"/>
    <w:rsid w:val="0099052B"/>
    <w:rsid w:val="0099062F"/>
    <w:rsid w:val="00991651"/>
    <w:rsid w:val="00992993"/>
    <w:rsid w:val="00992AC7"/>
    <w:rsid w:val="00995401"/>
    <w:rsid w:val="009A088D"/>
    <w:rsid w:val="009A17BA"/>
    <w:rsid w:val="009A4E5F"/>
    <w:rsid w:val="009A4ED1"/>
    <w:rsid w:val="009A5ED5"/>
    <w:rsid w:val="009B0104"/>
    <w:rsid w:val="009B17A5"/>
    <w:rsid w:val="009B37F5"/>
    <w:rsid w:val="009C1F53"/>
    <w:rsid w:val="009C349B"/>
    <w:rsid w:val="009C3EAE"/>
    <w:rsid w:val="009C5D61"/>
    <w:rsid w:val="009C66D3"/>
    <w:rsid w:val="009C6C97"/>
    <w:rsid w:val="009C7EA0"/>
    <w:rsid w:val="009D1034"/>
    <w:rsid w:val="009D1505"/>
    <w:rsid w:val="009D3984"/>
    <w:rsid w:val="009D4DB8"/>
    <w:rsid w:val="009D5553"/>
    <w:rsid w:val="009D7525"/>
    <w:rsid w:val="009D7C1E"/>
    <w:rsid w:val="009E0A15"/>
    <w:rsid w:val="009E3985"/>
    <w:rsid w:val="009E3986"/>
    <w:rsid w:val="009E6405"/>
    <w:rsid w:val="009E66CF"/>
    <w:rsid w:val="009F1E70"/>
    <w:rsid w:val="009F2DE3"/>
    <w:rsid w:val="009F2E34"/>
    <w:rsid w:val="009F4090"/>
    <w:rsid w:val="009F5776"/>
    <w:rsid w:val="00A004C3"/>
    <w:rsid w:val="00A0632A"/>
    <w:rsid w:val="00A06EE4"/>
    <w:rsid w:val="00A07619"/>
    <w:rsid w:val="00A11F93"/>
    <w:rsid w:val="00A1291F"/>
    <w:rsid w:val="00A13182"/>
    <w:rsid w:val="00A15859"/>
    <w:rsid w:val="00A162CC"/>
    <w:rsid w:val="00A201E5"/>
    <w:rsid w:val="00A216A9"/>
    <w:rsid w:val="00A23B6A"/>
    <w:rsid w:val="00A3107A"/>
    <w:rsid w:val="00A31D79"/>
    <w:rsid w:val="00A32585"/>
    <w:rsid w:val="00A326AB"/>
    <w:rsid w:val="00A340DA"/>
    <w:rsid w:val="00A3590D"/>
    <w:rsid w:val="00A45B4A"/>
    <w:rsid w:val="00A46B69"/>
    <w:rsid w:val="00A53B83"/>
    <w:rsid w:val="00A5405A"/>
    <w:rsid w:val="00A548A7"/>
    <w:rsid w:val="00A54A2F"/>
    <w:rsid w:val="00A60FC8"/>
    <w:rsid w:val="00A61D54"/>
    <w:rsid w:val="00A63CC0"/>
    <w:rsid w:val="00A652BE"/>
    <w:rsid w:val="00A65905"/>
    <w:rsid w:val="00A66F85"/>
    <w:rsid w:val="00A67720"/>
    <w:rsid w:val="00A70972"/>
    <w:rsid w:val="00A725E5"/>
    <w:rsid w:val="00A73657"/>
    <w:rsid w:val="00A73F9E"/>
    <w:rsid w:val="00A76741"/>
    <w:rsid w:val="00A768C2"/>
    <w:rsid w:val="00A77269"/>
    <w:rsid w:val="00A80A10"/>
    <w:rsid w:val="00A82441"/>
    <w:rsid w:val="00A84699"/>
    <w:rsid w:val="00A9056C"/>
    <w:rsid w:val="00A92378"/>
    <w:rsid w:val="00A927D0"/>
    <w:rsid w:val="00A93032"/>
    <w:rsid w:val="00A95F7A"/>
    <w:rsid w:val="00A97615"/>
    <w:rsid w:val="00AA0E2A"/>
    <w:rsid w:val="00AA1D00"/>
    <w:rsid w:val="00AA39B9"/>
    <w:rsid w:val="00AA5629"/>
    <w:rsid w:val="00AA603B"/>
    <w:rsid w:val="00AA7B27"/>
    <w:rsid w:val="00AA7B90"/>
    <w:rsid w:val="00AB57B8"/>
    <w:rsid w:val="00AB6941"/>
    <w:rsid w:val="00AB7310"/>
    <w:rsid w:val="00AC26CC"/>
    <w:rsid w:val="00AC50CF"/>
    <w:rsid w:val="00AC61D2"/>
    <w:rsid w:val="00AC6E60"/>
    <w:rsid w:val="00AD0ED7"/>
    <w:rsid w:val="00AD1222"/>
    <w:rsid w:val="00AD25D6"/>
    <w:rsid w:val="00AD5394"/>
    <w:rsid w:val="00AE06DA"/>
    <w:rsid w:val="00AE1A80"/>
    <w:rsid w:val="00AE1DEE"/>
    <w:rsid w:val="00AE256A"/>
    <w:rsid w:val="00AE3C55"/>
    <w:rsid w:val="00AE52D9"/>
    <w:rsid w:val="00AE5CE1"/>
    <w:rsid w:val="00AF18CC"/>
    <w:rsid w:val="00AF1A56"/>
    <w:rsid w:val="00AF3A50"/>
    <w:rsid w:val="00AF4143"/>
    <w:rsid w:val="00AF5126"/>
    <w:rsid w:val="00AF64A4"/>
    <w:rsid w:val="00AF7A17"/>
    <w:rsid w:val="00B00743"/>
    <w:rsid w:val="00B024B9"/>
    <w:rsid w:val="00B047B7"/>
    <w:rsid w:val="00B063EB"/>
    <w:rsid w:val="00B064C0"/>
    <w:rsid w:val="00B07884"/>
    <w:rsid w:val="00B1073F"/>
    <w:rsid w:val="00B11B07"/>
    <w:rsid w:val="00B16A76"/>
    <w:rsid w:val="00B1710D"/>
    <w:rsid w:val="00B1782E"/>
    <w:rsid w:val="00B2202D"/>
    <w:rsid w:val="00B232A7"/>
    <w:rsid w:val="00B24655"/>
    <w:rsid w:val="00B27370"/>
    <w:rsid w:val="00B27584"/>
    <w:rsid w:val="00B27B6D"/>
    <w:rsid w:val="00B3079F"/>
    <w:rsid w:val="00B326B4"/>
    <w:rsid w:val="00B32E69"/>
    <w:rsid w:val="00B3370C"/>
    <w:rsid w:val="00B356CF"/>
    <w:rsid w:val="00B371DF"/>
    <w:rsid w:val="00B4058C"/>
    <w:rsid w:val="00B40A8F"/>
    <w:rsid w:val="00B412E0"/>
    <w:rsid w:val="00B453BF"/>
    <w:rsid w:val="00B505DC"/>
    <w:rsid w:val="00B51B62"/>
    <w:rsid w:val="00B52CE3"/>
    <w:rsid w:val="00B551B6"/>
    <w:rsid w:val="00B56FED"/>
    <w:rsid w:val="00B6097D"/>
    <w:rsid w:val="00B659A6"/>
    <w:rsid w:val="00B66598"/>
    <w:rsid w:val="00B70D7A"/>
    <w:rsid w:val="00B715A6"/>
    <w:rsid w:val="00B76A70"/>
    <w:rsid w:val="00B82F24"/>
    <w:rsid w:val="00B832F9"/>
    <w:rsid w:val="00B848E2"/>
    <w:rsid w:val="00B86099"/>
    <w:rsid w:val="00B861F5"/>
    <w:rsid w:val="00B9154C"/>
    <w:rsid w:val="00B93A80"/>
    <w:rsid w:val="00B943E3"/>
    <w:rsid w:val="00BA128C"/>
    <w:rsid w:val="00BA4C62"/>
    <w:rsid w:val="00BA701D"/>
    <w:rsid w:val="00BA7D9E"/>
    <w:rsid w:val="00BB0707"/>
    <w:rsid w:val="00BB3272"/>
    <w:rsid w:val="00BB3AFC"/>
    <w:rsid w:val="00BC0B9E"/>
    <w:rsid w:val="00BC2AFE"/>
    <w:rsid w:val="00BC2D50"/>
    <w:rsid w:val="00BC4CB8"/>
    <w:rsid w:val="00BC7C8A"/>
    <w:rsid w:val="00BC7F6D"/>
    <w:rsid w:val="00BD0BC9"/>
    <w:rsid w:val="00BD3AE1"/>
    <w:rsid w:val="00BD4376"/>
    <w:rsid w:val="00BD7F78"/>
    <w:rsid w:val="00BE0694"/>
    <w:rsid w:val="00BE069A"/>
    <w:rsid w:val="00BE18CB"/>
    <w:rsid w:val="00BE3723"/>
    <w:rsid w:val="00BE37E6"/>
    <w:rsid w:val="00BE3D44"/>
    <w:rsid w:val="00BE433C"/>
    <w:rsid w:val="00BE5A43"/>
    <w:rsid w:val="00BE6F25"/>
    <w:rsid w:val="00BF4D06"/>
    <w:rsid w:val="00BF77DD"/>
    <w:rsid w:val="00BF7938"/>
    <w:rsid w:val="00C0042E"/>
    <w:rsid w:val="00C009E6"/>
    <w:rsid w:val="00C0196A"/>
    <w:rsid w:val="00C02966"/>
    <w:rsid w:val="00C07DCD"/>
    <w:rsid w:val="00C1097C"/>
    <w:rsid w:val="00C10D35"/>
    <w:rsid w:val="00C120B0"/>
    <w:rsid w:val="00C15A15"/>
    <w:rsid w:val="00C15EBF"/>
    <w:rsid w:val="00C15F28"/>
    <w:rsid w:val="00C1654C"/>
    <w:rsid w:val="00C16C98"/>
    <w:rsid w:val="00C20329"/>
    <w:rsid w:val="00C22079"/>
    <w:rsid w:val="00C2348C"/>
    <w:rsid w:val="00C24BF9"/>
    <w:rsid w:val="00C32C84"/>
    <w:rsid w:val="00C331E4"/>
    <w:rsid w:val="00C36472"/>
    <w:rsid w:val="00C40D60"/>
    <w:rsid w:val="00C44E83"/>
    <w:rsid w:val="00C46EEE"/>
    <w:rsid w:val="00C508AF"/>
    <w:rsid w:val="00C53EFA"/>
    <w:rsid w:val="00C5709E"/>
    <w:rsid w:val="00C60AB1"/>
    <w:rsid w:val="00C64024"/>
    <w:rsid w:val="00C6464B"/>
    <w:rsid w:val="00C649FA"/>
    <w:rsid w:val="00C64E89"/>
    <w:rsid w:val="00C6502C"/>
    <w:rsid w:val="00C72A7D"/>
    <w:rsid w:val="00C74B29"/>
    <w:rsid w:val="00C80C51"/>
    <w:rsid w:val="00C84588"/>
    <w:rsid w:val="00C857FE"/>
    <w:rsid w:val="00C87EA0"/>
    <w:rsid w:val="00C90B95"/>
    <w:rsid w:val="00C90D49"/>
    <w:rsid w:val="00C90D7E"/>
    <w:rsid w:val="00C93C42"/>
    <w:rsid w:val="00C93DF4"/>
    <w:rsid w:val="00C94B27"/>
    <w:rsid w:val="00C94FA6"/>
    <w:rsid w:val="00CA5F43"/>
    <w:rsid w:val="00CA6FD5"/>
    <w:rsid w:val="00CA7ABF"/>
    <w:rsid w:val="00CB6AA6"/>
    <w:rsid w:val="00CB6D72"/>
    <w:rsid w:val="00CB7206"/>
    <w:rsid w:val="00CC194E"/>
    <w:rsid w:val="00CC6F73"/>
    <w:rsid w:val="00CD16A6"/>
    <w:rsid w:val="00CD3965"/>
    <w:rsid w:val="00CD4F7B"/>
    <w:rsid w:val="00CE0335"/>
    <w:rsid w:val="00CE1D94"/>
    <w:rsid w:val="00CE24E9"/>
    <w:rsid w:val="00CE2B4A"/>
    <w:rsid w:val="00CE45B5"/>
    <w:rsid w:val="00CE6220"/>
    <w:rsid w:val="00CE6B10"/>
    <w:rsid w:val="00CE6C23"/>
    <w:rsid w:val="00CF07E8"/>
    <w:rsid w:val="00CF37DF"/>
    <w:rsid w:val="00CF5CAC"/>
    <w:rsid w:val="00CF5CFB"/>
    <w:rsid w:val="00D014B9"/>
    <w:rsid w:val="00D01A57"/>
    <w:rsid w:val="00D01CE1"/>
    <w:rsid w:val="00D05C9C"/>
    <w:rsid w:val="00D060A6"/>
    <w:rsid w:val="00D06BAF"/>
    <w:rsid w:val="00D07026"/>
    <w:rsid w:val="00D166FE"/>
    <w:rsid w:val="00D16C15"/>
    <w:rsid w:val="00D16F53"/>
    <w:rsid w:val="00D1792B"/>
    <w:rsid w:val="00D20FD7"/>
    <w:rsid w:val="00D21046"/>
    <w:rsid w:val="00D22BAE"/>
    <w:rsid w:val="00D23C9F"/>
    <w:rsid w:val="00D2556F"/>
    <w:rsid w:val="00D274E6"/>
    <w:rsid w:val="00D27A41"/>
    <w:rsid w:val="00D30962"/>
    <w:rsid w:val="00D3520C"/>
    <w:rsid w:val="00D35E98"/>
    <w:rsid w:val="00D37022"/>
    <w:rsid w:val="00D37038"/>
    <w:rsid w:val="00D4009D"/>
    <w:rsid w:val="00D420D7"/>
    <w:rsid w:val="00D45E73"/>
    <w:rsid w:val="00D468A6"/>
    <w:rsid w:val="00D52924"/>
    <w:rsid w:val="00D5423F"/>
    <w:rsid w:val="00D5630E"/>
    <w:rsid w:val="00D60288"/>
    <w:rsid w:val="00D60431"/>
    <w:rsid w:val="00D60B1C"/>
    <w:rsid w:val="00D62E5A"/>
    <w:rsid w:val="00D635D8"/>
    <w:rsid w:val="00D64041"/>
    <w:rsid w:val="00D66095"/>
    <w:rsid w:val="00D667A1"/>
    <w:rsid w:val="00D70509"/>
    <w:rsid w:val="00D72EC8"/>
    <w:rsid w:val="00D76621"/>
    <w:rsid w:val="00D76DD5"/>
    <w:rsid w:val="00D777BE"/>
    <w:rsid w:val="00D77FFA"/>
    <w:rsid w:val="00D80382"/>
    <w:rsid w:val="00D8075F"/>
    <w:rsid w:val="00D80B41"/>
    <w:rsid w:val="00D81F3E"/>
    <w:rsid w:val="00D82177"/>
    <w:rsid w:val="00D8296A"/>
    <w:rsid w:val="00D82C33"/>
    <w:rsid w:val="00D8304E"/>
    <w:rsid w:val="00D84862"/>
    <w:rsid w:val="00D906B7"/>
    <w:rsid w:val="00D90CEC"/>
    <w:rsid w:val="00D9339C"/>
    <w:rsid w:val="00D936A0"/>
    <w:rsid w:val="00D93B33"/>
    <w:rsid w:val="00D973FE"/>
    <w:rsid w:val="00DA550F"/>
    <w:rsid w:val="00DA5E5F"/>
    <w:rsid w:val="00DA7BD9"/>
    <w:rsid w:val="00DB088B"/>
    <w:rsid w:val="00DB334F"/>
    <w:rsid w:val="00DB5BFD"/>
    <w:rsid w:val="00DB61F1"/>
    <w:rsid w:val="00DD1436"/>
    <w:rsid w:val="00DD2E57"/>
    <w:rsid w:val="00DD4C0B"/>
    <w:rsid w:val="00DD4D4C"/>
    <w:rsid w:val="00DD5CD7"/>
    <w:rsid w:val="00DD6DCB"/>
    <w:rsid w:val="00DD713B"/>
    <w:rsid w:val="00DE2A65"/>
    <w:rsid w:val="00DE5CFD"/>
    <w:rsid w:val="00DE6710"/>
    <w:rsid w:val="00DE7526"/>
    <w:rsid w:val="00DF08AB"/>
    <w:rsid w:val="00DF24C5"/>
    <w:rsid w:val="00DF2E8E"/>
    <w:rsid w:val="00E01E58"/>
    <w:rsid w:val="00E03403"/>
    <w:rsid w:val="00E113D0"/>
    <w:rsid w:val="00E14C47"/>
    <w:rsid w:val="00E167C2"/>
    <w:rsid w:val="00E20217"/>
    <w:rsid w:val="00E20FD1"/>
    <w:rsid w:val="00E21C68"/>
    <w:rsid w:val="00E22E2A"/>
    <w:rsid w:val="00E2301F"/>
    <w:rsid w:val="00E2597D"/>
    <w:rsid w:val="00E259D6"/>
    <w:rsid w:val="00E25B0F"/>
    <w:rsid w:val="00E265D2"/>
    <w:rsid w:val="00E30456"/>
    <w:rsid w:val="00E31150"/>
    <w:rsid w:val="00E328E3"/>
    <w:rsid w:val="00E3552D"/>
    <w:rsid w:val="00E3556A"/>
    <w:rsid w:val="00E36706"/>
    <w:rsid w:val="00E373E7"/>
    <w:rsid w:val="00E415F6"/>
    <w:rsid w:val="00E43385"/>
    <w:rsid w:val="00E45E74"/>
    <w:rsid w:val="00E53C95"/>
    <w:rsid w:val="00E54B34"/>
    <w:rsid w:val="00E54BC7"/>
    <w:rsid w:val="00E56DA4"/>
    <w:rsid w:val="00E57417"/>
    <w:rsid w:val="00E57960"/>
    <w:rsid w:val="00E65508"/>
    <w:rsid w:val="00E6633C"/>
    <w:rsid w:val="00E670FD"/>
    <w:rsid w:val="00E7014A"/>
    <w:rsid w:val="00E70CDE"/>
    <w:rsid w:val="00E738D6"/>
    <w:rsid w:val="00E749CB"/>
    <w:rsid w:val="00E75702"/>
    <w:rsid w:val="00E75723"/>
    <w:rsid w:val="00E76B3C"/>
    <w:rsid w:val="00E81D0C"/>
    <w:rsid w:val="00E82B05"/>
    <w:rsid w:val="00E850C7"/>
    <w:rsid w:val="00E86D29"/>
    <w:rsid w:val="00E90EAF"/>
    <w:rsid w:val="00E91BE5"/>
    <w:rsid w:val="00E94C74"/>
    <w:rsid w:val="00E97A52"/>
    <w:rsid w:val="00EA538C"/>
    <w:rsid w:val="00EA7E8B"/>
    <w:rsid w:val="00EB05CD"/>
    <w:rsid w:val="00EB4123"/>
    <w:rsid w:val="00EB47C5"/>
    <w:rsid w:val="00EC1245"/>
    <w:rsid w:val="00EC3108"/>
    <w:rsid w:val="00EC67B5"/>
    <w:rsid w:val="00EC7835"/>
    <w:rsid w:val="00EC7E79"/>
    <w:rsid w:val="00ED0472"/>
    <w:rsid w:val="00ED1251"/>
    <w:rsid w:val="00ED2855"/>
    <w:rsid w:val="00ED4033"/>
    <w:rsid w:val="00ED466C"/>
    <w:rsid w:val="00ED59E1"/>
    <w:rsid w:val="00ED68E9"/>
    <w:rsid w:val="00EE00FD"/>
    <w:rsid w:val="00EE14A6"/>
    <w:rsid w:val="00EE2053"/>
    <w:rsid w:val="00EE23C7"/>
    <w:rsid w:val="00EE40FD"/>
    <w:rsid w:val="00EE4857"/>
    <w:rsid w:val="00EE62C8"/>
    <w:rsid w:val="00EE6476"/>
    <w:rsid w:val="00EE6CFA"/>
    <w:rsid w:val="00EF1232"/>
    <w:rsid w:val="00EF3D1B"/>
    <w:rsid w:val="00EF6898"/>
    <w:rsid w:val="00EF7B3F"/>
    <w:rsid w:val="00F01A51"/>
    <w:rsid w:val="00F06EC3"/>
    <w:rsid w:val="00F100B8"/>
    <w:rsid w:val="00F1392B"/>
    <w:rsid w:val="00F15AEF"/>
    <w:rsid w:val="00F235E0"/>
    <w:rsid w:val="00F31578"/>
    <w:rsid w:val="00F34789"/>
    <w:rsid w:val="00F348F4"/>
    <w:rsid w:val="00F36384"/>
    <w:rsid w:val="00F403B7"/>
    <w:rsid w:val="00F40DB1"/>
    <w:rsid w:val="00F414F1"/>
    <w:rsid w:val="00F44598"/>
    <w:rsid w:val="00F44ED1"/>
    <w:rsid w:val="00F473F7"/>
    <w:rsid w:val="00F5182C"/>
    <w:rsid w:val="00F5214E"/>
    <w:rsid w:val="00F52E2D"/>
    <w:rsid w:val="00F56C53"/>
    <w:rsid w:val="00F61B6D"/>
    <w:rsid w:val="00F62EDA"/>
    <w:rsid w:val="00F62FB1"/>
    <w:rsid w:val="00F63B6E"/>
    <w:rsid w:val="00F67A1D"/>
    <w:rsid w:val="00F67CA8"/>
    <w:rsid w:val="00F71670"/>
    <w:rsid w:val="00F72CAF"/>
    <w:rsid w:val="00F73380"/>
    <w:rsid w:val="00F744DF"/>
    <w:rsid w:val="00F754D8"/>
    <w:rsid w:val="00F7599B"/>
    <w:rsid w:val="00F75B50"/>
    <w:rsid w:val="00F76C7E"/>
    <w:rsid w:val="00F819D8"/>
    <w:rsid w:val="00F82C55"/>
    <w:rsid w:val="00F82CB4"/>
    <w:rsid w:val="00F83AA3"/>
    <w:rsid w:val="00F847B6"/>
    <w:rsid w:val="00F85DF1"/>
    <w:rsid w:val="00F86483"/>
    <w:rsid w:val="00F87559"/>
    <w:rsid w:val="00F87AC6"/>
    <w:rsid w:val="00F9013F"/>
    <w:rsid w:val="00F93DD7"/>
    <w:rsid w:val="00F940B1"/>
    <w:rsid w:val="00F9729D"/>
    <w:rsid w:val="00F975B1"/>
    <w:rsid w:val="00FA1C19"/>
    <w:rsid w:val="00FB04F0"/>
    <w:rsid w:val="00FB069A"/>
    <w:rsid w:val="00FB1BBF"/>
    <w:rsid w:val="00FB4CA4"/>
    <w:rsid w:val="00FB519D"/>
    <w:rsid w:val="00FB5729"/>
    <w:rsid w:val="00FB61A2"/>
    <w:rsid w:val="00FC133A"/>
    <w:rsid w:val="00FC186A"/>
    <w:rsid w:val="00FC3671"/>
    <w:rsid w:val="00FC6436"/>
    <w:rsid w:val="00FD26F0"/>
    <w:rsid w:val="00FD2D85"/>
    <w:rsid w:val="00FD3A33"/>
    <w:rsid w:val="00FD5D97"/>
    <w:rsid w:val="00FD6CC5"/>
    <w:rsid w:val="00FD7990"/>
    <w:rsid w:val="00FD7BD6"/>
    <w:rsid w:val="00FD7DB3"/>
    <w:rsid w:val="00FF0EB0"/>
    <w:rsid w:val="00FF107D"/>
    <w:rsid w:val="00FF3BCD"/>
    <w:rsid w:val="00FF4306"/>
    <w:rsid w:val="00FF47F1"/>
    <w:rsid w:val="00FF4A05"/>
    <w:rsid w:val="00FF7955"/>
    <w:rsid w:val="00FF7FB4"/>
    <w:rsid w:val="010B0414"/>
    <w:rsid w:val="01B940C0"/>
    <w:rsid w:val="01F41402"/>
    <w:rsid w:val="02080968"/>
    <w:rsid w:val="022E1C3F"/>
    <w:rsid w:val="02B274C7"/>
    <w:rsid w:val="03613869"/>
    <w:rsid w:val="03B15391"/>
    <w:rsid w:val="03B46A9F"/>
    <w:rsid w:val="03CF518B"/>
    <w:rsid w:val="041B2380"/>
    <w:rsid w:val="04930552"/>
    <w:rsid w:val="05106BDF"/>
    <w:rsid w:val="051C5232"/>
    <w:rsid w:val="053B644E"/>
    <w:rsid w:val="05F44AB8"/>
    <w:rsid w:val="06A43D8E"/>
    <w:rsid w:val="06DF3793"/>
    <w:rsid w:val="07813166"/>
    <w:rsid w:val="079F40D8"/>
    <w:rsid w:val="07E7459D"/>
    <w:rsid w:val="07F87E77"/>
    <w:rsid w:val="095941C6"/>
    <w:rsid w:val="097E5D15"/>
    <w:rsid w:val="09995D5F"/>
    <w:rsid w:val="09A06586"/>
    <w:rsid w:val="09E42F4D"/>
    <w:rsid w:val="0AC77248"/>
    <w:rsid w:val="0AF65D7F"/>
    <w:rsid w:val="0AFA1B1F"/>
    <w:rsid w:val="0B4B5097"/>
    <w:rsid w:val="0B675593"/>
    <w:rsid w:val="0C0D2201"/>
    <w:rsid w:val="0CC003F3"/>
    <w:rsid w:val="0CC75A9E"/>
    <w:rsid w:val="0D763D6C"/>
    <w:rsid w:val="0D8169A0"/>
    <w:rsid w:val="0D960355"/>
    <w:rsid w:val="0E711760"/>
    <w:rsid w:val="0F1736F5"/>
    <w:rsid w:val="0F3A14F7"/>
    <w:rsid w:val="0F447A5D"/>
    <w:rsid w:val="0F6724E5"/>
    <w:rsid w:val="0FCC1B1A"/>
    <w:rsid w:val="0FD624A0"/>
    <w:rsid w:val="0FD6710F"/>
    <w:rsid w:val="10435FA8"/>
    <w:rsid w:val="10FB259F"/>
    <w:rsid w:val="111E67BB"/>
    <w:rsid w:val="1183486C"/>
    <w:rsid w:val="11C108A8"/>
    <w:rsid w:val="11F02985"/>
    <w:rsid w:val="120B2EBF"/>
    <w:rsid w:val="120F6B9C"/>
    <w:rsid w:val="12CB293F"/>
    <w:rsid w:val="12D23094"/>
    <w:rsid w:val="131F396E"/>
    <w:rsid w:val="13407275"/>
    <w:rsid w:val="13520704"/>
    <w:rsid w:val="14052578"/>
    <w:rsid w:val="144C0C84"/>
    <w:rsid w:val="14E434A7"/>
    <w:rsid w:val="15465528"/>
    <w:rsid w:val="1573326E"/>
    <w:rsid w:val="157A24C8"/>
    <w:rsid w:val="15A94539"/>
    <w:rsid w:val="161C5B97"/>
    <w:rsid w:val="165A3942"/>
    <w:rsid w:val="16D13B68"/>
    <w:rsid w:val="173A3EC8"/>
    <w:rsid w:val="17725CC8"/>
    <w:rsid w:val="17D225BE"/>
    <w:rsid w:val="18077FB6"/>
    <w:rsid w:val="1840715E"/>
    <w:rsid w:val="18EF6C3C"/>
    <w:rsid w:val="18F52DD4"/>
    <w:rsid w:val="1938211F"/>
    <w:rsid w:val="194202DD"/>
    <w:rsid w:val="19446385"/>
    <w:rsid w:val="1992563B"/>
    <w:rsid w:val="1A44251C"/>
    <w:rsid w:val="1A8D0242"/>
    <w:rsid w:val="1AD42A9E"/>
    <w:rsid w:val="1BEA5F7A"/>
    <w:rsid w:val="1C3E05FE"/>
    <w:rsid w:val="1C621471"/>
    <w:rsid w:val="1D2C500B"/>
    <w:rsid w:val="1DEF1F13"/>
    <w:rsid w:val="1E1C2317"/>
    <w:rsid w:val="1E383AA2"/>
    <w:rsid w:val="1E660973"/>
    <w:rsid w:val="1EC57476"/>
    <w:rsid w:val="1F133F6D"/>
    <w:rsid w:val="1F2B6A4A"/>
    <w:rsid w:val="1F704D54"/>
    <w:rsid w:val="1FC15ACB"/>
    <w:rsid w:val="1FC33540"/>
    <w:rsid w:val="1FD11F19"/>
    <w:rsid w:val="20B41BC5"/>
    <w:rsid w:val="21307D56"/>
    <w:rsid w:val="214573DD"/>
    <w:rsid w:val="21B87E88"/>
    <w:rsid w:val="21CF284A"/>
    <w:rsid w:val="22580A78"/>
    <w:rsid w:val="23697F46"/>
    <w:rsid w:val="239E01D7"/>
    <w:rsid w:val="23B73A8A"/>
    <w:rsid w:val="23D22326"/>
    <w:rsid w:val="241E55F7"/>
    <w:rsid w:val="242A4112"/>
    <w:rsid w:val="24FE46D3"/>
    <w:rsid w:val="25284023"/>
    <w:rsid w:val="255375E7"/>
    <w:rsid w:val="256E1728"/>
    <w:rsid w:val="25A06A24"/>
    <w:rsid w:val="25F6090D"/>
    <w:rsid w:val="260D3C4D"/>
    <w:rsid w:val="28064970"/>
    <w:rsid w:val="28365466"/>
    <w:rsid w:val="28E311A4"/>
    <w:rsid w:val="28F60FCD"/>
    <w:rsid w:val="29817E98"/>
    <w:rsid w:val="29D03A74"/>
    <w:rsid w:val="2A16445B"/>
    <w:rsid w:val="2A450E2A"/>
    <w:rsid w:val="2AE36A19"/>
    <w:rsid w:val="2B0070E2"/>
    <w:rsid w:val="2B057E1B"/>
    <w:rsid w:val="2B14296C"/>
    <w:rsid w:val="2B3038F5"/>
    <w:rsid w:val="2B5B2F94"/>
    <w:rsid w:val="2BB807BB"/>
    <w:rsid w:val="2C2F3005"/>
    <w:rsid w:val="2C972DB7"/>
    <w:rsid w:val="2D7A2860"/>
    <w:rsid w:val="2D7C00C9"/>
    <w:rsid w:val="2EB74078"/>
    <w:rsid w:val="2EBD4196"/>
    <w:rsid w:val="2EE23CC5"/>
    <w:rsid w:val="2FE417BC"/>
    <w:rsid w:val="30394E76"/>
    <w:rsid w:val="319D7514"/>
    <w:rsid w:val="31B70368"/>
    <w:rsid w:val="32837F5F"/>
    <w:rsid w:val="32E035EF"/>
    <w:rsid w:val="32E168FD"/>
    <w:rsid w:val="32EA0995"/>
    <w:rsid w:val="330447D3"/>
    <w:rsid w:val="33890A58"/>
    <w:rsid w:val="33BF5CF0"/>
    <w:rsid w:val="34650E37"/>
    <w:rsid w:val="355A1AE5"/>
    <w:rsid w:val="35B01502"/>
    <w:rsid w:val="361A3330"/>
    <w:rsid w:val="362F13DE"/>
    <w:rsid w:val="36452E41"/>
    <w:rsid w:val="366D6761"/>
    <w:rsid w:val="372F1F69"/>
    <w:rsid w:val="37B409D1"/>
    <w:rsid w:val="37EB4AB2"/>
    <w:rsid w:val="38AD6716"/>
    <w:rsid w:val="38C21D1F"/>
    <w:rsid w:val="393D67A4"/>
    <w:rsid w:val="394C1327"/>
    <w:rsid w:val="39951BAF"/>
    <w:rsid w:val="39DD29B1"/>
    <w:rsid w:val="3A134B60"/>
    <w:rsid w:val="3ACC6949"/>
    <w:rsid w:val="3B1312E9"/>
    <w:rsid w:val="3B613351"/>
    <w:rsid w:val="3C0955ED"/>
    <w:rsid w:val="3C0E0B48"/>
    <w:rsid w:val="3C870923"/>
    <w:rsid w:val="3CB52AF5"/>
    <w:rsid w:val="3D567E34"/>
    <w:rsid w:val="3DF916E5"/>
    <w:rsid w:val="3F4E250F"/>
    <w:rsid w:val="3F775203"/>
    <w:rsid w:val="3FB73E25"/>
    <w:rsid w:val="3FD343DF"/>
    <w:rsid w:val="3FF12683"/>
    <w:rsid w:val="4037219F"/>
    <w:rsid w:val="40662A84"/>
    <w:rsid w:val="4074131F"/>
    <w:rsid w:val="4092251E"/>
    <w:rsid w:val="40D7353E"/>
    <w:rsid w:val="40FB523D"/>
    <w:rsid w:val="41A102AA"/>
    <w:rsid w:val="42384215"/>
    <w:rsid w:val="432C1F69"/>
    <w:rsid w:val="43581BBF"/>
    <w:rsid w:val="43E87946"/>
    <w:rsid w:val="44657157"/>
    <w:rsid w:val="448454EE"/>
    <w:rsid w:val="448B66EF"/>
    <w:rsid w:val="44D01898"/>
    <w:rsid w:val="45986F93"/>
    <w:rsid w:val="468B40AB"/>
    <w:rsid w:val="47094169"/>
    <w:rsid w:val="47250A55"/>
    <w:rsid w:val="473E00BF"/>
    <w:rsid w:val="47925109"/>
    <w:rsid w:val="487B0752"/>
    <w:rsid w:val="48822425"/>
    <w:rsid w:val="48B11572"/>
    <w:rsid w:val="48EC5AF0"/>
    <w:rsid w:val="49432D67"/>
    <w:rsid w:val="49CB7A04"/>
    <w:rsid w:val="4A555349"/>
    <w:rsid w:val="4AAE55A3"/>
    <w:rsid w:val="4B070F6F"/>
    <w:rsid w:val="4B1A603F"/>
    <w:rsid w:val="4B5142E5"/>
    <w:rsid w:val="4BAF644E"/>
    <w:rsid w:val="4CF005AA"/>
    <w:rsid w:val="4D374115"/>
    <w:rsid w:val="4D41465D"/>
    <w:rsid w:val="4D501359"/>
    <w:rsid w:val="4D7208B5"/>
    <w:rsid w:val="4D943016"/>
    <w:rsid w:val="4DC24CC8"/>
    <w:rsid w:val="4E1B3158"/>
    <w:rsid w:val="4EFE7970"/>
    <w:rsid w:val="4F067156"/>
    <w:rsid w:val="4F0A4F32"/>
    <w:rsid w:val="4F191E2B"/>
    <w:rsid w:val="4F2222D3"/>
    <w:rsid w:val="4F797192"/>
    <w:rsid w:val="4FF53BDA"/>
    <w:rsid w:val="50512541"/>
    <w:rsid w:val="505E52AC"/>
    <w:rsid w:val="50794403"/>
    <w:rsid w:val="5089016E"/>
    <w:rsid w:val="50A0169A"/>
    <w:rsid w:val="50AF5D81"/>
    <w:rsid w:val="512275E1"/>
    <w:rsid w:val="51530B8E"/>
    <w:rsid w:val="51C27DB9"/>
    <w:rsid w:val="536469D0"/>
    <w:rsid w:val="53B164FA"/>
    <w:rsid w:val="53D90F82"/>
    <w:rsid w:val="53E534DF"/>
    <w:rsid w:val="53E8772C"/>
    <w:rsid w:val="541215F9"/>
    <w:rsid w:val="544051D9"/>
    <w:rsid w:val="549D704D"/>
    <w:rsid w:val="54DD1AC1"/>
    <w:rsid w:val="54EC20D6"/>
    <w:rsid w:val="55606225"/>
    <w:rsid w:val="55AA10E0"/>
    <w:rsid w:val="55FD77EA"/>
    <w:rsid w:val="5714760C"/>
    <w:rsid w:val="572A4FE7"/>
    <w:rsid w:val="57376E4C"/>
    <w:rsid w:val="577F2045"/>
    <w:rsid w:val="57887F6D"/>
    <w:rsid w:val="5861757F"/>
    <w:rsid w:val="58CA0D42"/>
    <w:rsid w:val="58F43187"/>
    <w:rsid w:val="59B86A98"/>
    <w:rsid w:val="5A242DC5"/>
    <w:rsid w:val="5A4A2E56"/>
    <w:rsid w:val="5A9D4AFA"/>
    <w:rsid w:val="5B0232D5"/>
    <w:rsid w:val="5C3A0B83"/>
    <w:rsid w:val="5CA00BA2"/>
    <w:rsid w:val="5D0139E5"/>
    <w:rsid w:val="5E086D76"/>
    <w:rsid w:val="5E4A6198"/>
    <w:rsid w:val="5E5E4943"/>
    <w:rsid w:val="5ED24272"/>
    <w:rsid w:val="5ED62A78"/>
    <w:rsid w:val="5EEB4428"/>
    <w:rsid w:val="5F6C2EB2"/>
    <w:rsid w:val="5F735421"/>
    <w:rsid w:val="5FDF1A35"/>
    <w:rsid w:val="604A08DC"/>
    <w:rsid w:val="61080225"/>
    <w:rsid w:val="61145D95"/>
    <w:rsid w:val="612315B5"/>
    <w:rsid w:val="614A27D2"/>
    <w:rsid w:val="618D6DC7"/>
    <w:rsid w:val="61AC727F"/>
    <w:rsid w:val="61AC7B3B"/>
    <w:rsid w:val="61BC5A6F"/>
    <w:rsid w:val="61F77588"/>
    <w:rsid w:val="622D2FAA"/>
    <w:rsid w:val="628E3BBB"/>
    <w:rsid w:val="630E6D4E"/>
    <w:rsid w:val="631B4324"/>
    <w:rsid w:val="633B7866"/>
    <w:rsid w:val="635A4C6C"/>
    <w:rsid w:val="637A5715"/>
    <w:rsid w:val="649A1545"/>
    <w:rsid w:val="64DB249F"/>
    <w:rsid w:val="64F51136"/>
    <w:rsid w:val="64F9486F"/>
    <w:rsid w:val="6559150F"/>
    <w:rsid w:val="67911491"/>
    <w:rsid w:val="67C876EB"/>
    <w:rsid w:val="67FB3202"/>
    <w:rsid w:val="69AA3AE7"/>
    <w:rsid w:val="6A3423B4"/>
    <w:rsid w:val="6AD05DCC"/>
    <w:rsid w:val="6ADD2327"/>
    <w:rsid w:val="6C215163"/>
    <w:rsid w:val="6CBE5B6A"/>
    <w:rsid w:val="6D4B522C"/>
    <w:rsid w:val="6D510280"/>
    <w:rsid w:val="6D9F2F09"/>
    <w:rsid w:val="6E0829F4"/>
    <w:rsid w:val="6E9879FD"/>
    <w:rsid w:val="6EA6F5FA"/>
    <w:rsid w:val="6F467459"/>
    <w:rsid w:val="6FAF6AE0"/>
    <w:rsid w:val="6FC6790B"/>
    <w:rsid w:val="700C41FF"/>
    <w:rsid w:val="702459EC"/>
    <w:rsid w:val="70761FC0"/>
    <w:rsid w:val="709C66C9"/>
    <w:rsid w:val="70A04651"/>
    <w:rsid w:val="71095DE9"/>
    <w:rsid w:val="710F5C11"/>
    <w:rsid w:val="71425C8C"/>
    <w:rsid w:val="719519A5"/>
    <w:rsid w:val="71951F37"/>
    <w:rsid w:val="71E608FF"/>
    <w:rsid w:val="72776B1C"/>
    <w:rsid w:val="72E20DF4"/>
    <w:rsid w:val="73054CE8"/>
    <w:rsid w:val="733B776A"/>
    <w:rsid w:val="73987A16"/>
    <w:rsid w:val="73DA3B3B"/>
    <w:rsid w:val="742A7256"/>
    <w:rsid w:val="7498481D"/>
    <w:rsid w:val="74A0585D"/>
    <w:rsid w:val="74FC125E"/>
    <w:rsid w:val="753D134B"/>
    <w:rsid w:val="75865931"/>
    <w:rsid w:val="75B531DB"/>
    <w:rsid w:val="761C0614"/>
    <w:rsid w:val="76662A5B"/>
    <w:rsid w:val="76A13530"/>
    <w:rsid w:val="76BB3C0D"/>
    <w:rsid w:val="76BF47CD"/>
    <w:rsid w:val="76F05A63"/>
    <w:rsid w:val="77271733"/>
    <w:rsid w:val="777C7F42"/>
    <w:rsid w:val="786F17CF"/>
    <w:rsid w:val="78C0202A"/>
    <w:rsid w:val="793242EA"/>
    <w:rsid w:val="79420514"/>
    <w:rsid w:val="79426191"/>
    <w:rsid w:val="7A330C93"/>
    <w:rsid w:val="7A4B3609"/>
    <w:rsid w:val="7AAD7125"/>
    <w:rsid w:val="7AFF4880"/>
    <w:rsid w:val="7B054C06"/>
    <w:rsid w:val="7BAD1B20"/>
    <w:rsid w:val="7BDE2A06"/>
    <w:rsid w:val="7CEF01D5"/>
    <w:rsid w:val="7DE57202"/>
    <w:rsid w:val="7DEF7EAF"/>
    <w:rsid w:val="7E2225ED"/>
    <w:rsid w:val="7E64530E"/>
    <w:rsid w:val="7E704B4F"/>
    <w:rsid w:val="7ECD1A2A"/>
    <w:rsid w:val="7EDF38B5"/>
    <w:rsid w:val="7F13242E"/>
    <w:rsid w:val="7FAB0D64"/>
    <w:rsid w:val="ADF303BD"/>
    <w:rsid w:val="FBCEEC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qFormat="1" w:unhideWhenUsed="0" w:uiPriority="0" w:semiHidden="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4"/>
    <w:next w:val="1"/>
    <w:link w:val="76"/>
    <w:qFormat/>
    <w:uiPriority w:val="0"/>
    <w:pPr>
      <w:spacing w:line="413" w:lineRule="auto"/>
      <w:outlineLvl w:val="2"/>
    </w:pPr>
    <w:rPr>
      <w:b w:val="0"/>
      <w:bCs w:val="0"/>
    </w:rPr>
  </w:style>
  <w:style w:type="paragraph" w:styleId="6">
    <w:name w:val="heading 4"/>
    <w:basedOn w:val="1"/>
    <w:next w:val="1"/>
    <w:link w:val="73"/>
    <w:qFormat/>
    <w:uiPriority w:val="0"/>
    <w:pPr>
      <w:keepNext/>
      <w:keepLines/>
      <w:spacing w:before="120" w:after="120"/>
      <w:outlineLvl w:val="3"/>
    </w:pPr>
    <w:rPr>
      <w:rFonts w:ascii="Arial" w:hAnsi="Arial" w:eastAsia="黑体"/>
      <w:b/>
      <w:sz w:val="28"/>
      <w:szCs w:val="20"/>
    </w:rPr>
  </w:style>
  <w:style w:type="paragraph" w:styleId="7">
    <w:name w:val="heading 5"/>
    <w:basedOn w:val="1"/>
    <w:next w:val="1"/>
    <w:link w:val="77"/>
    <w:qFormat/>
    <w:uiPriority w:val="0"/>
    <w:pPr>
      <w:keepNext/>
      <w:keepLines/>
      <w:tabs>
        <w:tab w:val="left" w:pos="1008"/>
      </w:tabs>
      <w:spacing w:before="280" w:after="290" w:line="372" w:lineRule="auto"/>
      <w:ind w:left="1008" w:hanging="1008"/>
      <w:outlineLvl w:val="4"/>
    </w:pPr>
    <w:rPr>
      <w:b/>
      <w:bCs/>
      <w:sz w:val="28"/>
      <w:szCs w:val="28"/>
    </w:rPr>
  </w:style>
  <w:style w:type="paragraph" w:styleId="8">
    <w:name w:val="heading 6"/>
    <w:basedOn w:val="1"/>
    <w:next w:val="1"/>
    <w:link w:val="78"/>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9">
    <w:name w:val="heading 7"/>
    <w:basedOn w:val="1"/>
    <w:next w:val="1"/>
    <w:link w:val="79"/>
    <w:qFormat/>
    <w:uiPriority w:val="0"/>
    <w:pPr>
      <w:keepNext/>
      <w:keepLines/>
      <w:tabs>
        <w:tab w:val="left" w:pos="1296"/>
      </w:tabs>
      <w:spacing w:before="240" w:after="64" w:line="317" w:lineRule="auto"/>
      <w:ind w:left="1296" w:hanging="1296"/>
      <w:outlineLvl w:val="6"/>
    </w:pPr>
    <w:rPr>
      <w:b/>
      <w:bCs/>
      <w:sz w:val="24"/>
    </w:rPr>
  </w:style>
  <w:style w:type="paragraph" w:styleId="10">
    <w:name w:val="heading 8"/>
    <w:basedOn w:val="1"/>
    <w:next w:val="1"/>
    <w:link w:val="80"/>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link w:val="81"/>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61">
    <w:name w:val="Default Paragraph Font"/>
    <w:semiHidden/>
    <w:unhideWhenUsed/>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7"/>
    <w:qFormat/>
    <w:uiPriority w:val="0"/>
    <w:pPr>
      <w:spacing w:after="120"/>
    </w:pPr>
  </w:style>
  <w:style w:type="paragraph" w:styleId="12">
    <w:name w:val="List 3"/>
    <w:basedOn w:val="1"/>
    <w:qFormat/>
    <w:uiPriority w:val="0"/>
    <w:pPr>
      <w:ind w:left="1260" w:hanging="420"/>
    </w:pPr>
    <w:rPr>
      <w:szCs w:val="20"/>
    </w:rPr>
  </w:style>
  <w:style w:type="paragraph" w:styleId="13">
    <w:name w:val="toc 7"/>
    <w:basedOn w:val="1"/>
    <w:next w:val="1"/>
    <w:qFormat/>
    <w:uiPriority w:val="0"/>
    <w:pPr>
      <w:ind w:left="1260"/>
      <w:jc w:val="left"/>
    </w:pPr>
    <w:rPr>
      <w:sz w:val="18"/>
      <w:szCs w:val="20"/>
    </w:rPr>
  </w:style>
  <w:style w:type="paragraph" w:styleId="14">
    <w:name w:val="List Number 2"/>
    <w:basedOn w:val="1"/>
    <w:qFormat/>
    <w:uiPriority w:val="0"/>
    <w:pPr>
      <w:tabs>
        <w:tab w:val="left" w:pos="1440"/>
      </w:tabs>
      <w:spacing w:line="360" w:lineRule="auto"/>
      <w:ind w:left="1440" w:hanging="1440"/>
    </w:pPr>
    <w:rPr>
      <w:sz w:val="24"/>
    </w:rPr>
  </w:style>
  <w:style w:type="paragraph" w:styleId="15">
    <w:name w:val="index 8"/>
    <w:basedOn w:val="1"/>
    <w:next w:val="1"/>
    <w:qFormat/>
    <w:uiPriority w:val="0"/>
    <w:pPr>
      <w:ind w:left="2940"/>
    </w:pPr>
    <w:rPr>
      <w:szCs w:val="20"/>
    </w:rPr>
  </w:style>
  <w:style w:type="paragraph" w:styleId="16">
    <w:name w:val="List Number"/>
    <w:basedOn w:val="1"/>
    <w:qFormat/>
    <w:uiPriority w:val="0"/>
    <w:pPr>
      <w:tabs>
        <w:tab w:val="left" w:pos="2952"/>
      </w:tabs>
      <w:ind w:left="2952" w:hanging="432"/>
    </w:pPr>
  </w:style>
  <w:style w:type="paragraph" w:styleId="17">
    <w:name w:val="Normal Indent"/>
    <w:basedOn w:val="1"/>
    <w:link w:val="82"/>
    <w:qFormat/>
    <w:uiPriority w:val="0"/>
    <w:pPr>
      <w:ind w:firstLine="420"/>
    </w:pPr>
    <w:rPr>
      <w:szCs w:val="20"/>
    </w:rPr>
  </w:style>
  <w:style w:type="paragraph" w:styleId="18">
    <w:name w:val="index 5"/>
    <w:basedOn w:val="1"/>
    <w:next w:val="1"/>
    <w:qFormat/>
    <w:uiPriority w:val="0"/>
    <w:pPr>
      <w:ind w:left="1680"/>
    </w:pPr>
    <w:rPr>
      <w:szCs w:val="20"/>
    </w:rPr>
  </w:style>
  <w:style w:type="paragraph" w:styleId="19">
    <w:name w:val="Document Map"/>
    <w:basedOn w:val="1"/>
    <w:link w:val="83"/>
    <w:qFormat/>
    <w:uiPriority w:val="0"/>
    <w:pPr>
      <w:shd w:val="clear" w:color="auto" w:fill="000080"/>
    </w:pPr>
  </w:style>
  <w:style w:type="paragraph" w:styleId="20">
    <w:name w:val="annotation text"/>
    <w:basedOn w:val="1"/>
    <w:link w:val="84"/>
    <w:unhideWhenUsed/>
    <w:qFormat/>
    <w:uiPriority w:val="99"/>
    <w:rPr>
      <w:sz w:val="20"/>
      <w:szCs w:val="20"/>
    </w:rPr>
  </w:style>
  <w:style w:type="paragraph" w:styleId="21">
    <w:name w:val="index 6"/>
    <w:basedOn w:val="1"/>
    <w:next w:val="1"/>
    <w:qFormat/>
    <w:uiPriority w:val="0"/>
    <w:pPr>
      <w:ind w:left="2100"/>
    </w:pPr>
    <w:rPr>
      <w:szCs w:val="20"/>
    </w:rPr>
  </w:style>
  <w:style w:type="paragraph" w:styleId="22">
    <w:name w:val="Salutation"/>
    <w:basedOn w:val="1"/>
    <w:next w:val="1"/>
    <w:link w:val="85"/>
    <w:qFormat/>
    <w:uiPriority w:val="0"/>
    <w:rPr>
      <w:rFonts w:ascii="仿宋_GB2312" w:eastAsia="仿宋_GB2312"/>
      <w:sz w:val="28"/>
      <w:szCs w:val="20"/>
    </w:rPr>
  </w:style>
  <w:style w:type="paragraph" w:styleId="23">
    <w:name w:val="Body Text 3"/>
    <w:basedOn w:val="1"/>
    <w:link w:val="86"/>
    <w:qFormat/>
    <w:uiPriority w:val="0"/>
    <w:pPr>
      <w:spacing w:after="120"/>
    </w:pPr>
    <w:rPr>
      <w:sz w:val="16"/>
      <w:szCs w:val="16"/>
    </w:rPr>
  </w:style>
  <w:style w:type="paragraph" w:styleId="24">
    <w:name w:val="Body Text Indent"/>
    <w:basedOn w:val="1"/>
    <w:link w:val="88"/>
    <w:qFormat/>
    <w:uiPriority w:val="0"/>
    <w:pPr>
      <w:ind w:firstLine="570"/>
    </w:pPr>
    <w:rPr>
      <w:rFonts w:ascii="宋体"/>
      <w:sz w:val="28"/>
      <w:szCs w:val="20"/>
    </w:rPr>
  </w:style>
  <w:style w:type="paragraph" w:styleId="25">
    <w:name w:val="index 4"/>
    <w:basedOn w:val="1"/>
    <w:next w:val="1"/>
    <w:qFormat/>
    <w:uiPriority w:val="0"/>
    <w:pPr>
      <w:ind w:left="1260"/>
    </w:pPr>
    <w:rPr>
      <w:szCs w:val="20"/>
    </w:rPr>
  </w:style>
  <w:style w:type="paragraph" w:styleId="26">
    <w:name w:val="toc 5"/>
    <w:basedOn w:val="1"/>
    <w:next w:val="1"/>
    <w:qFormat/>
    <w:uiPriority w:val="0"/>
    <w:pPr>
      <w:ind w:left="840"/>
      <w:jc w:val="left"/>
    </w:pPr>
    <w:rPr>
      <w:sz w:val="18"/>
      <w:szCs w:val="20"/>
    </w:rPr>
  </w:style>
  <w:style w:type="paragraph" w:styleId="27">
    <w:name w:val="toc 3"/>
    <w:basedOn w:val="1"/>
    <w:next w:val="1"/>
    <w:qFormat/>
    <w:uiPriority w:val="0"/>
    <w:pPr>
      <w:ind w:left="840" w:leftChars="400"/>
    </w:pPr>
  </w:style>
  <w:style w:type="paragraph" w:styleId="28">
    <w:name w:val="Plain Text"/>
    <w:basedOn w:val="1"/>
    <w:link w:val="89"/>
    <w:qFormat/>
    <w:uiPriority w:val="0"/>
    <w:pPr>
      <w:adjustRightInd w:val="0"/>
      <w:snapToGrid w:val="0"/>
      <w:spacing w:line="360" w:lineRule="auto"/>
    </w:pPr>
    <w:rPr>
      <w:rFonts w:ascii="宋体" w:hAnsi="Courier New"/>
      <w:szCs w:val="20"/>
    </w:rPr>
  </w:style>
  <w:style w:type="paragraph" w:styleId="29">
    <w:name w:val="toc 8"/>
    <w:basedOn w:val="1"/>
    <w:next w:val="1"/>
    <w:qFormat/>
    <w:uiPriority w:val="0"/>
    <w:pPr>
      <w:ind w:left="1470"/>
      <w:jc w:val="left"/>
    </w:pPr>
    <w:rPr>
      <w:sz w:val="18"/>
      <w:szCs w:val="20"/>
    </w:rPr>
  </w:style>
  <w:style w:type="paragraph" w:styleId="30">
    <w:name w:val="index 3"/>
    <w:basedOn w:val="1"/>
    <w:next w:val="1"/>
    <w:qFormat/>
    <w:uiPriority w:val="0"/>
    <w:pPr>
      <w:ind w:left="840"/>
    </w:pPr>
    <w:rPr>
      <w:szCs w:val="20"/>
    </w:rPr>
  </w:style>
  <w:style w:type="paragraph" w:styleId="31">
    <w:name w:val="Date"/>
    <w:basedOn w:val="1"/>
    <w:next w:val="1"/>
    <w:link w:val="90"/>
    <w:qFormat/>
    <w:uiPriority w:val="0"/>
    <w:pPr>
      <w:ind w:left="100" w:leftChars="2500"/>
    </w:pPr>
    <w:rPr>
      <w:sz w:val="28"/>
      <w:szCs w:val="20"/>
    </w:rPr>
  </w:style>
  <w:style w:type="paragraph" w:styleId="32">
    <w:name w:val="Body Text Indent 2"/>
    <w:basedOn w:val="1"/>
    <w:link w:val="91"/>
    <w:qFormat/>
    <w:uiPriority w:val="0"/>
    <w:pPr>
      <w:spacing w:after="120" w:line="480" w:lineRule="auto"/>
      <w:ind w:left="420" w:leftChars="200"/>
    </w:pPr>
  </w:style>
  <w:style w:type="paragraph" w:styleId="33">
    <w:name w:val="endnote text"/>
    <w:basedOn w:val="1"/>
    <w:qFormat/>
    <w:uiPriority w:val="0"/>
    <w:pPr>
      <w:snapToGrid w:val="0"/>
      <w:jc w:val="left"/>
    </w:pPr>
  </w:style>
  <w:style w:type="paragraph" w:styleId="34">
    <w:name w:val="Balloon Text"/>
    <w:basedOn w:val="1"/>
    <w:link w:val="92"/>
    <w:qFormat/>
    <w:uiPriority w:val="0"/>
    <w:rPr>
      <w:sz w:val="18"/>
      <w:szCs w:val="18"/>
    </w:rPr>
  </w:style>
  <w:style w:type="paragraph" w:styleId="35">
    <w:name w:val="footer"/>
    <w:basedOn w:val="1"/>
    <w:link w:val="93"/>
    <w:qFormat/>
    <w:uiPriority w:val="0"/>
    <w:pPr>
      <w:tabs>
        <w:tab w:val="center" w:pos="4153"/>
        <w:tab w:val="right" w:pos="8306"/>
      </w:tabs>
      <w:snapToGrid w:val="0"/>
      <w:jc w:val="left"/>
    </w:pPr>
    <w:rPr>
      <w:sz w:val="18"/>
      <w:szCs w:val="18"/>
    </w:rPr>
  </w:style>
  <w:style w:type="paragraph" w:styleId="36">
    <w:name w:val="header"/>
    <w:basedOn w:val="1"/>
    <w:link w:val="94"/>
    <w:qFormat/>
    <w:uiPriority w:val="99"/>
    <w:pPr>
      <w:pBdr>
        <w:bottom w:val="single" w:color="auto" w:sz="6" w:space="1"/>
      </w:pBdr>
      <w:tabs>
        <w:tab w:val="center" w:pos="4153"/>
        <w:tab w:val="right" w:pos="8306"/>
      </w:tabs>
      <w:snapToGrid w:val="0"/>
      <w:jc w:val="center"/>
    </w:pPr>
    <w:rPr>
      <w:sz w:val="18"/>
      <w:szCs w:val="18"/>
    </w:rPr>
  </w:style>
  <w:style w:type="paragraph" w:styleId="37">
    <w:name w:val="Signature"/>
    <w:basedOn w:val="1"/>
    <w:link w:val="95"/>
    <w:qFormat/>
    <w:uiPriority w:val="0"/>
    <w:pPr>
      <w:adjustRightInd w:val="0"/>
      <w:spacing w:after="600" w:line="312" w:lineRule="atLeast"/>
      <w:jc w:val="center"/>
      <w:textAlignment w:val="baseline"/>
    </w:pPr>
    <w:rPr>
      <w:rFonts w:eastAsia="仿宋_GB2312"/>
      <w:kern w:val="0"/>
      <w:sz w:val="24"/>
      <w:szCs w:val="20"/>
    </w:rPr>
  </w:style>
  <w:style w:type="paragraph" w:styleId="38">
    <w:name w:val="toc 1"/>
    <w:basedOn w:val="1"/>
    <w:next w:val="1"/>
    <w:qFormat/>
    <w:uiPriority w:val="0"/>
  </w:style>
  <w:style w:type="paragraph" w:styleId="39">
    <w:name w:val="toc 4"/>
    <w:basedOn w:val="1"/>
    <w:next w:val="1"/>
    <w:qFormat/>
    <w:uiPriority w:val="0"/>
    <w:pPr>
      <w:ind w:left="630"/>
      <w:jc w:val="left"/>
    </w:pPr>
    <w:rPr>
      <w:sz w:val="18"/>
      <w:szCs w:val="20"/>
    </w:rPr>
  </w:style>
  <w:style w:type="paragraph" w:styleId="40">
    <w:name w:val="index heading"/>
    <w:basedOn w:val="1"/>
    <w:next w:val="41"/>
    <w:qFormat/>
    <w:uiPriority w:val="0"/>
    <w:rPr>
      <w:szCs w:val="20"/>
    </w:rPr>
  </w:style>
  <w:style w:type="paragraph" w:styleId="41">
    <w:name w:val="index 1"/>
    <w:basedOn w:val="1"/>
    <w:next w:val="1"/>
    <w:qFormat/>
    <w:uiPriority w:val="0"/>
    <w:pPr>
      <w:tabs>
        <w:tab w:val="left" w:pos="1260"/>
      </w:tabs>
      <w:jc w:val="center"/>
    </w:pPr>
    <w:rPr>
      <w:rFonts w:ascii="仿宋_GB2312" w:hAnsi="宋体" w:eastAsia="仿宋_GB2312"/>
      <w:sz w:val="30"/>
      <w:szCs w:val="20"/>
    </w:rPr>
  </w:style>
  <w:style w:type="paragraph" w:styleId="42">
    <w:name w:val="footnote text"/>
    <w:basedOn w:val="1"/>
    <w:link w:val="96"/>
    <w:qFormat/>
    <w:uiPriority w:val="0"/>
    <w:pPr>
      <w:snapToGrid w:val="0"/>
      <w:jc w:val="left"/>
    </w:pPr>
    <w:rPr>
      <w:sz w:val="18"/>
      <w:szCs w:val="18"/>
    </w:rPr>
  </w:style>
  <w:style w:type="paragraph" w:styleId="43">
    <w:name w:val="toc 6"/>
    <w:basedOn w:val="1"/>
    <w:next w:val="1"/>
    <w:qFormat/>
    <w:uiPriority w:val="0"/>
    <w:pPr>
      <w:ind w:left="1050"/>
      <w:jc w:val="left"/>
    </w:pPr>
    <w:rPr>
      <w:sz w:val="18"/>
      <w:szCs w:val="20"/>
    </w:rPr>
  </w:style>
  <w:style w:type="paragraph" w:styleId="44">
    <w:name w:val="List 5"/>
    <w:basedOn w:val="1"/>
    <w:qFormat/>
    <w:uiPriority w:val="0"/>
    <w:pPr>
      <w:ind w:left="100" w:leftChars="800" w:hanging="200" w:hangingChars="200"/>
    </w:pPr>
  </w:style>
  <w:style w:type="paragraph" w:styleId="45">
    <w:name w:val="Body Text Indent 3"/>
    <w:basedOn w:val="1"/>
    <w:link w:val="97"/>
    <w:qFormat/>
    <w:uiPriority w:val="0"/>
    <w:pPr>
      <w:spacing w:before="120" w:after="120" w:line="264" w:lineRule="auto"/>
      <w:ind w:left="480"/>
    </w:pPr>
    <w:rPr>
      <w:b/>
      <w:bCs/>
      <w:sz w:val="24"/>
      <w:szCs w:val="20"/>
    </w:rPr>
  </w:style>
  <w:style w:type="paragraph" w:styleId="46">
    <w:name w:val="index 7"/>
    <w:basedOn w:val="1"/>
    <w:next w:val="1"/>
    <w:qFormat/>
    <w:uiPriority w:val="0"/>
    <w:pPr>
      <w:ind w:left="2520"/>
    </w:pPr>
    <w:rPr>
      <w:szCs w:val="20"/>
    </w:rPr>
  </w:style>
  <w:style w:type="paragraph" w:styleId="47">
    <w:name w:val="index 9"/>
    <w:basedOn w:val="1"/>
    <w:next w:val="1"/>
    <w:qFormat/>
    <w:uiPriority w:val="0"/>
    <w:pPr>
      <w:ind w:left="3360"/>
    </w:pPr>
    <w:rPr>
      <w:szCs w:val="20"/>
    </w:rPr>
  </w:style>
  <w:style w:type="paragraph" w:styleId="48">
    <w:name w:val="table of figures"/>
    <w:basedOn w:val="1"/>
    <w:next w:val="1"/>
    <w:qFormat/>
    <w:uiPriority w:val="0"/>
    <w:pPr>
      <w:ind w:left="840" w:hanging="420"/>
    </w:pPr>
    <w:rPr>
      <w:szCs w:val="20"/>
    </w:rPr>
  </w:style>
  <w:style w:type="paragraph" w:styleId="49">
    <w:name w:val="toc 2"/>
    <w:basedOn w:val="1"/>
    <w:next w:val="1"/>
    <w:qFormat/>
    <w:uiPriority w:val="0"/>
    <w:pPr>
      <w:ind w:left="420" w:leftChars="200"/>
    </w:pPr>
  </w:style>
  <w:style w:type="paragraph" w:styleId="50">
    <w:name w:val="toc 9"/>
    <w:basedOn w:val="1"/>
    <w:next w:val="1"/>
    <w:qFormat/>
    <w:uiPriority w:val="0"/>
    <w:pPr>
      <w:ind w:left="1680"/>
      <w:jc w:val="left"/>
    </w:pPr>
    <w:rPr>
      <w:sz w:val="18"/>
      <w:szCs w:val="20"/>
    </w:rPr>
  </w:style>
  <w:style w:type="paragraph" w:styleId="51">
    <w:name w:val="Body Text 2"/>
    <w:basedOn w:val="1"/>
    <w:qFormat/>
    <w:uiPriority w:val="0"/>
    <w:pPr>
      <w:jc w:val="center"/>
    </w:pPr>
    <w:rPr>
      <w:b/>
      <w:bCs/>
      <w:sz w:val="72"/>
      <w:szCs w:val="20"/>
    </w:rPr>
  </w:style>
  <w:style w:type="paragraph" w:styleId="52">
    <w:name w:val="HTML Preformatted"/>
    <w:basedOn w:val="1"/>
    <w:link w:val="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4">
    <w:name w:val="index 2"/>
    <w:basedOn w:val="1"/>
    <w:next w:val="1"/>
    <w:qFormat/>
    <w:uiPriority w:val="0"/>
    <w:pPr>
      <w:spacing w:afterLines="50"/>
      <w:ind w:left="420"/>
      <w:jc w:val="center"/>
    </w:pPr>
    <w:rPr>
      <w:rFonts w:ascii="宋体" w:hAnsi="宋体"/>
      <w:b/>
      <w:sz w:val="32"/>
      <w:szCs w:val="20"/>
    </w:rPr>
  </w:style>
  <w:style w:type="paragraph" w:styleId="55">
    <w:name w:val="Title"/>
    <w:basedOn w:val="1"/>
    <w:next w:val="1"/>
    <w:link w:val="99"/>
    <w:qFormat/>
    <w:uiPriority w:val="0"/>
    <w:pPr>
      <w:spacing w:before="240" w:after="60"/>
      <w:jc w:val="center"/>
      <w:outlineLvl w:val="0"/>
    </w:pPr>
    <w:rPr>
      <w:rFonts w:ascii="Cambria" w:hAnsi="Cambria"/>
      <w:b/>
      <w:bCs/>
      <w:sz w:val="32"/>
      <w:szCs w:val="32"/>
    </w:rPr>
  </w:style>
  <w:style w:type="paragraph" w:styleId="56">
    <w:name w:val="annotation subject"/>
    <w:basedOn w:val="20"/>
    <w:next w:val="20"/>
    <w:link w:val="100"/>
    <w:qFormat/>
    <w:uiPriority w:val="0"/>
    <w:pPr>
      <w:jc w:val="left"/>
    </w:pPr>
    <w:rPr>
      <w:b/>
      <w:bCs/>
      <w:sz w:val="21"/>
      <w:szCs w:val="24"/>
    </w:rPr>
  </w:style>
  <w:style w:type="paragraph" w:styleId="57">
    <w:name w:val="Body Text First Indent"/>
    <w:basedOn w:val="1"/>
    <w:link w:val="101"/>
    <w:qFormat/>
    <w:uiPriority w:val="0"/>
    <w:pPr>
      <w:ind w:firstLine="420" w:firstLineChars="100"/>
    </w:pPr>
  </w:style>
  <w:style w:type="paragraph" w:styleId="58">
    <w:name w:val="Body Text First Indent 2"/>
    <w:basedOn w:val="24"/>
    <w:qFormat/>
    <w:uiPriority w:val="0"/>
    <w:pPr>
      <w:ind w:firstLine="420" w:firstLineChars="200"/>
    </w:p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qFormat/>
    <w:uiPriority w:val="0"/>
    <w:rPr>
      <w:b/>
      <w:bCs/>
    </w:rPr>
  </w:style>
  <w:style w:type="character" w:styleId="63">
    <w:name w:val="endnote reference"/>
    <w:qFormat/>
    <w:uiPriority w:val="0"/>
    <w:rPr>
      <w:vertAlign w:val="superscript"/>
    </w:rPr>
  </w:style>
  <w:style w:type="character" w:styleId="64">
    <w:name w:val="page number"/>
    <w:basedOn w:val="61"/>
    <w:qFormat/>
    <w:uiPriority w:val="0"/>
  </w:style>
  <w:style w:type="character" w:styleId="65">
    <w:name w:val="FollowedHyperlink"/>
    <w:qFormat/>
    <w:uiPriority w:val="0"/>
    <w:rPr>
      <w:color w:val="800080"/>
      <w:u w:val="single"/>
    </w:rPr>
  </w:style>
  <w:style w:type="character" w:styleId="66">
    <w:name w:val="Emphasis"/>
    <w:qFormat/>
    <w:uiPriority w:val="0"/>
    <w:rPr>
      <w:color w:val="CC0033"/>
    </w:rPr>
  </w:style>
  <w:style w:type="character" w:styleId="67">
    <w:name w:val="line number"/>
    <w:qFormat/>
    <w:uiPriority w:val="0"/>
  </w:style>
  <w:style w:type="character" w:styleId="68">
    <w:name w:val="HTML Typewriter"/>
    <w:qFormat/>
    <w:uiPriority w:val="0"/>
    <w:rPr>
      <w:rFonts w:ascii="宋体" w:hAnsi="宋体" w:eastAsia="宋体" w:cs="宋体"/>
      <w:sz w:val="24"/>
      <w:szCs w:val="24"/>
    </w:rPr>
  </w:style>
  <w:style w:type="character" w:styleId="69">
    <w:name w:val="Hyperlink"/>
    <w:qFormat/>
    <w:uiPriority w:val="0"/>
    <w:rPr>
      <w:color w:val="0000FF"/>
      <w:u w:val="single"/>
    </w:rPr>
  </w:style>
  <w:style w:type="character" w:styleId="70">
    <w:name w:val="annotation reference"/>
    <w:qFormat/>
    <w:uiPriority w:val="0"/>
    <w:rPr>
      <w:sz w:val="21"/>
      <w:szCs w:val="21"/>
    </w:rPr>
  </w:style>
  <w:style w:type="character" w:styleId="71">
    <w:name w:val="footnote reference"/>
    <w:qFormat/>
    <w:uiPriority w:val="0"/>
    <w:rPr>
      <w:vertAlign w:val="superscript"/>
    </w:rPr>
  </w:style>
  <w:style w:type="character" w:styleId="72">
    <w:name w:val="HTML Sample"/>
    <w:qFormat/>
    <w:uiPriority w:val="0"/>
    <w:rPr>
      <w:rFonts w:ascii="Courier New" w:hAnsi="Courier New" w:cs="Courier New"/>
    </w:rPr>
  </w:style>
  <w:style w:type="character" w:customStyle="1" w:styleId="73">
    <w:name w:val="标题 4 Char"/>
    <w:link w:val="6"/>
    <w:qFormat/>
    <w:uiPriority w:val="0"/>
    <w:rPr>
      <w:rFonts w:ascii="Arial" w:hAnsi="Arial" w:eastAsia="黑体"/>
      <w:b/>
      <w:kern w:val="2"/>
      <w:sz w:val="28"/>
      <w:lang w:val="en-US" w:eastAsia="zh-CN" w:bidi="ar-SA"/>
    </w:rPr>
  </w:style>
  <w:style w:type="character" w:customStyle="1" w:styleId="74">
    <w:name w:val="标题 1 Char"/>
    <w:link w:val="3"/>
    <w:qFormat/>
    <w:uiPriority w:val="0"/>
    <w:rPr>
      <w:rFonts w:eastAsia="宋体"/>
      <w:b/>
      <w:bCs/>
      <w:kern w:val="44"/>
      <w:sz w:val="44"/>
      <w:szCs w:val="44"/>
      <w:lang w:val="en-US" w:eastAsia="zh-CN" w:bidi="ar-SA"/>
    </w:rPr>
  </w:style>
  <w:style w:type="character" w:customStyle="1" w:styleId="75">
    <w:name w:val="标题 2 Char"/>
    <w:link w:val="4"/>
    <w:qFormat/>
    <w:uiPriority w:val="0"/>
    <w:rPr>
      <w:rFonts w:ascii="Arial" w:hAnsi="Arial" w:eastAsia="黑体"/>
      <w:b/>
      <w:bCs/>
      <w:kern w:val="2"/>
      <w:sz w:val="32"/>
      <w:szCs w:val="32"/>
      <w:lang w:val="en-US" w:eastAsia="zh-CN" w:bidi="ar-SA"/>
    </w:rPr>
  </w:style>
  <w:style w:type="character" w:customStyle="1" w:styleId="76">
    <w:name w:val="标题 3 Char"/>
    <w:link w:val="5"/>
    <w:qFormat/>
    <w:uiPriority w:val="0"/>
    <w:rPr>
      <w:rFonts w:eastAsia="宋体"/>
      <w:b/>
      <w:bCs/>
      <w:kern w:val="2"/>
      <w:sz w:val="32"/>
      <w:szCs w:val="32"/>
      <w:lang w:val="en-US" w:eastAsia="zh-CN" w:bidi="ar-SA"/>
    </w:rPr>
  </w:style>
  <w:style w:type="character" w:customStyle="1" w:styleId="77">
    <w:name w:val="标题 5 Char"/>
    <w:link w:val="7"/>
    <w:qFormat/>
    <w:uiPriority w:val="0"/>
    <w:rPr>
      <w:rFonts w:eastAsia="宋体"/>
      <w:b/>
      <w:bCs/>
      <w:kern w:val="2"/>
      <w:sz w:val="28"/>
      <w:szCs w:val="28"/>
      <w:lang w:val="en-US" w:eastAsia="zh-CN" w:bidi="ar-SA"/>
    </w:rPr>
  </w:style>
  <w:style w:type="character" w:customStyle="1" w:styleId="78">
    <w:name w:val="标题 6 Char"/>
    <w:link w:val="8"/>
    <w:qFormat/>
    <w:uiPriority w:val="0"/>
    <w:rPr>
      <w:rFonts w:ascii="Arial" w:hAnsi="Arial" w:eastAsia="黑体"/>
      <w:b/>
      <w:bCs/>
      <w:kern w:val="2"/>
      <w:sz w:val="24"/>
      <w:szCs w:val="24"/>
      <w:lang w:val="en-US" w:eastAsia="zh-CN" w:bidi="ar-SA"/>
    </w:rPr>
  </w:style>
  <w:style w:type="character" w:customStyle="1" w:styleId="79">
    <w:name w:val="标题 7 Char"/>
    <w:link w:val="9"/>
    <w:qFormat/>
    <w:uiPriority w:val="0"/>
    <w:rPr>
      <w:rFonts w:eastAsia="宋体"/>
      <w:b/>
      <w:bCs/>
      <w:kern w:val="2"/>
      <w:sz w:val="24"/>
      <w:szCs w:val="24"/>
      <w:lang w:val="en-US" w:eastAsia="zh-CN" w:bidi="ar-SA"/>
    </w:rPr>
  </w:style>
  <w:style w:type="character" w:customStyle="1" w:styleId="80">
    <w:name w:val="标题 8 Char"/>
    <w:link w:val="10"/>
    <w:qFormat/>
    <w:uiPriority w:val="0"/>
    <w:rPr>
      <w:rFonts w:ascii="Arial" w:hAnsi="Arial" w:eastAsia="黑体"/>
      <w:kern w:val="2"/>
      <w:sz w:val="24"/>
      <w:szCs w:val="24"/>
      <w:lang w:val="en-US" w:eastAsia="zh-CN" w:bidi="ar-SA"/>
    </w:rPr>
  </w:style>
  <w:style w:type="character" w:customStyle="1" w:styleId="81">
    <w:name w:val="标题 9 Char"/>
    <w:link w:val="11"/>
    <w:qFormat/>
    <w:uiPriority w:val="0"/>
    <w:rPr>
      <w:rFonts w:ascii="Arial" w:hAnsi="Arial" w:eastAsia="黑体"/>
      <w:kern w:val="2"/>
      <w:sz w:val="21"/>
      <w:szCs w:val="21"/>
      <w:lang w:val="en-US" w:eastAsia="zh-CN" w:bidi="ar-SA"/>
    </w:rPr>
  </w:style>
  <w:style w:type="character" w:customStyle="1" w:styleId="82">
    <w:name w:val="正文缩进 Char"/>
    <w:link w:val="17"/>
    <w:qFormat/>
    <w:uiPriority w:val="0"/>
    <w:rPr>
      <w:rFonts w:eastAsia="宋体"/>
      <w:kern w:val="2"/>
      <w:sz w:val="21"/>
      <w:lang w:val="en-US" w:eastAsia="zh-CN" w:bidi="ar-SA"/>
    </w:rPr>
  </w:style>
  <w:style w:type="character" w:customStyle="1" w:styleId="83">
    <w:name w:val="文档结构图 Char"/>
    <w:link w:val="19"/>
    <w:qFormat/>
    <w:uiPriority w:val="0"/>
    <w:rPr>
      <w:rFonts w:eastAsia="宋体"/>
      <w:kern w:val="2"/>
      <w:sz w:val="21"/>
      <w:szCs w:val="24"/>
      <w:lang w:val="en-US" w:eastAsia="zh-CN" w:bidi="ar-SA"/>
    </w:rPr>
  </w:style>
  <w:style w:type="character" w:customStyle="1" w:styleId="84">
    <w:name w:val="批注文字 Char"/>
    <w:link w:val="20"/>
    <w:semiHidden/>
    <w:qFormat/>
    <w:uiPriority w:val="99"/>
    <w:rPr>
      <w:rFonts w:eastAsia="宋体"/>
      <w:kern w:val="2"/>
      <w:lang w:val="en-US" w:eastAsia="zh-CN" w:bidi="ar-SA"/>
    </w:rPr>
  </w:style>
  <w:style w:type="character" w:customStyle="1" w:styleId="85">
    <w:name w:val="称呼 Char"/>
    <w:link w:val="22"/>
    <w:qFormat/>
    <w:uiPriority w:val="0"/>
    <w:rPr>
      <w:rFonts w:ascii="仿宋_GB2312" w:eastAsia="仿宋_GB2312"/>
      <w:kern w:val="2"/>
      <w:sz w:val="28"/>
      <w:lang w:val="en-US" w:eastAsia="zh-CN" w:bidi="ar-SA"/>
    </w:rPr>
  </w:style>
  <w:style w:type="character" w:customStyle="1" w:styleId="86">
    <w:name w:val="正文文本 3 Char"/>
    <w:link w:val="23"/>
    <w:qFormat/>
    <w:uiPriority w:val="0"/>
    <w:rPr>
      <w:rFonts w:eastAsia="宋体"/>
      <w:kern w:val="2"/>
      <w:sz w:val="16"/>
      <w:szCs w:val="16"/>
      <w:lang w:val="en-US" w:eastAsia="zh-CN" w:bidi="ar-SA"/>
    </w:rPr>
  </w:style>
  <w:style w:type="character" w:customStyle="1" w:styleId="87">
    <w:name w:val="正文文本 Char1"/>
    <w:link w:val="2"/>
    <w:qFormat/>
    <w:uiPriority w:val="0"/>
    <w:rPr>
      <w:rFonts w:eastAsia="宋体"/>
      <w:kern w:val="2"/>
      <w:sz w:val="21"/>
      <w:szCs w:val="24"/>
      <w:lang w:val="en-US" w:eastAsia="zh-CN" w:bidi="ar-SA"/>
    </w:rPr>
  </w:style>
  <w:style w:type="character" w:customStyle="1" w:styleId="88">
    <w:name w:val="正文文本缩进 Char"/>
    <w:link w:val="24"/>
    <w:qFormat/>
    <w:uiPriority w:val="0"/>
    <w:rPr>
      <w:rFonts w:ascii="宋体" w:eastAsia="宋体"/>
      <w:kern w:val="2"/>
      <w:sz w:val="28"/>
      <w:lang w:val="en-US" w:eastAsia="zh-CN" w:bidi="ar-SA"/>
    </w:rPr>
  </w:style>
  <w:style w:type="character" w:customStyle="1" w:styleId="89">
    <w:name w:val="纯文本 Char"/>
    <w:link w:val="28"/>
    <w:qFormat/>
    <w:uiPriority w:val="0"/>
    <w:rPr>
      <w:rFonts w:ascii="宋体" w:hAnsi="Courier New" w:eastAsia="宋体"/>
      <w:kern w:val="2"/>
      <w:sz w:val="21"/>
      <w:lang w:val="en-US" w:eastAsia="zh-CN" w:bidi="ar-SA"/>
    </w:rPr>
  </w:style>
  <w:style w:type="character" w:customStyle="1" w:styleId="90">
    <w:name w:val="日期 Char"/>
    <w:link w:val="31"/>
    <w:qFormat/>
    <w:uiPriority w:val="0"/>
    <w:rPr>
      <w:rFonts w:eastAsia="宋体"/>
      <w:kern w:val="2"/>
      <w:sz w:val="28"/>
      <w:lang w:val="en-US" w:eastAsia="zh-CN" w:bidi="ar-SA"/>
    </w:rPr>
  </w:style>
  <w:style w:type="character" w:customStyle="1" w:styleId="91">
    <w:name w:val="正文文本缩进 2 Char"/>
    <w:link w:val="32"/>
    <w:qFormat/>
    <w:locked/>
    <w:uiPriority w:val="0"/>
    <w:rPr>
      <w:rFonts w:eastAsia="宋体"/>
      <w:kern w:val="2"/>
      <w:sz w:val="21"/>
      <w:szCs w:val="24"/>
      <w:lang w:val="en-US" w:eastAsia="zh-CN" w:bidi="ar-SA"/>
    </w:rPr>
  </w:style>
  <w:style w:type="character" w:customStyle="1" w:styleId="92">
    <w:name w:val="批注框文本 Char"/>
    <w:link w:val="34"/>
    <w:qFormat/>
    <w:uiPriority w:val="0"/>
    <w:rPr>
      <w:rFonts w:eastAsia="宋体"/>
      <w:kern w:val="2"/>
      <w:sz w:val="18"/>
      <w:szCs w:val="18"/>
      <w:lang w:val="en-US" w:eastAsia="zh-CN" w:bidi="ar-SA"/>
    </w:rPr>
  </w:style>
  <w:style w:type="character" w:customStyle="1" w:styleId="93">
    <w:name w:val="页脚 Char"/>
    <w:link w:val="35"/>
    <w:qFormat/>
    <w:uiPriority w:val="0"/>
    <w:rPr>
      <w:rFonts w:eastAsia="宋体"/>
      <w:kern w:val="2"/>
      <w:sz w:val="18"/>
      <w:szCs w:val="18"/>
      <w:lang w:val="en-US" w:eastAsia="zh-CN" w:bidi="ar-SA"/>
    </w:rPr>
  </w:style>
  <w:style w:type="character" w:customStyle="1" w:styleId="94">
    <w:name w:val="页眉 Char"/>
    <w:link w:val="36"/>
    <w:qFormat/>
    <w:uiPriority w:val="99"/>
    <w:rPr>
      <w:rFonts w:eastAsia="宋体"/>
      <w:kern w:val="2"/>
      <w:sz w:val="18"/>
      <w:szCs w:val="18"/>
      <w:lang w:val="en-US" w:eastAsia="zh-CN" w:bidi="ar-SA"/>
    </w:rPr>
  </w:style>
  <w:style w:type="character" w:customStyle="1" w:styleId="95">
    <w:name w:val="签名 Char"/>
    <w:link w:val="37"/>
    <w:qFormat/>
    <w:uiPriority w:val="0"/>
    <w:rPr>
      <w:rFonts w:eastAsia="仿宋_GB2312"/>
      <w:sz w:val="24"/>
      <w:lang w:val="en-US" w:eastAsia="zh-CN" w:bidi="ar-SA"/>
    </w:rPr>
  </w:style>
  <w:style w:type="character" w:customStyle="1" w:styleId="96">
    <w:name w:val="脚注文本 Char"/>
    <w:link w:val="42"/>
    <w:qFormat/>
    <w:uiPriority w:val="0"/>
    <w:rPr>
      <w:rFonts w:eastAsia="宋体"/>
      <w:kern w:val="2"/>
      <w:sz w:val="18"/>
      <w:szCs w:val="18"/>
      <w:lang w:val="en-US" w:eastAsia="zh-CN" w:bidi="ar-SA"/>
    </w:rPr>
  </w:style>
  <w:style w:type="character" w:customStyle="1" w:styleId="97">
    <w:name w:val="正文文本缩进 3 Char"/>
    <w:link w:val="45"/>
    <w:qFormat/>
    <w:uiPriority w:val="0"/>
    <w:rPr>
      <w:rFonts w:eastAsia="宋体"/>
      <w:b/>
      <w:bCs/>
      <w:kern w:val="2"/>
      <w:sz w:val="24"/>
      <w:lang w:val="en-US" w:eastAsia="zh-CN" w:bidi="ar-SA"/>
    </w:rPr>
  </w:style>
  <w:style w:type="character" w:customStyle="1" w:styleId="98">
    <w:name w:val="HTML 预设格式 Char"/>
    <w:link w:val="52"/>
    <w:qFormat/>
    <w:uiPriority w:val="0"/>
    <w:rPr>
      <w:rFonts w:ascii="宋体" w:hAnsi="宋体" w:eastAsia="宋体" w:cs="宋体"/>
      <w:sz w:val="24"/>
      <w:szCs w:val="24"/>
      <w:lang w:val="en-US" w:eastAsia="zh-CN" w:bidi="ar-SA"/>
    </w:rPr>
  </w:style>
  <w:style w:type="character" w:customStyle="1" w:styleId="99">
    <w:name w:val="标题 Char"/>
    <w:link w:val="55"/>
    <w:qFormat/>
    <w:uiPriority w:val="0"/>
    <w:rPr>
      <w:rFonts w:ascii="Cambria" w:hAnsi="Cambria" w:eastAsia="宋体"/>
      <w:b/>
      <w:bCs/>
      <w:kern w:val="2"/>
      <w:sz w:val="32"/>
      <w:szCs w:val="32"/>
      <w:lang w:val="en-US" w:eastAsia="zh-CN" w:bidi="ar-SA"/>
    </w:rPr>
  </w:style>
  <w:style w:type="character" w:customStyle="1" w:styleId="100">
    <w:name w:val="批注主题 Char"/>
    <w:link w:val="56"/>
    <w:qFormat/>
    <w:uiPriority w:val="0"/>
    <w:rPr>
      <w:rFonts w:eastAsia="宋体"/>
      <w:b/>
      <w:bCs/>
      <w:kern w:val="2"/>
      <w:sz w:val="21"/>
      <w:szCs w:val="24"/>
      <w:lang w:val="en-US" w:eastAsia="zh-CN" w:bidi="ar-SA"/>
    </w:rPr>
  </w:style>
  <w:style w:type="character" w:customStyle="1" w:styleId="101">
    <w:name w:val="正文首行缩进 Char"/>
    <w:basedOn w:val="87"/>
    <w:link w:val="57"/>
    <w:qFormat/>
    <w:uiPriority w:val="0"/>
    <w:rPr>
      <w:rFonts w:eastAsia="宋体"/>
      <w:kern w:val="2"/>
      <w:sz w:val="21"/>
      <w:szCs w:val="24"/>
      <w:lang w:val="en-US" w:eastAsia="zh-CN" w:bidi="ar-SA"/>
    </w:rPr>
  </w:style>
  <w:style w:type="character" w:customStyle="1" w:styleId="102">
    <w:name w:val="keyword"/>
    <w:basedOn w:val="61"/>
    <w:qFormat/>
    <w:uiPriority w:val="0"/>
  </w:style>
  <w:style w:type="character" w:customStyle="1" w:styleId="103">
    <w:name w:val="3zw"/>
    <w:qFormat/>
    <w:uiPriority w:val="0"/>
  </w:style>
  <w:style w:type="character" w:customStyle="1" w:styleId="104">
    <w:name w:val="concon"/>
    <w:basedOn w:val="61"/>
    <w:qFormat/>
    <w:uiPriority w:val="0"/>
  </w:style>
  <w:style w:type="character" w:customStyle="1" w:styleId="105">
    <w:name w:val="第三层条 Char"/>
    <w:qFormat/>
    <w:uiPriority w:val="0"/>
    <w:rPr>
      <w:rFonts w:ascii="Arial" w:hAnsi="Arial" w:eastAsia="黑体" w:cs="Times New Roman"/>
      <w:b/>
      <w:sz w:val="28"/>
      <w:szCs w:val="20"/>
    </w:rPr>
  </w:style>
  <w:style w:type="character" w:customStyle="1" w:styleId="106">
    <w:name w:val="小四 段落 宋体 Char Char Char1"/>
    <w:qFormat/>
    <w:uiPriority w:val="0"/>
    <w:rPr>
      <w:rFonts w:ascii="宋体" w:hAnsi="宋体" w:eastAsia="宋体"/>
      <w:kern w:val="2"/>
      <w:sz w:val="24"/>
      <w:szCs w:val="24"/>
      <w:lang w:val="en-US" w:eastAsia="zh-CN" w:bidi="ar-SA"/>
    </w:rPr>
  </w:style>
  <w:style w:type="character" w:customStyle="1" w:styleId="107">
    <w:name w:val="小四 段落 宋体 Char1"/>
    <w:qFormat/>
    <w:uiPriority w:val="0"/>
    <w:rPr>
      <w:rFonts w:eastAsia="宋体"/>
      <w:kern w:val="2"/>
      <w:sz w:val="24"/>
      <w:szCs w:val="24"/>
      <w:lang w:val="en-US" w:eastAsia="zh-CN" w:bidi="ar-SA"/>
    </w:rPr>
  </w:style>
  <w:style w:type="character" w:customStyle="1" w:styleId="108">
    <w:name w:val="h Char Char"/>
    <w:qFormat/>
    <w:uiPriority w:val="0"/>
    <w:rPr>
      <w:rFonts w:eastAsia="宋体"/>
      <w:kern w:val="2"/>
      <w:sz w:val="18"/>
      <w:szCs w:val="18"/>
      <w:lang w:val="en-US" w:eastAsia="zh-CN" w:bidi="ar-SA"/>
    </w:rPr>
  </w:style>
  <w:style w:type="character" w:customStyle="1" w:styleId="109">
    <w:name w:val="无间隔 Char"/>
    <w:link w:val="110"/>
    <w:qFormat/>
    <w:uiPriority w:val="0"/>
    <w:rPr>
      <w:sz w:val="22"/>
      <w:szCs w:val="22"/>
      <w:lang w:val="en-US" w:eastAsia="zh-CN" w:bidi="ar-SA"/>
    </w:rPr>
  </w:style>
  <w:style w:type="paragraph" w:styleId="110">
    <w:name w:val="No Spacing"/>
    <w:link w:val="109"/>
    <w:qFormat/>
    <w:uiPriority w:val="0"/>
    <w:rPr>
      <w:rFonts w:ascii="Times New Roman" w:hAnsi="Times New Roman" w:eastAsia="宋体" w:cs="Times New Roman"/>
      <w:sz w:val="22"/>
      <w:szCs w:val="22"/>
      <w:lang w:val="en-US" w:eastAsia="zh-CN" w:bidi="ar-SA"/>
    </w:rPr>
  </w:style>
  <w:style w:type="character" w:customStyle="1" w:styleId="111">
    <w:name w:val="style131"/>
    <w:qFormat/>
    <w:uiPriority w:val="0"/>
    <w:rPr>
      <w:rFonts w:cs="Times New Roman"/>
      <w:sz w:val="18"/>
      <w:szCs w:val="18"/>
    </w:rPr>
  </w:style>
  <w:style w:type="character" w:customStyle="1" w:styleId="112">
    <w:name w:val="DAS正文 Char"/>
    <w:link w:val="113"/>
    <w:qFormat/>
    <w:uiPriority w:val="0"/>
    <w:rPr>
      <w:rFonts w:ascii="Verdana" w:hAnsi="Verdana" w:eastAsia="宋体"/>
      <w:kern w:val="2"/>
      <w:sz w:val="24"/>
      <w:szCs w:val="24"/>
      <w:lang w:val="en-US" w:eastAsia="zh-CN" w:bidi="ar-SA"/>
    </w:rPr>
  </w:style>
  <w:style w:type="paragraph" w:customStyle="1" w:styleId="113">
    <w:name w:val="DAS正文"/>
    <w:basedOn w:val="1"/>
    <w:link w:val="112"/>
    <w:qFormat/>
    <w:uiPriority w:val="0"/>
    <w:pPr>
      <w:spacing w:line="360" w:lineRule="auto"/>
      <w:ind w:right="181" w:firstLine="480" w:firstLineChars="200"/>
    </w:pPr>
    <w:rPr>
      <w:rFonts w:ascii="Verdana" w:hAnsi="Verdana"/>
      <w:sz w:val="24"/>
    </w:rPr>
  </w:style>
  <w:style w:type="character" w:customStyle="1" w:styleId="114">
    <w:name w:val="Char Char6"/>
    <w:qFormat/>
    <w:uiPriority w:val="0"/>
    <w:rPr>
      <w:sz w:val="18"/>
      <w:szCs w:val="18"/>
    </w:rPr>
  </w:style>
  <w:style w:type="character" w:customStyle="1" w:styleId="115">
    <w:name w:val="ca-1"/>
    <w:basedOn w:val="61"/>
    <w:qFormat/>
    <w:uiPriority w:val="0"/>
  </w:style>
  <w:style w:type="character" w:customStyle="1" w:styleId="116">
    <w:name w:val="第六层条 Char"/>
    <w:qFormat/>
    <w:uiPriority w:val="0"/>
    <w:rPr>
      <w:rFonts w:eastAsia="宋体"/>
      <w:b/>
      <w:bCs/>
      <w:kern w:val="2"/>
      <w:sz w:val="24"/>
      <w:szCs w:val="24"/>
      <w:lang w:val="en-US" w:eastAsia="zh-CN" w:bidi="ar-SA"/>
    </w:rPr>
  </w:style>
  <w:style w:type="character" w:customStyle="1" w:styleId="117">
    <w:name w:val="subtitle1"/>
    <w:qFormat/>
    <w:uiPriority w:val="0"/>
    <w:rPr>
      <w:rFonts w:hint="default" w:ascii="Georgia" w:hAnsi="Georgia"/>
      <w:b/>
      <w:bCs/>
      <w:color w:val="666666"/>
      <w:sz w:val="18"/>
      <w:szCs w:val="18"/>
    </w:rPr>
  </w:style>
  <w:style w:type="character" w:customStyle="1" w:styleId="118">
    <w:name w:val="正文文本 Char"/>
    <w:qFormat/>
    <w:uiPriority w:val="0"/>
    <w:rPr>
      <w:rFonts w:ascii="楷体_GB2312" w:hAnsi="Arial" w:eastAsia="楷体_GB2312"/>
      <w:kern w:val="2"/>
      <w:sz w:val="28"/>
      <w:lang w:val="en-US" w:eastAsia="zh-CN" w:bidi="ar-SA"/>
    </w:rPr>
  </w:style>
  <w:style w:type="character" w:customStyle="1" w:styleId="119">
    <w:name w:val="st1"/>
    <w:basedOn w:val="61"/>
    <w:qFormat/>
    <w:uiPriority w:val="0"/>
  </w:style>
  <w:style w:type="character" w:customStyle="1" w:styleId="120">
    <w:name w:val="普通文字1 Char1"/>
    <w:qFormat/>
    <w:uiPriority w:val="0"/>
    <w:rPr>
      <w:rFonts w:ascii="宋体" w:hAnsi="Courier New" w:eastAsia="宋体"/>
      <w:kern w:val="2"/>
      <w:sz w:val="21"/>
      <w:szCs w:val="21"/>
      <w:lang w:val="en-US" w:eastAsia="zh-CN" w:bidi="ar-SA"/>
    </w:rPr>
  </w:style>
  <w:style w:type="character" w:customStyle="1" w:styleId="121">
    <w:name w:val="小四 段落 宋体 Char Char Char Char1"/>
    <w:qFormat/>
    <w:uiPriority w:val="0"/>
    <w:rPr>
      <w:rFonts w:eastAsia="宋体"/>
      <w:kern w:val="2"/>
      <w:sz w:val="24"/>
      <w:szCs w:val="24"/>
      <w:lang w:val="en-US" w:eastAsia="zh-CN" w:bidi="ar-SA"/>
    </w:rPr>
  </w:style>
  <w:style w:type="character" w:customStyle="1" w:styleId="122">
    <w:name w:val="dash Char"/>
    <w:qFormat/>
    <w:uiPriority w:val="0"/>
    <w:rPr>
      <w:rFonts w:ascii="黑体" w:hAnsi="Times New Roman" w:eastAsia="黑体" w:cs="Times New Roman"/>
      <w:b/>
      <w:color w:val="000000"/>
      <w:sz w:val="28"/>
      <w:szCs w:val="20"/>
    </w:rPr>
  </w:style>
  <w:style w:type="character" w:customStyle="1" w:styleId="123">
    <w:name w:val="apple-style-span"/>
    <w:basedOn w:val="61"/>
    <w:qFormat/>
    <w:uiPriority w:val="0"/>
  </w:style>
  <w:style w:type="character" w:customStyle="1" w:styleId="124">
    <w:name w:val="华宇段落1 Char Char"/>
    <w:qFormat/>
    <w:uiPriority w:val="0"/>
    <w:rPr>
      <w:rFonts w:eastAsia="宋体"/>
      <w:bCs/>
      <w:kern w:val="2"/>
      <w:sz w:val="24"/>
      <w:szCs w:val="24"/>
      <w:lang w:val="en-US" w:eastAsia="zh-CN" w:bidi="ar-SA"/>
    </w:rPr>
  </w:style>
  <w:style w:type="character" w:customStyle="1" w:styleId="125">
    <w:name w:val="第八层条 Char1"/>
    <w:qFormat/>
    <w:uiPriority w:val="0"/>
    <w:rPr>
      <w:rFonts w:ascii="Arial" w:hAnsi="Arial" w:eastAsia="黑体" w:cs="Times New Roman"/>
      <w:szCs w:val="21"/>
    </w:rPr>
  </w:style>
  <w:style w:type="character" w:customStyle="1" w:styleId="126">
    <w:name w:val="Char3 Char Char"/>
    <w:qFormat/>
    <w:uiPriority w:val="0"/>
    <w:rPr>
      <w:rFonts w:ascii="Arial" w:hAnsi="Arial" w:eastAsia="黑体"/>
      <w:b/>
      <w:kern w:val="2"/>
      <w:sz w:val="28"/>
      <w:lang w:val="en-US" w:eastAsia="zh-CN" w:bidi="ar-SA"/>
    </w:rPr>
  </w:style>
  <w:style w:type="character" w:customStyle="1" w:styleId="127">
    <w:name w:val="表正文 Char2"/>
    <w:qFormat/>
    <w:uiPriority w:val="0"/>
    <w:rPr>
      <w:rFonts w:eastAsia="宋体"/>
      <w:kern w:val="2"/>
      <w:sz w:val="21"/>
      <w:lang w:val="en-US" w:eastAsia="zh-CN" w:bidi="ar-SA"/>
    </w:rPr>
  </w:style>
  <w:style w:type="character" w:customStyle="1" w:styleId="128">
    <w:name w:val="样式 宋体 小四"/>
    <w:qFormat/>
    <w:uiPriority w:val="0"/>
    <w:rPr>
      <w:rFonts w:ascii="宋体" w:hAnsi="宋体"/>
      <w:sz w:val="24"/>
    </w:rPr>
  </w:style>
  <w:style w:type="character" w:customStyle="1" w:styleId="129">
    <w:name w:val="普通文字1 Char2"/>
    <w:qFormat/>
    <w:uiPriority w:val="0"/>
    <w:rPr>
      <w:rFonts w:ascii="宋体" w:hAnsi="Courier New" w:eastAsia="宋体"/>
    </w:rPr>
  </w:style>
  <w:style w:type="character" w:customStyle="1" w:styleId="130">
    <w:name w:val="已访问的超链接1"/>
    <w:qFormat/>
    <w:uiPriority w:val="0"/>
    <w:rPr>
      <w:color w:val="auto"/>
      <w:u w:val="none"/>
    </w:rPr>
  </w:style>
  <w:style w:type="character" w:customStyle="1" w:styleId="131">
    <w:name w:val="H2 Char1"/>
    <w:qFormat/>
    <w:uiPriority w:val="0"/>
    <w:rPr>
      <w:rFonts w:ascii="Arial" w:hAnsi="Arial" w:eastAsia="黑体"/>
      <w:b/>
      <w:bCs/>
      <w:kern w:val="2"/>
      <w:sz w:val="32"/>
      <w:szCs w:val="32"/>
      <w:lang w:val="en-US" w:eastAsia="zh-CN" w:bidi="ar-SA"/>
    </w:rPr>
  </w:style>
  <w:style w:type="character" w:customStyle="1" w:styleId="132">
    <w:name w:val="2nd level Char"/>
    <w:qFormat/>
    <w:uiPriority w:val="0"/>
    <w:rPr>
      <w:rFonts w:ascii="Arial" w:hAnsi="Arial" w:eastAsia="黑体"/>
      <w:b/>
      <w:bCs/>
      <w:kern w:val="2"/>
      <w:sz w:val="32"/>
      <w:szCs w:val="32"/>
      <w:lang w:val="en-US" w:eastAsia="zh-CN" w:bidi="ar-SA"/>
    </w:rPr>
  </w:style>
  <w:style w:type="character" w:customStyle="1" w:styleId="133">
    <w:name w:val="Item List Char Char Char"/>
    <w:link w:val="134"/>
    <w:qFormat/>
    <w:uiPriority w:val="0"/>
    <w:rPr>
      <w:rFonts w:ascii="Arial" w:hAnsi="Arial"/>
      <w:b/>
      <w:bCs/>
      <w:kern w:val="2"/>
      <w:sz w:val="21"/>
      <w:szCs w:val="22"/>
      <w:lang w:val="en-US" w:eastAsia="zh-CN" w:bidi="ar-SA"/>
    </w:rPr>
  </w:style>
  <w:style w:type="paragraph" w:customStyle="1" w:styleId="134">
    <w:name w:val="Item List Char Char"/>
    <w:link w:val="133"/>
    <w:qFormat/>
    <w:uiPriority w:val="0"/>
    <w:pPr>
      <w:adjustRightInd w:val="0"/>
      <w:snapToGrid w:val="0"/>
      <w:spacing w:line="288" w:lineRule="auto"/>
      <w:jc w:val="both"/>
    </w:pPr>
    <w:rPr>
      <w:rFonts w:ascii="Arial" w:hAnsi="Arial" w:eastAsia="宋体" w:cs="Times New Roman"/>
      <w:b/>
      <w:bCs/>
      <w:kern w:val="2"/>
      <w:sz w:val="21"/>
      <w:szCs w:val="22"/>
      <w:lang w:val="en-US" w:eastAsia="zh-CN" w:bidi="ar-SA"/>
    </w:rPr>
  </w:style>
  <w:style w:type="character" w:customStyle="1" w:styleId="135">
    <w:name w:val="PI Char"/>
    <w:qFormat/>
    <w:uiPriority w:val="0"/>
    <w:rPr>
      <w:rFonts w:ascii="楷体_GB2312" w:eastAsia="楷体_GB2312"/>
      <w:sz w:val="32"/>
    </w:rPr>
  </w:style>
  <w:style w:type="character" w:customStyle="1" w:styleId="136">
    <w:name w:val="param-name param-explain"/>
    <w:basedOn w:val="61"/>
    <w:qFormat/>
    <w:uiPriority w:val="0"/>
  </w:style>
  <w:style w:type="character" w:customStyle="1" w:styleId="137">
    <w:name w:val="页脚 Char1"/>
    <w:qFormat/>
    <w:uiPriority w:val="0"/>
    <w:rPr>
      <w:kern w:val="2"/>
      <w:sz w:val="18"/>
      <w:szCs w:val="18"/>
    </w:rPr>
  </w:style>
  <w:style w:type="character" w:customStyle="1" w:styleId="138">
    <w:name w:val="标题 2 Char Char Char"/>
    <w:qFormat/>
    <w:uiPriority w:val="99"/>
    <w:rPr>
      <w:rFonts w:ascii="Arial" w:hAnsi="Arial" w:eastAsia="黑体" w:cs="Times New Roman"/>
      <w:b/>
      <w:bCs/>
      <w:kern w:val="2"/>
      <w:sz w:val="32"/>
      <w:szCs w:val="32"/>
      <w:lang w:val="en-US" w:eastAsia="zh-CN" w:bidi="ar-SA"/>
    </w:rPr>
  </w:style>
  <w:style w:type="character" w:customStyle="1" w:styleId="139">
    <w:name w:val="黑色 Char Char Char Char Char Char Char Char Char Char Char"/>
    <w:link w:val="140"/>
    <w:qFormat/>
    <w:uiPriority w:val="0"/>
    <w:rPr>
      <w:rFonts w:ascii="Arial" w:hAnsi="Arial" w:eastAsia="宋体"/>
      <w:b/>
      <w:color w:val="000000"/>
      <w:lang w:bidi="ar-SA"/>
    </w:rPr>
  </w:style>
  <w:style w:type="paragraph" w:customStyle="1" w:styleId="140">
    <w:name w:val="正文 + Arial Char"/>
    <w:basedOn w:val="1"/>
    <w:link w:val="139"/>
    <w:qFormat/>
    <w:uiPriority w:val="0"/>
    <w:pPr>
      <w:widowControl/>
      <w:tabs>
        <w:tab w:val="left" w:pos="720"/>
      </w:tabs>
      <w:spacing w:line="300" w:lineRule="auto"/>
      <w:ind w:left="720" w:hanging="720"/>
    </w:pPr>
    <w:rPr>
      <w:rFonts w:ascii="Arial" w:hAnsi="Arial"/>
      <w:b/>
      <w:color w:val="000000"/>
      <w:kern w:val="0"/>
      <w:sz w:val="20"/>
      <w:szCs w:val="20"/>
    </w:rPr>
  </w:style>
  <w:style w:type="character" w:customStyle="1" w:styleId="141">
    <w:name w:val="正文首行缩进两字 Char Char"/>
    <w:link w:val="142"/>
    <w:qFormat/>
    <w:uiPriority w:val="0"/>
    <w:rPr>
      <w:rFonts w:eastAsia="Times New Roman"/>
      <w:kern w:val="2"/>
      <w:sz w:val="24"/>
      <w:szCs w:val="22"/>
      <w:lang w:val="en-US" w:eastAsia="zh-CN" w:bidi="ar-SA"/>
    </w:rPr>
  </w:style>
  <w:style w:type="paragraph" w:customStyle="1" w:styleId="142">
    <w:name w:val="正文首行缩进两字"/>
    <w:link w:val="141"/>
    <w:qFormat/>
    <w:uiPriority w:val="0"/>
    <w:pPr>
      <w:spacing w:afterLines="50" w:line="300" w:lineRule="auto"/>
      <w:ind w:left="240" w:leftChars="100" w:right="240" w:rightChars="100" w:firstLine="480" w:firstLineChars="200"/>
    </w:pPr>
    <w:rPr>
      <w:rFonts w:ascii="Times New Roman" w:hAnsi="Times New Roman" w:eastAsia="Times New Roman" w:cs="Times New Roman"/>
      <w:kern w:val="2"/>
      <w:sz w:val="24"/>
      <w:szCs w:val="22"/>
      <w:lang w:val="en-US" w:eastAsia="zh-CN" w:bidi="ar-SA"/>
    </w:rPr>
  </w:style>
  <w:style w:type="character" w:customStyle="1" w:styleId="143">
    <w:name w:val="第五层条 Char"/>
    <w:qFormat/>
    <w:uiPriority w:val="0"/>
    <w:rPr>
      <w:rFonts w:ascii="Arial" w:hAnsi="Arial" w:eastAsia="黑体" w:cs="Times New Roman"/>
      <w:b/>
      <w:bCs/>
      <w:sz w:val="24"/>
      <w:szCs w:val="24"/>
    </w:rPr>
  </w:style>
  <w:style w:type="character" w:customStyle="1" w:styleId="144">
    <w:name w:val="h7 Char Char1"/>
    <w:qFormat/>
    <w:uiPriority w:val="0"/>
    <w:rPr>
      <w:rFonts w:eastAsia="宋体"/>
      <w:sz w:val="18"/>
    </w:rPr>
  </w:style>
  <w:style w:type="character" w:customStyle="1" w:styleId="145">
    <w:name w:val="case31"/>
    <w:qFormat/>
    <w:uiPriority w:val="0"/>
    <w:rPr>
      <w:rFonts w:hint="default"/>
      <w:sz w:val="21"/>
      <w:szCs w:val="21"/>
    </w:rPr>
  </w:style>
  <w:style w:type="character" w:customStyle="1" w:styleId="146">
    <w:name w:val="A2"/>
    <w:qFormat/>
    <w:uiPriority w:val="0"/>
    <w:rPr>
      <w:rFonts w:cs="Helvetica"/>
      <w:color w:val="000000"/>
      <w:sz w:val="18"/>
      <w:szCs w:val="18"/>
    </w:rPr>
  </w:style>
  <w:style w:type="character" w:customStyle="1" w:styleId="147">
    <w:name w:val="Char Char7"/>
    <w:qFormat/>
    <w:uiPriority w:val="0"/>
    <w:rPr>
      <w:sz w:val="18"/>
      <w:szCs w:val="18"/>
    </w:rPr>
  </w:style>
  <w:style w:type="character" w:customStyle="1" w:styleId="148">
    <w:name w:val="NICMAN Body Text Char Char"/>
    <w:qFormat/>
    <w:uiPriority w:val="0"/>
    <w:rPr>
      <w:rFonts w:eastAsia="宋体"/>
      <w:kern w:val="2"/>
      <w:sz w:val="21"/>
      <w:szCs w:val="24"/>
      <w:lang w:val="en-US" w:eastAsia="zh-CN" w:bidi="ar-SA"/>
    </w:rPr>
  </w:style>
  <w:style w:type="character" w:customStyle="1" w:styleId="149">
    <w:name w:val="textcontents"/>
    <w:qFormat/>
    <w:uiPriority w:val="0"/>
  </w:style>
  <w:style w:type="character" w:customStyle="1" w:styleId="150">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1">
    <w:name w:val="正文缩 Char"/>
    <w:link w:val="152"/>
    <w:qFormat/>
    <w:uiPriority w:val="0"/>
    <w:rPr>
      <w:rFonts w:ascii="Calibri" w:hAnsi="Calibri"/>
      <w:sz w:val="24"/>
      <w:szCs w:val="28"/>
      <w:lang w:bidi="mn-Mong-CN"/>
    </w:rPr>
  </w:style>
  <w:style w:type="paragraph" w:customStyle="1" w:styleId="152">
    <w:name w:val="正文缩"/>
    <w:basedOn w:val="1"/>
    <w:link w:val="151"/>
    <w:qFormat/>
    <w:uiPriority w:val="0"/>
    <w:pPr>
      <w:spacing w:line="360" w:lineRule="auto"/>
      <w:ind w:firstLine="200" w:firstLineChars="200"/>
    </w:pPr>
    <w:rPr>
      <w:rFonts w:ascii="Calibri" w:hAnsi="Calibri"/>
      <w:kern w:val="0"/>
      <w:sz w:val="24"/>
      <w:szCs w:val="28"/>
      <w:lang w:bidi="mn-Mong-CN"/>
    </w:rPr>
  </w:style>
  <w:style w:type="character" w:customStyle="1" w:styleId="153">
    <w:name w:val="16"/>
    <w:qFormat/>
    <w:uiPriority w:val="0"/>
    <w:rPr>
      <w:rFonts w:hint="default" w:ascii="Times New Roman" w:hAnsi="Times New Roman" w:cs="Times New Roman"/>
      <w:b/>
      <w:bCs/>
      <w:sz w:val="28"/>
      <w:szCs w:val="28"/>
    </w:rPr>
  </w:style>
  <w:style w:type="character" w:customStyle="1" w:styleId="154">
    <w:name w:val="h7 Char Char"/>
    <w:qFormat/>
    <w:uiPriority w:val="0"/>
    <w:rPr>
      <w:rFonts w:eastAsia="宋体"/>
      <w:kern w:val="2"/>
      <w:sz w:val="18"/>
      <w:szCs w:val="18"/>
      <w:lang w:val="en-US" w:eastAsia="zh-CN" w:bidi="ar-SA"/>
    </w:rPr>
  </w:style>
  <w:style w:type="character" w:customStyle="1" w:styleId="155">
    <w:name w:val="Title1 Char"/>
    <w:qFormat/>
    <w:uiPriority w:val="0"/>
    <w:rPr>
      <w:rFonts w:eastAsia="宋体"/>
      <w:b/>
      <w:bCs/>
      <w:kern w:val="44"/>
      <w:sz w:val="44"/>
      <w:szCs w:val="44"/>
      <w:lang w:val="en-US" w:eastAsia="zh-CN" w:bidi="ar-SA"/>
    </w:rPr>
  </w:style>
  <w:style w:type="character" w:customStyle="1" w:styleId="156">
    <w:name w:val="标题 3 Char1"/>
    <w:qFormat/>
    <w:uiPriority w:val="0"/>
    <w:rPr>
      <w:rFonts w:eastAsia="宋体"/>
      <w:b/>
      <w:bCs/>
      <w:kern w:val="2"/>
      <w:sz w:val="32"/>
      <w:szCs w:val="32"/>
      <w:lang w:val="en-US" w:eastAsia="zh-CN" w:bidi="ar-SA"/>
    </w:rPr>
  </w:style>
  <w:style w:type="character" w:customStyle="1" w:styleId="157">
    <w:name w:val="第八层条 Char"/>
    <w:qFormat/>
    <w:uiPriority w:val="0"/>
    <w:rPr>
      <w:rFonts w:ascii="Arial" w:hAnsi="Arial" w:eastAsia="黑体"/>
      <w:kern w:val="2"/>
      <w:sz w:val="21"/>
      <w:szCs w:val="21"/>
      <w:lang w:val="en-US" w:eastAsia="zh-CN" w:bidi="ar-SA"/>
    </w:rPr>
  </w:style>
  <w:style w:type="character" w:customStyle="1" w:styleId="158">
    <w:name w:val="普通文字 Char1"/>
    <w:qFormat/>
    <w:uiPriority w:val="0"/>
    <w:rPr>
      <w:rFonts w:ascii="宋体" w:hAnsi="Courier New" w:eastAsia="宋体"/>
      <w:kern w:val="2"/>
      <w:sz w:val="21"/>
      <w:lang w:val="en-US" w:eastAsia="zh-CN" w:bidi="ar-SA"/>
    </w:rPr>
  </w:style>
  <w:style w:type="character" w:customStyle="1" w:styleId="159">
    <w:name w:val="文档 Char Char"/>
    <w:link w:val="160"/>
    <w:qFormat/>
    <w:uiPriority w:val="0"/>
    <w:rPr>
      <w:rFonts w:eastAsia="宋体"/>
      <w:sz w:val="24"/>
      <w:szCs w:val="24"/>
      <w:lang w:val="zh-CN" w:bidi="ar-SA"/>
    </w:rPr>
  </w:style>
  <w:style w:type="paragraph" w:customStyle="1" w:styleId="160">
    <w:name w:val="文档"/>
    <w:basedOn w:val="1"/>
    <w:link w:val="159"/>
    <w:qFormat/>
    <w:uiPriority w:val="0"/>
    <w:pPr>
      <w:spacing w:beforeLines="50" w:afterLines="50"/>
      <w:ind w:firstLine="480" w:firstLineChars="200"/>
    </w:pPr>
    <w:rPr>
      <w:kern w:val="0"/>
      <w:sz w:val="24"/>
      <w:lang w:val="zh-CN"/>
    </w:rPr>
  </w:style>
  <w:style w:type="character" w:customStyle="1" w:styleId="161">
    <w:name w:val="normalfont1"/>
    <w:qFormat/>
    <w:uiPriority w:val="0"/>
    <w:rPr>
      <w:rFonts w:hint="default" w:ascii="ˎ̥" w:hAnsi="ˎ̥"/>
      <w:sz w:val="18"/>
      <w:szCs w:val="18"/>
      <w:u w:val="none"/>
    </w:rPr>
  </w:style>
  <w:style w:type="character" w:customStyle="1" w:styleId="162">
    <w:name w:val="一级标题 Char Char"/>
    <w:qFormat/>
    <w:uiPriority w:val="0"/>
    <w:rPr>
      <w:rFonts w:eastAsia="宋体"/>
      <w:b/>
      <w:bCs/>
      <w:kern w:val="44"/>
      <w:sz w:val="44"/>
      <w:szCs w:val="44"/>
      <w:lang w:val="en-US" w:eastAsia="zh-CN" w:bidi="ar-SA"/>
    </w:rPr>
  </w:style>
  <w:style w:type="character" w:customStyle="1" w:styleId="163">
    <w:name w:val="Table Text Char Char"/>
    <w:link w:val="164"/>
    <w:qFormat/>
    <w:uiPriority w:val="0"/>
    <w:rPr>
      <w:rFonts w:ascii="Arial" w:hAnsi="Arial"/>
      <w:sz w:val="18"/>
      <w:szCs w:val="22"/>
      <w:lang w:val="en-US" w:eastAsia="zh-CN" w:bidi="ar-SA"/>
    </w:rPr>
  </w:style>
  <w:style w:type="paragraph" w:customStyle="1" w:styleId="164">
    <w:name w:val="Table Text Char"/>
    <w:link w:val="163"/>
    <w:qFormat/>
    <w:uiPriority w:val="0"/>
    <w:pPr>
      <w:snapToGrid w:val="0"/>
      <w:spacing w:before="80" w:after="80"/>
    </w:pPr>
    <w:rPr>
      <w:rFonts w:ascii="Arial" w:hAnsi="Arial" w:eastAsia="宋体" w:cs="Times New Roman"/>
      <w:sz w:val="18"/>
      <w:szCs w:val="22"/>
      <w:lang w:val="en-US" w:eastAsia="zh-CN" w:bidi="ar-SA"/>
    </w:rPr>
  </w:style>
  <w:style w:type="character" w:customStyle="1" w:styleId="165">
    <w:name w:val="标准小四 Char"/>
    <w:qFormat/>
    <w:uiPriority w:val="0"/>
    <w:rPr>
      <w:rFonts w:ascii="Arial" w:hAnsi="Arial" w:eastAsia="宋体"/>
      <w:kern w:val="2"/>
      <w:sz w:val="24"/>
      <w:szCs w:val="21"/>
      <w:lang w:val="en-US" w:eastAsia="zh-CN" w:bidi="ar-SA"/>
    </w:rPr>
  </w:style>
  <w:style w:type="character" w:customStyle="1" w:styleId="166">
    <w:name w:val="二级目录 Char Char"/>
    <w:link w:val="167"/>
    <w:qFormat/>
    <w:uiPriority w:val="0"/>
    <w:rPr>
      <w:rFonts w:eastAsia="Times New Roman"/>
      <w:b/>
      <w:kern w:val="2"/>
      <w:sz w:val="30"/>
      <w:szCs w:val="28"/>
      <w:lang w:val="en-US" w:eastAsia="zh-CN" w:bidi="ar-SA"/>
    </w:rPr>
  </w:style>
  <w:style w:type="paragraph" w:customStyle="1" w:styleId="167">
    <w:name w:val="二级目录"/>
    <w:next w:val="1"/>
    <w:link w:val="166"/>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character" w:customStyle="1" w:styleId="168">
    <w:name w:val="标准文本 Char"/>
    <w:qFormat/>
    <w:uiPriority w:val="0"/>
    <w:rPr>
      <w:rFonts w:eastAsia="宋体" w:cs="宋体"/>
      <w:kern w:val="2"/>
      <w:sz w:val="24"/>
      <w:szCs w:val="24"/>
      <w:lang w:val="en-US" w:eastAsia="zh-CN" w:bidi="ar-SA"/>
    </w:rPr>
  </w:style>
  <w:style w:type="character" w:customStyle="1" w:styleId="169">
    <w:name w:val="op-map-singlepoint-info-right1"/>
    <w:basedOn w:val="61"/>
    <w:qFormat/>
    <w:uiPriority w:val="0"/>
  </w:style>
  <w:style w:type="character" w:customStyle="1" w:styleId="170">
    <w:name w:val="ih151"/>
    <w:qFormat/>
    <w:uiPriority w:val="0"/>
    <w:rPr>
      <w:color w:val="666666"/>
      <w:sz w:val="18"/>
      <w:szCs w:val="18"/>
      <w:u w:val="none"/>
    </w:rPr>
  </w:style>
  <w:style w:type="character" w:customStyle="1" w:styleId="171">
    <w:name w:val="第七层条 Char1"/>
    <w:qFormat/>
    <w:uiPriority w:val="0"/>
    <w:rPr>
      <w:rFonts w:ascii="Arial" w:hAnsi="Arial" w:eastAsia="黑体" w:cs="Times New Roman"/>
      <w:sz w:val="24"/>
      <w:szCs w:val="24"/>
    </w:rPr>
  </w:style>
  <w:style w:type="character" w:customStyle="1" w:styleId="172">
    <w:name w:val="ca-6"/>
    <w:basedOn w:val="61"/>
    <w:qFormat/>
    <w:uiPriority w:val="0"/>
  </w:style>
  <w:style w:type="character" w:customStyle="1" w:styleId="173">
    <w:name w:val="name"/>
    <w:basedOn w:val="61"/>
    <w:qFormat/>
    <w:uiPriority w:val="0"/>
  </w:style>
  <w:style w:type="character" w:customStyle="1" w:styleId="174">
    <w:name w:val="自定义正文 Char Char"/>
    <w:link w:val="175"/>
    <w:qFormat/>
    <w:uiPriority w:val="0"/>
    <w:rPr>
      <w:rFonts w:eastAsia="宋体"/>
      <w:kern w:val="2"/>
      <w:sz w:val="24"/>
      <w:szCs w:val="24"/>
      <w:lang w:val="en-US" w:eastAsia="zh-CN" w:bidi="ar-SA"/>
    </w:rPr>
  </w:style>
  <w:style w:type="paragraph" w:customStyle="1" w:styleId="175">
    <w:name w:val="自定义正文 Char"/>
    <w:basedOn w:val="1"/>
    <w:link w:val="174"/>
    <w:qFormat/>
    <w:uiPriority w:val="0"/>
    <w:pPr>
      <w:spacing w:afterLines="50" w:line="360" w:lineRule="auto"/>
      <w:ind w:firstLine="200" w:firstLineChars="200"/>
      <w:jc w:val="left"/>
    </w:pPr>
    <w:rPr>
      <w:sz w:val="24"/>
    </w:rPr>
  </w:style>
  <w:style w:type="character" w:customStyle="1" w:styleId="176">
    <w:name w:val="小四 段落 宋体 Char Char Char Char Char"/>
    <w:qFormat/>
    <w:uiPriority w:val="0"/>
    <w:rPr>
      <w:rFonts w:eastAsia="宋体"/>
      <w:kern w:val="2"/>
      <w:sz w:val="24"/>
      <w:szCs w:val="24"/>
      <w:lang w:val="en-US" w:eastAsia="zh-CN" w:bidi="ar-SA"/>
    </w:rPr>
  </w:style>
  <w:style w:type="character" w:customStyle="1" w:styleId="177">
    <w:name w:val="表格 Char Char"/>
    <w:link w:val="178"/>
    <w:qFormat/>
    <w:uiPriority w:val="0"/>
    <w:rPr>
      <w:rFonts w:ascii="宋体" w:hAnsi="宋体"/>
      <w:lang w:bidi="ar-SA"/>
    </w:rPr>
  </w:style>
  <w:style w:type="paragraph" w:customStyle="1" w:styleId="178">
    <w:name w:val="表格"/>
    <w:basedOn w:val="1"/>
    <w:link w:val="177"/>
    <w:qFormat/>
    <w:uiPriority w:val="0"/>
    <w:pPr>
      <w:snapToGrid w:val="0"/>
      <w:ind w:firstLine="42" w:firstLineChars="21"/>
    </w:pPr>
    <w:rPr>
      <w:rFonts w:ascii="宋体" w:hAnsi="宋体"/>
      <w:kern w:val="0"/>
      <w:sz w:val="20"/>
      <w:szCs w:val="20"/>
    </w:rPr>
  </w:style>
  <w:style w:type="character" w:customStyle="1" w:styleId="179">
    <w:name w:val="param-name"/>
    <w:basedOn w:val="61"/>
    <w:qFormat/>
    <w:uiPriority w:val="0"/>
  </w:style>
  <w:style w:type="character" w:customStyle="1" w:styleId="180">
    <w:name w:val="h3 Char1"/>
    <w:qFormat/>
    <w:uiPriority w:val="0"/>
    <w:rPr>
      <w:rFonts w:eastAsia="宋体"/>
      <w:b/>
      <w:bCs/>
      <w:kern w:val="2"/>
      <w:sz w:val="32"/>
      <w:szCs w:val="32"/>
      <w:lang w:val="en-US" w:eastAsia="zh-CN" w:bidi="ar-SA"/>
    </w:rPr>
  </w:style>
  <w:style w:type="character" w:customStyle="1" w:styleId="181">
    <w:name w:val="ca-2"/>
    <w:basedOn w:val="61"/>
    <w:qFormat/>
    <w:uiPriority w:val="0"/>
  </w:style>
  <w:style w:type="character" w:customStyle="1" w:styleId="182">
    <w:name w:val="我的正文 Char"/>
    <w:link w:val="183"/>
    <w:qFormat/>
    <w:uiPriority w:val="0"/>
    <w:rPr>
      <w:rFonts w:ascii="宋体" w:hAnsi="宋体" w:eastAsia="宋体"/>
      <w:szCs w:val="21"/>
      <w:lang w:bidi="ar-SA"/>
    </w:rPr>
  </w:style>
  <w:style w:type="paragraph" w:customStyle="1" w:styleId="183">
    <w:name w:val="我的正文"/>
    <w:basedOn w:val="1"/>
    <w:link w:val="182"/>
    <w:qFormat/>
    <w:uiPriority w:val="0"/>
    <w:pPr>
      <w:widowControl/>
      <w:spacing w:line="360" w:lineRule="auto"/>
      <w:ind w:firstLine="420"/>
      <w:jc w:val="left"/>
    </w:pPr>
    <w:rPr>
      <w:rFonts w:ascii="宋体" w:hAnsi="宋体"/>
      <w:kern w:val="0"/>
      <w:sz w:val="20"/>
      <w:szCs w:val="21"/>
    </w:rPr>
  </w:style>
  <w:style w:type="character" w:customStyle="1" w:styleId="184">
    <w:name w:val="样式 非加粗"/>
    <w:qFormat/>
    <w:uiPriority w:val="0"/>
    <w:rPr>
      <w:rFonts w:eastAsia="宋体"/>
      <w:sz w:val="28"/>
    </w:rPr>
  </w:style>
  <w:style w:type="character" w:customStyle="1" w:styleId="185">
    <w:name w:val="para_small"/>
    <w:basedOn w:val="61"/>
    <w:qFormat/>
    <w:uiPriority w:val="0"/>
  </w:style>
  <w:style w:type="character" w:customStyle="1" w:styleId="186">
    <w:name w:val="apple-converted-space"/>
    <w:basedOn w:val="61"/>
    <w:qFormat/>
    <w:uiPriority w:val="0"/>
  </w:style>
  <w:style w:type="character" w:customStyle="1" w:styleId="187">
    <w:name w:val="content_lineheight1"/>
    <w:qFormat/>
    <w:uiPriority w:val="0"/>
  </w:style>
  <w:style w:type="character" w:customStyle="1" w:styleId="188">
    <w:name w:val="特点 Char1"/>
    <w:qFormat/>
    <w:uiPriority w:val="0"/>
    <w:rPr>
      <w:rFonts w:eastAsia="宋体"/>
      <w:kern w:val="2"/>
      <w:sz w:val="21"/>
      <w:lang w:val="en-US" w:eastAsia="zh-CN" w:bidi="ar-SA"/>
    </w:rPr>
  </w:style>
  <w:style w:type="character" w:customStyle="1" w:styleId="189">
    <w:name w:val="point_normal1"/>
    <w:qFormat/>
    <w:uiPriority w:val="0"/>
    <w:rPr>
      <w:rFonts w:hint="default" w:ascii="Arial" w:hAnsi="Arial" w:cs="Arial"/>
      <w:sz w:val="18"/>
      <w:szCs w:val="18"/>
    </w:rPr>
  </w:style>
  <w:style w:type="character" w:customStyle="1" w:styleId="190">
    <w:name w:val="listbenefit"/>
    <w:basedOn w:val="61"/>
    <w:qFormat/>
    <w:uiPriority w:val="0"/>
  </w:style>
  <w:style w:type="character" w:customStyle="1" w:styleId="191">
    <w:name w:val="title_emph1"/>
    <w:qFormat/>
    <w:uiPriority w:val="0"/>
    <w:rPr>
      <w:rFonts w:hint="default" w:ascii="Arial" w:hAnsi="Arial" w:cs="Arial"/>
      <w:b/>
      <w:bCs/>
      <w:sz w:val="18"/>
      <w:szCs w:val="18"/>
    </w:rPr>
  </w:style>
  <w:style w:type="character" w:customStyle="1" w:styleId="192">
    <w:name w:val="正文 + 宋体 Char"/>
    <w:qFormat/>
    <w:uiPriority w:val="0"/>
    <w:rPr>
      <w:rFonts w:eastAsia="宋体"/>
      <w:kern w:val="2"/>
      <w:sz w:val="21"/>
      <w:szCs w:val="24"/>
      <w:lang w:val="en-US" w:eastAsia="zh-CN" w:bidi="ar-SA"/>
    </w:rPr>
  </w:style>
  <w:style w:type="character" w:customStyle="1" w:styleId="193">
    <w:name w:val="第六层条 Char1"/>
    <w:qFormat/>
    <w:uiPriority w:val="0"/>
    <w:rPr>
      <w:rFonts w:ascii="Times New Roman" w:hAnsi="Times New Roman" w:eastAsia="宋体" w:cs="Times New Roman"/>
      <w:b/>
      <w:bCs/>
      <w:sz w:val="24"/>
      <w:szCs w:val="24"/>
    </w:rPr>
  </w:style>
  <w:style w:type="character" w:customStyle="1" w:styleId="194">
    <w:name w:val="第七层条 Char"/>
    <w:qFormat/>
    <w:uiPriority w:val="0"/>
    <w:rPr>
      <w:rFonts w:ascii="Arial" w:hAnsi="Arial" w:eastAsia="黑体"/>
      <w:kern w:val="2"/>
      <w:sz w:val="24"/>
      <w:szCs w:val="24"/>
      <w:lang w:val="en-US" w:eastAsia="zh-CN" w:bidi="ar-SA"/>
    </w:rPr>
  </w:style>
  <w:style w:type="paragraph" w:customStyle="1" w:styleId="195">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196">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7">
    <w:name w:val="Char Char Char Char Char Char Char Char Char1"/>
    <w:basedOn w:val="1"/>
    <w:qFormat/>
    <w:uiPriority w:val="0"/>
    <w:pPr>
      <w:tabs>
        <w:tab w:val="left" w:pos="360"/>
      </w:tabs>
      <w:ind w:left="360" w:hanging="360" w:hangingChars="200"/>
    </w:pPr>
    <w:rPr>
      <w:sz w:val="24"/>
    </w:rPr>
  </w:style>
  <w:style w:type="paragraph" w:customStyle="1" w:styleId="198">
    <w:name w:val="Char"/>
    <w:basedOn w:val="19"/>
    <w:qFormat/>
    <w:uiPriority w:val="0"/>
    <w:rPr>
      <w:rFonts w:ascii="Tahoma" w:hAnsi="Tahoma"/>
      <w:sz w:val="24"/>
    </w:rPr>
  </w:style>
  <w:style w:type="paragraph" w:customStyle="1" w:styleId="199">
    <w:name w:val="a"/>
    <w:basedOn w:val="1"/>
    <w:qFormat/>
    <w:uiPriority w:val="0"/>
    <w:pPr>
      <w:widowControl/>
      <w:spacing w:before="100" w:beforeAutospacing="1" w:after="100" w:afterAutospacing="1"/>
    </w:pPr>
    <w:rPr>
      <w:rFonts w:ascii="宋体" w:hAnsi="宋体" w:cs="宋体"/>
      <w:kern w:val="0"/>
      <w:sz w:val="24"/>
    </w:rPr>
  </w:style>
  <w:style w:type="paragraph" w:customStyle="1" w:styleId="200">
    <w:name w:val="Char Char Char Char Char Char Char Char Char Char Char Char Char"/>
    <w:basedOn w:val="19"/>
    <w:qFormat/>
    <w:uiPriority w:val="0"/>
    <w:rPr>
      <w:rFonts w:ascii="Tahoma" w:hAnsi="Tahoma"/>
      <w:kern w:val="0"/>
      <w:sz w:val="24"/>
    </w:rPr>
  </w:style>
  <w:style w:type="paragraph" w:customStyle="1" w:styleId="201">
    <w:name w:val="retrait3"/>
    <w:basedOn w:val="1"/>
    <w:qFormat/>
    <w:uiPriority w:val="0"/>
    <w:pPr>
      <w:widowControl/>
      <w:spacing w:before="20" w:after="20"/>
      <w:ind w:left="851"/>
      <w:jc w:val="left"/>
    </w:pPr>
    <w:rPr>
      <w:rFonts w:ascii="Arial" w:hAnsi="Arial"/>
      <w:kern w:val="0"/>
      <w:sz w:val="24"/>
      <w:szCs w:val="20"/>
      <w:lang w:val="en-GB"/>
    </w:rPr>
  </w:style>
  <w:style w:type="paragraph" w:customStyle="1" w:styleId="202">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203">
    <w:name w:val="font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0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szCs w:val="20"/>
    </w:rPr>
  </w:style>
  <w:style w:type="paragraph" w:customStyle="1" w:styleId="205">
    <w:name w:val="Char Char Char"/>
    <w:basedOn w:val="1"/>
    <w:qFormat/>
    <w:uiPriority w:val="0"/>
    <w:rPr>
      <w:rFonts w:ascii="Tahoma" w:hAnsi="Tahoma"/>
      <w:sz w:val="24"/>
      <w:szCs w:val="20"/>
    </w:rPr>
  </w:style>
  <w:style w:type="paragraph" w:customStyle="1" w:styleId="206">
    <w:name w:val="Char Char Char Char Char Char Char Char Char Char Char"/>
    <w:basedOn w:val="1"/>
    <w:qFormat/>
    <w:uiPriority w:val="0"/>
    <w:rPr>
      <w:rFonts w:ascii="Tahoma" w:hAnsi="Tahoma"/>
      <w:sz w:val="24"/>
      <w:szCs w:val="20"/>
    </w:rPr>
  </w:style>
  <w:style w:type="paragraph" w:customStyle="1" w:styleId="20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208">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0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10">
    <w:name w:val="Char Char Char Char Char Char Char Char Char Char Char1 Char Char Char1"/>
    <w:basedOn w:val="1"/>
    <w:qFormat/>
    <w:uiPriority w:val="0"/>
    <w:pPr>
      <w:ind w:firstLine="200" w:firstLineChars="200"/>
      <w:jc w:val="left"/>
    </w:pPr>
    <w:rPr>
      <w:rFonts w:ascii="Tahoma" w:hAnsi="Tahoma"/>
      <w:sz w:val="24"/>
    </w:rPr>
  </w:style>
  <w:style w:type="paragraph" w:customStyle="1" w:styleId="211">
    <w:name w:val="Char Char Char Char1"/>
    <w:basedOn w:val="19"/>
    <w:qFormat/>
    <w:uiPriority w:val="0"/>
    <w:pPr>
      <w:adjustRightInd w:val="0"/>
      <w:snapToGrid w:val="0"/>
      <w:spacing w:line="360" w:lineRule="auto"/>
    </w:pPr>
    <w:rPr>
      <w:rFonts w:ascii="Tahoma" w:hAnsi="Tahoma"/>
      <w:sz w:val="24"/>
    </w:rPr>
  </w:style>
  <w:style w:type="paragraph" w:customStyle="1" w:styleId="212">
    <w:name w:val="10"/>
    <w:basedOn w:val="1"/>
    <w:qFormat/>
    <w:uiPriority w:val="0"/>
    <w:pPr>
      <w:widowControl/>
      <w:spacing w:before="45" w:after="45" w:line="240" w:lineRule="atLeast"/>
      <w:jc w:val="left"/>
    </w:pPr>
    <w:rPr>
      <w:rFonts w:ascii="宋体" w:hAnsi="宋体" w:cs="宋体"/>
      <w:kern w:val="0"/>
      <w:sz w:val="24"/>
    </w:rPr>
  </w:style>
  <w:style w:type="paragraph" w:customStyle="1" w:styleId="213">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14">
    <w:name w:val="Default Text"/>
    <w:basedOn w:val="1"/>
    <w:qFormat/>
    <w:uiPriority w:val="0"/>
    <w:pPr>
      <w:widowControl/>
      <w:jc w:val="left"/>
    </w:pPr>
    <w:rPr>
      <w:kern w:val="0"/>
      <w:sz w:val="24"/>
      <w:szCs w:val="20"/>
      <w:lang w:eastAsia="en-US"/>
    </w:rPr>
  </w:style>
  <w:style w:type="paragraph" w:customStyle="1" w:styleId="21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216">
    <w:name w:val="样式1"/>
    <w:basedOn w:val="1"/>
    <w:qFormat/>
    <w:uiPriority w:val="0"/>
    <w:pPr>
      <w:spacing w:line="300" w:lineRule="auto"/>
      <w:ind w:firstLine="480" w:firstLineChars="200"/>
    </w:pPr>
    <w:rPr>
      <w:sz w:val="24"/>
    </w:rPr>
  </w:style>
  <w:style w:type="paragraph" w:customStyle="1" w:styleId="21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218">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219">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2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221">
    <w:name w:val="Char Char4 Char"/>
    <w:basedOn w:val="1"/>
    <w:qFormat/>
    <w:uiPriority w:val="0"/>
    <w:rPr>
      <w:rFonts w:ascii="Tahoma" w:hAnsi="Tahoma"/>
      <w:sz w:val="24"/>
      <w:szCs w:val="20"/>
    </w:rPr>
  </w:style>
  <w:style w:type="paragraph" w:customStyle="1" w:styleId="22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3">
    <w:name w:val="首行缩进"/>
    <w:basedOn w:val="1"/>
    <w:qFormat/>
    <w:uiPriority w:val="0"/>
    <w:pPr>
      <w:spacing w:line="360" w:lineRule="auto"/>
      <w:ind w:firstLine="420" w:firstLineChars="200"/>
    </w:pPr>
    <w:rPr>
      <w:kern w:val="0"/>
      <w:sz w:val="20"/>
    </w:rPr>
  </w:style>
  <w:style w:type="paragraph" w:customStyle="1" w:styleId="224">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6">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227">
    <w:name w:val="Char Char1 Char Char Char Char Char Char Char"/>
    <w:basedOn w:val="1"/>
    <w:qFormat/>
    <w:uiPriority w:val="0"/>
    <w:rPr>
      <w:rFonts w:ascii="Tahoma" w:hAnsi="Tahoma"/>
      <w:sz w:val="24"/>
      <w:szCs w:val="20"/>
    </w:rPr>
  </w:style>
  <w:style w:type="paragraph" w:customStyle="1" w:styleId="228">
    <w:name w:val="font8"/>
    <w:basedOn w:val="1"/>
    <w:qFormat/>
    <w:uiPriority w:val="0"/>
    <w:pPr>
      <w:widowControl/>
      <w:spacing w:before="100" w:beforeAutospacing="1" w:after="100" w:afterAutospacing="1"/>
      <w:jc w:val="left"/>
    </w:pPr>
    <w:rPr>
      <w:b/>
      <w:bCs/>
      <w:kern w:val="0"/>
      <w:sz w:val="20"/>
      <w:szCs w:val="20"/>
    </w:rPr>
  </w:style>
  <w:style w:type="paragraph" w:customStyle="1" w:styleId="229">
    <w:name w:val="tableau"/>
    <w:basedOn w:val="1"/>
    <w:qFormat/>
    <w:uiPriority w:val="0"/>
    <w:pPr>
      <w:widowControl/>
      <w:spacing w:before="20" w:after="20"/>
      <w:jc w:val="center"/>
    </w:pPr>
    <w:rPr>
      <w:rFonts w:ascii="Arial" w:hAnsi="Arial"/>
      <w:kern w:val="0"/>
      <w:sz w:val="16"/>
      <w:szCs w:val="20"/>
      <w:lang w:val="en-GB" w:eastAsia="en-US"/>
    </w:rPr>
  </w:style>
  <w:style w:type="paragraph" w:customStyle="1" w:styleId="230">
    <w:name w:val="样式 样式 首行缩进:  0.74 厘米 行距: 1.5 倍行距 + 段后: 0.5 行"/>
    <w:basedOn w:val="1"/>
    <w:qFormat/>
    <w:uiPriority w:val="0"/>
    <w:pPr>
      <w:spacing w:line="360" w:lineRule="auto"/>
      <w:ind w:firstLine="420"/>
    </w:pPr>
    <w:rPr>
      <w:rFonts w:ascii="楷体_GB2312" w:eastAsia="楷体_GB2312"/>
      <w:bCs/>
      <w:sz w:val="24"/>
      <w:szCs w:val="20"/>
    </w:rPr>
  </w:style>
  <w:style w:type="paragraph" w:customStyle="1" w:styleId="231">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23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33">
    <w:name w:val="Char21"/>
    <w:basedOn w:val="1"/>
    <w:qFormat/>
    <w:uiPriority w:val="0"/>
    <w:pPr>
      <w:spacing w:afterLines="50" w:line="360" w:lineRule="auto"/>
    </w:pPr>
    <w:rPr>
      <w:rFonts w:ascii="Tahoma" w:hAnsi="Tahoma"/>
      <w:sz w:val="24"/>
      <w:szCs w:val="20"/>
    </w:rPr>
  </w:style>
  <w:style w:type="paragraph" w:customStyle="1" w:styleId="234">
    <w:name w:val="xl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0"/>
      <w:szCs w:val="20"/>
    </w:rPr>
  </w:style>
  <w:style w:type="paragraph" w:customStyle="1" w:styleId="23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36">
    <w:name w:val="MM Topic 1"/>
    <w:basedOn w:val="3"/>
    <w:qFormat/>
    <w:uiPriority w:val="0"/>
    <w:pPr>
      <w:spacing w:line="578" w:lineRule="auto"/>
    </w:pPr>
  </w:style>
  <w:style w:type="paragraph" w:customStyle="1" w:styleId="237">
    <w:name w:val="Char Char Char Char Char Char Char Char1"/>
    <w:basedOn w:val="1"/>
    <w:qFormat/>
    <w:uiPriority w:val="0"/>
    <w:rPr>
      <w:rFonts w:ascii="Tahoma" w:hAnsi="Tahoma"/>
      <w:sz w:val="24"/>
      <w:szCs w:val="20"/>
    </w:rPr>
  </w:style>
  <w:style w:type="paragraph" w:customStyle="1" w:styleId="238">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239">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40">
    <w:name w:val="Char Char Char Char Char1"/>
    <w:basedOn w:val="1"/>
    <w:qFormat/>
    <w:uiPriority w:val="0"/>
    <w:rPr>
      <w:rFonts w:ascii="Tahoma" w:hAnsi="Tahoma"/>
      <w:sz w:val="24"/>
      <w:szCs w:val="20"/>
    </w:rPr>
  </w:style>
  <w:style w:type="paragraph" w:customStyle="1" w:styleId="241">
    <w:name w:val="Char Char Char Char Char Char Char Char"/>
    <w:basedOn w:val="1"/>
    <w:qFormat/>
    <w:uiPriority w:val="0"/>
    <w:rPr>
      <w:rFonts w:ascii="Tahoma" w:hAnsi="Tahoma"/>
      <w:sz w:val="24"/>
      <w:szCs w:val="20"/>
    </w:rPr>
  </w:style>
  <w:style w:type="paragraph" w:customStyle="1" w:styleId="242">
    <w:name w:val="列出段落1"/>
    <w:basedOn w:val="1"/>
    <w:qFormat/>
    <w:uiPriority w:val="0"/>
    <w:pPr>
      <w:widowControl/>
      <w:ind w:left="720"/>
      <w:jc w:val="left"/>
    </w:pPr>
    <w:rPr>
      <w:rFonts w:ascii="Arial" w:hAnsi="Arial" w:eastAsia="黑体"/>
      <w:kern w:val="0"/>
      <w:sz w:val="24"/>
      <w:lang w:eastAsia="en-US"/>
    </w:rPr>
  </w:style>
  <w:style w:type="paragraph" w:customStyle="1" w:styleId="243">
    <w:name w:val="7"/>
    <w:basedOn w:val="1"/>
    <w:next w:val="53"/>
    <w:qFormat/>
    <w:uiPriority w:val="0"/>
    <w:pPr>
      <w:widowControl/>
      <w:spacing w:before="100" w:beforeAutospacing="1" w:after="100" w:afterAutospacing="1"/>
      <w:jc w:val="left"/>
    </w:pPr>
    <w:rPr>
      <w:rFonts w:ascii="宋体" w:hAnsi="宋体"/>
      <w:kern w:val="0"/>
      <w:sz w:val="24"/>
      <w:szCs w:val="20"/>
    </w:rPr>
  </w:style>
  <w:style w:type="paragraph" w:customStyle="1" w:styleId="244">
    <w:name w:val="标准小四"/>
    <w:basedOn w:val="1"/>
    <w:qFormat/>
    <w:uiPriority w:val="0"/>
    <w:pPr>
      <w:spacing w:line="360" w:lineRule="auto"/>
      <w:ind w:firstLine="480" w:firstLineChars="200"/>
    </w:pPr>
    <w:rPr>
      <w:rFonts w:ascii="Arial" w:hAnsi="Arial"/>
      <w:sz w:val="24"/>
      <w:szCs w:val="21"/>
    </w:rPr>
  </w:style>
  <w:style w:type="paragraph" w:customStyle="1" w:styleId="245">
    <w:name w:val="一级目录"/>
    <w:next w:val="1"/>
    <w:qFormat/>
    <w:uiPriority w:val="0"/>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246">
    <w:name w:val="Paragraph Text"/>
    <w:basedOn w:val="1"/>
    <w:qFormat/>
    <w:uiPriority w:val="0"/>
    <w:pPr>
      <w:widowControl/>
      <w:spacing w:line="320" w:lineRule="exact"/>
      <w:jc w:val="left"/>
    </w:pPr>
    <w:rPr>
      <w:rFonts w:ascii="Beijing" w:eastAsia="Times New Roman"/>
      <w:kern w:val="0"/>
      <w:sz w:val="18"/>
      <w:szCs w:val="18"/>
    </w:rPr>
  </w:style>
  <w:style w:type="paragraph" w:customStyle="1" w:styleId="247">
    <w:name w:val="项目符号，一级"/>
    <w:basedOn w:val="248"/>
    <w:next w:val="248"/>
    <w:qFormat/>
    <w:uiPriority w:val="0"/>
    <w:pPr>
      <w:tabs>
        <w:tab w:val="left" w:pos="1320"/>
      </w:tabs>
      <w:spacing w:line="240" w:lineRule="atLeast"/>
      <w:ind w:left="376" w:leftChars="179" w:firstLine="0"/>
    </w:pPr>
    <w:rPr>
      <w:bCs w:val="0"/>
      <w:color w:val="000000"/>
      <w:szCs w:val="24"/>
    </w:rPr>
  </w:style>
  <w:style w:type="paragraph" w:customStyle="1" w:styleId="248">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49">
    <w:name w:val="样式 段后: 0.5 行 左  0.75 字符"/>
    <w:basedOn w:val="1"/>
    <w:qFormat/>
    <w:uiPriority w:val="0"/>
    <w:pPr>
      <w:widowControl/>
      <w:spacing w:line="360" w:lineRule="auto"/>
      <w:ind w:firstLine="480" w:firstLineChars="200"/>
    </w:pPr>
    <w:rPr>
      <w:rFonts w:hAnsi="Arial" w:cs="Arial"/>
      <w:kern w:val="0"/>
      <w:sz w:val="24"/>
      <w:szCs w:val="20"/>
    </w:rPr>
  </w:style>
  <w:style w:type="paragraph" w:customStyle="1" w:styleId="250">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252">
    <w:name w:val="Char Char1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55">
    <w:name w:val="Char Char Char Char Char"/>
    <w:basedOn w:val="1"/>
    <w:qFormat/>
    <w:uiPriority w:val="0"/>
    <w:rPr>
      <w:rFonts w:ascii="Tahoma" w:hAnsi="Tahoma"/>
      <w:sz w:val="24"/>
      <w:szCs w:val="20"/>
    </w:rPr>
  </w:style>
  <w:style w:type="paragraph" w:customStyle="1" w:styleId="256">
    <w:name w:val="Char Char Char Char Char Char Char Char Char Char Char Char Char Char"/>
    <w:basedOn w:val="1"/>
    <w:qFormat/>
    <w:uiPriority w:val="0"/>
    <w:rPr>
      <w:rFonts w:ascii="Tahoma" w:hAnsi="Tahoma"/>
      <w:sz w:val="24"/>
      <w:szCs w:val="20"/>
    </w:rPr>
  </w:style>
  <w:style w:type="paragraph" w:customStyle="1" w:styleId="257">
    <w:name w:val="正文11"/>
    <w:basedOn w:val="1"/>
    <w:next w:val="1"/>
    <w:qFormat/>
    <w:uiPriority w:val="0"/>
    <w:pPr>
      <w:spacing w:before="156" w:line="360" w:lineRule="auto"/>
      <w:ind w:firstLine="510" w:firstLineChars="200"/>
    </w:pPr>
    <w:rPr>
      <w:sz w:val="24"/>
      <w:szCs w:val="20"/>
    </w:rPr>
  </w:style>
  <w:style w:type="paragraph" w:customStyle="1" w:styleId="258">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59">
    <w:name w:val="列出段落3"/>
    <w:basedOn w:val="1"/>
    <w:qFormat/>
    <w:uiPriority w:val="0"/>
    <w:pPr>
      <w:widowControl/>
      <w:ind w:left="720"/>
      <w:jc w:val="left"/>
    </w:pPr>
    <w:rPr>
      <w:rFonts w:ascii="Arial" w:hAnsi="Arial" w:eastAsia="黑体" w:cs="宋体"/>
      <w:kern w:val="0"/>
      <w:sz w:val="24"/>
      <w:lang w:val="zh-CN" w:eastAsia="en-US"/>
    </w:rPr>
  </w:style>
  <w:style w:type="paragraph" w:customStyle="1" w:styleId="260">
    <w:name w:val="样式 标题 3H3sect1.2.3BOD 0Heading 3 - oldh3l3CTLevel 3 Head..."/>
    <w:basedOn w:val="5"/>
    <w:qFormat/>
    <w:uiPriority w:val="0"/>
    <w:pPr>
      <w:spacing w:beforeLines="50" w:afterLines="50" w:line="240" w:lineRule="auto"/>
      <w:jc w:val="left"/>
    </w:pPr>
    <w:rPr>
      <w:rFonts w:cs="宋体"/>
      <w:sz w:val="30"/>
      <w:szCs w:val="20"/>
    </w:rPr>
  </w:style>
  <w:style w:type="paragraph" w:customStyle="1" w:styleId="261">
    <w:name w:val="普通正文"/>
    <w:basedOn w:val="1"/>
    <w:qFormat/>
    <w:uiPriority w:val="0"/>
    <w:pPr>
      <w:adjustRightInd w:val="0"/>
      <w:spacing w:before="120" w:after="120" w:line="360" w:lineRule="auto"/>
      <w:ind w:firstLine="480" w:firstLineChars="200"/>
      <w:jc w:val="left"/>
      <w:textAlignment w:val="baseline"/>
    </w:pPr>
    <w:rPr>
      <w:rFonts w:ascii="Arial" w:hAnsi="Arial"/>
      <w:kern w:val="0"/>
      <w:sz w:val="24"/>
    </w:rPr>
  </w:style>
  <w:style w:type="paragraph" w:customStyle="1" w:styleId="26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3">
    <w:name w:val="标题1，章节第一层"/>
    <w:basedOn w:val="248"/>
    <w:next w:val="248"/>
    <w:qFormat/>
    <w:uiPriority w:val="0"/>
    <w:pPr>
      <w:tabs>
        <w:tab w:val="left" w:pos="693"/>
      </w:tabs>
      <w:spacing w:beforeLines="0"/>
      <w:ind w:left="482"/>
      <w:outlineLvl w:val="0"/>
    </w:pPr>
    <w:rPr>
      <w:color w:val="000000"/>
      <w:sz w:val="24"/>
      <w:szCs w:val="24"/>
    </w:rPr>
  </w:style>
  <w:style w:type="paragraph" w:customStyle="1" w:styleId="264">
    <w:name w:val="Char1 Char Char Char1"/>
    <w:basedOn w:val="1"/>
    <w:qFormat/>
    <w:uiPriority w:val="0"/>
    <w:rPr>
      <w:rFonts w:ascii="Tahoma" w:hAnsi="Tahoma"/>
      <w:sz w:val="24"/>
      <w:szCs w:val="20"/>
    </w:rPr>
  </w:style>
  <w:style w:type="paragraph" w:customStyle="1" w:styleId="26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66">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267">
    <w:name w:val="小四 段落 宋体 Char Char Char Char"/>
    <w:basedOn w:val="1"/>
    <w:qFormat/>
    <w:uiPriority w:val="0"/>
    <w:pPr>
      <w:spacing w:line="360" w:lineRule="auto"/>
      <w:ind w:right="-33" w:firstLine="480" w:firstLineChars="200"/>
      <w:jc w:val="left"/>
    </w:pPr>
    <w:rPr>
      <w:sz w:val="24"/>
    </w:rPr>
  </w:style>
  <w:style w:type="paragraph" w:customStyle="1" w:styleId="26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269">
    <w:name w:val="马刚标题4"/>
    <w:basedOn w:val="268"/>
    <w:next w:val="1"/>
    <w:qFormat/>
    <w:uiPriority w:val="0"/>
    <w:pPr>
      <w:tabs>
        <w:tab w:val="left" w:pos="1050"/>
        <w:tab w:val="clear" w:pos="567"/>
        <w:tab w:val="clear" w:pos="735"/>
      </w:tabs>
      <w:spacing w:before="100" w:after="40"/>
      <w:outlineLvl w:val="3"/>
    </w:pPr>
    <w:rPr>
      <w:b w:val="0"/>
    </w:rPr>
  </w:style>
  <w:style w:type="paragraph" w:customStyle="1" w:styleId="270">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271">
    <w:name w:val="公文正文"/>
    <w:basedOn w:val="24"/>
    <w:qFormat/>
    <w:uiPriority w:val="0"/>
    <w:pPr>
      <w:ind w:firstLine="200" w:firstLineChars="200"/>
    </w:pPr>
    <w:rPr>
      <w:rFonts w:ascii="仿宋_GB2312" w:hAnsi="宋体" w:eastAsia="仿宋_GB2312"/>
      <w:kern w:val="28"/>
      <w:szCs w:val="24"/>
    </w:rPr>
  </w:style>
  <w:style w:type="paragraph" w:customStyle="1" w:styleId="272">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73">
    <w:name w:val="公文标题 2"/>
    <w:basedOn w:val="1"/>
    <w:next w:val="271"/>
    <w:qFormat/>
    <w:uiPriority w:val="0"/>
    <w:pPr>
      <w:outlineLvl w:val="1"/>
    </w:pPr>
    <w:rPr>
      <w:rFonts w:ascii="仿宋_GB2312" w:hAnsi="宋体" w:eastAsia="仿宋_GB2312"/>
      <w:kern w:val="28"/>
      <w:sz w:val="28"/>
    </w:rPr>
  </w:style>
  <w:style w:type="paragraph" w:customStyle="1" w:styleId="274">
    <w:name w:val="Char Char1 Char Char Char Char"/>
    <w:basedOn w:val="19"/>
    <w:qFormat/>
    <w:uiPriority w:val="0"/>
    <w:pPr>
      <w:adjustRightInd w:val="0"/>
      <w:spacing w:line="436" w:lineRule="exact"/>
      <w:ind w:left="357"/>
      <w:jc w:val="left"/>
      <w:outlineLvl w:val="3"/>
    </w:pPr>
    <w:rPr>
      <w:rFonts w:ascii="Tahoma" w:hAnsi="Tahoma"/>
      <w:b/>
      <w:kern w:val="0"/>
      <w:sz w:val="24"/>
    </w:rPr>
  </w:style>
  <w:style w:type="paragraph" w:customStyle="1" w:styleId="275">
    <w:name w:val="章标题"/>
    <w:next w:val="276"/>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7">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278">
    <w:name w:val="Char Char Char Char Char Char Char1"/>
    <w:basedOn w:val="1"/>
    <w:qFormat/>
    <w:uiPriority w:val="0"/>
    <w:pPr>
      <w:jc w:val="left"/>
    </w:pPr>
    <w:rPr>
      <w:rFonts w:ascii="Tahoma" w:hAnsi="Tahoma"/>
      <w:sz w:val="24"/>
      <w:szCs w:val="20"/>
    </w:rPr>
  </w:style>
  <w:style w:type="paragraph" w:customStyle="1" w:styleId="279">
    <w:name w:val="表头_5"/>
    <w:basedOn w:val="1"/>
    <w:qFormat/>
    <w:uiPriority w:val="0"/>
    <w:pPr>
      <w:adjustRightInd w:val="0"/>
      <w:spacing w:line="360" w:lineRule="auto"/>
      <w:textAlignment w:val="baseline"/>
    </w:pPr>
    <w:rPr>
      <w:b/>
      <w:bCs/>
      <w:sz w:val="28"/>
      <w:szCs w:val="21"/>
    </w:rPr>
  </w:style>
  <w:style w:type="paragraph" w:styleId="280">
    <w:name w:val="List Paragraph"/>
    <w:basedOn w:val="281"/>
    <w:link w:val="429"/>
    <w:qFormat/>
    <w:uiPriority w:val="99"/>
    <w:pPr>
      <w:ind w:firstLine="420" w:firstLineChars="200"/>
    </w:pPr>
    <w:rPr>
      <w:szCs w:val="22"/>
    </w:rPr>
  </w:style>
  <w:style w:type="paragraph" w:customStyle="1" w:styleId="281">
    <w:name w:val="正文1"/>
    <w:basedOn w:val="1"/>
    <w:qFormat/>
    <w:uiPriority w:val="0"/>
    <w:rPr>
      <w:rFonts w:ascii="Calibri" w:hAnsi="Calibri" w:eastAsia="Calibri" w:cs="宋体"/>
      <w:kern w:val="0"/>
      <w:szCs w:val="20"/>
      <w:lang w:val="zh-CN"/>
    </w:rPr>
  </w:style>
  <w:style w:type="paragraph" w:customStyle="1" w:styleId="282">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283">
    <w:name w:val="blue"/>
    <w:basedOn w:val="1"/>
    <w:qFormat/>
    <w:uiPriority w:val="0"/>
    <w:pPr>
      <w:widowControl/>
      <w:spacing w:before="100" w:beforeAutospacing="1" w:after="100" w:afterAutospacing="1"/>
      <w:jc w:val="left"/>
    </w:pPr>
    <w:rPr>
      <w:rFonts w:ascii="宋体" w:hAnsi="宋体"/>
      <w:color w:val="0000FF"/>
      <w:kern w:val="0"/>
      <w:sz w:val="44"/>
      <w:szCs w:val="20"/>
    </w:rPr>
  </w:style>
  <w:style w:type="paragraph" w:customStyle="1" w:styleId="284">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szCs w:val="20"/>
    </w:rPr>
  </w:style>
  <w:style w:type="paragraph" w:customStyle="1" w:styleId="285">
    <w:name w:val="Char Char Char Char Char Char Char1 Char"/>
    <w:basedOn w:val="1"/>
    <w:qFormat/>
    <w:uiPriority w:val="0"/>
    <w:rPr>
      <w:rFonts w:ascii="Tahoma" w:hAnsi="Tahoma"/>
      <w:sz w:val="24"/>
      <w:szCs w:val="20"/>
    </w:rPr>
  </w:style>
  <w:style w:type="paragraph" w:customStyle="1" w:styleId="286">
    <w:name w:val="Char Char2 Char Char"/>
    <w:basedOn w:val="19"/>
    <w:qFormat/>
    <w:uiPriority w:val="0"/>
    <w:pPr>
      <w:spacing w:line="436" w:lineRule="exact"/>
    </w:pPr>
    <w:rPr>
      <w:rFonts w:ascii="Tahoma" w:hAnsi="Tahoma"/>
      <w:kern w:val="0"/>
      <w:sz w:val="24"/>
      <w:szCs w:val="20"/>
    </w:rPr>
  </w:style>
  <w:style w:type="paragraph" w:customStyle="1" w:styleId="287">
    <w:name w:val="Char Char4 Char Char"/>
    <w:basedOn w:val="1"/>
    <w:qFormat/>
    <w:uiPriority w:val="0"/>
    <w:rPr>
      <w:rFonts w:ascii="Tahoma" w:hAnsi="Tahoma"/>
      <w:sz w:val="24"/>
      <w:szCs w:val="20"/>
    </w:rPr>
  </w:style>
  <w:style w:type="paragraph" w:customStyle="1" w:styleId="288">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289">
    <w:name w:val="flType"/>
    <w:basedOn w:val="290"/>
    <w:qFormat/>
    <w:uiPriority w:val="0"/>
    <w:pPr>
      <w:spacing w:after="284"/>
    </w:pPr>
    <w:rPr>
      <w:rFonts w:eastAsia="宋体"/>
      <w:b w:val="0"/>
    </w:rPr>
  </w:style>
  <w:style w:type="paragraph" w:customStyle="1" w:styleId="290">
    <w:name w:val="flName"/>
    <w:basedOn w:val="288"/>
    <w:qFormat/>
    <w:uiPriority w:val="0"/>
    <w:pPr>
      <w:spacing w:before="0" w:line="113" w:lineRule="atLeast"/>
    </w:pPr>
  </w:style>
  <w:style w:type="paragraph" w:customStyle="1" w:styleId="291">
    <w:name w:val="论文正文"/>
    <w:basedOn w:val="32"/>
    <w:qFormat/>
    <w:uiPriority w:val="0"/>
    <w:pPr>
      <w:spacing w:after="0" w:line="240" w:lineRule="auto"/>
      <w:ind w:left="630" w:leftChars="0" w:firstLine="645"/>
    </w:pPr>
    <w:rPr>
      <w:rFonts w:ascii="Arial" w:hAnsi="Arial" w:eastAsia="仿宋_GB2312"/>
      <w:sz w:val="32"/>
      <w:szCs w:val="20"/>
    </w:rPr>
  </w:style>
  <w:style w:type="paragraph" w:customStyle="1" w:styleId="292">
    <w:name w:val="font14"/>
    <w:basedOn w:val="1"/>
    <w:qFormat/>
    <w:uiPriority w:val="0"/>
    <w:pPr>
      <w:widowControl/>
      <w:spacing w:before="100" w:beforeAutospacing="1" w:after="100" w:afterAutospacing="1"/>
      <w:jc w:val="left"/>
    </w:pPr>
    <w:rPr>
      <w:kern w:val="0"/>
      <w:sz w:val="36"/>
      <w:szCs w:val="36"/>
    </w:rPr>
  </w:style>
  <w:style w:type="paragraph" w:customStyle="1" w:styleId="293">
    <w:name w:val="content_lineheight"/>
    <w:basedOn w:val="1"/>
    <w:qFormat/>
    <w:uiPriority w:val="0"/>
    <w:pPr>
      <w:widowControl/>
      <w:spacing w:before="100" w:beforeAutospacing="1" w:after="100" w:afterAutospacing="1"/>
      <w:jc w:val="left"/>
    </w:pPr>
    <w:rPr>
      <w:rFonts w:ascii="宋体" w:hAnsi="宋体"/>
      <w:kern w:val="0"/>
      <w:sz w:val="24"/>
    </w:rPr>
  </w:style>
  <w:style w:type="paragraph" w:customStyle="1" w:styleId="294">
    <w:name w:val="Bullets L1"/>
    <w:basedOn w:val="1"/>
    <w:qFormat/>
    <w:uiPriority w:val="0"/>
    <w:pPr>
      <w:widowControl/>
      <w:tabs>
        <w:tab w:val="left" w:pos="360"/>
      </w:tabs>
      <w:spacing w:before="60" w:after="60"/>
      <w:ind w:left="360" w:hanging="360"/>
      <w:jc w:val="left"/>
    </w:pPr>
    <w:rPr>
      <w:rFonts w:ascii="Arial" w:hAnsi="Arial"/>
      <w:kern w:val="0"/>
      <w:sz w:val="20"/>
      <w:szCs w:val="20"/>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6">
    <w:name w:val="默认段落字体 Para Char"/>
    <w:basedOn w:val="4"/>
    <w:qFormat/>
    <w:uiPriority w:val="0"/>
    <w:pPr>
      <w:widowControl/>
      <w:spacing w:before="120" w:after="120" w:line="360" w:lineRule="auto"/>
      <w:jc w:val="center"/>
    </w:pPr>
    <w:rPr>
      <w:rFonts w:ascii="Times New Roman" w:hAnsi="Times New Roman"/>
      <w:b w:val="0"/>
      <w:snapToGrid w:val="0"/>
      <w:sz w:val="30"/>
      <w:szCs w:val="30"/>
    </w:rPr>
  </w:style>
  <w:style w:type="paragraph" w:customStyle="1" w:styleId="297">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298">
    <w:name w:val="小四 段落 宋体"/>
    <w:basedOn w:val="16"/>
    <w:qFormat/>
    <w:uiPriority w:val="0"/>
    <w:pPr>
      <w:tabs>
        <w:tab w:val="clear" w:pos="2952"/>
      </w:tabs>
      <w:spacing w:line="360" w:lineRule="auto"/>
      <w:ind w:left="113" w:right="113" w:firstLine="425"/>
      <w:jc w:val="left"/>
    </w:pPr>
    <w:rPr>
      <w:sz w:val="24"/>
    </w:rPr>
  </w:style>
  <w:style w:type="paragraph" w:customStyle="1" w:styleId="299">
    <w:name w:val="Char Char Char Char Char Char"/>
    <w:basedOn w:val="1"/>
    <w:qFormat/>
    <w:uiPriority w:val="0"/>
    <w:pPr>
      <w:adjustRightInd w:val="0"/>
      <w:spacing w:line="360" w:lineRule="auto"/>
    </w:pPr>
    <w:rPr>
      <w:kern w:val="0"/>
      <w:sz w:val="24"/>
      <w:szCs w:val="20"/>
    </w:rPr>
  </w:style>
  <w:style w:type="paragraph" w:customStyle="1" w:styleId="3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01">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2">
    <w:name w:val="Pa6"/>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303">
    <w:name w:val="标题3，章节第三层"/>
    <w:basedOn w:val="1"/>
    <w:next w:val="248"/>
    <w:qFormat/>
    <w:uiPriority w:val="0"/>
    <w:pPr>
      <w:adjustRightInd w:val="0"/>
      <w:snapToGrid w:val="0"/>
      <w:spacing w:before="78" w:line="300" w:lineRule="auto"/>
      <w:outlineLvl w:val="2"/>
    </w:pPr>
    <w:rPr>
      <w:rFonts w:ascii="Arial" w:hAnsi="Arial" w:eastAsia="华文细黑"/>
      <w:sz w:val="30"/>
    </w:rPr>
  </w:style>
  <w:style w:type="paragraph" w:customStyle="1" w:styleId="304">
    <w:name w:val="_Style 1"/>
    <w:basedOn w:val="1"/>
    <w:qFormat/>
    <w:uiPriority w:val="99"/>
    <w:pPr>
      <w:ind w:firstLine="420" w:firstLineChars="200"/>
    </w:pPr>
    <w:rPr>
      <w:szCs w:val="20"/>
    </w:rPr>
  </w:style>
  <w:style w:type="paragraph" w:customStyle="1" w:styleId="305">
    <w:name w:val="正文段"/>
    <w:basedOn w:val="1"/>
    <w:qFormat/>
    <w:uiPriority w:val="0"/>
    <w:pPr>
      <w:widowControl/>
      <w:adjustRightInd w:val="0"/>
      <w:spacing w:after="240" w:line="360" w:lineRule="atLeast"/>
      <w:ind w:firstLine="454"/>
      <w:textAlignment w:val="bottom"/>
    </w:pPr>
    <w:rPr>
      <w:rFonts w:ascii="宋体"/>
      <w:kern w:val="0"/>
      <w:sz w:val="24"/>
      <w:szCs w:val="20"/>
    </w:rPr>
  </w:style>
  <w:style w:type="paragraph" w:customStyle="1" w:styleId="306">
    <w:name w:val="Pa5"/>
    <w:basedOn w:val="1"/>
    <w:next w:val="1"/>
    <w:qFormat/>
    <w:uiPriority w:val="0"/>
    <w:pPr>
      <w:autoSpaceDE w:val="0"/>
      <w:autoSpaceDN w:val="0"/>
      <w:adjustRightInd w:val="0"/>
      <w:spacing w:line="241" w:lineRule="atLeast"/>
      <w:jc w:val="left"/>
    </w:pPr>
    <w:rPr>
      <w:rFonts w:ascii="HYDaHeiJ" w:eastAsia="HYDaHeiJ"/>
      <w:kern w:val="0"/>
      <w:sz w:val="24"/>
    </w:rPr>
  </w:style>
  <w:style w:type="paragraph" w:customStyle="1" w:styleId="307">
    <w:name w:val="丁华标题2"/>
    <w:basedOn w:val="4"/>
    <w:next w:val="308"/>
    <w:qFormat/>
    <w:uiPriority w:val="0"/>
    <w:pPr>
      <w:tabs>
        <w:tab w:val="left" w:pos="567"/>
      </w:tabs>
      <w:autoSpaceDE w:val="0"/>
      <w:autoSpaceDN w:val="0"/>
      <w:adjustRightInd w:val="0"/>
      <w:spacing w:before="120" w:after="120" w:line="413" w:lineRule="auto"/>
      <w:ind w:left="567" w:hanging="567"/>
      <w:jc w:val="left"/>
    </w:pPr>
    <w:rPr>
      <w:color w:val="000000"/>
      <w:sz w:val="28"/>
      <w:szCs w:val="20"/>
    </w:rPr>
  </w:style>
  <w:style w:type="paragraph" w:customStyle="1" w:styleId="308">
    <w:name w:val="丁华正文"/>
    <w:basedOn w:val="45"/>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309">
    <w:name w:val="正文2"/>
    <w:basedOn w:val="1"/>
    <w:qFormat/>
    <w:uiPriority w:val="0"/>
    <w:pPr>
      <w:spacing w:before="156" w:line="360" w:lineRule="auto"/>
      <w:ind w:firstLine="510" w:firstLineChars="200"/>
    </w:pPr>
    <w:rPr>
      <w:sz w:val="24"/>
      <w:szCs w:val="20"/>
    </w:rPr>
  </w:style>
  <w:style w:type="paragraph" w:customStyle="1" w:styleId="310">
    <w:name w:val="font13"/>
    <w:basedOn w:val="1"/>
    <w:qFormat/>
    <w:uiPriority w:val="0"/>
    <w:pPr>
      <w:widowControl/>
      <w:spacing w:before="100" w:beforeAutospacing="1" w:after="100" w:afterAutospacing="1"/>
      <w:jc w:val="left"/>
    </w:pPr>
    <w:rPr>
      <w:i/>
      <w:iCs/>
      <w:kern w:val="0"/>
      <w:sz w:val="36"/>
      <w:szCs w:val="36"/>
    </w:rPr>
  </w:style>
  <w:style w:type="paragraph" w:customStyle="1" w:styleId="311">
    <w:name w:val="样式 Arial 小四 段前: 7.8 磅 首行缩进:  2 字符"/>
    <w:basedOn w:val="1"/>
    <w:qFormat/>
    <w:uiPriority w:val="0"/>
    <w:pPr>
      <w:spacing w:before="156" w:line="360" w:lineRule="auto"/>
      <w:ind w:firstLine="200" w:firstLineChars="200"/>
    </w:pPr>
    <w:rPr>
      <w:rFonts w:ascii="Arial" w:hAnsi="Arial"/>
      <w:sz w:val="24"/>
      <w:szCs w:val="20"/>
    </w:rPr>
  </w:style>
  <w:style w:type="paragraph" w:customStyle="1" w:styleId="312">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Times New Roman"/>
      <w:sz w:val="24"/>
      <w:lang w:val="en-US" w:eastAsia="zh-CN" w:bidi="ar-SA"/>
    </w:rPr>
  </w:style>
  <w:style w:type="paragraph" w:customStyle="1" w:styleId="313">
    <w:name w:val="标题6"/>
    <w:basedOn w:val="7"/>
    <w:qFormat/>
    <w:uiPriority w:val="0"/>
    <w:pPr>
      <w:tabs>
        <w:tab w:val="left" w:pos="420"/>
        <w:tab w:val="clear" w:pos="1008"/>
      </w:tabs>
      <w:spacing w:beforeLines="50" w:afterLines="50" w:line="240" w:lineRule="auto"/>
      <w:ind w:left="420" w:hanging="420"/>
    </w:pPr>
    <w:rPr>
      <w:rFonts w:eastAsia="黑体"/>
      <w:b w:val="0"/>
      <w:sz w:val="24"/>
    </w:rPr>
  </w:style>
  <w:style w:type="paragraph" w:customStyle="1" w:styleId="31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5">
    <w:name w:val="Char2"/>
    <w:basedOn w:val="1"/>
    <w:qFormat/>
    <w:uiPriority w:val="0"/>
    <w:pPr>
      <w:tabs>
        <w:tab w:val="left" w:pos="425"/>
      </w:tabs>
      <w:ind w:left="425" w:hanging="425"/>
    </w:pPr>
    <w:rPr>
      <w:sz w:val="24"/>
    </w:rPr>
  </w:style>
  <w:style w:type="paragraph" w:customStyle="1" w:styleId="316">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7">
    <w:name w:val="插图"/>
    <w:basedOn w:val="1"/>
    <w:qFormat/>
    <w:uiPriority w:val="0"/>
    <w:pPr>
      <w:tabs>
        <w:tab w:val="left" w:pos="1620"/>
      </w:tabs>
      <w:adjustRightInd w:val="0"/>
      <w:jc w:val="center"/>
    </w:pPr>
    <w:rPr>
      <w:bCs/>
      <w:color w:val="000000"/>
      <w:szCs w:val="22"/>
    </w:rPr>
  </w:style>
  <w:style w:type="paragraph" w:customStyle="1" w:styleId="318">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319">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320">
    <w:name w:val="Char2 Char Char Char"/>
    <w:basedOn w:val="19"/>
    <w:qFormat/>
    <w:uiPriority w:val="0"/>
    <w:pPr>
      <w:adjustRightInd w:val="0"/>
      <w:spacing w:line="436" w:lineRule="exact"/>
      <w:ind w:left="357"/>
      <w:jc w:val="left"/>
      <w:outlineLvl w:val="3"/>
    </w:pPr>
    <w:rPr>
      <w:rFonts w:ascii="Tahoma" w:hAnsi="Tahoma"/>
      <w:b/>
      <w:sz w:val="24"/>
    </w:rPr>
  </w:style>
  <w:style w:type="paragraph" w:customStyle="1" w:styleId="321">
    <w:name w:val="Char Char Char1"/>
    <w:basedOn w:val="19"/>
    <w:qFormat/>
    <w:uiPriority w:val="0"/>
    <w:pPr>
      <w:spacing w:line="436" w:lineRule="exact"/>
    </w:pPr>
    <w:rPr>
      <w:rFonts w:ascii="Tahoma" w:hAnsi="Tahoma"/>
      <w:sz w:val="24"/>
      <w:szCs w:val="20"/>
    </w:rPr>
  </w:style>
  <w:style w:type="paragraph" w:customStyle="1" w:styleId="322">
    <w:name w:val="MM Topic 2"/>
    <w:basedOn w:val="4"/>
    <w:qFormat/>
    <w:uiPriority w:val="0"/>
    <w:pPr>
      <w:spacing w:line="416" w:lineRule="auto"/>
    </w:pPr>
  </w:style>
  <w:style w:type="paragraph" w:customStyle="1" w:styleId="323">
    <w:name w:val="标准文本"/>
    <w:basedOn w:val="1"/>
    <w:qFormat/>
    <w:uiPriority w:val="0"/>
    <w:pPr>
      <w:spacing w:line="360" w:lineRule="auto"/>
      <w:ind w:firstLine="480" w:firstLineChars="200"/>
    </w:pPr>
    <w:rPr>
      <w:rFonts w:cs="宋体"/>
      <w:sz w:val="24"/>
    </w:rPr>
  </w:style>
  <w:style w:type="paragraph" w:customStyle="1" w:styleId="324">
    <w:name w:val="符号与编号 Char Char"/>
    <w:basedOn w:val="1"/>
    <w:qFormat/>
    <w:uiPriority w:val="0"/>
    <w:pPr>
      <w:tabs>
        <w:tab w:val="left" w:pos="840"/>
      </w:tabs>
      <w:spacing w:afterLines="50" w:line="400" w:lineRule="atLeast"/>
      <w:ind w:left="839" w:hanging="419"/>
    </w:pPr>
    <w:rPr>
      <w:sz w:val="24"/>
    </w:rPr>
  </w:style>
  <w:style w:type="paragraph" w:customStyle="1" w:styleId="325">
    <w:name w:val="彩色列表 - 强调文字颜色 11"/>
    <w:basedOn w:val="1"/>
    <w:qFormat/>
    <w:uiPriority w:val="0"/>
    <w:pPr>
      <w:ind w:firstLine="420" w:firstLineChars="200"/>
    </w:pPr>
    <w:rPr>
      <w:rFonts w:ascii="Calibri" w:hAnsi="Calibri"/>
      <w:szCs w:val="22"/>
    </w:rPr>
  </w:style>
  <w:style w:type="paragraph" w:customStyle="1" w:styleId="326">
    <w:name w:val="华宇段落1 Char"/>
    <w:basedOn w:val="1"/>
    <w:qFormat/>
    <w:uiPriority w:val="0"/>
    <w:pPr>
      <w:spacing w:line="360" w:lineRule="auto"/>
      <w:ind w:firstLine="200" w:firstLineChars="200"/>
    </w:pPr>
    <w:rPr>
      <w:bCs/>
      <w:sz w:val="24"/>
    </w:rPr>
  </w:style>
  <w:style w:type="paragraph" w:customStyle="1" w:styleId="327">
    <w:name w:val="正文 居中"/>
    <w:basedOn w:val="1"/>
    <w:qFormat/>
    <w:uiPriority w:val="0"/>
    <w:pPr>
      <w:spacing w:line="360" w:lineRule="auto"/>
      <w:jc w:val="center"/>
    </w:pPr>
    <w:rPr>
      <w:sz w:val="24"/>
      <w:szCs w:val="20"/>
    </w:rPr>
  </w:style>
  <w:style w:type="paragraph" w:customStyle="1" w:styleId="328">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29">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330">
    <w:name w:val="Test2"/>
    <w:basedOn w:val="4"/>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331">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3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3">
    <w:name w:val="小四 段落 宋体 Char"/>
    <w:basedOn w:val="16"/>
    <w:qFormat/>
    <w:uiPriority w:val="0"/>
    <w:pPr>
      <w:tabs>
        <w:tab w:val="clear" w:pos="2952"/>
      </w:tabs>
      <w:ind w:left="0" w:right="-33" w:firstLine="600" w:firstLineChars="200"/>
      <w:jc w:val="left"/>
    </w:pPr>
    <w:rPr>
      <w:rFonts w:ascii="仿宋_GB2312" w:eastAsia="仿宋_GB2312"/>
      <w:sz w:val="30"/>
      <w:szCs w:val="30"/>
    </w:rPr>
  </w:style>
  <w:style w:type="paragraph" w:customStyle="1" w:styleId="334">
    <w:name w:val="a0"/>
    <w:basedOn w:val="1"/>
    <w:qFormat/>
    <w:uiPriority w:val="0"/>
    <w:pPr>
      <w:widowControl/>
      <w:spacing w:before="100" w:beforeAutospacing="1" w:after="100" w:afterAutospacing="1"/>
    </w:pPr>
    <w:rPr>
      <w:rFonts w:ascii="宋体" w:hAnsi="宋体" w:cs="宋体"/>
      <w:kern w:val="0"/>
      <w:sz w:val="24"/>
    </w:rPr>
  </w:style>
  <w:style w:type="paragraph" w:customStyle="1" w:styleId="335">
    <w:name w:val="正文--表格内正文"/>
    <w:basedOn w:val="1"/>
    <w:qFormat/>
    <w:uiPriority w:val="0"/>
    <w:pPr>
      <w:spacing w:beforeLines="50" w:line="0" w:lineRule="atLeast"/>
      <w:jc w:val="center"/>
    </w:pPr>
    <w:rPr>
      <w:rFonts w:ascii="宋体" w:hAnsi="宋体"/>
      <w:color w:val="000000"/>
      <w:sz w:val="24"/>
    </w:rPr>
  </w:style>
  <w:style w:type="paragraph" w:customStyle="1" w:styleId="336">
    <w:name w:val="正文文本 22"/>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37">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38">
    <w:name w:val="表格内文字"/>
    <w:basedOn w:val="1"/>
    <w:qFormat/>
    <w:uiPriority w:val="0"/>
    <w:pPr>
      <w:spacing w:line="300" w:lineRule="atLeast"/>
    </w:pPr>
    <w:rPr>
      <w:sz w:val="18"/>
    </w:rPr>
  </w:style>
  <w:style w:type="paragraph" w:customStyle="1" w:styleId="339">
    <w:name w:val="标题3"/>
    <w:basedOn w:val="5"/>
    <w:qFormat/>
    <w:uiPriority w:val="0"/>
    <w:pPr>
      <w:keepNext w:val="0"/>
      <w:keepLines w:val="0"/>
      <w:spacing w:before="0" w:after="0" w:line="360" w:lineRule="auto"/>
    </w:pPr>
    <w:rPr>
      <w:rFonts w:eastAsia="仿宋_GB2312"/>
      <w:sz w:val="30"/>
    </w:rPr>
  </w:style>
  <w:style w:type="paragraph" w:customStyle="1" w:styleId="340">
    <w:name w:val="greytypebeni"/>
    <w:basedOn w:val="1"/>
    <w:qFormat/>
    <w:uiPriority w:val="0"/>
    <w:pPr>
      <w:widowControl/>
      <w:jc w:val="left"/>
    </w:pPr>
    <w:rPr>
      <w:rFonts w:ascii="宋体" w:hAnsi="宋体" w:cs="宋体"/>
      <w:kern w:val="0"/>
      <w:sz w:val="24"/>
    </w:rPr>
  </w:style>
  <w:style w:type="paragraph" w:customStyle="1" w:styleId="341">
    <w:name w:val="丁华标题1"/>
    <w:basedOn w:val="3"/>
    <w:next w:val="308"/>
    <w:qFormat/>
    <w:uiPriority w:val="0"/>
    <w:pPr>
      <w:tabs>
        <w:tab w:val="left" w:pos="567"/>
      </w:tabs>
      <w:spacing w:before="0" w:after="0" w:line="578" w:lineRule="auto"/>
      <w:ind w:left="567"/>
      <w:jc w:val="left"/>
    </w:pPr>
    <w:rPr>
      <w:rFonts w:eastAsia="黑体"/>
      <w:b w:val="0"/>
      <w:bCs w:val="0"/>
      <w:sz w:val="32"/>
      <w:szCs w:val="20"/>
    </w:rPr>
  </w:style>
  <w:style w:type="paragraph" w:customStyle="1" w:styleId="342">
    <w:name w:val="font10"/>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43">
    <w:name w:val="Char Char Char Char Char Char Char Char Char Char Char Char Char Char Char Char Char Char Char Char Char Char Char1"/>
    <w:basedOn w:val="1"/>
    <w:qFormat/>
    <w:uiPriority w:val="0"/>
    <w:rPr>
      <w:rFonts w:ascii="Tahoma" w:hAnsi="Tahoma"/>
      <w:sz w:val="24"/>
      <w:szCs w:val="20"/>
    </w:rPr>
  </w:style>
  <w:style w:type="paragraph" w:customStyle="1" w:styleId="344">
    <w:name w:val="默认段落字体 Para Char Char Char Char Char Char Char"/>
    <w:basedOn w:val="1"/>
    <w:qFormat/>
    <w:uiPriority w:val="0"/>
    <w:rPr>
      <w:rFonts w:ascii="Tahoma" w:hAnsi="Tahoma"/>
      <w:sz w:val="24"/>
      <w:szCs w:val="20"/>
    </w:rPr>
  </w:style>
  <w:style w:type="paragraph" w:customStyle="1" w:styleId="345">
    <w:name w:val="正文 首行缩进:  2 字符 Char Char"/>
    <w:basedOn w:val="1"/>
    <w:qFormat/>
    <w:uiPriority w:val="0"/>
    <w:pPr>
      <w:spacing w:line="360" w:lineRule="auto"/>
      <w:ind w:firstLine="480"/>
    </w:pPr>
    <w:rPr>
      <w:rFonts w:ascii="楷体_GB2312" w:eastAsia="楷体_GB2312"/>
      <w:bCs/>
      <w:sz w:val="24"/>
    </w:rPr>
  </w:style>
  <w:style w:type="paragraph" w:customStyle="1" w:styleId="346">
    <w:name w:val="样式3"/>
    <w:basedOn w:val="28"/>
    <w:qFormat/>
    <w:uiPriority w:val="0"/>
    <w:pPr>
      <w:adjustRightInd/>
      <w:snapToGrid/>
      <w:spacing w:line="0" w:lineRule="atLeast"/>
      <w:outlineLvl w:val="0"/>
    </w:pPr>
    <w:rPr>
      <w:sz w:val="28"/>
    </w:rPr>
  </w:style>
  <w:style w:type="paragraph" w:customStyle="1" w:styleId="347">
    <w:name w:val="文档正文"/>
    <w:basedOn w:val="1"/>
    <w:qFormat/>
    <w:uiPriority w:val="0"/>
    <w:pPr>
      <w:spacing w:line="360" w:lineRule="auto"/>
    </w:pPr>
    <w:rPr>
      <w:rFonts w:ascii="宋体" w:hAnsi="宋体"/>
      <w:b/>
      <w:bCs/>
    </w:rPr>
  </w:style>
  <w:style w:type="paragraph" w:customStyle="1" w:styleId="348">
    <w:name w:val="样式4 Char"/>
    <w:basedOn w:val="1"/>
    <w:qFormat/>
    <w:uiPriority w:val="0"/>
    <w:pPr>
      <w:widowControl/>
      <w:spacing w:line="360" w:lineRule="auto"/>
      <w:ind w:firstLine="480"/>
      <w:jc w:val="left"/>
    </w:pPr>
    <w:rPr>
      <w:rFonts w:cs="宋体"/>
      <w:color w:val="000000"/>
      <w:kern w:val="0"/>
      <w:sz w:val="24"/>
    </w:rPr>
  </w:style>
  <w:style w:type="paragraph" w:customStyle="1" w:styleId="34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0">
    <w:name w:val="CD 正文"/>
    <w:basedOn w:val="1"/>
    <w:qFormat/>
    <w:uiPriority w:val="0"/>
    <w:pPr>
      <w:jc w:val="left"/>
    </w:pPr>
    <w:rPr>
      <w:rFonts w:ascii="Arial" w:hAnsi="Arial" w:eastAsia="微软雅黑"/>
    </w:rPr>
  </w:style>
  <w:style w:type="paragraph" w:customStyle="1" w:styleId="351">
    <w:name w:val="Char1 Char Char Char"/>
    <w:basedOn w:val="1"/>
    <w:qFormat/>
    <w:uiPriority w:val="0"/>
    <w:rPr>
      <w:rFonts w:ascii="Tahoma" w:hAnsi="Tahoma"/>
      <w:sz w:val="24"/>
      <w:szCs w:val="20"/>
    </w:rPr>
  </w:style>
  <w:style w:type="paragraph" w:customStyle="1" w:styleId="352">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3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54">
    <w:name w:val="表格1"/>
    <w:basedOn w:val="1"/>
    <w:qFormat/>
    <w:uiPriority w:val="0"/>
    <w:pPr>
      <w:adjustRightInd w:val="0"/>
      <w:textAlignment w:val="baseline"/>
    </w:pPr>
    <w:rPr>
      <w:rFonts w:ascii="宋体"/>
      <w:kern w:val="24"/>
      <w:szCs w:val="21"/>
    </w:rPr>
  </w:style>
  <w:style w:type="paragraph" w:customStyle="1" w:styleId="355">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356">
    <w:name w:val="标题4，章节第四层"/>
    <w:basedOn w:val="1"/>
    <w:next w:val="1"/>
    <w:qFormat/>
    <w:uiPriority w:val="0"/>
    <w:pPr>
      <w:tabs>
        <w:tab w:val="left" w:pos="0"/>
      </w:tabs>
      <w:spacing w:line="360" w:lineRule="auto"/>
      <w:outlineLvl w:val="3"/>
    </w:pPr>
    <w:rPr>
      <w:rFonts w:ascii="宋体" w:hAnsi="宋体"/>
      <w:b/>
      <w:sz w:val="24"/>
    </w:rPr>
  </w:style>
  <w:style w:type="paragraph" w:customStyle="1" w:styleId="357">
    <w:name w:val="font12"/>
    <w:basedOn w:val="1"/>
    <w:qFormat/>
    <w:uiPriority w:val="0"/>
    <w:pPr>
      <w:widowControl/>
      <w:spacing w:before="100" w:beforeAutospacing="1" w:after="100" w:afterAutospacing="1"/>
      <w:jc w:val="left"/>
    </w:pPr>
    <w:rPr>
      <w:rFonts w:hint="eastAsia" w:ascii="宋体" w:hAnsi="宋体"/>
      <w:kern w:val="0"/>
      <w:sz w:val="36"/>
      <w:szCs w:val="36"/>
    </w:rPr>
  </w:style>
  <w:style w:type="paragraph" w:customStyle="1" w:styleId="358">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kern w:val="0"/>
      <w:sz w:val="20"/>
      <w:szCs w:val="20"/>
    </w:rPr>
  </w:style>
  <w:style w:type="paragraph" w:customStyle="1" w:styleId="359">
    <w:name w:val="_Style 56"/>
    <w:basedOn w:val="19"/>
    <w:qFormat/>
    <w:uiPriority w:val="0"/>
    <w:pPr>
      <w:spacing w:line="436" w:lineRule="exact"/>
    </w:pPr>
    <w:rPr>
      <w:szCs w:val="20"/>
    </w:rPr>
  </w:style>
  <w:style w:type="paragraph" w:customStyle="1" w:styleId="360">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61">
    <w:name w:val="Body Text First Indent1"/>
    <w:basedOn w:val="2"/>
    <w:qFormat/>
    <w:uiPriority w:val="0"/>
    <w:pPr>
      <w:ind w:firstLine="420"/>
    </w:pPr>
  </w:style>
  <w:style w:type="paragraph" w:customStyle="1" w:styleId="362">
    <w:name w:val="Char Char Char Char Char Char Char Char Char Char Char Char Char Char1"/>
    <w:basedOn w:val="1"/>
    <w:qFormat/>
    <w:uiPriority w:val="0"/>
    <w:rPr>
      <w:rFonts w:ascii="Tahoma" w:hAnsi="Tahoma"/>
      <w:sz w:val="24"/>
      <w:szCs w:val="20"/>
    </w:rPr>
  </w:style>
  <w:style w:type="paragraph" w:customStyle="1" w:styleId="363">
    <w:name w:val="规范正文"/>
    <w:basedOn w:val="1"/>
    <w:qFormat/>
    <w:uiPriority w:val="0"/>
    <w:pPr>
      <w:adjustRightInd w:val="0"/>
      <w:spacing w:line="360" w:lineRule="auto"/>
      <w:ind w:left="480"/>
      <w:textAlignment w:val="baseline"/>
    </w:pPr>
    <w:rPr>
      <w:kern w:val="0"/>
      <w:sz w:val="24"/>
      <w:szCs w:val="20"/>
    </w:rPr>
  </w:style>
  <w:style w:type="paragraph" w:customStyle="1" w:styleId="364">
    <w:name w:val="小四 段落 宋体 Char Char"/>
    <w:basedOn w:val="1"/>
    <w:qFormat/>
    <w:uiPriority w:val="0"/>
    <w:pPr>
      <w:spacing w:line="360" w:lineRule="auto"/>
      <w:ind w:firstLine="480" w:firstLineChars="200"/>
    </w:pPr>
    <w:rPr>
      <w:rFonts w:ascii="宋体" w:hAnsi="宋体"/>
      <w:sz w:val="24"/>
    </w:rPr>
  </w:style>
  <w:style w:type="paragraph" w:customStyle="1" w:styleId="365">
    <w:name w:val="MM Topic 3"/>
    <w:basedOn w:val="5"/>
    <w:qFormat/>
    <w:uiPriority w:val="0"/>
    <w:pPr>
      <w:spacing w:line="416" w:lineRule="auto"/>
    </w:pPr>
  </w:style>
  <w:style w:type="paragraph" w:customStyle="1" w:styleId="366">
    <w:name w:val="Char Char Char Char Char Char Char Char Char Char Char Char Char Char Char Char Char Char Char Char Char"/>
    <w:basedOn w:val="1"/>
    <w:qFormat/>
    <w:uiPriority w:val="0"/>
    <w:rPr>
      <w:rFonts w:ascii="Tahoma" w:hAnsi="Tahoma"/>
      <w:sz w:val="24"/>
      <w:szCs w:val="20"/>
    </w:rPr>
  </w:style>
  <w:style w:type="paragraph" w:customStyle="1" w:styleId="367">
    <w:name w:val="Item Step in Table"/>
    <w:qFormat/>
    <w:uiPriority w:val="0"/>
    <w:pPr>
      <w:tabs>
        <w:tab w:val="left" w:pos="397"/>
      </w:tabs>
      <w:spacing w:before="40" w:after="40"/>
      <w:ind w:left="397" w:hanging="397"/>
      <w:jc w:val="both"/>
    </w:pPr>
    <w:rPr>
      <w:rFonts w:ascii="Arial" w:hAnsi="Arial" w:eastAsia="宋体" w:cs="Arial"/>
      <w:sz w:val="18"/>
      <w:szCs w:val="18"/>
      <w:lang w:val="en-US" w:eastAsia="zh-CN" w:bidi="ar-SA"/>
    </w:rPr>
  </w:style>
  <w:style w:type="paragraph" w:customStyle="1" w:styleId="368">
    <w:name w:val="标题2，章节第二层"/>
    <w:basedOn w:val="1"/>
    <w:next w:val="248"/>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36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0">
    <w:name w:val="样式2"/>
    <w:basedOn w:val="1"/>
    <w:qFormat/>
    <w:uiPriority w:val="0"/>
    <w:pPr>
      <w:spacing w:line="360" w:lineRule="auto"/>
      <w:ind w:left="200" w:leftChars="200"/>
    </w:pPr>
    <w:rPr>
      <w:rFonts w:ascii="宋体" w:hAnsi="宋体"/>
      <w:b/>
      <w:sz w:val="24"/>
    </w:rPr>
  </w:style>
  <w:style w:type="paragraph" w:customStyle="1" w:styleId="37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72">
    <w:name w:val="Char Char Char Char Char Char1"/>
    <w:basedOn w:val="1"/>
    <w:qFormat/>
    <w:uiPriority w:val="0"/>
    <w:rPr>
      <w:rFonts w:ascii="Tahoma" w:hAnsi="Tahoma"/>
      <w:sz w:val="24"/>
      <w:szCs w:val="20"/>
    </w:rPr>
  </w:style>
  <w:style w:type="paragraph" w:customStyle="1" w:styleId="373">
    <w:name w:val="纯文本1"/>
    <w:basedOn w:val="1"/>
    <w:qFormat/>
    <w:uiPriority w:val="0"/>
    <w:pPr>
      <w:adjustRightInd w:val="0"/>
      <w:textAlignment w:val="baseline"/>
    </w:pPr>
    <w:rPr>
      <w:rFonts w:ascii="宋体" w:hAnsi="Courier New" w:eastAsia="楷体_GB2312"/>
      <w:sz w:val="28"/>
      <w:szCs w:val="20"/>
    </w:rPr>
  </w:style>
  <w:style w:type="paragraph" w:customStyle="1" w:styleId="374">
    <w:name w:val="样式 首行缩进:  2 字符"/>
    <w:basedOn w:val="1"/>
    <w:qFormat/>
    <w:uiPriority w:val="0"/>
    <w:pPr>
      <w:widowControl/>
    </w:pPr>
    <w:rPr>
      <w:rFonts w:ascii="宋体" w:hAnsi="宋体" w:cs="Tahoma"/>
      <w:bCs/>
      <w:kern w:val="0"/>
      <w:szCs w:val="21"/>
      <w:lang w:val="en-GB"/>
    </w:rPr>
  </w:style>
  <w:style w:type="paragraph" w:customStyle="1" w:styleId="375">
    <w:name w:val="小四 段落 宋体 Char Char Char"/>
    <w:basedOn w:val="16"/>
    <w:qFormat/>
    <w:uiPriority w:val="0"/>
    <w:pPr>
      <w:tabs>
        <w:tab w:val="clear" w:pos="2952"/>
      </w:tabs>
      <w:spacing w:line="360" w:lineRule="auto"/>
      <w:ind w:left="0" w:right="-33" w:firstLine="545" w:firstLineChars="227"/>
      <w:jc w:val="left"/>
    </w:pPr>
    <w:rPr>
      <w:sz w:val="24"/>
    </w:rPr>
  </w:style>
  <w:style w:type="paragraph" w:customStyle="1" w:styleId="376">
    <w:name w:val="zw"/>
    <w:basedOn w:val="1"/>
    <w:qFormat/>
    <w:uiPriority w:val="0"/>
    <w:pPr>
      <w:widowControl/>
      <w:spacing w:line="360" w:lineRule="auto"/>
      <w:ind w:firstLine="480" w:firstLineChars="200"/>
      <w:jc w:val="left"/>
    </w:pPr>
    <w:rPr>
      <w:rFonts w:ascii="宋体" w:hAnsi="宋体"/>
      <w:bCs/>
      <w:kern w:val="0"/>
      <w:sz w:val="24"/>
      <w:szCs w:val="20"/>
    </w:rPr>
  </w:style>
  <w:style w:type="paragraph" w:customStyle="1" w:styleId="377">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78">
    <w:name w:val="列出段落2"/>
    <w:basedOn w:val="1"/>
    <w:qFormat/>
    <w:uiPriority w:val="0"/>
    <w:pPr>
      <w:widowControl/>
      <w:ind w:left="720"/>
      <w:contextualSpacing/>
      <w:jc w:val="left"/>
    </w:pPr>
    <w:rPr>
      <w:rFonts w:ascii="Arial" w:hAnsi="Arial" w:eastAsia="黑体"/>
      <w:kern w:val="0"/>
      <w:sz w:val="24"/>
      <w:lang w:eastAsia="en-US"/>
    </w:rPr>
  </w:style>
  <w:style w:type="paragraph" w:customStyle="1" w:styleId="37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380">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381">
    <w:name w:val="三级目录"/>
    <w:next w:val="1"/>
    <w:qFormat/>
    <w:uiPriority w:val="0"/>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38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83">
    <w:name w:val="纯文本2"/>
    <w:basedOn w:val="1"/>
    <w:qFormat/>
    <w:uiPriority w:val="0"/>
    <w:pPr>
      <w:adjustRightInd w:val="0"/>
      <w:textAlignment w:val="baseline"/>
    </w:pPr>
    <w:rPr>
      <w:rFonts w:ascii="宋体" w:hAnsi="Courier New" w:eastAsia="楷体_GB2312"/>
      <w:sz w:val="28"/>
      <w:szCs w:val="20"/>
    </w:rPr>
  </w:style>
  <w:style w:type="paragraph" w:customStyle="1" w:styleId="384">
    <w:name w:val="Char Char3 Char Char"/>
    <w:basedOn w:val="19"/>
    <w:qFormat/>
    <w:uiPriority w:val="0"/>
    <w:rPr>
      <w:rFonts w:ascii="Tahoma" w:hAnsi="Tahoma"/>
      <w:kern w:val="0"/>
      <w:sz w:val="24"/>
    </w:rPr>
  </w:style>
  <w:style w:type="paragraph" w:customStyle="1" w:styleId="385">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86">
    <w:name w:val="样式 标题 2第一章 标题 2Heading 2 HiddenHeading 2 CCBSheading 2H2h2..."/>
    <w:basedOn w:val="4"/>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387">
    <w:name w:val="DAS列表一"/>
    <w:basedOn w:val="113"/>
    <w:qFormat/>
    <w:uiPriority w:val="0"/>
    <w:pPr>
      <w:tabs>
        <w:tab w:val="left" w:pos="360"/>
        <w:tab w:val="left" w:pos="885"/>
      </w:tabs>
      <w:ind w:left="-58" w:leftChars="-58" w:firstLine="425" w:firstLineChars="0"/>
    </w:pPr>
    <w:rPr>
      <w:sz w:val="21"/>
    </w:rPr>
  </w:style>
  <w:style w:type="paragraph" w:customStyle="1" w:styleId="388">
    <w:name w:val="正文表标题"/>
    <w:next w:val="276"/>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38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szCs w:val="20"/>
    </w:rPr>
  </w:style>
  <w:style w:type="paragraph" w:customStyle="1" w:styleId="390">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szCs w:val="20"/>
    </w:rPr>
  </w:style>
  <w:style w:type="paragraph" w:customStyle="1" w:styleId="391">
    <w:name w:val="xl36"/>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0"/>
      <w:szCs w:val="20"/>
    </w:rPr>
  </w:style>
  <w:style w:type="paragraph" w:customStyle="1" w:styleId="392">
    <w:name w:val="1"/>
    <w:basedOn w:val="1"/>
    <w:next w:val="51"/>
    <w:qFormat/>
    <w:uiPriority w:val="0"/>
    <w:pPr>
      <w:spacing w:line="360" w:lineRule="auto"/>
    </w:pPr>
    <w:rPr>
      <w:rFonts w:eastAsia="仿宋_GB2312"/>
      <w:sz w:val="24"/>
    </w:rPr>
  </w:style>
  <w:style w:type="paragraph" w:customStyle="1" w:styleId="393">
    <w:name w:val="马刚标题1"/>
    <w:basedOn w:val="3"/>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394">
    <w:name w:val="P6"/>
    <w:qFormat/>
    <w:uiPriority w:val="0"/>
    <w:pPr>
      <w:widowControl w:val="0"/>
      <w:adjustRightInd w:val="0"/>
      <w:spacing w:after="240" w:line="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395">
    <w:name w:val="p0"/>
    <w:basedOn w:val="1"/>
    <w:qFormat/>
    <w:uiPriority w:val="0"/>
    <w:pPr>
      <w:widowControl/>
    </w:pPr>
    <w:rPr>
      <w:kern w:val="0"/>
      <w:szCs w:val="21"/>
    </w:rPr>
  </w:style>
  <w:style w:type="paragraph" w:customStyle="1" w:styleId="396">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397">
    <w:name w:val="Char Char Char Char Char Char Char Char Char Char Char Char Char Char Char Char Char Char Char Char Char Char Char"/>
    <w:basedOn w:val="1"/>
    <w:qFormat/>
    <w:uiPriority w:val="0"/>
    <w:rPr>
      <w:rFonts w:ascii="Tahoma" w:hAnsi="Tahoma"/>
      <w:sz w:val="24"/>
      <w:szCs w:val="20"/>
    </w:rPr>
  </w:style>
  <w:style w:type="paragraph" w:customStyle="1" w:styleId="398">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szCs w:val="20"/>
    </w:rPr>
  </w:style>
  <w:style w:type="paragraph" w:customStyle="1" w:styleId="399">
    <w:name w:val="正文 首行缩进:  2 字符 Char"/>
    <w:basedOn w:val="1"/>
    <w:qFormat/>
    <w:uiPriority w:val="0"/>
    <w:pPr>
      <w:spacing w:line="360" w:lineRule="auto"/>
      <w:ind w:firstLine="480"/>
    </w:pPr>
    <w:rPr>
      <w:rFonts w:cs="宋体"/>
      <w:sz w:val="24"/>
      <w:szCs w:val="20"/>
    </w:rPr>
  </w:style>
  <w:style w:type="paragraph" w:customStyle="1" w:styleId="400">
    <w:name w:val="项目符号，二级"/>
    <w:basedOn w:val="248"/>
    <w:next w:val="248"/>
    <w:qFormat/>
    <w:uiPriority w:val="0"/>
    <w:pPr>
      <w:tabs>
        <w:tab w:val="left" w:pos="1211"/>
        <w:tab w:val="left" w:pos="1337"/>
      </w:tabs>
      <w:ind w:left="1337" w:right="-27" w:firstLine="480"/>
    </w:pPr>
    <w:rPr>
      <w:bCs w:val="0"/>
      <w:color w:val="000000"/>
      <w:sz w:val="24"/>
      <w:szCs w:val="24"/>
    </w:rPr>
  </w:style>
  <w:style w:type="paragraph" w:customStyle="1" w:styleId="401">
    <w:name w:val="默认段落字体 Para Char Char Char Char Char Char Char Char Char1 Char Char Char Char Char Char Char"/>
    <w:basedOn w:val="19"/>
    <w:qFormat/>
    <w:uiPriority w:val="0"/>
    <w:rPr>
      <w:rFonts w:ascii="Calibri" w:hAnsi="Calibri"/>
      <w:kern w:val="0"/>
      <w:sz w:val="20"/>
      <w:szCs w:val="20"/>
    </w:rPr>
  </w:style>
  <w:style w:type="paragraph" w:customStyle="1" w:styleId="402">
    <w:name w:val="符号与编号 Char"/>
    <w:basedOn w:val="1"/>
    <w:qFormat/>
    <w:uiPriority w:val="0"/>
    <w:pPr>
      <w:tabs>
        <w:tab w:val="left" w:pos="720"/>
      </w:tabs>
      <w:spacing w:afterLines="50" w:line="400" w:lineRule="atLeast"/>
      <w:ind w:left="720"/>
    </w:pPr>
    <w:rPr>
      <w:sz w:val="24"/>
    </w:rPr>
  </w:style>
  <w:style w:type="paragraph" w:customStyle="1" w:styleId="40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4">
    <w:name w:val="样式 样式 首行缩进:  2 字符 + 行距: 1.5 倍行距"/>
    <w:basedOn w:val="1"/>
    <w:qFormat/>
    <w:uiPriority w:val="0"/>
    <w:pPr>
      <w:spacing w:line="360" w:lineRule="auto"/>
      <w:ind w:firstLine="470" w:firstLineChars="196"/>
    </w:pPr>
    <w:rPr>
      <w:sz w:val="24"/>
      <w:szCs w:val="20"/>
    </w:rPr>
  </w:style>
  <w:style w:type="paragraph" w:customStyle="1" w:styleId="405">
    <w:name w:val="Char Char Char Char Char Char Char"/>
    <w:basedOn w:val="1"/>
    <w:qFormat/>
    <w:uiPriority w:val="0"/>
    <w:rPr>
      <w:rFonts w:ascii="Tahoma" w:hAnsi="Tahoma"/>
      <w:sz w:val="24"/>
      <w:szCs w:val="20"/>
    </w:rPr>
  </w:style>
  <w:style w:type="paragraph" w:customStyle="1" w:styleId="406">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407">
    <w:name w:val="列表内容"/>
    <w:basedOn w:val="1"/>
    <w:next w:val="1"/>
    <w:qFormat/>
    <w:uiPriority w:val="0"/>
    <w:pPr>
      <w:widowControl/>
      <w:tabs>
        <w:tab w:val="left" w:pos="840"/>
      </w:tabs>
      <w:ind w:left="840" w:hanging="420"/>
      <w:jc w:val="left"/>
    </w:pPr>
    <w:rPr>
      <w:kern w:val="0"/>
      <w:sz w:val="18"/>
    </w:rPr>
  </w:style>
  <w:style w:type="paragraph" w:customStyle="1" w:styleId="408">
    <w:name w:val="Char Char Char Char Char Char Char Char Char Char Char1"/>
    <w:basedOn w:val="1"/>
    <w:qFormat/>
    <w:uiPriority w:val="0"/>
    <w:rPr>
      <w:rFonts w:ascii="Tahoma" w:hAnsi="Tahoma"/>
      <w:sz w:val="24"/>
      <w:szCs w:val="20"/>
    </w:rPr>
  </w:style>
  <w:style w:type="paragraph" w:customStyle="1" w:styleId="409">
    <w:name w:val="项目符号：一级"/>
    <w:basedOn w:val="248"/>
    <w:next w:val="248"/>
    <w:qFormat/>
    <w:uiPriority w:val="0"/>
    <w:pPr>
      <w:ind w:right="-134" w:rightChars="-64"/>
    </w:pPr>
    <w:rPr>
      <w:bCs w:val="0"/>
    </w:rPr>
  </w:style>
  <w:style w:type="paragraph" w:customStyle="1" w:styleId="410">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11">
    <w:name w:val="proatt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2">
    <w:name w:val="丁华标题3"/>
    <w:basedOn w:val="307"/>
    <w:next w:val="308"/>
    <w:qFormat/>
    <w:uiPriority w:val="0"/>
    <w:pPr>
      <w:tabs>
        <w:tab w:val="left" w:pos="1004"/>
        <w:tab w:val="clear" w:pos="567"/>
      </w:tabs>
      <w:autoSpaceDE/>
      <w:autoSpaceDN/>
      <w:adjustRightInd/>
      <w:spacing w:line="415" w:lineRule="auto"/>
      <w:ind w:hanging="283"/>
    </w:pPr>
    <w:rPr>
      <w:b w:val="0"/>
      <w:bCs w:val="0"/>
      <w:color w:val="auto"/>
    </w:rPr>
  </w:style>
  <w:style w:type="paragraph" w:customStyle="1" w:styleId="413">
    <w:name w:val="msolistparagraph"/>
    <w:basedOn w:val="1"/>
    <w:qFormat/>
    <w:uiPriority w:val="0"/>
    <w:pPr>
      <w:ind w:firstLine="420" w:firstLineChars="200"/>
    </w:pPr>
    <w:rPr>
      <w:rFonts w:ascii="Calibri" w:hAnsi="Calibri"/>
      <w:szCs w:val="22"/>
    </w:rPr>
  </w:style>
  <w:style w:type="paragraph" w:customStyle="1" w:styleId="414">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415">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szCs w:val="20"/>
    </w:rPr>
  </w:style>
  <w:style w:type="paragraph" w:customStyle="1" w:styleId="416">
    <w:name w:val="Char1"/>
    <w:basedOn w:val="1"/>
    <w:qFormat/>
    <w:uiPriority w:val="0"/>
    <w:rPr>
      <w:rFonts w:ascii="仿宋_GB2312" w:eastAsia="仿宋_GB2312"/>
      <w:b/>
      <w:sz w:val="32"/>
      <w:szCs w:val="32"/>
    </w:rPr>
  </w:style>
  <w:style w:type="paragraph" w:customStyle="1" w:styleId="417">
    <w:name w:val="Char Char Char Char Char Char Char Char Char"/>
    <w:basedOn w:val="1"/>
    <w:qFormat/>
    <w:uiPriority w:val="0"/>
    <w:pPr>
      <w:tabs>
        <w:tab w:val="left" w:pos="360"/>
      </w:tabs>
      <w:ind w:left="360" w:hanging="360" w:hangingChars="200"/>
    </w:pPr>
    <w:rPr>
      <w:sz w:val="24"/>
    </w:rPr>
  </w:style>
  <w:style w:type="paragraph" w:customStyle="1" w:styleId="418">
    <w:name w:val="font6"/>
    <w:basedOn w:val="1"/>
    <w:qFormat/>
    <w:uiPriority w:val="0"/>
    <w:pPr>
      <w:widowControl/>
      <w:spacing w:before="100" w:beforeAutospacing="1" w:after="100" w:afterAutospacing="1"/>
      <w:jc w:val="left"/>
    </w:pPr>
    <w:rPr>
      <w:kern w:val="0"/>
      <w:sz w:val="20"/>
      <w:szCs w:val="20"/>
    </w:rPr>
  </w:style>
  <w:style w:type="paragraph" w:customStyle="1" w:styleId="419">
    <w:name w:val="正文 + 宋体"/>
    <w:basedOn w:val="1"/>
    <w:qFormat/>
    <w:uiPriority w:val="0"/>
    <w:pPr>
      <w:spacing w:line="360" w:lineRule="auto"/>
      <w:ind w:firstLine="420" w:firstLineChars="200"/>
    </w:pPr>
  </w:style>
  <w:style w:type="paragraph" w:customStyle="1" w:styleId="420">
    <w:name w:val="二级条标题"/>
    <w:basedOn w:val="1"/>
    <w:next w:val="276"/>
    <w:qFormat/>
    <w:uiPriority w:val="0"/>
    <w:pPr>
      <w:widowControl/>
      <w:tabs>
        <w:tab w:val="left" w:pos="2240"/>
      </w:tabs>
      <w:ind w:hanging="420"/>
      <w:outlineLvl w:val="3"/>
    </w:pPr>
    <w:rPr>
      <w:rFonts w:eastAsia="黑体"/>
      <w:kern w:val="0"/>
      <w:szCs w:val="20"/>
    </w:rPr>
  </w:style>
  <w:style w:type="paragraph" w:customStyle="1" w:styleId="421">
    <w:name w:val="Char Char Char Char Char Char Char Char Char Char Char Char Char Char Char Char Char Char Char Char Char1"/>
    <w:basedOn w:val="1"/>
    <w:qFormat/>
    <w:uiPriority w:val="0"/>
    <w:rPr>
      <w:rFonts w:ascii="Tahoma" w:hAnsi="Tahoma"/>
      <w:sz w:val="24"/>
      <w:szCs w:val="20"/>
    </w:rPr>
  </w:style>
  <w:style w:type="paragraph" w:customStyle="1" w:styleId="422">
    <w:name w:val="正文lzq"/>
    <w:basedOn w:val="1"/>
    <w:qFormat/>
    <w:uiPriority w:val="0"/>
    <w:pPr>
      <w:adjustRightInd w:val="0"/>
      <w:spacing w:line="360" w:lineRule="auto"/>
      <w:ind w:firstLine="480"/>
      <w:textAlignment w:val="baseline"/>
    </w:pPr>
    <w:rPr>
      <w:kern w:val="0"/>
      <w:sz w:val="24"/>
      <w:szCs w:val="20"/>
    </w:rPr>
  </w:style>
  <w:style w:type="paragraph" w:customStyle="1" w:styleId="423">
    <w:name w:val="符号与编号"/>
    <w:basedOn w:val="1"/>
    <w:qFormat/>
    <w:uiPriority w:val="0"/>
    <w:pPr>
      <w:tabs>
        <w:tab w:val="left" w:pos="900"/>
      </w:tabs>
      <w:spacing w:afterLines="50" w:line="400" w:lineRule="atLeast"/>
      <w:ind w:left="900" w:hanging="420"/>
    </w:pPr>
    <w:rPr>
      <w:sz w:val="24"/>
    </w:rPr>
  </w:style>
  <w:style w:type="paragraph" w:customStyle="1" w:styleId="424">
    <w:name w:val="项"/>
    <w:basedOn w:val="1"/>
    <w:qFormat/>
    <w:uiPriority w:val="0"/>
    <w:pPr>
      <w:numPr>
        <w:ilvl w:val="0"/>
        <w:numId w:val="1"/>
      </w:numPr>
      <w:spacing w:line="360" w:lineRule="auto"/>
    </w:pPr>
    <w:rPr>
      <w:sz w:val="24"/>
    </w:rPr>
  </w:style>
  <w:style w:type="character" w:customStyle="1" w:styleId="425">
    <w:name w:val="3级标题 Char"/>
    <w:link w:val="426"/>
    <w:qFormat/>
    <w:uiPriority w:val="0"/>
    <w:rPr>
      <w:b/>
    </w:rPr>
  </w:style>
  <w:style w:type="paragraph" w:customStyle="1" w:styleId="426">
    <w:name w:val="3级标题"/>
    <w:basedOn w:val="1"/>
    <w:link w:val="425"/>
    <w:qFormat/>
    <w:uiPriority w:val="0"/>
    <w:pPr>
      <w:spacing w:line="360" w:lineRule="auto"/>
      <w:outlineLvl w:val="1"/>
    </w:pPr>
    <w:rPr>
      <w:b/>
    </w:rPr>
  </w:style>
  <w:style w:type="paragraph" w:customStyle="1" w:styleId="427">
    <w:name w:val="4级标题"/>
    <w:basedOn w:val="1"/>
    <w:qFormat/>
    <w:uiPriority w:val="0"/>
    <w:pPr>
      <w:numPr>
        <w:ilvl w:val="1"/>
        <w:numId w:val="2"/>
      </w:numPr>
      <w:spacing w:line="360" w:lineRule="auto"/>
      <w:outlineLvl w:val="2"/>
    </w:pPr>
  </w:style>
  <w:style w:type="character" w:customStyle="1" w:styleId="428">
    <w:name w:val="font21"/>
    <w:basedOn w:val="61"/>
    <w:qFormat/>
    <w:uiPriority w:val="0"/>
    <w:rPr>
      <w:rFonts w:hint="eastAsia" w:ascii="宋体" w:hAnsi="宋体" w:eastAsia="宋体" w:cs="宋体"/>
      <w:color w:val="000000"/>
      <w:sz w:val="21"/>
      <w:szCs w:val="21"/>
      <w:u w:val="none"/>
    </w:rPr>
  </w:style>
  <w:style w:type="character" w:customStyle="1" w:styleId="429">
    <w:name w:val="列出段落 Char"/>
    <w:link w:val="280"/>
    <w:qFormat/>
    <w:uiPriority w:val="99"/>
    <w:rPr>
      <w:rFonts w:ascii="Calibri" w:hAnsi="Calibri" w:eastAsia="Calibri" w:cs="宋体"/>
      <w:sz w:val="21"/>
      <w:szCs w:val="22"/>
      <w:lang w:val="zh-CN"/>
    </w:rPr>
  </w:style>
  <w:style w:type="character" w:customStyle="1" w:styleId="430">
    <w:name w:val="标题 1 字符"/>
    <w:qFormat/>
    <w:uiPriority w:val="0"/>
    <w:rPr>
      <w:rFonts w:eastAsia="宋体"/>
      <w:b/>
      <w:kern w:val="44"/>
      <w:sz w:val="4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586B30-4EBE-4E51-A84B-440084DD36FB}">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43</Pages>
  <Words>21644</Words>
  <Characters>22727</Characters>
  <Lines>170</Lines>
  <Paragraphs>47</Paragraphs>
  <TotalTime>0</TotalTime>
  <ScaleCrop>false</ScaleCrop>
  <LinksUpToDate>false</LinksUpToDate>
  <CharactersWithSpaces>22932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2023-09-26T06:10:00Z</dcterms:created>
  <dc:creator>贾扬</dc:creator>
  <cp:lastModifiedBy>秋收冬藏</cp:lastModifiedBy>
  <cp:lastPrinted>2015-06-20T09:59:00Z</cp:lastPrinted>
  <dcterms:modified xsi:type="dcterms:W3CDTF">2024-09-18T06:52:47Z</dcterms:modified>
  <dc:title>分包三：汽车维修专用工具</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C63858702B4B46839299AAE3808AE6D2_13</vt:lpwstr>
  </property>
</Properties>
</file>